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ink/ink1.xml" ContentType="application/inkml+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E8CC883" w14:textId="77777777" w:rsidR="00761DC6" w:rsidRDefault="00761DC6" w:rsidP="00A35A06">
      <w:pPr>
        <w:pStyle w:val="af1"/>
        <w:spacing w:before="312"/>
        <w:jc w:val="center"/>
        <w:rPr>
          <w:rFonts w:ascii="方正小标宋_GBK" w:eastAsia="方正小标宋_GBK"/>
          <w:sz w:val="44"/>
          <w:szCs w:val="44"/>
        </w:rPr>
      </w:pPr>
      <w:r w:rsidRPr="00CD089C">
        <w:rPr>
          <w:rFonts w:ascii="方正小标宋_GBK" w:eastAsia="方正小标宋_GBK" w:hint="eastAsia"/>
          <w:sz w:val="44"/>
          <w:szCs w:val="44"/>
        </w:rPr>
        <w:t>重庆市绿色建筑评价标准</w:t>
      </w:r>
      <w:r>
        <w:rPr>
          <w:rFonts w:ascii="方正小标宋_GBK" w:eastAsia="方正小标宋_GBK" w:hint="eastAsia"/>
          <w:sz w:val="44"/>
          <w:szCs w:val="44"/>
        </w:rPr>
        <w:t>技术</w:t>
      </w:r>
      <w:r w:rsidRPr="00CD089C">
        <w:rPr>
          <w:rFonts w:ascii="方正小标宋_GBK" w:eastAsia="方正小标宋_GBK" w:hint="eastAsia"/>
          <w:sz w:val="44"/>
          <w:szCs w:val="44"/>
        </w:rPr>
        <w:t>细则</w:t>
      </w:r>
    </w:p>
    <w:p w14:paraId="6BB2C69D" w14:textId="49F507DB" w:rsidR="00A35A06" w:rsidRPr="0081478A" w:rsidRDefault="00A35A06" w:rsidP="00A35A06">
      <w:pPr>
        <w:pStyle w:val="af1"/>
        <w:spacing w:before="312"/>
        <w:jc w:val="center"/>
        <w:rPr>
          <w:b/>
          <w:sz w:val="52"/>
        </w:rPr>
      </w:pPr>
      <w:r w:rsidRPr="0081478A">
        <w:rPr>
          <w:b/>
          <w:sz w:val="52"/>
        </w:rPr>
        <w:t>（</w:t>
      </w:r>
      <w:r w:rsidR="00B73052" w:rsidRPr="0081478A">
        <w:rPr>
          <w:b/>
          <w:sz w:val="52"/>
        </w:rPr>
        <w:t>20</w:t>
      </w:r>
      <w:r w:rsidR="00B73052">
        <w:rPr>
          <w:b/>
          <w:sz w:val="52"/>
        </w:rPr>
        <w:t>20</w:t>
      </w:r>
      <w:r w:rsidRPr="0081478A">
        <w:rPr>
          <w:b/>
          <w:sz w:val="52"/>
        </w:rPr>
        <w:t>年版）</w:t>
      </w:r>
    </w:p>
    <w:p w14:paraId="447A71B7" w14:textId="3B6FDD0D" w:rsidR="00A35A06" w:rsidRPr="0081478A" w:rsidRDefault="00365E83" w:rsidP="00A35A06">
      <w:pPr>
        <w:ind w:firstLineChars="650" w:firstLine="2600"/>
        <w:rPr>
          <w:rFonts w:eastAsia="仿宋" w:cs="Times New Roman"/>
          <w:sz w:val="40"/>
        </w:rPr>
      </w:pPr>
      <w:r>
        <w:rPr>
          <w:rFonts w:eastAsia="仿宋" w:cs="Times New Roman" w:hint="eastAsia"/>
          <w:sz w:val="40"/>
        </w:rPr>
        <w:t>（征求意见稿）</w:t>
      </w:r>
    </w:p>
    <w:p w14:paraId="28695CE9" w14:textId="77777777" w:rsidR="00A35A06" w:rsidRPr="0081478A" w:rsidRDefault="00A35A06" w:rsidP="00A35A06">
      <w:pPr>
        <w:ind w:firstLineChars="650" w:firstLine="2600"/>
        <w:rPr>
          <w:rFonts w:eastAsia="仿宋" w:cs="Times New Roman"/>
          <w:sz w:val="40"/>
        </w:rPr>
      </w:pPr>
    </w:p>
    <w:p w14:paraId="6D1E31E8" w14:textId="77777777" w:rsidR="00A35A06" w:rsidRPr="0081478A" w:rsidRDefault="00A35A06" w:rsidP="00A35A06">
      <w:pPr>
        <w:ind w:firstLineChars="650" w:firstLine="2600"/>
        <w:rPr>
          <w:rFonts w:eastAsia="仿宋" w:cs="Times New Roman"/>
          <w:sz w:val="40"/>
        </w:rPr>
      </w:pPr>
    </w:p>
    <w:p w14:paraId="3A6D7443" w14:textId="77777777" w:rsidR="00A35A06" w:rsidRPr="0081478A" w:rsidRDefault="00A35A06" w:rsidP="00A35A06">
      <w:pPr>
        <w:ind w:firstLineChars="650" w:firstLine="2600"/>
        <w:rPr>
          <w:rFonts w:eastAsia="仿宋" w:cs="Times New Roman"/>
          <w:sz w:val="40"/>
        </w:rPr>
      </w:pPr>
    </w:p>
    <w:p w14:paraId="1412063C" w14:textId="77777777" w:rsidR="00A35A06" w:rsidRPr="0081478A" w:rsidRDefault="00A35A06" w:rsidP="00A35A06">
      <w:pPr>
        <w:ind w:firstLineChars="650" w:firstLine="2600"/>
        <w:rPr>
          <w:rFonts w:eastAsia="仿宋" w:cs="Times New Roman"/>
          <w:sz w:val="40"/>
        </w:rPr>
      </w:pPr>
    </w:p>
    <w:p w14:paraId="1285E1C0" w14:textId="534A9A9C" w:rsidR="00A35A06" w:rsidRDefault="00A35A06" w:rsidP="00A35A06">
      <w:pPr>
        <w:ind w:firstLineChars="650" w:firstLine="2600"/>
        <w:rPr>
          <w:rFonts w:eastAsia="仿宋" w:cs="Times New Roman"/>
          <w:sz w:val="40"/>
        </w:rPr>
      </w:pPr>
    </w:p>
    <w:p w14:paraId="701A2398" w14:textId="35D45EA7" w:rsidR="00E94F61" w:rsidRDefault="00E94F61" w:rsidP="00A35A06">
      <w:pPr>
        <w:ind w:firstLineChars="650" w:firstLine="2600"/>
        <w:rPr>
          <w:rFonts w:eastAsia="仿宋" w:cs="Times New Roman"/>
          <w:sz w:val="40"/>
        </w:rPr>
      </w:pPr>
    </w:p>
    <w:p w14:paraId="2F3FFDD1" w14:textId="44F909E6" w:rsidR="00E94F61" w:rsidRDefault="00E94F61" w:rsidP="00A35A06">
      <w:pPr>
        <w:ind w:firstLineChars="650" w:firstLine="2600"/>
        <w:rPr>
          <w:rFonts w:eastAsia="仿宋" w:cs="Times New Roman"/>
          <w:sz w:val="40"/>
        </w:rPr>
      </w:pPr>
    </w:p>
    <w:p w14:paraId="20FDA7A1" w14:textId="3E14949E" w:rsidR="00E94F61" w:rsidRDefault="00E94F61" w:rsidP="00A35A06">
      <w:pPr>
        <w:ind w:firstLineChars="650" w:firstLine="2600"/>
        <w:rPr>
          <w:rFonts w:eastAsia="仿宋" w:cs="Times New Roman"/>
          <w:sz w:val="40"/>
        </w:rPr>
      </w:pPr>
    </w:p>
    <w:p w14:paraId="36965607" w14:textId="406F2236" w:rsidR="00E94F61" w:rsidRDefault="00E94F61" w:rsidP="00A35A06">
      <w:pPr>
        <w:ind w:firstLineChars="650" w:firstLine="2600"/>
        <w:rPr>
          <w:rFonts w:eastAsia="仿宋" w:cs="Times New Roman"/>
          <w:sz w:val="40"/>
        </w:rPr>
      </w:pPr>
    </w:p>
    <w:p w14:paraId="02803907" w14:textId="77777777" w:rsidR="00E94F61" w:rsidRPr="0081478A" w:rsidRDefault="00E94F61" w:rsidP="00A35A06">
      <w:pPr>
        <w:ind w:firstLineChars="650" w:firstLine="2600"/>
        <w:rPr>
          <w:rFonts w:eastAsia="仿宋" w:cs="Times New Roman"/>
          <w:sz w:val="40"/>
        </w:rPr>
      </w:pPr>
    </w:p>
    <w:p w14:paraId="35322DD6" w14:textId="5508894B" w:rsidR="00A35A06" w:rsidRPr="0081478A" w:rsidRDefault="00A35A06" w:rsidP="00A35A06">
      <w:pPr>
        <w:ind w:firstLine="800"/>
        <w:rPr>
          <w:rFonts w:eastAsia="仿宋" w:cs="Times New Roman"/>
          <w:sz w:val="40"/>
        </w:rPr>
      </w:pPr>
    </w:p>
    <w:p w14:paraId="6C182CB4" w14:textId="77777777" w:rsidR="00A35A06" w:rsidRPr="0081478A" w:rsidRDefault="00A35A06" w:rsidP="00A35A06">
      <w:pPr>
        <w:ind w:firstLine="560"/>
        <w:jc w:val="center"/>
        <w:rPr>
          <w:rFonts w:eastAsia="仿宋" w:cs="Times New Roman"/>
          <w:sz w:val="28"/>
        </w:rPr>
      </w:pPr>
    </w:p>
    <w:p w14:paraId="61152F3A" w14:textId="119BDA8A" w:rsidR="00A35A06" w:rsidRDefault="00A35A06">
      <w:pPr>
        <w:ind w:firstLineChars="0" w:firstLine="0"/>
        <w:jc w:val="center"/>
        <w:rPr>
          <w:rFonts w:eastAsia="仿宋" w:cs="Times New Roman"/>
          <w:sz w:val="28"/>
        </w:rPr>
      </w:pPr>
      <w:r w:rsidRPr="0081478A">
        <w:rPr>
          <w:rFonts w:eastAsia="仿宋" w:cs="Times New Roman"/>
          <w:sz w:val="28"/>
        </w:rPr>
        <w:t>重庆市绿色建筑与建筑产业化协会绿色建筑专业委员会</w:t>
      </w:r>
    </w:p>
    <w:p w14:paraId="04C19EAA" w14:textId="7F270A7A" w:rsidR="00A35A06" w:rsidRPr="0081478A" w:rsidRDefault="00E94F61" w:rsidP="00643310">
      <w:pPr>
        <w:ind w:firstLineChars="0" w:firstLine="0"/>
        <w:jc w:val="center"/>
        <w:rPr>
          <w:rFonts w:eastAsia="仿宋" w:cs="Times New Roman"/>
          <w:sz w:val="28"/>
        </w:rPr>
      </w:pPr>
      <w:r w:rsidRPr="0081478A">
        <w:rPr>
          <w:rFonts w:eastAsia="仿宋" w:cs="Times New Roman"/>
          <w:sz w:val="28"/>
        </w:rPr>
        <w:t>20</w:t>
      </w:r>
      <w:r>
        <w:rPr>
          <w:rFonts w:eastAsia="仿宋" w:cs="Times New Roman"/>
          <w:sz w:val="28"/>
        </w:rPr>
        <w:t>20</w:t>
      </w:r>
      <w:r w:rsidR="00A35A06" w:rsidRPr="0081478A">
        <w:rPr>
          <w:rFonts w:eastAsia="仿宋" w:cs="Times New Roman"/>
          <w:sz w:val="28"/>
        </w:rPr>
        <w:t>年</w:t>
      </w:r>
      <w:r w:rsidR="007277B0">
        <w:rPr>
          <w:rFonts w:eastAsia="仿宋" w:cs="Times New Roman"/>
          <w:sz w:val="28"/>
        </w:rPr>
        <w:t>6</w:t>
      </w:r>
      <w:r w:rsidR="00A35A06" w:rsidRPr="0081478A">
        <w:rPr>
          <w:rFonts w:eastAsia="仿宋" w:cs="Times New Roman"/>
          <w:sz w:val="28"/>
        </w:rPr>
        <w:t>月</w:t>
      </w:r>
      <w:r w:rsidR="00A35A06" w:rsidRPr="0081478A">
        <w:rPr>
          <w:rFonts w:eastAsia="仿宋" w:cs="Times New Roman"/>
          <w:sz w:val="28"/>
        </w:rPr>
        <w:br w:type="page"/>
      </w:r>
    </w:p>
    <w:p w14:paraId="751F35B0" w14:textId="77777777" w:rsidR="002C02E3" w:rsidRPr="0081478A" w:rsidRDefault="002C02E3" w:rsidP="002C02E3">
      <w:pPr>
        <w:ind w:firstLineChars="82" w:firstLine="198"/>
        <w:rPr>
          <w:rFonts w:cs="Times New Roman"/>
          <w:b/>
          <w:sz w:val="24"/>
        </w:rPr>
        <w:sectPr w:rsidR="002C02E3" w:rsidRPr="0081478A">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pgNumType w:start="1"/>
          <w:cols w:space="720"/>
          <w:docGrid w:type="lines" w:linePitch="312"/>
        </w:sectPr>
      </w:pPr>
    </w:p>
    <w:p w14:paraId="495B8BB6" w14:textId="77777777" w:rsidR="002C02E3" w:rsidRPr="0081478A" w:rsidRDefault="002C02E3" w:rsidP="002C02E3">
      <w:pPr>
        <w:tabs>
          <w:tab w:val="center" w:pos="4153"/>
        </w:tabs>
        <w:ind w:firstLineChars="0" w:firstLine="0"/>
        <w:rPr>
          <w:rFonts w:cs="Times New Roman"/>
          <w:sz w:val="24"/>
        </w:rPr>
      </w:pPr>
    </w:p>
    <w:p w14:paraId="580B98D0" w14:textId="77777777" w:rsidR="00F23581" w:rsidRPr="0081478A" w:rsidRDefault="00F23581" w:rsidP="00643310">
      <w:pPr>
        <w:ind w:firstLineChars="0" w:firstLine="0"/>
        <w:jc w:val="center"/>
        <w:rPr>
          <w:rFonts w:cs="Times New Roman"/>
          <w:b/>
          <w:sz w:val="28"/>
          <w:szCs w:val="28"/>
        </w:rPr>
      </w:pPr>
      <w:r w:rsidRPr="0081478A">
        <w:rPr>
          <w:rFonts w:cs="Times New Roman"/>
          <w:b/>
          <w:sz w:val="28"/>
          <w:szCs w:val="28"/>
        </w:rPr>
        <w:t>前言</w:t>
      </w:r>
    </w:p>
    <w:p w14:paraId="4FF23948" w14:textId="77777777" w:rsidR="00F23581" w:rsidRPr="0081478A" w:rsidRDefault="00F23581" w:rsidP="00F23581">
      <w:pPr>
        <w:ind w:firstLine="422"/>
        <w:jc w:val="center"/>
        <w:rPr>
          <w:rFonts w:cs="Times New Roman"/>
          <w:b/>
          <w:szCs w:val="21"/>
        </w:rPr>
      </w:pPr>
    </w:p>
    <w:p w14:paraId="0620EBCC" w14:textId="25ECA38E" w:rsidR="00436B55" w:rsidRDefault="007F0D06" w:rsidP="00436B55">
      <w:pPr>
        <w:ind w:firstLine="420"/>
        <w:rPr>
          <w:rFonts w:cs="Times New Roman"/>
          <w:szCs w:val="21"/>
        </w:rPr>
      </w:pPr>
      <w:r>
        <w:rPr>
          <w:rFonts w:cs="Times New Roman" w:hint="eastAsia"/>
          <w:szCs w:val="21"/>
        </w:rPr>
        <w:t>重庆市《绿色建筑评价标准》</w:t>
      </w:r>
      <w:r w:rsidR="00B73052">
        <w:rPr>
          <w:rFonts w:cs="Times New Roman" w:hint="eastAsia"/>
          <w:szCs w:val="21"/>
        </w:rPr>
        <w:t>（</w:t>
      </w:r>
      <w:r w:rsidR="00B73052" w:rsidRPr="00B73052">
        <w:rPr>
          <w:rFonts w:cs="Times New Roman"/>
          <w:szCs w:val="21"/>
        </w:rPr>
        <w:t>DBJ50/T-066-202</w:t>
      </w:r>
      <w:r w:rsidR="00B73052">
        <w:rPr>
          <w:rFonts w:cs="Times New Roman"/>
          <w:szCs w:val="21"/>
        </w:rPr>
        <w:t>0</w:t>
      </w:r>
      <w:r w:rsidR="00B73052">
        <w:rPr>
          <w:rFonts w:cs="Times New Roman" w:hint="eastAsia"/>
          <w:szCs w:val="21"/>
        </w:rPr>
        <w:t>）已于</w:t>
      </w:r>
      <w:r w:rsidR="00B73052">
        <w:rPr>
          <w:rFonts w:cs="Times New Roman" w:hint="eastAsia"/>
          <w:szCs w:val="21"/>
        </w:rPr>
        <w:t>2</w:t>
      </w:r>
      <w:r w:rsidR="00B73052">
        <w:rPr>
          <w:rFonts w:cs="Times New Roman"/>
          <w:szCs w:val="21"/>
        </w:rPr>
        <w:t>020</w:t>
      </w:r>
      <w:r>
        <w:rPr>
          <w:rFonts w:cs="Times New Roman" w:hint="eastAsia"/>
          <w:szCs w:val="21"/>
        </w:rPr>
        <w:t>年</w:t>
      </w:r>
      <w:r w:rsidR="00B73052">
        <w:rPr>
          <w:rFonts w:cs="Times New Roman"/>
          <w:szCs w:val="21"/>
        </w:rPr>
        <w:t>4</w:t>
      </w:r>
      <w:r>
        <w:rPr>
          <w:rFonts w:cs="Times New Roman" w:hint="eastAsia"/>
          <w:szCs w:val="21"/>
        </w:rPr>
        <w:t>月</w:t>
      </w:r>
      <w:r w:rsidR="00B73052">
        <w:rPr>
          <w:rFonts w:cs="Times New Roman" w:hint="eastAsia"/>
          <w:szCs w:val="21"/>
        </w:rPr>
        <w:t>1</w:t>
      </w:r>
      <w:r w:rsidR="00B73052">
        <w:rPr>
          <w:rFonts w:cs="Times New Roman" w:hint="eastAsia"/>
          <w:szCs w:val="21"/>
        </w:rPr>
        <w:t>日正式发布，并于</w:t>
      </w:r>
      <w:r w:rsidR="00B73052">
        <w:rPr>
          <w:rFonts w:cs="Times New Roman" w:hint="eastAsia"/>
          <w:szCs w:val="21"/>
        </w:rPr>
        <w:t>2</w:t>
      </w:r>
      <w:r w:rsidR="00B73052">
        <w:rPr>
          <w:rFonts w:cs="Times New Roman"/>
          <w:szCs w:val="21"/>
        </w:rPr>
        <w:t>020</w:t>
      </w:r>
      <w:r w:rsidR="00B73052">
        <w:rPr>
          <w:rFonts w:cs="Times New Roman" w:hint="eastAsia"/>
          <w:szCs w:val="21"/>
        </w:rPr>
        <w:t>年</w:t>
      </w:r>
      <w:r w:rsidR="00B73052">
        <w:rPr>
          <w:rFonts w:cs="Times New Roman" w:hint="eastAsia"/>
          <w:szCs w:val="21"/>
        </w:rPr>
        <w:t>7</w:t>
      </w:r>
      <w:r w:rsidR="00B73052">
        <w:rPr>
          <w:rFonts w:cs="Times New Roman" w:hint="eastAsia"/>
          <w:szCs w:val="21"/>
        </w:rPr>
        <w:t>月</w:t>
      </w:r>
      <w:r w:rsidR="00B73052">
        <w:rPr>
          <w:rFonts w:cs="Times New Roman"/>
          <w:szCs w:val="21"/>
        </w:rPr>
        <w:t>1</w:t>
      </w:r>
      <w:r w:rsidR="00B73052">
        <w:rPr>
          <w:rFonts w:cs="Times New Roman" w:hint="eastAsia"/>
          <w:szCs w:val="21"/>
        </w:rPr>
        <w:t>日正式施行</w:t>
      </w:r>
      <w:r w:rsidR="00436B55">
        <w:rPr>
          <w:rFonts w:cs="Times New Roman" w:hint="eastAsia"/>
          <w:szCs w:val="21"/>
        </w:rPr>
        <w:t>。</w:t>
      </w:r>
      <w:r w:rsidR="00436B55" w:rsidRPr="00436B55">
        <w:rPr>
          <w:rFonts w:cs="Times New Roman" w:hint="eastAsia"/>
          <w:szCs w:val="21"/>
        </w:rPr>
        <w:t>标准</w:t>
      </w:r>
      <w:r w:rsidR="00B73052">
        <w:rPr>
          <w:rFonts w:cs="Times New Roman" w:hint="eastAsia"/>
          <w:szCs w:val="21"/>
        </w:rPr>
        <w:t>在国家《绿色建筑评价标准》（</w:t>
      </w:r>
      <w:r w:rsidR="00B73052" w:rsidRPr="00B73052">
        <w:rPr>
          <w:rFonts w:cs="Times New Roman"/>
          <w:szCs w:val="21"/>
        </w:rPr>
        <w:t>GB/T50378-2019</w:t>
      </w:r>
      <w:r w:rsidR="00B73052">
        <w:rPr>
          <w:rFonts w:cs="Times New Roman" w:hint="eastAsia"/>
          <w:szCs w:val="21"/>
        </w:rPr>
        <w:t>）</w:t>
      </w:r>
      <w:r w:rsidR="00436B55" w:rsidRPr="00436B55">
        <w:rPr>
          <w:rFonts w:cs="Times New Roman" w:hint="eastAsia"/>
          <w:szCs w:val="21"/>
        </w:rPr>
        <w:t>的</w:t>
      </w:r>
      <w:r w:rsidR="00B73052">
        <w:rPr>
          <w:rFonts w:cs="Times New Roman" w:hint="eastAsia"/>
          <w:szCs w:val="21"/>
        </w:rPr>
        <w:t>基础上，结合重庆地方的气候、地理、人文等特点，进行了进一步细化和深入，标准的</w:t>
      </w:r>
      <w:r w:rsidR="00436B55" w:rsidRPr="00436B55">
        <w:rPr>
          <w:rFonts w:cs="Times New Roman" w:hint="eastAsia"/>
          <w:szCs w:val="21"/>
        </w:rPr>
        <w:t>主要内容</w:t>
      </w:r>
      <w:r w:rsidR="00B73052">
        <w:rPr>
          <w:rFonts w:cs="Times New Roman" w:hint="eastAsia"/>
          <w:szCs w:val="21"/>
        </w:rPr>
        <w:t>包括</w:t>
      </w:r>
      <w:r w:rsidR="00436B55" w:rsidRPr="00436B55">
        <w:rPr>
          <w:rFonts w:cs="Times New Roman" w:hint="eastAsia"/>
          <w:szCs w:val="21"/>
        </w:rPr>
        <w:t>：总则、术语、基本规定、安全耐久、健康舒适、生活便利、资源节约、环境宜居、提高与创新。</w:t>
      </w:r>
      <w:r w:rsidR="00B73052">
        <w:rPr>
          <w:rFonts w:cs="Times New Roman" w:hint="eastAsia"/>
          <w:szCs w:val="21"/>
        </w:rPr>
        <w:t>该标准将作为重庆市绿色建筑评价标识和绿色建筑建设实施的主要技术指引，</w:t>
      </w:r>
      <w:r>
        <w:rPr>
          <w:rFonts w:cs="Times New Roman" w:hint="eastAsia"/>
          <w:szCs w:val="21"/>
        </w:rPr>
        <w:t>为</w:t>
      </w:r>
      <w:r w:rsidR="00436B55" w:rsidRPr="00436B55">
        <w:rPr>
          <w:rFonts w:cs="Times New Roman" w:hint="eastAsia"/>
          <w:szCs w:val="21"/>
        </w:rPr>
        <w:t>更好地</w:t>
      </w:r>
      <w:r w:rsidR="00B73052">
        <w:rPr>
          <w:rFonts w:cs="Times New Roman" w:hint="eastAsia"/>
          <w:szCs w:val="21"/>
        </w:rPr>
        <w:t>组织实施</w:t>
      </w:r>
      <w:r w:rsidR="00436B55">
        <w:rPr>
          <w:rFonts w:cs="Times New Roman" w:hint="eastAsia"/>
          <w:szCs w:val="21"/>
        </w:rPr>
        <w:t>重庆市</w:t>
      </w:r>
      <w:r w:rsidR="00436B55" w:rsidRPr="00436B55">
        <w:rPr>
          <w:rFonts w:cs="Times New Roman" w:hint="eastAsia"/>
          <w:szCs w:val="21"/>
        </w:rPr>
        <w:t>《绿色建筑评价标准》</w:t>
      </w:r>
      <w:r w:rsidR="00B73052">
        <w:rPr>
          <w:rFonts w:cs="Times New Roman" w:hint="eastAsia"/>
          <w:szCs w:val="21"/>
        </w:rPr>
        <w:t>的相关技术要求，进一步明确表示评价的要点</w:t>
      </w:r>
      <w:r w:rsidR="00436B55" w:rsidRPr="00436B55">
        <w:rPr>
          <w:rFonts w:cs="Times New Roman" w:hint="eastAsia"/>
          <w:szCs w:val="21"/>
        </w:rPr>
        <w:t>，</w:t>
      </w:r>
      <w:r w:rsidR="00B73052">
        <w:rPr>
          <w:rFonts w:cs="Times New Roman" w:hint="eastAsia"/>
          <w:szCs w:val="21"/>
        </w:rPr>
        <w:t>重庆市绿色建筑与建筑产业化协会绿色建筑专业委员会</w:t>
      </w:r>
      <w:r w:rsidR="00436B55">
        <w:rPr>
          <w:rFonts w:cs="Times New Roman" w:hint="eastAsia"/>
          <w:szCs w:val="21"/>
        </w:rPr>
        <w:t>组织</w:t>
      </w:r>
      <w:r w:rsidR="00B73052">
        <w:rPr>
          <w:rFonts w:cs="Times New Roman" w:hint="eastAsia"/>
          <w:szCs w:val="21"/>
        </w:rPr>
        <w:t>相关标准编制</w:t>
      </w:r>
      <w:r w:rsidR="00436B55">
        <w:rPr>
          <w:rFonts w:cs="Times New Roman" w:hint="eastAsia"/>
          <w:szCs w:val="21"/>
        </w:rPr>
        <w:t>专家，</w:t>
      </w:r>
      <w:r w:rsidR="00B73052">
        <w:rPr>
          <w:rFonts w:cs="Times New Roman" w:hint="eastAsia"/>
          <w:szCs w:val="21"/>
        </w:rPr>
        <w:t>结合</w:t>
      </w:r>
      <w:r w:rsidR="00436B55">
        <w:rPr>
          <w:rFonts w:cs="Times New Roman" w:hint="eastAsia"/>
          <w:szCs w:val="21"/>
        </w:rPr>
        <w:t>重庆市开展绿色建筑</w:t>
      </w:r>
      <w:r w:rsidR="00B73052">
        <w:rPr>
          <w:rFonts w:cs="Times New Roman" w:hint="eastAsia"/>
          <w:szCs w:val="21"/>
        </w:rPr>
        <w:t>标识</w:t>
      </w:r>
      <w:r w:rsidR="00436B55">
        <w:rPr>
          <w:rFonts w:cs="Times New Roman" w:hint="eastAsia"/>
          <w:szCs w:val="21"/>
        </w:rPr>
        <w:t>评价十年工作的基础上</w:t>
      </w:r>
      <w:bookmarkStart w:id="0" w:name="_GoBack"/>
      <w:bookmarkEnd w:id="0"/>
      <w:r w:rsidR="00436B55">
        <w:rPr>
          <w:rFonts w:cs="Times New Roman" w:hint="eastAsia"/>
          <w:szCs w:val="21"/>
        </w:rPr>
        <w:t>，</w:t>
      </w:r>
      <w:r w:rsidR="00B73052">
        <w:rPr>
          <w:rFonts w:cs="Times New Roman" w:hint="eastAsia"/>
          <w:szCs w:val="21"/>
        </w:rPr>
        <w:t>重新编写了</w:t>
      </w:r>
      <w:r w:rsidR="00436B55">
        <w:rPr>
          <w:rFonts w:cs="Times New Roman" w:hint="eastAsia"/>
          <w:szCs w:val="21"/>
        </w:rPr>
        <w:t>《</w:t>
      </w:r>
      <w:r w:rsidR="00EE2A35" w:rsidRPr="00EE2A35">
        <w:rPr>
          <w:rFonts w:cs="Times New Roman" w:hint="eastAsia"/>
          <w:szCs w:val="21"/>
        </w:rPr>
        <w:t>重庆市绿色建筑评价标准技术细则</w:t>
      </w:r>
      <w:r w:rsidR="00436B55">
        <w:rPr>
          <w:rFonts w:cs="Times New Roman" w:hint="eastAsia"/>
          <w:szCs w:val="21"/>
        </w:rPr>
        <w:t>》</w:t>
      </w:r>
      <w:r w:rsidR="00B73052">
        <w:rPr>
          <w:rFonts w:cs="Times New Roman" w:hint="eastAsia"/>
          <w:szCs w:val="21"/>
        </w:rPr>
        <w:t>（</w:t>
      </w:r>
      <w:r w:rsidR="00B73052">
        <w:rPr>
          <w:rFonts w:cs="Times New Roman" w:hint="eastAsia"/>
          <w:szCs w:val="21"/>
        </w:rPr>
        <w:t>2</w:t>
      </w:r>
      <w:r w:rsidR="00B73052">
        <w:rPr>
          <w:rFonts w:cs="Times New Roman"/>
          <w:szCs w:val="21"/>
        </w:rPr>
        <w:t>020</w:t>
      </w:r>
      <w:r w:rsidR="00B73052">
        <w:rPr>
          <w:rFonts w:cs="Times New Roman" w:hint="eastAsia"/>
          <w:szCs w:val="21"/>
        </w:rPr>
        <w:t>版）</w:t>
      </w:r>
      <w:r w:rsidR="00436B55">
        <w:rPr>
          <w:rFonts w:cs="Times New Roman" w:hint="eastAsia"/>
          <w:szCs w:val="21"/>
        </w:rPr>
        <w:t>。</w:t>
      </w:r>
    </w:p>
    <w:p w14:paraId="543E9A11" w14:textId="37B2E92A" w:rsidR="00FC6FC4" w:rsidRDefault="00436B55" w:rsidP="00436B55">
      <w:pPr>
        <w:ind w:firstLine="420"/>
        <w:rPr>
          <w:rFonts w:cs="Times New Roman"/>
          <w:szCs w:val="21"/>
        </w:rPr>
      </w:pPr>
      <w:r w:rsidRPr="00831A18">
        <w:rPr>
          <w:rFonts w:cs="Times New Roman" w:hint="eastAsia"/>
          <w:szCs w:val="21"/>
        </w:rPr>
        <w:t>本细则的具体内容除标准原有的条文、条文说明、评价方法之外，还包括每一条文的评价要点</w:t>
      </w:r>
      <w:r w:rsidRPr="00962F9A">
        <w:rPr>
          <w:rFonts w:cs="Times New Roman" w:hint="eastAsia"/>
          <w:szCs w:val="21"/>
        </w:rPr>
        <w:t>。</w:t>
      </w:r>
      <w:r w:rsidRPr="0081478A">
        <w:rPr>
          <w:rFonts w:cs="Times New Roman"/>
          <w:szCs w:val="21"/>
        </w:rPr>
        <w:t>本</w:t>
      </w:r>
      <w:r>
        <w:rPr>
          <w:rFonts w:cs="Times New Roman" w:hint="eastAsia"/>
          <w:szCs w:val="21"/>
        </w:rPr>
        <w:t>细则</w:t>
      </w:r>
      <w:r w:rsidRPr="0081478A">
        <w:rPr>
          <w:rFonts w:cs="Times New Roman"/>
          <w:szCs w:val="21"/>
        </w:rPr>
        <w:t>由重庆市住房和城乡建设委员会负责管理，由重庆市绿色建筑与建筑产业化协会绿色建筑专业委员会负责具体技术内容解释。在</w:t>
      </w:r>
      <w:r>
        <w:rPr>
          <w:rFonts w:cs="Times New Roman" w:hint="eastAsia"/>
          <w:szCs w:val="21"/>
        </w:rPr>
        <w:t>本细则</w:t>
      </w:r>
      <w:r w:rsidRPr="0081478A">
        <w:rPr>
          <w:rFonts w:cs="Times New Roman"/>
          <w:szCs w:val="21"/>
        </w:rPr>
        <w:t>的实施、应用过程中，希望各单位注意收集资料，总结经验，并将需要修改、补充的意见和有关资料提交至重庆市绿色建筑与建筑产业化协会绿色建筑专业委员会</w:t>
      </w:r>
      <w:r w:rsidR="00FC6FC4">
        <w:rPr>
          <w:rFonts w:cs="Times New Roman" w:hint="eastAsia"/>
          <w:szCs w:val="21"/>
        </w:rPr>
        <w:t>（</w:t>
      </w:r>
      <w:r w:rsidR="00831A18" w:rsidRPr="00831A18">
        <w:rPr>
          <w:rFonts w:cs="Times New Roman" w:hint="eastAsia"/>
          <w:szCs w:val="21"/>
        </w:rPr>
        <w:t>重庆市渝北区龙溪镇华怡路</w:t>
      </w:r>
      <w:r w:rsidR="00831A18" w:rsidRPr="00831A18">
        <w:rPr>
          <w:rFonts w:cs="Times New Roman" w:hint="eastAsia"/>
          <w:szCs w:val="21"/>
        </w:rPr>
        <w:t>23</w:t>
      </w:r>
      <w:r w:rsidR="00831A18" w:rsidRPr="00831A18">
        <w:rPr>
          <w:rFonts w:cs="Times New Roman" w:hint="eastAsia"/>
          <w:szCs w:val="21"/>
        </w:rPr>
        <w:t>号</w:t>
      </w:r>
      <w:r w:rsidR="00FC6FC4">
        <w:rPr>
          <w:rFonts w:cs="Times New Roman" w:hint="eastAsia"/>
          <w:szCs w:val="21"/>
        </w:rPr>
        <w:t>，</w:t>
      </w:r>
      <w:r w:rsidR="00831A18" w:rsidRPr="00831A18">
        <w:rPr>
          <w:rFonts w:cs="Times New Roman"/>
          <w:szCs w:val="21"/>
        </w:rPr>
        <w:t>023-67614487</w:t>
      </w:r>
      <w:r w:rsidR="00FC6FC4">
        <w:rPr>
          <w:rFonts w:cs="Times New Roman" w:hint="eastAsia"/>
          <w:szCs w:val="21"/>
        </w:rPr>
        <w:t>）</w:t>
      </w:r>
      <w:r w:rsidRPr="0081478A">
        <w:rPr>
          <w:rFonts w:cs="Times New Roman"/>
          <w:szCs w:val="21"/>
        </w:rPr>
        <w:t>，以便今后修订时参考。</w:t>
      </w:r>
    </w:p>
    <w:p w14:paraId="6060AB75" w14:textId="3FBD94CA" w:rsidR="00F23581" w:rsidRPr="0081478A" w:rsidRDefault="00F23581" w:rsidP="00F23581">
      <w:pPr>
        <w:ind w:firstLine="420"/>
        <w:rPr>
          <w:rFonts w:cs="Times New Roman"/>
          <w:szCs w:val="21"/>
        </w:rPr>
      </w:pPr>
      <w:r w:rsidRPr="0081478A">
        <w:rPr>
          <w:rFonts w:cs="Times New Roman"/>
          <w:szCs w:val="21"/>
        </w:rPr>
        <w:t>本</w:t>
      </w:r>
      <w:r w:rsidR="00015DC5">
        <w:rPr>
          <w:rFonts w:cs="Times New Roman" w:hint="eastAsia"/>
          <w:szCs w:val="21"/>
        </w:rPr>
        <w:t>细则</w:t>
      </w:r>
      <w:r w:rsidRPr="0081478A">
        <w:rPr>
          <w:rFonts w:cs="Times New Roman"/>
          <w:szCs w:val="21"/>
        </w:rPr>
        <w:t>主编单位、参编单位、主要起草人和审查专家：</w:t>
      </w:r>
    </w:p>
    <w:p w14:paraId="6A689E98" w14:textId="4F0CBA65" w:rsidR="008C24B0" w:rsidRPr="00530A11" w:rsidRDefault="008C24B0" w:rsidP="008C24B0">
      <w:pPr>
        <w:ind w:firstLine="420"/>
        <w:rPr>
          <w:rFonts w:cs="Times New Roman"/>
          <w:szCs w:val="21"/>
        </w:rPr>
      </w:pPr>
      <w:r w:rsidRPr="00530A11">
        <w:rPr>
          <w:rFonts w:cs="Times New Roman"/>
          <w:szCs w:val="21"/>
        </w:rPr>
        <w:t>主编单位：</w:t>
      </w:r>
      <w:bookmarkStart w:id="1" w:name="_Hlk32400560"/>
      <w:r w:rsidR="00365E83" w:rsidRPr="00530A11">
        <w:rPr>
          <w:rFonts w:cs="Times New Roman"/>
          <w:szCs w:val="21"/>
        </w:rPr>
        <w:t xml:space="preserve"> </w:t>
      </w:r>
    </w:p>
    <w:bookmarkEnd w:id="1"/>
    <w:p w14:paraId="7045675A" w14:textId="293D8FD2" w:rsidR="008C24B0" w:rsidRPr="00530A11" w:rsidRDefault="008C24B0" w:rsidP="008C24B0">
      <w:pPr>
        <w:ind w:firstLine="420"/>
        <w:rPr>
          <w:rFonts w:cs="Times New Roman"/>
          <w:szCs w:val="21"/>
        </w:rPr>
      </w:pPr>
      <w:r w:rsidRPr="00530A11">
        <w:rPr>
          <w:rFonts w:cs="Times New Roman"/>
          <w:szCs w:val="21"/>
        </w:rPr>
        <w:t>参编单位：</w:t>
      </w:r>
      <w:r w:rsidR="00365E83" w:rsidRPr="00530A11">
        <w:rPr>
          <w:rFonts w:cs="Times New Roman"/>
          <w:szCs w:val="21"/>
        </w:rPr>
        <w:t xml:space="preserve"> </w:t>
      </w:r>
    </w:p>
    <w:p w14:paraId="319AEE0B" w14:textId="22105057" w:rsidR="008C24B0" w:rsidRPr="00530A11" w:rsidRDefault="008C24B0" w:rsidP="008C24B0">
      <w:pPr>
        <w:ind w:firstLine="420"/>
        <w:rPr>
          <w:rFonts w:cs="Times New Roman"/>
          <w:szCs w:val="21"/>
        </w:rPr>
      </w:pPr>
      <w:r w:rsidRPr="00530A11">
        <w:rPr>
          <w:rFonts w:cs="Times New Roman"/>
          <w:szCs w:val="21"/>
        </w:rPr>
        <w:t>主要起草人：</w:t>
      </w:r>
      <w:r w:rsidR="00365E83" w:rsidRPr="00530A11">
        <w:rPr>
          <w:rFonts w:cs="Times New Roman"/>
          <w:szCs w:val="21"/>
        </w:rPr>
        <w:t xml:space="preserve"> </w:t>
      </w:r>
    </w:p>
    <w:p w14:paraId="3FEE69A0" w14:textId="77777777" w:rsidR="00365E83" w:rsidRDefault="008C24B0" w:rsidP="008D1808">
      <w:pPr>
        <w:tabs>
          <w:tab w:val="center" w:pos="4363"/>
        </w:tabs>
        <w:ind w:firstLine="420"/>
      </w:pPr>
      <w:r w:rsidRPr="00530A11">
        <w:t>审查专家：</w:t>
      </w:r>
    </w:p>
    <w:p w14:paraId="712FD228" w14:textId="77777777" w:rsidR="00365E83" w:rsidRDefault="00365E83" w:rsidP="008D1808">
      <w:pPr>
        <w:tabs>
          <w:tab w:val="center" w:pos="4363"/>
        </w:tabs>
        <w:ind w:firstLine="420"/>
      </w:pPr>
    </w:p>
    <w:p w14:paraId="0BBD6EBA" w14:textId="77777777" w:rsidR="00365E83" w:rsidRDefault="00365E83" w:rsidP="008D1808">
      <w:pPr>
        <w:tabs>
          <w:tab w:val="center" w:pos="4363"/>
        </w:tabs>
        <w:ind w:firstLine="420"/>
      </w:pPr>
    </w:p>
    <w:p w14:paraId="126741AA" w14:textId="77777777" w:rsidR="00365E83" w:rsidRDefault="00365E83" w:rsidP="008D1808">
      <w:pPr>
        <w:tabs>
          <w:tab w:val="center" w:pos="4363"/>
        </w:tabs>
        <w:ind w:firstLine="420"/>
      </w:pPr>
    </w:p>
    <w:p w14:paraId="76788F35" w14:textId="77777777" w:rsidR="00365E83" w:rsidRDefault="00365E83" w:rsidP="008D1808">
      <w:pPr>
        <w:tabs>
          <w:tab w:val="center" w:pos="4363"/>
        </w:tabs>
        <w:ind w:firstLine="420"/>
      </w:pPr>
    </w:p>
    <w:p w14:paraId="15AA7802" w14:textId="6E3EB37C" w:rsidR="008C24B0" w:rsidRPr="00530A11" w:rsidRDefault="008D1808" w:rsidP="008D1808">
      <w:pPr>
        <w:tabs>
          <w:tab w:val="center" w:pos="4363"/>
        </w:tabs>
        <w:ind w:firstLine="420"/>
        <w:rPr>
          <w:sz w:val="32"/>
          <w:szCs w:val="32"/>
        </w:rPr>
      </w:pPr>
      <w:r>
        <w:tab/>
      </w:r>
    </w:p>
    <w:p w14:paraId="4807F71D" w14:textId="0B9BA154" w:rsidR="00F23581" w:rsidRPr="0081478A" w:rsidRDefault="00F23581">
      <w:pPr>
        <w:widowControl/>
        <w:spacing w:line="240" w:lineRule="auto"/>
        <w:ind w:firstLineChars="0" w:firstLine="0"/>
        <w:jc w:val="left"/>
        <w:rPr>
          <w:rFonts w:cs="Times New Roman"/>
          <w:sz w:val="32"/>
          <w:szCs w:val="32"/>
        </w:rPr>
      </w:pPr>
    </w:p>
    <w:p w14:paraId="749FF2C4" w14:textId="77777777" w:rsidR="00715ABB" w:rsidRPr="0081478A" w:rsidRDefault="005655D3" w:rsidP="00A33B0D">
      <w:pPr>
        <w:ind w:firstLine="480"/>
        <w:jc w:val="center"/>
        <w:rPr>
          <w:rFonts w:cs="Times New Roman"/>
          <w:sz w:val="24"/>
          <w:szCs w:val="24"/>
        </w:rPr>
      </w:pPr>
      <w:r w:rsidRPr="0081478A">
        <w:rPr>
          <w:rFonts w:cs="Times New Roman"/>
          <w:sz w:val="24"/>
          <w:szCs w:val="24"/>
        </w:rPr>
        <w:lastRenderedPageBreak/>
        <w:t>目</w:t>
      </w:r>
      <w:r w:rsidRPr="0081478A">
        <w:rPr>
          <w:rFonts w:cs="Times New Roman"/>
          <w:sz w:val="24"/>
          <w:szCs w:val="24"/>
        </w:rPr>
        <w:t xml:space="preserve">  </w:t>
      </w:r>
      <w:r w:rsidRPr="0081478A">
        <w:rPr>
          <w:rFonts w:cs="Times New Roman"/>
          <w:sz w:val="24"/>
          <w:szCs w:val="24"/>
        </w:rPr>
        <w:t>次</w:t>
      </w:r>
    </w:p>
    <w:p w14:paraId="294162DE" w14:textId="0E2BAA2F" w:rsidR="006C79E9" w:rsidRDefault="00A33B0D">
      <w:pPr>
        <w:pStyle w:val="15"/>
        <w:tabs>
          <w:tab w:val="right" w:leader="dot" w:pos="8296"/>
        </w:tabs>
        <w:ind w:firstLine="420"/>
        <w:rPr>
          <w:rFonts w:asciiTheme="minorHAnsi" w:eastAsiaTheme="minorEastAsia" w:hAnsiTheme="minorHAnsi"/>
          <w:noProof/>
        </w:rPr>
      </w:pPr>
      <w:r w:rsidRPr="0081478A">
        <w:rPr>
          <w:rFonts w:cs="Times New Roman"/>
          <w:szCs w:val="24"/>
        </w:rPr>
        <w:fldChar w:fldCharType="begin"/>
      </w:r>
      <w:r w:rsidRPr="0081478A">
        <w:rPr>
          <w:rFonts w:cs="Times New Roman"/>
          <w:szCs w:val="24"/>
        </w:rPr>
        <w:instrText xml:space="preserve"> TOC \o "1-3" \h \z \u </w:instrText>
      </w:r>
      <w:r w:rsidRPr="0081478A">
        <w:rPr>
          <w:rFonts w:cs="Times New Roman"/>
          <w:szCs w:val="24"/>
        </w:rPr>
        <w:fldChar w:fldCharType="separate"/>
      </w:r>
      <w:hyperlink w:anchor="_Toc35364722" w:history="1">
        <w:r w:rsidR="006C79E9" w:rsidRPr="001A083C">
          <w:rPr>
            <w:rStyle w:val="af"/>
            <w:noProof/>
          </w:rPr>
          <w:t xml:space="preserve">1  </w:t>
        </w:r>
        <w:r w:rsidR="006C79E9" w:rsidRPr="001A083C">
          <w:rPr>
            <w:rStyle w:val="af"/>
            <w:noProof/>
          </w:rPr>
          <w:t>总则</w:t>
        </w:r>
        <w:r w:rsidR="006C79E9">
          <w:rPr>
            <w:noProof/>
            <w:webHidden/>
          </w:rPr>
          <w:tab/>
        </w:r>
        <w:r w:rsidR="006C79E9">
          <w:rPr>
            <w:noProof/>
            <w:webHidden/>
          </w:rPr>
          <w:fldChar w:fldCharType="begin"/>
        </w:r>
        <w:r w:rsidR="006C79E9">
          <w:rPr>
            <w:noProof/>
            <w:webHidden/>
          </w:rPr>
          <w:instrText xml:space="preserve"> PAGEREF _Toc35364722 \h </w:instrText>
        </w:r>
        <w:r w:rsidR="006C79E9">
          <w:rPr>
            <w:noProof/>
            <w:webHidden/>
          </w:rPr>
        </w:r>
        <w:r w:rsidR="006C79E9">
          <w:rPr>
            <w:noProof/>
            <w:webHidden/>
          </w:rPr>
          <w:fldChar w:fldCharType="separate"/>
        </w:r>
        <w:r w:rsidR="00EE52E8">
          <w:rPr>
            <w:noProof/>
            <w:webHidden/>
          </w:rPr>
          <w:t>7</w:t>
        </w:r>
        <w:r w:rsidR="006C79E9">
          <w:rPr>
            <w:noProof/>
            <w:webHidden/>
          </w:rPr>
          <w:fldChar w:fldCharType="end"/>
        </w:r>
      </w:hyperlink>
    </w:p>
    <w:p w14:paraId="4C7AAB13" w14:textId="15DBA9E7" w:rsidR="006C79E9" w:rsidRDefault="00D20A1F">
      <w:pPr>
        <w:pStyle w:val="15"/>
        <w:tabs>
          <w:tab w:val="right" w:leader="dot" w:pos="8296"/>
        </w:tabs>
        <w:ind w:firstLine="420"/>
        <w:rPr>
          <w:rFonts w:asciiTheme="minorHAnsi" w:eastAsiaTheme="minorEastAsia" w:hAnsiTheme="minorHAnsi"/>
          <w:noProof/>
        </w:rPr>
      </w:pPr>
      <w:hyperlink w:anchor="_Toc35364723" w:history="1">
        <w:r w:rsidR="006C79E9" w:rsidRPr="001A083C">
          <w:rPr>
            <w:rStyle w:val="af"/>
            <w:noProof/>
          </w:rPr>
          <w:t xml:space="preserve">2  </w:t>
        </w:r>
        <w:r w:rsidR="006C79E9" w:rsidRPr="001A083C">
          <w:rPr>
            <w:rStyle w:val="af"/>
            <w:noProof/>
          </w:rPr>
          <w:t>术语</w:t>
        </w:r>
        <w:r w:rsidR="006C79E9">
          <w:rPr>
            <w:noProof/>
            <w:webHidden/>
          </w:rPr>
          <w:tab/>
        </w:r>
        <w:r w:rsidR="006C79E9">
          <w:rPr>
            <w:noProof/>
            <w:webHidden/>
          </w:rPr>
          <w:fldChar w:fldCharType="begin"/>
        </w:r>
        <w:r w:rsidR="006C79E9">
          <w:rPr>
            <w:noProof/>
            <w:webHidden/>
          </w:rPr>
          <w:instrText xml:space="preserve"> PAGEREF _Toc35364723 \h </w:instrText>
        </w:r>
        <w:r w:rsidR="006C79E9">
          <w:rPr>
            <w:noProof/>
            <w:webHidden/>
          </w:rPr>
        </w:r>
        <w:r w:rsidR="006C79E9">
          <w:rPr>
            <w:noProof/>
            <w:webHidden/>
          </w:rPr>
          <w:fldChar w:fldCharType="separate"/>
        </w:r>
        <w:r w:rsidR="00EE52E8">
          <w:rPr>
            <w:noProof/>
            <w:webHidden/>
          </w:rPr>
          <w:t>11</w:t>
        </w:r>
        <w:r w:rsidR="006C79E9">
          <w:rPr>
            <w:noProof/>
            <w:webHidden/>
          </w:rPr>
          <w:fldChar w:fldCharType="end"/>
        </w:r>
      </w:hyperlink>
    </w:p>
    <w:p w14:paraId="1901DC3C" w14:textId="6D3036A1" w:rsidR="006C79E9" w:rsidRDefault="00D20A1F">
      <w:pPr>
        <w:pStyle w:val="15"/>
        <w:tabs>
          <w:tab w:val="right" w:leader="dot" w:pos="8296"/>
        </w:tabs>
        <w:ind w:firstLine="420"/>
        <w:rPr>
          <w:rFonts w:asciiTheme="minorHAnsi" w:eastAsiaTheme="minorEastAsia" w:hAnsiTheme="minorHAnsi"/>
          <w:noProof/>
        </w:rPr>
      </w:pPr>
      <w:hyperlink w:anchor="_Toc35364724" w:history="1">
        <w:r w:rsidR="006C79E9" w:rsidRPr="001A083C">
          <w:rPr>
            <w:rStyle w:val="af"/>
            <w:noProof/>
          </w:rPr>
          <w:t xml:space="preserve">3  </w:t>
        </w:r>
        <w:r w:rsidR="006C79E9" w:rsidRPr="001A083C">
          <w:rPr>
            <w:rStyle w:val="af"/>
            <w:noProof/>
          </w:rPr>
          <w:t>基本规定</w:t>
        </w:r>
        <w:r w:rsidR="006C79E9">
          <w:rPr>
            <w:noProof/>
            <w:webHidden/>
          </w:rPr>
          <w:tab/>
        </w:r>
        <w:r w:rsidR="006C79E9">
          <w:rPr>
            <w:noProof/>
            <w:webHidden/>
          </w:rPr>
          <w:fldChar w:fldCharType="begin"/>
        </w:r>
        <w:r w:rsidR="006C79E9">
          <w:rPr>
            <w:noProof/>
            <w:webHidden/>
          </w:rPr>
          <w:instrText xml:space="preserve"> PAGEREF _Toc35364724 \h </w:instrText>
        </w:r>
        <w:r w:rsidR="006C79E9">
          <w:rPr>
            <w:noProof/>
            <w:webHidden/>
          </w:rPr>
        </w:r>
        <w:r w:rsidR="006C79E9">
          <w:rPr>
            <w:noProof/>
            <w:webHidden/>
          </w:rPr>
          <w:fldChar w:fldCharType="separate"/>
        </w:r>
        <w:r w:rsidR="00EE52E8">
          <w:rPr>
            <w:noProof/>
            <w:webHidden/>
          </w:rPr>
          <w:t>12</w:t>
        </w:r>
        <w:r w:rsidR="006C79E9">
          <w:rPr>
            <w:noProof/>
            <w:webHidden/>
          </w:rPr>
          <w:fldChar w:fldCharType="end"/>
        </w:r>
      </w:hyperlink>
    </w:p>
    <w:p w14:paraId="776AA596" w14:textId="146D5CE2" w:rsidR="006C79E9" w:rsidRDefault="00D20A1F">
      <w:pPr>
        <w:pStyle w:val="22"/>
        <w:rPr>
          <w:rFonts w:asciiTheme="minorHAnsi" w:eastAsiaTheme="minorEastAsia" w:hAnsiTheme="minorHAnsi" w:cstheme="minorBidi"/>
        </w:rPr>
      </w:pPr>
      <w:hyperlink w:anchor="_Toc35364725" w:history="1">
        <w:r w:rsidR="006C79E9" w:rsidRPr="001A083C">
          <w:rPr>
            <w:rStyle w:val="af"/>
          </w:rPr>
          <w:t xml:space="preserve">3.1 </w:t>
        </w:r>
        <w:r w:rsidR="006C79E9" w:rsidRPr="001A083C">
          <w:rPr>
            <w:rStyle w:val="af"/>
          </w:rPr>
          <w:t>一般规定</w:t>
        </w:r>
        <w:r w:rsidR="006C79E9">
          <w:rPr>
            <w:webHidden/>
          </w:rPr>
          <w:tab/>
        </w:r>
        <w:r w:rsidR="006C79E9">
          <w:rPr>
            <w:webHidden/>
          </w:rPr>
          <w:fldChar w:fldCharType="begin"/>
        </w:r>
        <w:r w:rsidR="006C79E9">
          <w:rPr>
            <w:webHidden/>
          </w:rPr>
          <w:instrText xml:space="preserve"> PAGEREF _Toc35364725 \h </w:instrText>
        </w:r>
        <w:r w:rsidR="006C79E9">
          <w:rPr>
            <w:webHidden/>
          </w:rPr>
        </w:r>
        <w:r w:rsidR="006C79E9">
          <w:rPr>
            <w:webHidden/>
          </w:rPr>
          <w:fldChar w:fldCharType="separate"/>
        </w:r>
        <w:r w:rsidR="00EE52E8">
          <w:rPr>
            <w:webHidden/>
          </w:rPr>
          <w:t>12</w:t>
        </w:r>
        <w:r w:rsidR="006C79E9">
          <w:rPr>
            <w:webHidden/>
          </w:rPr>
          <w:fldChar w:fldCharType="end"/>
        </w:r>
      </w:hyperlink>
    </w:p>
    <w:p w14:paraId="515F69BF" w14:textId="532E3C77" w:rsidR="006C79E9" w:rsidRDefault="00D20A1F">
      <w:pPr>
        <w:pStyle w:val="22"/>
        <w:rPr>
          <w:rFonts w:asciiTheme="minorHAnsi" w:eastAsiaTheme="minorEastAsia" w:hAnsiTheme="minorHAnsi" w:cstheme="minorBidi"/>
        </w:rPr>
      </w:pPr>
      <w:hyperlink w:anchor="_Toc35364726" w:history="1">
        <w:r w:rsidR="006C79E9" w:rsidRPr="001A083C">
          <w:rPr>
            <w:rStyle w:val="af"/>
          </w:rPr>
          <w:t xml:space="preserve">3.2 </w:t>
        </w:r>
        <w:r w:rsidR="006C79E9" w:rsidRPr="001A083C">
          <w:rPr>
            <w:rStyle w:val="af"/>
          </w:rPr>
          <w:t>评价与等级划分</w:t>
        </w:r>
        <w:r w:rsidR="006C79E9">
          <w:rPr>
            <w:webHidden/>
          </w:rPr>
          <w:tab/>
        </w:r>
        <w:r w:rsidR="006C79E9">
          <w:rPr>
            <w:webHidden/>
          </w:rPr>
          <w:fldChar w:fldCharType="begin"/>
        </w:r>
        <w:r w:rsidR="006C79E9">
          <w:rPr>
            <w:webHidden/>
          </w:rPr>
          <w:instrText xml:space="preserve"> PAGEREF _Toc35364726 \h </w:instrText>
        </w:r>
        <w:r w:rsidR="006C79E9">
          <w:rPr>
            <w:webHidden/>
          </w:rPr>
        </w:r>
        <w:r w:rsidR="006C79E9">
          <w:rPr>
            <w:webHidden/>
          </w:rPr>
          <w:fldChar w:fldCharType="separate"/>
        </w:r>
        <w:r w:rsidR="00EE52E8">
          <w:rPr>
            <w:webHidden/>
          </w:rPr>
          <w:t>16</w:t>
        </w:r>
        <w:r w:rsidR="006C79E9">
          <w:rPr>
            <w:webHidden/>
          </w:rPr>
          <w:fldChar w:fldCharType="end"/>
        </w:r>
      </w:hyperlink>
    </w:p>
    <w:p w14:paraId="5468A0C6" w14:textId="3B74546F" w:rsidR="006C79E9" w:rsidRDefault="00D20A1F">
      <w:pPr>
        <w:pStyle w:val="15"/>
        <w:tabs>
          <w:tab w:val="right" w:leader="dot" w:pos="8296"/>
        </w:tabs>
        <w:ind w:firstLine="420"/>
        <w:rPr>
          <w:rFonts w:asciiTheme="minorHAnsi" w:eastAsiaTheme="minorEastAsia" w:hAnsiTheme="minorHAnsi"/>
          <w:noProof/>
        </w:rPr>
      </w:pPr>
      <w:hyperlink w:anchor="_Toc35364727" w:history="1">
        <w:r w:rsidR="006C79E9" w:rsidRPr="001A083C">
          <w:rPr>
            <w:rStyle w:val="af"/>
            <w:noProof/>
          </w:rPr>
          <w:t xml:space="preserve">4  </w:t>
        </w:r>
        <w:r w:rsidR="006C79E9" w:rsidRPr="001A083C">
          <w:rPr>
            <w:rStyle w:val="af"/>
            <w:noProof/>
          </w:rPr>
          <w:t>安全耐久</w:t>
        </w:r>
        <w:r w:rsidR="006C79E9">
          <w:rPr>
            <w:noProof/>
            <w:webHidden/>
          </w:rPr>
          <w:tab/>
        </w:r>
        <w:r w:rsidR="006C79E9">
          <w:rPr>
            <w:noProof/>
            <w:webHidden/>
          </w:rPr>
          <w:fldChar w:fldCharType="begin"/>
        </w:r>
        <w:r w:rsidR="006C79E9">
          <w:rPr>
            <w:noProof/>
            <w:webHidden/>
          </w:rPr>
          <w:instrText xml:space="preserve"> PAGEREF _Toc35364727 \h </w:instrText>
        </w:r>
        <w:r w:rsidR="006C79E9">
          <w:rPr>
            <w:noProof/>
            <w:webHidden/>
          </w:rPr>
        </w:r>
        <w:r w:rsidR="006C79E9">
          <w:rPr>
            <w:noProof/>
            <w:webHidden/>
          </w:rPr>
          <w:fldChar w:fldCharType="separate"/>
        </w:r>
        <w:r w:rsidR="00EE52E8">
          <w:rPr>
            <w:noProof/>
            <w:webHidden/>
          </w:rPr>
          <w:t>24</w:t>
        </w:r>
        <w:r w:rsidR="006C79E9">
          <w:rPr>
            <w:noProof/>
            <w:webHidden/>
          </w:rPr>
          <w:fldChar w:fldCharType="end"/>
        </w:r>
      </w:hyperlink>
    </w:p>
    <w:p w14:paraId="4CECA458" w14:textId="0E384337" w:rsidR="006C79E9" w:rsidRDefault="00D20A1F">
      <w:pPr>
        <w:pStyle w:val="22"/>
        <w:rPr>
          <w:rFonts w:asciiTheme="minorHAnsi" w:eastAsiaTheme="minorEastAsia" w:hAnsiTheme="minorHAnsi" w:cstheme="minorBidi"/>
        </w:rPr>
      </w:pPr>
      <w:hyperlink w:anchor="_Toc35364728" w:history="1">
        <w:r w:rsidR="006C79E9" w:rsidRPr="001A083C">
          <w:rPr>
            <w:rStyle w:val="af"/>
          </w:rPr>
          <w:t xml:space="preserve">4.1 </w:t>
        </w:r>
        <w:r w:rsidR="006C79E9" w:rsidRPr="001A083C">
          <w:rPr>
            <w:rStyle w:val="af"/>
          </w:rPr>
          <w:t>控制项</w:t>
        </w:r>
        <w:r w:rsidR="006C79E9">
          <w:rPr>
            <w:webHidden/>
          </w:rPr>
          <w:tab/>
        </w:r>
        <w:r w:rsidR="006C79E9">
          <w:rPr>
            <w:webHidden/>
          </w:rPr>
          <w:fldChar w:fldCharType="begin"/>
        </w:r>
        <w:r w:rsidR="006C79E9">
          <w:rPr>
            <w:webHidden/>
          </w:rPr>
          <w:instrText xml:space="preserve"> PAGEREF _Toc35364728 \h </w:instrText>
        </w:r>
        <w:r w:rsidR="006C79E9">
          <w:rPr>
            <w:webHidden/>
          </w:rPr>
        </w:r>
        <w:r w:rsidR="006C79E9">
          <w:rPr>
            <w:webHidden/>
          </w:rPr>
          <w:fldChar w:fldCharType="separate"/>
        </w:r>
        <w:r w:rsidR="00EE52E8">
          <w:rPr>
            <w:webHidden/>
          </w:rPr>
          <w:t>24</w:t>
        </w:r>
        <w:r w:rsidR="006C79E9">
          <w:rPr>
            <w:webHidden/>
          </w:rPr>
          <w:fldChar w:fldCharType="end"/>
        </w:r>
      </w:hyperlink>
    </w:p>
    <w:p w14:paraId="2D69AAB2" w14:textId="3CED1025" w:rsidR="006C79E9" w:rsidRDefault="00D20A1F">
      <w:pPr>
        <w:pStyle w:val="22"/>
        <w:rPr>
          <w:rFonts w:asciiTheme="minorHAnsi" w:eastAsiaTheme="minorEastAsia" w:hAnsiTheme="minorHAnsi" w:cstheme="minorBidi"/>
        </w:rPr>
      </w:pPr>
      <w:hyperlink w:anchor="_Toc35364729" w:history="1">
        <w:r w:rsidR="006C79E9" w:rsidRPr="001A083C">
          <w:rPr>
            <w:rStyle w:val="af"/>
          </w:rPr>
          <w:t xml:space="preserve">4.2 </w:t>
        </w:r>
        <w:r w:rsidR="006C79E9" w:rsidRPr="001A083C">
          <w:rPr>
            <w:rStyle w:val="af"/>
          </w:rPr>
          <w:t>评分项</w:t>
        </w:r>
        <w:r w:rsidR="006C79E9">
          <w:rPr>
            <w:webHidden/>
          </w:rPr>
          <w:tab/>
        </w:r>
        <w:r w:rsidR="006C79E9">
          <w:rPr>
            <w:webHidden/>
          </w:rPr>
          <w:fldChar w:fldCharType="begin"/>
        </w:r>
        <w:r w:rsidR="006C79E9">
          <w:rPr>
            <w:webHidden/>
          </w:rPr>
          <w:instrText xml:space="preserve"> PAGEREF _Toc35364729 \h </w:instrText>
        </w:r>
        <w:r w:rsidR="006C79E9">
          <w:rPr>
            <w:webHidden/>
          </w:rPr>
        </w:r>
        <w:r w:rsidR="006C79E9">
          <w:rPr>
            <w:webHidden/>
          </w:rPr>
          <w:fldChar w:fldCharType="separate"/>
        </w:r>
        <w:r w:rsidR="00EE52E8">
          <w:rPr>
            <w:webHidden/>
          </w:rPr>
          <w:t>34</w:t>
        </w:r>
        <w:r w:rsidR="006C79E9">
          <w:rPr>
            <w:webHidden/>
          </w:rPr>
          <w:fldChar w:fldCharType="end"/>
        </w:r>
      </w:hyperlink>
    </w:p>
    <w:p w14:paraId="49C649A0" w14:textId="745A37FC" w:rsidR="006C79E9" w:rsidRDefault="00D20A1F">
      <w:pPr>
        <w:pStyle w:val="31"/>
        <w:tabs>
          <w:tab w:val="right" w:leader="dot" w:pos="8296"/>
        </w:tabs>
        <w:ind w:firstLine="420"/>
        <w:rPr>
          <w:rFonts w:asciiTheme="minorHAnsi" w:eastAsiaTheme="minorEastAsia" w:hAnsiTheme="minorHAnsi"/>
          <w:noProof/>
        </w:rPr>
      </w:pPr>
      <w:hyperlink w:anchor="_Toc35364730" w:history="1">
        <w:r w:rsidR="006C79E9" w:rsidRPr="001A083C">
          <w:rPr>
            <w:rStyle w:val="af"/>
            <w:noProof/>
          </w:rPr>
          <w:t xml:space="preserve">Ⅰ </w:t>
        </w:r>
        <w:r w:rsidR="006C79E9" w:rsidRPr="001A083C">
          <w:rPr>
            <w:rStyle w:val="af"/>
            <w:noProof/>
          </w:rPr>
          <w:t>安全</w:t>
        </w:r>
        <w:r w:rsidR="006C79E9">
          <w:rPr>
            <w:noProof/>
            <w:webHidden/>
          </w:rPr>
          <w:tab/>
        </w:r>
        <w:r w:rsidR="006C79E9">
          <w:rPr>
            <w:noProof/>
            <w:webHidden/>
          </w:rPr>
          <w:fldChar w:fldCharType="begin"/>
        </w:r>
        <w:r w:rsidR="006C79E9">
          <w:rPr>
            <w:noProof/>
            <w:webHidden/>
          </w:rPr>
          <w:instrText xml:space="preserve"> PAGEREF _Toc35364730 \h </w:instrText>
        </w:r>
        <w:r w:rsidR="006C79E9">
          <w:rPr>
            <w:noProof/>
            <w:webHidden/>
          </w:rPr>
        </w:r>
        <w:r w:rsidR="006C79E9">
          <w:rPr>
            <w:noProof/>
            <w:webHidden/>
          </w:rPr>
          <w:fldChar w:fldCharType="separate"/>
        </w:r>
        <w:r w:rsidR="00EE52E8">
          <w:rPr>
            <w:noProof/>
            <w:webHidden/>
          </w:rPr>
          <w:t>34</w:t>
        </w:r>
        <w:r w:rsidR="006C79E9">
          <w:rPr>
            <w:noProof/>
            <w:webHidden/>
          </w:rPr>
          <w:fldChar w:fldCharType="end"/>
        </w:r>
      </w:hyperlink>
    </w:p>
    <w:p w14:paraId="57036C98" w14:textId="0161BB81" w:rsidR="006C79E9" w:rsidRDefault="00D20A1F">
      <w:pPr>
        <w:pStyle w:val="31"/>
        <w:tabs>
          <w:tab w:val="right" w:leader="dot" w:pos="8296"/>
        </w:tabs>
        <w:ind w:firstLine="420"/>
        <w:rPr>
          <w:rFonts w:asciiTheme="minorHAnsi" w:eastAsiaTheme="minorEastAsia" w:hAnsiTheme="minorHAnsi"/>
          <w:noProof/>
        </w:rPr>
      </w:pPr>
      <w:hyperlink w:anchor="_Toc35364731" w:history="1">
        <w:r w:rsidR="006C79E9" w:rsidRPr="001A083C">
          <w:rPr>
            <w:rStyle w:val="af"/>
            <w:noProof/>
          </w:rPr>
          <w:t xml:space="preserve">Ⅱ </w:t>
        </w:r>
        <w:r w:rsidR="006C79E9" w:rsidRPr="001A083C">
          <w:rPr>
            <w:rStyle w:val="af"/>
            <w:noProof/>
          </w:rPr>
          <w:t>耐久</w:t>
        </w:r>
        <w:r w:rsidR="006C79E9">
          <w:rPr>
            <w:noProof/>
            <w:webHidden/>
          </w:rPr>
          <w:tab/>
        </w:r>
        <w:r w:rsidR="006C79E9">
          <w:rPr>
            <w:noProof/>
            <w:webHidden/>
          </w:rPr>
          <w:fldChar w:fldCharType="begin"/>
        </w:r>
        <w:r w:rsidR="006C79E9">
          <w:rPr>
            <w:noProof/>
            <w:webHidden/>
          </w:rPr>
          <w:instrText xml:space="preserve"> PAGEREF _Toc35364731 \h </w:instrText>
        </w:r>
        <w:r w:rsidR="006C79E9">
          <w:rPr>
            <w:noProof/>
            <w:webHidden/>
          </w:rPr>
        </w:r>
        <w:r w:rsidR="006C79E9">
          <w:rPr>
            <w:noProof/>
            <w:webHidden/>
          </w:rPr>
          <w:fldChar w:fldCharType="separate"/>
        </w:r>
        <w:r w:rsidR="00EE52E8">
          <w:rPr>
            <w:noProof/>
            <w:webHidden/>
          </w:rPr>
          <w:t>40</w:t>
        </w:r>
        <w:r w:rsidR="006C79E9">
          <w:rPr>
            <w:noProof/>
            <w:webHidden/>
          </w:rPr>
          <w:fldChar w:fldCharType="end"/>
        </w:r>
      </w:hyperlink>
    </w:p>
    <w:p w14:paraId="3969EB85" w14:textId="793EB032" w:rsidR="006C79E9" w:rsidRDefault="00D20A1F">
      <w:pPr>
        <w:pStyle w:val="15"/>
        <w:tabs>
          <w:tab w:val="right" w:leader="dot" w:pos="8296"/>
        </w:tabs>
        <w:ind w:firstLine="420"/>
        <w:rPr>
          <w:rFonts w:asciiTheme="minorHAnsi" w:eastAsiaTheme="minorEastAsia" w:hAnsiTheme="minorHAnsi"/>
          <w:noProof/>
        </w:rPr>
      </w:pPr>
      <w:hyperlink w:anchor="_Toc35364732" w:history="1">
        <w:r w:rsidR="006C79E9" w:rsidRPr="001A083C">
          <w:rPr>
            <w:rStyle w:val="af"/>
            <w:noProof/>
          </w:rPr>
          <w:t xml:space="preserve">5  </w:t>
        </w:r>
        <w:r w:rsidR="006C79E9" w:rsidRPr="001A083C">
          <w:rPr>
            <w:rStyle w:val="af"/>
            <w:noProof/>
          </w:rPr>
          <w:t>健康舒适</w:t>
        </w:r>
        <w:r w:rsidR="006C79E9">
          <w:rPr>
            <w:noProof/>
            <w:webHidden/>
          </w:rPr>
          <w:tab/>
        </w:r>
        <w:r w:rsidR="006C79E9">
          <w:rPr>
            <w:noProof/>
            <w:webHidden/>
          </w:rPr>
          <w:fldChar w:fldCharType="begin"/>
        </w:r>
        <w:r w:rsidR="006C79E9">
          <w:rPr>
            <w:noProof/>
            <w:webHidden/>
          </w:rPr>
          <w:instrText xml:space="preserve"> PAGEREF _Toc35364732 \h </w:instrText>
        </w:r>
        <w:r w:rsidR="006C79E9">
          <w:rPr>
            <w:noProof/>
            <w:webHidden/>
          </w:rPr>
        </w:r>
        <w:r w:rsidR="006C79E9">
          <w:rPr>
            <w:noProof/>
            <w:webHidden/>
          </w:rPr>
          <w:fldChar w:fldCharType="separate"/>
        </w:r>
        <w:r w:rsidR="00EE52E8">
          <w:rPr>
            <w:noProof/>
            <w:webHidden/>
          </w:rPr>
          <w:t>47</w:t>
        </w:r>
        <w:r w:rsidR="006C79E9">
          <w:rPr>
            <w:noProof/>
            <w:webHidden/>
          </w:rPr>
          <w:fldChar w:fldCharType="end"/>
        </w:r>
      </w:hyperlink>
    </w:p>
    <w:p w14:paraId="2F7D212A" w14:textId="47C8FE04" w:rsidR="006C79E9" w:rsidRDefault="00D20A1F">
      <w:pPr>
        <w:pStyle w:val="22"/>
        <w:rPr>
          <w:rFonts w:asciiTheme="minorHAnsi" w:eastAsiaTheme="minorEastAsia" w:hAnsiTheme="minorHAnsi" w:cstheme="minorBidi"/>
        </w:rPr>
      </w:pPr>
      <w:hyperlink w:anchor="_Toc35364733" w:history="1">
        <w:r w:rsidR="006C79E9" w:rsidRPr="001A083C">
          <w:rPr>
            <w:rStyle w:val="af"/>
          </w:rPr>
          <w:t xml:space="preserve">5.1 </w:t>
        </w:r>
        <w:r w:rsidR="006C79E9" w:rsidRPr="001A083C">
          <w:rPr>
            <w:rStyle w:val="af"/>
          </w:rPr>
          <w:t>控</w:t>
        </w:r>
        <w:r w:rsidR="006C79E9" w:rsidRPr="001A083C">
          <w:rPr>
            <w:rStyle w:val="af"/>
          </w:rPr>
          <w:t xml:space="preserve"> </w:t>
        </w:r>
        <w:r w:rsidR="006C79E9" w:rsidRPr="001A083C">
          <w:rPr>
            <w:rStyle w:val="af"/>
          </w:rPr>
          <w:t>制</w:t>
        </w:r>
        <w:r w:rsidR="006C79E9" w:rsidRPr="001A083C">
          <w:rPr>
            <w:rStyle w:val="af"/>
          </w:rPr>
          <w:t xml:space="preserve"> </w:t>
        </w:r>
        <w:r w:rsidR="006C79E9" w:rsidRPr="001A083C">
          <w:rPr>
            <w:rStyle w:val="af"/>
          </w:rPr>
          <w:t>项</w:t>
        </w:r>
        <w:r w:rsidR="006C79E9">
          <w:rPr>
            <w:webHidden/>
          </w:rPr>
          <w:tab/>
        </w:r>
        <w:r w:rsidR="006C79E9">
          <w:rPr>
            <w:webHidden/>
          </w:rPr>
          <w:fldChar w:fldCharType="begin"/>
        </w:r>
        <w:r w:rsidR="006C79E9">
          <w:rPr>
            <w:webHidden/>
          </w:rPr>
          <w:instrText xml:space="preserve"> PAGEREF _Toc35364733 \h </w:instrText>
        </w:r>
        <w:r w:rsidR="006C79E9">
          <w:rPr>
            <w:webHidden/>
          </w:rPr>
        </w:r>
        <w:r w:rsidR="006C79E9">
          <w:rPr>
            <w:webHidden/>
          </w:rPr>
          <w:fldChar w:fldCharType="separate"/>
        </w:r>
        <w:r w:rsidR="00EE52E8">
          <w:rPr>
            <w:webHidden/>
          </w:rPr>
          <w:t>47</w:t>
        </w:r>
        <w:r w:rsidR="006C79E9">
          <w:rPr>
            <w:webHidden/>
          </w:rPr>
          <w:fldChar w:fldCharType="end"/>
        </w:r>
      </w:hyperlink>
    </w:p>
    <w:p w14:paraId="6E6E058C" w14:textId="2FEF4918" w:rsidR="006C79E9" w:rsidRDefault="00D20A1F">
      <w:pPr>
        <w:pStyle w:val="22"/>
        <w:rPr>
          <w:rFonts w:asciiTheme="minorHAnsi" w:eastAsiaTheme="minorEastAsia" w:hAnsiTheme="minorHAnsi" w:cstheme="minorBidi"/>
        </w:rPr>
      </w:pPr>
      <w:hyperlink w:anchor="_Toc35364734" w:history="1">
        <w:r w:rsidR="006C79E9" w:rsidRPr="001A083C">
          <w:rPr>
            <w:rStyle w:val="af"/>
          </w:rPr>
          <w:t xml:space="preserve">5.2 </w:t>
        </w:r>
        <w:r w:rsidR="006C79E9" w:rsidRPr="001A083C">
          <w:rPr>
            <w:rStyle w:val="af"/>
          </w:rPr>
          <w:t>评分项</w:t>
        </w:r>
        <w:r w:rsidR="006C79E9">
          <w:rPr>
            <w:webHidden/>
          </w:rPr>
          <w:tab/>
        </w:r>
        <w:r w:rsidR="006C79E9">
          <w:rPr>
            <w:webHidden/>
          </w:rPr>
          <w:fldChar w:fldCharType="begin"/>
        </w:r>
        <w:r w:rsidR="006C79E9">
          <w:rPr>
            <w:webHidden/>
          </w:rPr>
          <w:instrText xml:space="preserve"> PAGEREF _Toc35364734 \h </w:instrText>
        </w:r>
        <w:r w:rsidR="006C79E9">
          <w:rPr>
            <w:webHidden/>
          </w:rPr>
        </w:r>
        <w:r w:rsidR="006C79E9">
          <w:rPr>
            <w:webHidden/>
          </w:rPr>
          <w:fldChar w:fldCharType="separate"/>
        </w:r>
        <w:r w:rsidR="00EE52E8">
          <w:rPr>
            <w:webHidden/>
          </w:rPr>
          <w:t>59</w:t>
        </w:r>
        <w:r w:rsidR="006C79E9">
          <w:rPr>
            <w:webHidden/>
          </w:rPr>
          <w:fldChar w:fldCharType="end"/>
        </w:r>
      </w:hyperlink>
    </w:p>
    <w:p w14:paraId="0DD7BC08" w14:textId="1FB0E9F5" w:rsidR="006C79E9" w:rsidRDefault="00D20A1F">
      <w:pPr>
        <w:pStyle w:val="31"/>
        <w:tabs>
          <w:tab w:val="right" w:leader="dot" w:pos="8296"/>
        </w:tabs>
        <w:ind w:firstLine="420"/>
        <w:rPr>
          <w:rFonts w:asciiTheme="minorHAnsi" w:eastAsiaTheme="minorEastAsia" w:hAnsiTheme="minorHAnsi"/>
          <w:noProof/>
        </w:rPr>
      </w:pPr>
      <w:hyperlink w:anchor="_Toc35364735" w:history="1">
        <w:r w:rsidR="006C79E9" w:rsidRPr="001A083C">
          <w:rPr>
            <w:rStyle w:val="af"/>
            <w:noProof/>
          </w:rPr>
          <w:t xml:space="preserve">I </w:t>
        </w:r>
        <w:r w:rsidR="006C79E9" w:rsidRPr="001A083C">
          <w:rPr>
            <w:rStyle w:val="af"/>
            <w:noProof/>
          </w:rPr>
          <w:t>室内空气品质</w:t>
        </w:r>
        <w:r w:rsidR="006C79E9">
          <w:rPr>
            <w:noProof/>
            <w:webHidden/>
          </w:rPr>
          <w:tab/>
        </w:r>
        <w:r w:rsidR="006C79E9">
          <w:rPr>
            <w:noProof/>
            <w:webHidden/>
          </w:rPr>
          <w:fldChar w:fldCharType="begin"/>
        </w:r>
        <w:r w:rsidR="006C79E9">
          <w:rPr>
            <w:noProof/>
            <w:webHidden/>
          </w:rPr>
          <w:instrText xml:space="preserve"> PAGEREF _Toc35364735 \h </w:instrText>
        </w:r>
        <w:r w:rsidR="006C79E9">
          <w:rPr>
            <w:noProof/>
            <w:webHidden/>
          </w:rPr>
        </w:r>
        <w:r w:rsidR="006C79E9">
          <w:rPr>
            <w:noProof/>
            <w:webHidden/>
          </w:rPr>
          <w:fldChar w:fldCharType="separate"/>
        </w:r>
        <w:r w:rsidR="00EE52E8">
          <w:rPr>
            <w:noProof/>
            <w:webHidden/>
          </w:rPr>
          <w:t>59</w:t>
        </w:r>
        <w:r w:rsidR="006C79E9">
          <w:rPr>
            <w:noProof/>
            <w:webHidden/>
          </w:rPr>
          <w:fldChar w:fldCharType="end"/>
        </w:r>
      </w:hyperlink>
    </w:p>
    <w:p w14:paraId="28552F3D" w14:textId="287B1F2F" w:rsidR="006C79E9" w:rsidRDefault="00D20A1F">
      <w:pPr>
        <w:pStyle w:val="31"/>
        <w:tabs>
          <w:tab w:val="right" w:leader="dot" w:pos="8296"/>
        </w:tabs>
        <w:ind w:firstLine="420"/>
        <w:rPr>
          <w:rFonts w:asciiTheme="minorHAnsi" w:eastAsiaTheme="minorEastAsia" w:hAnsiTheme="minorHAnsi"/>
          <w:noProof/>
        </w:rPr>
      </w:pPr>
      <w:hyperlink w:anchor="_Toc35364736" w:history="1">
        <w:r w:rsidR="006C79E9" w:rsidRPr="001A083C">
          <w:rPr>
            <w:rStyle w:val="af"/>
            <w:noProof/>
          </w:rPr>
          <w:t xml:space="preserve">Ⅱ </w:t>
        </w:r>
        <w:r w:rsidR="006C79E9" w:rsidRPr="001A083C">
          <w:rPr>
            <w:rStyle w:val="af"/>
            <w:noProof/>
          </w:rPr>
          <w:t>水质</w:t>
        </w:r>
        <w:r w:rsidR="006C79E9">
          <w:rPr>
            <w:noProof/>
            <w:webHidden/>
          </w:rPr>
          <w:tab/>
        </w:r>
        <w:r w:rsidR="006C79E9">
          <w:rPr>
            <w:noProof/>
            <w:webHidden/>
          </w:rPr>
          <w:fldChar w:fldCharType="begin"/>
        </w:r>
        <w:r w:rsidR="006C79E9">
          <w:rPr>
            <w:noProof/>
            <w:webHidden/>
          </w:rPr>
          <w:instrText xml:space="preserve"> PAGEREF _Toc35364736 \h </w:instrText>
        </w:r>
        <w:r w:rsidR="006C79E9">
          <w:rPr>
            <w:noProof/>
            <w:webHidden/>
          </w:rPr>
        </w:r>
        <w:r w:rsidR="006C79E9">
          <w:rPr>
            <w:noProof/>
            <w:webHidden/>
          </w:rPr>
          <w:fldChar w:fldCharType="separate"/>
        </w:r>
        <w:r w:rsidR="00EE52E8">
          <w:rPr>
            <w:noProof/>
            <w:webHidden/>
          </w:rPr>
          <w:t>61</w:t>
        </w:r>
        <w:r w:rsidR="006C79E9">
          <w:rPr>
            <w:noProof/>
            <w:webHidden/>
          </w:rPr>
          <w:fldChar w:fldCharType="end"/>
        </w:r>
      </w:hyperlink>
    </w:p>
    <w:p w14:paraId="6701F0B4" w14:textId="306380A3" w:rsidR="006C79E9" w:rsidRDefault="00D20A1F">
      <w:pPr>
        <w:pStyle w:val="31"/>
        <w:tabs>
          <w:tab w:val="right" w:leader="dot" w:pos="8296"/>
        </w:tabs>
        <w:ind w:firstLine="420"/>
        <w:rPr>
          <w:rFonts w:asciiTheme="minorHAnsi" w:eastAsiaTheme="minorEastAsia" w:hAnsiTheme="minorHAnsi"/>
          <w:noProof/>
        </w:rPr>
      </w:pPr>
      <w:hyperlink w:anchor="_Toc35364737" w:history="1">
        <w:r w:rsidR="006C79E9" w:rsidRPr="001A083C">
          <w:rPr>
            <w:rStyle w:val="af"/>
            <w:noProof/>
          </w:rPr>
          <w:t xml:space="preserve">Ⅲ </w:t>
        </w:r>
        <w:r w:rsidR="006C79E9" w:rsidRPr="001A083C">
          <w:rPr>
            <w:rStyle w:val="af"/>
            <w:noProof/>
          </w:rPr>
          <w:t>声环境与光环境</w:t>
        </w:r>
        <w:r w:rsidR="006C79E9">
          <w:rPr>
            <w:noProof/>
            <w:webHidden/>
          </w:rPr>
          <w:tab/>
        </w:r>
        <w:r w:rsidR="006C79E9">
          <w:rPr>
            <w:noProof/>
            <w:webHidden/>
          </w:rPr>
          <w:fldChar w:fldCharType="begin"/>
        </w:r>
        <w:r w:rsidR="006C79E9">
          <w:rPr>
            <w:noProof/>
            <w:webHidden/>
          </w:rPr>
          <w:instrText xml:space="preserve"> PAGEREF _Toc35364737 \h </w:instrText>
        </w:r>
        <w:r w:rsidR="006C79E9">
          <w:rPr>
            <w:noProof/>
            <w:webHidden/>
          </w:rPr>
        </w:r>
        <w:r w:rsidR="006C79E9">
          <w:rPr>
            <w:noProof/>
            <w:webHidden/>
          </w:rPr>
          <w:fldChar w:fldCharType="separate"/>
        </w:r>
        <w:r w:rsidR="00EE52E8">
          <w:rPr>
            <w:noProof/>
            <w:webHidden/>
          </w:rPr>
          <w:t>63</w:t>
        </w:r>
        <w:r w:rsidR="006C79E9">
          <w:rPr>
            <w:noProof/>
            <w:webHidden/>
          </w:rPr>
          <w:fldChar w:fldCharType="end"/>
        </w:r>
      </w:hyperlink>
    </w:p>
    <w:p w14:paraId="507C1669" w14:textId="6FCF6347" w:rsidR="006C79E9" w:rsidRDefault="00D20A1F">
      <w:pPr>
        <w:pStyle w:val="31"/>
        <w:tabs>
          <w:tab w:val="right" w:leader="dot" w:pos="8296"/>
        </w:tabs>
        <w:ind w:firstLine="420"/>
        <w:rPr>
          <w:rFonts w:asciiTheme="minorHAnsi" w:eastAsiaTheme="minorEastAsia" w:hAnsiTheme="minorHAnsi"/>
          <w:noProof/>
        </w:rPr>
      </w:pPr>
      <w:hyperlink w:anchor="_Toc35364738" w:history="1">
        <w:r w:rsidR="006C79E9" w:rsidRPr="001A083C">
          <w:rPr>
            <w:rStyle w:val="af"/>
            <w:noProof/>
          </w:rPr>
          <w:t xml:space="preserve">Ⅳ </w:t>
        </w:r>
        <w:r w:rsidR="006C79E9" w:rsidRPr="001A083C">
          <w:rPr>
            <w:rStyle w:val="af"/>
            <w:noProof/>
          </w:rPr>
          <w:t>室内热湿环境</w:t>
        </w:r>
        <w:r w:rsidR="006C79E9">
          <w:rPr>
            <w:noProof/>
            <w:webHidden/>
          </w:rPr>
          <w:tab/>
        </w:r>
        <w:r w:rsidR="006C79E9">
          <w:rPr>
            <w:noProof/>
            <w:webHidden/>
          </w:rPr>
          <w:fldChar w:fldCharType="begin"/>
        </w:r>
        <w:r w:rsidR="006C79E9">
          <w:rPr>
            <w:noProof/>
            <w:webHidden/>
          </w:rPr>
          <w:instrText xml:space="preserve"> PAGEREF _Toc35364738 \h </w:instrText>
        </w:r>
        <w:r w:rsidR="006C79E9">
          <w:rPr>
            <w:noProof/>
            <w:webHidden/>
          </w:rPr>
        </w:r>
        <w:r w:rsidR="006C79E9">
          <w:rPr>
            <w:noProof/>
            <w:webHidden/>
          </w:rPr>
          <w:fldChar w:fldCharType="separate"/>
        </w:r>
        <w:r w:rsidR="00EE52E8">
          <w:rPr>
            <w:noProof/>
            <w:webHidden/>
          </w:rPr>
          <w:t>67</w:t>
        </w:r>
        <w:r w:rsidR="006C79E9">
          <w:rPr>
            <w:noProof/>
            <w:webHidden/>
          </w:rPr>
          <w:fldChar w:fldCharType="end"/>
        </w:r>
      </w:hyperlink>
    </w:p>
    <w:p w14:paraId="43749F00" w14:textId="36C78751" w:rsidR="006C79E9" w:rsidRDefault="00D20A1F">
      <w:pPr>
        <w:pStyle w:val="31"/>
        <w:tabs>
          <w:tab w:val="right" w:leader="dot" w:pos="8296"/>
        </w:tabs>
        <w:ind w:firstLine="420"/>
        <w:rPr>
          <w:rFonts w:asciiTheme="minorHAnsi" w:eastAsiaTheme="minorEastAsia" w:hAnsiTheme="minorHAnsi"/>
          <w:noProof/>
        </w:rPr>
      </w:pPr>
      <w:hyperlink w:anchor="_Toc35364739" w:history="1">
        <w:r w:rsidR="006C79E9" w:rsidRPr="001A083C">
          <w:rPr>
            <w:rStyle w:val="af"/>
            <w:noProof/>
          </w:rPr>
          <w:t xml:space="preserve">Ⅴ </w:t>
        </w:r>
        <w:r w:rsidR="006C79E9" w:rsidRPr="001A083C">
          <w:rPr>
            <w:rStyle w:val="af"/>
            <w:noProof/>
          </w:rPr>
          <w:t>室内综合环境</w:t>
        </w:r>
        <w:r w:rsidR="006C79E9">
          <w:rPr>
            <w:noProof/>
            <w:webHidden/>
          </w:rPr>
          <w:tab/>
        </w:r>
        <w:r w:rsidR="006C79E9">
          <w:rPr>
            <w:noProof/>
            <w:webHidden/>
          </w:rPr>
          <w:fldChar w:fldCharType="begin"/>
        </w:r>
        <w:r w:rsidR="006C79E9">
          <w:rPr>
            <w:noProof/>
            <w:webHidden/>
          </w:rPr>
          <w:instrText xml:space="preserve"> PAGEREF _Toc35364739 \h </w:instrText>
        </w:r>
        <w:r w:rsidR="006C79E9">
          <w:rPr>
            <w:noProof/>
            <w:webHidden/>
          </w:rPr>
        </w:r>
        <w:r w:rsidR="006C79E9">
          <w:rPr>
            <w:noProof/>
            <w:webHidden/>
          </w:rPr>
          <w:fldChar w:fldCharType="separate"/>
        </w:r>
        <w:r w:rsidR="00EE52E8">
          <w:rPr>
            <w:noProof/>
            <w:webHidden/>
          </w:rPr>
          <w:t>73</w:t>
        </w:r>
        <w:r w:rsidR="006C79E9">
          <w:rPr>
            <w:noProof/>
            <w:webHidden/>
          </w:rPr>
          <w:fldChar w:fldCharType="end"/>
        </w:r>
      </w:hyperlink>
    </w:p>
    <w:p w14:paraId="6C048935" w14:textId="328BA733" w:rsidR="006C79E9" w:rsidRDefault="00D20A1F">
      <w:pPr>
        <w:pStyle w:val="15"/>
        <w:tabs>
          <w:tab w:val="right" w:leader="dot" w:pos="8296"/>
        </w:tabs>
        <w:ind w:firstLine="420"/>
        <w:rPr>
          <w:rFonts w:asciiTheme="minorHAnsi" w:eastAsiaTheme="minorEastAsia" w:hAnsiTheme="minorHAnsi"/>
          <w:noProof/>
        </w:rPr>
      </w:pPr>
      <w:hyperlink w:anchor="_Toc35364740" w:history="1">
        <w:r w:rsidR="006C79E9" w:rsidRPr="001A083C">
          <w:rPr>
            <w:rStyle w:val="af"/>
            <w:noProof/>
          </w:rPr>
          <w:t xml:space="preserve">6  </w:t>
        </w:r>
        <w:r w:rsidR="006C79E9" w:rsidRPr="001A083C">
          <w:rPr>
            <w:rStyle w:val="af"/>
            <w:noProof/>
          </w:rPr>
          <w:t>生活便利</w:t>
        </w:r>
        <w:r w:rsidR="006C79E9">
          <w:rPr>
            <w:noProof/>
            <w:webHidden/>
          </w:rPr>
          <w:tab/>
        </w:r>
        <w:r w:rsidR="006C79E9">
          <w:rPr>
            <w:noProof/>
            <w:webHidden/>
          </w:rPr>
          <w:fldChar w:fldCharType="begin"/>
        </w:r>
        <w:r w:rsidR="006C79E9">
          <w:rPr>
            <w:noProof/>
            <w:webHidden/>
          </w:rPr>
          <w:instrText xml:space="preserve"> PAGEREF _Toc35364740 \h </w:instrText>
        </w:r>
        <w:r w:rsidR="006C79E9">
          <w:rPr>
            <w:noProof/>
            <w:webHidden/>
          </w:rPr>
        </w:r>
        <w:r w:rsidR="006C79E9">
          <w:rPr>
            <w:noProof/>
            <w:webHidden/>
          </w:rPr>
          <w:fldChar w:fldCharType="separate"/>
        </w:r>
        <w:r w:rsidR="00EE52E8">
          <w:rPr>
            <w:noProof/>
            <w:webHidden/>
          </w:rPr>
          <w:t>78</w:t>
        </w:r>
        <w:r w:rsidR="006C79E9">
          <w:rPr>
            <w:noProof/>
            <w:webHidden/>
          </w:rPr>
          <w:fldChar w:fldCharType="end"/>
        </w:r>
      </w:hyperlink>
    </w:p>
    <w:p w14:paraId="051097AA" w14:textId="5CD0683C" w:rsidR="006C79E9" w:rsidRDefault="00D20A1F">
      <w:pPr>
        <w:pStyle w:val="22"/>
        <w:rPr>
          <w:rFonts w:asciiTheme="minorHAnsi" w:eastAsiaTheme="minorEastAsia" w:hAnsiTheme="minorHAnsi" w:cstheme="minorBidi"/>
        </w:rPr>
      </w:pPr>
      <w:hyperlink w:anchor="_Toc35364741" w:history="1">
        <w:r w:rsidR="006C79E9" w:rsidRPr="001A083C">
          <w:rPr>
            <w:rStyle w:val="af"/>
          </w:rPr>
          <w:t xml:space="preserve">6.1 </w:t>
        </w:r>
        <w:r w:rsidR="006C79E9" w:rsidRPr="001A083C">
          <w:rPr>
            <w:rStyle w:val="af"/>
          </w:rPr>
          <w:t>控</w:t>
        </w:r>
        <w:r w:rsidR="006C79E9" w:rsidRPr="001A083C">
          <w:rPr>
            <w:rStyle w:val="af"/>
          </w:rPr>
          <w:t xml:space="preserve"> </w:t>
        </w:r>
        <w:r w:rsidR="006C79E9" w:rsidRPr="001A083C">
          <w:rPr>
            <w:rStyle w:val="af"/>
          </w:rPr>
          <w:t>制</w:t>
        </w:r>
        <w:r w:rsidR="006C79E9" w:rsidRPr="001A083C">
          <w:rPr>
            <w:rStyle w:val="af"/>
          </w:rPr>
          <w:t xml:space="preserve"> </w:t>
        </w:r>
        <w:r w:rsidR="006C79E9" w:rsidRPr="001A083C">
          <w:rPr>
            <w:rStyle w:val="af"/>
          </w:rPr>
          <w:t>项</w:t>
        </w:r>
        <w:r w:rsidR="006C79E9">
          <w:rPr>
            <w:webHidden/>
          </w:rPr>
          <w:tab/>
        </w:r>
        <w:r w:rsidR="006C79E9">
          <w:rPr>
            <w:webHidden/>
          </w:rPr>
          <w:fldChar w:fldCharType="begin"/>
        </w:r>
        <w:r w:rsidR="006C79E9">
          <w:rPr>
            <w:webHidden/>
          </w:rPr>
          <w:instrText xml:space="preserve"> PAGEREF _Toc35364741 \h </w:instrText>
        </w:r>
        <w:r w:rsidR="006C79E9">
          <w:rPr>
            <w:webHidden/>
          </w:rPr>
        </w:r>
        <w:r w:rsidR="006C79E9">
          <w:rPr>
            <w:webHidden/>
          </w:rPr>
          <w:fldChar w:fldCharType="separate"/>
        </w:r>
        <w:r w:rsidR="00EE52E8">
          <w:rPr>
            <w:webHidden/>
          </w:rPr>
          <w:t>78</w:t>
        </w:r>
        <w:r w:rsidR="006C79E9">
          <w:rPr>
            <w:webHidden/>
          </w:rPr>
          <w:fldChar w:fldCharType="end"/>
        </w:r>
      </w:hyperlink>
    </w:p>
    <w:p w14:paraId="68970D54" w14:textId="08C90F74" w:rsidR="006C79E9" w:rsidRDefault="00D20A1F">
      <w:pPr>
        <w:pStyle w:val="22"/>
        <w:rPr>
          <w:rFonts w:asciiTheme="minorHAnsi" w:eastAsiaTheme="minorEastAsia" w:hAnsiTheme="minorHAnsi" w:cstheme="minorBidi"/>
        </w:rPr>
      </w:pPr>
      <w:hyperlink w:anchor="_Toc35364742" w:history="1">
        <w:r w:rsidR="006C79E9" w:rsidRPr="001A083C">
          <w:rPr>
            <w:rStyle w:val="af"/>
          </w:rPr>
          <w:t xml:space="preserve">6.2 </w:t>
        </w:r>
        <w:r w:rsidR="006C79E9" w:rsidRPr="001A083C">
          <w:rPr>
            <w:rStyle w:val="af"/>
          </w:rPr>
          <w:t>评分项</w:t>
        </w:r>
        <w:r w:rsidR="006C79E9">
          <w:rPr>
            <w:webHidden/>
          </w:rPr>
          <w:tab/>
        </w:r>
        <w:r w:rsidR="006C79E9">
          <w:rPr>
            <w:webHidden/>
          </w:rPr>
          <w:fldChar w:fldCharType="begin"/>
        </w:r>
        <w:r w:rsidR="006C79E9">
          <w:rPr>
            <w:webHidden/>
          </w:rPr>
          <w:instrText xml:space="preserve"> PAGEREF _Toc35364742 \h </w:instrText>
        </w:r>
        <w:r w:rsidR="006C79E9">
          <w:rPr>
            <w:webHidden/>
          </w:rPr>
        </w:r>
        <w:r w:rsidR="006C79E9">
          <w:rPr>
            <w:webHidden/>
          </w:rPr>
          <w:fldChar w:fldCharType="separate"/>
        </w:r>
        <w:r w:rsidR="00EE52E8">
          <w:rPr>
            <w:webHidden/>
          </w:rPr>
          <w:t>85</w:t>
        </w:r>
        <w:r w:rsidR="006C79E9">
          <w:rPr>
            <w:webHidden/>
          </w:rPr>
          <w:fldChar w:fldCharType="end"/>
        </w:r>
      </w:hyperlink>
    </w:p>
    <w:p w14:paraId="05E72EAE" w14:textId="73A9E0DC" w:rsidR="006C79E9" w:rsidRDefault="00D20A1F">
      <w:pPr>
        <w:pStyle w:val="31"/>
        <w:tabs>
          <w:tab w:val="right" w:leader="dot" w:pos="8296"/>
        </w:tabs>
        <w:ind w:firstLine="420"/>
        <w:rPr>
          <w:rFonts w:asciiTheme="minorHAnsi" w:eastAsiaTheme="minorEastAsia" w:hAnsiTheme="minorHAnsi"/>
          <w:noProof/>
        </w:rPr>
      </w:pPr>
      <w:hyperlink w:anchor="_Toc35364743" w:history="1">
        <w:r w:rsidR="006C79E9" w:rsidRPr="001A083C">
          <w:rPr>
            <w:rStyle w:val="af"/>
            <w:noProof/>
          </w:rPr>
          <w:t xml:space="preserve">I </w:t>
        </w:r>
        <w:r w:rsidR="006C79E9" w:rsidRPr="001A083C">
          <w:rPr>
            <w:rStyle w:val="af"/>
            <w:noProof/>
          </w:rPr>
          <w:t>出行与无障碍</w:t>
        </w:r>
        <w:r w:rsidR="006C79E9">
          <w:rPr>
            <w:noProof/>
            <w:webHidden/>
          </w:rPr>
          <w:tab/>
        </w:r>
        <w:r w:rsidR="006C79E9">
          <w:rPr>
            <w:noProof/>
            <w:webHidden/>
          </w:rPr>
          <w:fldChar w:fldCharType="begin"/>
        </w:r>
        <w:r w:rsidR="006C79E9">
          <w:rPr>
            <w:noProof/>
            <w:webHidden/>
          </w:rPr>
          <w:instrText xml:space="preserve"> PAGEREF _Toc35364743 \h </w:instrText>
        </w:r>
        <w:r w:rsidR="006C79E9">
          <w:rPr>
            <w:noProof/>
            <w:webHidden/>
          </w:rPr>
        </w:r>
        <w:r w:rsidR="006C79E9">
          <w:rPr>
            <w:noProof/>
            <w:webHidden/>
          </w:rPr>
          <w:fldChar w:fldCharType="separate"/>
        </w:r>
        <w:r w:rsidR="00EE52E8">
          <w:rPr>
            <w:noProof/>
            <w:webHidden/>
          </w:rPr>
          <w:t>85</w:t>
        </w:r>
        <w:r w:rsidR="006C79E9">
          <w:rPr>
            <w:noProof/>
            <w:webHidden/>
          </w:rPr>
          <w:fldChar w:fldCharType="end"/>
        </w:r>
      </w:hyperlink>
    </w:p>
    <w:p w14:paraId="10F6708D" w14:textId="275E607F" w:rsidR="006C79E9" w:rsidRDefault="00D20A1F">
      <w:pPr>
        <w:pStyle w:val="31"/>
        <w:tabs>
          <w:tab w:val="right" w:leader="dot" w:pos="8296"/>
        </w:tabs>
        <w:ind w:firstLine="420"/>
        <w:rPr>
          <w:rFonts w:asciiTheme="minorHAnsi" w:eastAsiaTheme="minorEastAsia" w:hAnsiTheme="minorHAnsi"/>
          <w:noProof/>
        </w:rPr>
      </w:pPr>
      <w:hyperlink w:anchor="_Toc35364744" w:history="1">
        <w:r w:rsidR="006C79E9" w:rsidRPr="001A083C">
          <w:rPr>
            <w:rStyle w:val="af"/>
            <w:noProof/>
          </w:rPr>
          <w:t xml:space="preserve">Ⅱ </w:t>
        </w:r>
        <w:r w:rsidR="006C79E9" w:rsidRPr="001A083C">
          <w:rPr>
            <w:rStyle w:val="af"/>
            <w:noProof/>
          </w:rPr>
          <w:t>服务设施</w:t>
        </w:r>
        <w:r w:rsidR="006C79E9">
          <w:rPr>
            <w:noProof/>
            <w:webHidden/>
          </w:rPr>
          <w:tab/>
        </w:r>
        <w:r w:rsidR="006C79E9">
          <w:rPr>
            <w:noProof/>
            <w:webHidden/>
          </w:rPr>
          <w:fldChar w:fldCharType="begin"/>
        </w:r>
        <w:r w:rsidR="006C79E9">
          <w:rPr>
            <w:noProof/>
            <w:webHidden/>
          </w:rPr>
          <w:instrText xml:space="preserve"> PAGEREF _Toc35364744 \h </w:instrText>
        </w:r>
        <w:r w:rsidR="006C79E9">
          <w:rPr>
            <w:noProof/>
            <w:webHidden/>
          </w:rPr>
        </w:r>
        <w:r w:rsidR="006C79E9">
          <w:rPr>
            <w:noProof/>
            <w:webHidden/>
          </w:rPr>
          <w:fldChar w:fldCharType="separate"/>
        </w:r>
        <w:r w:rsidR="00EE52E8">
          <w:rPr>
            <w:noProof/>
            <w:webHidden/>
          </w:rPr>
          <w:t>87</w:t>
        </w:r>
        <w:r w:rsidR="006C79E9">
          <w:rPr>
            <w:noProof/>
            <w:webHidden/>
          </w:rPr>
          <w:fldChar w:fldCharType="end"/>
        </w:r>
      </w:hyperlink>
    </w:p>
    <w:p w14:paraId="5948928F" w14:textId="63BF6CAD" w:rsidR="006C79E9" w:rsidRDefault="00D20A1F">
      <w:pPr>
        <w:pStyle w:val="31"/>
        <w:tabs>
          <w:tab w:val="right" w:leader="dot" w:pos="8296"/>
        </w:tabs>
        <w:ind w:firstLine="420"/>
        <w:rPr>
          <w:rFonts w:asciiTheme="minorHAnsi" w:eastAsiaTheme="minorEastAsia" w:hAnsiTheme="minorHAnsi"/>
          <w:noProof/>
        </w:rPr>
      </w:pPr>
      <w:hyperlink w:anchor="_Toc35364745" w:history="1">
        <w:r w:rsidR="006C79E9" w:rsidRPr="001A083C">
          <w:rPr>
            <w:rStyle w:val="af"/>
            <w:noProof/>
          </w:rPr>
          <w:t xml:space="preserve">Ⅲ </w:t>
        </w:r>
        <w:r w:rsidR="006C79E9" w:rsidRPr="001A083C">
          <w:rPr>
            <w:rStyle w:val="af"/>
            <w:noProof/>
          </w:rPr>
          <w:t>智慧运行</w:t>
        </w:r>
        <w:r w:rsidR="006C79E9">
          <w:rPr>
            <w:noProof/>
            <w:webHidden/>
          </w:rPr>
          <w:tab/>
        </w:r>
        <w:r w:rsidR="006C79E9">
          <w:rPr>
            <w:noProof/>
            <w:webHidden/>
          </w:rPr>
          <w:fldChar w:fldCharType="begin"/>
        </w:r>
        <w:r w:rsidR="006C79E9">
          <w:rPr>
            <w:noProof/>
            <w:webHidden/>
          </w:rPr>
          <w:instrText xml:space="preserve"> PAGEREF _Toc35364745 \h </w:instrText>
        </w:r>
        <w:r w:rsidR="006C79E9">
          <w:rPr>
            <w:noProof/>
            <w:webHidden/>
          </w:rPr>
        </w:r>
        <w:r w:rsidR="006C79E9">
          <w:rPr>
            <w:noProof/>
            <w:webHidden/>
          </w:rPr>
          <w:fldChar w:fldCharType="separate"/>
        </w:r>
        <w:r w:rsidR="00EE52E8">
          <w:rPr>
            <w:noProof/>
            <w:webHidden/>
          </w:rPr>
          <w:t>92</w:t>
        </w:r>
        <w:r w:rsidR="006C79E9">
          <w:rPr>
            <w:noProof/>
            <w:webHidden/>
          </w:rPr>
          <w:fldChar w:fldCharType="end"/>
        </w:r>
      </w:hyperlink>
    </w:p>
    <w:p w14:paraId="502B60C6" w14:textId="74BF680B" w:rsidR="006C79E9" w:rsidRDefault="00D20A1F">
      <w:pPr>
        <w:pStyle w:val="31"/>
        <w:tabs>
          <w:tab w:val="right" w:leader="dot" w:pos="8296"/>
        </w:tabs>
        <w:ind w:firstLine="420"/>
        <w:rPr>
          <w:rFonts w:asciiTheme="minorHAnsi" w:eastAsiaTheme="minorEastAsia" w:hAnsiTheme="minorHAnsi"/>
          <w:noProof/>
        </w:rPr>
      </w:pPr>
      <w:hyperlink w:anchor="_Toc35364746" w:history="1">
        <w:r w:rsidR="006C79E9" w:rsidRPr="001A083C">
          <w:rPr>
            <w:rStyle w:val="af"/>
            <w:noProof/>
          </w:rPr>
          <w:t xml:space="preserve">Ⅳ </w:t>
        </w:r>
        <w:r w:rsidR="006C79E9" w:rsidRPr="001A083C">
          <w:rPr>
            <w:rStyle w:val="af"/>
            <w:noProof/>
          </w:rPr>
          <w:t>物业管理</w:t>
        </w:r>
        <w:r w:rsidR="006C79E9">
          <w:rPr>
            <w:noProof/>
            <w:webHidden/>
          </w:rPr>
          <w:tab/>
        </w:r>
        <w:r w:rsidR="006C79E9">
          <w:rPr>
            <w:noProof/>
            <w:webHidden/>
          </w:rPr>
          <w:fldChar w:fldCharType="begin"/>
        </w:r>
        <w:r w:rsidR="006C79E9">
          <w:rPr>
            <w:noProof/>
            <w:webHidden/>
          </w:rPr>
          <w:instrText xml:space="preserve"> PAGEREF _Toc35364746 \h </w:instrText>
        </w:r>
        <w:r w:rsidR="006C79E9">
          <w:rPr>
            <w:noProof/>
            <w:webHidden/>
          </w:rPr>
        </w:r>
        <w:r w:rsidR="006C79E9">
          <w:rPr>
            <w:noProof/>
            <w:webHidden/>
          </w:rPr>
          <w:fldChar w:fldCharType="separate"/>
        </w:r>
        <w:r w:rsidR="00EE52E8">
          <w:rPr>
            <w:noProof/>
            <w:webHidden/>
          </w:rPr>
          <w:t>97</w:t>
        </w:r>
        <w:r w:rsidR="006C79E9">
          <w:rPr>
            <w:noProof/>
            <w:webHidden/>
          </w:rPr>
          <w:fldChar w:fldCharType="end"/>
        </w:r>
      </w:hyperlink>
    </w:p>
    <w:p w14:paraId="2B2C6A31" w14:textId="2AEDF0CD" w:rsidR="006C79E9" w:rsidRDefault="00D20A1F">
      <w:pPr>
        <w:pStyle w:val="15"/>
        <w:tabs>
          <w:tab w:val="right" w:leader="dot" w:pos="8296"/>
        </w:tabs>
        <w:ind w:firstLine="420"/>
        <w:rPr>
          <w:rFonts w:asciiTheme="minorHAnsi" w:eastAsiaTheme="minorEastAsia" w:hAnsiTheme="minorHAnsi"/>
          <w:noProof/>
        </w:rPr>
      </w:pPr>
      <w:hyperlink w:anchor="_Toc35364747" w:history="1">
        <w:r w:rsidR="006C79E9" w:rsidRPr="001A083C">
          <w:rPr>
            <w:rStyle w:val="af"/>
            <w:noProof/>
          </w:rPr>
          <w:t xml:space="preserve">7  </w:t>
        </w:r>
        <w:r w:rsidR="006C79E9" w:rsidRPr="001A083C">
          <w:rPr>
            <w:rStyle w:val="af"/>
            <w:noProof/>
          </w:rPr>
          <w:t>资源节约</w:t>
        </w:r>
        <w:r w:rsidR="006C79E9">
          <w:rPr>
            <w:noProof/>
            <w:webHidden/>
          </w:rPr>
          <w:tab/>
        </w:r>
        <w:r w:rsidR="006C79E9">
          <w:rPr>
            <w:noProof/>
            <w:webHidden/>
          </w:rPr>
          <w:fldChar w:fldCharType="begin"/>
        </w:r>
        <w:r w:rsidR="006C79E9">
          <w:rPr>
            <w:noProof/>
            <w:webHidden/>
          </w:rPr>
          <w:instrText xml:space="preserve"> PAGEREF _Toc35364747 \h </w:instrText>
        </w:r>
        <w:r w:rsidR="006C79E9">
          <w:rPr>
            <w:noProof/>
            <w:webHidden/>
          </w:rPr>
        </w:r>
        <w:r w:rsidR="006C79E9">
          <w:rPr>
            <w:noProof/>
            <w:webHidden/>
          </w:rPr>
          <w:fldChar w:fldCharType="separate"/>
        </w:r>
        <w:r w:rsidR="00EE52E8">
          <w:rPr>
            <w:noProof/>
            <w:webHidden/>
          </w:rPr>
          <w:t>104</w:t>
        </w:r>
        <w:r w:rsidR="006C79E9">
          <w:rPr>
            <w:noProof/>
            <w:webHidden/>
          </w:rPr>
          <w:fldChar w:fldCharType="end"/>
        </w:r>
      </w:hyperlink>
    </w:p>
    <w:p w14:paraId="61F2A09B" w14:textId="5D197115" w:rsidR="006C79E9" w:rsidRDefault="00D20A1F">
      <w:pPr>
        <w:pStyle w:val="22"/>
        <w:rPr>
          <w:rFonts w:asciiTheme="minorHAnsi" w:eastAsiaTheme="minorEastAsia" w:hAnsiTheme="minorHAnsi" w:cstheme="minorBidi"/>
        </w:rPr>
      </w:pPr>
      <w:hyperlink w:anchor="_Toc35364748" w:history="1">
        <w:r w:rsidR="006C79E9" w:rsidRPr="001A083C">
          <w:rPr>
            <w:rStyle w:val="af"/>
          </w:rPr>
          <w:t xml:space="preserve">7.1 </w:t>
        </w:r>
        <w:r w:rsidR="006C79E9" w:rsidRPr="001A083C">
          <w:rPr>
            <w:rStyle w:val="af"/>
          </w:rPr>
          <w:t>控制项</w:t>
        </w:r>
        <w:r w:rsidR="006C79E9">
          <w:rPr>
            <w:webHidden/>
          </w:rPr>
          <w:tab/>
        </w:r>
        <w:r w:rsidR="006C79E9">
          <w:rPr>
            <w:webHidden/>
          </w:rPr>
          <w:fldChar w:fldCharType="begin"/>
        </w:r>
        <w:r w:rsidR="006C79E9">
          <w:rPr>
            <w:webHidden/>
          </w:rPr>
          <w:instrText xml:space="preserve"> PAGEREF _Toc35364748 \h </w:instrText>
        </w:r>
        <w:r w:rsidR="006C79E9">
          <w:rPr>
            <w:webHidden/>
          </w:rPr>
        </w:r>
        <w:r w:rsidR="006C79E9">
          <w:rPr>
            <w:webHidden/>
          </w:rPr>
          <w:fldChar w:fldCharType="separate"/>
        </w:r>
        <w:r w:rsidR="00EE52E8">
          <w:rPr>
            <w:webHidden/>
          </w:rPr>
          <w:t>104</w:t>
        </w:r>
        <w:r w:rsidR="006C79E9">
          <w:rPr>
            <w:webHidden/>
          </w:rPr>
          <w:fldChar w:fldCharType="end"/>
        </w:r>
      </w:hyperlink>
    </w:p>
    <w:p w14:paraId="34084D1A" w14:textId="0314C7E7" w:rsidR="006C79E9" w:rsidRDefault="00D20A1F">
      <w:pPr>
        <w:pStyle w:val="22"/>
        <w:rPr>
          <w:rFonts w:asciiTheme="minorHAnsi" w:eastAsiaTheme="minorEastAsia" w:hAnsiTheme="minorHAnsi" w:cstheme="minorBidi"/>
        </w:rPr>
      </w:pPr>
      <w:hyperlink w:anchor="_Toc35364749" w:history="1">
        <w:r w:rsidR="006C79E9" w:rsidRPr="001A083C">
          <w:rPr>
            <w:rStyle w:val="af"/>
          </w:rPr>
          <w:t xml:space="preserve">7.2 </w:t>
        </w:r>
        <w:r w:rsidR="006C79E9" w:rsidRPr="001A083C">
          <w:rPr>
            <w:rStyle w:val="af"/>
          </w:rPr>
          <w:t>评分项</w:t>
        </w:r>
        <w:r w:rsidR="006C79E9">
          <w:rPr>
            <w:webHidden/>
          </w:rPr>
          <w:tab/>
        </w:r>
        <w:r w:rsidR="006C79E9">
          <w:rPr>
            <w:webHidden/>
          </w:rPr>
          <w:fldChar w:fldCharType="begin"/>
        </w:r>
        <w:r w:rsidR="006C79E9">
          <w:rPr>
            <w:webHidden/>
          </w:rPr>
          <w:instrText xml:space="preserve"> PAGEREF _Toc35364749 \h </w:instrText>
        </w:r>
        <w:r w:rsidR="006C79E9">
          <w:rPr>
            <w:webHidden/>
          </w:rPr>
        </w:r>
        <w:r w:rsidR="006C79E9">
          <w:rPr>
            <w:webHidden/>
          </w:rPr>
          <w:fldChar w:fldCharType="separate"/>
        </w:r>
        <w:r w:rsidR="00EE52E8">
          <w:rPr>
            <w:webHidden/>
          </w:rPr>
          <w:t>116</w:t>
        </w:r>
        <w:r w:rsidR="006C79E9">
          <w:rPr>
            <w:webHidden/>
          </w:rPr>
          <w:fldChar w:fldCharType="end"/>
        </w:r>
      </w:hyperlink>
    </w:p>
    <w:p w14:paraId="3D829C69" w14:textId="3E200E43" w:rsidR="006C79E9" w:rsidRDefault="00D20A1F">
      <w:pPr>
        <w:pStyle w:val="31"/>
        <w:tabs>
          <w:tab w:val="right" w:leader="dot" w:pos="8296"/>
        </w:tabs>
        <w:ind w:firstLine="420"/>
        <w:rPr>
          <w:rFonts w:asciiTheme="minorHAnsi" w:eastAsiaTheme="minorEastAsia" w:hAnsiTheme="minorHAnsi"/>
          <w:noProof/>
        </w:rPr>
      </w:pPr>
      <w:hyperlink w:anchor="_Toc35364750" w:history="1">
        <w:r w:rsidR="006C79E9" w:rsidRPr="001A083C">
          <w:rPr>
            <w:rStyle w:val="af"/>
            <w:noProof/>
          </w:rPr>
          <w:t xml:space="preserve">Ⅰ </w:t>
        </w:r>
        <w:r w:rsidR="006C79E9" w:rsidRPr="001A083C">
          <w:rPr>
            <w:rStyle w:val="af"/>
            <w:noProof/>
          </w:rPr>
          <w:t>节地与土地利用</w:t>
        </w:r>
        <w:r w:rsidR="006C79E9">
          <w:rPr>
            <w:noProof/>
            <w:webHidden/>
          </w:rPr>
          <w:tab/>
        </w:r>
        <w:r w:rsidR="006C79E9">
          <w:rPr>
            <w:noProof/>
            <w:webHidden/>
          </w:rPr>
          <w:fldChar w:fldCharType="begin"/>
        </w:r>
        <w:r w:rsidR="006C79E9">
          <w:rPr>
            <w:noProof/>
            <w:webHidden/>
          </w:rPr>
          <w:instrText xml:space="preserve"> PAGEREF _Toc35364750 \h </w:instrText>
        </w:r>
        <w:r w:rsidR="006C79E9">
          <w:rPr>
            <w:noProof/>
            <w:webHidden/>
          </w:rPr>
        </w:r>
        <w:r w:rsidR="006C79E9">
          <w:rPr>
            <w:noProof/>
            <w:webHidden/>
          </w:rPr>
          <w:fldChar w:fldCharType="separate"/>
        </w:r>
        <w:r w:rsidR="00EE52E8">
          <w:rPr>
            <w:noProof/>
            <w:webHidden/>
          </w:rPr>
          <w:t>116</w:t>
        </w:r>
        <w:r w:rsidR="006C79E9">
          <w:rPr>
            <w:noProof/>
            <w:webHidden/>
          </w:rPr>
          <w:fldChar w:fldCharType="end"/>
        </w:r>
      </w:hyperlink>
    </w:p>
    <w:p w14:paraId="56B74A4D" w14:textId="39258642" w:rsidR="006C79E9" w:rsidRDefault="00D20A1F">
      <w:pPr>
        <w:pStyle w:val="31"/>
        <w:tabs>
          <w:tab w:val="right" w:leader="dot" w:pos="8296"/>
        </w:tabs>
        <w:ind w:firstLine="420"/>
        <w:rPr>
          <w:rFonts w:asciiTheme="minorHAnsi" w:eastAsiaTheme="minorEastAsia" w:hAnsiTheme="minorHAnsi"/>
          <w:noProof/>
        </w:rPr>
      </w:pPr>
      <w:hyperlink w:anchor="_Toc35364751" w:history="1">
        <w:r w:rsidR="006C79E9" w:rsidRPr="001A083C">
          <w:rPr>
            <w:rStyle w:val="af"/>
            <w:noProof/>
          </w:rPr>
          <w:t xml:space="preserve">Ⅱ </w:t>
        </w:r>
        <w:r w:rsidR="006C79E9" w:rsidRPr="001A083C">
          <w:rPr>
            <w:rStyle w:val="af"/>
            <w:noProof/>
          </w:rPr>
          <w:t>节能与能源利用</w:t>
        </w:r>
        <w:r w:rsidR="006C79E9">
          <w:rPr>
            <w:noProof/>
            <w:webHidden/>
          </w:rPr>
          <w:tab/>
        </w:r>
        <w:r w:rsidR="006C79E9">
          <w:rPr>
            <w:noProof/>
            <w:webHidden/>
          </w:rPr>
          <w:fldChar w:fldCharType="begin"/>
        </w:r>
        <w:r w:rsidR="006C79E9">
          <w:rPr>
            <w:noProof/>
            <w:webHidden/>
          </w:rPr>
          <w:instrText xml:space="preserve"> PAGEREF _Toc35364751 \h </w:instrText>
        </w:r>
        <w:r w:rsidR="006C79E9">
          <w:rPr>
            <w:noProof/>
            <w:webHidden/>
          </w:rPr>
        </w:r>
        <w:r w:rsidR="006C79E9">
          <w:rPr>
            <w:noProof/>
            <w:webHidden/>
          </w:rPr>
          <w:fldChar w:fldCharType="separate"/>
        </w:r>
        <w:r w:rsidR="00EE52E8">
          <w:rPr>
            <w:noProof/>
            <w:webHidden/>
          </w:rPr>
          <w:t>120</w:t>
        </w:r>
        <w:r w:rsidR="006C79E9">
          <w:rPr>
            <w:noProof/>
            <w:webHidden/>
          </w:rPr>
          <w:fldChar w:fldCharType="end"/>
        </w:r>
      </w:hyperlink>
    </w:p>
    <w:p w14:paraId="50AA43DD" w14:textId="5DC18F87" w:rsidR="006C79E9" w:rsidRDefault="00D20A1F">
      <w:pPr>
        <w:pStyle w:val="31"/>
        <w:tabs>
          <w:tab w:val="right" w:leader="dot" w:pos="8296"/>
        </w:tabs>
        <w:ind w:firstLine="420"/>
        <w:rPr>
          <w:rFonts w:asciiTheme="minorHAnsi" w:eastAsiaTheme="minorEastAsia" w:hAnsiTheme="minorHAnsi"/>
          <w:noProof/>
        </w:rPr>
      </w:pPr>
      <w:hyperlink w:anchor="_Toc35364752" w:history="1">
        <w:r w:rsidR="006C79E9" w:rsidRPr="001A083C">
          <w:rPr>
            <w:rStyle w:val="af"/>
            <w:noProof/>
          </w:rPr>
          <w:t xml:space="preserve">Ⅲ </w:t>
        </w:r>
        <w:r w:rsidR="006C79E9" w:rsidRPr="001A083C">
          <w:rPr>
            <w:rStyle w:val="af"/>
            <w:noProof/>
          </w:rPr>
          <w:t>节水与水资源利用</w:t>
        </w:r>
        <w:r w:rsidR="006C79E9">
          <w:rPr>
            <w:noProof/>
            <w:webHidden/>
          </w:rPr>
          <w:tab/>
        </w:r>
        <w:r w:rsidR="006C79E9">
          <w:rPr>
            <w:noProof/>
            <w:webHidden/>
          </w:rPr>
          <w:fldChar w:fldCharType="begin"/>
        </w:r>
        <w:r w:rsidR="006C79E9">
          <w:rPr>
            <w:noProof/>
            <w:webHidden/>
          </w:rPr>
          <w:instrText xml:space="preserve"> PAGEREF _Toc35364752 \h </w:instrText>
        </w:r>
        <w:r w:rsidR="006C79E9">
          <w:rPr>
            <w:noProof/>
            <w:webHidden/>
          </w:rPr>
        </w:r>
        <w:r w:rsidR="006C79E9">
          <w:rPr>
            <w:noProof/>
            <w:webHidden/>
          </w:rPr>
          <w:fldChar w:fldCharType="separate"/>
        </w:r>
        <w:r w:rsidR="00EE52E8">
          <w:rPr>
            <w:noProof/>
            <w:webHidden/>
          </w:rPr>
          <w:t>139</w:t>
        </w:r>
        <w:r w:rsidR="006C79E9">
          <w:rPr>
            <w:noProof/>
            <w:webHidden/>
          </w:rPr>
          <w:fldChar w:fldCharType="end"/>
        </w:r>
      </w:hyperlink>
    </w:p>
    <w:p w14:paraId="2EFA5199" w14:textId="17F00A26" w:rsidR="006C79E9" w:rsidRDefault="00D20A1F">
      <w:pPr>
        <w:pStyle w:val="31"/>
        <w:tabs>
          <w:tab w:val="right" w:leader="dot" w:pos="8296"/>
        </w:tabs>
        <w:ind w:firstLine="420"/>
        <w:rPr>
          <w:rFonts w:asciiTheme="minorHAnsi" w:eastAsiaTheme="minorEastAsia" w:hAnsiTheme="minorHAnsi"/>
          <w:noProof/>
        </w:rPr>
      </w:pPr>
      <w:hyperlink w:anchor="_Toc35364753" w:history="1">
        <w:r w:rsidR="006C79E9" w:rsidRPr="001A083C">
          <w:rPr>
            <w:rStyle w:val="af"/>
            <w:noProof/>
          </w:rPr>
          <w:t xml:space="preserve">Ⅳ </w:t>
        </w:r>
        <w:r w:rsidR="006C79E9" w:rsidRPr="001A083C">
          <w:rPr>
            <w:rStyle w:val="af"/>
            <w:noProof/>
          </w:rPr>
          <w:t>节材与绿色建材</w:t>
        </w:r>
        <w:r w:rsidR="006C79E9">
          <w:rPr>
            <w:noProof/>
            <w:webHidden/>
          </w:rPr>
          <w:tab/>
        </w:r>
        <w:r w:rsidR="006C79E9">
          <w:rPr>
            <w:noProof/>
            <w:webHidden/>
          </w:rPr>
          <w:fldChar w:fldCharType="begin"/>
        </w:r>
        <w:r w:rsidR="006C79E9">
          <w:rPr>
            <w:noProof/>
            <w:webHidden/>
          </w:rPr>
          <w:instrText xml:space="preserve"> PAGEREF _Toc35364753 \h </w:instrText>
        </w:r>
        <w:r w:rsidR="006C79E9">
          <w:rPr>
            <w:noProof/>
            <w:webHidden/>
          </w:rPr>
        </w:r>
        <w:r w:rsidR="006C79E9">
          <w:rPr>
            <w:noProof/>
            <w:webHidden/>
          </w:rPr>
          <w:fldChar w:fldCharType="separate"/>
        </w:r>
        <w:r w:rsidR="00EE52E8">
          <w:rPr>
            <w:noProof/>
            <w:webHidden/>
          </w:rPr>
          <w:t>144</w:t>
        </w:r>
        <w:r w:rsidR="006C79E9">
          <w:rPr>
            <w:noProof/>
            <w:webHidden/>
          </w:rPr>
          <w:fldChar w:fldCharType="end"/>
        </w:r>
      </w:hyperlink>
    </w:p>
    <w:p w14:paraId="54192C07" w14:textId="280DBF42" w:rsidR="006C79E9" w:rsidRDefault="00D20A1F">
      <w:pPr>
        <w:pStyle w:val="15"/>
        <w:tabs>
          <w:tab w:val="right" w:leader="dot" w:pos="8296"/>
        </w:tabs>
        <w:ind w:firstLine="420"/>
        <w:rPr>
          <w:rFonts w:asciiTheme="minorHAnsi" w:eastAsiaTheme="minorEastAsia" w:hAnsiTheme="minorHAnsi"/>
          <w:noProof/>
        </w:rPr>
      </w:pPr>
      <w:hyperlink w:anchor="_Toc35364754" w:history="1">
        <w:r w:rsidR="006C79E9" w:rsidRPr="001A083C">
          <w:rPr>
            <w:rStyle w:val="af"/>
            <w:noProof/>
          </w:rPr>
          <w:t xml:space="preserve">8  </w:t>
        </w:r>
        <w:r w:rsidR="006C79E9" w:rsidRPr="001A083C">
          <w:rPr>
            <w:rStyle w:val="af"/>
            <w:noProof/>
          </w:rPr>
          <w:t>环境宜居</w:t>
        </w:r>
        <w:r w:rsidR="006C79E9">
          <w:rPr>
            <w:noProof/>
            <w:webHidden/>
          </w:rPr>
          <w:tab/>
        </w:r>
        <w:r w:rsidR="006C79E9">
          <w:rPr>
            <w:noProof/>
            <w:webHidden/>
          </w:rPr>
          <w:fldChar w:fldCharType="begin"/>
        </w:r>
        <w:r w:rsidR="006C79E9">
          <w:rPr>
            <w:noProof/>
            <w:webHidden/>
          </w:rPr>
          <w:instrText xml:space="preserve"> PAGEREF _Toc35364754 \h </w:instrText>
        </w:r>
        <w:r w:rsidR="006C79E9">
          <w:rPr>
            <w:noProof/>
            <w:webHidden/>
          </w:rPr>
        </w:r>
        <w:r w:rsidR="006C79E9">
          <w:rPr>
            <w:noProof/>
            <w:webHidden/>
          </w:rPr>
          <w:fldChar w:fldCharType="separate"/>
        </w:r>
        <w:r w:rsidR="00EE52E8">
          <w:rPr>
            <w:noProof/>
            <w:webHidden/>
          </w:rPr>
          <w:t>151</w:t>
        </w:r>
        <w:r w:rsidR="006C79E9">
          <w:rPr>
            <w:noProof/>
            <w:webHidden/>
          </w:rPr>
          <w:fldChar w:fldCharType="end"/>
        </w:r>
      </w:hyperlink>
    </w:p>
    <w:p w14:paraId="64BAF364" w14:textId="67377E0D" w:rsidR="006C79E9" w:rsidRDefault="00D20A1F">
      <w:pPr>
        <w:pStyle w:val="22"/>
        <w:rPr>
          <w:rFonts w:asciiTheme="minorHAnsi" w:eastAsiaTheme="minorEastAsia" w:hAnsiTheme="minorHAnsi" w:cstheme="minorBidi"/>
        </w:rPr>
      </w:pPr>
      <w:hyperlink w:anchor="_Toc35364755" w:history="1">
        <w:r w:rsidR="006C79E9" w:rsidRPr="001A083C">
          <w:rPr>
            <w:rStyle w:val="af"/>
          </w:rPr>
          <w:t xml:space="preserve">8.1 </w:t>
        </w:r>
        <w:r w:rsidR="006C79E9" w:rsidRPr="001A083C">
          <w:rPr>
            <w:rStyle w:val="af"/>
          </w:rPr>
          <w:t>控制项</w:t>
        </w:r>
        <w:r w:rsidR="006C79E9">
          <w:rPr>
            <w:webHidden/>
          </w:rPr>
          <w:tab/>
        </w:r>
        <w:r w:rsidR="006C79E9">
          <w:rPr>
            <w:webHidden/>
          </w:rPr>
          <w:fldChar w:fldCharType="begin"/>
        </w:r>
        <w:r w:rsidR="006C79E9">
          <w:rPr>
            <w:webHidden/>
          </w:rPr>
          <w:instrText xml:space="preserve"> PAGEREF _Toc35364755 \h </w:instrText>
        </w:r>
        <w:r w:rsidR="006C79E9">
          <w:rPr>
            <w:webHidden/>
          </w:rPr>
        </w:r>
        <w:r w:rsidR="006C79E9">
          <w:rPr>
            <w:webHidden/>
          </w:rPr>
          <w:fldChar w:fldCharType="separate"/>
        </w:r>
        <w:r w:rsidR="00EE52E8">
          <w:rPr>
            <w:webHidden/>
          </w:rPr>
          <w:t>151</w:t>
        </w:r>
        <w:r w:rsidR="006C79E9">
          <w:rPr>
            <w:webHidden/>
          </w:rPr>
          <w:fldChar w:fldCharType="end"/>
        </w:r>
      </w:hyperlink>
    </w:p>
    <w:p w14:paraId="73181DEA" w14:textId="29818C09" w:rsidR="006C79E9" w:rsidRDefault="00D20A1F">
      <w:pPr>
        <w:pStyle w:val="22"/>
        <w:rPr>
          <w:rFonts w:asciiTheme="minorHAnsi" w:eastAsiaTheme="minorEastAsia" w:hAnsiTheme="minorHAnsi" w:cstheme="minorBidi"/>
        </w:rPr>
      </w:pPr>
      <w:hyperlink w:anchor="_Toc35364756" w:history="1">
        <w:r w:rsidR="006C79E9" w:rsidRPr="001A083C">
          <w:rPr>
            <w:rStyle w:val="af"/>
          </w:rPr>
          <w:t xml:space="preserve">8.2 </w:t>
        </w:r>
        <w:r w:rsidR="006C79E9" w:rsidRPr="001A083C">
          <w:rPr>
            <w:rStyle w:val="af"/>
          </w:rPr>
          <w:t>评分项</w:t>
        </w:r>
        <w:r w:rsidR="006C79E9">
          <w:rPr>
            <w:webHidden/>
          </w:rPr>
          <w:tab/>
        </w:r>
        <w:r w:rsidR="006C79E9">
          <w:rPr>
            <w:webHidden/>
          </w:rPr>
          <w:fldChar w:fldCharType="begin"/>
        </w:r>
        <w:r w:rsidR="006C79E9">
          <w:rPr>
            <w:webHidden/>
          </w:rPr>
          <w:instrText xml:space="preserve"> PAGEREF _Toc35364756 \h </w:instrText>
        </w:r>
        <w:r w:rsidR="006C79E9">
          <w:rPr>
            <w:webHidden/>
          </w:rPr>
        </w:r>
        <w:r w:rsidR="006C79E9">
          <w:rPr>
            <w:webHidden/>
          </w:rPr>
          <w:fldChar w:fldCharType="separate"/>
        </w:r>
        <w:r w:rsidR="00EE52E8">
          <w:rPr>
            <w:webHidden/>
          </w:rPr>
          <w:t>161</w:t>
        </w:r>
        <w:r w:rsidR="006C79E9">
          <w:rPr>
            <w:webHidden/>
          </w:rPr>
          <w:fldChar w:fldCharType="end"/>
        </w:r>
      </w:hyperlink>
    </w:p>
    <w:p w14:paraId="7F408AFF" w14:textId="34D6B0C8" w:rsidR="006C79E9" w:rsidRDefault="00D20A1F">
      <w:pPr>
        <w:pStyle w:val="31"/>
        <w:tabs>
          <w:tab w:val="right" w:leader="dot" w:pos="8296"/>
        </w:tabs>
        <w:ind w:firstLine="420"/>
        <w:rPr>
          <w:rFonts w:asciiTheme="minorHAnsi" w:eastAsiaTheme="minorEastAsia" w:hAnsiTheme="minorHAnsi"/>
          <w:noProof/>
        </w:rPr>
      </w:pPr>
      <w:hyperlink w:anchor="_Toc35364757" w:history="1">
        <w:r w:rsidR="006C79E9" w:rsidRPr="001A083C">
          <w:rPr>
            <w:rStyle w:val="af"/>
            <w:noProof/>
          </w:rPr>
          <w:t xml:space="preserve">Ⅰ </w:t>
        </w:r>
        <w:r w:rsidR="006C79E9" w:rsidRPr="001A083C">
          <w:rPr>
            <w:rStyle w:val="af"/>
            <w:noProof/>
          </w:rPr>
          <w:t>场地生态与景观</w:t>
        </w:r>
        <w:r w:rsidR="006C79E9">
          <w:rPr>
            <w:noProof/>
            <w:webHidden/>
          </w:rPr>
          <w:tab/>
        </w:r>
        <w:r w:rsidR="006C79E9">
          <w:rPr>
            <w:noProof/>
            <w:webHidden/>
          </w:rPr>
          <w:fldChar w:fldCharType="begin"/>
        </w:r>
        <w:r w:rsidR="006C79E9">
          <w:rPr>
            <w:noProof/>
            <w:webHidden/>
          </w:rPr>
          <w:instrText xml:space="preserve"> PAGEREF _Toc35364757 \h </w:instrText>
        </w:r>
        <w:r w:rsidR="006C79E9">
          <w:rPr>
            <w:noProof/>
            <w:webHidden/>
          </w:rPr>
        </w:r>
        <w:r w:rsidR="006C79E9">
          <w:rPr>
            <w:noProof/>
            <w:webHidden/>
          </w:rPr>
          <w:fldChar w:fldCharType="separate"/>
        </w:r>
        <w:r w:rsidR="00EE52E8">
          <w:rPr>
            <w:noProof/>
            <w:webHidden/>
          </w:rPr>
          <w:t>161</w:t>
        </w:r>
        <w:r w:rsidR="006C79E9">
          <w:rPr>
            <w:noProof/>
            <w:webHidden/>
          </w:rPr>
          <w:fldChar w:fldCharType="end"/>
        </w:r>
      </w:hyperlink>
    </w:p>
    <w:p w14:paraId="6A21558A" w14:textId="22010C4F" w:rsidR="006C79E9" w:rsidRDefault="00D20A1F">
      <w:pPr>
        <w:pStyle w:val="31"/>
        <w:tabs>
          <w:tab w:val="right" w:leader="dot" w:pos="8296"/>
        </w:tabs>
        <w:ind w:firstLine="420"/>
        <w:rPr>
          <w:rFonts w:asciiTheme="minorHAnsi" w:eastAsiaTheme="minorEastAsia" w:hAnsiTheme="minorHAnsi"/>
          <w:noProof/>
        </w:rPr>
      </w:pPr>
      <w:hyperlink w:anchor="_Toc35364758" w:history="1">
        <w:r w:rsidR="006C79E9" w:rsidRPr="001A083C">
          <w:rPr>
            <w:rStyle w:val="af"/>
            <w:noProof/>
          </w:rPr>
          <w:t xml:space="preserve">Ⅱ </w:t>
        </w:r>
        <w:r w:rsidR="006C79E9" w:rsidRPr="001A083C">
          <w:rPr>
            <w:rStyle w:val="af"/>
            <w:noProof/>
          </w:rPr>
          <w:t>室外物理环境</w:t>
        </w:r>
        <w:r w:rsidR="006C79E9">
          <w:rPr>
            <w:noProof/>
            <w:webHidden/>
          </w:rPr>
          <w:tab/>
        </w:r>
        <w:r w:rsidR="006C79E9">
          <w:rPr>
            <w:noProof/>
            <w:webHidden/>
          </w:rPr>
          <w:fldChar w:fldCharType="begin"/>
        </w:r>
        <w:r w:rsidR="006C79E9">
          <w:rPr>
            <w:noProof/>
            <w:webHidden/>
          </w:rPr>
          <w:instrText xml:space="preserve"> PAGEREF _Toc35364758 \h </w:instrText>
        </w:r>
        <w:r w:rsidR="006C79E9">
          <w:rPr>
            <w:noProof/>
            <w:webHidden/>
          </w:rPr>
        </w:r>
        <w:r w:rsidR="006C79E9">
          <w:rPr>
            <w:noProof/>
            <w:webHidden/>
          </w:rPr>
          <w:fldChar w:fldCharType="separate"/>
        </w:r>
        <w:r w:rsidR="00EE52E8">
          <w:rPr>
            <w:noProof/>
            <w:webHidden/>
          </w:rPr>
          <w:t>169</w:t>
        </w:r>
        <w:r w:rsidR="006C79E9">
          <w:rPr>
            <w:noProof/>
            <w:webHidden/>
          </w:rPr>
          <w:fldChar w:fldCharType="end"/>
        </w:r>
      </w:hyperlink>
    </w:p>
    <w:p w14:paraId="1BDB878C" w14:textId="08836BD8" w:rsidR="006C79E9" w:rsidRDefault="00D20A1F">
      <w:pPr>
        <w:pStyle w:val="15"/>
        <w:tabs>
          <w:tab w:val="right" w:leader="dot" w:pos="8296"/>
        </w:tabs>
        <w:ind w:firstLine="420"/>
        <w:rPr>
          <w:rFonts w:asciiTheme="minorHAnsi" w:eastAsiaTheme="minorEastAsia" w:hAnsiTheme="minorHAnsi"/>
          <w:noProof/>
        </w:rPr>
      </w:pPr>
      <w:hyperlink w:anchor="_Toc35364759" w:history="1">
        <w:r w:rsidR="006C79E9" w:rsidRPr="001A083C">
          <w:rPr>
            <w:rStyle w:val="af"/>
            <w:noProof/>
          </w:rPr>
          <w:t xml:space="preserve">9 </w:t>
        </w:r>
        <w:r w:rsidR="006C79E9" w:rsidRPr="001A083C">
          <w:rPr>
            <w:rStyle w:val="af"/>
            <w:noProof/>
          </w:rPr>
          <w:t>提高与创新</w:t>
        </w:r>
        <w:r w:rsidR="006C79E9">
          <w:rPr>
            <w:noProof/>
            <w:webHidden/>
          </w:rPr>
          <w:tab/>
        </w:r>
        <w:r w:rsidR="006C79E9">
          <w:rPr>
            <w:noProof/>
            <w:webHidden/>
          </w:rPr>
          <w:fldChar w:fldCharType="begin"/>
        </w:r>
        <w:r w:rsidR="006C79E9">
          <w:rPr>
            <w:noProof/>
            <w:webHidden/>
          </w:rPr>
          <w:instrText xml:space="preserve"> PAGEREF _Toc35364759 \h </w:instrText>
        </w:r>
        <w:r w:rsidR="006C79E9">
          <w:rPr>
            <w:noProof/>
            <w:webHidden/>
          </w:rPr>
        </w:r>
        <w:r w:rsidR="006C79E9">
          <w:rPr>
            <w:noProof/>
            <w:webHidden/>
          </w:rPr>
          <w:fldChar w:fldCharType="separate"/>
        </w:r>
        <w:r w:rsidR="00EE52E8">
          <w:rPr>
            <w:noProof/>
            <w:webHidden/>
          </w:rPr>
          <w:t>176</w:t>
        </w:r>
        <w:r w:rsidR="006C79E9">
          <w:rPr>
            <w:noProof/>
            <w:webHidden/>
          </w:rPr>
          <w:fldChar w:fldCharType="end"/>
        </w:r>
      </w:hyperlink>
    </w:p>
    <w:p w14:paraId="4FEBB55D" w14:textId="370A7127" w:rsidR="006C79E9" w:rsidRDefault="00D20A1F">
      <w:pPr>
        <w:pStyle w:val="22"/>
        <w:rPr>
          <w:rFonts w:asciiTheme="minorHAnsi" w:eastAsiaTheme="minorEastAsia" w:hAnsiTheme="minorHAnsi" w:cstheme="minorBidi"/>
        </w:rPr>
      </w:pPr>
      <w:hyperlink w:anchor="_Toc35364760" w:history="1">
        <w:r w:rsidR="006C79E9" w:rsidRPr="001A083C">
          <w:rPr>
            <w:rStyle w:val="af"/>
          </w:rPr>
          <w:t xml:space="preserve">9.1 </w:t>
        </w:r>
        <w:r w:rsidR="006C79E9" w:rsidRPr="001A083C">
          <w:rPr>
            <w:rStyle w:val="af"/>
          </w:rPr>
          <w:t>一般规定</w:t>
        </w:r>
        <w:r w:rsidR="006C79E9">
          <w:rPr>
            <w:webHidden/>
          </w:rPr>
          <w:tab/>
        </w:r>
        <w:r w:rsidR="006C79E9">
          <w:rPr>
            <w:webHidden/>
          </w:rPr>
          <w:fldChar w:fldCharType="begin"/>
        </w:r>
        <w:r w:rsidR="006C79E9">
          <w:rPr>
            <w:webHidden/>
          </w:rPr>
          <w:instrText xml:space="preserve"> PAGEREF _Toc35364760 \h </w:instrText>
        </w:r>
        <w:r w:rsidR="006C79E9">
          <w:rPr>
            <w:webHidden/>
          </w:rPr>
        </w:r>
        <w:r w:rsidR="006C79E9">
          <w:rPr>
            <w:webHidden/>
          </w:rPr>
          <w:fldChar w:fldCharType="separate"/>
        </w:r>
        <w:r w:rsidR="00EE52E8">
          <w:rPr>
            <w:webHidden/>
          </w:rPr>
          <w:t>176</w:t>
        </w:r>
        <w:r w:rsidR="006C79E9">
          <w:rPr>
            <w:webHidden/>
          </w:rPr>
          <w:fldChar w:fldCharType="end"/>
        </w:r>
      </w:hyperlink>
    </w:p>
    <w:p w14:paraId="209990C5" w14:textId="72FA805C" w:rsidR="006C79E9" w:rsidRDefault="00D20A1F">
      <w:pPr>
        <w:pStyle w:val="22"/>
        <w:rPr>
          <w:rFonts w:asciiTheme="minorHAnsi" w:eastAsiaTheme="minorEastAsia" w:hAnsiTheme="minorHAnsi" w:cstheme="minorBidi"/>
        </w:rPr>
      </w:pPr>
      <w:hyperlink w:anchor="_Toc35364761" w:history="1">
        <w:r w:rsidR="006C79E9" w:rsidRPr="001A083C">
          <w:rPr>
            <w:rStyle w:val="af"/>
          </w:rPr>
          <w:t xml:space="preserve">9.2 </w:t>
        </w:r>
        <w:r w:rsidR="006C79E9" w:rsidRPr="001A083C">
          <w:rPr>
            <w:rStyle w:val="af"/>
          </w:rPr>
          <w:t>加分项</w:t>
        </w:r>
        <w:r w:rsidR="006C79E9">
          <w:rPr>
            <w:webHidden/>
          </w:rPr>
          <w:tab/>
        </w:r>
        <w:r w:rsidR="006C79E9">
          <w:rPr>
            <w:webHidden/>
          </w:rPr>
          <w:fldChar w:fldCharType="begin"/>
        </w:r>
        <w:r w:rsidR="006C79E9">
          <w:rPr>
            <w:webHidden/>
          </w:rPr>
          <w:instrText xml:space="preserve"> PAGEREF _Toc35364761 \h </w:instrText>
        </w:r>
        <w:r w:rsidR="006C79E9">
          <w:rPr>
            <w:webHidden/>
          </w:rPr>
        </w:r>
        <w:r w:rsidR="006C79E9">
          <w:rPr>
            <w:webHidden/>
          </w:rPr>
          <w:fldChar w:fldCharType="separate"/>
        </w:r>
        <w:r w:rsidR="00EE52E8">
          <w:rPr>
            <w:webHidden/>
          </w:rPr>
          <w:t>176</w:t>
        </w:r>
        <w:r w:rsidR="006C79E9">
          <w:rPr>
            <w:webHidden/>
          </w:rPr>
          <w:fldChar w:fldCharType="end"/>
        </w:r>
      </w:hyperlink>
    </w:p>
    <w:p w14:paraId="3E53A331" w14:textId="25A20857" w:rsidR="006C79E9" w:rsidRDefault="00D20A1F">
      <w:pPr>
        <w:pStyle w:val="22"/>
        <w:rPr>
          <w:rFonts w:asciiTheme="minorHAnsi" w:eastAsiaTheme="minorEastAsia" w:hAnsiTheme="minorHAnsi" w:cstheme="minorBidi"/>
        </w:rPr>
      </w:pPr>
      <w:hyperlink w:anchor="_Toc35364762" w:history="1">
        <w:r w:rsidR="006C79E9" w:rsidRPr="001A083C">
          <w:rPr>
            <w:rStyle w:val="af"/>
          </w:rPr>
          <w:t>本细则用词说明</w:t>
        </w:r>
        <w:r w:rsidR="006C79E9">
          <w:rPr>
            <w:webHidden/>
          </w:rPr>
          <w:tab/>
        </w:r>
        <w:r w:rsidR="006C79E9">
          <w:rPr>
            <w:webHidden/>
          </w:rPr>
          <w:fldChar w:fldCharType="begin"/>
        </w:r>
        <w:r w:rsidR="006C79E9">
          <w:rPr>
            <w:webHidden/>
          </w:rPr>
          <w:instrText xml:space="preserve"> PAGEREF _Toc35364762 \h </w:instrText>
        </w:r>
        <w:r w:rsidR="006C79E9">
          <w:rPr>
            <w:webHidden/>
          </w:rPr>
        </w:r>
        <w:r w:rsidR="006C79E9">
          <w:rPr>
            <w:webHidden/>
          </w:rPr>
          <w:fldChar w:fldCharType="separate"/>
        </w:r>
        <w:r w:rsidR="00EE52E8">
          <w:rPr>
            <w:webHidden/>
          </w:rPr>
          <w:t>200</w:t>
        </w:r>
        <w:r w:rsidR="006C79E9">
          <w:rPr>
            <w:webHidden/>
          </w:rPr>
          <w:fldChar w:fldCharType="end"/>
        </w:r>
      </w:hyperlink>
    </w:p>
    <w:p w14:paraId="4804EC9C" w14:textId="7FF5FDA0" w:rsidR="00EE52E8" w:rsidRPr="00EE52E8" w:rsidRDefault="00D20A1F" w:rsidP="00EE52E8">
      <w:pPr>
        <w:pStyle w:val="22"/>
      </w:pPr>
      <w:hyperlink w:anchor="_Toc35364763" w:history="1">
        <w:r w:rsidR="006C79E9" w:rsidRPr="001A083C">
          <w:rPr>
            <w:rStyle w:val="af"/>
          </w:rPr>
          <w:t>引用标准名录</w:t>
        </w:r>
        <w:r w:rsidR="006C79E9">
          <w:rPr>
            <w:webHidden/>
          </w:rPr>
          <w:tab/>
        </w:r>
        <w:r w:rsidR="006C79E9">
          <w:rPr>
            <w:webHidden/>
          </w:rPr>
          <w:fldChar w:fldCharType="begin"/>
        </w:r>
        <w:r w:rsidR="006C79E9">
          <w:rPr>
            <w:webHidden/>
          </w:rPr>
          <w:instrText xml:space="preserve"> PAGEREF _Toc35364763 \h </w:instrText>
        </w:r>
        <w:r w:rsidR="006C79E9">
          <w:rPr>
            <w:webHidden/>
          </w:rPr>
        </w:r>
        <w:r w:rsidR="006C79E9">
          <w:rPr>
            <w:webHidden/>
          </w:rPr>
          <w:fldChar w:fldCharType="separate"/>
        </w:r>
        <w:r w:rsidR="00EE52E8">
          <w:rPr>
            <w:webHidden/>
          </w:rPr>
          <w:t>201</w:t>
        </w:r>
        <w:r w:rsidR="006C79E9">
          <w:rPr>
            <w:webHidden/>
          </w:rPr>
          <w:fldChar w:fldCharType="end"/>
        </w:r>
      </w:hyperlink>
    </w:p>
    <w:p w14:paraId="3DCBA15A" w14:textId="3F6EB553" w:rsidR="006C79E9" w:rsidRDefault="00D20A1F">
      <w:pPr>
        <w:pStyle w:val="15"/>
        <w:tabs>
          <w:tab w:val="right" w:leader="dot" w:pos="8296"/>
        </w:tabs>
        <w:ind w:firstLine="420"/>
        <w:rPr>
          <w:rFonts w:asciiTheme="minorHAnsi" w:eastAsiaTheme="minorEastAsia" w:hAnsiTheme="minorHAnsi"/>
          <w:noProof/>
        </w:rPr>
      </w:pPr>
      <w:hyperlink w:anchor="_Toc35364764" w:history="1">
        <w:r w:rsidR="006C79E9" w:rsidRPr="001A083C">
          <w:rPr>
            <w:rStyle w:val="af"/>
            <w:noProof/>
          </w:rPr>
          <w:t>附录</w:t>
        </w:r>
        <w:r w:rsidR="006C79E9">
          <w:rPr>
            <w:noProof/>
            <w:webHidden/>
          </w:rPr>
          <w:tab/>
        </w:r>
        <w:r w:rsidR="006C79E9">
          <w:rPr>
            <w:noProof/>
            <w:webHidden/>
          </w:rPr>
          <w:fldChar w:fldCharType="begin"/>
        </w:r>
        <w:r w:rsidR="006C79E9">
          <w:rPr>
            <w:noProof/>
            <w:webHidden/>
          </w:rPr>
          <w:instrText xml:space="preserve"> PAGEREF _Toc35364764 \h </w:instrText>
        </w:r>
        <w:r w:rsidR="006C79E9">
          <w:rPr>
            <w:noProof/>
            <w:webHidden/>
          </w:rPr>
        </w:r>
        <w:r w:rsidR="006C79E9">
          <w:rPr>
            <w:noProof/>
            <w:webHidden/>
          </w:rPr>
          <w:fldChar w:fldCharType="separate"/>
        </w:r>
        <w:r w:rsidR="00EE52E8">
          <w:rPr>
            <w:noProof/>
            <w:webHidden/>
          </w:rPr>
          <w:t>223</w:t>
        </w:r>
        <w:r w:rsidR="006C79E9">
          <w:rPr>
            <w:noProof/>
            <w:webHidden/>
          </w:rPr>
          <w:fldChar w:fldCharType="end"/>
        </w:r>
      </w:hyperlink>
    </w:p>
    <w:p w14:paraId="41DDDEAB" w14:textId="237E9E4D" w:rsidR="006C79E9" w:rsidRDefault="006C79E9">
      <w:pPr>
        <w:pStyle w:val="31"/>
        <w:tabs>
          <w:tab w:val="right" w:leader="dot" w:pos="8296"/>
        </w:tabs>
        <w:ind w:firstLine="420"/>
        <w:rPr>
          <w:rFonts w:asciiTheme="minorHAnsi" w:eastAsiaTheme="minorEastAsia" w:hAnsiTheme="minorHAnsi"/>
          <w:noProof/>
        </w:rPr>
      </w:pPr>
    </w:p>
    <w:p w14:paraId="5F0541CE" w14:textId="4B8BAB9D" w:rsidR="006C79E9" w:rsidRDefault="006C79E9">
      <w:pPr>
        <w:pStyle w:val="31"/>
        <w:tabs>
          <w:tab w:val="right" w:leader="dot" w:pos="8296"/>
        </w:tabs>
        <w:ind w:firstLine="420"/>
        <w:rPr>
          <w:rFonts w:asciiTheme="minorHAnsi" w:eastAsiaTheme="minorEastAsia" w:hAnsiTheme="minorHAnsi"/>
          <w:noProof/>
        </w:rPr>
      </w:pPr>
    </w:p>
    <w:p w14:paraId="1394C39F" w14:textId="42BB9A1E" w:rsidR="00715ABB" w:rsidRPr="0081478A" w:rsidRDefault="00A33B0D">
      <w:pPr>
        <w:snapToGrid w:val="0"/>
        <w:ind w:firstLine="420"/>
        <w:jc w:val="left"/>
        <w:rPr>
          <w:rFonts w:cs="Times New Roman"/>
          <w:szCs w:val="24"/>
        </w:rPr>
      </w:pPr>
      <w:r w:rsidRPr="0081478A">
        <w:rPr>
          <w:rFonts w:cs="Times New Roman"/>
          <w:szCs w:val="24"/>
        </w:rPr>
        <w:fldChar w:fldCharType="end"/>
      </w:r>
    </w:p>
    <w:p w14:paraId="4D215FA9" w14:textId="77777777" w:rsidR="00401E6E" w:rsidRPr="0081478A" w:rsidRDefault="00401E6E">
      <w:pPr>
        <w:widowControl/>
        <w:spacing w:line="240" w:lineRule="auto"/>
        <w:ind w:firstLineChars="0" w:firstLine="0"/>
        <w:jc w:val="left"/>
        <w:rPr>
          <w:rFonts w:cs="Times New Roman"/>
          <w:b/>
          <w:bCs/>
          <w:kern w:val="44"/>
          <w:sz w:val="44"/>
          <w:szCs w:val="44"/>
        </w:rPr>
      </w:pPr>
      <w:bookmarkStart w:id="2" w:name="_Toc17444257"/>
      <w:bookmarkStart w:id="3" w:name="_Toc22221555"/>
    </w:p>
    <w:p w14:paraId="145FB961" w14:textId="77777777" w:rsidR="00401E6E" w:rsidRPr="0081478A" w:rsidRDefault="00401E6E">
      <w:pPr>
        <w:widowControl/>
        <w:spacing w:line="240" w:lineRule="auto"/>
        <w:ind w:firstLineChars="0" w:firstLine="0"/>
        <w:jc w:val="left"/>
        <w:rPr>
          <w:rFonts w:cs="Times New Roman"/>
          <w:b/>
          <w:bCs/>
          <w:kern w:val="44"/>
          <w:sz w:val="44"/>
          <w:szCs w:val="44"/>
        </w:rPr>
      </w:pPr>
    </w:p>
    <w:p w14:paraId="37576FB1" w14:textId="77777777" w:rsidR="00F23581" w:rsidRPr="0081478A" w:rsidRDefault="00F23581">
      <w:pPr>
        <w:widowControl/>
        <w:spacing w:line="240" w:lineRule="auto"/>
        <w:ind w:firstLineChars="0" w:firstLine="0"/>
        <w:jc w:val="left"/>
        <w:rPr>
          <w:rFonts w:cs="Times New Roman"/>
          <w:b/>
          <w:bCs/>
          <w:kern w:val="44"/>
          <w:sz w:val="44"/>
          <w:szCs w:val="44"/>
        </w:rPr>
      </w:pPr>
      <w:r w:rsidRPr="0081478A">
        <w:rPr>
          <w:rFonts w:cs="Times New Roman"/>
          <w:b/>
          <w:bCs/>
          <w:kern w:val="44"/>
          <w:sz w:val="44"/>
          <w:szCs w:val="44"/>
        </w:rPr>
        <w:br w:type="page"/>
      </w:r>
    </w:p>
    <w:p w14:paraId="3064AEA5" w14:textId="77777777" w:rsidR="00F23581" w:rsidRPr="0081478A" w:rsidRDefault="00F23581" w:rsidP="00A33B0D">
      <w:pPr>
        <w:ind w:firstLine="480"/>
        <w:jc w:val="center"/>
        <w:rPr>
          <w:rFonts w:cs="Times New Roman"/>
          <w:sz w:val="24"/>
          <w:szCs w:val="24"/>
        </w:rPr>
      </w:pPr>
      <w:bookmarkStart w:id="4" w:name="_Toc497425625"/>
      <w:bookmarkStart w:id="5" w:name="_Toc497425738"/>
      <w:r w:rsidRPr="0081478A">
        <w:rPr>
          <w:rFonts w:cs="Times New Roman"/>
          <w:sz w:val="24"/>
          <w:szCs w:val="24"/>
        </w:rPr>
        <w:lastRenderedPageBreak/>
        <w:t>Contents</w:t>
      </w:r>
      <w:bookmarkEnd w:id="4"/>
      <w:bookmarkEnd w:id="5"/>
    </w:p>
    <w:p w14:paraId="218CC583" w14:textId="2B352B89" w:rsidR="002C02E3" w:rsidRPr="0081478A" w:rsidRDefault="002C02E3" w:rsidP="002C02E3">
      <w:pPr>
        <w:pStyle w:val="15"/>
        <w:tabs>
          <w:tab w:val="right" w:leader="dot" w:pos="8296"/>
        </w:tabs>
        <w:ind w:firstLine="420"/>
        <w:rPr>
          <w:rFonts w:eastAsiaTheme="minorEastAsia" w:cs="Times New Roman"/>
          <w:noProof/>
        </w:rPr>
      </w:pPr>
      <w:r w:rsidRPr="0081478A">
        <w:rPr>
          <w:rFonts w:cs="Times New Roman"/>
          <w:szCs w:val="24"/>
        </w:rPr>
        <w:fldChar w:fldCharType="begin"/>
      </w:r>
      <w:r w:rsidRPr="0081478A">
        <w:rPr>
          <w:rFonts w:cs="Times New Roman"/>
          <w:szCs w:val="24"/>
        </w:rPr>
        <w:instrText xml:space="preserve"> TOC \o "1-3" \h \z \u </w:instrText>
      </w:r>
      <w:r w:rsidRPr="0081478A">
        <w:rPr>
          <w:rFonts w:cs="Times New Roman"/>
          <w:szCs w:val="24"/>
        </w:rPr>
        <w:fldChar w:fldCharType="separate"/>
      </w:r>
      <w:hyperlink w:anchor="_Toc22234335" w:history="1">
        <w:r w:rsidRPr="0081478A">
          <w:rPr>
            <w:rStyle w:val="af"/>
            <w:rFonts w:cs="Times New Roman"/>
            <w:noProof/>
            <w:color w:val="auto"/>
          </w:rPr>
          <w:t>1  General provisions</w:t>
        </w:r>
        <w:r w:rsidRPr="0081478A">
          <w:rPr>
            <w:rFonts w:cs="Times New Roman"/>
            <w:noProof/>
            <w:webHidden/>
          </w:rPr>
          <w:tab/>
        </w:r>
        <w:r w:rsidR="00E36489">
          <w:rPr>
            <w:rFonts w:cs="Times New Roman"/>
            <w:noProof/>
            <w:webHidden/>
          </w:rPr>
          <w:t>6</w:t>
        </w:r>
      </w:hyperlink>
    </w:p>
    <w:p w14:paraId="3081F6B3" w14:textId="46DA5518" w:rsidR="002C02E3" w:rsidRPr="0081478A" w:rsidRDefault="00D20A1F" w:rsidP="002C02E3">
      <w:pPr>
        <w:pStyle w:val="15"/>
        <w:tabs>
          <w:tab w:val="right" w:leader="dot" w:pos="8296"/>
        </w:tabs>
        <w:ind w:firstLine="420"/>
        <w:rPr>
          <w:rFonts w:eastAsiaTheme="minorEastAsia" w:cs="Times New Roman"/>
          <w:noProof/>
        </w:rPr>
      </w:pPr>
      <w:hyperlink w:anchor="_Toc22234336" w:history="1">
        <w:r w:rsidR="002C02E3" w:rsidRPr="0081478A">
          <w:rPr>
            <w:rStyle w:val="af"/>
            <w:rFonts w:cs="Times New Roman"/>
            <w:noProof/>
            <w:color w:val="auto"/>
          </w:rPr>
          <w:t>2  Terms</w:t>
        </w:r>
        <w:r w:rsidR="002C02E3" w:rsidRPr="0081478A">
          <w:rPr>
            <w:rFonts w:cs="Times New Roman"/>
            <w:noProof/>
            <w:webHidden/>
          </w:rPr>
          <w:tab/>
        </w:r>
        <w:r w:rsidR="00E36489">
          <w:rPr>
            <w:rFonts w:cs="Times New Roman"/>
            <w:noProof/>
            <w:webHidden/>
          </w:rPr>
          <w:t>10</w:t>
        </w:r>
      </w:hyperlink>
    </w:p>
    <w:p w14:paraId="04E20F24" w14:textId="1EA86173" w:rsidR="002C02E3" w:rsidRPr="0081478A" w:rsidRDefault="00D20A1F" w:rsidP="002C02E3">
      <w:pPr>
        <w:pStyle w:val="15"/>
        <w:tabs>
          <w:tab w:val="right" w:leader="dot" w:pos="8296"/>
        </w:tabs>
        <w:ind w:firstLine="420"/>
        <w:rPr>
          <w:rFonts w:eastAsiaTheme="minorEastAsia" w:cs="Times New Roman"/>
          <w:noProof/>
        </w:rPr>
      </w:pPr>
      <w:hyperlink w:anchor="_Toc22234337" w:history="1">
        <w:r w:rsidR="002C02E3" w:rsidRPr="0081478A">
          <w:rPr>
            <w:rStyle w:val="af"/>
            <w:rFonts w:cs="Times New Roman"/>
            <w:noProof/>
            <w:color w:val="auto"/>
          </w:rPr>
          <w:t>3  Basic requirement</w:t>
        </w:r>
        <w:r w:rsidR="002C02E3" w:rsidRPr="0081478A">
          <w:rPr>
            <w:rFonts w:cs="Times New Roman"/>
            <w:noProof/>
            <w:webHidden/>
          </w:rPr>
          <w:tab/>
        </w:r>
        <w:r w:rsidR="002C02E3" w:rsidRPr="0081478A">
          <w:rPr>
            <w:rFonts w:cs="Times New Roman"/>
            <w:noProof/>
            <w:webHidden/>
          </w:rPr>
          <w:fldChar w:fldCharType="begin"/>
        </w:r>
        <w:r w:rsidR="002C02E3" w:rsidRPr="0081478A">
          <w:rPr>
            <w:rFonts w:cs="Times New Roman"/>
            <w:noProof/>
            <w:webHidden/>
          </w:rPr>
          <w:instrText xml:space="preserve"> PAGEREF _Toc22234337 \h </w:instrText>
        </w:r>
        <w:r w:rsidR="002C02E3" w:rsidRPr="0081478A">
          <w:rPr>
            <w:rFonts w:cs="Times New Roman"/>
            <w:noProof/>
            <w:webHidden/>
          </w:rPr>
        </w:r>
        <w:r w:rsidR="002C02E3" w:rsidRPr="0081478A">
          <w:rPr>
            <w:rFonts w:cs="Times New Roman"/>
            <w:noProof/>
            <w:webHidden/>
          </w:rPr>
          <w:fldChar w:fldCharType="separate"/>
        </w:r>
        <w:r w:rsidR="002C02E3" w:rsidRPr="0081478A">
          <w:rPr>
            <w:rFonts w:cs="Times New Roman"/>
            <w:noProof/>
            <w:webHidden/>
          </w:rPr>
          <w:t>1</w:t>
        </w:r>
        <w:r w:rsidR="00E36489">
          <w:rPr>
            <w:rFonts w:cs="Times New Roman"/>
            <w:noProof/>
            <w:webHidden/>
          </w:rPr>
          <w:t>1</w:t>
        </w:r>
        <w:r w:rsidR="002C02E3" w:rsidRPr="0081478A">
          <w:rPr>
            <w:rFonts w:cs="Times New Roman"/>
            <w:noProof/>
            <w:webHidden/>
          </w:rPr>
          <w:fldChar w:fldCharType="end"/>
        </w:r>
      </w:hyperlink>
    </w:p>
    <w:p w14:paraId="6F6B90F2" w14:textId="2B3B1D81" w:rsidR="002C02E3" w:rsidRPr="0081478A" w:rsidRDefault="00D20A1F" w:rsidP="002C02E3">
      <w:pPr>
        <w:pStyle w:val="22"/>
        <w:rPr>
          <w:rFonts w:eastAsiaTheme="minorEastAsia"/>
        </w:rPr>
      </w:pPr>
      <w:hyperlink w:anchor="_Toc22234338" w:history="1">
        <w:r w:rsidR="002C02E3" w:rsidRPr="0081478A">
          <w:rPr>
            <w:rStyle w:val="af"/>
            <w:color w:val="auto"/>
          </w:rPr>
          <w:t>3.1 General requirement</w:t>
        </w:r>
        <w:r w:rsidR="002C02E3" w:rsidRPr="0081478A">
          <w:rPr>
            <w:webHidden/>
          </w:rPr>
          <w:tab/>
        </w:r>
        <w:r w:rsidR="002C02E3" w:rsidRPr="0081478A">
          <w:rPr>
            <w:webHidden/>
          </w:rPr>
          <w:fldChar w:fldCharType="begin"/>
        </w:r>
        <w:r w:rsidR="002C02E3" w:rsidRPr="0081478A">
          <w:rPr>
            <w:webHidden/>
          </w:rPr>
          <w:instrText xml:space="preserve"> PAGEREF _Toc22234338 \h </w:instrText>
        </w:r>
        <w:r w:rsidR="002C02E3" w:rsidRPr="0081478A">
          <w:rPr>
            <w:webHidden/>
          </w:rPr>
        </w:r>
        <w:r w:rsidR="002C02E3" w:rsidRPr="0081478A">
          <w:rPr>
            <w:webHidden/>
          </w:rPr>
          <w:fldChar w:fldCharType="separate"/>
        </w:r>
        <w:r w:rsidR="002C02E3" w:rsidRPr="0081478A">
          <w:rPr>
            <w:webHidden/>
          </w:rPr>
          <w:t>1</w:t>
        </w:r>
        <w:r w:rsidR="00E36489">
          <w:rPr>
            <w:webHidden/>
          </w:rPr>
          <w:t>1</w:t>
        </w:r>
        <w:r w:rsidR="002C02E3" w:rsidRPr="0081478A">
          <w:rPr>
            <w:webHidden/>
          </w:rPr>
          <w:fldChar w:fldCharType="end"/>
        </w:r>
      </w:hyperlink>
    </w:p>
    <w:p w14:paraId="0CA48EF3" w14:textId="7545C8A5" w:rsidR="002C02E3" w:rsidRPr="0081478A" w:rsidRDefault="00D20A1F" w:rsidP="002C02E3">
      <w:pPr>
        <w:pStyle w:val="22"/>
        <w:rPr>
          <w:rFonts w:eastAsiaTheme="minorEastAsia"/>
        </w:rPr>
      </w:pPr>
      <w:hyperlink w:anchor="_Toc22234339" w:history="1">
        <w:r w:rsidR="002C02E3" w:rsidRPr="0081478A">
          <w:rPr>
            <w:rStyle w:val="af"/>
            <w:color w:val="auto"/>
          </w:rPr>
          <w:t>3.2 Assesment and Rating</w:t>
        </w:r>
        <w:r w:rsidR="002C02E3" w:rsidRPr="0081478A">
          <w:rPr>
            <w:webHidden/>
          </w:rPr>
          <w:tab/>
        </w:r>
        <w:r w:rsidR="002C02E3" w:rsidRPr="0081478A">
          <w:rPr>
            <w:webHidden/>
          </w:rPr>
          <w:fldChar w:fldCharType="begin"/>
        </w:r>
        <w:r w:rsidR="002C02E3" w:rsidRPr="0081478A">
          <w:rPr>
            <w:webHidden/>
          </w:rPr>
          <w:instrText xml:space="preserve"> PAGEREF _Toc22234339 \h </w:instrText>
        </w:r>
        <w:r w:rsidR="002C02E3" w:rsidRPr="0081478A">
          <w:rPr>
            <w:webHidden/>
          </w:rPr>
        </w:r>
        <w:r w:rsidR="002C02E3" w:rsidRPr="0081478A">
          <w:rPr>
            <w:webHidden/>
          </w:rPr>
          <w:fldChar w:fldCharType="separate"/>
        </w:r>
        <w:r w:rsidR="002C02E3" w:rsidRPr="0081478A">
          <w:rPr>
            <w:webHidden/>
          </w:rPr>
          <w:t>1</w:t>
        </w:r>
        <w:r w:rsidR="00E36489">
          <w:rPr>
            <w:webHidden/>
          </w:rPr>
          <w:t>5</w:t>
        </w:r>
        <w:r w:rsidR="002C02E3" w:rsidRPr="0081478A">
          <w:rPr>
            <w:webHidden/>
          </w:rPr>
          <w:fldChar w:fldCharType="end"/>
        </w:r>
      </w:hyperlink>
    </w:p>
    <w:p w14:paraId="200CBDA5" w14:textId="695CC124" w:rsidR="002C02E3" w:rsidRPr="0081478A" w:rsidRDefault="00D20A1F" w:rsidP="002C02E3">
      <w:pPr>
        <w:pStyle w:val="15"/>
        <w:tabs>
          <w:tab w:val="right" w:leader="dot" w:pos="8296"/>
        </w:tabs>
        <w:ind w:firstLine="420"/>
        <w:rPr>
          <w:rFonts w:eastAsiaTheme="minorEastAsia" w:cs="Times New Roman"/>
          <w:noProof/>
        </w:rPr>
      </w:pPr>
      <w:hyperlink w:anchor="_Toc22234340" w:history="1">
        <w:r w:rsidR="002C02E3" w:rsidRPr="0081478A">
          <w:rPr>
            <w:rStyle w:val="af"/>
            <w:rFonts w:cs="Times New Roman"/>
            <w:noProof/>
            <w:color w:val="auto"/>
          </w:rPr>
          <w:t>4  Safety and Durability</w:t>
        </w:r>
        <w:r w:rsidR="002C02E3" w:rsidRPr="0081478A">
          <w:rPr>
            <w:rFonts w:cs="Times New Roman"/>
            <w:noProof/>
            <w:webHidden/>
          </w:rPr>
          <w:tab/>
        </w:r>
        <w:r w:rsidR="00E36489">
          <w:rPr>
            <w:rFonts w:cs="Times New Roman"/>
            <w:noProof/>
            <w:webHidden/>
          </w:rPr>
          <w:t>23</w:t>
        </w:r>
      </w:hyperlink>
    </w:p>
    <w:p w14:paraId="23D433B7" w14:textId="7F0A2013" w:rsidR="002C02E3" w:rsidRPr="0081478A" w:rsidRDefault="00D20A1F" w:rsidP="002C02E3">
      <w:pPr>
        <w:pStyle w:val="22"/>
        <w:rPr>
          <w:rFonts w:eastAsiaTheme="minorEastAsia"/>
        </w:rPr>
      </w:pPr>
      <w:hyperlink w:anchor="_Toc22234341" w:history="1">
        <w:r w:rsidR="002C02E3" w:rsidRPr="0081478A">
          <w:rPr>
            <w:rStyle w:val="af"/>
            <w:color w:val="auto"/>
          </w:rPr>
          <w:t>4.1 Prerequisite Items</w:t>
        </w:r>
        <w:r w:rsidR="002C02E3" w:rsidRPr="0081478A">
          <w:rPr>
            <w:webHidden/>
          </w:rPr>
          <w:tab/>
        </w:r>
        <w:r w:rsidR="00E36489">
          <w:rPr>
            <w:webHidden/>
          </w:rPr>
          <w:t>23</w:t>
        </w:r>
      </w:hyperlink>
    </w:p>
    <w:p w14:paraId="1ED0C5FB" w14:textId="45FA3877" w:rsidR="002C02E3" w:rsidRPr="0081478A" w:rsidRDefault="00D20A1F" w:rsidP="002C02E3">
      <w:pPr>
        <w:pStyle w:val="22"/>
        <w:rPr>
          <w:rFonts w:eastAsiaTheme="minorEastAsia"/>
        </w:rPr>
      </w:pPr>
      <w:hyperlink w:anchor="_Toc22234342" w:history="1">
        <w:r w:rsidR="002C02E3" w:rsidRPr="0081478A">
          <w:rPr>
            <w:rStyle w:val="af"/>
            <w:color w:val="auto"/>
          </w:rPr>
          <w:t>4.2 Scoring Items</w:t>
        </w:r>
        <w:r w:rsidR="002C02E3" w:rsidRPr="0081478A">
          <w:rPr>
            <w:webHidden/>
          </w:rPr>
          <w:tab/>
        </w:r>
        <w:r w:rsidR="00E36489">
          <w:rPr>
            <w:webHidden/>
          </w:rPr>
          <w:t>33</w:t>
        </w:r>
      </w:hyperlink>
    </w:p>
    <w:p w14:paraId="4A47E122" w14:textId="10FD86EB" w:rsidR="002C02E3" w:rsidRPr="0081478A" w:rsidRDefault="00D20A1F" w:rsidP="002C02E3">
      <w:pPr>
        <w:pStyle w:val="31"/>
        <w:tabs>
          <w:tab w:val="right" w:leader="dot" w:pos="8296"/>
        </w:tabs>
        <w:ind w:firstLine="420"/>
        <w:rPr>
          <w:rFonts w:eastAsiaTheme="minorEastAsia" w:cs="Times New Roman"/>
          <w:noProof/>
        </w:rPr>
      </w:pPr>
      <w:hyperlink w:anchor="_Toc22234343" w:history="1">
        <w:r w:rsidR="002C02E3" w:rsidRPr="0081478A">
          <w:rPr>
            <w:rStyle w:val="af"/>
            <w:rFonts w:cs="Times New Roman"/>
            <w:noProof/>
            <w:color w:val="auto"/>
          </w:rPr>
          <w:t>Ⅰ safety</w:t>
        </w:r>
        <w:r w:rsidR="002C02E3" w:rsidRPr="0081478A">
          <w:rPr>
            <w:rFonts w:cs="Times New Roman"/>
            <w:noProof/>
            <w:webHidden/>
          </w:rPr>
          <w:tab/>
        </w:r>
        <w:r w:rsidR="00E36489">
          <w:rPr>
            <w:rFonts w:cs="Times New Roman"/>
            <w:noProof/>
            <w:webHidden/>
          </w:rPr>
          <w:t>33</w:t>
        </w:r>
      </w:hyperlink>
    </w:p>
    <w:p w14:paraId="4294C2F9" w14:textId="77777777" w:rsidR="002C02E3" w:rsidRPr="0081478A" w:rsidRDefault="00D20A1F" w:rsidP="002C02E3">
      <w:pPr>
        <w:pStyle w:val="31"/>
        <w:tabs>
          <w:tab w:val="right" w:leader="dot" w:pos="8296"/>
        </w:tabs>
        <w:ind w:firstLine="420"/>
        <w:rPr>
          <w:rFonts w:eastAsiaTheme="minorEastAsia" w:cs="Times New Roman"/>
          <w:noProof/>
        </w:rPr>
      </w:pPr>
      <w:hyperlink w:anchor="_Toc22234344" w:history="1">
        <w:r w:rsidR="002C02E3" w:rsidRPr="0081478A">
          <w:rPr>
            <w:rStyle w:val="af"/>
            <w:rFonts w:cs="Times New Roman"/>
            <w:noProof/>
            <w:color w:val="auto"/>
          </w:rPr>
          <w:t>Ⅱ Durability</w:t>
        </w:r>
        <w:r w:rsidR="002C02E3" w:rsidRPr="0081478A">
          <w:rPr>
            <w:rFonts w:cs="Times New Roman"/>
            <w:noProof/>
            <w:webHidden/>
          </w:rPr>
          <w:tab/>
        </w:r>
        <w:r w:rsidR="002C02E3" w:rsidRPr="0081478A">
          <w:rPr>
            <w:rFonts w:cs="Times New Roman"/>
            <w:noProof/>
            <w:webHidden/>
          </w:rPr>
          <w:fldChar w:fldCharType="begin"/>
        </w:r>
        <w:r w:rsidR="002C02E3" w:rsidRPr="0081478A">
          <w:rPr>
            <w:rFonts w:cs="Times New Roman"/>
            <w:noProof/>
            <w:webHidden/>
          </w:rPr>
          <w:instrText xml:space="preserve"> PAGEREF _Toc22234344 \h </w:instrText>
        </w:r>
        <w:r w:rsidR="002C02E3" w:rsidRPr="0081478A">
          <w:rPr>
            <w:rFonts w:cs="Times New Roman"/>
            <w:noProof/>
            <w:webHidden/>
          </w:rPr>
        </w:r>
        <w:r w:rsidR="002C02E3" w:rsidRPr="0081478A">
          <w:rPr>
            <w:rFonts w:cs="Times New Roman"/>
            <w:noProof/>
            <w:webHidden/>
          </w:rPr>
          <w:fldChar w:fldCharType="separate"/>
        </w:r>
        <w:r w:rsidR="002C02E3" w:rsidRPr="0081478A">
          <w:rPr>
            <w:rFonts w:cs="Times New Roman"/>
            <w:noProof/>
            <w:webHidden/>
          </w:rPr>
          <w:t>32</w:t>
        </w:r>
        <w:r w:rsidR="002C02E3" w:rsidRPr="0081478A">
          <w:rPr>
            <w:rFonts w:cs="Times New Roman"/>
            <w:noProof/>
            <w:webHidden/>
          </w:rPr>
          <w:fldChar w:fldCharType="end"/>
        </w:r>
      </w:hyperlink>
    </w:p>
    <w:p w14:paraId="60089A54" w14:textId="0EC5BFA1" w:rsidR="002C02E3" w:rsidRPr="0081478A" w:rsidRDefault="00D20A1F" w:rsidP="002C02E3">
      <w:pPr>
        <w:pStyle w:val="15"/>
        <w:tabs>
          <w:tab w:val="right" w:leader="dot" w:pos="8296"/>
        </w:tabs>
        <w:ind w:firstLine="420"/>
        <w:rPr>
          <w:rFonts w:eastAsiaTheme="minorEastAsia" w:cs="Times New Roman"/>
          <w:noProof/>
        </w:rPr>
      </w:pPr>
      <w:hyperlink w:anchor="_Toc22234345" w:history="1">
        <w:r w:rsidR="002C02E3" w:rsidRPr="0081478A">
          <w:rPr>
            <w:rStyle w:val="af"/>
            <w:rFonts w:cs="Times New Roman"/>
            <w:noProof/>
            <w:color w:val="auto"/>
          </w:rPr>
          <w:t>5  Health and Comfort</w:t>
        </w:r>
        <w:r w:rsidR="002C02E3" w:rsidRPr="0081478A">
          <w:rPr>
            <w:rFonts w:cs="Times New Roman"/>
            <w:noProof/>
            <w:webHidden/>
          </w:rPr>
          <w:tab/>
        </w:r>
        <w:r w:rsidR="00E36489">
          <w:rPr>
            <w:rFonts w:cs="Times New Roman"/>
            <w:noProof/>
            <w:webHidden/>
          </w:rPr>
          <w:t>46</w:t>
        </w:r>
      </w:hyperlink>
    </w:p>
    <w:p w14:paraId="45157A7B" w14:textId="4BC4A3A1" w:rsidR="002C02E3" w:rsidRPr="0081478A" w:rsidRDefault="00D20A1F" w:rsidP="002C02E3">
      <w:pPr>
        <w:pStyle w:val="22"/>
        <w:rPr>
          <w:rFonts w:eastAsiaTheme="minorEastAsia"/>
        </w:rPr>
      </w:pPr>
      <w:hyperlink w:anchor="_Toc22234346" w:history="1">
        <w:r w:rsidR="002C02E3" w:rsidRPr="0081478A">
          <w:rPr>
            <w:rStyle w:val="af"/>
            <w:color w:val="auto"/>
          </w:rPr>
          <w:t>5.1 Prerequisite Items</w:t>
        </w:r>
        <w:r w:rsidR="002C02E3" w:rsidRPr="0081478A">
          <w:rPr>
            <w:webHidden/>
          </w:rPr>
          <w:tab/>
        </w:r>
        <w:r w:rsidR="00E36489">
          <w:rPr>
            <w:webHidden/>
          </w:rPr>
          <w:t>46</w:t>
        </w:r>
      </w:hyperlink>
    </w:p>
    <w:p w14:paraId="6408A516" w14:textId="1162A1ED" w:rsidR="002C02E3" w:rsidRPr="0081478A" w:rsidRDefault="00D20A1F" w:rsidP="002C02E3">
      <w:pPr>
        <w:pStyle w:val="22"/>
        <w:rPr>
          <w:rFonts w:eastAsiaTheme="minorEastAsia"/>
        </w:rPr>
      </w:pPr>
      <w:hyperlink w:anchor="_Toc22234347" w:history="1">
        <w:r w:rsidR="002C02E3" w:rsidRPr="0081478A">
          <w:rPr>
            <w:rStyle w:val="af"/>
            <w:color w:val="auto"/>
          </w:rPr>
          <w:t>5.2 Scoring Items</w:t>
        </w:r>
        <w:r w:rsidR="002C02E3" w:rsidRPr="0081478A">
          <w:rPr>
            <w:webHidden/>
          </w:rPr>
          <w:tab/>
        </w:r>
        <w:r w:rsidR="00E36489">
          <w:rPr>
            <w:webHidden/>
          </w:rPr>
          <w:t>58</w:t>
        </w:r>
      </w:hyperlink>
    </w:p>
    <w:p w14:paraId="3AB2261E" w14:textId="3EBB6CB8" w:rsidR="002C02E3" w:rsidRPr="0081478A" w:rsidRDefault="00D20A1F" w:rsidP="002C02E3">
      <w:pPr>
        <w:pStyle w:val="31"/>
        <w:tabs>
          <w:tab w:val="right" w:leader="dot" w:pos="8296"/>
        </w:tabs>
        <w:ind w:firstLine="420"/>
        <w:rPr>
          <w:rFonts w:eastAsiaTheme="minorEastAsia" w:cs="Times New Roman"/>
          <w:noProof/>
        </w:rPr>
      </w:pPr>
      <w:hyperlink w:anchor="_Toc22234348" w:history="1">
        <w:r w:rsidR="002C02E3" w:rsidRPr="0081478A">
          <w:rPr>
            <w:rStyle w:val="af"/>
            <w:rFonts w:cs="Times New Roman"/>
            <w:noProof/>
            <w:color w:val="auto"/>
          </w:rPr>
          <w:t>I Indoor Air Quality</w:t>
        </w:r>
        <w:r w:rsidR="002C02E3" w:rsidRPr="0081478A">
          <w:rPr>
            <w:rFonts w:cs="Times New Roman"/>
            <w:noProof/>
            <w:webHidden/>
          </w:rPr>
          <w:tab/>
        </w:r>
        <w:r w:rsidR="00E36489">
          <w:rPr>
            <w:rFonts w:cs="Times New Roman"/>
            <w:noProof/>
            <w:webHidden/>
          </w:rPr>
          <w:t>58</w:t>
        </w:r>
      </w:hyperlink>
    </w:p>
    <w:p w14:paraId="5F6D20AB" w14:textId="0B1B2357" w:rsidR="002C02E3" w:rsidRPr="0081478A" w:rsidRDefault="00D20A1F" w:rsidP="002C02E3">
      <w:pPr>
        <w:pStyle w:val="31"/>
        <w:tabs>
          <w:tab w:val="right" w:leader="dot" w:pos="8296"/>
        </w:tabs>
        <w:ind w:firstLine="420"/>
        <w:rPr>
          <w:rFonts w:eastAsiaTheme="minorEastAsia" w:cs="Times New Roman"/>
          <w:noProof/>
        </w:rPr>
      </w:pPr>
      <w:hyperlink w:anchor="_Toc22234349" w:history="1">
        <w:r w:rsidR="002C02E3" w:rsidRPr="0081478A">
          <w:rPr>
            <w:rStyle w:val="af"/>
            <w:rFonts w:cs="Times New Roman"/>
            <w:noProof/>
            <w:color w:val="auto"/>
          </w:rPr>
          <w:t>Ⅱ Water Quality</w:t>
        </w:r>
        <w:r w:rsidR="002C02E3" w:rsidRPr="0081478A">
          <w:rPr>
            <w:rFonts w:cs="Times New Roman"/>
            <w:noProof/>
            <w:webHidden/>
          </w:rPr>
          <w:tab/>
        </w:r>
        <w:r w:rsidR="00E36489">
          <w:rPr>
            <w:rFonts w:cs="Times New Roman"/>
            <w:noProof/>
            <w:webHidden/>
          </w:rPr>
          <w:t>60</w:t>
        </w:r>
      </w:hyperlink>
    </w:p>
    <w:p w14:paraId="788B1CCE" w14:textId="7ED8979F" w:rsidR="002C02E3" w:rsidRPr="0081478A" w:rsidRDefault="00D20A1F" w:rsidP="002C02E3">
      <w:pPr>
        <w:pStyle w:val="31"/>
        <w:tabs>
          <w:tab w:val="right" w:leader="dot" w:pos="8296"/>
        </w:tabs>
        <w:ind w:firstLine="420"/>
        <w:rPr>
          <w:rFonts w:eastAsiaTheme="minorEastAsia" w:cs="Times New Roman"/>
          <w:noProof/>
        </w:rPr>
      </w:pPr>
      <w:hyperlink w:anchor="_Toc22234350" w:history="1">
        <w:r w:rsidR="002C02E3" w:rsidRPr="0081478A">
          <w:rPr>
            <w:rStyle w:val="af"/>
            <w:rFonts w:cs="Times New Roman"/>
            <w:noProof/>
            <w:color w:val="auto"/>
          </w:rPr>
          <w:t>Ⅲ Sound and Daylighting</w:t>
        </w:r>
        <w:r w:rsidR="002C02E3" w:rsidRPr="0081478A">
          <w:rPr>
            <w:rFonts w:cs="Times New Roman"/>
            <w:noProof/>
            <w:webHidden/>
          </w:rPr>
          <w:tab/>
        </w:r>
        <w:r w:rsidR="00E36489">
          <w:rPr>
            <w:rFonts w:cs="Times New Roman"/>
            <w:noProof/>
            <w:webHidden/>
          </w:rPr>
          <w:t>62</w:t>
        </w:r>
      </w:hyperlink>
    </w:p>
    <w:p w14:paraId="0BDCFF21" w14:textId="6445CCF4" w:rsidR="002C02E3" w:rsidRPr="0081478A" w:rsidRDefault="00D20A1F" w:rsidP="002C02E3">
      <w:pPr>
        <w:pStyle w:val="31"/>
        <w:tabs>
          <w:tab w:val="right" w:leader="dot" w:pos="8296"/>
        </w:tabs>
        <w:ind w:firstLine="420"/>
        <w:rPr>
          <w:rFonts w:eastAsiaTheme="minorEastAsia" w:cs="Times New Roman"/>
          <w:noProof/>
        </w:rPr>
      </w:pPr>
      <w:hyperlink w:anchor="_Toc22234351" w:history="1">
        <w:r w:rsidR="002C02E3" w:rsidRPr="0081478A">
          <w:rPr>
            <w:rStyle w:val="af"/>
            <w:rFonts w:cs="Times New Roman"/>
            <w:noProof/>
            <w:color w:val="auto"/>
          </w:rPr>
          <w:t>Ⅳ Indoor Thermal Environment</w:t>
        </w:r>
        <w:r w:rsidR="002C02E3" w:rsidRPr="0081478A">
          <w:rPr>
            <w:rFonts w:cs="Times New Roman"/>
            <w:noProof/>
            <w:webHidden/>
          </w:rPr>
          <w:tab/>
        </w:r>
        <w:r w:rsidR="00E36489">
          <w:rPr>
            <w:rFonts w:cs="Times New Roman"/>
            <w:noProof/>
            <w:webHidden/>
          </w:rPr>
          <w:t>66</w:t>
        </w:r>
      </w:hyperlink>
    </w:p>
    <w:p w14:paraId="383444DE" w14:textId="7B59DFD2" w:rsidR="002C02E3" w:rsidRPr="0081478A" w:rsidRDefault="00D20A1F" w:rsidP="002C02E3">
      <w:pPr>
        <w:pStyle w:val="31"/>
        <w:tabs>
          <w:tab w:val="right" w:leader="dot" w:pos="8296"/>
        </w:tabs>
        <w:ind w:firstLine="420"/>
        <w:rPr>
          <w:rFonts w:eastAsiaTheme="minorEastAsia" w:cs="Times New Roman"/>
          <w:noProof/>
        </w:rPr>
      </w:pPr>
      <w:hyperlink w:anchor="_Toc22234352" w:history="1">
        <w:r w:rsidR="002C02E3" w:rsidRPr="0081478A">
          <w:rPr>
            <w:rStyle w:val="af"/>
            <w:rFonts w:cs="Times New Roman"/>
            <w:noProof/>
            <w:color w:val="auto"/>
          </w:rPr>
          <w:t>Ⅴ Indoor comprehensive environment</w:t>
        </w:r>
        <w:r w:rsidR="002C02E3" w:rsidRPr="0081478A">
          <w:rPr>
            <w:rFonts w:cs="Times New Roman"/>
            <w:noProof/>
            <w:webHidden/>
          </w:rPr>
          <w:tab/>
        </w:r>
        <w:r w:rsidR="00E36489">
          <w:rPr>
            <w:rFonts w:cs="Times New Roman"/>
            <w:noProof/>
            <w:webHidden/>
          </w:rPr>
          <w:t>72</w:t>
        </w:r>
      </w:hyperlink>
    </w:p>
    <w:p w14:paraId="4842D51C" w14:textId="350F0EA2" w:rsidR="002C02E3" w:rsidRPr="0081478A" w:rsidRDefault="00D20A1F" w:rsidP="002C02E3">
      <w:pPr>
        <w:pStyle w:val="15"/>
        <w:tabs>
          <w:tab w:val="right" w:leader="dot" w:pos="8296"/>
        </w:tabs>
        <w:ind w:firstLine="420"/>
        <w:rPr>
          <w:rFonts w:eastAsiaTheme="minorEastAsia" w:cs="Times New Roman"/>
          <w:noProof/>
        </w:rPr>
      </w:pPr>
      <w:hyperlink w:anchor="_Toc22234353" w:history="1">
        <w:r w:rsidR="002C02E3" w:rsidRPr="0081478A">
          <w:rPr>
            <w:rStyle w:val="af"/>
            <w:rFonts w:cs="Times New Roman"/>
            <w:noProof/>
            <w:color w:val="auto"/>
          </w:rPr>
          <w:t>6  Occupant Convenience</w:t>
        </w:r>
        <w:r w:rsidR="002C02E3" w:rsidRPr="0081478A">
          <w:rPr>
            <w:rFonts w:cs="Times New Roman"/>
            <w:noProof/>
            <w:webHidden/>
          </w:rPr>
          <w:tab/>
        </w:r>
        <w:r w:rsidR="00E36489">
          <w:rPr>
            <w:rFonts w:cs="Times New Roman"/>
            <w:noProof/>
            <w:webHidden/>
          </w:rPr>
          <w:t>77</w:t>
        </w:r>
      </w:hyperlink>
    </w:p>
    <w:p w14:paraId="46F6728E" w14:textId="17A3AAEE" w:rsidR="002C02E3" w:rsidRPr="0081478A" w:rsidRDefault="00D20A1F" w:rsidP="002C02E3">
      <w:pPr>
        <w:pStyle w:val="22"/>
        <w:rPr>
          <w:rFonts w:eastAsiaTheme="minorEastAsia"/>
        </w:rPr>
      </w:pPr>
      <w:hyperlink w:anchor="_Toc22234354" w:history="1">
        <w:r w:rsidR="002C02E3" w:rsidRPr="0081478A">
          <w:rPr>
            <w:rStyle w:val="af"/>
            <w:color w:val="auto"/>
          </w:rPr>
          <w:t>6.1 Prerequisite Items</w:t>
        </w:r>
        <w:r w:rsidR="002C02E3" w:rsidRPr="0081478A">
          <w:rPr>
            <w:webHidden/>
          </w:rPr>
          <w:tab/>
        </w:r>
        <w:r w:rsidR="00E36489">
          <w:rPr>
            <w:webHidden/>
          </w:rPr>
          <w:t>77</w:t>
        </w:r>
      </w:hyperlink>
    </w:p>
    <w:p w14:paraId="77959430" w14:textId="481153D1" w:rsidR="002C02E3" w:rsidRPr="0081478A" w:rsidRDefault="00D20A1F" w:rsidP="002C02E3">
      <w:pPr>
        <w:pStyle w:val="22"/>
        <w:rPr>
          <w:rFonts w:eastAsiaTheme="minorEastAsia"/>
        </w:rPr>
      </w:pPr>
      <w:hyperlink w:anchor="_Toc22234355" w:history="1">
        <w:r w:rsidR="002C02E3" w:rsidRPr="0081478A">
          <w:rPr>
            <w:rStyle w:val="af"/>
            <w:color w:val="auto"/>
          </w:rPr>
          <w:t>6.2 Scoring Items</w:t>
        </w:r>
        <w:r w:rsidR="002C02E3" w:rsidRPr="0081478A">
          <w:rPr>
            <w:webHidden/>
          </w:rPr>
          <w:tab/>
        </w:r>
        <w:r w:rsidR="00E36489">
          <w:rPr>
            <w:webHidden/>
          </w:rPr>
          <w:t>84</w:t>
        </w:r>
      </w:hyperlink>
    </w:p>
    <w:p w14:paraId="4062F724" w14:textId="2EB898A9" w:rsidR="002C02E3" w:rsidRPr="0081478A" w:rsidRDefault="00D20A1F" w:rsidP="002C02E3">
      <w:pPr>
        <w:pStyle w:val="31"/>
        <w:tabs>
          <w:tab w:val="right" w:leader="dot" w:pos="8296"/>
        </w:tabs>
        <w:ind w:firstLine="420"/>
        <w:rPr>
          <w:rFonts w:eastAsiaTheme="minorEastAsia" w:cs="Times New Roman"/>
          <w:noProof/>
        </w:rPr>
      </w:pPr>
      <w:hyperlink w:anchor="_Toc22234356" w:history="1">
        <w:r w:rsidR="002C02E3" w:rsidRPr="0081478A">
          <w:rPr>
            <w:rStyle w:val="af"/>
            <w:rFonts w:cs="Times New Roman"/>
            <w:noProof/>
            <w:color w:val="auto"/>
          </w:rPr>
          <w:t>I Transit and Accessibility</w:t>
        </w:r>
        <w:r w:rsidR="002C02E3" w:rsidRPr="0081478A">
          <w:rPr>
            <w:rFonts w:cs="Times New Roman"/>
            <w:noProof/>
            <w:webHidden/>
          </w:rPr>
          <w:tab/>
        </w:r>
        <w:r w:rsidR="00E36489">
          <w:rPr>
            <w:rFonts w:cs="Times New Roman"/>
            <w:noProof/>
            <w:webHidden/>
          </w:rPr>
          <w:t>84</w:t>
        </w:r>
      </w:hyperlink>
    </w:p>
    <w:p w14:paraId="2FAFE3BD" w14:textId="30453B64" w:rsidR="002C02E3" w:rsidRPr="0081478A" w:rsidRDefault="00D20A1F" w:rsidP="002C02E3">
      <w:pPr>
        <w:pStyle w:val="31"/>
        <w:tabs>
          <w:tab w:val="right" w:leader="dot" w:pos="8296"/>
        </w:tabs>
        <w:ind w:firstLine="420"/>
        <w:rPr>
          <w:rFonts w:eastAsiaTheme="minorEastAsia" w:cs="Times New Roman"/>
          <w:noProof/>
        </w:rPr>
      </w:pPr>
      <w:hyperlink w:anchor="_Toc22234357" w:history="1">
        <w:r w:rsidR="002C02E3" w:rsidRPr="0081478A">
          <w:rPr>
            <w:rStyle w:val="af"/>
            <w:rFonts w:cs="Times New Roman"/>
            <w:noProof/>
            <w:color w:val="auto"/>
          </w:rPr>
          <w:t>Ⅱ Service Facility</w:t>
        </w:r>
        <w:r w:rsidR="002C02E3" w:rsidRPr="0081478A">
          <w:rPr>
            <w:rFonts w:cs="Times New Roman"/>
            <w:noProof/>
            <w:webHidden/>
          </w:rPr>
          <w:tab/>
        </w:r>
        <w:r w:rsidR="00E36489">
          <w:rPr>
            <w:rFonts w:cs="Times New Roman"/>
            <w:noProof/>
            <w:webHidden/>
          </w:rPr>
          <w:t>86</w:t>
        </w:r>
      </w:hyperlink>
    </w:p>
    <w:p w14:paraId="09C0A454" w14:textId="502A39DF" w:rsidR="002C02E3" w:rsidRPr="0081478A" w:rsidRDefault="00D20A1F" w:rsidP="002C02E3">
      <w:pPr>
        <w:pStyle w:val="31"/>
        <w:tabs>
          <w:tab w:val="right" w:leader="dot" w:pos="8296"/>
        </w:tabs>
        <w:ind w:firstLine="420"/>
        <w:rPr>
          <w:rFonts w:eastAsiaTheme="minorEastAsia" w:cs="Times New Roman"/>
          <w:noProof/>
        </w:rPr>
      </w:pPr>
      <w:hyperlink w:anchor="_Toc22234358" w:history="1">
        <w:r w:rsidR="002C02E3" w:rsidRPr="0081478A">
          <w:rPr>
            <w:rStyle w:val="af"/>
            <w:rFonts w:cs="Times New Roman"/>
            <w:noProof/>
            <w:color w:val="auto"/>
          </w:rPr>
          <w:t>Ⅲ Intelligent Operation</w:t>
        </w:r>
        <w:r w:rsidR="002C02E3" w:rsidRPr="0081478A">
          <w:rPr>
            <w:rFonts w:cs="Times New Roman"/>
            <w:noProof/>
            <w:webHidden/>
          </w:rPr>
          <w:tab/>
        </w:r>
        <w:r w:rsidR="00E36489">
          <w:rPr>
            <w:rFonts w:cs="Times New Roman"/>
            <w:noProof/>
            <w:webHidden/>
          </w:rPr>
          <w:t>91</w:t>
        </w:r>
      </w:hyperlink>
    </w:p>
    <w:p w14:paraId="3E6CD5C0" w14:textId="4DDDEB20" w:rsidR="002C02E3" w:rsidRPr="0081478A" w:rsidRDefault="00D20A1F" w:rsidP="002C02E3">
      <w:pPr>
        <w:pStyle w:val="31"/>
        <w:tabs>
          <w:tab w:val="right" w:leader="dot" w:pos="8296"/>
        </w:tabs>
        <w:ind w:firstLine="420"/>
        <w:rPr>
          <w:rFonts w:eastAsiaTheme="minorEastAsia" w:cs="Times New Roman"/>
          <w:noProof/>
        </w:rPr>
      </w:pPr>
      <w:hyperlink w:anchor="_Toc22234359" w:history="1">
        <w:r w:rsidR="002C02E3" w:rsidRPr="0081478A">
          <w:rPr>
            <w:rStyle w:val="af"/>
            <w:rFonts w:cs="Times New Roman"/>
            <w:noProof/>
            <w:color w:val="auto"/>
          </w:rPr>
          <w:t>Ⅳ Property Management</w:t>
        </w:r>
        <w:r w:rsidR="002C02E3" w:rsidRPr="0081478A">
          <w:rPr>
            <w:rFonts w:cs="Times New Roman"/>
            <w:noProof/>
            <w:webHidden/>
          </w:rPr>
          <w:tab/>
        </w:r>
        <w:r w:rsidR="00E36489">
          <w:rPr>
            <w:rFonts w:cs="Times New Roman"/>
            <w:noProof/>
            <w:webHidden/>
          </w:rPr>
          <w:t>96</w:t>
        </w:r>
      </w:hyperlink>
    </w:p>
    <w:p w14:paraId="7050F92B" w14:textId="1C106D9D" w:rsidR="002C02E3" w:rsidRPr="0081478A" w:rsidRDefault="00D20A1F" w:rsidP="002C02E3">
      <w:pPr>
        <w:pStyle w:val="15"/>
        <w:tabs>
          <w:tab w:val="right" w:leader="dot" w:pos="8296"/>
        </w:tabs>
        <w:ind w:firstLine="420"/>
        <w:rPr>
          <w:rFonts w:eastAsiaTheme="minorEastAsia" w:cs="Times New Roman"/>
          <w:noProof/>
        </w:rPr>
      </w:pPr>
      <w:hyperlink w:anchor="_Toc22234360" w:history="1">
        <w:r w:rsidR="002C02E3" w:rsidRPr="0081478A">
          <w:rPr>
            <w:rStyle w:val="af"/>
            <w:rFonts w:cs="Times New Roman"/>
            <w:noProof/>
            <w:color w:val="auto"/>
          </w:rPr>
          <w:t>7  Resources Saving</w:t>
        </w:r>
        <w:r w:rsidR="002C02E3" w:rsidRPr="0081478A">
          <w:rPr>
            <w:rFonts w:cs="Times New Roman"/>
            <w:noProof/>
            <w:webHidden/>
          </w:rPr>
          <w:tab/>
        </w:r>
        <w:r w:rsidR="00E36489">
          <w:rPr>
            <w:rFonts w:cs="Times New Roman"/>
            <w:noProof/>
            <w:webHidden/>
          </w:rPr>
          <w:t>103</w:t>
        </w:r>
      </w:hyperlink>
    </w:p>
    <w:p w14:paraId="6D73DF54" w14:textId="6205587B" w:rsidR="002C02E3" w:rsidRPr="0081478A" w:rsidRDefault="00D20A1F" w:rsidP="002C02E3">
      <w:pPr>
        <w:pStyle w:val="22"/>
        <w:rPr>
          <w:rFonts w:eastAsiaTheme="minorEastAsia"/>
        </w:rPr>
      </w:pPr>
      <w:hyperlink w:anchor="_Toc22234361" w:history="1">
        <w:r w:rsidR="002C02E3" w:rsidRPr="0081478A">
          <w:rPr>
            <w:rStyle w:val="af"/>
            <w:color w:val="auto"/>
          </w:rPr>
          <w:t>7.1 Prerequisite Items</w:t>
        </w:r>
        <w:r w:rsidR="002C02E3" w:rsidRPr="0081478A">
          <w:rPr>
            <w:webHidden/>
          </w:rPr>
          <w:tab/>
        </w:r>
        <w:r w:rsidR="00E36489">
          <w:rPr>
            <w:webHidden/>
          </w:rPr>
          <w:t>103</w:t>
        </w:r>
      </w:hyperlink>
    </w:p>
    <w:p w14:paraId="114B8B56" w14:textId="464758B0" w:rsidR="002C02E3" w:rsidRPr="0081478A" w:rsidRDefault="00D20A1F" w:rsidP="002C02E3">
      <w:pPr>
        <w:pStyle w:val="22"/>
        <w:rPr>
          <w:rFonts w:eastAsiaTheme="minorEastAsia"/>
        </w:rPr>
      </w:pPr>
      <w:hyperlink w:anchor="_Toc22234362" w:history="1">
        <w:r w:rsidR="002C02E3" w:rsidRPr="0081478A">
          <w:rPr>
            <w:rStyle w:val="af"/>
            <w:color w:val="auto"/>
          </w:rPr>
          <w:t>7.2 Scoring Items</w:t>
        </w:r>
        <w:r w:rsidR="002C02E3" w:rsidRPr="0081478A">
          <w:rPr>
            <w:webHidden/>
          </w:rPr>
          <w:tab/>
        </w:r>
        <w:r w:rsidR="00E36489">
          <w:rPr>
            <w:webHidden/>
          </w:rPr>
          <w:t>113</w:t>
        </w:r>
      </w:hyperlink>
    </w:p>
    <w:p w14:paraId="1A2D126C" w14:textId="4F8E4180" w:rsidR="002C02E3" w:rsidRPr="0081478A" w:rsidRDefault="00D20A1F" w:rsidP="002C02E3">
      <w:pPr>
        <w:pStyle w:val="31"/>
        <w:tabs>
          <w:tab w:val="right" w:leader="dot" w:pos="8296"/>
        </w:tabs>
        <w:ind w:firstLine="420"/>
        <w:rPr>
          <w:rFonts w:eastAsiaTheme="minorEastAsia" w:cs="Times New Roman"/>
          <w:noProof/>
        </w:rPr>
      </w:pPr>
      <w:hyperlink w:anchor="_Toc22234363" w:history="1">
        <w:r w:rsidR="002C02E3" w:rsidRPr="0081478A">
          <w:rPr>
            <w:rStyle w:val="af"/>
            <w:rFonts w:cs="Times New Roman"/>
            <w:noProof/>
            <w:color w:val="auto"/>
          </w:rPr>
          <w:t>Ⅰ Land saving and land utilization</w:t>
        </w:r>
        <w:r w:rsidR="002C02E3" w:rsidRPr="0081478A">
          <w:rPr>
            <w:rFonts w:cs="Times New Roman"/>
            <w:noProof/>
            <w:webHidden/>
          </w:rPr>
          <w:tab/>
        </w:r>
        <w:r w:rsidR="00E36489">
          <w:rPr>
            <w:rFonts w:cs="Times New Roman"/>
            <w:noProof/>
            <w:webHidden/>
          </w:rPr>
          <w:t>113</w:t>
        </w:r>
      </w:hyperlink>
    </w:p>
    <w:p w14:paraId="4E288B35" w14:textId="459F7808" w:rsidR="002C02E3" w:rsidRPr="0081478A" w:rsidRDefault="00D20A1F" w:rsidP="002C02E3">
      <w:pPr>
        <w:pStyle w:val="31"/>
        <w:tabs>
          <w:tab w:val="right" w:leader="dot" w:pos="8296"/>
        </w:tabs>
        <w:ind w:firstLine="420"/>
        <w:rPr>
          <w:rFonts w:eastAsiaTheme="minorEastAsia" w:cs="Times New Roman"/>
          <w:noProof/>
        </w:rPr>
      </w:pPr>
      <w:hyperlink w:anchor="_Toc22234364" w:history="1">
        <w:r w:rsidR="002C02E3" w:rsidRPr="0081478A">
          <w:rPr>
            <w:rStyle w:val="af"/>
            <w:rFonts w:cs="Times New Roman"/>
            <w:noProof/>
            <w:color w:val="auto"/>
          </w:rPr>
          <w:t>Ⅱ Energy Saving and Energy Resources Utilization</w:t>
        </w:r>
        <w:r w:rsidR="002C02E3" w:rsidRPr="0081478A">
          <w:rPr>
            <w:rFonts w:cs="Times New Roman"/>
            <w:noProof/>
            <w:webHidden/>
          </w:rPr>
          <w:tab/>
        </w:r>
        <w:r w:rsidR="00E36489">
          <w:rPr>
            <w:rFonts w:cs="Times New Roman"/>
            <w:noProof/>
            <w:webHidden/>
          </w:rPr>
          <w:t>117</w:t>
        </w:r>
      </w:hyperlink>
    </w:p>
    <w:p w14:paraId="04713F28" w14:textId="4BE302ED" w:rsidR="002C02E3" w:rsidRPr="0081478A" w:rsidRDefault="00D20A1F" w:rsidP="002C02E3">
      <w:pPr>
        <w:pStyle w:val="31"/>
        <w:tabs>
          <w:tab w:val="right" w:leader="dot" w:pos="8296"/>
        </w:tabs>
        <w:ind w:firstLine="420"/>
        <w:rPr>
          <w:rFonts w:eastAsiaTheme="minorEastAsia" w:cs="Times New Roman"/>
          <w:noProof/>
        </w:rPr>
      </w:pPr>
      <w:hyperlink w:anchor="_Toc22234365" w:history="1">
        <w:r w:rsidR="002C02E3" w:rsidRPr="0081478A">
          <w:rPr>
            <w:rStyle w:val="af"/>
            <w:rFonts w:cs="Times New Roman"/>
            <w:noProof/>
            <w:color w:val="auto"/>
          </w:rPr>
          <w:t>Ⅲ Water Saving and Water Resources Utilization</w:t>
        </w:r>
        <w:r w:rsidR="002C02E3" w:rsidRPr="0081478A">
          <w:rPr>
            <w:rFonts w:cs="Times New Roman"/>
            <w:noProof/>
            <w:webHidden/>
          </w:rPr>
          <w:tab/>
        </w:r>
        <w:r w:rsidR="00E36489">
          <w:rPr>
            <w:rFonts w:cs="Times New Roman"/>
            <w:noProof/>
            <w:webHidden/>
          </w:rPr>
          <w:t>136</w:t>
        </w:r>
      </w:hyperlink>
    </w:p>
    <w:p w14:paraId="07909F47" w14:textId="353CD0F5" w:rsidR="002C02E3" w:rsidRPr="0081478A" w:rsidRDefault="00D20A1F" w:rsidP="002C02E3">
      <w:pPr>
        <w:pStyle w:val="31"/>
        <w:tabs>
          <w:tab w:val="right" w:leader="dot" w:pos="8296"/>
        </w:tabs>
        <w:ind w:firstLine="420"/>
        <w:rPr>
          <w:rFonts w:eastAsiaTheme="minorEastAsia" w:cs="Times New Roman"/>
          <w:noProof/>
        </w:rPr>
      </w:pPr>
      <w:hyperlink w:anchor="_Toc22234366" w:history="1">
        <w:r w:rsidR="002C02E3" w:rsidRPr="0081478A">
          <w:rPr>
            <w:rStyle w:val="af"/>
            <w:rFonts w:cs="Times New Roman"/>
            <w:noProof/>
            <w:color w:val="auto"/>
          </w:rPr>
          <w:t>Ⅳ Material Saving and Green Materials</w:t>
        </w:r>
        <w:r w:rsidR="002C02E3" w:rsidRPr="0081478A">
          <w:rPr>
            <w:rFonts w:cs="Times New Roman"/>
            <w:noProof/>
            <w:webHidden/>
          </w:rPr>
          <w:tab/>
        </w:r>
        <w:r w:rsidR="00E36489">
          <w:rPr>
            <w:rFonts w:cs="Times New Roman"/>
            <w:noProof/>
            <w:webHidden/>
          </w:rPr>
          <w:t>141</w:t>
        </w:r>
      </w:hyperlink>
    </w:p>
    <w:p w14:paraId="523B0DAE" w14:textId="2552683E" w:rsidR="002C02E3" w:rsidRPr="0081478A" w:rsidRDefault="00D20A1F" w:rsidP="002C02E3">
      <w:pPr>
        <w:pStyle w:val="15"/>
        <w:tabs>
          <w:tab w:val="right" w:leader="dot" w:pos="8296"/>
        </w:tabs>
        <w:ind w:firstLine="420"/>
        <w:rPr>
          <w:rFonts w:eastAsiaTheme="minorEastAsia" w:cs="Times New Roman"/>
          <w:noProof/>
        </w:rPr>
      </w:pPr>
      <w:hyperlink w:anchor="_Toc22234367" w:history="1">
        <w:r w:rsidR="002C02E3" w:rsidRPr="0081478A">
          <w:rPr>
            <w:rStyle w:val="af"/>
            <w:rFonts w:cs="Times New Roman"/>
            <w:noProof/>
            <w:color w:val="auto"/>
          </w:rPr>
          <w:t>8  Environment Livability</w:t>
        </w:r>
        <w:r w:rsidR="002C02E3" w:rsidRPr="0081478A">
          <w:rPr>
            <w:rFonts w:cs="Times New Roman"/>
            <w:noProof/>
            <w:webHidden/>
          </w:rPr>
          <w:tab/>
        </w:r>
        <w:r w:rsidR="002C02E3" w:rsidRPr="0081478A">
          <w:rPr>
            <w:rFonts w:cs="Times New Roman"/>
            <w:noProof/>
            <w:webHidden/>
          </w:rPr>
          <w:fldChar w:fldCharType="begin"/>
        </w:r>
        <w:r w:rsidR="002C02E3" w:rsidRPr="0081478A">
          <w:rPr>
            <w:rFonts w:cs="Times New Roman"/>
            <w:noProof/>
            <w:webHidden/>
          </w:rPr>
          <w:instrText xml:space="preserve"> PAGEREF _Toc22234367 \h </w:instrText>
        </w:r>
        <w:r w:rsidR="002C02E3" w:rsidRPr="0081478A">
          <w:rPr>
            <w:rFonts w:cs="Times New Roman"/>
            <w:noProof/>
            <w:webHidden/>
          </w:rPr>
        </w:r>
        <w:r w:rsidR="002C02E3" w:rsidRPr="0081478A">
          <w:rPr>
            <w:rFonts w:cs="Times New Roman"/>
            <w:noProof/>
            <w:webHidden/>
          </w:rPr>
          <w:fldChar w:fldCharType="separate"/>
        </w:r>
        <w:r w:rsidR="002C02E3" w:rsidRPr="0081478A">
          <w:rPr>
            <w:rFonts w:cs="Times New Roman"/>
            <w:noProof/>
            <w:webHidden/>
          </w:rPr>
          <w:t>1</w:t>
        </w:r>
        <w:r w:rsidR="00E36489">
          <w:rPr>
            <w:rFonts w:cs="Times New Roman"/>
            <w:noProof/>
            <w:webHidden/>
          </w:rPr>
          <w:t>49</w:t>
        </w:r>
        <w:r w:rsidR="002C02E3" w:rsidRPr="0081478A">
          <w:rPr>
            <w:rFonts w:cs="Times New Roman"/>
            <w:noProof/>
            <w:webHidden/>
          </w:rPr>
          <w:fldChar w:fldCharType="end"/>
        </w:r>
      </w:hyperlink>
    </w:p>
    <w:p w14:paraId="3E88B077" w14:textId="0ACF9D9E" w:rsidR="002C02E3" w:rsidRPr="0081478A" w:rsidRDefault="00D20A1F" w:rsidP="002C02E3">
      <w:pPr>
        <w:pStyle w:val="22"/>
        <w:rPr>
          <w:rFonts w:eastAsiaTheme="minorEastAsia"/>
        </w:rPr>
      </w:pPr>
      <w:hyperlink w:anchor="_Toc22234368" w:history="1">
        <w:r w:rsidR="002C02E3" w:rsidRPr="0081478A">
          <w:rPr>
            <w:rStyle w:val="af"/>
            <w:color w:val="auto"/>
          </w:rPr>
          <w:t>8.1 Prerequisite Items</w:t>
        </w:r>
        <w:r w:rsidR="002C02E3" w:rsidRPr="0081478A">
          <w:rPr>
            <w:webHidden/>
          </w:rPr>
          <w:tab/>
        </w:r>
        <w:r w:rsidR="002C02E3" w:rsidRPr="0081478A">
          <w:rPr>
            <w:webHidden/>
          </w:rPr>
          <w:fldChar w:fldCharType="begin"/>
        </w:r>
        <w:r w:rsidR="002C02E3" w:rsidRPr="0081478A">
          <w:rPr>
            <w:webHidden/>
          </w:rPr>
          <w:instrText xml:space="preserve"> PAGEREF _Toc22234368 \h </w:instrText>
        </w:r>
        <w:r w:rsidR="002C02E3" w:rsidRPr="0081478A">
          <w:rPr>
            <w:webHidden/>
          </w:rPr>
        </w:r>
        <w:r w:rsidR="002C02E3" w:rsidRPr="0081478A">
          <w:rPr>
            <w:webHidden/>
          </w:rPr>
          <w:fldChar w:fldCharType="separate"/>
        </w:r>
        <w:r w:rsidR="002C02E3" w:rsidRPr="0081478A">
          <w:rPr>
            <w:webHidden/>
          </w:rPr>
          <w:t>1</w:t>
        </w:r>
        <w:r w:rsidR="00E36489">
          <w:rPr>
            <w:webHidden/>
          </w:rPr>
          <w:t>49</w:t>
        </w:r>
        <w:r w:rsidR="002C02E3" w:rsidRPr="0081478A">
          <w:rPr>
            <w:webHidden/>
          </w:rPr>
          <w:fldChar w:fldCharType="end"/>
        </w:r>
      </w:hyperlink>
    </w:p>
    <w:p w14:paraId="1CE6A06C" w14:textId="288CAE28" w:rsidR="002C02E3" w:rsidRPr="0081478A" w:rsidRDefault="00D20A1F" w:rsidP="002C02E3">
      <w:pPr>
        <w:pStyle w:val="22"/>
        <w:rPr>
          <w:rFonts w:eastAsiaTheme="minorEastAsia"/>
        </w:rPr>
      </w:pPr>
      <w:hyperlink w:anchor="_Toc22234369" w:history="1">
        <w:r w:rsidR="002C02E3" w:rsidRPr="0081478A">
          <w:rPr>
            <w:rStyle w:val="af"/>
            <w:color w:val="auto"/>
          </w:rPr>
          <w:t>8.2 Scoring Items</w:t>
        </w:r>
        <w:r w:rsidR="002C02E3" w:rsidRPr="0081478A">
          <w:rPr>
            <w:webHidden/>
          </w:rPr>
          <w:tab/>
        </w:r>
        <w:r w:rsidR="00E36489">
          <w:rPr>
            <w:webHidden/>
          </w:rPr>
          <w:t>158</w:t>
        </w:r>
      </w:hyperlink>
    </w:p>
    <w:p w14:paraId="56A504E2" w14:textId="159F47A5" w:rsidR="002C02E3" w:rsidRPr="0081478A" w:rsidRDefault="00D20A1F" w:rsidP="002C02E3">
      <w:pPr>
        <w:pStyle w:val="31"/>
        <w:tabs>
          <w:tab w:val="right" w:leader="dot" w:pos="8296"/>
        </w:tabs>
        <w:ind w:firstLine="420"/>
        <w:rPr>
          <w:rFonts w:eastAsiaTheme="minorEastAsia" w:cs="Times New Roman"/>
          <w:noProof/>
        </w:rPr>
      </w:pPr>
      <w:hyperlink w:anchor="_Toc22234370" w:history="1">
        <w:r w:rsidR="002C02E3" w:rsidRPr="0081478A">
          <w:rPr>
            <w:rStyle w:val="af"/>
            <w:rFonts w:cs="Times New Roman"/>
            <w:noProof/>
            <w:color w:val="auto"/>
          </w:rPr>
          <w:t>Ⅰ Site Ecology and Landscape</w:t>
        </w:r>
        <w:r w:rsidR="002C02E3" w:rsidRPr="0081478A">
          <w:rPr>
            <w:rFonts w:cs="Times New Roman"/>
            <w:noProof/>
            <w:webHidden/>
          </w:rPr>
          <w:tab/>
        </w:r>
        <w:r w:rsidR="002C02E3" w:rsidRPr="0081478A">
          <w:rPr>
            <w:rFonts w:cs="Times New Roman"/>
            <w:noProof/>
            <w:webHidden/>
          </w:rPr>
          <w:fldChar w:fldCharType="begin"/>
        </w:r>
        <w:r w:rsidR="002C02E3" w:rsidRPr="0081478A">
          <w:rPr>
            <w:rFonts w:cs="Times New Roman"/>
            <w:noProof/>
            <w:webHidden/>
          </w:rPr>
          <w:instrText xml:space="preserve"> PAGEREF _Toc22234370 \h </w:instrText>
        </w:r>
        <w:r w:rsidR="002C02E3" w:rsidRPr="0081478A">
          <w:rPr>
            <w:rFonts w:cs="Times New Roman"/>
            <w:noProof/>
            <w:webHidden/>
          </w:rPr>
        </w:r>
        <w:r w:rsidR="002C02E3" w:rsidRPr="0081478A">
          <w:rPr>
            <w:rFonts w:cs="Times New Roman"/>
            <w:noProof/>
            <w:webHidden/>
          </w:rPr>
          <w:fldChar w:fldCharType="separate"/>
        </w:r>
        <w:r w:rsidR="002C02E3" w:rsidRPr="0081478A">
          <w:rPr>
            <w:rFonts w:cs="Times New Roman"/>
            <w:noProof/>
            <w:webHidden/>
          </w:rPr>
          <w:t>1</w:t>
        </w:r>
        <w:r w:rsidR="00E36489">
          <w:rPr>
            <w:rFonts w:cs="Times New Roman"/>
            <w:noProof/>
            <w:webHidden/>
          </w:rPr>
          <w:t>58</w:t>
        </w:r>
        <w:r w:rsidR="002C02E3" w:rsidRPr="0081478A">
          <w:rPr>
            <w:rFonts w:cs="Times New Roman"/>
            <w:noProof/>
            <w:webHidden/>
          </w:rPr>
          <w:fldChar w:fldCharType="end"/>
        </w:r>
      </w:hyperlink>
    </w:p>
    <w:p w14:paraId="13B92E0B" w14:textId="0DDF7EC8" w:rsidR="002C02E3" w:rsidRPr="0081478A" w:rsidRDefault="00D20A1F" w:rsidP="002C02E3">
      <w:pPr>
        <w:pStyle w:val="31"/>
        <w:tabs>
          <w:tab w:val="right" w:leader="dot" w:pos="8296"/>
        </w:tabs>
        <w:ind w:firstLine="420"/>
        <w:rPr>
          <w:rFonts w:eastAsiaTheme="minorEastAsia" w:cs="Times New Roman"/>
          <w:noProof/>
        </w:rPr>
      </w:pPr>
      <w:hyperlink w:anchor="_Toc22234371" w:history="1">
        <w:r w:rsidR="002C02E3" w:rsidRPr="0081478A">
          <w:rPr>
            <w:rStyle w:val="af"/>
            <w:rFonts w:cs="Times New Roman"/>
            <w:noProof/>
            <w:color w:val="auto"/>
          </w:rPr>
          <w:t>Ⅱ Outdoor Physical Environment</w:t>
        </w:r>
        <w:r w:rsidR="002C02E3" w:rsidRPr="0081478A">
          <w:rPr>
            <w:rFonts w:cs="Times New Roman"/>
            <w:noProof/>
            <w:webHidden/>
          </w:rPr>
          <w:tab/>
        </w:r>
        <w:r w:rsidR="00E36489">
          <w:rPr>
            <w:rFonts w:cs="Times New Roman"/>
            <w:noProof/>
            <w:webHidden/>
          </w:rPr>
          <w:t>167</w:t>
        </w:r>
      </w:hyperlink>
    </w:p>
    <w:p w14:paraId="42280A9A" w14:textId="19F76C47" w:rsidR="002C02E3" w:rsidRPr="0081478A" w:rsidRDefault="00D20A1F" w:rsidP="002C02E3">
      <w:pPr>
        <w:pStyle w:val="15"/>
        <w:tabs>
          <w:tab w:val="right" w:leader="dot" w:pos="8296"/>
        </w:tabs>
        <w:ind w:firstLine="420"/>
        <w:rPr>
          <w:rFonts w:eastAsiaTheme="minorEastAsia" w:cs="Times New Roman"/>
          <w:noProof/>
        </w:rPr>
      </w:pPr>
      <w:hyperlink w:anchor="_Toc22234372" w:history="1">
        <w:r w:rsidR="002C02E3" w:rsidRPr="0081478A">
          <w:rPr>
            <w:rStyle w:val="af"/>
            <w:rFonts w:cs="Times New Roman"/>
            <w:noProof/>
            <w:color w:val="auto"/>
          </w:rPr>
          <w:t>9 Promotion and Innovation</w:t>
        </w:r>
        <w:r w:rsidR="002C02E3" w:rsidRPr="0081478A">
          <w:rPr>
            <w:rFonts w:cs="Times New Roman"/>
            <w:noProof/>
            <w:webHidden/>
          </w:rPr>
          <w:tab/>
        </w:r>
        <w:r w:rsidR="002C02E3" w:rsidRPr="0081478A">
          <w:rPr>
            <w:rFonts w:cs="Times New Roman"/>
            <w:noProof/>
            <w:webHidden/>
          </w:rPr>
          <w:fldChar w:fldCharType="begin"/>
        </w:r>
        <w:r w:rsidR="002C02E3" w:rsidRPr="0081478A">
          <w:rPr>
            <w:rFonts w:cs="Times New Roman"/>
            <w:noProof/>
            <w:webHidden/>
          </w:rPr>
          <w:instrText xml:space="preserve"> PAGEREF _Toc22234372 \h </w:instrText>
        </w:r>
        <w:r w:rsidR="002C02E3" w:rsidRPr="0081478A">
          <w:rPr>
            <w:rFonts w:cs="Times New Roman"/>
            <w:noProof/>
            <w:webHidden/>
          </w:rPr>
        </w:r>
        <w:r w:rsidR="002C02E3" w:rsidRPr="0081478A">
          <w:rPr>
            <w:rFonts w:cs="Times New Roman"/>
            <w:noProof/>
            <w:webHidden/>
          </w:rPr>
          <w:fldChar w:fldCharType="separate"/>
        </w:r>
        <w:r w:rsidR="002C02E3" w:rsidRPr="0081478A">
          <w:rPr>
            <w:rFonts w:cs="Times New Roman"/>
            <w:noProof/>
            <w:webHidden/>
          </w:rPr>
          <w:t>1</w:t>
        </w:r>
        <w:r w:rsidR="00E36489">
          <w:rPr>
            <w:rFonts w:cs="Times New Roman"/>
            <w:noProof/>
            <w:webHidden/>
          </w:rPr>
          <w:t>74</w:t>
        </w:r>
        <w:r w:rsidR="002C02E3" w:rsidRPr="0081478A">
          <w:rPr>
            <w:rFonts w:cs="Times New Roman"/>
            <w:noProof/>
            <w:webHidden/>
          </w:rPr>
          <w:fldChar w:fldCharType="end"/>
        </w:r>
      </w:hyperlink>
    </w:p>
    <w:p w14:paraId="152B8F0A" w14:textId="6C89CD87" w:rsidR="002C02E3" w:rsidRPr="0081478A" w:rsidRDefault="00D20A1F" w:rsidP="002C02E3">
      <w:pPr>
        <w:pStyle w:val="22"/>
        <w:rPr>
          <w:rFonts w:eastAsiaTheme="minorEastAsia"/>
        </w:rPr>
      </w:pPr>
      <w:hyperlink w:anchor="_Toc22234373" w:history="1">
        <w:r w:rsidR="002C02E3" w:rsidRPr="0081478A">
          <w:rPr>
            <w:rStyle w:val="af"/>
            <w:color w:val="auto"/>
          </w:rPr>
          <w:t>9.1 General Requirements</w:t>
        </w:r>
        <w:r w:rsidR="002C02E3" w:rsidRPr="0081478A">
          <w:rPr>
            <w:webHidden/>
          </w:rPr>
          <w:tab/>
        </w:r>
        <w:r w:rsidR="002C02E3" w:rsidRPr="0081478A">
          <w:rPr>
            <w:webHidden/>
          </w:rPr>
          <w:fldChar w:fldCharType="begin"/>
        </w:r>
        <w:r w:rsidR="002C02E3" w:rsidRPr="0081478A">
          <w:rPr>
            <w:webHidden/>
          </w:rPr>
          <w:instrText xml:space="preserve"> PAGEREF _Toc22234373 \h </w:instrText>
        </w:r>
        <w:r w:rsidR="002C02E3" w:rsidRPr="0081478A">
          <w:rPr>
            <w:webHidden/>
          </w:rPr>
        </w:r>
        <w:r w:rsidR="002C02E3" w:rsidRPr="0081478A">
          <w:rPr>
            <w:webHidden/>
          </w:rPr>
          <w:fldChar w:fldCharType="separate"/>
        </w:r>
        <w:r w:rsidR="002C02E3" w:rsidRPr="0081478A">
          <w:rPr>
            <w:webHidden/>
          </w:rPr>
          <w:t>1</w:t>
        </w:r>
        <w:r w:rsidR="00E36489">
          <w:rPr>
            <w:webHidden/>
          </w:rPr>
          <w:t>74</w:t>
        </w:r>
        <w:r w:rsidR="002C02E3" w:rsidRPr="0081478A">
          <w:rPr>
            <w:webHidden/>
          </w:rPr>
          <w:fldChar w:fldCharType="end"/>
        </w:r>
      </w:hyperlink>
    </w:p>
    <w:p w14:paraId="431B24FC" w14:textId="42EDD757" w:rsidR="002C02E3" w:rsidRPr="0081478A" w:rsidRDefault="00D20A1F" w:rsidP="002C02E3">
      <w:pPr>
        <w:pStyle w:val="22"/>
        <w:rPr>
          <w:rFonts w:eastAsiaTheme="minorEastAsia"/>
        </w:rPr>
      </w:pPr>
      <w:hyperlink w:anchor="_Toc22234374" w:history="1">
        <w:r w:rsidR="002C02E3" w:rsidRPr="0081478A">
          <w:rPr>
            <w:rStyle w:val="af"/>
            <w:color w:val="auto"/>
          </w:rPr>
          <w:t>9.2 Bonus Items</w:t>
        </w:r>
        <w:r w:rsidR="002C02E3" w:rsidRPr="0081478A">
          <w:rPr>
            <w:webHidden/>
          </w:rPr>
          <w:tab/>
        </w:r>
        <w:r w:rsidR="00E36489">
          <w:rPr>
            <w:webHidden/>
          </w:rPr>
          <w:t>174</w:t>
        </w:r>
      </w:hyperlink>
    </w:p>
    <w:p w14:paraId="0366B3CA" w14:textId="215B746B" w:rsidR="002C02E3" w:rsidRPr="0081478A" w:rsidRDefault="00D20A1F" w:rsidP="002C02E3">
      <w:pPr>
        <w:pStyle w:val="22"/>
        <w:rPr>
          <w:rFonts w:eastAsiaTheme="minorEastAsia"/>
        </w:rPr>
      </w:pPr>
      <w:hyperlink w:anchor="_Toc22234375" w:history="1">
        <w:r w:rsidR="00882EEB" w:rsidRPr="0081478A">
          <w:rPr>
            <w:rStyle w:val="af"/>
            <w:color w:val="auto"/>
          </w:rPr>
          <w:t>Explanation of Wording in This Standard</w:t>
        </w:r>
        <w:r w:rsidR="002C02E3" w:rsidRPr="0081478A">
          <w:rPr>
            <w:webHidden/>
          </w:rPr>
          <w:tab/>
        </w:r>
        <w:r w:rsidR="00E36489">
          <w:rPr>
            <w:webHidden/>
          </w:rPr>
          <w:t>198</w:t>
        </w:r>
      </w:hyperlink>
    </w:p>
    <w:p w14:paraId="160BF080" w14:textId="5915A15B" w:rsidR="002C02E3" w:rsidRDefault="00D20A1F" w:rsidP="002C02E3">
      <w:pPr>
        <w:pStyle w:val="22"/>
      </w:pPr>
      <w:hyperlink w:anchor="_Toc22234376" w:history="1">
        <w:r w:rsidR="00882EEB" w:rsidRPr="0081478A">
          <w:rPr>
            <w:rStyle w:val="af"/>
            <w:color w:val="auto"/>
          </w:rPr>
          <w:t>List of Quoted Standard</w:t>
        </w:r>
        <w:r w:rsidR="002C02E3" w:rsidRPr="0081478A">
          <w:rPr>
            <w:webHidden/>
          </w:rPr>
          <w:tab/>
        </w:r>
        <w:r w:rsidR="00E36489">
          <w:rPr>
            <w:webHidden/>
          </w:rPr>
          <w:t>199</w:t>
        </w:r>
      </w:hyperlink>
    </w:p>
    <w:p w14:paraId="428B5B12" w14:textId="3DEFC055" w:rsidR="00E36489" w:rsidRDefault="00D20A1F" w:rsidP="00E36489">
      <w:pPr>
        <w:pStyle w:val="22"/>
      </w:pPr>
      <w:hyperlink w:anchor="_Toc22234376" w:history="1">
        <w:r w:rsidR="00E36489" w:rsidRPr="00E36489">
          <w:t>appendix</w:t>
        </w:r>
        <w:r w:rsidR="00E36489" w:rsidRPr="0081478A">
          <w:rPr>
            <w:webHidden/>
          </w:rPr>
          <w:tab/>
        </w:r>
        <w:r w:rsidR="00E36489">
          <w:rPr>
            <w:webHidden/>
          </w:rPr>
          <w:t>200</w:t>
        </w:r>
      </w:hyperlink>
    </w:p>
    <w:p w14:paraId="6316271B" w14:textId="77777777" w:rsidR="00F23581" w:rsidRPr="0081478A" w:rsidRDefault="002C02E3" w:rsidP="002C02E3">
      <w:pPr>
        <w:widowControl/>
        <w:spacing w:line="240" w:lineRule="auto"/>
        <w:ind w:firstLineChars="0" w:firstLine="0"/>
        <w:jc w:val="left"/>
        <w:rPr>
          <w:rFonts w:cs="Times New Roman"/>
          <w:b/>
          <w:bCs/>
          <w:kern w:val="44"/>
          <w:sz w:val="44"/>
          <w:szCs w:val="44"/>
        </w:rPr>
      </w:pPr>
      <w:r w:rsidRPr="0081478A">
        <w:rPr>
          <w:rFonts w:cs="Times New Roman"/>
          <w:szCs w:val="24"/>
        </w:rPr>
        <w:fldChar w:fldCharType="end"/>
      </w:r>
    </w:p>
    <w:p w14:paraId="63E71105" w14:textId="77777777" w:rsidR="00F23581" w:rsidRPr="0081478A" w:rsidRDefault="00F23581">
      <w:pPr>
        <w:widowControl/>
        <w:spacing w:line="240" w:lineRule="auto"/>
        <w:ind w:firstLineChars="0" w:firstLine="0"/>
        <w:jc w:val="left"/>
        <w:rPr>
          <w:rFonts w:cs="Times New Roman"/>
          <w:b/>
          <w:bCs/>
          <w:kern w:val="44"/>
          <w:sz w:val="44"/>
          <w:szCs w:val="44"/>
        </w:rPr>
      </w:pPr>
    </w:p>
    <w:p w14:paraId="3284E155" w14:textId="77777777" w:rsidR="00F23581" w:rsidRPr="0081478A" w:rsidRDefault="00F23581">
      <w:pPr>
        <w:widowControl/>
        <w:spacing w:line="240" w:lineRule="auto"/>
        <w:ind w:firstLineChars="0" w:firstLine="0"/>
        <w:jc w:val="left"/>
        <w:rPr>
          <w:rFonts w:cs="Times New Roman"/>
          <w:b/>
          <w:bCs/>
          <w:kern w:val="44"/>
          <w:sz w:val="44"/>
          <w:szCs w:val="44"/>
        </w:rPr>
      </w:pPr>
    </w:p>
    <w:p w14:paraId="2EC53EAA" w14:textId="77777777" w:rsidR="00F23581" w:rsidRPr="0081478A" w:rsidRDefault="00F23581">
      <w:pPr>
        <w:widowControl/>
        <w:spacing w:line="240" w:lineRule="auto"/>
        <w:ind w:firstLineChars="0" w:firstLine="0"/>
        <w:jc w:val="left"/>
        <w:rPr>
          <w:rFonts w:cs="Times New Roman"/>
          <w:b/>
          <w:bCs/>
          <w:kern w:val="44"/>
          <w:sz w:val="44"/>
          <w:szCs w:val="44"/>
        </w:rPr>
      </w:pPr>
    </w:p>
    <w:p w14:paraId="6001CFDB" w14:textId="77777777" w:rsidR="00F23581" w:rsidRPr="0081478A" w:rsidRDefault="00F23581">
      <w:pPr>
        <w:widowControl/>
        <w:spacing w:line="240" w:lineRule="auto"/>
        <w:ind w:firstLineChars="0" w:firstLine="0"/>
        <w:jc w:val="left"/>
        <w:rPr>
          <w:rFonts w:cs="Times New Roman"/>
          <w:b/>
          <w:bCs/>
          <w:kern w:val="44"/>
          <w:sz w:val="44"/>
          <w:szCs w:val="44"/>
        </w:rPr>
      </w:pPr>
    </w:p>
    <w:p w14:paraId="408FE511" w14:textId="77777777" w:rsidR="00F23581" w:rsidRPr="0081478A" w:rsidRDefault="00F23581">
      <w:pPr>
        <w:widowControl/>
        <w:spacing w:line="240" w:lineRule="auto"/>
        <w:ind w:firstLineChars="0" w:firstLine="0"/>
        <w:jc w:val="left"/>
        <w:rPr>
          <w:rFonts w:cs="Times New Roman"/>
          <w:b/>
          <w:bCs/>
          <w:kern w:val="44"/>
          <w:sz w:val="44"/>
          <w:szCs w:val="44"/>
        </w:rPr>
      </w:pPr>
    </w:p>
    <w:p w14:paraId="6B539537" w14:textId="77777777" w:rsidR="00F23581" w:rsidRPr="0081478A" w:rsidRDefault="00F23581">
      <w:pPr>
        <w:widowControl/>
        <w:spacing w:line="240" w:lineRule="auto"/>
        <w:ind w:firstLineChars="0" w:firstLine="0"/>
        <w:jc w:val="left"/>
        <w:rPr>
          <w:rFonts w:cs="Times New Roman"/>
          <w:b/>
          <w:bCs/>
          <w:kern w:val="44"/>
          <w:sz w:val="44"/>
          <w:szCs w:val="44"/>
        </w:rPr>
      </w:pPr>
    </w:p>
    <w:p w14:paraId="0090493C" w14:textId="77777777" w:rsidR="00F23581" w:rsidRPr="0081478A" w:rsidRDefault="00F23581">
      <w:pPr>
        <w:widowControl/>
        <w:spacing w:line="240" w:lineRule="auto"/>
        <w:ind w:firstLineChars="0" w:firstLine="0"/>
        <w:jc w:val="left"/>
        <w:rPr>
          <w:rFonts w:cs="Times New Roman"/>
          <w:b/>
          <w:bCs/>
          <w:kern w:val="44"/>
          <w:sz w:val="44"/>
          <w:szCs w:val="44"/>
        </w:rPr>
      </w:pPr>
    </w:p>
    <w:p w14:paraId="3A5625CA" w14:textId="77777777" w:rsidR="00F23581" w:rsidRPr="0081478A" w:rsidRDefault="00F23581">
      <w:pPr>
        <w:widowControl/>
        <w:spacing w:line="240" w:lineRule="auto"/>
        <w:ind w:firstLineChars="0" w:firstLine="0"/>
        <w:jc w:val="left"/>
        <w:rPr>
          <w:rFonts w:cs="Times New Roman"/>
          <w:b/>
          <w:bCs/>
          <w:kern w:val="44"/>
          <w:sz w:val="44"/>
          <w:szCs w:val="44"/>
        </w:rPr>
      </w:pPr>
    </w:p>
    <w:p w14:paraId="15F4898F" w14:textId="77777777" w:rsidR="00F23581" w:rsidRPr="0081478A" w:rsidRDefault="00F23581">
      <w:pPr>
        <w:widowControl/>
        <w:spacing w:line="240" w:lineRule="auto"/>
        <w:ind w:firstLineChars="0" w:firstLine="0"/>
        <w:jc w:val="left"/>
        <w:rPr>
          <w:rFonts w:cs="Times New Roman"/>
          <w:b/>
          <w:bCs/>
          <w:kern w:val="44"/>
          <w:sz w:val="44"/>
          <w:szCs w:val="44"/>
        </w:rPr>
      </w:pPr>
    </w:p>
    <w:p w14:paraId="0417DA93" w14:textId="77777777" w:rsidR="00715ABB" w:rsidRPr="0081478A" w:rsidRDefault="00F44390" w:rsidP="00643310">
      <w:pPr>
        <w:pStyle w:val="1"/>
      </w:pPr>
      <w:bookmarkStart w:id="6" w:name="_Toc35364722"/>
      <w:r w:rsidRPr="0081478A">
        <w:lastRenderedPageBreak/>
        <w:t xml:space="preserve">1  </w:t>
      </w:r>
      <w:r w:rsidRPr="0081478A">
        <w:t>总则</w:t>
      </w:r>
      <w:bookmarkEnd w:id="2"/>
      <w:bookmarkEnd w:id="3"/>
      <w:bookmarkEnd w:id="6"/>
    </w:p>
    <w:p w14:paraId="2228FBF1" w14:textId="77777777" w:rsidR="00715ABB" w:rsidRPr="0081478A" w:rsidRDefault="00F44390" w:rsidP="00AB036B">
      <w:pPr>
        <w:pStyle w:val="4"/>
        <w:rPr>
          <w:rFonts w:cs="Times New Roman"/>
        </w:rPr>
      </w:pPr>
      <w:bookmarkStart w:id="7" w:name="_Toc406395653"/>
      <w:bookmarkStart w:id="8" w:name="_Toc10660257"/>
      <w:r w:rsidRPr="0081478A">
        <w:rPr>
          <w:rFonts w:cs="Times New Roman"/>
        </w:rPr>
        <w:t>1.0.1</w:t>
      </w:r>
      <w:bookmarkEnd w:id="7"/>
      <w:r w:rsidRPr="0081478A">
        <w:rPr>
          <w:rFonts w:cs="Times New Roman"/>
        </w:rPr>
        <w:t xml:space="preserve"> </w:t>
      </w:r>
      <w:r w:rsidRPr="0081478A">
        <w:rPr>
          <w:rFonts w:cs="Times New Roman"/>
        </w:rPr>
        <w:t>为贯彻落实绿色发展理念，推进绿色建筑高质量发展，节约资源，保护环境，满足人民日益增长的美好生活需要，制定本标准。</w:t>
      </w:r>
      <w:bookmarkEnd w:id="8"/>
    </w:p>
    <w:p w14:paraId="19560B6B"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1500CA8F" w14:textId="77777777" w:rsidR="00715ABB" w:rsidRPr="0081478A" w:rsidRDefault="00F44390">
      <w:pPr>
        <w:ind w:firstLine="420"/>
        <w:rPr>
          <w:rFonts w:cs="Times New Roman"/>
        </w:rPr>
      </w:pPr>
      <w:r w:rsidRPr="0081478A">
        <w:rPr>
          <w:rFonts w:cs="Times New Roman"/>
        </w:rPr>
        <w:t>本条沿引自国家《绿色建筑评价标准》</w:t>
      </w:r>
      <w:r w:rsidRPr="0081478A">
        <w:rPr>
          <w:rFonts w:cs="Times New Roman"/>
        </w:rPr>
        <w:t>GB/T 50378-2019</w:t>
      </w:r>
      <w:r w:rsidRPr="0081478A">
        <w:rPr>
          <w:rFonts w:cs="Times New Roman"/>
        </w:rPr>
        <w:t>。</w:t>
      </w:r>
    </w:p>
    <w:p w14:paraId="5A679CC0" w14:textId="77777777" w:rsidR="00715ABB" w:rsidRPr="0081478A" w:rsidRDefault="00F44390">
      <w:pPr>
        <w:ind w:firstLine="420"/>
        <w:rPr>
          <w:rFonts w:cs="Times New Roman"/>
        </w:rPr>
      </w:pPr>
      <w:r w:rsidRPr="0081478A">
        <w:rPr>
          <w:rFonts w:cs="Times New Roman"/>
        </w:rPr>
        <w:t>我国绿色建筑历经</w:t>
      </w:r>
      <w:r w:rsidRPr="0081478A">
        <w:rPr>
          <w:rFonts w:cs="Times New Roman"/>
        </w:rPr>
        <w:t>10</w:t>
      </w:r>
      <w:r w:rsidRPr="0081478A">
        <w:rPr>
          <w:rFonts w:cs="Times New Roman"/>
        </w:rPr>
        <w:t>余年的发展，已实现从无到有、从少到多、从个别城市到全国范围，从单体到城区、到城市规模化的发展，直辖市、省会城市及计划单列市保障性安居工程已全面强制执行绿色建筑标准。绿色建筑实践工作稳步推进、绿色建筑发展效益明显，从国家到地方、从政府到公众，全社会对绿色建筑的理念、认识和需求逐步提高，绿色建筑蓬勃开展。《住房城乡建设事业</w:t>
      </w:r>
      <w:r w:rsidRPr="0081478A">
        <w:rPr>
          <w:rFonts w:cs="Times New Roman"/>
        </w:rPr>
        <w:t>“</w:t>
      </w:r>
      <w:r w:rsidRPr="0081478A">
        <w:rPr>
          <w:rFonts w:cs="Times New Roman"/>
        </w:rPr>
        <w:t>十三五</w:t>
      </w:r>
      <w:r w:rsidRPr="0081478A">
        <w:rPr>
          <w:rFonts w:cs="Times New Roman"/>
        </w:rPr>
        <w:t>”</w:t>
      </w:r>
      <w:r w:rsidRPr="0081478A">
        <w:rPr>
          <w:rFonts w:cs="Times New Roman"/>
        </w:rPr>
        <w:t>规划纲要》不仅提出到</w:t>
      </w:r>
      <w:r w:rsidRPr="0081478A">
        <w:rPr>
          <w:rFonts w:cs="Times New Roman"/>
        </w:rPr>
        <w:t>2020</w:t>
      </w:r>
      <w:r w:rsidRPr="0081478A">
        <w:rPr>
          <w:rFonts w:cs="Times New Roman"/>
        </w:rPr>
        <w:t>年城镇新建建筑中绿色建筑推广比例超过</w:t>
      </w:r>
      <w:r w:rsidRPr="0081478A">
        <w:rPr>
          <w:rFonts w:cs="Times New Roman"/>
        </w:rPr>
        <w:t>50%</w:t>
      </w:r>
      <w:r w:rsidRPr="0081478A">
        <w:rPr>
          <w:rFonts w:cs="Times New Roman"/>
        </w:rPr>
        <w:t>的目标，还部署了进一步推进绿色建筑发展的重点任务和重大举措。自我国首部《绿色建筑评价标准》</w:t>
      </w:r>
      <w:r w:rsidRPr="0081478A">
        <w:rPr>
          <w:rFonts w:cs="Times New Roman"/>
        </w:rPr>
        <w:t>GB/T 50378-2006</w:t>
      </w:r>
      <w:r w:rsidRPr="0081478A">
        <w:rPr>
          <w:rFonts w:cs="Times New Roman"/>
        </w:rPr>
        <w:t>发布实施至今，期间经历一次修订（《绿色建筑评价标准》</w:t>
      </w:r>
      <w:r w:rsidRPr="0081478A">
        <w:rPr>
          <w:rFonts w:cs="Times New Roman"/>
        </w:rPr>
        <w:t>GB/T 50378-2014</w:t>
      </w:r>
      <w:r w:rsidRPr="0081478A">
        <w:rPr>
          <w:rFonts w:cs="Times New Roman"/>
        </w:rPr>
        <w:t>，以下简称</w:t>
      </w:r>
      <w:r w:rsidRPr="0081478A">
        <w:rPr>
          <w:rFonts w:cs="Times New Roman"/>
        </w:rPr>
        <w:t>“</w:t>
      </w:r>
      <w:r w:rsidRPr="0081478A">
        <w:rPr>
          <w:rFonts w:cs="Times New Roman"/>
        </w:rPr>
        <w:t>国家标准</w:t>
      </w:r>
      <w:r w:rsidRPr="0081478A">
        <w:rPr>
          <w:rFonts w:cs="Times New Roman"/>
        </w:rPr>
        <w:t>2014</w:t>
      </w:r>
      <w:r w:rsidRPr="0081478A">
        <w:rPr>
          <w:rFonts w:cs="Times New Roman"/>
        </w:rPr>
        <w:t>年版</w:t>
      </w:r>
      <w:r w:rsidRPr="0081478A">
        <w:rPr>
          <w:rFonts w:cs="Times New Roman"/>
        </w:rPr>
        <w:t>”</w:t>
      </w:r>
      <w:r w:rsidRPr="0081478A">
        <w:rPr>
          <w:rFonts w:cs="Times New Roman"/>
        </w:rPr>
        <w:t>），对评估建筑绿色程度、保障绿色建筑质量、规范和引导我国绿色建筑健康发展发挥了重要的作用。</w:t>
      </w:r>
    </w:p>
    <w:p w14:paraId="53F5528E" w14:textId="77777777" w:rsidR="00715ABB" w:rsidRPr="0081478A" w:rsidRDefault="00F44390">
      <w:pPr>
        <w:ind w:firstLine="420"/>
        <w:rPr>
          <w:rFonts w:cs="Times New Roman"/>
        </w:rPr>
      </w:pPr>
      <w:r w:rsidRPr="0081478A">
        <w:rPr>
          <w:rFonts w:cs="Times New Roman"/>
        </w:rPr>
        <w:t>然而，随着我国生态文明建设和建筑科技的快速发展，我国绿色建筑在实施和发展过程中遇到了新的问题、机遇和挑战。建筑科技发展迅速，建筑工业化、海绵城市、建筑信息模型（</w:t>
      </w:r>
      <w:r w:rsidRPr="0081478A">
        <w:rPr>
          <w:rFonts w:cs="Times New Roman"/>
        </w:rPr>
        <w:t>BIM</w:t>
      </w:r>
      <w:r w:rsidRPr="0081478A">
        <w:rPr>
          <w:rFonts w:cs="Times New Roman"/>
        </w:rPr>
        <w:t>）、健康建筑等高新建筑技术和理念不断涌现并投入应用，而这些新领域方向和新技术发展并未在本标准</w:t>
      </w:r>
      <w:r w:rsidRPr="0081478A">
        <w:rPr>
          <w:rFonts w:cs="Times New Roman"/>
        </w:rPr>
        <w:t>2014</w:t>
      </w:r>
      <w:r w:rsidRPr="0081478A">
        <w:rPr>
          <w:rFonts w:cs="Times New Roman"/>
        </w:rPr>
        <w:t>年版中充分体现。党的十九大报告指出，中国特色社会主义进入新时代，我国社会主要矛盾已经转化为人民日益增长的美好生活需要和不平衡不充分的发展之间的矛盾；指出增进民生福祉是发展的根本目的，要坚持以人民为中心，坚持在发展中保障和改善民生，不断满足人民日益增长的美好生活需要，使人民获得感、幸福感、安全感更加充实；提出推进绿色发展，建立健全绿色低碳循环发展的经济体系，构建市场导向的绿色技术创新体系，推进资源全面节约和循环利用，实施国家节水行动，降低能耗、物耗，实现生产系统和生活系统循环链接，倡导简约适度、绿色低碳的生活方式，开展创建节约型机关、绿色家庭、绿色学校、绿色社区和绿色出行等行动。</w:t>
      </w:r>
    </w:p>
    <w:p w14:paraId="056D0581" w14:textId="77777777" w:rsidR="00715ABB" w:rsidRPr="0081478A" w:rsidRDefault="00F44390">
      <w:pPr>
        <w:ind w:firstLine="420"/>
        <w:rPr>
          <w:rFonts w:cs="Times New Roman"/>
        </w:rPr>
      </w:pPr>
      <w:r w:rsidRPr="0081478A">
        <w:rPr>
          <w:rFonts w:cs="Times New Roman"/>
        </w:rPr>
        <w:t>综上，国家标准</w:t>
      </w:r>
      <w:r w:rsidRPr="0081478A">
        <w:rPr>
          <w:rFonts w:cs="Times New Roman"/>
        </w:rPr>
        <w:t>2014</w:t>
      </w:r>
      <w:r w:rsidRPr="0081478A">
        <w:rPr>
          <w:rFonts w:cs="Times New Roman"/>
        </w:rPr>
        <w:t>年版已不能完全适应新时代绿色建筑实践及评价工作的需要。因此，根据住房城乡建设部的要求，由中国建筑科学研究院有限公司、上海市建筑科学研究院（集团）有限公司会同有关单位对国家标准</w:t>
      </w:r>
      <w:r w:rsidRPr="0081478A">
        <w:rPr>
          <w:rFonts w:cs="Times New Roman"/>
        </w:rPr>
        <w:t>2014</w:t>
      </w:r>
      <w:r w:rsidRPr="0081478A">
        <w:rPr>
          <w:rFonts w:cs="Times New Roman"/>
        </w:rPr>
        <w:t>年版进行修订。</w:t>
      </w:r>
    </w:p>
    <w:p w14:paraId="4278D944" w14:textId="77777777" w:rsidR="00715ABB" w:rsidRPr="0081478A" w:rsidRDefault="00F44390">
      <w:pPr>
        <w:ind w:firstLine="420"/>
        <w:rPr>
          <w:rFonts w:cs="Times New Roman"/>
        </w:rPr>
      </w:pPr>
      <w:r w:rsidRPr="0081478A">
        <w:rPr>
          <w:rFonts w:cs="Times New Roman"/>
        </w:rPr>
        <w:lastRenderedPageBreak/>
        <w:t>为贯彻国家绿色建筑发展新要求，重庆市《绿色建筑评价标准》</w:t>
      </w:r>
      <w:r w:rsidRPr="0081478A">
        <w:rPr>
          <w:rFonts w:cs="Times New Roman"/>
        </w:rPr>
        <w:t>DBJ50/T-066</w:t>
      </w:r>
      <w:r w:rsidRPr="0081478A">
        <w:rPr>
          <w:rFonts w:cs="Times New Roman"/>
        </w:rPr>
        <w:t>自</w:t>
      </w:r>
      <w:r w:rsidRPr="0081478A">
        <w:rPr>
          <w:rFonts w:cs="Times New Roman"/>
        </w:rPr>
        <w:t>2006</w:t>
      </w:r>
      <w:r w:rsidRPr="0081478A">
        <w:rPr>
          <w:rFonts w:cs="Times New Roman"/>
        </w:rPr>
        <w:t>年发布，先后经历了</w:t>
      </w:r>
      <w:r w:rsidRPr="0081478A">
        <w:rPr>
          <w:rFonts w:cs="Times New Roman"/>
        </w:rPr>
        <w:t>2009</w:t>
      </w:r>
      <w:r w:rsidRPr="0081478A">
        <w:rPr>
          <w:rFonts w:cs="Times New Roman"/>
        </w:rPr>
        <w:t>年、</w:t>
      </w:r>
      <w:r w:rsidRPr="0081478A">
        <w:rPr>
          <w:rFonts w:cs="Times New Roman"/>
        </w:rPr>
        <w:t>2014</w:t>
      </w:r>
      <w:r w:rsidRPr="0081478A">
        <w:rPr>
          <w:rFonts w:cs="Times New Roman"/>
        </w:rPr>
        <w:t>年两个版本修编，随着国家标准</w:t>
      </w:r>
      <w:r w:rsidRPr="0081478A">
        <w:rPr>
          <w:rFonts w:cs="Times New Roman"/>
        </w:rPr>
        <w:t>2019</w:t>
      </w:r>
      <w:r w:rsidRPr="0081478A">
        <w:rPr>
          <w:rFonts w:cs="Times New Roman"/>
        </w:rPr>
        <w:t>年版的发布，根据重庆市住房和城乡建设委员会的工作部署和要求，以国家标准</w:t>
      </w:r>
      <w:r w:rsidRPr="0081478A">
        <w:rPr>
          <w:rFonts w:cs="Times New Roman"/>
        </w:rPr>
        <w:t>2019</w:t>
      </w:r>
      <w:r w:rsidRPr="0081478A">
        <w:rPr>
          <w:rFonts w:cs="Times New Roman"/>
        </w:rPr>
        <w:t>年版为基本框架，结合到重庆市自</w:t>
      </w:r>
      <w:r w:rsidRPr="0081478A">
        <w:rPr>
          <w:rFonts w:cs="Times New Roman"/>
        </w:rPr>
        <w:t>2011</w:t>
      </w:r>
      <w:r w:rsidRPr="0081478A">
        <w:rPr>
          <w:rFonts w:cs="Times New Roman"/>
        </w:rPr>
        <w:t>年开始以来的绿色建筑评价标识推动过程中的管理经验和技术总结，重庆市绿色建筑与建筑产业化协会绿色建筑专业委员会、重庆市绿色建筑技术促进中心会同有关单位对地方标准</w:t>
      </w:r>
      <w:r w:rsidRPr="0081478A">
        <w:rPr>
          <w:rFonts w:cs="Times New Roman"/>
        </w:rPr>
        <w:t>2014</w:t>
      </w:r>
      <w:r w:rsidRPr="0081478A">
        <w:rPr>
          <w:rFonts w:cs="Times New Roman"/>
        </w:rPr>
        <w:t>版进行了修订，在国家标准要求的基础之上，针对重庆的地方特点，在相关条文的技术要求和实施细则方面进行了进一步的细化和深化。</w:t>
      </w:r>
    </w:p>
    <w:p w14:paraId="3133D068" w14:textId="77777777" w:rsidR="00715ABB" w:rsidRPr="0081478A" w:rsidRDefault="00715ABB">
      <w:pPr>
        <w:ind w:firstLine="420"/>
        <w:rPr>
          <w:rFonts w:cs="Times New Roman"/>
        </w:rPr>
      </w:pPr>
    </w:p>
    <w:p w14:paraId="2BCF034B" w14:textId="523FF64A" w:rsidR="00715ABB" w:rsidRPr="0081478A" w:rsidRDefault="00F44390" w:rsidP="00AB036B">
      <w:pPr>
        <w:pStyle w:val="4"/>
        <w:rPr>
          <w:rFonts w:cs="Times New Roman"/>
        </w:rPr>
      </w:pPr>
      <w:bookmarkStart w:id="9" w:name="_Toc406395654"/>
      <w:bookmarkStart w:id="10" w:name="_Toc10660258"/>
      <w:r w:rsidRPr="0081478A">
        <w:rPr>
          <w:rFonts w:cs="Times New Roman"/>
        </w:rPr>
        <w:t>1.0.2</w:t>
      </w:r>
      <w:bookmarkEnd w:id="9"/>
      <w:r w:rsidRPr="0081478A">
        <w:rPr>
          <w:rFonts w:cs="Times New Roman"/>
        </w:rPr>
        <w:t xml:space="preserve"> </w:t>
      </w:r>
      <w:r w:rsidRPr="0081478A">
        <w:rPr>
          <w:rFonts w:cs="Times New Roman"/>
        </w:rPr>
        <w:t>本标准适用于</w:t>
      </w:r>
      <w:r w:rsidR="00210C43" w:rsidRPr="0081478A">
        <w:rPr>
          <w:rFonts w:cs="Times New Roman"/>
        </w:rPr>
        <w:t>重庆市</w:t>
      </w:r>
      <w:r w:rsidRPr="0081478A">
        <w:rPr>
          <w:rFonts w:cs="Times New Roman"/>
        </w:rPr>
        <w:t>民用建筑绿色性能的评价。</w:t>
      </w:r>
      <w:bookmarkEnd w:id="10"/>
    </w:p>
    <w:p w14:paraId="3FBE221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7C2EE85A" w14:textId="77777777" w:rsidR="00715ABB" w:rsidRPr="0081478A" w:rsidRDefault="00F44390">
      <w:pPr>
        <w:ind w:firstLine="420"/>
        <w:rPr>
          <w:rFonts w:cs="Times New Roman"/>
        </w:rPr>
      </w:pPr>
      <w:bookmarkStart w:id="11" w:name="_Toc406395655"/>
      <w:r w:rsidRPr="0081478A">
        <w:rPr>
          <w:rFonts w:cs="Times New Roman"/>
        </w:rPr>
        <w:t>本条沿引自国家《绿色建筑评价标准》</w:t>
      </w:r>
      <w:r w:rsidRPr="0081478A">
        <w:rPr>
          <w:rFonts w:cs="Times New Roman"/>
        </w:rPr>
        <w:t>GB/T 50378-2019</w:t>
      </w:r>
      <w:r w:rsidRPr="0081478A">
        <w:rPr>
          <w:rFonts w:cs="Times New Roman"/>
        </w:rPr>
        <w:t>。地方标准的修订重点针对其中适用于重庆地理、气候、人文等方面的内容进行了进一步明确。</w:t>
      </w:r>
    </w:p>
    <w:p w14:paraId="2E94CBA4" w14:textId="4C78BE7C" w:rsidR="00715ABB" w:rsidRPr="0081478A" w:rsidRDefault="00F44390">
      <w:pPr>
        <w:ind w:firstLine="420"/>
        <w:rPr>
          <w:rFonts w:cs="Times New Roman"/>
        </w:rPr>
      </w:pPr>
      <w:r w:rsidRPr="0081478A">
        <w:rPr>
          <w:rFonts w:cs="Times New Roman"/>
        </w:rPr>
        <w:t>本条规定了标准的适用范围，即本标准适用于各类民用建筑绿色性能的评价，包括公共建筑和</w:t>
      </w:r>
      <w:r w:rsidR="00D466D9" w:rsidRPr="0081478A">
        <w:rPr>
          <w:rFonts w:cs="Times New Roman"/>
        </w:rPr>
        <w:t>居住建筑</w:t>
      </w:r>
      <w:r w:rsidRPr="0081478A">
        <w:rPr>
          <w:rFonts w:cs="Times New Roman"/>
        </w:rPr>
        <w:t>。</w:t>
      </w:r>
      <w:r w:rsidR="00FC6FC4" w:rsidRPr="00D42391">
        <w:rPr>
          <w:rFonts w:cs="Times New Roman" w:hint="eastAsia"/>
          <w:highlight w:val="yellow"/>
        </w:rPr>
        <w:t>凡依据重庆市住房和城乡建设委员会相关管理规定申报重庆市绿色建筑评价标识的项目，应执行本</w:t>
      </w:r>
      <w:r w:rsidR="00510542">
        <w:rPr>
          <w:rFonts w:cs="Times New Roman" w:hint="eastAsia"/>
          <w:highlight w:val="yellow"/>
        </w:rPr>
        <w:t>细则</w:t>
      </w:r>
      <w:r w:rsidR="00FC6FC4" w:rsidRPr="00D42391">
        <w:rPr>
          <w:rFonts w:cs="Times New Roman" w:hint="eastAsia"/>
          <w:highlight w:val="yellow"/>
        </w:rPr>
        <w:t>要求</w:t>
      </w:r>
      <w:r w:rsidR="00FC6FC4">
        <w:rPr>
          <w:rFonts w:cs="Times New Roman" w:hint="eastAsia"/>
        </w:rPr>
        <w:t>。</w:t>
      </w:r>
      <w:r w:rsidR="00884100" w:rsidRPr="0081478A">
        <w:rPr>
          <w:rFonts w:cs="Times New Roman" w:hint="eastAsia"/>
        </w:rPr>
        <w:t>工</w:t>
      </w:r>
      <w:r w:rsidR="00884100" w:rsidRPr="0081478A">
        <w:rPr>
          <w:rFonts w:cs="Times New Roman"/>
        </w:rPr>
        <w:t>业建筑群体中的非生产区域也可参照本标准评价。</w:t>
      </w:r>
    </w:p>
    <w:p w14:paraId="1D5531AA" w14:textId="77777777" w:rsidR="00715ABB" w:rsidRPr="0081478A" w:rsidRDefault="00715ABB">
      <w:pPr>
        <w:ind w:firstLine="420"/>
        <w:rPr>
          <w:rFonts w:cs="Times New Roman"/>
        </w:rPr>
      </w:pPr>
    </w:p>
    <w:p w14:paraId="685F0D7D" w14:textId="4FC93E0F" w:rsidR="00715ABB" w:rsidRPr="0081478A" w:rsidRDefault="00F44390" w:rsidP="00AB036B">
      <w:pPr>
        <w:pStyle w:val="4"/>
        <w:rPr>
          <w:rFonts w:cs="Times New Roman"/>
        </w:rPr>
      </w:pPr>
      <w:bookmarkStart w:id="12" w:name="_Toc10660259"/>
      <w:r w:rsidRPr="0081478A">
        <w:rPr>
          <w:rFonts w:cs="Times New Roman"/>
        </w:rPr>
        <w:t>1.0.3</w:t>
      </w:r>
      <w:bookmarkEnd w:id="11"/>
      <w:r w:rsidRPr="0081478A">
        <w:rPr>
          <w:rFonts w:cs="Times New Roman"/>
        </w:rPr>
        <w:t xml:space="preserve"> </w:t>
      </w:r>
      <w:r w:rsidRPr="0081478A">
        <w:rPr>
          <w:rFonts w:cs="Times New Roman"/>
        </w:rPr>
        <w:t>绿色建筑评价应遵循因地制宜的原则，结合建筑所在地域的气候、环境、资源、经济和文化等特点，对建筑全寿命期内的安全耐久、健康舒适、生活便利、资源节约、环境宜居等性能进行综合评价。</w:t>
      </w:r>
      <w:bookmarkEnd w:id="12"/>
    </w:p>
    <w:p w14:paraId="2195603C"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7A999FE1" w14:textId="77777777" w:rsidR="00715ABB" w:rsidRPr="0081478A" w:rsidRDefault="00F44390" w:rsidP="00E71ADE">
      <w:pPr>
        <w:ind w:firstLine="420"/>
        <w:rPr>
          <w:rFonts w:cs="Times New Roman"/>
        </w:rPr>
      </w:pPr>
      <w:r w:rsidRPr="0081478A">
        <w:rPr>
          <w:rFonts w:cs="Times New Roman"/>
        </w:rPr>
        <w:t>本条沿引自国家《绿色建筑评价标准》</w:t>
      </w:r>
      <w:r w:rsidRPr="0081478A">
        <w:rPr>
          <w:rFonts w:cs="Times New Roman"/>
        </w:rPr>
        <w:t>GB/T 50378-2019</w:t>
      </w:r>
      <w:r w:rsidRPr="0081478A">
        <w:rPr>
          <w:rFonts w:cs="Times New Roman"/>
        </w:rPr>
        <w:t>。</w:t>
      </w:r>
    </w:p>
    <w:p w14:paraId="729782E1" w14:textId="77777777" w:rsidR="00715ABB" w:rsidRPr="0081478A" w:rsidRDefault="00F44390">
      <w:pPr>
        <w:ind w:firstLine="420"/>
        <w:rPr>
          <w:rFonts w:cs="Times New Roman"/>
        </w:rPr>
      </w:pPr>
      <w:r w:rsidRPr="0081478A">
        <w:rPr>
          <w:rFonts w:cs="Times New Roman"/>
        </w:rPr>
        <w:t>我国各地区在气候、环境、资源、经济发展水平与民俗文化等方面都存在较大差异，而因地制宜又是绿色建筑建设的基本原则，因此对绿色建筑的评价，也应综合考量建筑所在地域的气候、环境、资源、经济和文化等条件和特点。建筑物从规划设计到施工，再到运行使用及最终的拆除，构成一个全寿命期。本次修订，以</w:t>
      </w:r>
      <w:r w:rsidRPr="0081478A">
        <w:rPr>
          <w:rFonts w:cs="Times New Roman"/>
        </w:rPr>
        <w:t>“</w:t>
      </w:r>
      <w:r w:rsidRPr="0081478A">
        <w:rPr>
          <w:rFonts w:cs="Times New Roman"/>
        </w:rPr>
        <w:t>四节一环保</w:t>
      </w:r>
      <w:r w:rsidRPr="0081478A">
        <w:rPr>
          <w:rFonts w:cs="Times New Roman"/>
        </w:rPr>
        <w:t>”</w:t>
      </w:r>
      <w:r w:rsidRPr="0081478A">
        <w:rPr>
          <w:rFonts w:cs="Times New Roman"/>
        </w:rPr>
        <w:t>为基本约束，以</w:t>
      </w:r>
      <w:r w:rsidRPr="0081478A">
        <w:rPr>
          <w:rFonts w:cs="Times New Roman"/>
        </w:rPr>
        <w:t>“</w:t>
      </w:r>
      <w:r w:rsidRPr="0081478A">
        <w:rPr>
          <w:rFonts w:cs="Times New Roman"/>
        </w:rPr>
        <w:t>以人为本</w:t>
      </w:r>
      <w:r w:rsidRPr="0081478A">
        <w:rPr>
          <w:rFonts w:cs="Times New Roman"/>
        </w:rPr>
        <w:t>”</w:t>
      </w:r>
      <w:r w:rsidRPr="0081478A">
        <w:rPr>
          <w:rFonts w:cs="Times New Roman"/>
        </w:rPr>
        <w:t>为核心要求，对建筑的安全耐久、健康舒适、生活便利、资源节约、环境宜居等方面的性能进行综合评价。</w:t>
      </w:r>
    </w:p>
    <w:p w14:paraId="3984F397" w14:textId="77777777" w:rsidR="00715ABB" w:rsidRPr="0081478A" w:rsidRDefault="00715ABB">
      <w:pPr>
        <w:ind w:firstLine="420"/>
        <w:rPr>
          <w:rFonts w:cs="Times New Roman"/>
          <w:szCs w:val="24"/>
        </w:rPr>
      </w:pPr>
    </w:p>
    <w:p w14:paraId="3C81B974" w14:textId="77777777" w:rsidR="00715ABB" w:rsidRPr="0081478A" w:rsidRDefault="00F44390" w:rsidP="00AB036B">
      <w:pPr>
        <w:pStyle w:val="4"/>
        <w:rPr>
          <w:rFonts w:cs="Times New Roman"/>
        </w:rPr>
      </w:pPr>
      <w:bookmarkStart w:id="13" w:name="_Toc406395656"/>
      <w:bookmarkStart w:id="14" w:name="_Toc10660260"/>
      <w:r w:rsidRPr="0081478A">
        <w:rPr>
          <w:rFonts w:cs="Times New Roman"/>
        </w:rPr>
        <w:lastRenderedPageBreak/>
        <w:t>1.0.4</w:t>
      </w:r>
      <w:bookmarkEnd w:id="13"/>
      <w:r w:rsidRPr="0081478A">
        <w:rPr>
          <w:rFonts w:cs="Times New Roman"/>
        </w:rPr>
        <w:t xml:space="preserve"> </w:t>
      </w:r>
      <w:r w:rsidRPr="0081478A">
        <w:rPr>
          <w:rFonts w:cs="Times New Roman"/>
        </w:rPr>
        <w:t>绿色建筑应结合地形地貌进行场地设计与建筑布局，且建筑布局应与场地的气候条件和地理环境相适应，并应对场地的风环境、光环境、热环境、声环境等加以组织和利用。</w:t>
      </w:r>
      <w:bookmarkEnd w:id="14"/>
    </w:p>
    <w:p w14:paraId="57B46990"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3F428BA9" w14:textId="77777777" w:rsidR="00715ABB" w:rsidRPr="0081478A" w:rsidRDefault="00F44390">
      <w:pPr>
        <w:ind w:firstLine="420"/>
        <w:rPr>
          <w:rFonts w:cs="Times New Roman"/>
        </w:rPr>
      </w:pPr>
      <w:r w:rsidRPr="0081478A">
        <w:rPr>
          <w:rFonts w:cs="Times New Roman"/>
        </w:rPr>
        <w:t>本条沿引自国家《绿色建筑评价标准》</w:t>
      </w:r>
      <w:r w:rsidRPr="0081478A">
        <w:rPr>
          <w:rFonts w:cs="Times New Roman"/>
        </w:rPr>
        <w:t>GB/T 50378-2019</w:t>
      </w:r>
      <w:r w:rsidRPr="0081478A">
        <w:rPr>
          <w:rFonts w:cs="Times New Roman"/>
        </w:rPr>
        <w:t>。</w:t>
      </w:r>
    </w:p>
    <w:p w14:paraId="76F49DC5" w14:textId="77777777" w:rsidR="00715ABB" w:rsidRPr="0081478A" w:rsidRDefault="00F44390">
      <w:pPr>
        <w:ind w:firstLine="420"/>
        <w:rPr>
          <w:rFonts w:cs="Times New Roman"/>
        </w:rPr>
      </w:pPr>
      <w:r w:rsidRPr="0081478A">
        <w:rPr>
          <w:rFonts w:cs="Times New Roman"/>
        </w:rPr>
        <w:t>绿色建筑充分利用场地原有的自然要素，能够减少开发建设对场地及周边生态系统的改变。从适应场地条件和气候特征入手，优化建筑布局，有利于创造积极的室外环境。对场地风环境、光环境的组织和利用，可以改善建筑的自然通风日照条件，提高场地舒适度；对场地热环境的组织，可以降低热岛强度；对场地声环境的组织，可以降低建筑室内外噪声。</w:t>
      </w:r>
    </w:p>
    <w:p w14:paraId="2155846E" w14:textId="77777777" w:rsidR="00715ABB" w:rsidRPr="0081478A" w:rsidRDefault="00715ABB">
      <w:pPr>
        <w:ind w:firstLine="420"/>
        <w:rPr>
          <w:rFonts w:cs="Times New Roman"/>
          <w:szCs w:val="24"/>
        </w:rPr>
      </w:pPr>
    </w:p>
    <w:p w14:paraId="68C63F28" w14:textId="77777777" w:rsidR="00715ABB" w:rsidRPr="0081478A" w:rsidRDefault="00F44390" w:rsidP="00AB036B">
      <w:pPr>
        <w:pStyle w:val="4"/>
        <w:rPr>
          <w:rFonts w:cs="Times New Roman"/>
        </w:rPr>
      </w:pPr>
      <w:bookmarkStart w:id="15" w:name="_Toc10660261"/>
      <w:r w:rsidRPr="0081478A">
        <w:rPr>
          <w:rFonts w:cs="Times New Roman"/>
        </w:rPr>
        <w:t xml:space="preserve">1.0.5 </w:t>
      </w:r>
      <w:r w:rsidRPr="0081478A">
        <w:rPr>
          <w:rFonts w:cs="Times New Roman"/>
        </w:rPr>
        <w:t>绿色建筑的评价除应符合本标准的规定外，尚应符合国家及地方现行有关标准的规定。</w:t>
      </w:r>
      <w:bookmarkEnd w:id="15"/>
    </w:p>
    <w:p w14:paraId="1871E183"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63E51B5B" w14:textId="77777777" w:rsidR="00715ABB" w:rsidRPr="0081478A" w:rsidRDefault="00F44390" w:rsidP="00E71ADE">
      <w:pPr>
        <w:ind w:firstLine="420"/>
        <w:rPr>
          <w:rFonts w:cs="Times New Roman"/>
        </w:rPr>
      </w:pPr>
      <w:r w:rsidRPr="0081478A">
        <w:rPr>
          <w:rFonts w:cs="Times New Roman"/>
        </w:rPr>
        <w:t>本条沿引国家《绿色建筑评价标准》</w:t>
      </w:r>
      <w:r w:rsidRPr="0081478A">
        <w:rPr>
          <w:rFonts w:cs="Times New Roman"/>
        </w:rPr>
        <w:t>GB/T 50378-2019</w:t>
      </w:r>
      <w:r w:rsidRPr="0081478A">
        <w:rPr>
          <w:rFonts w:cs="Times New Roman"/>
        </w:rPr>
        <w:t>，并进行了局部补充。</w:t>
      </w:r>
    </w:p>
    <w:p w14:paraId="675757CF" w14:textId="05204187" w:rsidR="00715ABB" w:rsidRPr="0081478A" w:rsidRDefault="00F44390" w:rsidP="002F5412">
      <w:pPr>
        <w:ind w:firstLine="420"/>
        <w:rPr>
          <w:rFonts w:cs="Times New Roman"/>
        </w:rPr>
      </w:pPr>
      <w:r w:rsidRPr="0081478A">
        <w:rPr>
          <w:rFonts w:cs="Times New Roman"/>
        </w:rPr>
        <w:t>符合国家、地方法律法规和有关标准是参与绿色建筑评价的前提条件。本标准重点在于对建筑绿色性能进行评价，并未涵盖通常建筑物所应有的全部功能和性能要求，故参与评价的建筑尚应符合国家及地方现行有关标准的规定。限于篇幅，本条文说明不能逐一列出有关标准，仅列出部分标准，如：现行国家标准《城市居住区规划设计标准》</w:t>
      </w:r>
      <w:r w:rsidRPr="0081478A">
        <w:rPr>
          <w:rFonts w:cs="Times New Roman"/>
        </w:rPr>
        <w:t>GB 50180</w:t>
      </w:r>
      <w:r w:rsidRPr="0081478A">
        <w:rPr>
          <w:rFonts w:cs="Times New Roman"/>
        </w:rPr>
        <w:t>、《民用建筑设计统一标准》</w:t>
      </w:r>
      <w:r w:rsidRPr="0081478A">
        <w:rPr>
          <w:rFonts w:cs="Times New Roman"/>
        </w:rPr>
        <w:t>GB 50352</w:t>
      </w:r>
      <w:r w:rsidRPr="0081478A">
        <w:rPr>
          <w:rFonts w:cs="Times New Roman"/>
        </w:rPr>
        <w:t>、《建筑结构可靠性设计统一标准》</w:t>
      </w:r>
      <w:r w:rsidRPr="0081478A">
        <w:rPr>
          <w:rFonts w:cs="Times New Roman"/>
        </w:rPr>
        <w:t>GB 50068</w:t>
      </w:r>
      <w:r w:rsidRPr="0081478A">
        <w:rPr>
          <w:rFonts w:cs="Times New Roman"/>
        </w:rPr>
        <w:t>、《混凝土结构设计规范》</w:t>
      </w:r>
      <w:r w:rsidRPr="0081478A">
        <w:rPr>
          <w:rFonts w:cs="Times New Roman"/>
        </w:rPr>
        <w:t>GB 50010</w:t>
      </w:r>
      <w:r w:rsidRPr="0081478A">
        <w:rPr>
          <w:rFonts w:cs="Times New Roman"/>
        </w:rPr>
        <w:t>、《钢结构设计标准》</w:t>
      </w:r>
      <w:r w:rsidRPr="0081478A">
        <w:rPr>
          <w:rFonts w:cs="Times New Roman"/>
        </w:rPr>
        <w:t>GB 50017</w:t>
      </w:r>
      <w:r w:rsidRPr="0081478A">
        <w:rPr>
          <w:rFonts w:cs="Times New Roman"/>
        </w:rPr>
        <w:t>、《建筑设计防火规范》</w:t>
      </w:r>
      <w:r w:rsidRPr="0081478A">
        <w:rPr>
          <w:rFonts w:cs="Times New Roman"/>
        </w:rPr>
        <w:t>GB 50016</w:t>
      </w:r>
      <w:r w:rsidRPr="0081478A">
        <w:rPr>
          <w:rFonts w:cs="Times New Roman"/>
        </w:rPr>
        <w:t>、《建筑抗震设计规范》</w:t>
      </w:r>
      <w:r w:rsidRPr="0081478A">
        <w:rPr>
          <w:rFonts w:cs="Times New Roman"/>
        </w:rPr>
        <w:t>GB 50011</w:t>
      </w:r>
      <w:r w:rsidRPr="0081478A">
        <w:rPr>
          <w:rFonts w:cs="Times New Roman"/>
        </w:rPr>
        <w:t>、《建筑物防雷设计规范》</w:t>
      </w:r>
      <w:r w:rsidRPr="0081478A">
        <w:rPr>
          <w:rFonts w:cs="Times New Roman"/>
        </w:rPr>
        <w:t>GB 50057</w:t>
      </w:r>
      <w:r w:rsidRPr="0081478A">
        <w:rPr>
          <w:rFonts w:cs="Times New Roman"/>
        </w:rPr>
        <w:t>、《民用建筑供暖通风与空气调节设计规范》</w:t>
      </w:r>
      <w:r w:rsidRPr="0081478A">
        <w:rPr>
          <w:rFonts w:cs="Times New Roman"/>
        </w:rPr>
        <w:t>GB 50736</w:t>
      </w:r>
      <w:r w:rsidRPr="0081478A">
        <w:rPr>
          <w:rFonts w:cs="Times New Roman"/>
        </w:rPr>
        <w:t>、《民用建筑热工设计规范》</w:t>
      </w:r>
      <w:r w:rsidRPr="0081478A">
        <w:rPr>
          <w:rFonts w:cs="Times New Roman"/>
        </w:rPr>
        <w:t>GB 50176</w:t>
      </w:r>
      <w:r w:rsidRPr="0081478A">
        <w:rPr>
          <w:rFonts w:cs="Times New Roman"/>
        </w:rPr>
        <w:t>、</w:t>
      </w:r>
      <w:bookmarkStart w:id="16" w:name="_Hlk25397285"/>
      <w:r w:rsidR="00492DC6" w:rsidRPr="0081478A">
        <w:rPr>
          <w:rFonts w:cs="Times New Roman"/>
        </w:rPr>
        <w:t>《公共建筑节能设计标准》</w:t>
      </w:r>
      <w:r w:rsidR="002F5412" w:rsidRPr="0081478A">
        <w:rPr>
          <w:rFonts w:cs="Times New Roman"/>
        </w:rPr>
        <w:t>GB 50189</w:t>
      </w:r>
      <w:r w:rsidR="002F5412" w:rsidRPr="0081478A">
        <w:rPr>
          <w:rFonts w:cs="Times New Roman"/>
        </w:rPr>
        <w:t>、《室内空气质量标准》</w:t>
      </w:r>
      <w:r w:rsidR="002F5412" w:rsidRPr="0081478A">
        <w:rPr>
          <w:rFonts w:cs="Times New Roman"/>
        </w:rPr>
        <w:t>GB/T 18883</w:t>
      </w:r>
      <w:r w:rsidR="002F5412" w:rsidRPr="0081478A">
        <w:rPr>
          <w:rFonts w:cs="Times New Roman"/>
        </w:rPr>
        <w:t>、</w:t>
      </w:r>
      <w:bookmarkEnd w:id="16"/>
      <w:r w:rsidRPr="0081478A">
        <w:rPr>
          <w:rFonts w:cs="Times New Roman"/>
        </w:rPr>
        <w:t>《建筑给水排水设计</w:t>
      </w:r>
      <w:r w:rsidR="008D37F7">
        <w:rPr>
          <w:rFonts w:cs="Times New Roman" w:hint="eastAsia"/>
        </w:rPr>
        <w:t>标准</w:t>
      </w:r>
      <w:r w:rsidRPr="0081478A">
        <w:rPr>
          <w:rFonts w:cs="Times New Roman"/>
        </w:rPr>
        <w:t>》</w:t>
      </w:r>
      <w:r w:rsidRPr="0081478A">
        <w:rPr>
          <w:rFonts w:cs="Times New Roman"/>
        </w:rPr>
        <w:t>GB 50015</w:t>
      </w:r>
      <w:r w:rsidRPr="0081478A">
        <w:rPr>
          <w:rFonts w:cs="Times New Roman"/>
        </w:rPr>
        <w:t>、</w:t>
      </w:r>
      <w:bookmarkStart w:id="17" w:name="_Hlk25397295"/>
      <w:r w:rsidR="002F5412" w:rsidRPr="0081478A">
        <w:rPr>
          <w:rFonts w:cs="Times New Roman"/>
        </w:rPr>
        <w:t>《民用建筑节水设计标准》</w:t>
      </w:r>
      <w:r w:rsidR="002F5412" w:rsidRPr="0081478A">
        <w:rPr>
          <w:rFonts w:cs="Times New Roman"/>
        </w:rPr>
        <w:t>GB 50555</w:t>
      </w:r>
      <w:r w:rsidR="002F5412" w:rsidRPr="0081478A">
        <w:rPr>
          <w:rFonts w:cs="Times New Roman"/>
        </w:rPr>
        <w:t>、</w:t>
      </w:r>
      <w:bookmarkEnd w:id="17"/>
      <w:r w:rsidRPr="0081478A">
        <w:rPr>
          <w:rFonts w:cs="Times New Roman"/>
        </w:rPr>
        <w:t>《民用建筑隔声设计规范》</w:t>
      </w:r>
      <w:r w:rsidRPr="0081478A">
        <w:rPr>
          <w:rFonts w:cs="Times New Roman"/>
        </w:rPr>
        <w:t>GB 50118</w:t>
      </w:r>
      <w:r w:rsidRPr="0081478A">
        <w:rPr>
          <w:rFonts w:cs="Times New Roman"/>
        </w:rPr>
        <w:t>、《建筑采光设计标准》</w:t>
      </w:r>
      <w:r w:rsidRPr="0081478A">
        <w:rPr>
          <w:rFonts w:cs="Times New Roman"/>
        </w:rPr>
        <w:t>GB 50033</w:t>
      </w:r>
      <w:r w:rsidRPr="0081478A">
        <w:rPr>
          <w:rFonts w:cs="Times New Roman"/>
        </w:rPr>
        <w:t>、《建筑照明设计标准》</w:t>
      </w:r>
      <w:r w:rsidRPr="0081478A">
        <w:rPr>
          <w:rFonts w:cs="Times New Roman"/>
        </w:rPr>
        <w:t>GB 50034</w:t>
      </w:r>
      <w:bookmarkStart w:id="18" w:name="_Hlk25397304"/>
      <w:r w:rsidR="002F5412" w:rsidRPr="0081478A">
        <w:rPr>
          <w:rFonts w:cs="Times New Roman"/>
        </w:rPr>
        <w:t>、《</w:t>
      </w:r>
      <w:r w:rsidR="002F5412" w:rsidRPr="0081478A">
        <w:rPr>
          <w:rFonts w:cs="Times New Roman"/>
        </w:rPr>
        <w:t>LED</w:t>
      </w:r>
      <w:r w:rsidR="002F5412" w:rsidRPr="0081478A">
        <w:rPr>
          <w:rFonts w:cs="Times New Roman"/>
        </w:rPr>
        <w:t>室内照明应用技术要求》</w:t>
      </w:r>
      <w:r w:rsidR="002F5412" w:rsidRPr="0081478A">
        <w:rPr>
          <w:rFonts w:cs="Times New Roman"/>
        </w:rPr>
        <w:t>GB/T 31831</w:t>
      </w:r>
      <w:bookmarkEnd w:id="18"/>
      <w:r w:rsidRPr="0081478A">
        <w:rPr>
          <w:rFonts w:cs="Times New Roman"/>
        </w:rPr>
        <w:t>以及现行行业标准《民用建筑电气设计规范》</w:t>
      </w:r>
      <w:r w:rsidRPr="0081478A">
        <w:rPr>
          <w:rFonts w:cs="Times New Roman"/>
        </w:rPr>
        <w:t>JGJ 16</w:t>
      </w:r>
      <w:r w:rsidRPr="0081478A">
        <w:rPr>
          <w:rFonts w:cs="Times New Roman"/>
        </w:rPr>
        <w:t>等。以及地方城乡规划、建筑节能、绿色建材、建筑工业化、信息化等方面的相关标准、法规等要求。</w:t>
      </w:r>
    </w:p>
    <w:p w14:paraId="1CD093AB" w14:textId="77777777" w:rsidR="00B57338" w:rsidRPr="0081478A" w:rsidRDefault="00B57338" w:rsidP="00B57338">
      <w:pPr>
        <w:ind w:firstLine="420"/>
        <w:rPr>
          <w:rFonts w:cs="Times New Roman"/>
        </w:rPr>
      </w:pPr>
      <w:r w:rsidRPr="0081478A">
        <w:rPr>
          <w:rFonts w:cs="Times New Roman"/>
        </w:rPr>
        <w:t>随着国家对绿色化发展的不断部署与要求，绿色建筑逐步由高速发展向高质发展转变，随之会有一系列提升发展质量的要求陆续出台，为了实时保证绿色建筑的先进性，绿色建筑的评价标识有必要与国家、地方相关要求保持一致。因此，为了后续相关要求在绿色建筑评价标识中的落实，国家和地方在绿色建筑发展过程中提出的相关要求，根据相关管理要求可适时纳入绿色建筑的控制项要求。具体到目前，主要涉及如建筑工业化、装配式建筑、绿色</w:t>
      </w:r>
      <w:r w:rsidRPr="0081478A">
        <w:rPr>
          <w:rFonts w:cs="Times New Roman"/>
        </w:rPr>
        <w:lastRenderedPageBreak/>
        <w:t>建材、建筑信息化、绿色施工、电动汽车充电基础设施等相关内容的发展，为推动其发展应根据相关技术要求分别纳入控制项、评分项和加分项内容。</w:t>
      </w:r>
    </w:p>
    <w:p w14:paraId="08BDB714" w14:textId="77777777" w:rsidR="00715ABB" w:rsidRPr="0081478A" w:rsidRDefault="00715ABB">
      <w:pPr>
        <w:ind w:firstLine="420"/>
        <w:rPr>
          <w:rFonts w:cs="Times New Roman"/>
          <w:szCs w:val="24"/>
        </w:rPr>
      </w:pPr>
    </w:p>
    <w:p w14:paraId="71253754" w14:textId="77777777" w:rsidR="00715ABB" w:rsidRPr="0081478A" w:rsidRDefault="00F44390" w:rsidP="003C1556">
      <w:pPr>
        <w:pStyle w:val="1"/>
      </w:pPr>
      <w:r w:rsidRPr="0081478A">
        <w:rPr>
          <w:szCs w:val="24"/>
        </w:rPr>
        <w:br w:type="page"/>
      </w:r>
      <w:bookmarkStart w:id="19" w:name="_Toc406395657"/>
      <w:bookmarkStart w:id="20" w:name="_Toc17444258"/>
      <w:bookmarkStart w:id="21" w:name="_Toc10660062"/>
      <w:bookmarkStart w:id="22" w:name="_Toc420486087"/>
      <w:bookmarkStart w:id="23" w:name="_Toc406396078"/>
      <w:bookmarkStart w:id="24" w:name="_Toc406396130"/>
      <w:bookmarkStart w:id="25" w:name="_Toc10660262"/>
      <w:bookmarkStart w:id="26" w:name="_Toc22221556"/>
      <w:bookmarkStart w:id="27" w:name="_Toc35364723"/>
      <w:r w:rsidRPr="0081478A">
        <w:lastRenderedPageBreak/>
        <w:t xml:space="preserve">2  </w:t>
      </w:r>
      <w:r w:rsidRPr="0081478A">
        <w:t>术语</w:t>
      </w:r>
      <w:bookmarkEnd w:id="19"/>
      <w:bookmarkEnd w:id="20"/>
      <w:bookmarkEnd w:id="21"/>
      <w:bookmarkEnd w:id="22"/>
      <w:bookmarkEnd w:id="23"/>
      <w:bookmarkEnd w:id="24"/>
      <w:bookmarkEnd w:id="25"/>
      <w:bookmarkEnd w:id="26"/>
      <w:bookmarkEnd w:id="27"/>
    </w:p>
    <w:p w14:paraId="5398ACDA" w14:textId="77777777" w:rsidR="008D1808" w:rsidRDefault="006F0C61" w:rsidP="008D1808">
      <w:pPr>
        <w:ind w:firstLine="420"/>
        <w:jc w:val="center"/>
        <w:rPr>
          <w:rFonts w:cs="Times New Roman"/>
        </w:rPr>
      </w:pPr>
      <w:bookmarkStart w:id="28" w:name="_Toc170876466"/>
      <w:r w:rsidRPr="0081478A">
        <w:rPr>
          <w:rFonts w:cs="Times New Roman"/>
        </w:rPr>
        <w:t>注：见《绿色建筑评价标准》</w:t>
      </w:r>
      <w:r w:rsidRPr="0081478A">
        <w:rPr>
          <w:rFonts w:cs="Times New Roman"/>
        </w:rPr>
        <w:t>DBJ50/T-066-</w:t>
      </w:r>
      <w:r w:rsidR="004803C0">
        <w:rPr>
          <w:rFonts w:cs="Times New Roman"/>
        </w:rPr>
        <w:t>2020</w:t>
      </w:r>
      <w:r w:rsidRPr="0081478A">
        <w:rPr>
          <w:rFonts w:cs="Times New Roman"/>
        </w:rPr>
        <w:t>。</w:t>
      </w:r>
      <w:bookmarkStart w:id="29" w:name="_Toc22221557"/>
      <w:bookmarkStart w:id="30" w:name="_Toc35364724"/>
      <w:bookmarkEnd w:id="28"/>
    </w:p>
    <w:p w14:paraId="77623F3B" w14:textId="77777777" w:rsidR="00EE52E8" w:rsidRDefault="00EE52E8" w:rsidP="008D1808">
      <w:pPr>
        <w:ind w:firstLine="420"/>
        <w:jc w:val="center"/>
        <w:rPr>
          <w:rFonts w:cs="Times New Roman"/>
        </w:rPr>
      </w:pPr>
    </w:p>
    <w:p w14:paraId="7183008D" w14:textId="77777777" w:rsidR="00EE52E8" w:rsidRDefault="00EE52E8" w:rsidP="008D1808">
      <w:pPr>
        <w:ind w:firstLine="420"/>
        <w:jc w:val="center"/>
        <w:rPr>
          <w:rFonts w:cs="Times New Roman"/>
        </w:rPr>
      </w:pPr>
    </w:p>
    <w:p w14:paraId="5C8C5834" w14:textId="77777777" w:rsidR="00EE52E8" w:rsidRDefault="00EE52E8" w:rsidP="008D1808">
      <w:pPr>
        <w:ind w:firstLine="420"/>
        <w:jc w:val="center"/>
        <w:rPr>
          <w:rFonts w:cs="Times New Roman"/>
        </w:rPr>
      </w:pPr>
    </w:p>
    <w:p w14:paraId="75AFEF7C" w14:textId="77777777" w:rsidR="00EE52E8" w:rsidRDefault="00EE52E8" w:rsidP="008D1808">
      <w:pPr>
        <w:ind w:firstLine="420"/>
        <w:jc w:val="center"/>
        <w:rPr>
          <w:rFonts w:cs="Times New Roman"/>
        </w:rPr>
      </w:pPr>
    </w:p>
    <w:p w14:paraId="3F85A4F8" w14:textId="77777777" w:rsidR="00EE52E8" w:rsidRDefault="00EE52E8" w:rsidP="008D1808">
      <w:pPr>
        <w:ind w:firstLine="420"/>
        <w:jc w:val="center"/>
        <w:rPr>
          <w:rFonts w:cs="Times New Roman"/>
        </w:rPr>
      </w:pPr>
    </w:p>
    <w:p w14:paraId="4CBE954B" w14:textId="77777777" w:rsidR="00EE52E8" w:rsidRDefault="00EE52E8" w:rsidP="008D1808">
      <w:pPr>
        <w:ind w:firstLine="420"/>
        <w:jc w:val="center"/>
        <w:rPr>
          <w:rFonts w:cs="Times New Roman"/>
        </w:rPr>
      </w:pPr>
    </w:p>
    <w:p w14:paraId="257445F6" w14:textId="77777777" w:rsidR="00EE52E8" w:rsidRDefault="00EE52E8" w:rsidP="008D1808">
      <w:pPr>
        <w:ind w:firstLine="420"/>
        <w:jc w:val="center"/>
        <w:rPr>
          <w:rFonts w:cs="Times New Roman"/>
        </w:rPr>
      </w:pPr>
    </w:p>
    <w:p w14:paraId="14CC0A7C" w14:textId="77777777" w:rsidR="00EE52E8" w:rsidRDefault="00EE52E8" w:rsidP="008D1808">
      <w:pPr>
        <w:ind w:firstLine="420"/>
        <w:jc w:val="center"/>
        <w:rPr>
          <w:rFonts w:cs="Times New Roman"/>
        </w:rPr>
      </w:pPr>
    </w:p>
    <w:p w14:paraId="08EEDAE8" w14:textId="77777777" w:rsidR="00EE52E8" w:rsidRDefault="00EE52E8" w:rsidP="008D1808">
      <w:pPr>
        <w:ind w:firstLine="420"/>
        <w:jc w:val="center"/>
        <w:rPr>
          <w:rFonts w:cs="Times New Roman"/>
        </w:rPr>
      </w:pPr>
    </w:p>
    <w:p w14:paraId="0684D50D" w14:textId="77777777" w:rsidR="00EE52E8" w:rsidRDefault="00EE52E8" w:rsidP="008D1808">
      <w:pPr>
        <w:ind w:firstLine="420"/>
        <w:jc w:val="center"/>
        <w:rPr>
          <w:rFonts w:cs="Times New Roman"/>
        </w:rPr>
      </w:pPr>
    </w:p>
    <w:p w14:paraId="35D949BC" w14:textId="77777777" w:rsidR="00EE52E8" w:rsidRDefault="00EE52E8" w:rsidP="008D1808">
      <w:pPr>
        <w:ind w:firstLine="420"/>
        <w:jc w:val="center"/>
        <w:rPr>
          <w:rFonts w:cs="Times New Roman"/>
        </w:rPr>
      </w:pPr>
    </w:p>
    <w:p w14:paraId="39CF8A37" w14:textId="77777777" w:rsidR="00EE52E8" w:rsidRDefault="00EE52E8" w:rsidP="008D1808">
      <w:pPr>
        <w:ind w:firstLine="420"/>
        <w:jc w:val="center"/>
        <w:rPr>
          <w:rFonts w:cs="Times New Roman"/>
        </w:rPr>
      </w:pPr>
    </w:p>
    <w:p w14:paraId="24549323" w14:textId="77777777" w:rsidR="00EE52E8" w:rsidRDefault="00EE52E8" w:rsidP="008D1808">
      <w:pPr>
        <w:ind w:firstLine="420"/>
        <w:jc w:val="center"/>
        <w:rPr>
          <w:rFonts w:cs="Times New Roman"/>
        </w:rPr>
      </w:pPr>
    </w:p>
    <w:p w14:paraId="42BD8D12" w14:textId="77777777" w:rsidR="00EE52E8" w:rsidRDefault="00EE52E8" w:rsidP="008D1808">
      <w:pPr>
        <w:ind w:firstLine="420"/>
        <w:jc w:val="center"/>
        <w:rPr>
          <w:rFonts w:cs="Times New Roman"/>
        </w:rPr>
      </w:pPr>
    </w:p>
    <w:p w14:paraId="4930EF04" w14:textId="77777777" w:rsidR="00EE52E8" w:rsidRDefault="00EE52E8" w:rsidP="008D1808">
      <w:pPr>
        <w:ind w:firstLine="420"/>
        <w:jc w:val="center"/>
        <w:rPr>
          <w:rFonts w:cs="Times New Roman"/>
        </w:rPr>
      </w:pPr>
    </w:p>
    <w:p w14:paraId="5473195E" w14:textId="77777777" w:rsidR="00EE52E8" w:rsidRDefault="00EE52E8" w:rsidP="008D1808">
      <w:pPr>
        <w:ind w:firstLine="420"/>
        <w:jc w:val="center"/>
        <w:rPr>
          <w:rFonts w:cs="Times New Roman"/>
        </w:rPr>
      </w:pPr>
    </w:p>
    <w:p w14:paraId="65E10632" w14:textId="77777777" w:rsidR="00EE52E8" w:rsidRDefault="00EE52E8" w:rsidP="008D1808">
      <w:pPr>
        <w:ind w:firstLine="420"/>
        <w:jc w:val="center"/>
        <w:rPr>
          <w:rFonts w:cs="Times New Roman"/>
        </w:rPr>
      </w:pPr>
    </w:p>
    <w:p w14:paraId="13233D6E" w14:textId="77777777" w:rsidR="00EE52E8" w:rsidRDefault="00EE52E8" w:rsidP="008D1808">
      <w:pPr>
        <w:ind w:firstLine="420"/>
        <w:jc w:val="center"/>
        <w:rPr>
          <w:rFonts w:cs="Times New Roman"/>
        </w:rPr>
      </w:pPr>
    </w:p>
    <w:p w14:paraId="58E1014A" w14:textId="77777777" w:rsidR="00EE52E8" w:rsidRDefault="00EE52E8" w:rsidP="008D1808">
      <w:pPr>
        <w:ind w:firstLine="420"/>
        <w:jc w:val="center"/>
        <w:rPr>
          <w:rFonts w:cs="Times New Roman"/>
        </w:rPr>
      </w:pPr>
    </w:p>
    <w:p w14:paraId="24C7D08E" w14:textId="77777777" w:rsidR="00EE52E8" w:rsidRDefault="00EE52E8" w:rsidP="008D1808">
      <w:pPr>
        <w:ind w:firstLine="420"/>
        <w:jc w:val="center"/>
        <w:rPr>
          <w:rFonts w:cs="Times New Roman"/>
        </w:rPr>
      </w:pPr>
    </w:p>
    <w:p w14:paraId="1A129458" w14:textId="77777777" w:rsidR="00EE52E8" w:rsidRDefault="00EE52E8" w:rsidP="008D1808">
      <w:pPr>
        <w:ind w:firstLine="420"/>
        <w:jc w:val="center"/>
        <w:rPr>
          <w:rFonts w:cs="Times New Roman"/>
        </w:rPr>
      </w:pPr>
    </w:p>
    <w:p w14:paraId="6AAF2871" w14:textId="77777777" w:rsidR="00EE52E8" w:rsidRDefault="00EE52E8" w:rsidP="008D1808">
      <w:pPr>
        <w:ind w:firstLine="420"/>
        <w:jc w:val="center"/>
        <w:rPr>
          <w:rFonts w:cs="Times New Roman"/>
        </w:rPr>
      </w:pPr>
    </w:p>
    <w:p w14:paraId="4F09721E" w14:textId="77777777" w:rsidR="00EE52E8" w:rsidRDefault="00EE52E8" w:rsidP="008D1808">
      <w:pPr>
        <w:ind w:firstLine="420"/>
        <w:jc w:val="center"/>
        <w:rPr>
          <w:rFonts w:cs="Times New Roman"/>
        </w:rPr>
      </w:pPr>
    </w:p>
    <w:p w14:paraId="1987D96C" w14:textId="77777777" w:rsidR="00EE52E8" w:rsidRDefault="00EE52E8" w:rsidP="008D1808">
      <w:pPr>
        <w:ind w:firstLine="420"/>
        <w:jc w:val="center"/>
        <w:rPr>
          <w:rFonts w:cs="Times New Roman"/>
        </w:rPr>
      </w:pPr>
    </w:p>
    <w:p w14:paraId="7B8698FE" w14:textId="77777777" w:rsidR="00EE52E8" w:rsidRDefault="00EE52E8" w:rsidP="008D1808">
      <w:pPr>
        <w:ind w:firstLine="420"/>
        <w:jc w:val="center"/>
        <w:rPr>
          <w:rFonts w:cs="Times New Roman"/>
        </w:rPr>
      </w:pPr>
    </w:p>
    <w:p w14:paraId="54C5F87F" w14:textId="77777777" w:rsidR="00EE52E8" w:rsidRDefault="00EE52E8" w:rsidP="008D1808">
      <w:pPr>
        <w:ind w:firstLine="420"/>
        <w:jc w:val="center"/>
        <w:rPr>
          <w:rFonts w:cs="Times New Roman"/>
        </w:rPr>
      </w:pPr>
    </w:p>
    <w:p w14:paraId="1DEBFAFA" w14:textId="75A84E04" w:rsidR="00715ABB" w:rsidRPr="0081478A" w:rsidRDefault="00F44390" w:rsidP="00EE52E8">
      <w:pPr>
        <w:pStyle w:val="1"/>
      </w:pPr>
      <w:r w:rsidRPr="0081478A">
        <w:lastRenderedPageBreak/>
        <w:t xml:space="preserve">3  </w:t>
      </w:r>
      <w:r w:rsidRPr="0081478A">
        <w:t>基本规定</w:t>
      </w:r>
      <w:bookmarkEnd w:id="29"/>
      <w:bookmarkEnd w:id="30"/>
    </w:p>
    <w:p w14:paraId="01080451" w14:textId="77777777" w:rsidR="00715ABB" w:rsidRPr="003C1556" w:rsidRDefault="00F44390" w:rsidP="003C1556">
      <w:pPr>
        <w:pStyle w:val="2"/>
      </w:pPr>
      <w:bookmarkStart w:id="31" w:name="_Toc22221558"/>
      <w:bookmarkStart w:id="32" w:name="_Toc35364725"/>
      <w:r w:rsidRPr="0081478A">
        <w:t xml:space="preserve">3.1 </w:t>
      </w:r>
      <w:r w:rsidRPr="0081478A">
        <w:t>一般规定</w:t>
      </w:r>
      <w:bookmarkEnd w:id="31"/>
      <w:bookmarkEnd w:id="32"/>
    </w:p>
    <w:p w14:paraId="0CBC8B5F" w14:textId="77777777" w:rsidR="00FF47CE" w:rsidRPr="00530A11" w:rsidRDefault="00FF47CE" w:rsidP="00FF47CE">
      <w:pPr>
        <w:pStyle w:val="4"/>
        <w:rPr>
          <w:rFonts w:cs="Times New Roman"/>
          <w:bCs w:val="0"/>
          <w:shd w:val="clear" w:color="auto" w:fill="FFFF00"/>
        </w:rPr>
      </w:pPr>
      <w:r w:rsidRPr="00530A11">
        <w:rPr>
          <w:rFonts w:cs="Times New Roman"/>
          <w:bCs w:val="0"/>
        </w:rPr>
        <w:t xml:space="preserve">3.1.1 </w:t>
      </w:r>
      <w:r w:rsidRPr="00530A11">
        <w:rPr>
          <w:rFonts w:cs="Times New Roman"/>
          <w:bCs w:val="0"/>
        </w:rPr>
        <w:t>绿色建筑评价应以单栋建筑或建筑群为评价对象。评价对象应落实并深化上位法定规划及相关专项规划提出的绿色发展要求；涉及系统性、整体性的指标，应基于建筑所属工程项目的总体进行评价。</w:t>
      </w:r>
    </w:p>
    <w:p w14:paraId="5A8002D9" w14:textId="77777777" w:rsidR="00715ABB" w:rsidRPr="0081478A" w:rsidRDefault="00F44390">
      <w:pPr>
        <w:pStyle w:val="20"/>
        <w:rPr>
          <w:rFonts w:ascii="Times New Roman" w:eastAsiaTheme="minorEastAsia" w:hAnsi="Times New Roman" w:cs="Times New Roman"/>
          <w:color w:val="auto"/>
          <w:szCs w:val="22"/>
        </w:rPr>
      </w:pPr>
      <w:r w:rsidRPr="0081478A">
        <w:rPr>
          <w:rFonts w:ascii="Times New Roman" w:hAnsi="Times New Roman" w:cs="Times New Roman"/>
          <w:color w:val="auto"/>
        </w:rPr>
        <w:t>【条文说明】</w:t>
      </w:r>
    </w:p>
    <w:p w14:paraId="1FC6C75A" w14:textId="77777777" w:rsidR="00FF47CE" w:rsidRPr="00530A11" w:rsidRDefault="00FF47CE" w:rsidP="00FF47CE">
      <w:pPr>
        <w:ind w:firstLine="420"/>
        <w:rPr>
          <w:rFonts w:eastAsiaTheme="minorEastAsia"/>
          <w:bCs/>
        </w:rPr>
      </w:pPr>
      <w:r w:rsidRPr="00530A11">
        <w:t>本条沿引自国家《绿色建筑评价标准》</w:t>
      </w:r>
      <w:r w:rsidRPr="00530A11">
        <w:t>GB/T 50378-2019</w:t>
      </w:r>
      <w:r w:rsidRPr="00530A11">
        <w:t>，</w:t>
      </w:r>
      <w:r w:rsidRPr="00530A11">
        <w:rPr>
          <w:rFonts w:hint="eastAsia"/>
        </w:rPr>
        <w:t>并对条文说明进行了局部修改和补充。</w:t>
      </w:r>
    </w:p>
    <w:p w14:paraId="27DA97A5" w14:textId="77777777" w:rsidR="00FF47CE" w:rsidRPr="00530A11" w:rsidRDefault="00FF47CE" w:rsidP="00FF47CE">
      <w:pPr>
        <w:ind w:firstLine="420"/>
        <w:rPr>
          <w:rFonts w:cs="Times New Roman"/>
        </w:rPr>
      </w:pPr>
      <w:r w:rsidRPr="00530A11">
        <w:rPr>
          <w:rFonts w:cs="Times New Roman"/>
        </w:rPr>
        <w:t>建筑单体和建筑群均可以参评绿色建筑。绿色建筑的评价，首先应基于评价对象的功能要求，同时考虑材料、环保设施等方面的应用。当对某工程项目中的单栋建筑进行评价时，由于有些评价指标是针对该工程项目设定的（如住区的绿地率），或该工程项目中其他建筑也采用了相同的技术方案（如再生水利用），难以仅基于该单栋建筑进行评价，此时，应以该栋建筑所属工程项目的总体为基准进行评价。申报绿色建筑的项目，应同时满足：项目归属同一个建设工程规划许可证，且应是城市道路的最小围合单元。</w:t>
      </w:r>
    </w:p>
    <w:p w14:paraId="07F86784" w14:textId="77777777" w:rsidR="00FF47CE" w:rsidRPr="00530A11" w:rsidRDefault="00FF47CE" w:rsidP="00FF47CE">
      <w:pPr>
        <w:ind w:firstLine="420"/>
        <w:rPr>
          <w:rFonts w:cs="Times New Roman"/>
        </w:rPr>
      </w:pPr>
      <w:r w:rsidRPr="00530A11">
        <w:rPr>
          <w:rFonts w:cs="Times New Roman"/>
        </w:rPr>
        <w:t>常见的系统性、整体性指标主要有人均居住用地、容积率、绿地率、人均公共绿地等。对于总体性评价指标的认定，应核对申报项目所对应的土地出让、规划批复、初设审批和施工图审查等各个阶段的资料文件，考察各个阶段是否均处于同一项目，若其中有某一阶段存在申报项目中的部分单独进行的情况，则该申报项目不能认定为对应同一总体性指标。项目中的相关系统性、整体性指标实际中可以由全部居住者使用。</w:t>
      </w:r>
    </w:p>
    <w:p w14:paraId="5FA7ECDF" w14:textId="77777777" w:rsidR="00FF47CE" w:rsidRPr="00530A11" w:rsidRDefault="00FF47CE" w:rsidP="00FF47CE">
      <w:pPr>
        <w:ind w:firstLine="420"/>
        <w:rPr>
          <w:rFonts w:cs="Times New Roman"/>
        </w:rPr>
      </w:pPr>
      <w:r w:rsidRPr="00530A11">
        <w:rPr>
          <w:rFonts w:cs="Times New Roman"/>
        </w:rPr>
        <w:t>对于建筑群中的不同类型建筑，应按照单独类型予以单独申报，不作为混合类型申报。对于居住建筑项目中的独立配套商业，也需同时满足与主体建筑绿色建筑等级对应的商业类型绿色建筑等级要求。</w:t>
      </w:r>
    </w:p>
    <w:p w14:paraId="48371083" w14:textId="3002F03F" w:rsidR="00FF47CE" w:rsidRPr="00530A11" w:rsidRDefault="00FF47CE" w:rsidP="00FF47CE">
      <w:pPr>
        <w:ind w:firstLine="420"/>
        <w:rPr>
          <w:rFonts w:cs="Times New Roman"/>
        </w:rPr>
      </w:pPr>
      <w:r w:rsidRPr="00530A11">
        <w:rPr>
          <w:rFonts w:cs="Times New Roman"/>
        </w:rPr>
        <w:t>建筑单体和建筑群均可以参评绿色建筑，临时建筑不得参评。单栋建筑应为完整的建筑，不得从中剔除部分区域。对于建筑未交付使用时，应坚持本条原则，不对一栋建筑中的部分区域开展绿色建筑评价。但建筑运行阶段，可能会存在两个或两个以上业主的多功能综合性建筑，此情况下可灵活处理，首先仍应考虑</w:t>
      </w:r>
      <w:r w:rsidRPr="00530A11">
        <w:rPr>
          <w:rFonts w:cs="Times New Roman"/>
        </w:rPr>
        <w:t>“</w:t>
      </w:r>
      <w:r w:rsidRPr="00530A11">
        <w:rPr>
          <w:rFonts w:cs="Times New Roman"/>
        </w:rPr>
        <w:t>以一栋完整的建筑为基本对象</w:t>
      </w:r>
      <w:r w:rsidRPr="00530A11">
        <w:rPr>
          <w:rFonts w:cs="Times New Roman"/>
        </w:rPr>
        <w:t>”</w:t>
      </w:r>
      <w:r w:rsidRPr="00530A11">
        <w:rPr>
          <w:rFonts w:cs="Times New Roman"/>
        </w:rPr>
        <w:t>的原则，鼓励其业主联合申请绿色建筑评价；如所有业主无法联合申请，但有业主有意愿单独申请时，可对</w:t>
      </w:r>
      <w:r w:rsidRPr="00530A11">
        <w:rPr>
          <w:rFonts w:cs="Times New Roman"/>
        </w:rPr>
        <w:lastRenderedPageBreak/>
        <w:t>建筑中的部分区域进行评价，但申请评价的区域，建筑面积应不少于</w:t>
      </w:r>
      <w:r w:rsidRPr="00530A11">
        <w:rPr>
          <w:rFonts w:cs="Times New Roman"/>
        </w:rPr>
        <w:t>2</w:t>
      </w:r>
      <w:r w:rsidRPr="00530A11">
        <w:rPr>
          <w:rFonts w:cs="Times New Roman"/>
        </w:rPr>
        <w:t>万</w:t>
      </w:r>
      <w:r w:rsidR="00CC2113" w:rsidRPr="0081478A">
        <w:rPr>
          <w:rFonts w:cs="Times New Roman"/>
        </w:rPr>
        <w:t>m</w:t>
      </w:r>
      <w:r w:rsidR="00CC2113" w:rsidRPr="00801A5B">
        <w:rPr>
          <w:rFonts w:cs="Times New Roman"/>
          <w:vertAlign w:val="superscript"/>
        </w:rPr>
        <w:t>2</w:t>
      </w:r>
      <w:r w:rsidRPr="00530A11">
        <w:rPr>
          <w:rFonts w:cs="Times New Roman"/>
        </w:rPr>
        <w:t>，且有相对独立的暖通空调、给水排水等设备系统，此区域的电、气、热、水耗也能独立计量，还应明确物业产权和运行管理涵盖的区域，涉及的系统性、整体性指标，仍应按照本条的相关规定执行。</w:t>
      </w:r>
    </w:p>
    <w:p w14:paraId="038141D8" w14:textId="77777777" w:rsidR="00FF47CE" w:rsidRPr="00530A11" w:rsidRDefault="00FF47CE" w:rsidP="00FF47CE">
      <w:pPr>
        <w:ind w:firstLine="420"/>
        <w:rPr>
          <w:rFonts w:cs="Times New Roman"/>
        </w:rPr>
      </w:pPr>
      <w:r w:rsidRPr="00530A11">
        <w:rPr>
          <w:rFonts w:cs="Times New Roman"/>
        </w:rPr>
        <w:t>建筑群是指位置毗邻、功能相同、权属相同、技术体系相同（相近）的两个及以上单体建筑组成的群体。常见的建筑群有住宅建筑群、办公建筑群。当对建筑群进行评价时，可先用本标准评分项和加分项对各单体建筑进行评价，得到各单体建筑的总得分，并按照建筑群中最低的建筑得分确定建筑群的绿色建筑等级。</w:t>
      </w:r>
    </w:p>
    <w:p w14:paraId="10C79D31" w14:textId="77777777" w:rsidR="00FF47CE" w:rsidRPr="00530A11" w:rsidRDefault="00FF47CE" w:rsidP="00FF47CE">
      <w:pPr>
        <w:ind w:firstLine="420"/>
        <w:rPr>
          <w:rFonts w:cs="Times New Roman"/>
        </w:rPr>
      </w:pPr>
      <w:r w:rsidRPr="00530A11">
        <w:rPr>
          <w:rFonts w:cs="Times New Roman"/>
        </w:rPr>
        <w:t>无论评价对象为单栋建筑或建筑群，计算系统性、整体性指标时，边界应选取一致，以城市道路完整围合的最小用地面积为宜。如最小规模的城市居住区即城市道路围合的居住街坊（国家标准《城市居住区规划设计标准》</w:t>
      </w:r>
      <w:r w:rsidRPr="00530A11">
        <w:rPr>
          <w:rFonts w:cs="Times New Roman"/>
        </w:rPr>
        <w:t>GB 50180-2018</w:t>
      </w:r>
      <w:r w:rsidRPr="00530A11">
        <w:rPr>
          <w:rFonts w:cs="Times New Roman"/>
        </w:rPr>
        <w:t>规定的居住街坊规模），或城市道路围合、由公共建筑群构成的城市街坊。</w:t>
      </w:r>
    </w:p>
    <w:p w14:paraId="71393340" w14:textId="77777777" w:rsidR="00210C43" w:rsidRPr="00FF47CE" w:rsidRDefault="00210C43">
      <w:pPr>
        <w:snapToGrid w:val="0"/>
        <w:ind w:firstLine="420"/>
        <w:jc w:val="left"/>
        <w:rPr>
          <w:rFonts w:cs="Times New Roman"/>
          <w:szCs w:val="24"/>
          <w:shd w:val="clear" w:color="auto" w:fill="FFFF00"/>
        </w:rPr>
      </w:pPr>
    </w:p>
    <w:p w14:paraId="14D85C55" w14:textId="77777777" w:rsidR="00FF47CE" w:rsidRPr="00530A11" w:rsidRDefault="00FF47CE" w:rsidP="00FF47CE">
      <w:pPr>
        <w:pStyle w:val="4"/>
        <w:rPr>
          <w:rFonts w:cs="Times New Roman"/>
          <w:bCs w:val="0"/>
        </w:rPr>
      </w:pPr>
      <w:r w:rsidRPr="00530A11">
        <w:rPr>
          <w:rFonts w:cs="Times New Roman"/>
          <w:bCs w:val="0"/>
        </w:rPr>
        <w:t xml:space="preserve">3.1.2 </w:t>
      </w:r>
      <w:r w:rsidRPr="00530A11">
        <w:rPr>
          <w:rFonts w:cs="Times New Roman"/>
          <w:bCs w:val="0"/>
        </w:rPr>
        <w:t>绿色建筑评价应在建筑工程竣工后进行。在建筑工程施工图设计完成后，进行预评价。</w:t>
      </w:r>
    </w:p>
    <w:p w14:paraId="7789F9B3" w14:textId="77777777" w:rsidR="00715ABB" w:rsidRPr="0081478A" w:rsidRDefault="00F44390">
      <w:pPr>
        <w:pStyle w:val="20"/>
        <w:rPr>
          <w:rFonts w:ascii="Times New Roman" w:eastAsiaTheme="minorEastAsia" w:hAnsi="Times New Roman" w:cs="Times New Roman"/>
          <w:color w:val="auto"/>
          <w:szCs w:val="22"/>
        </w:rPr>
      </w:pPr>
      <w:r w:rsidRPr="0081478A">
        <w:rPr>
          <w:rFonts w:ascii="Times New Roman" w:hAnsi="Times New Roman" w:cs="Times New Roman"/>
          <w:color w:val="auto"/>
        </w:rPr>
        <w:t>【条文说明】</w:t>
      </w:r>
    </w:p>
    <w:p w14:paraId="58E8242B" w14:textId="77777777" w:rsidR="00FF47CE" w:rsidRPr="00530A11" w:rsidRDefault="00FF47CE" w:rsidP="00FF47CE">
      <w:pPr>
        <w:ind w:firstLine="420"/>
        <w:rPr>
          <w:rFonts w:eastAsiaTheme="minorEastAsia"/>
          <w:bCs/>
        </w:rPr>
      </w:pPr>
      <w:bookmarkStart w:id="33" w:name="_Hlk29545641"/>
      <w:r w:rsidRPr="00530A11">
        <w:t>本条沿引自国家《绿色建筑评价标准》</w:t>
      </w:r>
      <w:r w:rsidRPr="00530A11">
        <w:t>GB/T 50378-2019</w:t>
      </w:r>
      <w:r w:rsidRPr="00530A11">
        <w:t>，并</w:t>
      </w:r>
      <w:r w:rsidRPr="00530A11">
        <w:rPr>
          <w:rFonts w:hint="eastAsia"/>
        </w:rPr>
        <w:t>对条文说明</w:t>
      </w:r>
      <w:r w:rsidRPr="00530A11">
        <w:t>进行了局部修改。</w:t>
      </w:r>
    </w:p>
    <w:bookmarkEnd w:id="33"/>
    <w:p w14:paraId="5CC05BA3" w14:textId="77777777" w:rsidR="00FF47CE" w:rsidRPr="00530A11" w:rsidRDefault="00FF47CE" w:rsidP="00FF47CE">
      <w:pPr>
        <w:ind w:firstLine="420"/>
        <w:rPr>
          <w:rFonts w:cs="Times New Roman"/>
        </w:rPr>
      </w:pPr>
      <w:r w:rsidRPr="00530A11">
        <w:rPr>
          <w:rFonts w:cs="Times New Roman"/>
        </w:rPr>
        <w:t>本次修订对绿色建筑评价阶段进行了重新要求。</w:t>
      </w:r>
    </w:p>
    <w:p w14:paraId="5A886A22" w14:textId="77777777" w:rsidR="00FF47CE" w:rsidRPr="00530A11" w:rsidRDefault="00FF47CE" w:rsidP="00FF47CE">
      <w:pPr>
        <w:ind w:firstLine="420"/>
        <w:rPr>
          <w:rFonts w:cs="Times New Roman"/>
        </w:rPr>
      </w:pPr>
      <w:r w:rsidRPr="00530A11">
        <w:rPr>
          <w:rFonts w:cs="Times New Roman"/>
        </w:rPr>
        <w:t>住房城乡建设部《住房城乡建设事业</w:t>
      </w:r>
      <w:r w:rsidRPr="00530A11">
        <w:rPr>
          <w:rFonts w:cs="Times New Roman"/>
        </w:rPr>
        <w:t>“</w:t>
      </w:r>
      <w:r w:rsidRPr="00530A11">
        <w:rPr>
          <w:rFonts w:cs="Times New Roman"/>
        </w:rPr>
        <w:t>十三五</w:t>
      </w:r>
      <w:r w:rsidRPr="00530A11">
        <w:rPr>
          <w:rFonts w:cs="Times New Roman"/>
        </w:rPr>
        <w:t>”</w:t>
      </w:r>
      <w:r w:rsidRPr="00530A11">
        <w:rPr>
          <w:rFonts w:cs="Times New Roman"/>
        </w:rPr>
        <w:t>规划纲要》、《建筑节能与绿色建筑发展</w:t>
      </w:r>
      <w:r w:rsidRPr="00530A11">
        <w:rPr>
          <w:rFonts w:cs="Times New Roman"/>
        </w:rPr>
        <w:t>“</w:t>
      </w:r>
      <w:r w:rsidRPr="00530A11">
        <w:rPr>
          <w:rFonts w:cs="Times New Roman"/>
        </w:rPr>
        <w:t>十三五</w:t>
      </w:r>
      <w:r w:rsidRPr="00530A11">
        <w:rPr>
          <w:rFonts w:cs="Times New Roman"/>
        </w:rPr>
        <w:t>”</w:t>
      </w:r>
      <w:r w:rsidRPr="00530A11">
        <w:rPr>
          <w:rFonts w:cs="Times New Roman"/>
        </w:rPr>
        <w:t>规划》等国家政策明确提出全面推进绿色建筑发展，江苏、浙江、河北、河南、辽宁等省市通过立法的方式强制推动绿色建筑发展，大部分省市全面执行绿色建筑施工图设计文件审查，全国省会以上城市保障性安居工程、政府投资的公益性建筑、大型公共建筑开始全面执行绿色建筑标准，北京、天津、上海、重庆、江苏、浙江、山东、深圳等地开始在城镇新建建筑中全面执行绿色建筑标准。国家和地方的多项强有力举措使我国绿色建筑呈现跨越式发展，绿色建筑由推荐性、引领性、示范性向强制性方向转变。据统计，截至</w:t>
      </w:r>
      <w:r w:rsidRPr="00530A11">
        <w:rPr>
          <w:rFonts w:cs="Times New Roman"/>
        </w:rPr>
        <w:t>2017</w:t>
      </w:r>
      <w:r w:rsidRPr="00530A11">
        <w:rPr>
          <w:rFonts w:cs="Times New Roman"/>
        </w:rPr>
        <w:t>年底，全国获得绿色建筑评价标识的项目累计超过</w:t>
      </w:r>
      <w:r w:rsidRPr="00530A11">
        <w:rPr>
          <w:rFonts w:cs="Times New Roman"/>
        </w:rPr>
        <w:t>1</w:t>
      </w:r>
      <w:r w:rsidRPr="00530A11">
        <w:rPr>
          <w:rFonts w:cs="Times New Roman"/>
        </w:rPr>
        <w:t>万个，建筑面积超过</w:t>
      </w:r>
      <w:r w:rsidRPr="00530A11">
        <w:rPr>
          <w:rFonts w:cs="Times New Roman"/>
        </w:rPr>
        <w:t>10</w:t>
      </w:r>
      <w:r w:rsidRPr="00530A11">
        <w:rPr>
          <w:rFonts w:cs="Times New Roman"/>
        </w:rPr>
        <w:t>亿</w:t>
      </w:r>
      <w:r w:rsidRPr="00530A11">
        <w:rPr>
          <w:rFonts w:cs="Times New Roman"/>
        </w:rPr>
        <w:t>m</w:t>
      </w:r>
      <w:r w:rsidRPr="00530A11">
        <w:rPr>
          <w:rFonts w:cs="Times New Roman"/>
          <w:vertAlign w:val="superscript"/>
        </w:rPr>
        <w:t>2</w:t>
      </w:r>
      <w:r w:rsidRPr="00530A11">
        <w:rPr>
          <w:rFonts w:cs="Times New Roman"/>
        </w:rPr>
        <w:t>，但目前绿色建筑运行标识项目还相对较少，占标识项目总量的比例为</w:t>
      </w:r>
      <w:r w:rsidRPr="00530A11">
        <w:rPr>
          <w:rFonts w:cs="Times New Roman"/>
        </w:rPr>
        <w:t>7</w:t>
      </w:r>
      <w:r w:rsidRPr="00530A11">
        <w:rPr>
          <w:rFonts w:cs="Times New Roman"/>
        </w:rPr>
        <w:t>％左右，而且随着近几年绿色建筑施工图设计文件审查工作的普遍开展，绿色建筑运行标识项目所占的比例则更低。</w:t>
      </w:r>
    </w:p>
    <w:p w14:paraId="3E5C8619" w14:textId="77777777" w:rsidR="00FF47CE" w:rsidRPr="00530A11" w:rsidRDefault="00FF47CE" w:rsidP="00FF47CE">
      <w:pPr>
        <w:ind w:firstLine="420"/>
        <w:rPr>
          <w:rFonts w:cs="Times New Roman"/>
        </w:rPr>
      </w:pPr>
      <w:r w:rsidRPr="00530A11">
        <w:rPr>
          <w:rFonts w:cs="Times New Roman"/>
        </w:rPr>
        <w:t>绿色建筑未来必然向注重运行实效方向发展。我国绿色建筑发展历经</w:t>
      </w:r>
      <w:r w:rsidRPr="00530A11">
        <w:rPr>
          <w:rFonts w:cs="Times New Roman"/>
        </w:rPr>
        <w:t>10</w:t>
      </w:r>
      <w:r w:rsidRPr="00530A11">
        <w:rPr>
          <w:rFonts w:cs="Times New Roman"/>
        </w:rPr>
        <w:t>余年，绿色建筑发展需要解决从高速发展到高质量发展的诉求，关键途径之一则是重新定位绿色建筑的评</w:t>
      </w:r>
      <w:r w:rsidRPr="00530A11">
        <w:rPr>
          <w:rFonts w:cs="Times New Roman"/>
        </w:rPr>
        <w:lastRenderedPageBreak/>
        <w:t>价阶段。通过征询绿色建筑评价单位、技术咨询单位、建筑设计单位、科研机构、地方管理部门等单位专家意见，本次修订决定将绿色建筑评价定位在建筑物建成后的性能，也就是说将绿色建筑的性能评价放在建设工程竣工后，这么做能够更加有效约束绿色建筑技术落地，保证绿色建筑性能的实现。本条提出</w:t>
      </w:r>
      <w:r w:rsidRPr="00530A11">
        <w:rPr>
          <w:rFonts w:cs="Times New Roman"/>
        </w:rPr>
        <w:t>“</w:t>
      </w:r>
      <w:r w:rsidRPr="00530A11">
        <w:rPr>
          <w:rFonts w:cs="Times New Roman"/>
        </w:rPr>
        <w:t>在建筑工程施工图设计完成后，可进行预评价</w:t>
      </w:r>
      <w:r w:rsidRPr="00530A11">
        <w:rPr>
          <w:rFonts w:cs="Times New Roman"/>
        </w:rPr>
        <w:t>”</w:t>
      </w:r>
      <w:r w:rsidRPr="00530A11">
        <w:rPr>
          <w:rFonts w:cs="Times New Roman"/>
        </w:rPr>
        <w:t>，主要是出于两个方面的考虑：一方面，预评价能够更早地掌握建筑工程可能实现的绿色性能，可以及时优化或调整建筑方案或技术措施，为建成后的运行管理做准备；另一方面是作为设计评价的过渡，与各地现行的设计标识评价制度相衔接。</w:t>
      </w:r>
    </w:p>
    <w:p w14:paraId="7E914E8F" w14:textId="77777777" w:rsidR="00FF47CE" w:rsidRPr="00530A11" w:rsidRDefault="00FF47CE" w:rsidP="00FF47CE">
      <w:pPr>
        <w:ind w:firstLine="420"/>
        <w:rPr>
          <w:rFonts w:cs="Times New Roman"/>
        </w:rPr>
      </w:pPr>
      <w:r w:rsidRPr="00530A11">
        <w:rPr>
          <w:rFonts w:cs="Times New Roman"/>
        </w:rPr>
        <w:t>建筑工程竣工后，还包括</w:t>
      </w:r>
      <w:r w:rsidRPr="00530A11">
        <w:rPr>
          <w:rFonts w:cs="Times New Roman"/>
        </w:rPr>
        <w:t>2</w:t>
      </w:r>
      <w:r w:rsidRPr="00530A11">
        <w:rPr>
          <w:rFonts w:cs="Times New Roman"/>
        </w:rPr>
        <w:t>个阶段，即建筑工程竣工后即申请绿色建筑评价，以及投入使用后申请绿色建筑评价。本标准及细则对于建筑工程竣工后的这两个阶段评价方式进行了规定。当这两个阶段提供材料无区别时，不做特别说明；当对投入使用的建筑有额外材料要求时，</w:t>
      </w:r>
      <w:bookmarkStart w:id="34" w:name="_Hlk25917648"/>
      <w:r w:rsidRPr="00530A11">
        <w:rPr>
          <w:rFonts w:cs="Times New Roman" w:hint="eastAsia"/>
        </w:rPr>
        <w:t>在标准实施细则</w:t>
      </w:r>
      <w:bookmarkEnd w:id="34"/>
      <w:r w:rsidRPr="00530A11">
        <w:rPr>
          <w:rFonts w:cs="Times New Roman"/>
        </w:rPr>
        <w:t>中的</w:t>
      </w:r>
      <w:r w:rsidRPr="00530A11">
        <w:rPr>
          <w:rFonts w:cs="Times New Roman"/>
        </w:rPr>
        <w:t>“</w:t>
      </w:r>
      <w:r w:rsidRPr="00530A11">
        <w:rPr>
          <w:rFonts w:cs="Times New Roman"/>
        </w:rPr>
        <w:t>具体评价方式</w:t>
      </w:r>
      <w:r w:rsidRPr="00530A11">
        <w:rPr>
          <w:rFonts w:cs="Times New Roman"/>
        </w:rPr>
        <w:t>”</w:t>
      </w:r>
      <w:r w:rsidRPr="00530A11">
        <w:rPr>
          <w:rFonts w:cs="Times New Roman"/>
        </w:rPr>
        <w:t>中进行了明确，例如运行维保记录、实际运行数据等。可理解为，绿色建筑预评价的对象是建筑方案及其预期效果；绿色建筑评价的对象是真实的建筑物，及其实际性能。对曾进行过预评价的绿色建筑开展评价，则要核实设计内容的落实情况。</w:t>
      </w:r>
    </w:p>
    <w:p w14:paraId="277FD038" w14:textId="28F6BBCC" w:rsidR="00FF47CE" w:rsidRPr="00530A11" w:rsidRDefault="00FF47CE" w:rsidP="00FF47CE">
      <w:pPr>
        <w:ind w:firstLine="420"/>
        <w:rPr>
          <w:rFonts w:cs="Times New Roman"/>
        </w:rPr>
      </w:pPr>
      <w:r w:rsidRPr="00530A11">
        <w:rPr>
          <w:rFonts w:cs="Times New Roman"/>
        </w:rPr>
        <w:t>绿色建筑评价除了查阅相关项目竣工资料、运行维护资料外，还应对项目现场进行查勘，核对项目实际情况。</w:t>
      </w:r>
      <w:r w:rsidR="00550EBF" w:rsidRPr="00550EBF">
        <w:rPr>
          <w:rFonts w:cs="Times New Roman" w:hint="eastAsia"/>
        </w:rPr>
        <w:t>对于本标准中涉及到性能要求的材料、部品、设备、系统等，要求应进行统一设计、采购、安装，否则不予得分。</w:t>
      </w:r>
    </w:p>
    <w:p w14:paraId="40E2D449" w14:textId="77777777" w:rsidR="00715ABB" w:rsidRPr="00FF47CE" w:rsidRDefault="00715ABB">
      <w:pPr>
        <w:ind w:firstLine="420"/>
        <w:rPr>
          <w:rFonts w:cs="Times New Roman"/>
        </w:rPr>
      </w:pPr>
    </w:p>
    <w:p w14:paraId="41BA4A02" w14:textId="77777777" w:rsidR="00FF47CE" w:rsidRPr="00530A11" w:rsidRDefault="00FF47CE" w:rsidP="00FF47CE">
      <w:pPr>
        <w:pStyle w:val="4"/>
        <w:rPr>
          <w:rFonts w:cs="Times New Roman"/>
          <w:bCs w:val="0"/>
        </w:rPr>
      </w:pPr>
      <w:r w:rsidRPr="00530A11">
        <w:rPr>
          <w:rFonts w:cs="Times New Roman"/>
          <w:bCs w:val="0"/>
        </w:rPr>
        <w:t xml:space="preserve">3.1.3 </w:t>
      </w:r>
      <w:r w:rsidRPr="00530A11">
        <w:rPr>
          <w:rFonts w:cs="Times New Roman"/>
          <w:bCs w:val="0"/>
        </w:rPr>
        <w:t>申请评价方应对参评建筑进行全寿命期技术和经济分析，选用适宜技术、设备和材料，对规划、设计、施工、运行阶段进行全过程控制，并应在评价时提交相应分析、测试、检测报告和相关文件。申请评价方应对所提交资料的真实性和完整性负责。</w:t>
      </w:r>
    </w:p>
    <w:p w14:paraId="0D8E65A9" w14:textId="77777777" w:rsidR="00715ABB" w:rsidRPr="0081478A" w:rsidRDefault="00F44390" w:rsidP="006C79E9">
      <w:pPr>
        <w:pStyle w:val="20"/>
      </w:pPr>
      <w:r w:rsidRPr="0081478A">
        <w:t>【条文说明】</w:t>
      </w:r>
    </w:p>
    <w:p w14:paraId="6C2ED4D7" w14:textId="77777777" w:rsidR="00FF47CE" w:rsidRPr="00530A11" w:rsidRDefault="00FF47CE" w:rsidP="00FF47CE">
      <w:pPr>
        <w:ind w:firstLine="420"/>
        <w:rPr>
          <w:rFonts w:cs="Times New Roman"/>
          <w:bCs/>
        </w:rPr>
      </w:pPr>
      <w:r w:rsidRPr="00530A11">
        <w:t>本条沿引自国家《绿色建筑评价标准》</w:t>
      </w:r>
      <w:r w:rsidRPr="00530A11">
        <w:t>GB/T 50378-2019</w:t>
      </w:r>
      <w:r w:rsidRPr="00530A11">
        <w:t>，并</w:t>
      </w:r>
      <w:r w:rsidRPr="00530A11">
        <w:rPr>
          <w:rFonts w:hint="eastAsia"/>
        </w:rPr>
        <w:t>对条文说明</w:t>
      </w:r>
      <w:r w:rsidRPr="00530A11">
        <w:t>进行了局部补充。</w:t>
      </w:r>
    </w:p>
    <w:p w14:paraId="5BA81CD6" w14:textId="77777777" w:rsidR="00FF47CE" w:rsidRPr="00530A11" w:rsidRDefault="00FF47CE" w:rsidP="00FF47CE">
      <w:pPr>
        <w:ind w:firstLine="420"/>
      </w:pPr>
      <w:r w:rsidRPr="00530A11">
        <w:t>本条对申请评价方的相关工作提出要求。申请评价方依据有关管理制度文件确定。绿色建筑注重全寿命期内资源节约与环境保护的性能，申请评价方应对建筑全寿命期内各个阶段进行控制，优化建筑技术、设备和材料选用，综合评估建筑规模、建筑技术与投资之间的总体平衡，并按本标准的要求提交相应分析、测试报告和相关文件，涉及计算和测试的结果，应明确计算、测试条件，明确计算、测试方法，明确计算、测试结果。涉及检测检验报告的，应由具有相应资质的第三方独立机构出具。</w:t>
      </w:r>
    </w:p>
    <w:p w14:paraId="5B672AC3" w14:textId="77777777" w:rsidR="00FF47CE" w:rsidRPr="00530A11" w:rsidRDefault="00FF47CE" w:rsidP="00FF47CE">
      <w:pPr>
        <w:ind w:firstLine="420"/>
      </w:pPr>
      <w:r w:rsidRPr="00530A11">
        <w:lastRenderedPageBreak/>
        <w:t>申请评价方对所提交资料的真实性和完整性负责，并提交书面承诺。对存在提供虚假信息、隐瞒情况等行为的，一切后果有申请方负责。对于所选用的技术、设备和材料，除条文特别明确采用比例外，一般均要求为全部，杜绝表面文章。特别注意，申请建筑工程竣工后的绿色建筑评价，项目所提交的一切资料均应基于工程竣工资料，不得以申请预评价时的设计文件替代。</w:t>
      </w:r>
    </w:p>
    <w:p w14:paraId="2069020E" w14:textId="77777777" w:rsidR="00715ABB" w:rsidRPr="00FF47CE" w:rsidRDefault="00715ABB">
      <w:pPr>
        <w:snapToGrid w:val="0"/>
        <w:ind w:firstLineChars="0" w:firstLine="0"/>
        <w:jc w:val="left"/>
        <w:rPr>
          <w:rFonts w:cs="Times New Roman"/>
          <w:b/>
          <w:bCs/>
          <w:szCs w:val="24"/>
        </w:rPr>
      </w:pPr>
    </w:p>
    <w:p w14:paraId="7DC445DB" w14:textId="77777777" w:rsidR="00FF47CE" w:rsidRPr="00530A11" w:rsidRDefault="00FF47CE" w:rsidP="00FF47CE">
      <w:pPr>
        <w:pStyle w:val="4"/>
        <w:rPr>
          <w:rFonts w:cs="Times New Roman"/>
          <w:bCs w:val="0"/>
        </w:rPr>
      </w:pPr>
      <w:r w:rsidRPr="00530A11">
        <w:rPr>
          <w:rFonts w:cs="Times New Roman"/>
          <w:bCs w:val="0"/>
        </w:rPr>
        <w:t xml:space="preserve">3.1.4 </w:t>
      </w:r>
      <w:r w:rsidRPr="00530A11">
        <w:rPr>
          <w:rFonts w:cs="Times New Roman"/>
          <w:bCs w:val="0"/>
        </w:rPr>
        <w:t>评价机构应对申请评价方提交的分析、测试报告和相关文件进行审查，出具评价报告，确定等级。</w:t>
      </w:r>
    </w:p>
    <w:p w14:paraId="1B21182F"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73A71DFE" w14:textId="77777777" w:rsidR="00FF47CE" w:rsidRPr="00530A11" w:rsidRDefault="00FF47CE" w:rsidP="00FF47CE">
      <w:pPr>
        <w:ind w:firstLine="420"/>
        <w:rPr>
          <w:bCs/>
        </w:rPr>
      </w:pPr>
      <w:r w:rsidRPr="00530A11">
        <w:t>本条沿引自国家《绿色建筑评价标准》</w:t>
      </w:r>
      <w:r w:rsidRPr="00530A11">
        <w:t>GB/T 50378-2019</w:t>
      </w:r>
      <w:r w:rsidRPr="00530A11">
        <w:t>。</w:t>
      </w:r>
    </w:p>
    <w:p w14:paraId="6D368D56" w14:textId="77777777" w:rsidR="00FF47CE" w:rsidRPr="00530A11" w:rsidRDefault="00FF47CE" w:rsidP="00FF47CE">
      <w:pPr>
        <w:ind w:firstLine="420"/>
        <w:rPr>
          <w:rFonts w:cs="Times New Roman"/>
        </w:rPr>
      </w:pPr>
      <w:r w:rsidRPr="00530A11">
        <w:rPr>
          <w:rFonts w:cs="Times New Roman"/>
        </w:rPr>
        <w:t>本条对绿色建筑评价机构的相关工作提出要求。绿色建筑评价机构依据有关管理制度文件确定。绿色建筑评价机构应按照本标准的有关要求审查申请评价方提交的报告、文档，组织现场查勘，并在评价报告中确定等级。</w:t>
      </w:r>
    </w:p>
    <w:p w14:paraId="7FC1647B" w14:textId="77777777" w:rsidR="00715ABB" w:rsidRPr="00FF47CE" w:rsidRDefault="00715ABB">
      <w:pPr>
        <w:snapToGrid w:val="0"/>
        <w:ind w:firstLineChars="0" w:firstLine="0"/>
        <w:jc w:val="left"/>
        <w:rPr>
          <w:rFonts w:cs="Times New Roman"/>
          <w:b/>
          <w:bCs/>
          <w:szCs w:val="24"/>
        </w:rPr>
      </w:pPr>
    </w:p>
    <w:p w14:paraId="12F10AA1" w14:textId="77777777" w:rsidR="00FF47CE" w:rsidRPr="00530A11" w:rsidRDefault="00FF47CE" w:rsidP="00FF47CE">
      <w:pPr>
        <w:pStyle w:val="4"/>
        <w:rPr>
          <w:rFonts w:cs="Times New Roman"/>
          <w:bCs w:val="0"/>
        </w:rPr>
      </w:pPr>
      <w:r w:rsidRPr="00530A11">
        <w:rPr>
          <w:rFonts w:cs="Times New Roman"/>
          <w:bCs w:val="0"/>
        </w:rPr>
        <w:t xml:space="preserve">3.1.5 </w:t>
      </w:r>
      <w:r w:rsidRPr="00530A11">
        <w:rPr>
          <w:rFonts w:cs="Times New Roman"/>
          <w:bCs w:val="0"/>
        </w:rPr>
        <w:t>申请绿色金融服务的建筑项目，应对节能措施、节水措施、建筑能耗和碳排放等进行计算和说明，并应形成专项报告。</w:t>
      </w:r>
    </w:p>
    <w:p w14:paraId="52937BF6" w14:textId="77777777" w:rsidR="00715ABB" w:rsidRPr="0081478A" w:rsidRDefault="00F44390">
      <w:pPr>
        <w:pStyle w:val="20"/>
        <w:rPr>
          <w:rFonts w:ascii="Times New Roman" w:eastAsiaTheme="minorEastAsia" w:hAnsi="Times New Roman" w:cs="Times New Roman"/>
          <w:color w:val="auto"/>
          <w:szCs w:val="22"/>
        </w:rPr>
      </w:pPr>
      <w:r w:rsidRPr="0081478A">
        <w:rPr>
          <w:rFonts w:ascii="Times New Roman" w:hAnsi="Times New Roman" w:cs="Times New Roman"/>
          <w:color w:val="auto"/>
        </w:rPr>
        <w:t>【条文说明】</w:t>
      </w:r>
    </w:p>
    <w:p w14:paraId="15C07F2F" w14:textId="77777777" w:rsidR="00FF47CE" w:rsidRPr="00530A11" w:rsidRDefault="00FF47CE" w:rsidP="00FF47CE">
      <w:pPr>
        <w:ind w:firstLine="420"/>
        <w:rPr>
          <w:rFonts w:eastAsiaTheme="minorEastAsia"/>
          <w:bCs/>
        </w:rPr>
      </w:pPr>
      <w:bookmarkStart w:id="35" w:name="_Toc22221559"/>
      <w:r w:rsidRPr="00530A11">
        <w:t>本条沿引自国家《绿色建筑评价标准》</w:t>
      </w:r>
      <w:r w:rsidRPr="00530A11">
        <w:t>GB/T 50378-2019</w:t>
      </w:r>
      <w:r w:rsidRPr="00530A11">
        <w:t>。</w:t>
      </w:r>
    </w:p>
    <w:p w14:paraId="14DBE287" w14:textId="77777777" w:rsidR="00FF47CE" w:rsidRPr="00530A11" w:rsidRDefault="00FF47CE" w:rsidP="00FF47CE">
      <w:pPr>
        <w:ind w:firstLine="420"/>
        <w:rPr>
          <w:rFonts w:cs="Times New Roman"/>
        </w:rPr>
      </w:pPr>
      <w:r w:rsidRPr="00530A11">
        <w:rPr>
          <w:rFonts w:cs="Times New Roman"/>
        </w:rPr>
        <w:t>本条对申请绿色金融服务的建筑项目提出了要求。</w:t>
      </w:r>
      <w:r w:rsidRPr="00530A11">
        <w:rPr>
          <w:rFonts w:cs="Times New Roman"/>
        </w:rPr>
        <w:t>2016</w:t>
      </w:r>
      <w:r w:rsidRPr="00530A11">
        <w:rPr>
          <w:rFonts w:cs="Times New Roman"/>
        </w:rPr>
        <w:t>年</w:t>
      </w:r>
      <w:r w:rsidRPr="00530A11">
        <w:rPr>
          <w:rFonts w:cs="Times New Roman"/>
        </w:rPr>
        <w:t>8</w:t>
      </w:r>
      <w:r w:rsidRPr="00530A11">
        <w:rPr>
          <w:rFonts w:cs="Times New Roman"/>
        </w:rPr>
        <w:t>月</w:t>
      </w:r>
      <w:r w:rsidRPr="00530A11">
        <w:rPr>
          <w:rFonts w:cs="Times New Roman"/>
        </w:rPr>
        <w:t>31</w:t>
      </w:r>
      <w:r w:rsidRPr="00530A11">
        <w:rPr>
          <w:rFonts w:cs="Times New Roman"/>
        </w:rPr>
        <w:t>日，中国人民银行、财政部、国家发展改革委、环境保护部、银监会、证监会、保监会印发《关于构建绿色金融体系的指导意见》，指出绿色金融是指为支持环境改善、应对气候变化和资源节约高效利用的经济活动，即对环保、节能、清洁能源、绿色交通、绿色建筑等领域的项目投融资、项目运营、风险管理等所提供的金融服务。绿色金融服务包括绿色信贷、绿色债券、绿色股票指数和相关产品、绿色发展基金、绿色保险、碳金融等。对于申请绿色金融服务的建筑项目，应按照相关要求，对建筑的能耗和节能措施、碳排放、节水措施等进行计算和说明并形成专项报告。若绿色金融相关管理文件中无特殊规定，建筑能耗按本标准第</w:t>
      </w:r>
      <w:r w:rsidRPr="00530A11">
        <w:rPr>
          <w:rFonts w:cs="Times New Roman"/>
        </w:rPr>
        <w:t>7.2.8</w:t>
      </w:r>
      <w:r w:rsidRPr="00530A11">
        <w:rPr>
          <w:rFonts w:cs="Times New Roman"/>
        </w:rPr>
        <w:t>条的相关方法计算，节能措施说明包括用能设备能效、可再生能源利用、重要节能技术等；碳排放按本标准第</w:t>
      </w:r>
      <w:r w:rsidRPr="00530A11">
        <w:rPr>
          <w:rFonts w:cs="Times New Roman"/>
        </w:rPr>
        <w:t>9.2.7</w:t>
      </w:r>
      <w:r w:rsidRPr="00530A11">
        <w:rPr>
          <w:rFonts w:cs="Times New Roman"/>
        </w:rPr>
        <w:t>条的相关方法计算；建筑节水措施说明包括节水器具使用情况、用水计量情况等。</w:t>
      </w:r>
    </w:p>
    <w:p w14:paraId="7C6E6EA6" w14:textId="77777777" w:rsidR="00715ABB" w:rsidRPr="0081478A" w:rsidRDefault="00F44390" w:rsidP="003C1556">
      <w:pPr>
        <w:pStyle w:val="2"/>
      </w:pPr>
      <w:bookmarkStart w:id="36" w:name="_Toc35364726"/>
      <w:r w:rsidRPr="0081478A">
        <w:lastRenderedPageBreak/>
        <w:t xml:space="preserve">3.2 </w:t>
      </w:r>
      <w:r w:rsidRPr="0081478A">
        <w:t>评价与等级划分</w:t>
      </w:r>
      <w:bookmarkEnd w:id="35"/>
      <w:bookmarkEnd w:id="36"/>
    </w:p>
    <w:p w14:paraId="73A2A6B2" w14:textId="77777777" w:rsidR="00FF47CE" w:rsidRPr="00530A11" w:rsidRDefault="00FF47CE" w:rsidP="00FF47CE">
      <w:pPr>
        <w:pStyle w:val="4"/>
        <w:rPr>
          <w:rFonts w:cs="Times New Roman"/>
          <w:bCs w:val="0"/>
        </w:rPr>
      </w:pPr>
      <w:r w:rsidRPr="00530A11">
        <w:rPr>
          <w:rFonts w:cs="Times New Roman"/>
          <w:bCs w:val="0"/>
        </w:rPr>
        <w:t xml:space="preserve">3.2.1 </w:t>
      </w:r>
      <w:r w:rsidRPr="00530A11">
        <w:rPr>
          <w:rFonts w:cs="Times New Roman"/>
          <w:bCs w:val="0"/>
        </w:rPr>
        <w:t>绿色建筑评价指标体系应由安全耐久、健康舒适、生活便利、资源节约、环境宜居</w:t>
      </w:r>
      <w:r w:rsidRPr="00530A11">
        <w:rPr>
          <w:rFonts w:cs="Times New Roman"/>
          <w:bCs w:val="0"/>
        </w:rPr>
        <w:t>5</w:t>
      </w:r>
      <w:r w:rsidRPr="00530A11">
        <w:rPr>
          <w:rFonts w:cs="Times New Roman"/>
          <w:bCs w:val="0"/>
        </w:rPr>
        <w:t>类指标组成，且每类指标均包括控制项和评分项；评价指标体系还统一设置加分项。</w:t>
      </w:r>
    </w:p>
    <w:p w14:paraId="6201B713"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26DD6106" w14:textId="77777777" w:rsidR="00FF47CE" w:rsidRPr="00530A11" w:rsidRDefault="00FF47CE" w:rsidP="00FF47CE">
      <w:pPr>
        <w:ind w:firstLine="420"/>
        <w:rPr>
          <w:bCs/>
        </w:rPr>
      </w:pPr>
      <w:r w:rsidRPr="00530A11">
        <w:t>本条沿引自国家《绿色建筑评价标准》</w:t>
      </w:r>
      <w:r w:rsidRPr="00530A11">
        <w:t>GB/T 50378-2019</w:t>
      </w:r>
      <w:r w:rsidRPr="00530A11">
        <w:t>。</w:t>
      </w:r>
    </w:p>
    <w:p w14:paraId="15DFF920" w14:textId="77777777" w:rsidR="00FF47CE" w:rsidRPr="00530A11" w:rsidRDefault="00FF47CE" w:rsidP="00FF47CE">
      <w:pPr>
        <w:ind w:firstLine="420"/>
        <w:rPr>
          <w:rFonts w:cs="Times New Roman"/>
        </w:rPr>
      </w:pPr>
      <w:r w:rsidRPr="00530A11">
        <w:rPr>
          <w:rFonts w:cs="Times New Roman"/>
        </w:rPr>
        <w:t>此次修订，以</w:t>
      </w:r>
      <w:r w:rsidRPr="00530A11">
        <w:rPr>
          <w:rFonts w:cs="Times New Roman"/>
        </w:rPr>
        <w:t>“</w:t>
      </w:r>
      <w:r w:rsidRPr="00530A11">
        <w:rPr>
          <w:rFonts w:cs="Times New Roman"/>
        </w:rPr>
        <w:t>四节一环保</w:t>
      </w:r>
      <w:r w:rsidRPr="00530A11">
        <w:rPr>
          <w:rFonts w:cs="Times New Roman"/>
        </w:rPr>
        <w:t>”</w:t>
      </w:r>
      <w:r w:rsidRPr="00530A11">
        <w:rPr>
          <w:rFonts w:cs="Times New Roman"/>
        </w:rPr>
        <w:t>为基本约束，遵循以人民为中心的发展理念，构建了新的绿色建筑评价指标体系，将绿色建筑的评价指标体系调整为安全耐久、健康舒适、生活便利、资源节约、环境宜居</w:t>
      </w:r>
      <w:r w:rsidRPr="00530A11">
        <w:rPr>
          <w:rFonts w:cs="Times New Roman"/>
        </w:rPr>
        <w:t>5</w:t>
      </w:r>
      <w:r w:rsidRPr="00530A11">
        <w:rPr>
          <w:rFonts w:cs="Times New Roman"/>
        </w:rPr>
        <w:t>类指标，升级国家标准</w:t>
      </w:r>
      <w:r w:rsidRPr="00530A11">
        <w:rPr>
          <w:rFonts w:cs="Times New Roman"/>
        </w:rPr>
        <w:t>2014</w:t>
      </w:r>
      <w:r w:rsidRPr="00530A11">
        <w:rPr>
          <w:rFonts w:cs="Times New Roman"/>
        </w:rPr>
        <w:t>年版的指标体系，重新构建了绿色建筑的评价指标体系。其优点体现在：</w:t>
      </w:r>
      <w:r w:rsidRPr="00530A11">
        <w:rPr>
          <w:rFonts w:ascii="宋体" w:hAnsi="宋体" w:cs="宋体" w:hint="eastAsia"/>
        </w:rPr>
        <w:t>①</w:t>
      </w:r>
      <w:r w:rsidRPr="00530A11">
        <w:rPr>
          <w:rFonts w:cs="Times New Roman"/>
        </w:rPr>
        <w:t>符合目前国家新时代鼓励创新的发展方向；</w:t>
      </w:r>
      <w:r w:rsidRPr="00530A11">
        <w:rPr>
          <w:rFonts w:ascii="宋体" w:hAnsi="宋体" w:cs="宋体" w:hint="eastAsia"/>
        </w:rPr>
        <w:t>②</w:t>
      </w:r>
      <w:r w:rsidRPr="00530A11">
        <w:rPr>
          <w:rFonts w:cs="Times New Roman"/>
        </w:rPr>
        <w:t>指标体系名称易懂、易理解和易接受；</w:t>
      </w:r>
      <w:r w:rsidRPr="00530A11">
        <w:rPr>
          <w:rFonts w:ascii="宋体" w:hAnsi="宋体" w:cs="宋体" w:hint="eastAsia"/>
        </w:rPr>
        <w:t>③</w:t>
      </w:r>
      <w:r w:rsidRPr="00530A11">
        <w:rPr>
          <w:rFonts w:cs="Times New Roman"/>
        </w:rPr>
        <w:t>指标名称体现了新时代所关心的问题，能够提高人们对绿色建筑的可感知性。</w:t>
      </w:r>
    </w:p>
    <w:p w14:paraId="4C650136" w14:textId="77777777" w:rsidR="00FF47CE" w:rsidRPr="00530A11" w:rsidRDefault="00FF47CE" w:rsidP="00FF47CE">
      <w:pPr>
        <w:ind w:firstLine="420"/>
        <w:rPr>
          <w:rFonts w:cs="Times New Roman"/>
        </w:rPr>
      </w:pPr>
      <w:r w:rsidRPr="00530A11">
        <w:rPr>
          <w:rFonts w:cs="Times New Roman"/>
        </w:rPr>
        <w:t>每类指标均包括控制项和评分项。为了鼓励绿色建筑采用提高、创新的建筑技术和产品建造更高性能的绿色建筑，评价指标体系还统一设置</w:t>
      </w:r>
      <w:r w:rsidRPr="00530A11">
        <w:rPr>
          <w:rFonts w:cs="Times New Roman"/>
        </w:rPr>
        <w:t>“</w:t>
      </w:r>
      <w:r w:rsidRPr="00530A11">
        <w:rPr>
          <w:rFonts w:cs="Times New Roman"/>
        </w:rPr>
        <w:t>提高与创新</w:t>
      </w:r>
      <w:r w:rsidRPr="00530A11">
        <w:rPr>
          <w:rFonts w:cs="Times New Roman"/>
        </w:rPr>
        <w:t>”</w:t>
      </w:r>
      <w:r w:rsidRPr="00530A11">
        <w:rPr>
          <w:rFonts w:cs="Times New Roman"/>
        </w:rPr>
        <w:t>加分项。</w:t>
      </w:r>
    </w:p>
    <w:p w14:paraId="30EF43AB" w14:textId="77777777" w:rsidR="00715ABB" w:rsidRPr="00FF47CE" w:rsidRDefault="00715ABB">
      <w:pPr>
        <w:snapToGrid w:val="0"/>
        <w:ind w:firstLineChars="0" w:firstLine="0"/>
        <w:jc w:val="left"/>
        <w:rPr>
          <w:rFonts w:cs="Times New Roman"/>
          <w:b/>
          <w:bCs/>
          <w:szCs w:val="24"/>
        </w:rPr>
      </w:pPr>
    </w:p>
    <w:p w14:paraId="028AB287" w14:textId="77777777" w:rsidR="00FF47CE" w:rsidRPr="0081478A" w:rsidRDefault="00FF47CE" w:rsidP="00FF47CE">
      <w:pPr>
        <w:pStyle w:val="4"/>
        <w:rPr>
          <w:rFonts w:cs="Times New Roman"/>
        </w:rPr>
      </w:pPr>
      <w:r w:rsidRPr="0081478A">
        <w:rPr>
          <w:rFonts w:cs="Times New Roman"/>
        </w:rPr>
        <w:t xml:space="preserve">3.2.2 </w:t>
      </w:r>
      <w:r w:rsidRPr="0081478A">
        <w:rPr>
          <w:rFonts w:cs="Times New Roman"/>
        </w:rPr>
        <w:t>控制项的评定结果应为达标或不达标；评分项和加分项的评定结果应为分值。</w:t>
      </w:r>
    </w:p>
    <w:p w14:paraId="385AE2BC"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15BCB6F0" w14:textId="77777777" w:rsidR="00FF47CE" w:rsidRPr="00530A11" w:rsidRDefault="00FF47CE" w:rsidP="00FF47CE">
      <w:pPr>
        <w:ind w:firstLine="420"/>
        <w:rPr>
          <w:bCs/>
        </w:rPr>
      </w:pPr>
      <w:r w:rsidRPr="00530A11">
        <w:t>本条沿引自国家《绿色建筑评价标准》</w:t>
      </w:r>
      <w:r w:rsidRPr="00530A11">
        <w:t>GB/T 50378-2019</w:t>
      </w:r>
      <w:r w:rsidRPr="00530A11">
        <w:t>。</w:t>
      </w:r>
    </w:p>
    <w:p w14:paraId="03C2CFA3" w14:textId="77777777" w:rsidR="00FF47CE" w:rsidRPr="00530A11" w:rsidRDefault="00FF47CE" w:rsidP="00FF47CE">
      <w:pPr>
        <w:ind w:firstLine="420"/>
        <w:rPr>
          <w:rFonts w:cs="Times New Roman"/>
        </w:rPr>
      </w:pPr>
      <w:r w:rsidRPr="00530A11">
        <w:rPr>
          <w:rFonts w:cs="Times New Roman"/>
        </w:rPr>
        <w:t>评分项的评价，依据评价条文的规定确定得分或不得分，得分时根据需要对具体评分子项确定得分值，或根据具体达标程度确定得分值。加分项的评价，依据评价条文的规定确定得分或不得分。</w:t>
      </w:r>
    </w:p>
    <w:p w14:paraId="63A44767" w14:textId="77777777" w:rsidR="00FF47CE" w:rsidRPr="00530A11" w:rsidRDefault="00FF47CE" w:rsidP="00FF47CE">
      <w:pPr>
        <w:ind w:firstLine="420"/>
        <w:rPr>
          <w:rFonts w:cs="Times New Roman"/>
        </w:rPr>
      </w:pPr>
      <w:r w:rsidRPr="00530A11">
        <w:rPr>
          <w:rFonts w:cs="Times New Roman"/>
        </w:rPr>
        <w:t>评分项的赋分有以下几种方式：</w:t>
      </w:r>
    </w:p>
    <w:p w14:paraId="3054142F" w14:textId="77777777" w:rsidR="00FF47CE" w:rsidRPr="00530A11" w:rsidRDefault="00FF47CE" w:rsidP="00FF47CE">
      <w:pPr>
        <w:ind w:firstLine="420"/>
        <w:rPr>
          <w:rFonts w:cs="Times New Roman"/>
        </w:rPr>
      </w:pPr>
      <w:r w:rsidRPr="00530A11">
        <w:rPr>
          <w:rFonts w:cs="Times New Roman"/>
        </w:rPr>
        <w:t xml:space="preserve">1 </w:t>
      </w:r>
      <w:r w:rsidRPr="00530A11">
        <w:rPr>
          <w:rFonts w:cs="Times New Roman"/>
        </w:rPr>
        <w:t>一条条文评判一类性能或技术指标，且不需要根据达标情况不同赋以不同分值时，赋以一个固定分值，该评分项的得分为</w:t>
      </w:r>
      <w:r w:rsidRPr="00530A11">
        <w:rPr>
          <w:rFonts w:cs="Times New Roman"/>
        </w:rPr>
        <w:t>0</w:t>
      </w:r>
      <w:r w:rsidRPr="00530A11">
        <w:rPr>
          <w:rFonts w:cs="Times New Roman"/>
        </w:rPr>
        <w:t>分或固定分值，在条文主干部分表述为</w:t>
      </w:r>
      <w:r w:rsidRPr="00530A11">
        <w:rPr>
          <w:rFonts w:cs="Times New Roman"/>
        </w:rPr>
        <w:t>“</w:t>
      </w:r>
      <w:r w:rsidRPr="00530A11">
        <w:rPr>
          <w:rFonts w:cs="Times New Roman"/>
        </w:rPr>
        <w:t>评价分值为某分</w:t>
      </w:r>
      <w:r w:rsidRPr="00530A11">
        <w:rPr>
          <w:rFonts w:cs="Times New Roman"/>
        </w:rPr>
        <w:t>”</w:t>
      </w:r>
      <w:r w:rsidRPr="00530A11">
        <w:rPr>
          <w:rFonts w:cs="Times New Roman"/>
        </w:rPr>
        <w:t>；</w:t>
      </w:r>
      <w:r w:rsidRPr="00530A11">
        <w:rPr>
          <w:rFonts w:cs="Times New Roman"/>
        </w:rPr>
        <w:t xml:space="preserve"> </w:t>
      </w:r>
    </w:p>
    <w:p w14:paraId="249719C8" w14:textId="77777777" w:rsidR="00FF47CE" w:rsidRPr="00530A11" w:rsidRDefault="00FF47CE" w:rsidP="00FF47CE">
      <w:pPr>
        <w:ind w:firstLine="420"/>
        <w:rPr>
          <w:rFonts w:cs="Times New Roman"/>
        </w:rPr>
      </w:pPr>
      <w:r w:rsidRPr="00530A11">
        <w:rPr>
          <w:rFonts w:cs="Times New Roman"/>
        </w:rPr>
        <w:t xml:space="preserve">2 </w:t>
      </w:r>
      <w:r w:rsidRPr="00530A11">
        <w:rPr>
          <w:rFonts w:cs="Times New Roman"/>
        </w:rPr>
        <w:t>一条条文评判一类性能或技术指标，需要根据达标情况不同赋以不同分值时，在条文主干部分表述为</w:t>
      </w:r>
      <w:r w:rsidRPr="00530A11">
        <w:rPr>
          <w:rFonts w:cs="Times New Roman"/>
        </w:rPr>
        <w:t>“</w:t>
      </w:r>
      <w:r w:rsidRPr="00530A11">
        <w:rPr>
          <w:rFonts w:cs="Times New Roman"/>
        </w:rPr>
        <w:t>评价总分值为某分</w:t>
      </w:r>
      <w:r w:rsidRPr="00530A11">
        <w:rPr>
          <w:rFonts w:cs="Times New Roman"/>
        </w:rPr>
        <w:t>”</w:t>
      </w:r>
      <w:r w:rsidRPr="00530A11">
        <w:rPr>
          <w:rFonts w:cs="Times New Roman"/>
        </w:rPr>
        <w:t>，同时将不同得分值表述为</w:t>
      </w:r>
      <w:r w:rsidRPr="00530A11">
        <w:rPr>
          <w:rFonts w:cs="Times New Roman"/>
        </w:rPr>
        <w:t>“</w:t>
      </w:r>
      <w:r w:rsidRPr="00530A11">
        <w:rPr>
          <w:rFonts w:cs="Times New Roman"/>
        </w:rPr>
        <w:t>得某分</w:t>
      </w:r>
      <w:r w:rsidRPr="00530A11">
        <w:rPr>
          <w:rFonts w:cs="Times New Roman"/>
        </w:rPr>
        <w:t>”</w:t>
      </w:r>
      <w:r w:rsidRPr="00530A11">
        <w:rPr>
          <w:rFonts w:cs="Times New Roman"/>
        </w:rPr>
        <w:t>的形式，且从低分到高分排列；递进的档次特别多或者评分特别复杂的，则采用列表的形式表达，在条文主干部分表述为</w:t>
      </w:r>
      <w:r w:rsidRPr="00530A11">
        <w:rPr>
          <w:rFonts w:cs="Times New Roman"/>
        </w:rPr>
        <w:t>“</w:t>
      </w:r>
      <w:r w:rsidRPr="00530A11">
        <w:rPr>
          <w:rFonts w:cs="Times New Roman"/>
        </w:rPr>
        <w:t>按某表的规则评分</w:t>
      </w:r>
      <w:r w:rsidRPr="00530A11">
        <w:rPr>
          <w:rFonts w:cs="Times New Roman"/>
        </w:rPr>
        <w:t>”</w:t>
      </w:r>
      <w:r w:rsidRPr="00530A11">
        <w:rPr>
          <w:rFonts w:cs="Times New Roman"/>
        </w:rPr>
        <w:t>；</w:t>
      </w:r>
    </w:p>
    <w:p w14:paraId="53C4C4CD" w14:textId="77777777" w:rsidR="00FF47CE" w:rsidRPr="00530A11" w:rsidRDefault="00FF47CE" w:rsidP="00FF47CE">
      <w:pPr>
        <w:ind w:firstLine="420"/>
        <w:rPr>
          <w:rFonts w:cs="Times New Roman"/>
        </w:rPr>
      </w:pPr>
      <w:r w:rsidRPr="00530A11">
        <w:rPr>
          <w:rFonts w:cs="Times New Roman"/>
        </w:rPr>
        <w:t xml:space="preserve">3 </w:t>
      </w:r>
      <w:r w:rsidRPr="00530A11">
        <w:rPr>
          <w:rFonts w:cs="Times New Roman"/>
        </w:rPr>
        <w:t>一条条文评判一类性能或技术指标，但需要针对不同建筑类型或特点分别评判时，针</w:t>
      </w:r>
      <w:r w:rsidRPr="00530A11">
        <w:rPr>
          <w:rFonts w:cs="Times New Roman"/>
        </w:rPr>
        <w:lastRenderedPageBreak/>
        <w:t>对各种类型或特点按款或项分别赋以分值，各款或项得分均等于该条得分，在条文主干部分表述为</w:t>
      </w:r>
      <w:r w:rsidRPr="00530A11">
        <w:rPr>
          <w:rFonts w:cs="Times New Roman"/>
        </w:rPr>
        <w:t>“</w:t>
      </w:r>
      <w:r w:rsidRPr="00530A11">
        <w:rPr>
          <w:rFonts w:cs="Times New Roman"/>
        </w:rPr>
        <w:t>按下列规则评分</w:t>
      </w:r>
      <w:r w:rsidRPr="00530A11">
        <w:rPr>
          <w:rFonts w:cs="Times New Roman"/>
        </w:rPr>
        <w:t>”</w:t>
      </w:r>
      <w:r w:rsidRPr="00530A11">
        <w:rPr>
          <w:rFonts w:cs="Times New Roman"/>
        </w:rPr>
        <w:t>；</w:t>
      </w:r>
    </w:p>
    <w:p w14:paraId="3EBEE0B0" w14:textId="77777777" w:rsidR="00FF47CE" w:rsidRPr="00530A11" w:rsidRDefault="00FF47CE" w:rsidP="00FF47CE">
      <w:pPr>
        <w:ind w:firstLine="420"/>
        <w:rPr>
          <w:rFonts w:cs="Times New Roman"/>
        </w:rPr>
      </w:pPr>
      <w:r w:rsidRPr="00530A11">
        <w:rPr>
          <w:rFonts w:cs="Times New Roman"/>
        </w:rPr>
        <w:t xml:space="preserve">4 </w:t>
      </w:r>
      <w:r w:rsidRPr="00530A11">
        <w:rPr>
          <w:rFonts w:cs="Times New Roman"/>
        </w:rPr>
        <w:t>一条条文评判多个技术指标，将多个技术指标的评判以款或项的形式表达，并按款或项赋以分值，该条得分为各款或项得分之和，在条文主干部分表述为</w:t>
      </w:r>
      <w:r w:rsidRPr="00530A11">
        <w:rPr>
          <w:rFonts w:cs="Times New Roman"/>
        </w:rPr>
        <w:t>“</w:t>
      </w:r>
      <w:r w:rsidRPr="00530A11">
        <w:rPr>
          <w:rFonts w:cs="Times New Roman"/>
        </w:rPr>
        <w:t>按下列规则分别评分并累计</w:t>
      </w:r>
      <w:r w:rsidRPr="00530A11">
        <w:rPr>
          <w:rFonts w:cs="Times New Roman"/>
        </w:rPr>
        <w:t>”</w:t>
      </w:r>
      <w:r w:rsidRPr="00530A11">
        <w:rPr>
          <w:rFonts w:cs="Times New Roman"/>
        </w:rPr>
        <w:t>；</w:t>
      </w:r>
    </w:p>
    <w:p w14:paraId="3BBE8F36" w14:textId="77777777" w:rsidR="00FF47CE" w:rsidRPr="00530A11" w:rsidRDefault="00FF47CE" w:rsidP="00FF47CE">
      <w:pPr>
        <w:ind w:firstLine="420"/>
        <w:rPr>
          <w:rFonts w:cs="Times New Roman"/>
        </w:rPr>
      </w:pPr>
      <w:r w:rsidRPr="00530A11">
        <w:rPr>
          <w:rFonts w:cs="Times New Roman"/>
        </w:rPr>
        <w:t xml:space="preserve">5 </w:t>
      </w:r>
      <w:r w:rsidRPr="00530A11">
        <w:rPr>
          <w:rFonts w:cs="Times New Roman"/>
        </w:rPr>
        <w:t>一条条文评判多个技术指标，其中某技术指标需要根据达标情况不同赋以不同分值时，首先按多个技术指标的评判以款或项的形式表达并按款或项赋以分值，然后考虑达标程度不同对其中部分技术指标采用递进赋分方式。</w:t>
      </w:r>
    </w:p>
    <w:p w14:paraId="1888EB34" w14:textId="77777777" w:rsidR="00FF47CE" w:rsidRPr="00530A11" w:rsidRDefault="00FF47CE" w:rsidP="00FF47CE">
      <w:pPr>
        <w:ind w:firstLine="420"/>
        <w:rPr>
          <w:rFonts w:cs="Times New Roman"/>
        </w:rPr>
      </w:pPr>
      <w:r w:rsidRPr="00530A11">
        <w:rPr>
          <w:rFonts w:cs="Times New Roman"/>
        </w:rPr>
        <w:t xml:space="preserve">6 </w:t>
      </w:r>
      <w:r w:rsidRPr="00530A11">
        <w:rPr>
          <w:rFonts w:cs="Times New Roman"/>
        </w:rPr>
        <w:t>本标准中的不参评仅针对评价阶段的不适宜，其已在最后的总得分中予以体现，因此，对于其他未注明不参评的条文，在执行本标准时，均应参加评审，不需要再单独考虑参评问题。</w:t>
      </w:r>
    </w:p>
    <w:p w14:paraId="57B3E289" w14:textId="77777777" w:rsidR="00FF47CE" w:rsidRPr="00530A11" w:rsidRDefault="00FF47CE" w:rsidP="00FF47CE">
      <w:pPr>
        <w:ind w:firstLine="420"/>
        <w:rPr>
          <w:rFonts w:cs="Times New Roman"/>
        </w:rPr>
      </w:pPr>
      <w:r w:rsidRPr="00530A11">
        <w:rPr>
          <w:rFonts w:cs="Times New Roman"/>
        </w:rPr>
        <w:t>可能还会有少数条文出现其他评分方式组合。本标准中评分项和加分项条文主干部分给出了该条文的</w:t>
      </w:r>
      <w:r w:rsidRPr="00530A11">
        <w:rPr>
          <w:rFonts w:cs="Times New Roman"/>
        </w:rPr>
        <w:t>“</w:t>
      </w:r>
      <w:r w:rsidRPr="00530A11">
        <w:rPr>
          <w:rFonts w:cs="Times New Roman"/>
        </w:rPr>
        <w:t>评价分值</w:t>
      </w:r>
      <w:r w:rsidRPr="00530A11">
        <w:rPr>
          <w:rFonts w:cs="Times New Roman"/>
        </w:rPr>
        <w:t>”</w:t>
      </w:r>
      <w:r w:rsidRPr="00530A11">
        <w:rPr>
          <w:rFonts w:cs="Times New Roman"/>
        </w:rPr>
        <w:t>或</w:t>
      </w:r>
      <w:r w:rsidRPr="00530A11">
        <w:rPr>
          <w:rFonts w:cs="Times New Roman"/>
        </w:rPr>
        <w:t>“</w:t>
      </w:r>
      <w:r w:rsidRPr="00530A11">
        <w:rPr>
          <w:rFonts w:cs="Times New Roman"/>
        </w:rPr>
        <w:t>评价总分值</w:t>
      </w:r>
      <w:r w:rsidRPr="00530A11">
        <w:rPr>
          <w:rFonts w:cs="Times New Roman"/>
        </w:rPr>
        <w:t>”</w:t>
      </w:r>
      <w:r w:rsidRPr="00530A11">
        <w:rPr>
          <w:rFonts w:cs="Times New Roman"/>
        </w:rPr>
        <w:t>，是该条可能得到的最高分值。</w:t>
      </w:r>
    </w:p>
    <w:p w14:paraId="0A72C328" w14:textId="77777777" w:rsidR="00715ABB" w:rsidRPr="00FF47CE" w:rsidRDefault="00715ABB">
      <w:pPr>
        <w:snapToGrid w:val="0"/>
        <w:ind w:firstLine="420"/>
        <w:jc w:val="left"/>
        <w:rPr>
          <w:rFonts w:cs="Times New Roman"/>
          <w:szCs w:val="24"/>
        </w:rPr>
      </w:pPr>
    </w:p>
    <w:p w14:paraId="0B9B596B" w14:textId="77777777" w:rsidR="00FF47CE" w:rsidRPr="00530A11" w:rsidRDefault="00FF47CE" w:rsidP="00FF47CE">
      <w:pPr>
        <w:pStyle w:val="4"/>
        <w:rPr>
          <w:rFonts w:cs="Times New Roman"/>
          <w:bCs w:val="0"/>
        </w:rPr>
      </w:pPr>
      <w:r w:rsidRPr="00530A11">
        <w:rPr>
          <w:rFonts w:cs="Times New Roman"/>
          <w:bCs w:val="0"/>
        </w:rPr>
        <w:t xml:space="preserve">3.2.3 </w:t>
      </w:r>
      <w:r w:rsidRPr="00530A11">
        <w:rPr>
          <w:rFonts w:cs="Times New Roman"/>
          <w:bCs w:val="0"/>
        </w:rPr>
        <w:t>对于多功能的综合性单体建筑，应按本标准全部评价条文逐条对适用的区域进行评价，并按各功能区域对应达到的最低等级确定建筑整体的等级。</w:t>
      </w:r>
    </w:p>
    <w:p w14:paraId="2216A63F"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380F581D" w14:textId="77777777" w:rsidR="00FF47CE" w:rsidRPr="00530A11" w:rsidRDefault="00FF47CE" w:rsidP="00FF47CE">
      <w:pPr>
        <w:ind w:firstLine="420"/>
        <w:rPr>
          <w:bCs/>
        </w:rPr>
      </w:pPr>
      <w:r w:rsidRPr="00530A11">
        <w:t>本条沿引自国家《绿色建筑评价标准》</w:t>
      </w:r>
      <w:r w:rsidRPr="00530A11">
        <w:t>GB/T 50378-2019</w:t>
      </w:r>
      <w:r w:rsidRPr="00530A11">
        <w:t>，</w:t>
      </w:r>
      <w:r w:rsidRPr="00530A11">
        <w:rPr>
          <w:rFonts w:hint="eastAsia"/>
        </w:rPr>
        <w:t>并对条文和条文说明进行了局部修改和补充。</w:t>
      </w:r>
    </w:p>
    <w:p w14:paraId="3FB415C5" w14:textId="77777777" w:rsidR="00FF47CE" w:rsidRPr="00530A11" w:rsidRDefault="00FF47CE" w:rsidP="00FF47CE">
      <w:pPr>
        <w:ind w:firstLine="420"/>
        <w:rPr>
          <w:rFonts w:cs="Times New Roman"/>
        </w:rPr>
      </w:pPr>
      <w:r w:rsidRPr="00530A11">
        <w:rPr>
          <w:rFonts w:cs="Times New Roman"/>
        </w:rPr>
        <w:t>不论建筑功能是否综合，均以各个条</w:t>
      </w:r>
      <w:r w:rsidRPr="00530A11">
        <w:rPr>
          <w:rFonts w:cs="Times New Roman"/>
        </w:rPr>
        <w:t>/</w:t>
      </w:r>
      <w:r w:rsidRPr="00530A11">
        <w:rPr>
          <w:rFonts w:cs="Times New Roman"/>
        </w:rPr>
        <w:t>款为基本评判单元。对于某一条文，只要建筑中有相关区域涉及，则该建筑就参评并确定得分。对于条文下设两款分别针对住宅建筑和公共建筑，所评价建筑如果同时具有住宅建筑和公共建筑，则评价条文需按这两种功能分别评价后取其中最低的评价分数作为建筑整体的该条文评价分数。总体原则为：只要有涉及即全部参评；系统性、整体性指标应总体评价；所有部分均满足要求才给分；递进分档的条文，按</w:t>
      </w:r>
      <w:r w:rsidRPr="00530A11">
        <w:rPr>
          <w:rFonts w:cs="Times New Roman"/>
        </w:rPr>
        <w:t>“</w:t>
      </w:r>
      <w:r w:rsidRPr="00530A11">
        <w:rPr>
          <w:rFonts w:cs="Times New Roman"/>
        </w:rPr>
        <w:t>就低不就高</w:t>
      </w:r>
      <w:r w:rsidRPr="00530A11">
        <w:rPr>
          <w:rFonts w:cs="Times New Roman"/>
        </w:rPr>
        <w:t>”</w:t>
      </w:r>
      <w:r w:rsidRPr="00530A11">
        <w:rPr>
          <w:rFonts w:cs="Times New Roman"/>
        </w:rPr>
        <w:t>的原则确定得分；上述情况之外的特殊情况可特殊处理。标准后文中不再一一说明。建筑整体的等级仍按本标准的规定确定。总体原则为：</w:t>
      </w:r>
    </w:p>
    <w:p w14:paraId="7AB3FA1C" w14:textId="77777777" w:rsidR="00FF47CE" w:rsidRPr="00530A11" w:rsidRDefault="00FF47CE" w:rsidP="00FF47CE">
      <w:pPr>
        <w:ind w:firstLine="420"/>
        <w:rPr>
          <w:rFonts w:cs="Times New Roman"/>
        </w:rPr>
      </w:pPr>
      <w:r w:rsidRPr="00530A11">
        <w:rPr>
          <w:rFonts w:cs="Times New Roman"/>
        </w:rPr>
        <w:t>（</w:t>
      </w:r>
      <w:r w:rsidRPr="00530A11">
        <w:rPr>
          <w:rFonts w:cs="Times New Roman"/>
        </w:rPr>
        <w:t>1</w:t>
      </w:r>
      <w:r w:rsidRPr="00530A11">
        <w:rPr>
          <w:rFonts w:cs="Times New Roman"/>
        </w:rPr>
        <w:t>）只要有涉及即全部参评。以商住楼为例，即使</w:t>
      </w:r>
      <w:bookmarkStart w:id="37" w:name="_Hlk25676791"/>
      <w:r w:rsidRPr="00530A11">
        <w:rPr>
          <w:rFonts w:cs="Times New Roman"/>
        </w:rPr>
        <w:t>商业</w:t>
      </w:r>
      <w:bookmarkEnd w:id="37"/>
      <w:r w:rsidRPr="00530A11">
        <w:rPr>
          <w:rFonts w:cs="Times New Roman"/>
        </w:rPr>
        <w:t>面积比例很小，但仍要参评，并作为整栋建筑的得分（而不按面积折算）。</w:t>
      </w:r>
    </w:p>
    <w:p w14:paraId="658EF251" w14:textId="77777777" w:rsidR="00FF47CE" w:rsidRPr="00530A11" w:rsidRDefault="00FF47CE" w:rsidP="00FF47CE">
      <w:pPr>
        <w:ind w:firstLine="420"/>
        <w:rPr>
          <w:rFonts w:cs="Times New Roman"/>
        </w:rPr>
      </w:pPr>
      <w:r w:rsidRPr="00530A11">
        <w:rPr>
          <w:rFonts w:cs="Times New Roman"/>
        </w:rPr>
        <w:t>（</w:t>
      </w:r>
      <w:r w:rsidRPr="00530A11">
        <w:rPr>
          <w:rFonts w:cs="Times New Roman"/>
        </w:rPr>
        <w:t>2</w:t>
      </w:r>
      <w:r w:rsidRPr="00530A11">
        <w:rPr>
          <w:rFonts w:cs="Times New Roman"/>
        </w:rPr>
        <w:t>）系统性、整体性指标应按项目总体评价。</w:t>
      </w:r>
    </w:p>
    <w:p w14:paraId="37F2E7DD" w14:textId="77777777" w:rsidR="00FF47CE" w:rsidRPr="00530A11" w:rsidRDefault="00FF47CE" w:rsidP="00FF47CE">
      <w:pPr>
        <w:ind w:firstLine="420"/>
        <w:rPr>
          <w:rFonts w:cs="Times New Roman"/>
        </w:rPr>
      </w:pPr>
      <w:r w:rsidRPr="00530A11">
        <w:rPr>
          <w:rFonts w:cs="Times New Roman"/>
        </w:rPr>
        <w:t>（</w:t>
      </w:r>
      <w:r w:rsidRPr="00530A11">
        <w:rPr>
          <w:rFonts w:cs="Times New Roman"/>
        </w:rPr>
        <w:t>3</w:t>
      </w:r>
      <w:r w:rsidRPr="00530A11">
        <w:rPr>
          <w:rFonts w:cs="Times New Roman"/>
        </w:rPr>
        <w:t>）所有部分均满足要求才给分，例如第</w:t>
      </w:r>
      <w:r w:rsidRPr="00530A11">
        <w:rPr>
          <w:rFonts w:cs="Times New Roman"/>
        </w:rPr>
        <w:t>7.2.5</w:t>
      </w:r>
      <w:r w:rsidRPr="00530A11">
        <w:rPr>
          <w:rFonts w:cs="Times New Roman"/>
        </w:rPr>
        <w:t>条（冷热源机组能效），如果综合体公</w:t>
      </w:r>
      <w:r w:rsidRPr="00530A11">
        <w:rPr>
          <w:rFonts w:cs="Times New Roman"/>
        </w:rPr>
        <w:lastRenderedPageBreak/>
        <w:t>共建筑部分使用集中空调系统，住宅部分使用分体空调，只有所有的冷热源均达到相应要求才能得分（公共建筑部分达到要求而住宅部分未满足，不得分）。</w:t>
      </w:r>
    </w:p>
    <w:p w14:paraId="7CB5EC56" w14:textId="77777777" w:rsidR="00FF47CE" w:rsidRPr="00530A11" w:rsidRDefault="00FF47CE" w:rsidP="00FF47CE">
      <w:pPr>
        <w:ind w:firstLine="420"/>
        <w:rPr>
          <w:rFonts w:cs="Times New Roman"/>
        </w:rPr>
      </w:pPr>
      <w:r w:rsidRPr="00530A11">
        <w:rPr>
          <w:rFonts w:cs="Times New Roman"/>
        </w:rPr>
        <w:t>（</w:t>
      </w:r>
      <w:r w:rsidRPr="00530A11">
        <w:rPr>
          <w:rFonts w:cs="Times New Roman"/>
        </w:rPr>
        <w:t>4</w:t>
      </w:r>
      <w:r w:rsidRPr="00530A11">
        <w:rPr>
          <w:rFonts w:cs="Times New Roman"/>
        </w:rPr>
        <w:t>）递进分档得分的条文，按</w:t>
      </w:r>
      <w:r w:rsidRPr="00530A11">
        <w:rPr>
          <w:rFonts w:cs="Times New Roman"/>
        </w:rPr>
        <w:t>“</w:t>
      </w:r>
      <w:r w:rsidRPr="00530A11">
        <w:rPr>
          <w:rFonts w:cs="Times New Roman"/>
        </w:rPr>
        <w:t>就低不就高</w:t>
      </w:r>
      <w:r w:rsidRPr="00530A11">
        <w:rPr>
          <w:rFonts w:cs="Times New Roman"/>
        </w:rPr>
        <w:t>”</w:t>
      </w:r>
      <w:r w:rsidRPr="00530A11">
        <w:rPr>
          <w:rFonts w:cs="Times New Roman"/>
        </w:rPr>
        <w:t>的原则确定得分。以第</w:t>
      </w:r>
      <w:r w:rsidRPr="00530A11">
        <w:rPr>
          <w:rFonts w:cs="Times New Roman"/>
        </w:rPr>
        <w:t>7.2.5</w:t>
      </w:r>
      <w:r w:rsidRPr="00530A11">
        <w:rPr>
          <w:rFonts w:cs="Times New Roman"/>
        </w:rPr>
        <w:t>条（冷热源机组能效）为例，若公共建筑集中空调系统冷水机组</w:t>
      </w:r>
      <w:r w:rsidRPr="00530A11">
        <w:rPr>
          <w:rFonts w:cs="Times New Roman"/>
        </w:rPr>
        <w:t>COP</w:t>
      </w:r>
      <w:r w:rsidRPr="00530A11">
        <w:rPr>
          <w:rFonts w:cs="Times New Roman"/>
        </w:rPr>
        <w:t>提高</w:t>
      </w:r>
      <w:r w:rsidRPr="00530A11">
        <w:rPr>
          <w:rFonts w:cs="Times New Roman"/>
        </w:rPr>
        <w:t>12%</w:t>
      </w:r>
      <w:r w:rsidRPr="00530A11">
        <w:rPr>
          <w:rFonts w:cs="Times New Roman"/>
        </w:rPr>
        <w:t>（对应得分为</w:t>
      </w:r>
      <w:r w:rsidRPr="00530A11">
        <w:rPr>
          <w:rFonts w:cs="Times New Roman"/>
        </w:rPr>
        <w:t>10</w:t>
      </w:r>
      <w:r w:rsidRPr="00530A11">
        <w:rPr>
          <w:rFonts w:cs="Times New Roman"/>
        </w:rPr>
        <w:t>分），住宅建筑房间空气调节器能效比为节能评价值（对应得分为</w:t>
      </w:r>
      <w:r w:rsidRPr="00530A11">
        <w:rPr>
          <w:rFonts w:cs="Times New Roman"/>
        </w:rPr>
        <w:t>5</w:t>
      </w:r>
      <w:r w:rsidRPr="00530A11">
        <w:rPr>
          <w:rFonts w:cs="Times New Roman"/>
        </w:rPr>
        <w:t>分），则该条最终得分为</w:t>
      </w:r>
      <w:r w:rsidRPr="00530A11">
        <w:rPr>
          <w:rFonts w:cs="Times New Roman"/>
        </w:rPr>
        <w:t>5</w:t>
      </w:r>
      <w:r w:rsidRPr="00530A11">
        <w:rPr>
          <w:rFonts w:cs="Times New Roman"/>
        </w:rPr>
        <w:t>分。</w:t>
      </w:r>
    </w:p>
    <w:p w14:paraId="6A38A463" w14:textId="77777777" w:rsidR="00FF47CE" w:rsidRPr="00530A11" w:rsidRDefault="00FF47CE" w:rsidP="00FF47CE">
      <w:pPr>
        <w:ind w:firstLine="420"/>
        <w:rPr>
          <w:rFonts w:cs="Times New Roman"/>
        </w:rPr>
      </w:pPr>
      <w:r w:rsidRPr="00530A11">
        <w:rPr>
          <w:rFonts w:cs="Times New Roman"/>
        </w:rPr>
        <w:t>（</w:t>
      </w:r>
      <w:r w:rsidRPr="00530A11">
        <w:rPr>
          <w:rFonts w:cs="Times New Roman"/>
        </w:rPr>
        <w:t>5</w:t>
      </w:r>
      <w:r w:rsidRPr="00530A11">
        <w:rPr>
          <w:rFonts w:cs="Times New Roman"/>
        </w:rPr>
        <w:t>）上述情况之外的特殊情况可特殊处理。此类特殊情况，如已在本标准条文、条文说明或本细则中明示的，应遵照执行。对某些标准条文、条文说明、本细则的补充说明均未明示的特定情况，可根据实际情况进行判定。</w:t>
      </w:r>
    </w:p>
    <w:p w14:paraId="0685A469" w14:textId="77777777" w:rsidR="00715ABB" w:rsidRPr="00FF47CE" w:rsidRDefault="00715ABB">
      <w:pPr>
        <w:ind w:firstLine="420"/>
        <w:rPr>
          <w:rFonts w:cs="Times New Roman"/>
        </w:rPr>
      </w:pPr>
    </w:p>
    <w:p w14:paraId="24887428" w14:textId="77777777" w:rsidR="00FF47CE" w:rsidRPr="00530A11" w:rsidRDefault="00FF47CE" w:rsidP="00FF47CE">
      <w:pPr>
        <w:pStyle w:val="4"/>
        <w:rPr>
          <w:rFonts w:cs="Times New Roman"/>
          <w:bCs w:val="0"/>
        </w:rPr>
      </w:pPr>
      <w:r w:rsidRPr="00530A11">
        <w:rPr>
          <w:rFonts w:cs="Times New Roman"/>
          <w:bCs w:val="0"/>
        </w:rPr>
        <w:t xml:space="preserve">3.2.4 </w:t>
      </w:r>
      <w:r w:rsidRPr="00530A11">
        <w:rPr>
          <w:rFonts w:cs="Times New Roman"/>
          <w:bCs w:val="0"/>
        </w:rPr>
        <w:t>绿色建筑评价的分值设定应符合表</w:t>
      </w:r>
      <w:r w:rsidRPr="00530A11">
        <w:rPr>
          <w:rFonts w:cs="Times New Roman"/>
          <w:bCs w:val="0"/>
        </w:rPr>
        <w:t>3.2.4</w:t>
      </w:r>
      <w:r w:rsidRPr="00530A11">
        <w:rPr>
          <w:rFonts w:cs="Times New Roman"/>
          <w:bCs w:val="0"/>
        </w:rPr>
        <w:t>的规定。</w:t>
      </w:r>
    </w:p>
    <w:p w14:paraId="21DCF40E" w14:textId="77777777" w:rsidR="00FF47CE" w:rsidRPr="00530A11" w:rsidRDefault="00FF47CE" w:rsidP="00FF47CE">
      <w:pPr>
        <w:pStyle w:val="ae"/>
        <w:rPr>
          <w:rFonts w:cs="Times New Roman"/>
          <w:b w:val="0"/>
        </w:rPr>
      </w:pPr>
      <w:r w:rsidRPr="00530A11">
        <w:rPr>
          <w:rFonts w:cs="Times New Roman"/>
          <w:b w:val="0"/>
        </w:rPr>
        <w:t>表</w:t>
      </w:r>
      <w:r w:rsidRPr="00530A11">
        <w:rPr>
          <w:rFonts w:cs="Times New Roman"/>
          <w:b w:val="0"/>
        </w:rPr>
        <w:t xml:space="preserve">3.2.4 </w:t>
      </w:r>
      <w:r w:rsidRPr="00530A11">
        <w:rPr>
          <w:rFonts w:cs="Times New Roman"/>
          <w:b w:val="0"/>
        </w:rPr>
        <w:t>绿色建筑评价分值</w:t>
      </w:r>
    </w:p>
    <w:tbl>
      <w:tblPr>
        <w:tblW w:w="6792" w:type="dxa"/>
        <w:jc w:val="center"/>
        <w:tblLayout w:type="fixed"/>
        <w:tblLook w:val="04A0" w:firstRow="1" w:lastRow="0" w:firstColumn="1" w:lastColumn="0" w:noHBand="0" w:noVBand="1"/>
      </w:tblPr>
      <w:tblGrid>
        <w:gridCol w:w="1271"/>
        <w:gridCol w:w="1060"/>
        <w:gridCol w:w="638"/>
        <w:gridCol w:w="638"/>
        <w:gridCol w:w="638"/>
        <w:gridCol w:w="638"/>
        <w:gridCol w:w="638"/>
        <w:gridCol w:w="1271"/>
      </w:tblGrid>
      <w:tr w:rsidR="00FF47CE" w:rsidRPr="00530A11" w14:paraId="4AFB6AA7" w14:textId="77777777" w:rsidTr="00C060F4">
        <w:trPr>
          <w:trHeight w:val="323"/>
          <w:jc w:val="center"/>
        </w:trPr>
        <w:tc>
          <w:tcPr>
            <w:tcW w:w="127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48B888A" w14:textId="77777777" w:rsidR="00FF47CE" w:rsidRPr="00530A11" w:rsidRDefault="00FF47CE" w:rsidP="00C060F4">
            <w:pPr>
              <w:pStyle w:val="ae"/>
              <w:rPr>
                <w:rFonts w:cs="Times New Roman"/>
                <w:b w:val="0"/>
              </w:rPr>
            </w:pPr>
          </w:p>
        </w:tc>
        <w:tc>
          <w:tcPr>
            <w:tcW w:w="1060"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801EC99" w14:textId="77777777" w:rsidR="00FF47CE" w:rsidRPr="00530A11" w:rsidRDefault="00FF47CE" w:rsidP="00C060F4">
            <w:pPr>
              <w:pStyle w:val="ae"/>
              <w:rPr>
                <w:rFonts w:cs="Times New Roman"/>
                <w:b w:val="0"/>
              </w:rPr>
            </w:pPr>
            <w:r w:rsidRPr="00530A11">
              <w:rPr>
                <w:rFonts w:cs="Times New Roman"/>
                <w:b w:val="0"/>
              </w:rPr>
              <w:t>控制项</w:t>
            </w:r>
          </w:p>
          <w:p w14:paraId="2CDE9AF3" w14:textId="77777777" w:rsidR="00FF47CE" w:rsidRPr="00530A11" w:rsidRDefault="00FF47CE" w:rsidP="00C060F4">
            <w:pPr>
              <w:pStyle w:val="ae"/>
              <w:rPr>
                <w:rFonts w:cs="Times New Roman"/>
                <w:b w:val="0"/>
              </w:rPr>
            </w:pPr>
            <w:r w:rsidRPr="00530A11">
              <w:rPr>
                <w:rFonts w:cs="Times New Roman"/>
                <w:b w:val="0"/>
              </w:rPr>
              <w:t>基础分值</w:t>
            </w:r>
          </w:p>
        </w:tc>
        <w:tc>
          <w:tcPr>
            <w:tcW w:w="319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72EB2F4C" w14:textId="77777777" w:rsidR="00FF47CE" w:rsidRPr="00530A11" w:rsidRDefault="00FF47CE" w:rsidP="00C060F4">
            <w:pPr>
              <w:pStyle w:val="ae"/>
              <w:rPr>
                <w:rFonts w:cs="Times New Roman"/>
                <w:b w:val="0"/>
              </w:rPr>
            </w:pPr>
            <w:r w:rsidRPr="00530A11">
              <w:rPr>
                <w:rFonts w:cs="Times New Roman"/>
                <w:b w:val="0"/>
              </w:rPr>
              <w:t>评价指标评分项满分值</w:t>
            </w:r>
          </w:p>
        </w:tc>
        <w:tc>
          <w:tcPr>
            <w:tcW w:w="127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3825A57" w14:textId="77777777" w:rsidR="00FF47CE" w:rsidRPr="00530A11" w:rsidRDefault="00FF47CE" w:rsidP="00C060F4">
            <w:pPr>
              <w:pStyle w:val="ae"/>
              <w:rPr>
                <w:rFonts w:cs="Times New Roman"/>
                <w:b w:val="0"/>
              </w:rPr>
            </w:pPr>
            <w:r w:rsidRPr="00530A11">
              <w:rPr>
                <w:rFonts w:cs="Times New Roman"/>
                <w:b w:val="0"/>
              </w:rPr>
              <w:t>提高与创新</w:t>
            </w:r>
          </w:p>
          <w:p w14:paraId="7AD08C73" w14:textId="77777777" w:rsidR="00FF47CE" w:rsidRPr="00530A11" w:rsidRDefault="00FF47CE" w:rsidP="00C060F4">
            <w:pPr>
              <w:pStyle w:val="ae"/>
              <w:rPr>
                <w:rFonts w:cs="Times New Roman"/>
                <w:b w:val="0"/>
              </w:rPr>
            </w:pPr>
            <w:r w:rsidRPr="00530A11">
              <w:rPr>
                <w:rFonts w:cs="Times New Roman"/>
                <w:b w:val="0"/>
              </w:rPr>
              <w:t>加分项</w:t>
            </w:r>
          </w:p>
          <w:p w14:paraId="2DA9179B" w14:textId="77777777" w:rsidR="00FF47CE" w:rsidRPr="00530A11" w:rsidRDefault="00FF47CE" w:rsidP="00C060F4">
            <w:pPr>
              <w:pStyle w:val="ae"/>
              <w:rPr>
                <w:rFonts w:cs="Times New Roman"/>
                <w:b w:val="0"/>
              </w:rPr>
            </w:pPr>
            <w:r w:rsidRPr="00530A11">
              <w:rPr>
                <w:rFonts w:cs="Times New Roman"/>
                <w:b w:val="0"/>
              </w:rPr>
              <w:t>满分值</w:t>
            </w:r>
          </w:p>
        </w:tc>
      </w:tr>
      <w:tr w:rsidR="00FF47CE" w:rsidRPr="00530A11" w14:paraId="320971DF" w14:textId="77777777" w:rsidTr="00C060F4">
        <w:trPr>
          <w:trHeight w:val="323"/>
          <w:jc w:val="center"/>
        </w:trPr>
        <w:tc>
          <w:tcPr>
            <w:tcW w:w="1271"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A375E3D" w14:textId="77777777" w:rsidR="00FF47CE" w:rsidRPr="00530A11" w:rsidRDefault="00FF47CE" w:rsidP="00C060F4">
            <w:pPr>
              <w:pStyle w:val="ae"/>
              <w:rPr>
                <w:rFonts w:cs="Times New Roman"/>
                <w:b w:val="0"/>
              </w:rPr>
            </w:pPr>
          </w:p>
        </w:tc>
        <w:tc>
          <w:tcPr>
            <w:tcW w:w="1060" w:type="dxa"/>
            <w:vMerge/>
            <w:tcBorders>
              <w:top w:val="single" w:sz="8" w:space="0" w:color="auto"/>
              <w:left w:val="single" w:sz="8" w:space="0" w:color="auto"/>
              <w:bottom w:val="single" w:sz="8" w:space="0" w:color="auto"/>
              <w:right w:val="single" w:sz="8" w:space="0" w:color="auto"/>
            </w:tcBorders>
            <w:shd w:val="clear" w:color="auto" w:fill="auto"/>
            <w:vAlign w:val="center"/>
          </w:tcPr>
          <w:p w14:paraId="29270E46" w14:textId="77777777" w:rsidR="00FF47CE" w:rsidRPr="00530A11" w:rsidRDefault="00FF47CE" w:rsidP="00C060F4">
            <w:pPr>
              <w:pStyle w:val="ae"/>
              <w:rPr>
                <w:rFonts w:cs="Times New Roman"/>
                <w:b w:val="0"/>
              </w:rPr>
            </w:pP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5A5B4B2D" w14:textId="77777777" w:rsidR="00FF47CE" w:rsidRPr="00530A11" w:rsidRDefault="00FF47CE" w:rsidP="00C060F4">
            <w:pPr>
              <w:pStyle w:val="ae"/>
              <w:rPr>
                <w:rFonts w:cs="Times New Roman"/>
                <w:b w:val="0"/>
              </w:rPr>
            </w:pPr>
            <w:r w:rsidRPr="00530A11">
              <w:rPr>
                <w:rFonts w:cs="Times New Roman"/>
                <w:b w:val="0"/>
              </w:rPr>
              <w:t>安全</w:t>
            </w:r>
          </w:p>
          <w:p w14:paraId="7B5FDC94" w14:textId="77777777" w:rsidR="00FF47CE" w:rsidRPr="00530A11" w:rsidRDefault="00FF47CE" w:rsidP="00C060F4">
            <w:pPr>
              <w:pStyle w:val="ae"/>
              <w:rPr>
                <w:rFonts w:cs="Times New Roman"/>
                <w:b w:val="0"/>
              </w:rPr>
            </w:pPr>
            <w:r w:rsidRPr="00530A11">
              <w:rPr>
                <w:rFonts w:cs="Times New Roman"/>
                <w:b w:val="0"/>
              </w:rPr>
              <w:t>耐久</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279E14CD" w14:textId="77777777" w:rsidR="00FF47CE" w:rsidRPr="00530A11" w:rsidRDefault="00FF47CE" w:rsidP="00C060F4">
            <w:pPr>
              <w:pStyle w:val="ae"/>
              <w:rPr>
                <w:rFonts w:cs="Times New Roman"/>
                <w:b w:val="0"/>
              </w:rPr>
            </w:pPr>
            <w:r w:rsidRPr="00530A11">
              <w:rPr>
                <w:rFonts w:cs="Times New Roman"/>
                <w:b w:val="0"/>
              </w:rPr>
              <w:t>健康</w:t>
            </w:r>
          </w:p>
          <w:p w14:paraId="7690B9D6" w14:textId="77777777" w:rsidR="00FF47CE" w:rsidRPr="00530A11" w:rsidRDefault="00FF47CE" w:rsidP="00C060F4">
            <w:pPr>
              <w:pStyle w:val="ae"/>
              <w:rPr>
                <w:rFonts w:cs="Times New Roman"/>
                <w:b w:val="0"/>
              </w:rPr>
            </w:pPr>
            <w:r w:rsidRPr="00530A11">
              <w:rPr>
                <w:rFonts w:cs="Times New Roman"/>
                <w:b w:val="0"/>
              </w:rPr>
              <w:t>舒适</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29363DE1" w14:textId="77777777" w:rsidR="00FF47CE" w:rsidRPr="00530A11" w:rsidRDefault="00FF47CE" w:rsidP="00C060F4">
            <w:pPr>
              <w:pStyle w:val="ae"/>
              <w:rPr>
                <w:rFonts w:cs="Times New Roman"/>
                <w:b w:val="0"/>
              </w:rPr>
            </w:pPr>
            <w:r w:rsidRPr="00530A11">
              <w:rPr>
                <w:rFonts w:cs="Times New Roman"/>
                <w:b w:val="0"/>
              </w:rPr>
              <w:t>生活</w:t>
            </w:r>
          </w:p>
          <w:p w14:paraId="20F0B363" w14:textId="77777777" w:rsidR="00FF47CE" w:rsidRPr="00530A11" w:rsidRDefault="00FF47CE" w:rsidP="00C060F4">
            <w:pPr>
              <w:pStyle w:val="ae"/>
              <w:rPr>
                <w:rFonts w:cs="Times New Roman"/>
                <w:b w:val="0"/>
              </w:rPr>
            </w:pPr>
            <w:r w:rsidRPr="00530A11">
              <w:rPr>
                <w:rFonts w:cs="Times New Roman"/>
                <w:b w:val="0"/>
              </w:rPr>
              <w:t>便利</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4D1E9DDA" w14:textId="77777777" w:rsidR="00FF47CE" w:rsidRPr="00530A11" w:rsidRDefault="00FF47CE" w:rsidP="00C060F4">
            <w:pPr>
              <w:pStyle w:val="ae"/>
              <w:rPr>
                <w:rFonts w:cs="Times New Roman"/>
                <w:b w:val="0"/>
              </w:rPr>
            </w:pPr>
            <w:r w:rsidRPr="00530A11">
              <w:rPr>
                <w:rFonts w:cs="Times New Roman"/>
                <w:b w:val="0"/>
              </w:rPr>
              <w:t>资源</w:t>
            </w:r>
          </w:p>
          <w:p w14:paraId="2A9A9993" w14:textId="77777777" w:rsidR="00FF47CE" w:rsidRPr="00530A11" w:rsidRDefault="00FF47CE" w:rsidP="00C060F4">
            <w:pPr>
              <w:pStyle w:val="ae"/>
              <w:rPr>
                <w:rFonts w:cs="Times New Roman"/>
                <w:b w:val="0"/>
              </w:rPr>
            </w:pPr>
            <w:r w:rsidRPr="00530A11">
              <w:rPr>
                <w:rFonts w:cs="Times New Roman"/>
                <w:b w:val="0"/>
              </w:rPr>
              <w:t>节约</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08026D07" w14:textId="77777777" w:rsidR="00FF47CE" w:rsidRPr="00530A11" w:rsidRDefault="00FF47CE" w:rsidP="00C060F4">
            <w:pPr>
              <w:pStyle w:val="ae"/>
              <w:rPr>
                <w:rFonts w:cs="Times New Roman"/>
                <w:b w:val="0"/>
              </w:rPr>
            </w:pPr>
            <w:r w:rsidRPr="00530A11">
              <w:rPr>
                <w:rFonts w:cs="Times New Roman"/>
                <w:b w:val="0"/>
              </w:rPr>
              <w:t>环境</w:t>
            </w:r>
          </w:p>
          <w:p w14:paraId="601D6A1A" w14:textId="77777777" w:rsidR="00FF47CE" w:rsidRPr="00530A11" w:rsidRDefault="00FF47CE" w:rsidP="00C060F4">
            <w:pPr>
              <w:pStyle w:val="ae"/>
              <w:rPr>
                <w:rFonts w:cs="Times New Roman"/>
                <w:b w:val="0"/>
              </w:rPr>
            </w:pPr>
            <w:r w:rsidRPr="00530A11">
              <w:rPr>
                <w:rFonts w:cs="Times New Roman"/>
                <w:b w:val="0"/>
              </w:rPr>
              <w:t>宜居</w:t>
            </w:r>
          </w:p>
        </w:tc>
        <w:tc>
          <w:tcPr>
            <w:tcW w:w="1271" w:type="dxa"/>
            <w:vMerge/>
            <w:tcBorders>
              <w:top w:val="single" w:sz="8" w:space="0" w:color="auto"/>
              <w:left w:val="single" w:sz="8" w:space="0" w:color="auto"/>
              <w:bottom w:val="single" w:sz="8" w:space="0" w:color="auto"/>
              <w:right w:val="single" w:sz="8" w:space="0" w:color="auto"/>
            </w:tcBorders>
            <w:shd w:val="clear" w:color="auto" w:fill="auto"/>
            <w:vAlign w:val="center"/>
          </w:tcPr>
          <w:p w14:paraId="637C4900" w14:textId="77777777" w:rsidR="00FF47CE" w:rsidRPr="00530A11" w:rsidRDefault="00FF47CE" w:rsidP="00C060F4">
            <w:pPr>
              <w:pStyle w:val="ae"/>
              <w:rPr>
                <w:rFonts w:cs="Times New Roman"/>
                <w:b w:val="0"/>
              </w:rPr>
            </w:pPr>
          </w:p>
        </w:tc>
      </w:tr>
      <w:tr w:rsidR="00FF47CE" w:rsidRPr="00530A11" w14:paraId="42D9964D" w14:textId="77777777" w:rsidTr="00C060F4">
        <w:trPr>
          <w:cantSplit/>
          <w:trHeight w:val="1134"/>
          <w:jc w:val="center"/>
        </w:trPr>
        <w:tc>
          <w:tcPr>
            <w:tcW w:w="1271" w:type="dxa"/>
            <w:tcBorders>
              <w:top w:val="single" w:sz="8" w:space="0" w:color="auto"/>
              <w:left w:val="single" w:sz="8" w:space="0" w:color="auto"/>
              <w:bottom w:val="single" w:sz="8" w:space="0" w:color="auto"/>
              <w:right w:val="single" w:sz="8" w:space="0" w:color="auto"/>
            </w:tcBorders>
            <w:shd w:val="clear" w:color="auto" w:fill="auto"/>
            <w:vAlign w:val="center"/>
          </w:tcPr>
          <w:p w14:paraId="2F624EEE" w14:textId="77777777" w:rsidR="00FF47CE" w:rsidRPr="00530A11" w:rsidRDefault="00FF47CE" w:rsidP="00C060F4">
            <w:pPr>
              <w:pStyle w:val="ae"/>
              <w:rPr>
                <w:rFonts w:cs="Times New Roman"/>
                <w:b w:val="0"/>
              </w:rPr>
            </w:pPr>
            <w:r w:rsidRPr="00530A11">
              <w:rPr>
                <w:rFonts w:cs="Times New Roman"/>
                <w:b w:val="0"/>
              </w:rPr>
              <w:t>预评价分值</w:t>
            </w: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697ACEE9" w14:textId="77777777" w:rsidR="00FF47CE" w:rsidRPr="00530A11" w:rsidRDefault="00FF47CE" w:rsidP="00C060F4">
            <w:pPr>
              <w:pStyle w:val="ae"/>
              <w:rPr>
                <w:rFonts w:cs="Times New Roman"/>
                <w:b w:val="0"/>
              </w:rPr>
            </w:pPr>
            <w:r w:rsidRPr="00530A11">
              <w:rPr>
                <w:rFonts w:cs="Times New Roman"/>
                <w:b w:val="0"/>
              </w:rPr>
              <w:t>400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2760A14E" w14:textId="77777777" w:rsidR="00FF47CE" w:rsidRPr="00530A11" w:rsidRDefault="00FF47CE" w:rsidP="00C060F4">
            <w:pPr>
              <w:pStyle w:val="ae"/>
              <w:rPr>
                <w:rFonts w:cs="Times New Roman"/>
                <w:b w:val="0"/>
              </w:rPr>
            </w:pPr>
            <w:r w:rsidRPr="00530A11">
              <w:rPr>
                <w:rFonts w:cs="Times New Roman"/>
                <w:b w:val="0"/>
              </w:rPr>
              <w:t>100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4118ECF3" w14:textId="77777777" w:rsidR="00FF47CE" w:rsidRPr="00530A11" w:rsidRDefault="00FF47CE" w:rsidP="00C060F4">
            <w:pPr>
              <w:pStyle w:val="ae"/>
              <w:rPr>
                <w:rFonts w:cs="Times New Roman"/>
                <w:b w:val="0"/>
              </w:rPr>
            </w:pPr>
            <w:r w:rsidRPr="00530A11">
              <w:rPr>
                <w:rFonts w:cs="Times New Roman"/>
                <w:b w:val="0"/>
              </w:rPr>
              <w:t>100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74470848" w14:textId="7FBC66F1" w:rsidR="00FF47CE" w:rsidRPr="00530A11" w:rsidRDefault="00FF47CE" w:rsidP="00C060F4">
            <w:pPr>
              <w:pStyle w:val="ae"/>
              <w:rPr>
                <w:rFonts w:cs="Times New Roman"/>
                <w:b w:val="0"/>
              </w:rPr>
            </w:pPr>
            <w:r w:rsidRPr="00530A11">
              <w:rPr>
                <w:rFonts w:cs="Times New Roman"/>
                <w:b w:val="0"/>
              </w:rPr>
              <w:t>7</w:t>
            </w:r>
            <w:r w:rsidR="005030F0">
              <w:rPr>
                <w:rFonts w:cs="Times New Roman"/>
                <w:b w:val="0"/>
              </w:rPr>
              <w:t>3</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6415A279" w14:textId="77777777" w:rsidR="00FF47CE" w:rsidRPr="00530A11" w:rsidRDefault="00FF47CE" w:rsidP="00C060F4">
            <w:pPr>
              <w:pStyle w:val="ae"/>
              <w:rPr>
                <w:rFonts w:cs="Times New Roman"/>
                <w:b w:val="0"/>
              </w:rPr>
            </w:pPr>
            <w:r w:rsidRPr="00530A11">
              <w:rPr>
                <w:rFonts w:cs="Times New Roman"/>
                <w:b w:val="0"/>
              </w:rPr>
              <w:t>200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2D06E096" w14:textId="77777777" w:rsidR="00FF47CE" w:rsidRPr="00530A11" w:rsidRDefault="00FF47CE" w:rsidP="00C060F4">
            <w:pPr>
              <w:pStyle w:val="ae"/>
              <w:rPr>
                <w:rFonts w:cs="Times New Roman"/>
                <w:b w:val="0"/>
              </w:rPr>
            </w:pPr>
            <w:r w:rsidRPr="00530A11">
              <w:rPr>
                <w:rFonts w:cs="Times New Roman"/>
                <w:b w:val="0"/>
              </w:rPr>
              <w:t>100</w:t>
            </w:r>
          </w:p>
        </w:tc>
        <w:tc>
          <w:tcPr>
            <w:tcW w:w="1271" w:type="dxa"/>
            <w:tcBorders>
              <w:top w:val="single" w:sz="8" w:space="0" w:color="auto"/>
              <w:left w:val="single" w:sz="8" w:space="0" w:color="auto"/>
              <w:bottom w:val="single" w:sz="8" w:space="0" w:color="auto"/>
              <w:right w:val="single" w:sz="8" w:space="0" w:color="auto"/>
            </w:tcBorders>
            <w:shd w:val="clear" w:color="auto" w:fill="auto"/>
            <w:vAlign w:val="center"/>
          </w:tcPr>
          <w:p w14:paraId="7BE2B228" w14:textId="77777777" w:rsidR="00FF47CE" w:rsidRPr="00530A11" w:rsidRDefault="00FF47CE" w:rsidP="00C060F4">
            <w:pPr>
              <w:pStyle w:val="ae"/>
              <w:rPr>
                <w:rFonts w:cs="Times New Roman"/>
                <w:b w:val="0"/>
              </w:rPr>
            </w:pPr>
            <w:r w:rsidRPr="00530A11">
              <w:rPr>
                <w:rFonts w:cs="Times New Roman"/>
                <w:b w:val="0"/>
              </w:rPr>
              <w:t>100</w:t>
            </w:r>
          </w:p>
        </w:tc>
      </w:tr>
      <w:tr w:rsidR="00FF47CE" w:rsidRPr="00530A11" w14:paraId="312B747C" w14:textId="77777777" w:rsidTr="00C060F4">
        <w:trPr>
          <w:cantSplit/>
          <w:trHeight w:val="1134"/>
          <w:jc w:val="center"/>
        </w:trPr>
        <w:tc>
          <w:tcPr>
            <w:tcW w:w="1271" w:type="dxa"/>
            <w:tcBorders>
              <w:top w:val="single" w:sz="8" w:space="0" w:color="auto"/>
              <w:left w:val="single" w:sz="8" w:space="0" w:color="auto"/>
              <w:bottom w:val="single" w:sz="8" w:space="0" w:color="auto"/>
              <w:right w:val="single" w:sz="8" w:space="0" w:color="auto"/>
            </w:tcBorders>
            <w:shd w:val="clear" w:color="auto" w:fill="auto"/>
            <w:vAlign w:val="center"/>
          </w:tcPr>
          <w:p w14:paraId="3067E5DC" w14:textId="77777777" w:rsidR="00FF47CE" w:rsidRPr="00530A11" w:rsidRDefault="00FF47CE" w:rsidP="00C060F4">
            <w:pPr>
              <w:pStyle w:val="ae"/>
              <w:rPr>
                <w:rFonts w:cs="Times New Roman"/>
                <w:b w:val="0"/>
              </w:rPr>
            </w:pPr>
            <w:r w:rsidRPr="00530A11">
              <w:rPr>
                <w:rFonts w:cs="Times New Roman"/>
                <w:b w:val="0"/>
              </w:rPr>
              <w:t>评价分值</w:t>
            </w:r>
          </w:p>
        </w:tc>
        <w:tc>
          <w:tcPr>
            <w:tcW w:w="1060" w:type="dxa"/>
            <w:tcBorders>
              <w:top w:val="single" w:sz="8" w:space="0" w:color="auto"/>
              <w:left w:val="single" w:sz="8" w:space="0" w:color="auto"/>
              <w:bottom w:val="single" w:sz="8" w:space="0" w:color="auto"/>
              <w:right w:val="single" w:sz="8" w:space="0" w:color="auto"/>
            </w:tcBorders>
            <w:shd w:val="clear" w:color="auto" w:fill="auto"/>
            <w:vAlign w:val="center"/>
          </w:tcPr>
          <w:p w14:paraId="1CE9F341" w14:textId="77777777" w:rsidR="00FF47CE" w:rsidRPr="00530A11" w:rsidRDefault="00FF47CE" w:rsidP="00C060F4">
            <w:pPr>
              <w:pStyle w:val="ae"/>
              <w:rPr>
                <w:rFonts w:cs="Times New Roman"/>
                <w:b w:val="0"/>
              </w:rPr>
            </w:pPr>
            <w:r w:rsidRPr="00530A11">
              <w:rPr>
                <w:rFonts w:cs="Times New Roman"/>
                <w:b w:val="0"/>
              </w:rPr>
              <w:t>400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5625BF48" w14:textId="77777777" w:rsidR="00FF47CE" w:rsidRPr="00530A11" w:rsidRDefault="00FF47CE" w:rsidP="00C060F4">
            <w:pPr>
              <w:pStyle w:val="ae"/>
              <w:rPr>
                <w:rFonts w:cs="Times New Roman"/>
                <w:b w:val="0"/>
              </w:rPr>
            </w:pPr>
            <w:r w:rsidRPr="00530A11">
              <w:rPr>
                <w:rFonts w:cs="Times New Roman"/>
                <w:b w:val="0"/>
              </w:rPr>
              <w:t>100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01280F9E" w14:textId="77777777" w:rsidR="00FF47CE" w:rsidRPr="00530A11" w:rsidRDefault="00FF47CE" w:rsidP="00C060F4">
            <w:pPr>
              <w:pStyle w:val="ae"/>
              <w:rPr>
                <w:rFonts w:cs="Times New Roman"/>
                <w:b w:val="0"/>
              </w:rPr>
            </w:pPr>
            <w:r w:rsidRPr="00530A11">
              <w:rPr>
                <w:rFonts w:cs="Times New Roman"/>
                <w:b w:val="0"/>
              </w:rPr>
              <w:t>100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78EBC76F" w14:textId="77777777" w:rsidR="00FF47CE" w:rsidRPr="00530A11" w:rsidRDefault="00FF47CE" w:rsidP="00C060F4">
            <w:pPr>
              <w:pStyle w:val="ae"/>
              <w:rPr>
                <w:rFonts w:cs="Times New Roman"/>
                <w:b w:val="0"/>
              </w:rPr>
            </w:pPr>
            <w:r w:rsidRPr="00530A11">
              <w:rPr>
                <w:rFonts w:cs="Times New Roman"/>
                <w:b w:val="0"/>
              </w:rPr>
              <w:t>100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084EDF85" w14:textId="77777777" w:rsidR="00FF47CE" w:rsidRPr="00530A11" w:rsidRDefault="00FF47CE" w:rsidP="00C060F4">
            <w:pPr>
              <w:pStyle w:val="ae"/>
              <w:rPr>
                <w:rFonts w:cs="Times New Roman"/>
                <w:b w:val="0"/>
              </w:rPr>
            </w:pPr>
            <w:r w:rsidRPr="00530A11">
              <w:rPr>
                <w:rFonts w:cs="Times New Roman"/>
                <w:b w:val="0"/>
              </w:rPr>
              <w:t>200</w:t>
            </w:r>
          </w:p>
        </w:tc>
        <w:tc>
          <w:tcPr>
            <w:tcW w:w="638" w:type="dxa"/>
            <w:tcBorders>
              <w:top w:val="single" w:sz="8" w:space="0" w:color="auto"/>
              <w:left w:val="single" w:sz="8" w:space="0" w:color="auto"/>
              <w:bottom w:val="single" w:sz="8" w:space="0" w:color="auto"/>
              <w:right w:val="single" w:sz="8" w:space="0" w:color="auto"/>
            </w:tcBorders>
            <w:shd w:val="clear" w:color="auto" w:fill="auto"/>
            <w:vAlign w:val="center"/>
          </w:tcPr>
          <w:p w14:paraId="54E1A970" w14:textId="77777777" w:rsidR="00FF47CE" w:rsidRPr="00530A11" w:rsidRDefault="00FF47CE" w:rsidP="00C060F4">
            <w:pPr>
              <w:pStyle w:val="ae"/>
              <w:rPr>
                <w:rFonts w:cs="Times New Roman"/>
                <w:b w:val="0"/>
              </w:rPr>
            </w:pPr>
            <w:r w:rsidRPr="00530A11">
              <w:rPr>
                <w:rFonts w:cs="Times New Roman"/>
                <w:b w:val="0"/>
              </w:rPr>
              <w:t>100</w:t>
            </w:r>
          </w:p>
        </w:tc>
        <w:tc>
          <w:tcPr>
            <w:tcW w:w="1271" w:type="dxa"/>
            <w:tcBorders>
              <w:top w:val="single" w:sz="8" w:space="0" w:color="auto"/>
              <w:left w:val="single" w:sz="8" w:space="0" w:color="auto"/>
              <w:bottom w:val="single" w:sz="8" w:space="0" w:color="auto"/>
              <w:right w:val="single" w:sz="8" w:space="0" w:color="auto"/>
            </w:tcBorders>
            <w:shd w:val="clear" w:color="auto" w:fill="auto"/>
            <w:vAlign w:val="center"/>
          </w:tcPr>
          <w:p w14:paraId="702E0966" w14:textId="77777777" w:rsidR="00FF47CE" w:rsidRPr="00530A11" w:rsidRDefault="00FF47CE" w:rsidP="00C060F4">
            <w:pPr>
              <w:pStyle w:val="ae"/>
              <w:rPr>
                <w:rFonts w:cs="Times New Roman"/>
                <w:b w:val="0"/>
              </w:rPr>
            </w:pPr>
            <w:r w:rsidRPr="00530A11">
              <w:rPr>
                <w:rFonts w:cs="Times New Roman"/>
                <w:b w:val="0"/>
              </w:rPr>
              <w:t>100</w:t>
            </w:r>
          </w:p>
        </w:tc>
      </w:tr>
    </w:tbl>
    <w:p w14:paraId="6B207836" w14:textId="77777777" w:rsidR="00FF47CE" w:rsidRPr="00530A11" w:rsidRDefault="00FF47CE" w:rsidP="00FF47CE">
      <w:pPr>
        <w:pStyle w:val="ae"/>
        <w:rPr>
          <w:b w:val="0"/>
        </w:rPr>
      </w:pPr>
      <w:r w:rsidRPr="00530A11">
        <w:rPr>
          <w:b w:val="0"/>
        </w:rPr>
        <w:t>注：预评价时，本标准第</w:t>
      </w:r>
      <w:bookmarkStart w:id="38" w:name="_Hlk34052620"/>
      <w:r w:rsidRPr="00530A11">
        <w:rPr>
          <w:b w:val="0"/>
        </w:rPr>
        <w:t>6.2.11</w:t>
      </w:r>
      <w:r w:rsidRPr="00530A11">
        <w:rPr>
          <w:b w:val="0"/>
        </w:rPr>
        <w:t>、</w:t>
      </w:r>
      <w:r w:rsidRPr="00530A11">
        <w:rPr>
          <w:b w:val="0"/>
        </w:rPr>
        <w:t>6.2.12</w:t>
      </w:r>
      <w:r w:rsidRPr="00530A11">
        <w:rPr>
          <w:b w:val="0"/>
        </w:rPr>
        <w:t>、</w:t>
      </w:r>
      <w:r w:rsidRPr="00530A11">
        <w:rPr>
          <w:b w:val="0"/>
        </w:rPr>
        <w:t>6.2.13</w:t>
      </w:r>
      <w:r w:rsidRPr="00530A11">
        <w:rPr>
          <w:b w:val="0"/>
        </w:rPr>
        <w:t>、</w:t>
      </w:r>
      <w:r w:rsidRPr="00530A11">
        <w:rPr>
          <w:b w:val="0"/>
        </w:rPr>
        <w:t>6.2.14</w:t>
      </w:r>
      <w:bookmarkEnd w:id="38"/>
      <w:r w:rsidRPr="00530A11">
        <w:rPr>
          <w:b w:val="0"/>
        </w:rPr>
        <w:t>、</w:t>
      </w:r>
      <w:r w:rsidRPr="00530A11">
        <w:rPr>
          <w:b w:val="0"/>
        </w:rPr>
        <w:t>9.2.8</w:t>
      </w:r>
      <w:r w:rsidRPr="00530A11">
        <w:rPr>
          <w:b w:val="0"/>
        </w:rPr>
        <w:t>条不得分。</w:t>
      </w:r>
    </w:p>
    <w:p w14:paraId="65ED0297"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59E8C4D6" w14:textId="77777777" w:rsidR="00FF47CE" w:rsidRPr="00530A11" w:rsidRDefault="00FF47CE" w:rsidP="00FF47CE">
      <w:pPr>
        <w:ind w:firstLine="420"/>
        <w:rPr>
          <w:bCs/>
        </w:rPr>
      </w:pPr>
      <w:r w:rsidRPr="00530A11">
        <w:t>本条沿引自国家《绿色建筑评价标准》</w:t>
      </w:r>
      <w:r w:rsidRPr="00530A11">
        <w:t>GB/T 50378-2019</w:t>
      </w:r>
      <w:r w:rsidRPr="00530A11">
        <w:t>。</w:t>
      </w:r>
    </w:p>
    <w:p w14:paraId="51D426B3" w14:textId="77777777" w:rsidR="00FF47CE" w:rsidRPr="00530A11" w:rsidRDefault="00FF47CE" w:rsidP="00FF47CE">
      <w:pPr>
        <w:ind w:firstLine="420"/>
        <w:rPr>
          <w:rFonts w:cs="Times New Roman"/>
        </w:rPr>
      </w:pPr>
      <w:r w:rsidRPr="00530A11">
        <w:rPr>
          <w:rFonts w:cs="Times New Roman"/>
        </w:rPr>
        <w:t>本次修订的绿色建筑评价分值与国家标准</w:t>
      </w:r>
      <w:r w:rsidRPr="00530A11">
        <w:rPr>
          <w:rFonts w:cs="Times New Roman"/>
        </w:rPr>
        <w:t>2014</w:t>
      </w:r>
      <w:r w:rsidRPr="00530A11">
        <w:rPr>
          <w:rFonts w:cs="Times New Roman"/>
        </w:rPr>
        <w:t>年版变化较大。控制项基础分值的获得条件是满足本标准所有控制项的要求。对于住宅建筑和公共建筑，</w:t>
      </w:r>
      <w:r w:rsidRPr="00530A11">
        <w:rPr>
          <w:rFonts w:cs="Times New Roman"/>
        </w:rPr>
        <w:t>5</w:t>
      </w:r>
      <w:r w:rsidRPr="00530A11">
        <w:rPr>
          <w:rFonts w:cs="Times New Roman"/>
        </w:rPr>
        <w:t>类指标同等重要，所以未按照不同建筑类型划分各评价指标评分项的总分值。本次修订，将绿色建筑的评价指标体系评分项分值进行了调整。</w:t>
      </w:r>
      <w:r w:rsidRPr="00530A11">
        <w:rPr>
          <w:rFonts w:cs="Times New Roman"/>
        </w:rPr>
        <w:t>“</w:t>
      </w:r>
      <w:r w:rsidRPr="00530A11">
        <w:rPr>
          <w:rFonts w:cs="Times New Roman"/>
        </w:rPr>
        <w:t>资源节约</w:t>
      </w:r>
      <w:r w:rsidRPr="00530A11">
        <w:rPr>
          <w:rFonts w:cs="Times New Roman"/>
        </w:rPr>
        <w:t>”</w:t>
      </w:r>
      <w:r w:rsidRPr="00530A11">
        <w:rPr>
          <w:rFonts w:cs="Times New Roman"/>
        </w:rPr>
        <w:t>指标包含了节地、节能、节水、节材的相关内容，故该指标的总分值高于其他指标。</w:t>
      </w:r>
      <w:r w:rsidRPr="00530A11">
        <w:rPr>
          <w:rFonts w:cs="Times New Roman"/>
        </w:rPr>
        <w:t>“</w:t>
      </w:r>
      <w:r w:rsidRPr="00530A11">
        <w:rPr>
          <w:rFonts w:cs="Times New Roman"/>
        </w:rPr>
        <w:t>提高与创新</w:t>
      </w:r>
      <w:r w:rsidRPr="00530A11">
        <w:rPr>
          <w:rFonts w:cs="Times New Roman"/>
        </w:rPr>
        <w:t>”</w:t>
      </w:r>
      <w:r w:rsidRPr="00530A11">
        <w:rPr>
          <w:rFonts w:cs="Times New Roman"/>
        </w:rPr>
        <w:t>为加分项，鼓励绿色建筑性能提升和技术创新。</w:t>
      </w:r>
    </w:p>
    <w:p w14:paraId="52DD7C84" w14:textId="77777777" w:rsidR="00FF47CE" w:rsidRPr="00530A11" w:rsidRDefault="00FF47CE" w:rsidP="00FF47CE">
      <w:pPr>
        <w:ind w:firstLine="420"/>
        <w:rPr>
          <w:rFonts w:cs="Times New Roman"/>
        </w:rPr>
      </w:pPr>
      <w:r w:rsidRPr="00530A11">
        <w:rPr>
          <w:rFonts w:cs="Times New Roman"/>
        </w:rPr>
        <w:t>“</w:t>
      </w:r>
      <w:r w:rsidRPr="00530A11">
        <w:rPr>
          <w:rFonts w:cs="Times New Roman"/>
        </w:rPr>
        <w:t>生活便利</w:t>
      </w:r>
      <w:r w:rsidRPr="00530A11">
        <w:rPr>
          <w:rFonts w:cs="Times New Roman"/>
        </w:rPr>
        <w:t>”</w:t>
      </w:r>
      <w:r w:rsidRPr="00530A11">
        <w:rPr>
          <w:rFonts w:cs="Times New Roman"/>
        </w:rPr>
        <w:t>指标中</w:t>
      </w:r>
      <w:r w:rsidRPr="00530A11">
        <w:rPr>
          <w:rFonts w:cs="Times New Roman"/>
        </w:rPr>
        <w:t>“</w:t>
      </w:r>
      <w:r w:rsidRPr="00530A11">
        <w:rPr>
          <w:rFonts w:cs="Times New Roman"/>
        </w:rPr>
        <w:t>物业管理</w:t>
      </w:r>
      <w:r w:rsidRPr="00530A11">
        <w:rPr>
          <w:rFonts w:cs="Times New Roman"/>
        </w:rPr>
        <w:t>”</w:t>
      </w:r>
      <w:r w:rsidRPr="00530A11">
        <w:rPr>
          <w:rFonts w:cs="Times New Roman"/>
        </w:rPr>
        <w:t>小节为建筑项目投入运行后的技术要求，因此，相比绿色建筑的评价，预评价时</w:t>
      </w:r>
      <w:r w:rsidRPr="00530A11">
        <w:rPr>
          <w:rFonts w:cs="Times New Roman"/>
        </w:rPr>
        <w:t>“</w:t>
      </w:r>
      <w:r w:rsidRPr="00530A11">
        <w:rPr>
          <w:rFonts w:cs="Times New Roman"/>
        </w:rPr>
        <w:t>生活便利</w:t>
      </w:r>
      <w:r w:rsidRPr="00530A11">
        <w:rPr>
          <w:rFonts w:cs="Times New Roman"/>
        </w:rPr>
        <w:t>”</w:t>
      </w:r>
      <w:r w:rsidRPr="00530A11">
        <w:rPr>
          <w:rFonts w:cs="Times New Roman"/>
        </w:rPr>
        <w:t>指标的满分值有所降低。</w:t>
      </w:r>
    </w:p>
    <w:p w14:paraId="15FEA57A" w14:textId="10277210" w:rsidR="00FF47CE" w:rsidRDefault="00FF47CE" w:rsidP="00FF47CE">
      <w:pPr>
        <w:ind w:firstLine="420"/>
        <w:rPr>
          <w:rFonts w:cs="Times New Roman"/>
        </w:rPr>
      </w:pPr>
      <w:r w:rsidRPr="00530A11">
        <w:rPr>
          <w:rFonts w:cs="Times New Roman"/>
        </w:rPr>
        <w:lastRenderedPageBreak/>
        <w:t>本条规定的评价指标评分项满分值、提高与创新加分项满分值均为最高可能的分值。绿色建筑评价应在建筑工程竣工后进行，对于刚刚竣工后即评价的建筑，部分与运行有关的条文仍无法得分。</w:t>
      </w:r>
    </w:p>
    <w:p w14:paraId="544F7C8B" w14:textId="77777777" w:rsidR="00FF47CE" w:rsidRPr="00530A11" w:rsidRDefault="00FF47CE" w:rsidP="00FF47CE">
      <w:pPr>
        <w:ind w:firstLine="420"/>
        <w:rPr>
          <w:rFonts w:cs="Times New Roman"/>
        </w:rPr>
      </w:pPr>
    </w:p>
    <w:p w14:paraId="58A17467" w14:textId="77777777" w:rsidR="00FF47CE" w:rsidRPr="00FF47CE" w:rsidRDefault="00FF47CE" w:rsidP="00FF47CE">
      <w:pPr>
        <w:pStyle w:val="4"/>
        <w:rPr>
          <w:rFonts w:cs="Times New Roman"/>
          <w:bCs w:val="0"/>
        </w:rPr>
      </w:pPr>
      <w:r w:rsidRPr="00FF47CE">
        <w:rPr>
          <w:rFonts w:cs="Times New Roman"/>
          <w:bCs w:val="0"/>
        </w:rPr>
        <w:t xml:space="preserve">3.2.5 </w:t>
      </w:r>
      <w:r w:rsidRPr="00FF47CE">
        <w:rPr>
          <w:rFonts w:cs="Times New Roman"/>
          <w:bCs w:val="0"/>
        </w:rPr>
        <w:t>绿色建筑评价的总得分应按下式进行计算。</w:t>
      </w:r>
    </w:p>
    <w:p w14:paraId="44FB81DD" w14:textId="77777777" w:rsidR="00FF47CE" w:rsidRPr="00FF47CE" w:rsidRDefault="00FF47CE" w:rsidP="00FF47CE">
      <w:pPr>
        <w:pStyle w:val="20"/>
        <w:ind w:firstLineChars="300" w:firstLine="632"/>
        <w:jc w:val="center"/>
        <w:rPr>
          <w:rFonts w:ascii="Times New Roman" w:hAnsi="Times New Roman" w:cs="Times New Roman"/>
          <w:color w:val="auto"/>
        </w:rPr>
      </w:pPr>
      <w:r w:rsidRPr="00FF47CE">
        <w:rPr>
          <w:rFonts w:ascii="Times New Roman" w:hAnsi="Times New Roman" w:cs="Times New Roman"/>
          <w:i/>
          <w:iCs/>
          <w:color w:val="auto"/>
        </w:rPr>
        <w:t>Q</w:t>
      </w:r>
      <w:r w:rsidRPr="00FF47CE">
        <w:rPr>
          <w:rFonts w:ascii="Times New Roman" w:hAnsi="Times New Roman" w:cs="Times New Roman"/>
          <w:color w:val="auto"/>
        </w:rPr>
        <w:t>=</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0</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i/>
          <w:iCs/>
          <w:color w:val="auto"/>
          <w:vertAlign w:val="subscript"/>
        </w:rPr>
        <w:t>1</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2</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3</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4</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5</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A</w:t>
      </w:r>
      <w:r w:rsidRPr="00FF47CE">
        <w:rPr>
          <w:rFonts w:ascii="Times New Roman" w:hAnsi="Times New Roman" w:cs="Times New Roman"/>
          <w:color w:val="auto"/>
        </w:rPr>
        <w:t>）</w:t>
      </w:r>
      <w:r w:rsidRPr="00FF47CE">
        <w:rPr>
          <w:rFonts w:ascii="Times New Roman" w:hAnsi="Times New Roman" w:cs="Times New Roman"/>
          <w:color w:val="auto"/>
        </w:rPr>
        <w:t xml:space="preserve">/10                </w:t>
      </w:r>
      <w:r w:rsidRPr="00FF47CE">
        <w:rPr>
          <w:rFonts w:ascii="Times New Roman" w:hAnsi="Times New Roman" w:cs="Times New Roman"/>
          <w:color w:val="auto"/>
        </w:rPr>
        <w:t>（</w:t>
      </w:r>
      <w:r w:rsidRPr="00FF47CE">
        <w:rPr>
          <w:rFonts w:ascii="Times New Roman" w:hAnsi="Times New Roman" w:cs="Times New Roman"/>
          <w:color w:val="auto"/>
        </w:rPr>
        <w:t>3.2.5</w:t>
      </w:r>
      <w:r w:rsidRPr="00FF47CE">
        <w:rPr>
          <w:rFonts w:ascii="Times New Roman" w:hAnsi="Times New Roman" w:cs="Times New Roman"/>
          <w:color w:val="auto"/>
        </w:rPr>
        <w:t>）</w:t>
      </w:r>
    </w:p>
    <w:p w14:paraId="7FB1D977" w14:textId="77777777" w:rsidR="00FF47CE" w:rsidRPr="00FF47CE" w:rsidRDefault="00FF47CE" w:rsidP="00FF47CE">
      <w:pPr>
        <w:pStyle w:val="20"/>
        <w:rPr>
          <w:rFonts w:ascii="Times New Roman" w:hAnsi="Times New Roman" w:cs="Times New Roman"/>
          <w:color w:val="auto"/>
        </w:rPr>
      </w:pPr>
      <w:r w:rsidRPr="00FF47CE">
        <w:rPr>
          <w:rFonts w:ascii="Times New Roman" w:hAnsi="Times New Roman" w:cs="Times New Roman"/>
          <w:color w:val="auto"/>
        </w:rPr>
        <w:t>式中：</w:t>
      </w:r>
      <w:r w:rsidRPr="00FF47CE">
        <w:rPr>
          <w:rFonts w:ascii="Times New Roman" w:hAnsi="Times New Roman" w:cs="Times New Roman"/>
          <w:i/>
          <w:iCs/>
          <w:color w:val="auto"/>
        </w:rPr>
        <w:t>Q</w:t>
      </w:r>
      <w:r w:rsidRPr="00FF47CE">
        <w:rPr>
          <w:rFonts w:ascii="Times New Roman" w:hAnsi="Times New Roman" w:cs="Times New Roman"/>
          <w:color w:val="auto"/>
        </w:rPr>
        <w:t>——</w:t>
      </w:r>
      <w:r w:rsidRPr="00FF47CE">
        <w:rPr>
          <w:rFonts w:ascii="Times New Roman" w:hAnsi="Times New Roman" w:cs="Times New Roman"/>
          <w:color w:val="auto"/>
        </w:rPr>
        <w:t>总得分；</w:t>
      </w:r>
    </w:p>
    <w:p w14:paraId="64F0B6CB" w14:textId="77777777" w:rsidR="00FF47CE" w:rsidRPr="00FF47CE" w:rsidRDefault="00FF47CE" w:rsidP="00FF47CE">
      <w:pPr>
        <w:pStyle w:val="20"/>
        <w:ind w:firstLineChars="300" w:firstLine="632"/>
        <w:rPr>
          <w:rFonts w:ascii="Times New Roman" w:hAnsi="Times New Roman" w:cs="Times New Roman"/>
          <w:color w:val="auto"/>
        </w:rPr>
      </w:pP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0</w:t>
      </w:r>
      <w:r w:rsidRPr="00FF47CE">
        <w:rPr>
          <w:rFonts w:ascii="Times New Roman" w:hAnsi="Times New Roman" w:cs="Times New Roman"/>
          <w:color w:val="auto"/>
        </w:rPr>
        <w:t>——</w:t>
      </w:r>
      <w:r w:rsidRPr="00FF47CE">
        <w:rPr>
          <w:rFonts w:ascii="Times New Roman" w:hAnsi="Times New Roman" w:cs="Times New Roman"/>
          <w:color w:val="auto"/>
        </w:rPr>
        <w:t>控制项基础分值，当满足所有控制项的要求时取</w:t>
      </w:r>
      <w:r w:rsidRPr="00FF47CE">
        <w:rPr>
          <w:rFonts w:ascii="Times New Roman" w:hAnsi="Times New Roman" w:cs="Times New Roman"/>
          <w:color w:val="auto"/>
        </w:rPr>
        <w:t>400</w:t>
      </w:r>
      <w:r w:rsidRPr="00FF47CE">
        <w:rPr>
          <w:rFonts w:ascii="Times New Roman" w:hAnsi="Times New Roman" w:cs="Times New Roman"/>
          <w:color w:val="auto"/>
        </w:rPr>
        <w:t>分；</w:t>
      </w:r>
    </w:p>
    <w:p w14:paraId="01A180A9" w14:textId="77777777" w:rsidR="00FF47CE" w:rsidRPr="00FF47CE" w:rsidRDefault="00FF47CE" w:rsidP="00FF47CE">
      <w:pPr>
        <w:pStyle w:val="20"/>
        <w:ind w:firstLineChars="300" w:firstLine="632"/>
        <w:rPr>
          <w:rFonts w:ascii="Times New Roman" w:hAnsi="Times New Roman" w:cs="Times New Roman"/>
          <w:color w:val="auto"/>
        </w:rPr>
      </w:pP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1</w:t>
      </w:r>
      <w:r w:rsidRPr="00FF47CE">
        <w:rPr>
          <w:rFonts w:ascii="Times New Roman" w:hAnsi="Times New Roman" w:cs="Times New Roman"/>
          <w:color w:val="auto"/>
        </w:rPr>
        <w:t>~</w:t>
      </w: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5</w:t>
      </w:r>
      <w:r w:rsidRPr="00FF47CE">
        <w:rPr>
          <w:rFonts w:ascii="Times New Roman" w:hAnsi="Times New Roman" w:cs="Times New Roman"/>
          <w:color w:val="auto"/>
        </w:rPr>
        <w:t>——</w:t>
      </w:r>
      <w:r w:rsidRPr="00FF47CE">
        <w:rPr>
          <w:rFonts w:ascii="Times New Roman" w:hAnsi="Times New Roman" w:cs="Times New Roman"/>
          <w:color w:val="auto"/>
        </w:rPr>
        <w:t>分别为评价指标体系</w:t>
      </w:r>
      <w:r w:rsidRPr="00FF47CE">
        <w:rPr>
          <w:rFonts w:ascii="Times New Roman" w:hAnsi="Times New Roman" w:cs="Times New Roman"/>
          <w:color w:val="auto"/>
        </w:rPr>
        <w:t>5</w:t>
      </w:r>
      <w:r w:rsidRPr="00FF47CE">
        <w:rPr>
          <w:rFonts w:ascii="Times New Roman" w:hAnsi="Times New Roman" w:cs="Times New Roman"/>
          <w:color w:val="auto"/>
        </w:rPr>
        <w:t>类指标（安全耐久、健康舒适、生活便利、资源节约、环境宜居）评分项得分；</w:t>
      </w:r>
    </w:p>
    <w:p w14:paraId="2BD190FD" w14:textId="77777777" w:rsidR="00FF47CE" w:rsidRPr="00FF47CE" w:rsidRDefault="00FF47CE" w:rsidP="00FF47CE">
      <w:pPr>
        <w:pStyle w:val="20"/>
        <w:ind w:firstLineChars="300" w:firstLine="632"/>
        <w:rPr>
          <w:rFonts w:ascii="Times New Roman" w:hAnsi="Times New Roman" w:cs="Times New Roman"/>
          <w:color w:val="auto"/>
        </w:rPr>
      </w:pPr>
      <w:r w:rsidRPr="00FF47CE">
        <w:rPr>
          <w:rFonts w:ascii="Times New Roman" w:hAnsi="Times New Roman" w:cs="Times New Roman"/>
          <w:i/>
          <w:iCs/>
          <w:color w:val="auto"/>
        </w:rPr>
        <w:t>Q</w:t>
      </w:r>
      <w:r w:rsidRPr="00FF47CE">
        <w:rPr>
          <w:rFonts w:ascii="Times New Roman" w:hAnsi="Times New Roman" w:cs="Times New Roman"/>
          <w:color w:val="auto"/>
          <w:vertAlign w:val="subscript"/>
        </w:rPr>
        <w:t>A</w:t>
      </w:r>
      <w:r w:rsidRPr="00FF47CE">
        <w:rPr>
          <w:rFonts w:ascii="Times New Roman" w:hAnsi="Times New Roman" w:cs="Times New Roman"/>
          <w:color w:val="auto"/>
        </w:rPr>
        <w:t>——</w:t>
      </w:r>
      <w:r w:rsidRPr="00FF47CE">
        <w:rPr>
          <w:rFonts w:ascii="Times New Roman" w:hAnsi="Times New Roman" w:cs="Times New Roman"/>
          <w:color w:val="auto"/>
        </w:rPr>
        <w:t>提高与创新加分项得分。</w:t>
      </w:r>
    </w:p>
    <w:p w14:paraId="3323501B" w14:textId="77777777" w:rsidR="00715ABB" w:rsidRPr="0081478A" w:rsidRDefault="00F44390">
      <w:pPr>
        <w:pStyle w:val="20"/>
        <w:rPr>
          <w:rFonts w:ascii="Times New Roman" w:eastAsiaTheme="minorEastAsia" w:hAnsi="Times New Roman" w:cs="Times New Roman"/>
          <w:color w:val="auto"/>
          <w:szCs w:val="22"/>
        </w:rPr>
      </w:pPr>
      <w:r w:rsidRPr="0081478A">
        <w:rPr>
          <w:rFonts w:ascii="Times New Roman" w:hAnsi="Times New Roman" w:cs="Times New Roman"/>
          <w:color w:val="auto"/>
        </w:rPr>
        <w:t>【条文说明】</w:t>
      </w:r>
    </w:p>
    <w:p w14:paraId="1F7669CC" w14:textId="77777777" w:rsidR="00FF47CE" w:rsidRPr="00530A11" w:rsidRDefault="00FF47CE" w:rsidP="00FF47CE">
      <w:pPr>
        <w:ind w:firstLine="420"/>
        <w:rPr>
          <w:rFonts w:eastAsiaTheme="minorEastAsia"/>
          <w:bCs/>
        </w:rPr>
      </w:pPr>
      <w:r w:rsidRPr="00530A11">
        <w:t>本条沿引自国家《绿色建筑评价标准》</w:t>
      </w:r>
      <w:r w:rsidRPr="00530A11">
        <w:t>GB/T 50378-2019</w:t>
      </w:r>
      <w:r w:rsidRPr="00530A11">
        <w:t>。</w:t>
      </w:r>
    </w:p>
    <w:p w14:paraId="1CC58CE8" w14:textId="77777777" w:rsidR="00FF47CE" w:rsidRPr="00530A11" w:rsidRDefault="00FF47CE" w:rsidP="00FF47CE">
      <w:pPr>
        <w:snapToGrid w:val="0"/>
        <w:ind w:firstLine="420"/>
        <w:jc w:val="left"/>
        <w:rPr>
          <w:rFonts w:cs="Times New Roman"/>
          <w:szCs w:val="24"/>
        </w:rPr>
      </w:pPr>
      <w:r w:rsidRPr="00530A11">
        <w:rPr>
          <w:rFonts w:cs="Times New Roman"/>
          <w:szCs w:val="24"/>
        </w:rPr>
        <w:t>本条对绿色建筑评价中的总得分的计算方法作出了规定。参评建筑的总得分由控制项基础分值、评分项得分和提高与创新项得分三部分组成，总得分满分为</w:t>
      </w:r>
      <w:r w:rsidRPr="00530A11">
        <w:rPr>
          <w:rFonts w:cs="Times New Roman"/>
          <w:szCs w:val="24"/>
        </w:rPr>
        <w:t>110</w:t>
      </w:r>
      <w:r w:rsidRPr="00530A11">
        <w:rPr>
          <w:rFonts w:cs="Times New Roman"/>
          <w:szCs w:val="24"/>
        </w:rPr>
        <w:t>分。控制项基础分值的获得条件是满足本标准所有控制项的要求，提高与创新项得分应按本标准第</w:t>
      </w:r>
      <w:r w:rsidRPr="00530A11">
        <w:rPr>
          <w:rFonts w:cs="Times New Roman"/>
          <w:szCs w:val="24"/>
        </w:rPr>
        <w:t>9</w:t>
      </w:r>
      <w:r w:rsidRPr="00530A11">
        <w:rPr>
          <w:rFonts w:cs="Times New Roman"/>
          <w:szCs w:val="24"/>
        </w:rPr>
        <w:t>章的相关要求确定。</w:t>
      </w:r>
    </w:p>
    <w:p w14:paraId="5801F224" w14:textId="77777777" w:rsidR="00715ABB" w:rsidRPr="00FF47CE" w:rsidRDefault="00715ABB">
      <w:pPr>
        <w:snapToGrid w:val="0"/>
        <w:ind w:firstLine="420"/>
        <w:jc w:val="left"/>
        <w:rPr>
          <w:rFonts w:cs="Times New Roman"/>
          <w:szCs w:val="24"/>
        </w:rPr>
      </w:pPr>
    </w:p>
    <w:p w14:paraId="051134CB" w14:textId="77777777" w:rsidR="00FF47CE" w:rsidRPr="00530A11" w:rsidRDefault="00FF47CE" w:rsidP="00FF47CE">
      <w:pPr>
        <w:pStyle w:val="4"/>
        <w:rPr>
          <w:rFonts w:cs="Times New Roman"/>
          <w:bCs w:val="0"/>
        </w:rPr>
      </w:pPr>
      <w:r w:rsidRPr="00530A11">
        <w:rPr>
          <w:rFonts w:cs="Times New Roman"/>
          <w:bCs w:val="0"/>
        </w:rPr>
        <w:t xml:space="preserve">3.2.6 </w:t>
      </w:r>
      <w:r w:rsidRPr="00530A11">
        <w:rPr>
          <w:rFonts w:cs="Times New Roman"/>
          <w:bCs w:val="0"/>
        </w:rPr>
        <w:t>绿色建筑划分应为基本级、一星级、二星级、三星级</w:t>
      </w:r>
      <w:r w:rsidRPr="00530A11">
        <w:rPr>
          <w:rFonts w:cs="Times New Roman"/>
          <w:bCs w:val="0"/>
        </w:rPr>
        <w:t>4</w:t>
      </w:r>
      <w:r w:rsidRPr="00530A11">
        <w:rPr>
          <w:rFonts w:cs="Times New Roman"/>
          <w:bCs w:val="0"/>
        </w:rPr>
        <w:t>个等级。</w:t>
      </w:r>
    </w:p>
    <w:p w14:paraId="414EC1D7" w14:textId="77777777" w:rsidR="00715ABB" w:rsidRPr="0081478A" w:rsidRDefault="00F44390">
      <w:pPr>
        <w:pStyle w:val="20"/>
        <w:rPr>
          <w:rFonts w:ascii="Times New Roman" w:eastAsiaTheme="minorEastAsia" w:hAnsi="Times New Roman" w:cs="Times New Roman"/>
          <w:color w:val="auto"/>
          <w:szCs w:val="22"/>
        </w:rPr>
      </w:pPr>
      <w:r w:rsidRPr="0081478A">
        <w:rPr>
          <w:rFonts w:ascii="Times New Roman" w:hAnsi="Times New Roman" w:cs="Times New Roman"/>
          <w:color w:val="auto"/>
        </w:rPr>
        <w:t>【条文说明】</w:t>
      </w:r>
    </w:p>
    <w:p w14:paraId="543B6ED1" w14:textId="77777777" w:rsidR="006A6F67" w:rsidRPr="00530A11" w:rsidRDefault="006A6F67" w:rsidP="006A6F67">
      <w:pPr>
        <w:ind w:firstLine="420"/>
        <w:rPr>
          <w:rFonts w:eastAsiaTheme="minorEastAsia"/>
          <w:bCs/>
        </w:rPr>
      </w:pPr>
      <w:r w:rsidRPr="00530A11">
        <w:t>本条沿引自国家《绿色建筑评价标准》</w:t>
      </w:r>
      <w:r w:rsidRPr="00530A11">
        <w:t>GB/T 50378-2019</w:t>
      </w:r>
      <w:r w:rsidRPr="00530A11">
        <w:t>。</w:t>
      </w:r>
    </w:p>
    <w:p w14:paraId="07172810" w14:textId="77777777" w:rsidR="006A6F67" w:rsidRPr="00530A11" w:rsidRDefault="006A6F67" w:rsidP="006A6F67">
      <w:pPr>
        <w:snapToGrid w:val="0"/>
        <w:ind w:firstLine="420"/>
        <w:jc w:val="left"/>
        <w:rPr>
          <w:rFonts w:cs="Times New Roman"/>
          <w:szCs w:val="24"/>
        </w:rPr>
      </w:pPr>
      <w:r w:rsidRPr="00530A11">
        <w:rPr>
          <w:rFonts w:cs="Times New Roman"/>
          <w:szCs w:val="24"/>
        </w:rPr>
        <w:t>国家标准</w:t>
      </w:r>
      <w:r w:rsidRPr="00530A11">
        <w:rPr>
          <w:rFonts w:cs="Times New Roman"/>
          <w:szCs w:val="24"/>
        </w:rPr>
        <w:t>2014</w:t>
      </w:r>
      <w:r w:rsidRPr="00530A11">
        <w:rPr>
          <w:rFonts w:cs="Times New Roman"/>
          <w:szCs w:val="24"/>
        </w:rPr>
        <w:t>年版规定绿色建筑的等级为一星级、二星级、三星级</w:t>
      </w:r>
      <w:r w:rsidRPr="00530A11">
        <w:rPr>
          <w:rFonts w:cs="Times New Roman"/>
          <w:szCs w:val="24"/>
        </w:rPr>
        <w:t>3</w:t>
      </w:r>
      <w:r w:rsidRPr="00530A11">
        <w:rPr>
          <w:rFonts w:cs="Times New Roman"/>
          <w:szCs w:val="24"/>
        </w:rPr>
        <w:t>个等级，本次修订，在</w:t>
      </w:r>
      <w:r w:rsidRPr="00530A11">
        <w:rPr>
          <w:rFonts w:cs="Times New Roman"/>
          <w:szCs w:val="24"/>
        </w:rPr>
        <w:t>2014</w:t>
      </w:r>
      <w:r w:rsidRPr="00530A11">
        <w:rPr>
          <w:rFonts w:cs="Times New Roman"/>
          <w:szCs w:val="24"/>
        </w:rPr>
        <w:t>年版规定的星级基础上，增加了</w:t>
      </w:r>
      <w:r w:rsidRPr="00530A11">
        <w:rPr>
          <w:rFonts w:cs="Times New Roman"/>
          <w:szCs w:val="24"/>
        </w:rPr>
        <w:t>“</w:t>
      </w:r>
      <w:r w:rsidRPr="00530A11">
        <w:rPr>
          <w:rFonts w:cs="Times New Roman"/>
          <w:szCs w:val="24"/>
        </w:rPr>
        <w:t>基本级</w:t>
      </w:r>
      <w:r w:rsidRPr="00530A11">
        <w:rPr>
          <w:rFonts w:cs="Times New Roman"/>
          <w:szCs w:val="24"/>
        </w:rPr>
        <w:t>”</w:t>
      </w:r>
      <w:r w:rsidRPr="00530A11">
        <w:rPr>
          <w:rFonts w:cs="Times New Roman"/>
          <w:szCs w:val="24"/>
        </w:rPr>
        <w:t>。</w:t>
      </w:r>
    </w:p>
    <w:p w14:paraId="1E68A304" w14:textId="77777777" w:rsidR="006A6F67" w:rsidRPr="00530A11" w:rsidRDefault="006A6F67" w:rsidP="006A6F67">
      <w:pPr>
        <w:snapToGrid w:val="0"/>
        <w:ind w:firstLine="420"/>
        <w:jc w:val="left"/>
        <w:rPr>
          <w:rFonts w:cs="Times New Roman"/>
          <w:szCs w:val="24"/>
        </w:rPr>
      </w:pPr>
      <w:r w:rsidRPr="00530A11">
        <w:rPr>
          <w:rFonts w:cs="Times New Roman"/>
          <w:szCs w:val="24"/>
        </w:rPr>
        <w:t>国家标准修订中，考虑到目前我国多个省市将绿色建筑一星级甚至二星级作为绿色建筑施工图审查的技术要求，这种模式在未来一段时间还会继续推行实施，有力推进了绿色建筑发展。国家标准《绿色建筑评价标准》</w:t>
      </w:r>
      <w:r w:rsidRPr="00530A11">
        <w:rPr>
          <w:rFonts w:cs="Times New Roman"/>
          <w:szCs w:val="24"/>
        </w:rPr>
        <w:t>GB/T 50378</w:t>
      </w:r>
      <w:r w:rsidRPr="00530A11">
        <w:rPr>
          <w:rFonts w:cs="Times New Roman"/>
          <w:szCs w:val="24"/>
        </w:rPr>
        <w:t>作为划分绿色建筑性能档次的评价工具，既要体现其性能评定、技术引领的行业地位，又要兼顾其推广普及绿色建筑的重要作用。因此，在本次修订中新增了</w:t>
      </w:r>
      <w:r w:rsidRPr="00530A11">
        <w:rPr>
          <w:rFonts w:cs="Times New Roman"/>
          <w:szCs w:val="24"/>
        </w:rPr>
        <w:t>“</w:t>
      </w:r>
      <w:r w:rsidRPr="00530A11">
        <w:rPr>
          <w:rFonts w:cs="Times New Roman"/>
          <w:szCs w:val="24"/>
        </w:rPr>
        <w:t>基本级</w:t>
      </w:r>
      <w:r w:rsidRPr="00530A11">
        <w:rPr>
          <w:rFonts w:cs="Times New Roman"/>
          <w:szCs w:val="24"/>
        </w:rPr>
        <w:t>”</w:t>
      </w:r>
      <w:r w:rsidRPr="00530A11">
        <w:rPr>
          <w:rFonts w:cs="Times New Roman"/>
          <w:szCs w:val="24"/>
        </w:rPr>
        <w:t>，扩大绿色建筑的覆盖面。基本级的设置，考虑了我国绿色建筑地域发展的不平衡性及与正在编制的全文强制国家规范相适应，也考虑了与国际接轨，便于国际交流。</w:t>
      </w:r>
    </w:p>
    <w:p w14:paraId="2F428295" w14:textId="77777777" w:rsidR="006A6F67" w:rsidRPr="00530A11" w:rsidRDefault="006A6F67" w:rsidP="006A6F67">
      <w:pPr>
        <w:snapToGrid w:val="0"/>
        <w:ind w:firstLine="420"/>
        <w:jc w:val="left"/>
        <w:rPr>
          <w:rFonts w:cs="Times New Roman"/>
          <w:szCs w:val="24"/>
        </w:rPr>
      </w:pPr>
      <w:r w:rsidRPr="00530A11">
        <w:rPr>
          <w:rFonts w:cs="Times New Roman"/>
          <w:szCs w:val="24"/>
        </w:rPr>
        <w:t>在进行地方标准修订时，考虑到为了与国家标准保持一致性，并保证目前重庆市相关管理政策文件执行条件的一致，根据重庆市住房和城乡建设委员会的要求，本次修订将原地标</w:t>
      </w:r>
      <w:r w:rsidRPr="00530A11">
        <w:rPr>
          <w:rFonts w:cs="Times New Roman"/>
          <w:szCs w:val="24"/>
        </w:rPr>
        <w:lastRenderedPageBreak/>
        <w:t>中对于绿色建筑等级的划分调整为与国家标准保持一致。</w:t>
      </w:r>
    </w:p>
    <w:p w14:paraId="663DEF92" w14:textId="77777777" w:rsidR="00715ABB" w:rsidRPr="006A6F67" w:rsidRDefault="00715ABB">
      <w:pPr>
        <w:snapToGrid w:val="0"/>
        <w:ind w:firstLine="420"/>
        <w:jc w:val="left"/>
        <w:rPr>
          <w:rFonts w:cs="Times New Roman"/>
          <w:szCs w:val="24"/>
        </w:rPr>
      </w:pPr>
    </w:p>
    <w:p w14:paraId="1FD655C7" w14:textId="77777777" w:rsidR="002D0C8D" w:rsidRDefault="002D0C8D" w:rsidP="00E52EA7">
      <w:pPr>
        <w:pStyle w:val="4"/>
      </w:pPr>
      <w:r w:rsidRPr="002D0C8D">
        <w:rPr>
          <w:rFonts w:hint="eastAsia"/>
        </w:rPr>
        <w:t xml:space="preserve">3.2.7 </w:t>
      </w:r>
      <w:r w:rsidRPr="002D0C8D">
        <w:rPr>
          <w:rFonts w:hint="eastAsia"/>
        </w:rPr>
        <w:t>当满足全部控制项要求时，绿色建筑等级应为基本级。</w:t>
      </w:r>
    </w:p>
    <w:p w14:paraId="71646C6C" w14:textId="6FDD8222" w:rsidR="00715ABB" w:rsidRPr="0081478A" w:rsidRDefault="00F44390">
      <w:pPr>
        <w:pStyle w:val="20"/>
        <w:rPr>
          <w:rFonts w:ascii="Times New Roman" w:eastAsiaTheme="minorEastAsia" w:hAnsi="Times New Roman" w:cs="Times New Roman"/>
          <w:color w:val="auto"/>
          <w:szCs w:val="22"/>
        </w:rPr>
      </w:pPr>
      <w:r w:rsidRPr="0081478A">
        <w:rPr>
          <w:rFonts w:ascii="Times New Roman" w:hAnsi="Times New Roman" w:cs="Times New Roman"/>
          <w:color w:val="auto"/>
        </w:rPr>
        <w:t>【条文说明】</w:t>
      </w:r>
    </w:p>
    <w:p w14:paraId="2EBCDA9C" w14:textId="77777777" w:rsidR="002D0C8D" w:rsidRPr="00530A11" w:rsidRDefault="002D0C8D" w:rsidP="002D0C8D">
      <w:pPr>
        <w:ind w:firstLine="420"/>
        <w:rPr>
          <w:bCs/>
        </w:rPr>
      </w:pPr>
      <w:r w:rsidRPr="00530A11">
        <w:t>本条沿引自国家《绿色建筑评价标准》</w:t>
      </w:r>
      <w:r w:rsidRPr="00530A11">
        <w:t>GB/T 50378-2019</w:t>
      </w:r>
      <w:r w:rsidRPr="00530A11">
        <w:rPr>
          <w:rFonts w:hint="eastAsia"/>
        </w:rPr>
        <w:t>。</w:t>
      </w:r>
    </w:p>
    <w:p w14:paraId="1E1B629F" w14:textId="77777777" w:rsidR="002D0C8D" w:rsidRPr="00530A11" w:rsidRDefault="002D0C8D" w:rsidP="002D0C8D">
      <w:pPr>
        <w:ind w:firstLine="420"/>
        <w:rPr>
          <w:rFonts w:cs="Times New Roman"/>
        </w:rPr>
      </w:pPr>
      <w:r w:rsidRPr="00530A11">
        <w:rPr>
          <w:rFonts w:cs="Times New Roman"/>
        </w:rPr>
        <w:t>控制项是绿色建筑的必要条件，当建筑项目满足本标准全部控制项的要求时，绿色建筑的等级即达到基本级。</w:t>
      </w:r>
    </w:p>
    <w:p w14:paraId="212B8EFE" w14:textId="77777777" w:rsidR="00715ABB" w:rsidRPr="002D0C8D" w:rsidRDefault="00715ABB" w:rsidP="006A6F67">
      <w:pPr>
        <w:ind w:firstLine="420"/>
      </w:pPr>
    </w:p>
    <w:p w14:paraId="414DC6E1" w14:textId="77777777" w:rsidR="002D0C8D" w:rsidRPr="002D0C8D" w:rsidRDefault="002D0C8D" w:rsidP="002D0C8D">
      <w:pPr>
        <w:pStyle w:val="4"/>
      </w:pPr>
      <w:r w:rsidRPr="002D0C8D">
        <w:rPr>
          <w:rFonts w:hint="eastAsia"/>
        </w:rPr>
        <w:t xml:space="preserve">3.2.8 </w:t>
      </w:r>
      <w:r w:rsidRPr="002D0C8D">
        <w:rPr>
          <w:rFonts w:hint="eastAsia"/>
        </w:rPr>
        <w:t>绿色建筑星级等级应按下列规定确定：</w:t>
      </w:r>
    </w:p>
    <w:p w14:paraId="5FD375D6" w14:textId="77777777" w:rsidR="002D0C8D" w:rsidRPr="002D0C8D" w:rsidRDefault="002D0C8D" w:rsidP="002D0C8D">
      <w:pPr>
        <w:pStyle w:val="20"/>
        <w:ind w:firstLineChars="100" w:firstLine="211"/>
        <w:rPr>
          <w:rFonts w:ascii="Times New Roman" w:hAnsi="Times New Roman" w:cs="Times New Roman"/>
          <w:color w:val="auto"/>
          <w:szCs w:val="28"/>
        </w:rPr>
      </w:pPr>
      <w:r w:rsidRPr="002D0C8D">
        <w:rPr>
          <w:rFonts w:ascii="Times New Roman" w:hAnsi="Times New Roman" w:cs="Times New Roman" w:hint="eastAsia"/>
          <w:color w:val="auto"/>
          <w:szCs w:val="28"/>
        </w:rPr>
        <w:t xml:space="preserve">1 </w:t>
      </w:r>
      <w:r w:rsidRPr="002D0C8D">
        <w:rPr>
          <w:rFonts w:ascii="Times New Roman" w:hAnsi="Times New Roman" w:cs="Times New Roman" w:hint="eastAsia"/>
          <w:color w:val="auto"/>
          <w:szCs w:val="28"/>
        </w:rPr>
        <w:t>一星级、二星级、三星级</w:t>
      </w:r>
      <w:r w:rsidRPr="002D0C8D">
        <w:rPr>
          <w:rFonts w:ascii="Times New Roman" w:hAnsi="Times New Roman" w:cs="Times New Roman" w:hint="eastAsia"/>
          <w:color w:val="auto"/>
          <w:szCs w:val="28"/>
        </w:rPr>
        <w:t>3</w:t>
      </w:r>
      <w:r w:rsidRPr="002D0C8D">
        <w:rPr>
          <w:rFonts w:ascii="Times New Roman" w:hAnsi="Times New Roman" w:cs="Times New Roman" w:hint="eastAsia"/>
          <w:color w:val="auto"/>
          <w:szCs w:val="28"/>
        </w:rPr>
        <w:t>个等级的绿色建筑均应满足本标准全部控制项的要求，且每类指标的评分项得分不应小于其评分项满分值的</w:t>
      </w:r>
      <w:r w:rsidRPr="002D0C8D">
        <w:rPr>
          <w:rFonts w:ascii="Times New Roman" w:hAnsi="Times New Roman" w:cs="Times New Roman" w:hint="eastAsia"/>
          <w:color w:val="auto"/>
          <w:szCs w:val="28"/>
        </w:rPr>
        <w:t>30%</w:t>
      </w:r>
      <w:r w:rsidRPr="002D0C8D">
        <w:rPr>
          <w:rFonts w:ascii="Times New Roman" w:hAnsi="Times New Roman" w:cs="Times New Roman" w:hint="eastAsia"/>
          <w:color w:val="auto"/>
          <w:szCs w:val="28"/>
        </w:rPr>
        <w:t>；</w:t>
      </w:r>
    </w:p>
    <w:p w14:paraId="4E5C7340" w14:textId="77777777" w:rsidR="002D0C8D" w:rsidRPr="002D0C8D" w:rsidRDefault="002D0C8D" w:rsidP="002D0C8D">
      <w:pPr>
        <w:pStyle w:val="20"/>
        <w:ind w:firstLineChars="100" w:firstLine="211"/>
        <w:rPr>
          <w:rFonts w:ascii="Times New Roman" w:hAnsi="Times New Roman" w:cs="Times New Roman"/>
          <w:color w:val="auto"/>
          <w:szCs w:val="28"/>
        </w:rPr>
      </w:pPr>
      <w:r w:rsidRPr="002D0C8D">
        <w:rPr>
          <w:rFonts w:ascii="Times New Roman" w:hAnsi="Times New Roman" w:cs="Times New Roman" w:hint="eastAsia"/>
          <w:color w:val="auto"/>
          <w:szCs w:val="28"/>
        </w:rPr>
        <w:t xml:space="preserve">2 </w:t>
      </w:r>
      <w:r w:rsidRPr="002D0C8D">
        <w:rPr>
          <w:rFonts w:ascii="Times New Roman" w:hAnsi="Times New Roman" w:cs="Times New Roman" w:hint="eastAsia"/>
          <w:color w:val="auto"/>
          <w:szCs w:val="28"/>
        </w:rPr>
        <w:t>一星级、二星级、三星级</w:t>
      </w:r>
      <w:r w:rsidRPr="002D0C8D">
        <w:rPr>
          <w:rFonts w:ascii="Times New Roman" w:hAnsi="Times New Roman" w:cs="Times New Roman" w:hint="eastAsia"/>
          <w:color w:val="auto"/>
          <w:szCs w:val="28"/>
        </w:rPr>
        <w:t>3</w:t>
      </w:r>
      <w:r w:rsidRPr="002D0C8D">
        <w:rPr>
          <w:rFonts w:ascii="Times New Roman" w:hAnsi="Times New Roman" w:cs="Times New Roman" w:hint="eastAsia"/>
          <w:color w:val="auto"/>
          <w:szCs w:val="28"/>
        </w:rPr>
        <w:t>个等级的绿色建筑均应进行全装修，全装修工程质量、选用材料及产品质量应符合国家现行有关标准的规定；</w:t>
      </w:r>
    </w:p>
    <w:p w14:paraId="3C17C0B6" w14:textId="1F692E95" w:rsidR="002D0C8D" w:rsidRDefault="002D0C8D" w:rsidP="002D0C8D">
      <w:pPr>
        <w:pStyle w:val="20"/>
        <w:ind w:firstLineChars="100" w:firstLine="211"/>
        <w:rPr>
          <w:rFonts w:ascii="Times New Roman" w:hAnsi="Times New Roman" w:cs="Times New Roman"/>
          <w:color w:val="auto"/>
          <w:szCs w:val="28"/>
        </w:rPr>
      </w:pPr>
      <w:r w:rsidRPr="002D0C8D">
        <w:rPr>
          <w:rFonts w:ascii="Times New Roman" w:hAnsi="Times New Roman" w:cs="Times New Roman" w:hint="eastAsia"/>
          <w:color w:val="auto"/>
          <w:szCs w:val="28"/>
        </w:rPr>
        <w:t xml:space="preserve">3 </w:t>
      </w:r>
      <w:r w:rsidRPr="002D0C8D">
        <w:rPr>
          <w:rFonts w:ascii="Times New Roman" w:hAnsi="Times New Roman" w:cs="Times New Roman" w:hint="eastAsia"/>
          <w:color w:val="auto"/>
          <w:szCs w:val="28"/>
        </w:rPr>
        <w:t>当总得分分别达到</w:t>
      </w:r>
      <w:r w:rsidRPr="002D0C8D">
        <w:rPr>
          <w:rFonts w:ascii="Times New Roman" w:hAnsi="Times New Roman" w:cs="Times New Roman" w:hint="eastAsia"/>
          <w:color w:val="auto"/>
          <w:szCs w:val="28"/>
        </w:rPr>
        <w:t>60</w:t>
      </w:r>
      <w:r w:rsidRPr="002D0C8D">
        <w:rPr>
          <w:rFonts w:ascii="Times New Roman" w:hAnsi="Times New Roman" w:cs="Times New Roman" w:hint="eastAsia"/>
          <w:color w:val="auto"/>
          <w:szCs w:val="28"/>
        </w:rPr>
        <w:t>分、</w:t>
      </w:r>
      <w:r w:rsidRPr="002D0C8D">
        <w:rPr>
          <w:rFonts w:ascii="Times New Roman" w:hAnsi="Times New Roman" w:cs="Times New Roman" w:hint="eastAsia"/>
          <w:color w:val="auto"/>
          <w:szCs w:val="28"/>
        </w:rPr>
        <w:t>70</w:t>
      </w:r>
      <w:r w:rsidRPr="002D0C8D">
        <w:rPr>
          <w:rFonts w:ascii="Times New Roman" w:hAnsi="Times New Roman" w:cs="Times New Roman" w:hint="eastAsia"/>
          <w:color w:val="auto"/>
          <w:szCs w:val="28"/>
        </w:rPr>
        <w:t>分、</w:t>
      </w:r>
      <w:r w:rsidRPr="002D0C8D">
        <w:rPr>
          <w:rFonts w:ascii="Times New Roman" w:hAnsi="Times New Roman" w:cs="Times New Roman" w:hint="eastAsia"/>
          <w:color w:val="auto"/>
          <w:szCs w:val="28"/>
        </w:rPr>
        <w:t>85</w:t>
      </w:r>
      <w:r w:rsidRPr="002D0C8D">
        <w:rPr>
          <w:rFonts w:ascii="Times New Roman" w:hAnsi="Times New Roman" w:cs="Times New Roman" w:hint="eastAsia"/>
          <w:color w:val="auto"/>
          <w:szCs w:val="28"/>
        </w:rPr>
        <w:t>分且应满足表</w:t>
      </w:r>
      <w:r w:rsidRPr="002D0C8D">
        <w:rPr>
          <w:rFonts w:ascii="Times New Roman" w:hAnsi="Times New Roman" w:cs="Times New Roman" w:hint="eastAsia"/>
          <w:color w:val="auto"/>
          <w:szCs w:val="28"/>
        </w:rPr>
        <w:t>3.2.8</w:t>
      </w:r>
      <w:r w:rsidRPr="002D0C8D">
        <w:rPr>
          <w:rFonts w:ascii="Times New Roman" w:hAnsi="Times New Roman" w:cs="Times New Roman" w:hint="eastAsia"/>
          <w:color w:val="auto"/>
          <w:szCs w:val="28"/>
        </w:rPr>
        <w:t>的要求时，绿色建筑等级分别为一星级、二星级、三星级。</w:t>
      </w:r>
    </w:p>
    <w:p w14:paraId="4DC305D9" w14:textId="77777777" w:rsidR="002D0C8D" w:rsidRPr="00530A11" w:rsidRDefault="002D0C8D" w:rsidP="002D0C8D">
      <w:pPr>
        <w:pStyle w:val="ae"/>
        <w:ind w:firstLine="420"/>
        <w:rPr>
          <w:rFonts w:cs="Times New Roman"/>
          <w:b w:val="0"/>
        </w:rPr>
      </w:pPr>
      <w:r w:rsidRPr="00530A11">
        <w:rPr>
          <w:rFonts w:cs="Times New Roman"/>
          <w:b w:val="0"/>
        </w:rPr>
        <w:t>表</w:t>
      </w:r>
      <w:r w:rsidRPr="00530A11">
        <w:rPr>
          <w:rFonts w:cs="Times New Roman"/>
          <w:b w:val="0"/>
        </w:rPr>
        <w:t xml:space="preserve">3.2.8 </w:t>
      </w:r>
      <w:r w:rsidRPr="00530A11">
        <w:rPr>
          <w:rFonts w:cs="Times New Roman"/>
          <w:b w:val="0"/>
        </w:rPr>
        <w:t>一星级、二星级、三星级绿色建筑的技术要求</w:t>
      </w:r>
    </w:p>
    <w:tbl>
      <w:tblPr>
        <w:tblStyle w:val="ac"/>
        <w:tblW w:w="8292" w:type="dxa"/>
        <w:jc w:val="center"/>
        <w:tblLayout w:type="fixed"/>
        <w:tblLook w:val="04A0" w:firstRow="1" w:lastRow="0" w:firstColumn="1" w:lastColumn="0" w:noHBand="0" w:noVBand="1"/>
      </w:tblPr>
      <w:tblGrid>
        <w:gridCol w:w="2243"/>
        <w:gridCol w:w="2143"/>
        <w:gridCol w:w="1806"/>
        <w:gridCol w:w="2100"/>
      </w:tblGrid>
      <w:tr w:rsidR="002D0C8D" w:rsidRPr="002D0C8D" w14:paraId="09424E75" w14:textId="77777777" w:rsidTr="00E50B74">
        <w:trPr>
          <w:trHeight w:val="420"/>
          <w:jc w:val="center"/>
        </w:trPr>
        <w:tc>
          <w:tcPr>
            <w:tcW w:w="2243" w:type="dxa"/>
            <w:tcBorders>
              <w:top w:val="single" w:sz="8" w:space="0" w:color="auto"/>
              <w:left w:val="single" w:sz="8" w:space="0" w:color="auto"/>
              <w:bottom w:val="single" w:sz="8" w:space="0" w:color="auto"/>
              <w:right w:val="single" w:sz="8" w:space="0" w:color="auto"/>
            </w:tcBorders>
            <w:shd w:val="clear" w:color="auto" w:fill="auto"/>
            <w:vAlign w:val="center"/>
          </w:tcPr>
          <w:p w14:paraId="4DC43FC8" w14:textId="77777777" w:rsidR="002D0C8D" w:rsidRPr="002D0C8D" w:rsidRDefault="002D0C8D" w:rsidP="002D0C8D">
            <w:pPr>
              <w:pStyle w:val="ae"/>
              <w:rPr>
                <w:b w:val="0"/>
                <w:bCs/>
              </w:rPr>
            </w:pPr>
          </w:p>
        </w:tc>
        <w:tc>
          <w:tcPr>
            <w:tcW w:w="2143" w:type="dxa"/>
            <w:tcBorders>
              <w:top w:val="single" w:sz="8" w:space="0" w:color="auto"/>
              <w:left w:val="single" w:sz="8" w:space="0" w:color="auto"/>
              <w:bottom w:val="single" w:sz="8" w:space="0" w:color="auto"/>
              <w:right w:val="single" w:sz="8" w:space="0" w:color="auto"/>
            </w:tcBorders>
            <w:shd w:val="clear" w:color="auto" w:fill="auto"/>
            <w:vAlign w:val="center"/>
          </w:tcPr>
          <w:p w14:paraId="7CCFAF59" w14:textId="77777777" w:rsidR="002D0C8D" w:rsidRPr="002D0C8D" w:rsidRDefault="002D0C8D" w:rsidP="002D0C8D">
            <w:pPr>
              <w:pStyle w:val="ae"/>
              <w:rPr>
                <w:b w:val="0"/>
                <w:bCs/>
              </w:rPr>
            </w:pPr>
            <w:r w:rsidRPr="002D0C8D">
              <w:rPr>
                <w:b w:val="0"/>
                <w:bCs/>
              </w:rPr>
              <w:t>一星级</w:t>
            </w:r>
          </w:p>
        </w:tc>
        <w:tc>
          <w:tcPr>
            <w:tcW w:w="1806" w:type="dxa"/>
            <w:tcBorders>
              <w:top w:val="single" w:sz="8" w:space="0" w:color="auto"/>
              <w:left w:val="single" w:sz="8" w:space="0" w:color="auto"/>
              <w:bottom w:val="single" w:sz="8" w:space="0" w:color="auto"/>
              <w:right w:val="single" w:sz="8" w:space="0" w:color="auto"/>
            </w:tcBorders>
            <w:shd w:val="clear" w:color="auto" w:fill="auto"/>
            <w:vAlign w:val="center"/>
          </w:tcPr>
          <w:p w14:paraId="4686E56A" w14:textId="77777777" w:rsidR="002D0C8D" w:rsidRPr="002D0C8D" w:rsidRDefault="002D0C8D" w:rsidP="002D0C8D">
            <w:pPr>
              <w:pStyle w:val="ae"/>
              <w:rPr>
                <w:b w:val="0"/>
                <w:bCs/>
              </w:rPr>
            </w:pPr>
            <w:r w:rsidRPr="002D0C8D">
              <w:rPr>
                <w:b w:val="0"/>
                <w:bCs/>
              </w:rPr>
              <w:t>二星级</w:t>
            </w:r>
          </w:p>
        </w:tc>
        <w:tc>
          <w:tcPr>
            <w:tcW w:w="2100" w:type="dxa"/>
            <w:tcBorders>
              <w:top w:val="single" w:sz="8" w:space="0" w:color="auto"/>
              <w:left w:val="single" w:sz="8" w:space="0" w:color="auto"/>
              <w:bottom w:val="single" w:sz="8" w:space="0" w:color="auto"/>
              <w:right w:val="single" w:sz="8" w:space="0" w:color="auto"/>
            </w:tcBorders>
            <w:shd w:val="clear" w:color="auto" w:fill="auto"/>
            <w:vAlign w:val="center"/>
          </w:tcPr>
          <w:p w14:paraId="401BE58E" w14:textId="77777777" w:rsidR="002D0C8D" w:rsidRPr="002D0C8D" w:rsidRDefault="002D0C8D" w:rsidP="002D0C8D">
            <w:pPr>
              <w:pStyle w:val="ae"/>
              <w:rPr>
                <w:b w:val="0"/>
                <w:bCs/>
              </w:rPr>
            </w:pPr>
            <w:r w:rsidRPr="002D0C8D">
              <w:rPr>
                <w:b w:val="0"/>
                <w:bCs/>
              </w:rPr>
              <w:t>三星级</w:t>
            </w:r>
          </w:p>
        </w:tc>
      </w:tr>
      <w:tr w:rsidR="002D0C8D" w:rsidRPr="002D0C8D" w14:paraId="05F5FFB2" w14:textId="77777777" w:rsidTr="00E50B74">
        <w:trPr>
          <w:trHeight w:val="420"/>
          <w:jc w:val="center"/>
        </w:trPr>
        <w:tc>
          <w:tcPr>
            <w:tcW w:w="2243"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FC89820" w14:textId="77777777" w:rsidR="002D0C8D" w:rsidRPr="002D0C8D" w:rsidRDefault="002D0C8D" w:rsidP="002D0C8D">
            <w:pPr>
              <w:pStyle w:val="ae"/>
              <w:rPr>
                <w:b w:val="0"/>
                <w:bCs/>
              </w:rPr>
            </w:pPr>
            <w:bookmarkStart w:id="39" w:name="_Hlk25520323"/>
            <w:r w:rsidRPr="002D0C8D">
              <w:rPr>
                <w:b w:val="0"/>
                <w:bCs/>
              </w:rPr>
              <w:t>围护结构热工性能的提高比例，或建筑供暖空调负荷降低比例</w:t>
            </w:r>
          </w:p>
        </w:tc>
        <w:tc>
          <w:tcPr>
            <w:tcW w:w="2143" w:type="dxa"/>
            <w:tcBorders>
              <w:top w:val="single" w:sz="8" w:space="0" w:color="auto"/>
              <w:left w:val="single" w:sz="8" w:space="0" w:color="auto"/>
              <w:bottom w:val="single" w:sz="8" w:space="0" w:color="auto"/>
              <w:right w:val="single" w:sz="8" w:space="0" w:color="auto"/>
            </w:tcBorders>
            <w:shd w:val="clear" w:color="auto" w:fill="auto"/>
            <w:vAlign w:val="center"/>
          </w:tcPr>
          <w:p w14:paraId="5D80D140" w14:textId="77777777" w:rsidR="002D0C8D" w:rsidRPr="002D0C8D" w:rsidRDefault="002D0C8D" w:rsidP="002D0C8D">
            <w:pPr>
              <w:pStyle w:val="ae"/>
              <w:rPr>
                <w:b w:val="0"/>
                <w:bCs/>
              </w:rPr>
            </w:pPr>
            <w:r w:rsidRPr="002D0C8D">
              <w:rPr>
                <w:b w:val="0"/>
                <w:bCs/>
              </w:rPr>
              <w:t>围护结构提高</w:t>
            </w:r>
            <w:r w:rsidRPr="002D0C8D">
              <w:rPr>
                <w:b w:val="0"/>
                <w:bCs/>
              </w:rPr>
              <w:t>5%</w:t>
            </w:r>
            <w:r w:rsidRPr="002D0C8D">
              <w:rPr>
                <w:b w:val="0"/>
                <w:bCs/>
              </w:rPr>
              <w:t>，</w:t>
            </w:r>
          </w:p>
          <w:p w14:paraId="31E864FC" w14:textId="77777777" w:rsidR="002D0C8D" w:rsidRPr="002D0C8D" w:rsidRDefault="002D0C8D" w:rsidP="002D0C8D">
            <w:pPr>
              <w:pStyle w:val="ae"/>
              <w:rPr>
                <w:b w:val="0"/>
                <w:bCs/>
              </w:rPr>
            </w:pPr>
            <w:r w:rsidRPr="002D0C8D">
              <w:rPr>
                <w:b w:val="0"/>
                <w:bCs/>
              </w:rPr>
              <w:t>或负荷降低</w:t>
            </w:r>
            <w:r w:rsidRPr="002D0C8D">
              <w:rPr>
                <w:b w:val="0"/>
                <w:bCs/>
              </w:rPr>
              <w:t>5%</w:t>
            </w:r>
          </w:p>
        </w:tc>
        <w:tc>
          <w:tcPr>
            <w:tcW w:w="1806" w:type="dxa"/>
            <w:tcBorders>
              <w:top w:val="single" w:sz="8" w:space="0" w:color="auto"/>
              <w:left w:val="single" w:sz="8" w:space="0" w:color="auto"/>
              <w:bottom w:val="single" w:sz="8" w:space="0" w:color="auto"/>
              <w:right w:val="single" w:sz="8" w:space="0" w:color="auto"/>
            </w:tcBorders>
            <w:shd w:val="clear" w:color="auto" w:fill="auto"/>
            <w:vAlign w:val="center"/>
          </w:tcPr>
          <w:p w14:paraId="3B76DE21" w14:textId="77777777" w:rsidR="002D0C8D" w:rsidRPr="002D0C8D" w:rsidRDefault="002D0C8D" w:rsidP="002D0C8D">
            <w:pPr>
              <w:pStyle w:val="ae"/>
              <w:rPr>
                <w:b w:val="0"/>
                <w:bCs/>
              </w:rPr>
            </w:pPr>
            <w:r w:rsidRPr="002D0C8D">
              <w:rPr>
                <w:b w:val="0"/>
                <w:bCs/>
              </w:rPr>
              <w:t>围护结构提高</w:t>
            </w:r>
            <w:r w:rsidRPr="002D0C8D">
              <w:rPr>
                <w:b w:val="0"/>
                <w:bCs/>
              </w:rPr>
              <w:t>10%</w:t>
            </w:r>
            <w:r w:rsidRPr="002D0C8D">
              <w:rPr>
                <w:b w:val="0"/>
                <w:bCs/>
              </w:rPr>
              <w:t>，</w:t>
            </w:r>
          </w:p>
          <w:p w14:paraId="5A3475DF" w14:textId="77777777" w:rsidR="002D0C8D" w:rsidRPr="002D0C8D" w:rsidRDefault="002D0C8D" w:rsidP="002D0C8D">
            <w:pPr>
              <w:pStyle w:val="ae"/>
              <w:rPr>
                <w:b w:val="0"/>
                <w:bCs/>
              </w:rPr>
            </w:pPr>
            <w:r w:rsidRPr="002D0C8D">
              <w:rPr>
                <w:b w:val="0"/>
                <w:bCs/>
              </w:rPr>
              <w:t>或负荷降低</w:t>
            </w:r>
            <w:r w:rsidRPr="002D0C8D">
              <w:rPr>
                <w:b w:val="0"/>
                <w:bCs/>
              </w:rPr>
              <w:t>10%</w:t>
            </w:r>
          </w:p>
        </w:tc>
        <w:tc>
          <w:tcPr>
            <w:tcW w:w="2100" w:type="dxa"/>
            <w:tcBorders>
              <w:top w:val="single" w:sz="8" w:space="0" w:color="auto"/>
              <w:left w:val="single" w:sz="8" w:space="0" w:color="auto"/>
              <w:bottom w:val="single" w:sz="8" w:space="0" w:color="auto"/>
              <w:right w:val="single" w:sz="8" w:space="0" w:color="auto"/>
            </w:tcBorders>
            <w:shd w:val="clear" w:color="auto" w:fill="auto"/>
            <w:vAlign w:val="center"/>
          </w:tcPr>
          <w:p w14:paraId="299ADCB5" w14:textId="77777777" w:rsidR="002D0C8D" w:rsidRPr="002D0C8D" w:rsidRDefault="002D0C8D" w:rsidP="002D0C8D">
            <w:pPr>
              <w:pStyle w:val="ae"/>
              <w:rPr>
                <w:b w:val="0"/>
                <w:bCs/>
              </w:rPr>
            </w:pPr>
            <w:r w:rsidRPr="002D0C8D">
              <w:rPr>
                <w:b w:val="0"/>
                <w:bCs/>
              </w:rPr>
              <w:t>围护结构提高</w:t>
            </w:r>
            <w:r w:rsidRPr="002D0C8D">
              <w:rPr>
                <w:b w:val="0"/>
                <w:bCs/>
              </w:rPr>
              <w:t>20%</w:t>
            </w:r>
            <w:r w:rsidRPr="002D0C8D">
              <w:rPr>
                <w:b w:val="0"/>
                <w:bCs/>
              </w:rPr>
              <w:t>，</w:t>
            </w:r>
          </w:p>
          <w:p w14:paraId="3511C66C" w14:textId="77777777" w:rsidR="002D0C8D" w:rsidRPr="002D0C8D" w:rsidRDefault="002D0C8D" w:rsidP="002D0C8D">
            <w:pPr>
              <w:pStyle w:val="ae"/>
              <w:rPr>
                <w:b w:val="0"/>
                <w:bCs/>
              </w:rPr>
            </w:pPr>
            <w:r w:rsidRPr="002D0C8D">
              <w:rPr>
                <w:b w:val="0"/>
                <w:bCs/>
              </w:rPr>
              <w:t>或负荷降低</w:t>
            </w:r>
            <w:r w:rsidRPr="002D0C8D">
              <w:rPr>
                <w:b w:val="0"/>
                <w:bCs/>
              </w:rPr>
              <w:t>15%</w:t>
            </w:r>
          </w:p>
        </w:tc>
      </w:tr>
      <w:tr w:rsidR="002D0C8D" w:rsidRPr="002D0C8D" w14:paraId="20F2EE4B" w14:textId="77777777" w:rsidTr="00E50B74">
        <w:trPr>
          <w:trHeight w:val="420"/>
          <w:jc w:val="center"/>
        </w:trPr>
        <w:tc>
          <w:tcPr>
            <w:tcW w:w="224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95EF6B4" w14:textId="77777777" w:rsidR="002D0C8D" w:rsidRPr="002D0C8D" w:rsidRDefault="002D0C8D" w:rsidP="002D0C8D">
            <w:pPr>
              <w:pStyle w:val="ae"/>
              <w:rPr>
                <w:b w:val="0"/>
                <w:bCs/>
              </w:rPr>
            </w:pPr>
          </w:p>
        </w:tc>
        <w:tc>
          <w:tcPr>
            <w:tcW w:w="604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5B2B2337" w14:textId="77777777" w:rsidR="002D0C8D" w:rsidRPr="002D0C8D" w:rsidRDefault="002D0C8D" w:rsidP="002D0C8D">
            <w:pPr>
              <w:pStyle w:val="ae"/>
              <w:rPr>
                <w:b w:val="0"/>
                <w:bCs/>
              </w:rPr>
            </w:pPr>
            <w:r w:rsidRPr="002D0C8D">
              <w:rPr>
                <w:b w:val="0"/>
                <w:bCs/>
              </w:rPr>
              <w:t>且不低于现行重庆市建筑节能设计标准要求</w:t>
            </w:r>
          </w:p>
        </w:tc>
      </w:tr>
      <w:bookmarkEnd w:id="39"/>
      <w:tr w:rsidR="002D0C8D" w:rsidRPr="002D0C8D" w14:paraId="64C8EADD" w14:textId="77777777" w:rsidTr="00E50B74">
        <w:trPr>
          <w:trHeight w:val="420"/>
          <w:jc w:val="center"/>
        </w:trPr>
        <w:tc>
          <w:tcPr>
            <w:tcW w:w="2243" w:type="dxa"/>
            <w:tcBorders>
              <w:top w:val="single" w:sz="8" w:space="0" w:color="auto"/>
              <w:left w:val="single" w:sz="8" w:space="0" w:color="auto"/>
              <w:bottom w:val="single" w:sz="8" w:space="0" w:color="auto"/>
              <w:right w:val="single" w:sz="8" w:space="0" w:color="auto"/>
            </w:tcBorders>
            <w:shd w:val="clear" w:color="auto" w:fill="auto"/>
            <w:vAlign w:val="center"/>
          </w:tcPr>
          <w:p w14:paraId="22AC69A5" w14:textId="77777777" w:rsidR="002D0C8D" w:rsidRPr="002D0C8D" w:rsidRDefault="002D0C8D" w:rsidP="002D0C8D">
            <w:pPr>
              <w:pStyle w:val="ae"/>
              <w:rPr>
                <w:b w:val="0"/>
                <w:bCs/>
              </w:rPr>
            </w:pPr>
            <w:r w:rsidRPr="002D0C8D">
              <w:rPr>
                <w:b w:val="0"/>
                <w:bCs/>
              </w:rPr>
              <w:t>节水器具用水效率等级</w:t>
            </w:r>
          </w:p>
        </w:tc>
        <w:tc>
          <w:tcPr>
            <w:tcW w:w="604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4B5DB3D6" w14:textId="77777777" w:rsidR="002D0C8D" w:rsidRPr="002D0C8D" w:rsidRDefault="002D0C8D" w:rsidP="002D0C8D">
            <w:pPr>
              <w:pStyle w:val="ae"/>
              <w:rPr>
                <w:b w:val="0"/>
                <w:bCs/>
              </w:rPr>
            </w:pPr>
            <w:r w:rsidRPr="002D0C8D">
              <w:rPr>
                <w:b w:val="0"/>
                <w:bCs/>
              </w:rPr>
              <w:t>2</w:t>
            </w:r>
            <w:r w:rsidRPr="002D0C8D">
              <w:rPr>
                <w:b w:val="0"/>
                <w:bCs/>
              </w:rPr>
              <w:t>级</w:t>
            </w:r>
          </w:p>
        </w:tc>
      </w:tr>
      <w:tr w:rsidR="002D0C8D" w:rsidRPr="002D0C8D" w14:paraId="52AB0995" w14:textId="77777777" w:rsidTr="00E50B74">
        <w:trPr>
          <w:trHeight w:val="420"/>
          <w:jc w:val="center"/>
        </w:trPr>
        <w:tc>
          <w:tcPr>
            <w:tcW w:w="2243" w:type="dxa"/>
            <w:tcBorders>
              <w:top w:val="single" w:sz="8" w:space="0" w:color="auto"/>
              <w:left w:val="single" w:sz="8" w:space="0" w:color="auto"/>
              <w:bottom w:val="single" w:sz="8" w:space="0" w:color="auto"/>
              <w:right w:val="single" w:sz="8" w:space="0" w:color="auto"/>
            </w:tcBorders>
            <w:shd w:val="clear" w:color="auto" w:fill="auto"/>
            <w:vAlign w:val="center"/>
          </w:tcPr>
          <w:p w14:paraId="0AE6FD20" w14:textId="77777777" w:rsidR="002D0C8D" w:rsidRPr="002D0C8D" w:rsidRDefault="002D0C8D" w:rsidP="002D0C8D">
            <w:pPr>
              <w:pStyle w:val="ae"/>
              <w:rPr>
                <w:b w:val="0"/>
                <w:bCs/>
              </w:rPr>
            </w:pPr>
            <w:r w:rsidRPr="002D0C8D">
              <w:rPr>
                <w:b w:val="0"/>
                <w:bCs/>
              </w:rPr>
              <w:t>住宅建筑隔声性能</w:t>
            </w:r>
          </w:p>
        </w:tc>
        <w:tc>
          <w:tcPr>
            <w:tcW w:w="2143" w:type="dxa"/>
            <w:tcBorders>
              <w:top w:val="single" w:sz="8" w:space="0" w:color="auto"/>
              <w:left w:val="single" w:sz="8" w:space="0" w:color="auto"/>
              <w:bottom w:val="single" w:sz="8" w:space="0" w:color="auto"/>
              <w:right w:val="single" w:sz="8" w:space="0" w:color="auto"/>
            </w:tcBorders>
            <w:shd w:val="clear" w:color="auto" w:fill="auto"/>
            <w:vAlign w:val="center"/>
          </w:tcPr>
          <w:p w14:paraId="5A896A1F" w14:textId="77777777" w:rsidR="002D0C8D" w:rsidRPr="002D0C8D" w:rsidRDefault="002D0C8D" w:rsidP="002D0C8D">
            <w:pPr>
              <w:pStyle w:val="ae"/>
              <w:rPr>
                <w:b w:val="0"/>
                <w:bCs/>
              </w:rPr>
            </w:pPr>
            <w:r w:rsidRPr="002D0C8D">
              <w:rPr>
                <w:b w:val="0"/>
                <w:bCs/>
              </w:rPr>
              <w:t>—</w:t>
            </w:r>
          </w:p>
        </w:tc>
        <w:tc>
          <w:tcPr>
            <w:tcW w:w="1806" w:type="dxa"/>
            <w:tcBorders>
              <w:top w:val="single" w:sz="8" w:space="0" w:color="auto"/>
              <w:left w:val="single" w:sz="8" w:space="0" w:color="auto"/>
              <w:bottom w:val="single" w:sz="8" w:space="0" w:color="auto"/>
              <w:right w:val="single" w:sz="8" w:space="0" w:color="auto"/>
            </w:tcBorders>
            <w:shd w:val="clear" w:color="auto" w:fill="auto"/>
            <w:vAlign w:val="center"/>
          </w:tcPr>
          <w:p w14:paraId="64B91BA0" w14:textId="77777777" w:rsidR="002D0C8D" w:rsidRPr="002D0C8D" w:rsidRDefault="002D0C8D" w:rsidP="002D0C8D">
            <w:pPr>
              <w:pStyle w:val="ae"/>
              <w:rPr>
                <w:b w:val="0"/>
                <w:bCs/>
              </w:rPr>
            </w:pPr>
            <w:r w:rsidRPr="002D0C8D">
              <w:rPr>
                <w:b w:val="0"/>
                <w:bCs/>
              </w:rPr>
              <w:t>室外与卧室之间、分户墙（楼板）两侧卧室之间的空气声隔声性能以及卧室楼板的撞击声隔声性能达</w:t>
            </w:r>
            <w:r w:rsidRPr="002D0C8D">
              <w:rPr>
                <w:b w:val="0"/>
                <w:bCs/>
              </w:rPr>
              <w:lastRenderedPageBreak/>
              <w:t>到低限标准限值和高要求标准限值的平均值</w:t>
            </w:r>
          </w:p>
        </w:tc>
        <w:tc>
          <w:tcPr>
            <w:tcW w:w="2100" w:type="dxa"/>
            <w:tcBorders>
              <w:top w:val="single" w:sz="8" w:space="0" w:color="auto"/>
              <w:left w:val="single" w:sz="8" w:space="0" w:color="auto"/>
              <w:bottom w:val="single" w:sz="8" w:space="0" w:color="auto"/>
              <w:right w:val="single" w:sz="8" w:space="0" w:color="auto"/>
            </w:tcBorders>
            <w:shd w:val="clear" w:color="auto" w:fill="auto"/>
            <w:vAlign w:val="center"/>
          </w:tcPr>
          <w:p w14:paraId="2C65A656" w14:textId="77777777" w:rsidR="002D0C8D" w:rsidRPr="002D0C8D" w:rsidRDefault="002D0C8D" w:rsidP="002D0C8D">
            <w:pPr>
              <w:pStyle w:val="ae"/>
              <w:rPr>
                <w:b w:val="0"/>
                <w:bCs/>
              </w:rPr>
            </w:pPr>
            <w:r w:rsidRPr="002D0C8D">
              <w:rPr>
                <w:b w:val="0"/>
                <w:bCs/>
              </w:rPr>
              <w:lastRenderedPageBreak/>
              <w:t>室外与卧室之间、分户墙（楼板）两侧卧室之间的空气声隔声性能以及卧室楼板的撞击声隔声性能达到高要求标准</w:t>
            </w:r>
            <w:r w:rsidRPr="002D0C8D">
              <w:rPr>
                <w:b w:val="0"/>
                <w:bCs/>
              </w:rPr>
              <w:lastRenderedPageBreak/>
              <w:t>限值</w:t>
            </w:r>
          </w:p>
        </w:tc>
      </w:tr>
      <w:tr w:rsidR="002D0C8D" w:rsidRPr="002D0C8D" w14:paraId="4FFCFA76" w14:textId="77777777" w:rsidTr="00E50B74">
        <w:trPr>
          <w:trHeight w:val="420"/>
          <w:jc w:val="center"/>
        </w:trPr>
        <w:tc>
          <w:tcPr>
            <w:tcW w:w="2243" w:type="dxa"/>
            <w:tcBorders>
              <w:top w:val="single" w:sz="8" w:space="0" w:color="auto"/>
              <w:left w:val="single" w:sz="8" w:space="0" w:color="auto"/>
              <w:bottom w:val="single" w:sz="8" w:space="0" w:color="auto"/>
              <w:right w:val="single" w:sz="8" w:space="0" w:color="auto"/>
            </w:tcBorders>
            <w:shd w:val="clear" w:color="auto" w:fill="auto"/>
            <w:vAlign w:val="center"/>
          </w:tcPr>
          <w:p w14:paraId="069B78E4" w14:textId="77777777" w:rsidR="002D0C8D" w:rsidRPr="002D0C8D" w:rsidRDefault="002D0C8D" w:rsidP="002D0C8D">
            <w:pPr>
              <w:pStyle w:val="ae"/>
              <w:rPr>
                <w:b w:val="0"/>
                <w:bCs/>
              </w:rPr>
            </w:pPr>
            <w:r w:rsidRPr="002D0C8D">
              <w:rPr>
                <w:b w:val="0"/>
                <w:bCs/>
              </w:rPr>
              <w:lastRenderedPageBreak/>
              <w:t>室内主要空气污染物浓度降低比例</w:t>
            </w:r>
          </w:p>
        </w:tc>
        <w:tc>
          <w:tcPr>
            <w:tcW w:w="2143" w:type="dxa"/>
            <w:tcBorders>
              <w:top w:val="single" w:sz="8" w:space="0" w:color="auto"/>
              <w:left w:val="single" w:sz="8" w:space="0" w:color="auto"/>
              <w:bottom w:val="single" w:sz="8" w:space="0" w:color="auto"/>
              <w:right w:val="single" w:sz="8" w:space="0" w:color="auto"/>
            </w:tcBorders>
            <w:shd w:val="clear" w:color="auto" w:fill="auto"/>
            <w:vAlign w:val="center"/>
          </w:tcPr>
          <w:p w14:paraId="15797B8D" w14:textId="77777777" w:rsidR="002D0C8D" w:rsidRPr="002D0C8D" w:rsidRDefault="002D0C8D" w:rsidP="002D0C8D">
            <w:pPr>
              <w:pStyle w:val="ae"/>
              <w:rPr>
                <w:b w:val="0"/>
                <w:bCs/>
              </w:rPr>
            </w:pPr>
            <w:r w:rsidRPr="002D0C8D">
              <w:rPr>
                <w:b w:val="0"/>
                <w:bCs/>
              </w:rPr>
              <w:t>10%</w:t>
            </w:r>
          </w:p>
        </w:tc>
        <w:tc>
          <w:tcPr>
            <w:tcW w:w="3906"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08596F4" w14:textId="77777777" w:rsidR="002D0C8D" w:rsidRPr="002D0C8D" w:rsidRDefault="002D0C8D" w:rsidP="002D0C8D">
            <w:pPr>
              <w:pStyle w:val="ae"/>
              <w:rPr>
                <w:b w:val="0"/>
                <w:bCs/>
              </w:rPr>
            </w:pPr>
            <w:r w:rsidRPr="002D0C8D">
              <w:rPr>
                <w:b w:val="0"/>
                <w:bCs/>
              </w:rPr>
              <w:t>20%</w:t>
            </w:r>
          </w:p>
        </w:tc>
      </w:tr>
      <w:tr w:rsidR="002D0C8D" w:rsidRPr="002D0C8D" w14:paraId="62F0788E" w14:textId="77777777" w:rsidTr="00E50B74">
        <w:trPr>
          <w:trHeight w:val="1020"/>
          <w:jc w:val="center"/>
        </w:trPr>
        <w:tc>
          <w:tcPr>
            <w:tcW w:w="2243" w:type="dxa"/>
            <w:tcBorders>
              <w:top w:val="single" w:sz="8" w:space="0" w:color="auto"/>
              <w:left w:val="single" w:sz="8" w:space="0" w:color="auto"/>
              <w:bottom w:val="single" w:sz="8" w:space="0" w:color="auto"/>
              <w:right w:val="single" w:sz="8" w:space="0" w:color="auto"/>
            </w:tcBorders>
            <w:shd w:val="clear" w:color="auto" w:fill="auto"/>
            <w:vAlign w:val="center"/>
          </w:tcPr>
          <w:p w14:paraId="37216965" w14:textId="77777777" w:rsidR="002D0C8D" w:rsidRPr="002D0C8D" w:rsidRDefault="002D0C8D" w:rsidP="002D0C8D">
            <w:pPr>
              <w:pStyle w:val="ae"/>
              <w:rPr>
                <w:b w:val="0"/>
                <w:bCs/>
              </w:rPr>
            </w:pPr>
            <w:r w:rsidRPr="002D0C8D">
              <w:rPr>
                <w:b w:val="0"/>
                <w:bCs/>
              </w:rPr>
              <w:t>外窗气密性能</w:t>
            </w:r>
          </w:p>
        </w:tc>
        <w:tc>
          <w:tcPr>
            <w:tcW w:w="6049" w:type="dxa"/>
            <w:gridSpan w:val="3"/>
            <w:tcBorders>
              <w:top w:val="single" w:sz="8" w:space="0" w:color="auto"/>
              <w:left w:val="single" w:sz="8" w:space="0" w:color="auto"/>
              <w:bottom w:val="single" w:sz="8" w:space="0" w:color="auto"/>
              <w:right w:val="single" w:sz="8" w:space="0" w:color="auto"/>
            </w:tcBorders>
            <w:shd w:val="clear" w:color="auto" w:fill="auto"/>
            <w:vAlign w:val="center"/>
          </w:tcPr>
          <w:p w14:paraId="17D50A15" w14:textId="77777777" w:rsidR="002D0C8D" w:rsidRPr="002D0C8D" w:rsidRDefault="002D0C8D" w:rsidP="002D0C8D">
            <w:pPr>
              <w:pStyle w:val="ae"/>
              <w:rPr>
                <w:b w:val="0"/>
                <w:bCs/>
              </w:rPr>
            </w:pPr>
            <w:r w:rsidRPr="002D0C8D">
              <w:rPr>
                <w:b w:val="0"/>
                <w:bCs/>
              </w:rPr>
              <w:t>符合国家现行相关节能设计标准的规定，且外窗洞口与外窗本体的结合部位应严密</w:t>
            </w:r>
          </w:p>
        </w:tc>
      </w:tr>
    </w:tbl>
    <w:p w14:paraId="3E4DD0E1" w14:textId="77777777" w:rsidR="002D0C8D" w:rsidRPr="00530A11" w:rsidRDefault="002D0C8D" w:rsidP="002D0C8D">
      <w:pPr>
        <w:pStyle w:val="ae"/>
        <w:ind w:firstLine="360"/>
        <w:jc w:val="both"/>
        <w:rPr>
          <w:rFonts w:cs="Times New Roman"/>
          <w:b w:val="0"/>
          <w:sz w:val="18"/>
          <w:szCs w:val="18"/>
        </w:rPr>
      </w:pPr>
      <w:r w:rsidRPr="00530A11">
        <w:rPr>
          <w:rFonts w:cs="Times New Roman" w:hint="eastAsia"/>
          <w:b w:val="0"/>
          <w:sz w:val="18"/>
          <w:szCs w:val="18"/>
        </w:rPr>
        <w:t>注：</w:t>
      </w:r>
      <w:r w:rsidRPr="00530A11">
        <w:rPr>
          <w:rFonts w:cs="Times New Roman"/>
          <w:b w:val="0"/>
          <w:sz w:val="18"/>
          <w:szCs w:val="18"/>
        </w:rPr>
        <w:t>1</w:t>
      </w:r>
      <w:r w:rsidRPr="00530A11">
        <w:rPr>
          <w:rFonts w:cs="Times New Roman" w:hint="eastAsia"/>
          <w:b w:val="0"/>
          <w:sz w:val="18"/>
          <w:szCs w:val="18"/>
        </w:rPr>
        <w:t>围护结构热工性能的提高基准为国家现行相关建筑节能设计标准的要求。此处围护结构指外墙、屋顶、外窗、幕墙等部位。</w:t>
      </w:r>
    </w:p>
    <w:p w14:paraId="4A5313CA" w14:textId="77777777" w:rsidR="002D0C8D" w:rsidRPr="00530A11" w:rsidRDefault="002D0C8D" w:rsidP="002D0C8D">
      <w:pPr>
        <w:pStyle w:val="ae"/>
        <w:ind w:firstLine="360"/>
        <w:jc w:val="both"/>
        <w:rPr>
          <w:rFonts w:cs="Times New Roman"/>
          <w:b w:val="0"/>
          <w:sz w:val="18"/>
          <w:szCs w:val="18"/>
        </w:rPr>
      </w:pPr>
      <w:r w:rsidRPr="00530A11">
        <w:rPr>
          <w:rFonts w:cs="Times New Roman"/>
          <w:b w:val="0"/>
          <w:sz w:val="18"/>
          <w:szCs w:val="18"/>
        </w:rPr>
        <w:t xml:space="preserve">2 </w:t>
      </w:r>
      <w:r w:rsidRPr="00530A11">
        <w:rPr>
          <w:rFonts w:cs="Times New Roman" w:hint="eastAsia"/>
          <w:b w:val="0"/>
          <w:sz w:val="18"/>
          <w:szCs w:val="18"/>
        </w:rPr>
        <w:t>住宅建筑隔声性能对应的标准为现行国家标准《民用建筑隔声设计规范》</w:t>
      </w:r>
      <w:r w:rsidRPr="00530A11">
        <w:rPr>
          <w:rFonts w:cs="Times New Roman"/>
          <w:b w:val="0"/>
          <w:sz w:val="18"/>
          <w:szCs w:val="18"/>
        </w:rPr>
        <w:t>GB 50118</w:t>
      </w:r>
      <w:r w:rsidRPr="00530A11">
        <w:rPr>
          <w:rFonts w:cs="Times New Roman" w:hint="eastAsia"/>
          <w:b w:val="0"/>
          <w:sz w:val="18"/>
          <w:szCs w:val="18"/>
        </w:rPr>
        <w:t>。</w:t>
      </w:r>
    </w:p>
    <w:p w14:paraId="702B143B" w14:textId="77777777" w:rsidR="002D0C8D" w:rsidRPr="00530A11" w:rsidRDefault="002D0C8D" w:rsidP="002D0C8D">
      <w:pPr>
        <w:pStyle w:val="ae"/>
        <w:ind w:firstLine="360"/>
        <w:jc w:val="both"/>
        <w:rPr>
          <w:rFonts w:cs="Times New Roman"/>
          <w:b w:val="0"/>
          <w:sz w:val="18"/>
          <w:szCs w:val="18"/>
        </w:rPr>
      </w:pPr>
      <w:r w:rsidRPr="00530A11">
        <w:rPr>
          <w:rFonts w:cs="Times New Roman"/>
          <w:b w:val="0"/>
          <w:sz w:val="18"/>
          <w:szCs w:val="18"/>
        </w:rPr>
        <w:t xml:space="preserve">3 </w:t>
      </w:r>
      <w:r w:rsidRPr="00530A11">
        <w:rPr>
          <w:rFonts w:cs="Times New Roman" w:hint="eastAsia"/>
          <w:b w:val="0"/>
          <w:sz w:val="18"/>
          <w:szCs w:val="18"/>
        </w:rPr>
        <w:t>室内主要空气污染物包括氨、甲醛、苯、总挥发性有机物、氡、可吸入颗粒物等，其浓度降低基准为现行国家标准《室内空气质量标准》</w:t>
      </w:r>
      <w:r w:rsidRPr="00530A11">
        <w:rPr>
          <w:rFonts w:cs="Times New Roman"/>
          <w:b w:val="0"/>
          <w:sz w:val="18"/>
          <w:szCs w:val="18"/>
        </w:rPr>
        <w:t>GB/T 18883</w:t>
      </w:r>
      <w:r w:rsidRPr="00530A11">
        <w:rPr>
          <w:rFonts w:cs="Times New Roman" w:hint="eastAsia"/>
          <w:b w:val="0"/>
          <w:sz w:val="18"/>
          <w:szCs w:val="18"/>
        </w:rPr>
        <w:t>的有关要求。</w:t>
      </w:r>
    </w:p>
    <w:p w14:paraId="710D5EEB"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【条文说明】</w:t>
      </w:r>
    </w:p>
    <w:p w14:paraId="7354B129" w14:textId="77777777" w:rsidR="002D0C8D" w:rsidRPr="00530A11" w:rsidRDefault="002D0C8D" w:rsidP="002D0C8D">
      <w:pPr>
        <w:ind w:firstLine="420"/>
        <w:rPr>
          <w:bCs/>
        </w:rPr>
      </w:pPr>
      <w:r w:rsidRPr="00530A11">
        <w:t>本条沿引自国家《绿色建筑评价标准》</w:t>
      </w:r>
      <w:r w:rsidRPr="00530A11">
        <w:t>GB/T 50378-2019</w:t>
      </w:r>
      <w:r w:rsidRPr="00530A11">
        <w:t>，</w:t>
      </w:r>
      <w:r w:rsidRPr="00530A11">
        <w:rPr>
          <w:rFonts w:hint="eastAsia"/>
        </w:rPr>
        <w:t>并对条文和条文说明进行了局部修改和补充。</w:t>
      </w:r>
    </w:p>
    <w:p w14:paraId="131D5F98" w14:textId="77777777" w:rsidR="002D0C8D" w:rsidRDefault="002D0C8D" w:rsidP="002D0C8D">
      <w:pPr>
        <w:ind w:firstLine="420"/>
        <w:rPr>
          <w:rFonts w:cs="Times New Roman"/>
        </w:rPr>
      </w:pPr>
      <w:r w:rsidRPr="00530A11">
        <w:rPr>
          <w:rFonts w:cs="Times New Roman"/>
        </w:rPr>
        <w:t>当对绿色建筑进行星级评价时，首先应该满足本标准规定的全部控制项要求，同时规定了每类评价指标的最低得分要求，以实现绿色建筑的性能均衡。</w:t>
      </w:r>
    </w:p>
    <w:p w14:paraId="68E8FAB2" w14:textId="77777777" w:rsidR="002D0C8D" w:rsidRPr="00530A11" w:rsidRDefault="002D0C8D" w:rsidP="002D0C8D">
      <w:pPr>
        <w:ind w:firstLine="420"/>
        <w:rPr>
          <w:rFonts w:cs="Times New Roman"/>
        </w:rPr>
      </w:pPr>
      <w:r w:rsidRPr="00530A11">
        <w:rPr>
          <w:rFonts w:cs="Times New Roman"/>
        </w:rPr>
        <w:t>按本标准第</w:t>
      </w:r>
      <w:r w:rsidRPr="00530A11">
        <w:rPr>
          <w:rFonts w:cs="Times New Roman"/>
        </w:rPr>
        <w:t>3.2.5</w:t>
      </w:r>
      <w:r w:rsidRPr="00530A11">
        <w:rPr>
          <w:rFonts w:cs="Times New Roman"/>
        </w:rPr>
        <w:t>条的规定计算绿色建筑总得分，当总得分分别达到</w:t>
      </w:r>
      <w:r w:rsidRPr="00530A11">
        <w:rPr>
          <w:rFonts w:cs="Times New Roman"/>
        </w:rPr>
        <w:t>60</w:t>
      </w:r>
      <w:r w:rsidRPr="00530A11">
        <w:rPr>
          <w:rFonts w:cs="Times New Roman"/>
        </w:rPr>
        <w:t>分、</w:t>
      </w:r>
      <w:r w:rsidRPr="00530A11">
        <w:rPr>
          <w:rFonts w:cs="Times New Roman"/>
        </w:rPr>
        <w:t>70</w:t>
      </w:r>
      <w:r w:rsidRPr="00530A11">
        <w:rPr>
          <w:rFonts w:cs="Times New Roman"/>
        </w:rPr>
        <w:t>分、</w:t>
      </w:r>
      <w:r w:rsidRPr="00530A11">
        <w:rPr>
          <w:rFonts w:cs="Times New Roman"/>
        </w:rPr>
        <w:t>85</w:t>
      </w:r>
      <w:r w:rsidRPr="00530A11">
        <w:rPr>
          <w:rFonts w:cs="Times New Roman"/>
        </w:rPr>
        <w:t>分且满足本条第</w:t>
      </w:r>
      <w:r w:rsidRPr="00530A11">
        <w:rPr>
          <w:rFonts w:cs="Times New Roman"/>
        </w:rPr>
        <w:t>1</w:t>
      </w:r>
      <w:r w:rsidRPr="00530A11">
        <w:rPr>
          <w:rFonts w:cs="Times New Roman"/>
        </w:rPr>
        <w:t>、</w:t>
      </w:r>
      <w:r w:rsidRPr="00530A11">
        <w:rPr>
          <w:rFonts w:cs="Times New Roman"/>
        </w:rPr>
        <w:t>2</w:t>
      </w:r>
      <w:r w:rsidRPr="00530A11">
        <w:rPr>
          <w:rFonts w:cs="Times New Roman"/>
        </w:rPr>
        <w:t>款及表</w:t>
      </w:r>
      <w:r w:rsidRPr="00530A11">
        <w:rPr>
          <w:rFonts w:cs="Times New Roman"/>
        </w:rPr>
        <w:t>3.2.8</w:t>
      </w:r>
      <w:r w:rsidRPr="00530A11">
        <w:rPr>
          <w:rFonts w:cs="Times New Roman"/>
        </w:rPr>
        <w:t>的要求时，绿色建筑等级分别为一星级、二星级、三星级。其中，表</w:t>
      </w:r>
      <w:r w:rsidRPr="00530A11">
        <w:rPr>
          <w:rFonts w:cs="Times New Roman"/>
        </w:rPr>
        <w:t>3.2.8</w:t>
      </w:r>
      <w:r w:rsidRPr="00530A11">
        <w:rPr>
          <w:rFonts w:cs="Times New Roman"/>
        </w:rPr>
        <w:t>中围护结构热工性能提高比例，应同时满足在国家现行相关建筑节能设计标准基础上的提高要求和不低于重庆市现行节能标准的要求或提高要求。</w:t>
      </w:r>
    </w:p>
    <w:p w14:paraId="4CE66C82" w14:textId="77777777" w:rsidR="002D0C8D" w:rsidRPr="00530A11" w:rsidRDefault="002D0C8D" w:rsidP="002D0C8D">
      <w:pPr>
        <w:ind w:firstLine="420"/>
        <w:rPr>
          <w:rFonts w:cs="Times New Roman"/>
        </w:rPr>
      </w:pPr>
      <w:r w:rsidRPr="00530A11">
        <w:rPr>
          <w:rFonts w:cs="Times New Roman"/>
        </w:rPr>
        <w:t>为提升各星级绿色建筑性能和品质，本条对一星级、二星级、三星级绿色建筑在能耗、节水、隔声、室内空气质量、外窗气密性等方面提出了更高的技术要求。</w:t>
      </w:r>
    </w:p>
    <w:p w14:paraId="3EDD9C01" w14:textId="77777777" w:rsidR="002D0C8D" w:rsidRPr="00530A11" w:rsidRDefault="002D0C8D" w:rsidP="002D0C8D">
      <w:pPr>
        <w:ind w:firstLine="420"/>
        <w:rPr>
          <w:rFonts w:cs="Times New Roman"/>
        </w:rPr>
      </w:pPr>
      <w:r w:rsidRPr="00530A11">
        <w:rPr>
          <w:rFonts w:cs="Times New Roman"/>
        </w:rPr>
        <w:t>对一星级、二星级、三星级绿色建筑提出了全装修的交付要求。建筑全装修交付能够有效杜绝擅自改变房屋结构等</w:t>
      </w:r>
      <w:r w:rsidRPr="00530A11">
        <w:rPr>
          <w:rFonts w:cs="Times New Roman"/>
        </w:rPr>
        <w:t>“</w:t>
      </w:r>
      <w:r w:rsidRPr="00530A11">
        <w:rPr>
          <w:rFonts w:cs="Times New Roman"/>
        </w:rPr>
        <w:t>乱装修</w:t>
      </w:r>
      <w:r w:rsidRPr="00530A11">
        <w:rPr>
          <w:rFonts w:cs="Times New Roman"/>
        </w:rPr>
        <w:t>”</w:t>
      </w:r>
      <w:r w:rsidRPr="00530A11">
        <w:rPr>
          <w:rFonts w:cs="Times New Roman"/>
        </w:rPr>
        <w:t>现象，保证建筑安全，避免能源和材料浪费，降低装修成本，节约项目时间，减少室内装修污染及装修带来的环境污染，并避免装修扰民，更加符合现阶段人民对于健康、环保和经济性的要求，对于积极推进绿色建筑实施具有重要的作用。原建设部于</w:t>
      </w:r>
      <w:r w:rsidRPr="00530A11">
        <w:rPr>
          <w:rFonts w:cs="Times New Roman"/>
        </w:rPr>
        <w:t>2002</w:t>
      </w:r>
      <w:r w:rsidRPr="00530A11">
        <w:rPr>
          <w:rFonts w:cs="Times New Roman"/>
        </w:rPr>
        <w:t>年印发的《商品住宅装修一次到位实施导则》</w:t>
      </w:r>
      <w:r w:rsidRPr="00530A11">
        <w:rPr>
          <w:rFonts w:cs="Times New Roman"/>
        </w:rPr>
        <w:t xml:space="preserve"> (</w:t>
      </w:r>
      <w:r w:rsidRPr="00530A11">
        <w:rPr>
          <w:rFonts w:cs="Times New Roman"/>
        </w:rPr>
        <w:t>建住房</w:t>
      </w:r>
      <w:r w:rsidRPr="00530A11">
        <w:rPr>
          <w:rFonts w:cs="Times New Roman"/>
        </w:rPr>
        <w:t>[2002]190</w:t>
      </w:r>
      <w:r w:rsidRPr="00530A11">
        <w:rPr>
          <w:rFonts w:cs="Times New Roman"/>
        </w:rPr>
        <w:t>号</w:t>
      </w:r>
      <w:r w:rsidRPr="00530A11">
        <w:rPr>
          <w:rFonts w:cs="Times New Roman"/>
        </w:rPr>
        <w:t>)</w:t>
      </w:r>
      <w:r w:rsidRPr="00530A11">
        <w:rPr>
          <w:rFonts w:cs="Times New Roman"/>
        </w:rPr>
        <w:t>明确提出，推行住宅装修一次到位，其根本目的是</w:t>
      </w:r>
      <w:r w:rsidRPr="00530A11">
        <w:rPr>
          <w:rFonts w:cs="Times New Roman"/>
        </w:rPr>
        <w:t>“</w:t>
      </w:r>
      <w:r w:rsidRPr="00530A11">
        <w:rPr>
          <w:rFonts w:cs="Times New Roman"/>
        </w:rPr>
        <w:t>逐步取消毛坯房，直接向消费者提供全装修</w:t>
      </w:r>
      <w:r w:rsidRPr="00530A11">
        <w:rPr>
          <w:rFonts w:cs="Times New Roman"/>
        </w:rPr>
        <w:lastRenderedPageBreak/>
        <w:t>成品房；规范装修市场，促使住宅装修生产从无序走向有序</w:t>
      </w:r>
      <w:r w:rsidRPr="00530A11">
        <w:rPr>
          <w:rFonts w:cs="Times New Roman"/>
        </w:rPr>
        <w:t>”</w:t>
      </w:r>
      <w:r w:rsidRPr="00530A11">
        <w:rPr>
          <w:rFonts w:cs="Times New Roman"/>
        </w:rPr>
        <w:t>。</w:t>
      </w:r>
      <w:r w:rsidRPr="00530A11">
        <w:rPr>
          <w:rFonts w:cs="Times New Roman"/>
        </w:rPr>
        <w:t>2008</w:t>
      </w:r>
      <w:r w:rsidRPr="00530A11">
        <w:rPr>
          <w:rFonts w:cs="Times New Roman"/>
        </w:rPr>
        <w:t>年印发的《关于进一步加强住宅装饰装修管理的通知》</w:t>
      </w:r>
      <w:r w:rsidRPr="00530A11">
        <w:rPr>
          <w:rFonts w:cs="Times New Roman"/>
        </w:rPr>
        <w:t>(</w:t>
      </w:r>
      <w:r w:rsidRPr="00530A11">
        <w:rPr>
          <w:rFonts w:cs="Times New Roman"/>
        </w:rPr>
        <w:t>建质</w:t>
      </w:r>
      <w:r w:rsidRPr="00530A11">
        <w:rPr>
          <w:rFonts w:cs="Times New Roman"/>
        </w:rPr>
        <w:t>[2008]133</w:t>
      </w:r>
      <w:r w:rsidRPr="00530A11">
        <w:rPr>
          <w:rFonts w:cs="Times New Roman"/>
        </w:rPr>
        <w:t>号</w:t>
      </w:r>
      <w:r w:rsidRPr="00530A11">
        <w:rPr>
          <w:rFonts w:cs="Times New Roman"/>
        </w:rPr>
        <w:t>)</w:t>
      </w:r>
      <w:r w:rsidRPr="00530A11">
        <w:rPr>
          <w:rFonts w:cs="Times New Roman"/>
        </w:rPr>
        <w:t>重申了各地要继续贯彻落实建住房</w:t>
      </w:r>
      <w:r w:rsidRPr="00530A11">
        <w:rPr>
          <w:rFonts w:cs="Times New Roman"/>
        </w:rPr>
        <w:t>[2002]190</w:t>
      </w:r>
      <w:r w:rsidRPr="00530A11">
        <w:rPr>
          <w:rFonts w:cs="Times New Roman"/>
        </w:rPr>
        <w:t>号文的要求。近年来，海南、江苏、浙江、内蒙古等省市陆续出台地方规章和标准来推行全装修，在绿色建筑中全面推行全装修的时机已经成熟。对于住宅建筑，宜提供菜单式的全装修方案，每个装修方案均应提供可供选择的不同档次、风格的材料和设备菜单，促进标准化和个性化的协调，满足消费者个性化需要，满足市场需求。本标准术语中，对住宅建筑和公共建筑的全装修范围进行了界定。为保证全装修的质量，避免二次装修，住宅建筑的套内及公共区域全装修应满足现行行业标准《住宅室内装饰装修设计规范》</w:t>
      </w:r>
      <w:r w:rsidRPr="00530A11">
        <w:rPr>
          <w:rFonts w:cs="Times New Roman"/>
        </w:rPr>
        <w:t>JGJ 367</w:t>
      </w:r>
      <w:r w:rsidRPr="00530A11">
        <w:rPr>
          <w:rFonts w:cs="Times New Roman"/>
        </w:rPr>
        <w:t>、《住宅室内装饰装修工程质量验收规范》</w:t>
      </w:r>
      <w:r w:rsidRPr="00530A11">
        <w:rPr>
          <w:rFonts w:cs="Times New Roman"/>
        </w:rPr>
        <w:t>JGJ/T 304</w:t>
      </w:r>
      <w:r w:rsidRPr="00530A11">
        <w:rPr>
          <w:rFonts w:cs="Times New Roman"/>
        </w:rPr>
        <w:t>及现行国家标准《建筑装饰装修工程质量验收标准》</w:t>
      </w:r>
      <w:r w:rsidRPr="00530A11">
        <w:rPr>
          <w:rFonts w:cs="Times New Roman"/>
        </w:rPr>
        <w:t>GB 50210</w:t>
      </w:r>
      <w:r w:rsidRPr="00530A11">
        <w:rPr>
          <w:rFonts w:cs="Times New Roman"/>
        </w:rPr>
        <w:t>的相关要求。公共建筑的公共区域全装修应满足现行国家标准《建筑装饰装修工程质量验收标准》</w:t>
      </w:r>
      <w:r w:rsidRPr="00530A11">
        <w:rPr>
          <w:rFonts w:cs="Times New Roman"/>
        </w:rPr>
        <w:t>GB 50210</w:t>
      </w:r>
      <w:r w:rsidRPr="00530A11">
        <w:rPr>
          <w:rFonts w:cs="Times New Roman"/>
        </w:rPr>
        <w:t>的相关要求。全装修所选用的材料和产品，如瓷砖、卫生器具、板材等，应为质量合格产品，满足相应产品标准的质量要求。此外，全装修所选用的材料和产品，应结合当地的品牌认可和消费习惯，最大程度避免二次装修。</w:t>
      </w:r>
    </w:p>
    <w:p w14:paraId="56B6B7F7" w14:textId="77777777" w:rsidR="002D0C8D" w:rsidRPr="00530A11" w:rsidRDefault="002D0C8D" w:rsidP="002D0C8D">
      <w:pPr>
        <w:ind w:firstLine="420"/>
        <w:rPr>
          <w:rFonts w:cs="Times New Roman"/>
        </w:rPr>
      </w:pPr>
      <w:r w:rsidRPr="00530A11">
        <w:rPr>
          <w:rFonts w:cs="Times New Roman"/>
        </w:rPr>
        <w:t>对一星级、二星级、三星级绿色建筑的建筑能耗提出了更高的要求，要求围护结构热工性能的提高或建筑供暖空调负荷的降低。此处除按照国家标准的要求针对国家现行节能标准进行指标性能提升外，同时为了考虑到地方节能标准可能提出的更高要求，增加了达到地方节能标准要求的并存条件。具体计算方法，由本标准第</w:t>
      </w:r>
      <w:r w:rsidRPr="00530A11">
        <w:rPr>
          <w:rFonts w:cs="Times New Roman"/>
        </w:rPr>
        <w:t>7.2.4</w:t>
      </w:r>
      <w:r w:rsidRPr="00530A11">
        <w:rPr>
          <w:rFonts w:cs="Times New Roman"/>
        </w:rPr>
        <w:t>条规定。</w:t>
      </w:r>
    </w:p>
    <w:p w14:paraId="3ABC6442" w14:textId="45064018" w:rsidR="002D0C8D" w:rsidRPr="00530A11" w:rsidRDefault="002D0C8D" w:rsidP="002D0C8D">
      <w:pPr>
        <w:ind w:firstLine="420"/>
        <w:rPr>
          <w:rFonts w:cs="Times New Roman"/>
        </w:rPr>
      </w:pPr>
      <w:r w:rsidRPr="00530A11">
        <w:rPr>
          <w:rFonts w:cs="Times New Roman"/>
        </w:rPr>
        <w:t>对一星级、二星级、三星级绿色建筑用水器具的用水效率提出了要求，相关用水器具的用水效率标准及评价方法，由本标准第</w:t>
      </w:r>
      <w:r w:rsidRPr="00530A11">
        <w:rPr>
          <w:rFonts w:cs="Times New Roman"/>
        </w:rPr>
        <w:t>7.2.</w:t>
      </w:r>
      <w:r w:rsidR="001E39CC" w:rsidRPr="00530A11">
        <w:rPr>
          <w:rFonts w:cs="Times New Roman"/>
        </w:rPr>
        <w:t>1</w:t>
      </w:r>
      <w:r w:rsidR="001E39CC">
        <w:rPr>
          <w:rFonts w:cs="Times New Roman"/>
        </w:rPr>
        <w:t>1</w:t>
      </w:r>
      <w:r w:rsidRPr="00530A11">
        <w:rPr>
          <w:rFonts w:cs="Times New Roman"/>
        </w:rPr>
        <w:t>条规定。</w:t>
      </w:r>
    </w:p>
    <w:p w14:paraId="685F1689" w14:textId="77777777" w:rsidR="002D0C8D" w:rsidRPr="00530A11" w:rsidRDefault="002D0C8D" w:rsidP="002D0C8D">
      <w:pPr>
        <w:ind w:firstLine="420"/>
        <w:rPr>
          <w:rFonts w:cs="Times New Roman"/>
        </w:rPr>
      </w:pPr>
      <w:r w:rsidRPr="00530A11">
        <w:rPr>
          <w:rFonts w:cs="Times New Roman"/>
        </w:rPr>
        <w:t>对二星级、三星级绿色建筑（住宅建筑）的隔声性能提出了要求。国家标准《民用建筑隔声设计规范》</w:t>
      </w:r>
      <w:r w:rsidRPr="00530A11">
        <w:rPr>
          <w:rFonts w:cs="Times New Roman"/>
        </w:rPr>
        <w:t>GB 50118-2010</w:t>
      </w:r>
      <w:r w:rsidRPr="00530A11">
        <w:rPr>
          <w:rFonts w:cs="Times New Roman"/>
        </w:rPr>
        <w:t>第</w:t>
      </w:r>
      <w:r w:rsidRPr="00530A11">
        <w:rPr>
          <w:rFonts w:cs="Times New Roman"/>
        </w:rPr>
        <w:t>4</w:t>
      </w:r>
      <w:r w:rsidRPr="00530A11">
        <w:rPr>
          <w:rFonts w:cs="Times New Roman"/>
        </w:rPr>
        <w:t>章规定了住宅建筑声环境的相关限值，但对室外与卧室之间的空气声隔声性能未作规定。根据住房城乡建设部标准定额司函《住房城乡建设部标准定额司关于开展</w:t>
      </w:r>
      <w:r w:rsidRPr="00530A11">
        <w:rPr>
          <w:rFonts w:cs="Times New Roman"/>
        </w:rPr>
        <w:t>&lt;</w:t>
      </w:r>
      <w:r w:rsidRPr="00530A11">
        <w:rPr>
          <w:rFonts w:cs="Times New Roman"/>
        </w:rPr>
        <w:t>民用建筑隔声设计规范</w:t>
      </w:r>
      <w:r w:rsidRPr="00530A11">
        <w:rPr>
          <w:rFonts w:cs="Times New Roman"/>
        </w:rPr>
        <w:t>&gt;</w:t>
      </w:r>
      <w:r w:rsidRPr="00530A11">
        <w:rPr>
          <w:rFonts w:cs="Times New Roman"/>
        </w:rPr>
        <w:t>局部修订工作的函》（建标标函〔</w:t>
      </w:r>
      <w:r w:rsidRPr="00530A11">
        <w:rPr>
          <w:rFonts w:cs="Times New Roman"/>
        </w:rPr>
        <w:t>2018</w:t>
      </w:r>
      <w:r w:rsidRPr="00530A11">
        <w:rPr>
          <w:rFonts w:cs="Times New Roman"/>
        </w:rPr>
        <w:t>〕</w:t>
      </w:r>
      <w:r w:rsidRPr="00530A11">
        <w:rPr>
          <w:rFonts w:cs="Times New Roman"/>
        </w:rPr>
        <w:t>176</w:t>
      </w:r>
      <w:r w:rsidRPr="00530A11">
        <w:rPr>
          <w:rFonts w:cs="Times New Roman"/>
        </w:rPr>
        <w:t>号）的要求，国家标准《民用建筑隔声设计规范》</w:t>
      </w:r>
      <w:r w:rsidRPr="00530A11">
        <w:rPr>
          <w:rFonts w:cs="Times New Roman"/>
        </w:rPr>
        <w:t>GB 50118-2010</w:t>
      </w:r>
      <w:r w:rsidRPr="00530A11">
        <w:rPr>
          <w:rFonts w:cs="Times New Roman"/>
        </w:rPr>
        <w:t>正在局部修订，本次修订将增加住宅建筑室外与卧室之间空气声隔声性能的指标要求，还将对住宅建筑声环境性能指标进行提升。在《民用建筑隔声设计规范》</w:t>
      </w:r>
      <w:r w:rsidRPr="00530A11">
        <w:rPr>
          <w:rFonts w:cs="Times New Roman"/>
        </w:rPr>
        <w:t>GB 50118-2010</w:t>
      </w:r>
      <w:r w:rsidRPr="00530A11">
        <w:rPr>
          <w:rFonts w:cs="Times New Roman"/>
        </w:rPr>
        <w:t>局部修订尚未实施前，二星级绿色建筑的室外与卧室之间的空气声隔声性能按（</w:t>
      </w:r>
      <w:r w:rsidRPr="00530A11">
        <w:rPr>
          <w:rFonts w:cs="Times New Roman"/>
        </w:rPr>
        <w:t>DnT,w+Ctr</w:t>
      </w:r>
      <w:r w:rsidRPr="00530A11">
        <w:rPr>
          <w:rFonts w:cs="Times New Roman"/>
        </w:rPr>
        <w:t>）</w:t>
      </w:r>
      <w:r w:rsidRPr="00530A11">
        <w:rPr>
          <w:rFonts w:cs="Times New Roman"/>
        </w:rPr>
        <w:t>≥35dB</w:t>
      </w:r>
      <w:r w:rsidRPr="00530A11">
        <w:rPr>
          <w:rFonts w:cs="Times New Roman"/>
        </w:rPr>
        <w:t>进行评价，三星级绿色建筑的室外与卧室之间的空气声隔声性能按（</w:t>
      </w:r>
      <w:r w:rsidRPr="00530A11">
        <w:rPr>
          <w:rFonts w:cs="Times New Roman"/>
        </w:rPr>
        <w:t>DnT,w+Ctr</w:t>
      </w:r>
      <w:r w:rsidRPr="00530A11">
        <w:rPr>
          <w:rFonts w:cs="Times New Roman"/>
        </w:rPr>
        <w:t>）</w:t>
      </w:r>
      <w:r w:rsidRPr="00530A11">
        <w:rPr>
          <w:rFonts w:cs="Times New Roman"/>
        </w:rPr>
        <w:t>≥40dB</w:t>
      </w:r>
      <w:r w:rsidRPr="00530A11">
        <w:rPr>
          <w:rFonts w:cs="Times New Roman"/>
        </w:rPr>
        <w:t>进行评价，其余指标按现行国家标准《民用建筑隔声设计规范》</w:t>
      </w:r>
      <w:r w:rsidRPr="00530A11">
        <w:rPr>
          <w:rFonts w:cs="Times New Roman"/>
        </w:rPr>
        <w:t>GB 50118</w:t>
      </w:r>
      <w:r w:rsidRPr="00530A11">
        <w:rPr>
          <w:rFonts w:cs="Times New Roman"/>
        </w:rPr>
        <w:t>的有关规定进行评价。在《民用建筑隔声设计规范》</w:t>
      </w:r>
      <w:r w:rsidRPr="00530A11">
        <w:rPr>
          <w:rFonts w:cs="Times New Roman"/>
        </w:rPr>
        <w:t>GB 50118-2010</w:t>
      </w:r>
      <w:r w:rsidRPr="00530A11">
        <w:rPr>
          <w:rFonts w:cs="Times New Roman"/>
        </w:rPr>
        <w:t>局部修订完成且实施后，本条应按照修订后的住宅建筑室外与卧室之</w:t>
      </w:r>
      <w:r w:rsidRPr="00530A11">
        <w:rPr>
          <w:rFonts w:cs="Times New Roman"/>
        </w:rPr>
        <w:lastRenderedPageBreak/>
        <w:t>间、分户墙或分户楼板两侧卧室之间的空气声隔声性能，以及卧室楼板的撞击声隔声性能的相关要求进行评价。室外与卧室之间空气声隔声性能，预评价时通过外窗和外墙的隔声性能，按组合隔声量的理论进行预测，并提供分析报告；评价时，应提供室外与卧室之间空气声隔声性能检测报告。其余指标的评价方法，由本标准第</w:t>
      </w:r>
      <w:r w:rsidRPr="00530A11">
        <w:rPr>
          <w:rFonts w:cs="Times New Roman"/>
        </w:rPr>
        <w:t>5.1.4</w:t>
      </w:r>
      <w:r w:rsidRPr="00530A11">
        <w:rPr>
          <w:rFonts w:cs="Times New Roman"/>
        </w:rPr>
        <w:t>、</w:t>
      </w:r>
      <w:r w:rsidRPr="00530A11">
        <w:rPr>
          <w:rFonts w:cs="Times New Roman"/>
        </w:rPr>
        <w:t>5.2.6</w:t>
      </w:r>
      <w:r w:rsidRPr="00530A11">
        <w:rPr>
          <w:rFonts w:cs="Times New Roman"/>
        </w:rPr>
        <w:t>条规定。</w:t>
      </w:r>
    </w:p>
    <w:p w14:paraId="22F06874" w14:textId="77777777" w:rsidR="002D0C8D" w:rsidRPr="00530A11" w:rsidRDefault="002D0C8D" w:rsidP="002D0C8D">
      <w:pPr>
        <w:ind w:firstLine="420"/>
        <w:rPr>
          <w:rFonts w:cs="Times New Roman"/>
        </w:rPr>
      </w:pPr>
      <w:r w:rsidRPr="00530A11">
        <w:rPr>
          <w:rFonts w:cs="Times New Roman"/>
        </w:rPr>
        <w:t>对一星级、二星级、三星级绿色建筑室内主要的空气污染物浓度限值进行了规定。具体评价方法，由本标准第</w:t>
      </w:r>
      <w:r w:rsidRPr="00530A11">
        <w:rPr>
          <w:rFonts w:cs="Times New Roman"/>
        </w:rPr>
        <w:t>5.1.1</w:t>
      </w:r>
      <w:r w:rsidRPr="00530A11">
        <w:rPr>
          <w:rFonts w:cs="Times New Roman"/>
        </w:rPr>
        <w:t>条规定。</w:t>
      </w:r>
    </w:p>
    <w:p w14:paraId="7BE3E614" w14:textId="33CC2E9A" w:rsidR="002D0C8D" w:rsidRPr="00530A11" w:rsidRDefault="002D0C8D" w:rsidP="002D0C8D">
      <w:pPr>
        <w:ind w:firstLine="420"/>
        <w:rPr>
          <w:rFonts w:cs="Times New Roman"/>
        </w:rPr>
      </w:pPr>
      <w:r w:rsidRPr="00530A11">
        <w:rPr>
          <w:rFonts w:cs="Times New Roman"/>
        </w:rPr>
        <w:t>对一星级、二星级、三星级绿色建筑的外窗气密性能及外窗安装施工质量提出了要求。外窗的气密性能应符合国家现行标准《公共建筑节能设计标准》</w:t>
      </w:r>
      <w:r w:rsidRPr="00530A11">
        <w:rPr>
          <w:rFonts w:cs="Times New Roman"/>
        </w:rPr>
        <w:t>GB 50189</w:t>
      </w:r>
      <w:r w:rsidRPr="00530A11">
        <w:rPr>
          <w:rFonts w:cs="Times New Roman"/>
        </w:rPr>
        <w:t>、《夏热冬冷地区居住建筑节能设计标准》</w:t>
      </w:r>
      <w:r w:rsidRPr="00530A11">
        <w:rPr>
          <w:rFonts w:cs="Times New Roman"/>
        </w:rPr>
        <w:t>JGJ 134</w:t>
      </w:r>
      <w:r w:rsidRPr="00530A11">
        <w:rPr>
          <w:rFonts w:cs="Times New Roman"/>
        </w:rPr>
        <w:t>等的规定。在外窗安装施工过程中，应严格按照相关工法和相关验收标准要求进行，外窗四周的密封应完整、连续，并应形成封闭的密封结构，保证外窗洞口与外窗本体的结合部位严密；外窗的现场气密性能检测与合格判定应符合现行行业标准《公共建筑节能检测标准》</w:t>
      </w:r>
      <w:r w:rsidRPr="00530A11">
        <w:rPr>
          <w:rFonts w:cs="Times New Roman"/>
        </w:rPr>
        <w:t>JGJ/T 177</w:t>
      </w:r>
      <w:r w:rsidRPr="00530A11">
        <w:rPr>
          <w:rFonts w:cs="Times New Roman"/>
        </w:rPr>
        <w:t>或《居住建筑节能检测标准》</w:t>
      </w:r>
      <w:r w:rsidRPr="00530A11">
        <w:rPr>
          <w:rFonts w:cs="Times New Roman"/>
        </w:rPr>
        <w:t>JGJ/T 132</w:t>
      </w:r>
      <w:r w:rsidRPr="00530A11">
        <w:rPr>
          <w:rFonts w:cs="Times New Roman"/>
        </w:rPr>
        <w:t>的规定。如地方标准中提出了更高要求，则应同时满足地方标准的要求。评价方法为：预评价查阅外窗气密性能设计文件、外窗气密性能检测报告；评价查阅外窗气密性能设计文件、外窗气密性能检测报告、外窗气密性能现场检测报告</w:t>
      </w:r>
      <w:r w:rsidR="00116C80">
        <w:rPr>
          <w:rFonts w:cs="Times New Roman" w:hint="eastAsia"/>
        </w:rPr>
        <w:t>及现场施工、监理影像资料</w:t>
      </w:r>
      <w:r w:rsidRPr="00530A11">
        <w:rPr>
          <w:rFonts w:cs="Times New Roman"/>
        </w:rPr>
        <w:t>。</w:t>
      </w:r>
    </w:p>
    <w:p w14:paraId="15165C41" w14:textId="77777777" w:rsidR="00E71ADE" w:rsidRPr="0081478A" w:rsidRDefault="00E71ADE">
      <w:pPr>
        <w:widowControl/>
        <w:ind w:firstLineChars="0" w:firstLine="0"/>
        <w:jc w:val="left"/>
        <w:rPr>
          <w:rFonts w:cs="Times New Roman"/>
        </w:rPr>
      </w:pPr>
      <w:r w:rsidRPr="0081478A">
        <w:rPr>
          <w:rFonts w:cs="Times New Roman"/>
        </w:rPr>
        <w:br w:type="page"/>
      </w:r>
    </w:p>
    <w:p w14:paraId="15DDF944" w14:textId="77777777" w:rsidR="00715ABB" w:rsidRPr="0081478A" w:rsidRDefault="00F44390" w:rsidP="003C1556">
      <w:pPr>
        <w:pStyle w:val="1"/>
      </w:pPr>
      <w:bookmarkStart w:id="40" w:name="_Toc22221560"/>
      <w:bookmarkStart w:id="41" w:name="_Toc35364727"/>
      <w:r w:rsidRPr="0081478A">
        <w:lastRenderedPageBreak/>
        <w:t xml:space="preserve">4  </w:t>
      </w:r>
      <w:r w:rsidRPr="0081478A">
        <w:t>安全耐久</w:t>
      </w:r>
      <w:bookmarkEnd w:id="40"/>
      <w:bookmarkEnd w:id="41"/>
    </w:p>
    <w:p w14:paraId="7FB05C66" w14:textId="77777777" w:rsidR="00715ABB" w:rsidRPr="0081478A" w:rsidRDefault="00F44390" w:rsidP="003C1556">
      <w:pPr>
        <w:pStyle w:val="2"/>
      </w:pPr>
      <w:bookmarkStart w:id="42" w:name="_Toc22221561"/>
      <w:bookmarkStart w:id="43" w:name="_Toc35364728"/>
      <w:r w:rsidRPr="0081478A">
        <w:t xml:space="preserve">4.1 </w:t>
      </w:r>
      <w:r w:rsidRPr="0081478A">
        <w:t>控制项</w:t>
      </w:r>
      <w:bookmarkEnd w:id="42"/>
      <w:bookmarkEnd w:id="43"/>
    </w:p>
    <w:p w14:paraId="53ADA929" w14:textId="77777777" w:rsidR="006A6F67" w:rsidRPr="00530A11" w:rsidRDefault="006A6F67" w:rsidP="006A6F67">
      <w:pPr>
        <w:pStyle w:val="4"/>
        <w:rPr>
          <w:rFonts w:cs="Times New Roman"/>
          <w:bCs w:val="0"/>
        </w:rPr>
      </w:pPr>
      <w:r w:rsidRPr="00530A11">
        <w:rPr>
          <w:rFonts w:cs="Times New Roman"/>
          <w:bCs w:val="0"/>
        </w:rPr>
        <w:t xml:space="preserve">4.1.1 </w:t>
      </w:r>
      <w:r w:rsidRPr="00530A11">
        <w:rPr>
          <w:rFonts w:cs="Times New Roman"/>
          <w:bCs w:val="0"/>
        </w:rPr>
        <w:t>场地应避开滑坡、崩塌、断层、危岩、地陷、地裂、泥石流等地质危险地段，易发生洪涝地区应有可靠的防洪涝基础设施；场地应无危险化学品、易燃易爆危险源的威胁，应无电磁辐射、氡等放射性污染的危害。</w:t>
      </w:r>
    </w:p>
    <w:p w14:paraId="3E47515D" w14:textId="77777777" w:rsidR="00715ABB" w:rsidRPr="0081478A" w:rsidRDefault="00F44390">
      <w:pPr>
        <w:ind w:firstLineChars="0" w:firstLine="0"/>
        <w:rPr>
          <w:rFonts w:cs="Times New Roman"/>
          <w:b/>
          <w:szCs w:val="24"/>
        </w:rPr>
      </w:pPr>
      <w:r w:rsidRPr="0081478A">
        <w:rPr>
          <w:rFonts w:cs="Times New Roman"/>
          <w:b/>
          <w:szCs w:val="24"/>
        </w:rPr>
        <w:t>【条文说明】</w:t>
      </w:r>
    </w:p>
    <w:p w14:paraId="1D2BB71C" w14:textId="71256182" w:rsidR="007C29E3" w:rsidRPr="00530A11" w:rsidRDefault="007C29E3" w:rsidP="007C29E3">
      <w:pPr>
        <w:ind w:firstLine="420"/>
        <w:rPr>
          <w:szCs w:val="24"/>
        </w:rPr>
      </w:pPr>
      <w:r w:rsidRPr="00530A11">
        <w:t>本条适用于各类民用建筑的预评价、评价。</w:t>
      </w:r>
    </w:p>
    <w:p w14:paraId="311C636C" w14:textId="77777777" w:rsidR="007C29E3" w:rsidRPr="00530A11" w:rsidRDefault="007C29E3" w:rsidP="007C29E3">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szCs w:val="24"/>
        </w:rPr>
        <w:t>4.1.2</w:t>
      </w:r>
      <w:r w:rsidRPr="00530A11">
        <w:rPr>
          <w:rFonts w:cs="Times New Roman"/>
        </w:rPr>
        <w:t>条，地方标准</w:t>
      </w:r>
      <w:r w:rsidRPr="00530A11">
        <w:rPr>
          <w:rFonts w:cs="Times New Roman"/>
        </w:rPr>
        <w:t>2014</w:t>
      </w:r>
      <w:r w:rsidRPr="00530A11">
        <w:rPr>
          <w:rFonts w:cs="Times New Roman"/>
        </w:rPr>
        <w:t>版</w:t>
      </w:r>
      <w:r w:rsidRPr="00530A11">
        <w:rPr>
          <w:rFonts w:cs="Times New Roman"/>
          <w:szCs w:val="24"/>
        </w:rPr>
        <w:t>4.1.2</w:t>
      </w:r>
      <w:r w:rsidRPr="00530A11">
        <w:rPr>
          <w:rFonts w:cs="Times New Roman"/>
        </w:rPr>
        <w:t>条的基础上发展而来。</w:t>
      </w:r>
    </w:p>
    <w:p w14:paraId="291EED31" w14:textId="77777777" w:rsidR="007C29E3" w:rsidRPr="00530A11" w:rsidRDefault="007C29E3" w:rsidP="007C29E3">
      <w:pPr>
        <w:ind w:firstLine="420"/>
        <w:rPr>
          <w:rFonts w:cs="Times New Roman"/>
        </w:rPr>
      </w:pPr>
      <w:r w:rsidRPr="00530A11">
        <w:rPr>
          <w:rFonts w:cs="Times New Roman"/>
          <w:szCs w:val="24"/>
        </w:rPr>
        <w:t>本条对绿色建筑的场地安全提出要求。建筑场地与各类危险源的距离应满足相应危险源的安全防护距离等控制要求，对场地中不利地段或潜在危险源应采取必要的避让、防护或控制、治理等措施，对场地中存在的有毒有害物质应采取有效的治理措施进行无害化处理，确保符合各项安全标准。</w:t>
      </w:r>
    </w:p>
    <w:p w14:paraId="227E4B2B" w14:textId="77777777" w:rsidR="007C29E3" w:rsidRPr="00530A11" w:rsidRDefault="007C29E3" w:rsidP="007C29E3">
      <w:pPr>
        <w:ind w:firstLine="420"/>
        <w:rPr>
          <w:rFonts w:cs="Times New Roman"/>
          <w:szCs w:val="24"/>
        </w:rPr>
      </w:pPr>
      <w:r w:rsidRPr="00530A11">
        <w:rPr>
          <w:rFonts w:cs="Times New Roman"/>
          <w:szCs w:val="24"/>
        </w:rPr>
        <w:t>场地的防洪设计应符合现行国家标准《防洪标准》</w:t>
      </w:r>
      <w:r w:rsidRPr="00530A11">
        <w:rPr>
          <w:rFonts w:cs="Times New Roman"/>
          <w:szCs w:val="24"/>
        </w:rPr>
        <w:t>GB 50201</w:t>
      </w:r>
      <w:r w:rsidRPr="00530A11">
        <w:rPr>
          <w:rFonts w:cs="Times New Roman"/>
          <w:szCs w:val="24"/>
        </w:rPr>
        <w:t>和《城市防洪工程设计规范》</w:t>
      </w:r>
      <w:r w:rsidRPr="00530A11">
        <w:rPr>
          <w:rFonts w:cs="Times New Roman"/>
          <w:szCs w:val="24"/>
        </w:rPr>
        <w:t>GB/T 50805</w:t>
      </w:r>
      <w:r w:rsidRPr="00530A11">
        <w:rPr>
          <w:rFonts w:cs="Times New Roman"/>
          <w:szCs w:val="24"/>
        </w:rPr>
        <w:t>的有关规定，选址尚应符合现行国家标准《城市抗震防灾规划标准》</w:t>
      </w:r>
      <w:r w:rsidRPr="00530A11">
        <w:rPr>
          <w:rFonts w:cs="Times New Roman"/>
          <w:szCs w:val="24"/>
        </w:rPr>
        <w:t>GB 50143</w:t>
      </w:r>
      <w:r w:rsidRPr="00530A11">
        <w:rPr>
          <w:rFonts w:cs="Times New Roman"/>
          <w:szCs w:val="24"/>
        </w:rPr>
        <w:t>和《建筑抗震设计规范》</w:t>
      </w:r>
      <w:r w:rsidRPr="00530A11">
        <w:rPr>
          <w:rFonts w:cs="Times New Roman"/>
          <w:szCs w:val="24"/>
        </w:rPr>
        <w:t>GB 50011</w:t>
      </w:r>
      <w:r w:rsidRPr="00530A11">
        <w:rPr>
          <w:rFonts w:cs="Times New Roman"/>
          <w:szCs w:val="24"/>
        </w:rPr>
        <w:t>的规定；电磁辐射应符合现行国家标准《电磁环境控制限值》</w:t>
      </w:r>
      <w:r w:rsidRPr="00530A11">
        <w:rPr>
          <w:rFonts w:cs="Times New Roman"/>
          <w:szCs w:val="24"/>
        </w:rPr>
        <w:t>GB 8702</w:t>
      </w:r>
      <w:r w:rsidRPr="00530A11">
        <w:rPr>
          <w:rFonts w:cs="Times New Roman"/>
          <w:szCs w:val="24"/>
        </w:rPr>
        <w:t>的有关规定；土壤中氡浓度的控制应符合现行国家标准《民用建筑工程室内环境污染控制规范》</w:t>
      </w:r>
      <w:r w:rsidRPr="00530A11">
        <w:rPr>
          <w:rFonts w:cs="Times New Roman"/>
          <w:szCs w:val="24"/>
        </w:rPr>
        <w:t>GB 50325</w:t>
      </w:r>
      <w:r w:rsidRPr="00530A11">
        <w:rPr>
          <w:rFonts w:cs="Times New Roman"/>
          <w:szCs w:val="24"/>
        </w:rPr>
        <w:t>的有关规定；场地及周边的加油站、加气站等危险源应满足国家现行相关标准中关于安全防护距离等的控制要求。</w:t>
      </w:r>
    </w:p>
    <w:p w14:paraId="17FABE86"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096BD79A" w14:textId="77777777" w:rsidR="006677FB" w:rsidRPr="0081478A" w:rsidRDefault="006677FB" w:rsidP="006677FB">
      <w:pPr>
        <w:ind w:firstLine="420"/>
        <w:rPr>
          <w:rFonts w:cs="Times New Roman"/>
        </w:rPr>
      </w:pPr>
      <w:r w:rsidRPr="0081478A">
        <w:rPr>
          <w:rFonts w:cs="Times New Roman"/>
        </w:rPr>
        <w:t>相关检测报告主要包括：地质灾害危险性评估报告（地质灾害多发区或严重地段）；污染源检测报告（可能涉及的污染源、电磁辐射、土壤含氡危害等），氡浓度报告的区域说明；核查相关污染源、危险源的防护距离或治理措施的合理性。核查项目防洪工程设计是否满足所在地防洪标准要求。核查项目是否符合城市抗震防灾的有关要求。对场地存在潜在污染问题的（如原用地为二、三类工业等用地转为民用），查看原有污染情况、有无残留物危害及主要环境问题，重点查看场地土壤污染物检测报告。查看土壤氡浓度检测报告（氡是主要存</w:t>
      </w:r>
      <w:r w:rsidRPr="0081478A">
        <w:rPr>
          <w:rFonts w:cs="Times New Roman"/>
        </w:rPr>
        <w:lastRenderedPageBreak/>
        <w:t>在于岩石和土壤中的天然放射性物质），建设项目应保障场地内及周围土壤氡浓度符合国家标准的规定。建设项目未进行区域土壤中氡浓度或土壤表面氡析出率测定的，应进行建筑场地土壤中氡浓度或土壤表面氡析出率测定并提供相应的检测报告。查看相关设计图纸及文件，了解存在不安全因素的场地与各类危险源的距离是否满足相应危险源的安全防护距离控制要求；对于场地中的不利地段或潜在危险源是否已采取必要的避让、防止、防护或控制、治理等措施；查看采取措施后的检测报告。</w:t>
      </w:r>
    </w:p>
    <w:p w14:paraId="093AD5E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3EB7932" w14:textId="1FEC995D" w:rsidR="006C71BE" w:rsidRPr="00530A11" w:rsidRDefault="006C71BE" w:rsidP="006C71BE">
      <w:pPr>
        <w:ind w:firstLine="420"/>
      </w:pPr>
      <w:r w:rsidRPr="00530A11">
        <w:rPr>
          <w:rFonts w:cs="Times New Roman"/>
          <w:szCs w:val="24"/>
        </w:rPr>
        <w:t>预评价查阅项目区位图、场地地形图、勘察报告、环评报告</w:t>
      </w:r>
      <w:r w:rsidR="001836AB">
        <w:rPr>
          <w:rFonts w:cs="Times New Roman" w:hint="eastAsia"/>
          <w:szCs w:val="24"/>
        </w:rPr>
        <w:t>或</w:t>
      </w:r>
      <w:r w:rsidRPr="00530A11">
        <w:rPr>
          <w:rFonts w:cs="Times New Roman"/>
          <w:szCs w:val="24"/>
        </w:rPr>
        <w:t>相关检测报告或论证报告；评价查阅项目区位图、场地地形图、勘察报告、环评报告</w:t>
      </w:r>
      <w:r w:rsidR="001836AB">
        <w:rPr>
          <w:rFonts w:cs="Times New Roman" w:hint="eastAsia"/>
          <w:szCs w:val="24"/>
        </w:rPr>
        <w:t>或</w:t>
      </w:r>
      <w:r w:rsidRPr="00530A11">
        <w:rPr>
          <w:rFonts w:cs="Times New Roman"/>
          <w:szCs w:val="24"/>
        </w:rPr>
        <w:t>相关检测报告或论证报告。</w:t>
      </w:r>
      <w:r w:rsidR="008D029A">
        <w:rPr>
          <w:rFonts w:cs="Times New Roman" w:hint="eastAsia"/>
          <w:szCs w:val="24"/>
        </w:rPr>
        <w:t>根据</w:t>
      </w:r>
      <w:r w:rsidR="00701DFD">
        <w:rPr>
          <w:rFonts w:cs="Times New Roman" w:hint="eastAsia"/>
          <w:szCs w:val="24"/>
        </w:rPr>
        <w:t>根据《中国土壤氡概况》</w:t>
      </w:r>
      <w:r w:rsidR="008D029A">
        <w:rPr>
          <w:rFonts w:cs="Times New Roman" w:hint="eastAsia"/>
          <w:szCs w:val="24"/>
        </w:rPr>
        <w:t>的相关划分，对于整体处于土壤氡含量低背景、中背景区域，且工程场地所在地点不存在地质断裂构造的项目，可不提供土壤氡检测报告，但应提供工程相关证明支撑性材料。</w:t>
      </w:r>
    </w:p>
    <w:p w14:paraId="28DEFBEF" w14:textId="77777777" w:rsidR="00715ABB" w:rsidRPr="006C71BE" w:rsidRDefault="00715ABB">
      <w:pPr>
        <w:ind w:firstLine="420"/>
        <w:rPr>
          <w:rFonts w:cs="Times New Roman"/>
        </w:rPr>
      </w:pPr>
    </w:p>
    <w:p w14:paraId="5ED1BF2D" w14:textId="77777777" w:rsidR="006A6F67" w:rsidRPr="00530A11" w:rsidRDefault="006A6F67" w:rsidP="006A6F67">
      <w:pPr>
        <w:pStyle w:val="4"/>
        <w:rPr>
          <w:rFonts w:cs="Times New Roman"/>
          <w:bCs w:val="0"/>
        </w:rPr>
      </w:pPr>
      <w:r w:rsidRPr="00530A11">
        <w:rPr>
          <w:rFonts w:cs="Times New Roman"/>
          <w:bCs w:val="0"/>
        </w:rPr>
        <w:t xml:space="preserve">4.1.2 </w:t>
      </w:r>
      <w:r w:rsidRPr="00530A11">
        <w:rPr>
          <w:rFonts w:cs="Times New Roman"/>
          <w:bCs w:val="0"/>
        </w:rPr>
        <w:t>建筑结构应满足承载力和建筑使用功能要求。建筑外墙、屋面、门窗、幕墙、外保温等围护结构及防护栏杆、构架应满足安全、耐久和防护的要求。</w:t>
      </w:r>
    </w:p>
    <w:p w14:paraId="2B141E40" w14:textId="77777777" w:rsidR="00715ABB" w:rsidRPr="0081478A" w:rsidRDefault="00F44390">
      <w:pPr>
        <w:ind w:firstLineChars="0" w:firstLine="0"/>
        <w:rPr>
          <w:rFonts w:cs="Times New Roman"/>
          <w:b/>
          <w:szCs w:val="24"/>
        </w:rPr>
      </w:pPr>
      <w:r w:rsidRPr="0081478A">
        <w:rPr>
          <w:rFonts w:cs="Times New Roman"/>
          <w:b/>
          <w:szCs w:val="24"/>
        </w:rPr>
        <w:t>【条文说明】</w:t>
      </w:r>
    </w:p>
    <w:p w14:paraId="2E98FEA2" w14:textId="77777777" w:rsidR="007C29E3" w:rsidRPr="00530A11" w:rsidRDefault="007C29E3" w:rsidP="007C29E3">
      <w:pPr>
        <w:ind w:firstLine="420"/>
      </w:pPr>
      <w:r w:rsidRPr="00530A11">
        <w:t>本条适用于各类民用建筑的预评价、评价。</w:t>
      </w:r>
    </w:p>
    <w:p w14:paraId="3E6D4CB1" w14:textId="77777777" w:rsidR="007C29E3" w:rsidRPr="00530A11" w:rsidRDefault="007C29E3" w:rsidP="007C29E3">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szCs w:val="24"/>
        </w:rPr>
        <w:t>并对条文和条文说明进行了局部修改和补充。</w:t>
      </w:r>
      <w:r w:rsidRPr="00530A11">
        <w:rPr>
          <w:rFonts w:cs="Times New Roman"/>
          <w:szCs w:val="24"/>
        </w:rPr>
        <w:t>建筑结构的承载力和建筑使用功能要求主要涉及安全与耐久，是满足建筑长期使用要求的首要条件。结构的耐久性指在规定的使用年限内结构构件保持承载力和外观的能力，并满足建筑使用功能要求。结构设计应满足承载能力极限状态计算和正常使用极限状态验算的要求，并应符合国家现行相关标准的规定，包括但不限于《建筑结构可靠性设计统一标准》</w:t>
      </w:r>
      <w:r w:rsidRPr="00530A11">
        <w:rPr>
          <w:rFonts w:cs="Times New Roman"/>
          <w:szCs w:val="24"/>
        </w:rPr>
        <w:t>GB 50068</w:t>
      </w:r>
      <w:r w:rsidRPr="00530A11">
        <w:rPr>
          <w:rFonts w:cs="Times New Roman"/>
          <w:szCs w:val="24"/>
        </w:rPr>
        <w:t>、《建筑结构荷载规范》</w:t>
      </w:r>
      <w:r w:rsidRPr="00530A11">
        <w:rPr>
          <w:rFonts w:cs="Times New Roman"/>
          <w:szCs w:val="24"/>
        </w:rPr>
        <w:t>GB 50009</w:t>
      </w:r>
      <w:r w:rsidRPr="00530A11">
        <w:rPr>
          <w:rFonts w:cs="Times New Roman"/>
          <w:szCs w:val="24"/>
        </w:rPr>
        <w:t>、《混凝土结构设计规范》</w:t>
      </w:r>
      <w:r w:rsidRPr="00530A11">
        <w:rPr>
          <w:rFonts w:cs="Times New Roman"/>
          <w:szCs w:val="24"/>
        </w:rPr>
        <w:t>GB 50010</w:t>
      </w:r>
      <w:r w:rsidRPr="00530A11">
        <w:rPr>
          <w:rFonts w:cs="Times New Roman"/>
          <w:szCs w:val="24"/>
        </w:rPr>
        <w:t>、《混凝土结构耐久性设计标准》</w:t>
      </w:r>
      <w:r w:rsidRPr="00530A11">
        <w:rPr>
          <w:rFonts w:cs="Times New Roman"/>
          <w:szCs w:val="24"/>
        </w:rPr>
        <w:t>GB/T 50476</w:t>
      </w:r>
      <w:r w:rsidRPr="00530A11">
        <w:rPr>
          <w:rFonts w:cs="Times New Roman"/>
          <w:szCs w:val="24"/>
        </w:rPr>
        <w:t>、《建筑地基基础设计规范》</w:t>
      </w:r>
      <w:r w:rsidRPr="00530A11">
        <w:rPr>
          <w:rFonts w:cs="Times New Roman"/>
          <w:szCs w:val="24"/>
        </w:rPr>
        <w:t>GB 50007</w:t>
      </w:r>
      <w:r w:rsidRPr="00530A11">
        <w:rPr>
          <w:rFonts w:cs="Times New Roman"/>
          <w:szCs w:val="24"/>
        </w:rPr>
        <w:t>、</w:t>
      </w:r>
      <w:r w:rsidRPr="00530A11">
        <w:rPr>
          <w:rFonts w:cs="Times New Roman"/>
          <w:szCs w:val="24"/>
        </w:rPr>
        <w:t xml:space="preserve"> </w:t>
      </w:r>
      <w:r w:rsidRPr="00530A11">
        <w:rPr>
          <w:rFonts w:cs="Times New Roman"/>
          <w:szCs w:val="24"/>
        </w:rPr>
        <w:t>《钢结构设计标准》</w:t>
      </w:r>
      <w:r w:rsidRPr="00530A11">
        <w:rPr>
          <w:rFonts w:cs="Times New Roman"/>
          <w:szCs w:val="24"/>
        </w:rPr>
        <w:t>GB 50017</w:t>
      </w:r>
      <w:r w:rsidRPr="00530A11">
        <w:rPr>
          <w:rFonts w:cs="Times New Roman"/>
          <w:szCs w:val="24"/>
        </w:rPr>
        <w:t>、《建筑抗震设计规范》</w:t>
      </w:r>
      <w:r w:rsidRPr="00530A11">
        <w:rPr>
          <w:rFonts w:cs="Times New Roman"/>
          <w:szCs w:val="24"/>
        </w:rPr>
        <w:t>GB 50011</w:t>
      </w:r>
      <w:r w:rsidRPr="00530A11">
        <w:rPr>
          <w:rFonts w:cs="Times New Roman"/>
          <w:szCs w:val="24"/>
        </w:rPr>
        <w:t>、《砌体结构设计规范》</w:t>
      </w:r>
      <w:r w:rsidRPr="00530A11">
        <w:rPr>
          <w:rFonts w:cs="Times New Roman"/>
          <w:szCs w:val="24"/>
        </w:rPr>
        <w:t>GB 50003</w:t>
      </w:r>
      <w:r w:rsidRPr="00530A11">
        <w:rPr>
          <w:rFonts w:cs="Times New Roman"/>
          <w:szCs w:val="24"/>
        </w:rPr>
        <w:t>、《木结构设计标准》</w:t>
      </w:r>
      <w:r w:rsidRPr="00530A11">
        <w:rPr>
          <w:rFonts w:cs="Times New Roman"/>
          <w:szCs w:val="24"/>
        </w:rPr>
        <w:t>GB 50005</w:t>
      </w:r>
      <w:r w:rsidRPr="00530A11">
        <w:rPr>
          <w:rFonts w:cs="Times New Roman"/>
          <w:szCs w:val="24"/>
        </w:rPr>
        <w:t>、《建筑抗震鉴定标准》</w:t>
      </w:r>
      <w:r w:rsidRPr="00530A11">
        <w:rPr>
          <w:rFonts w:cs="Times New Roman"/>
          <w:szCs w:val="24"/>
        </w:rPr>
        <w:t>GB 50023</w:t>
      </w:r>
      <w:r w:rsidRPr="00530A11">
        <w:rPr>
          <w:rFonts w:cs="Times New Roman"/>
          <w:szCs w:val="24"/>
        </w:rPr>
        <w:t>及《高层建筑混凝土结构技术规程》</w:t>
      </w:r>
      <w:r w:rsidRPr="00530A11">
        <w:rPr>
          <w:rFonts w:cs="Times New Roman"/>
          <w:szCs w:val="24"/>
        </w:rPr>
        <w:t>JGJ 3</w:t>
      </w:r>
      <w:r w:rsidRPr="00530A11">
        <w:rPr>
          <w:rFonts w:cs="Times New Roman"/>
          <w:szCs w:val="24"/>
        </w:rPr>
        <w:t>等；同时，针对建筑运行期内可能出现地基不均匀沉降、使用环境影响导致的钢材锈蚀等影响结构安全的问题，应定期对结构进行检查、维护与管理。</w:t>
      </w:r>
    </w:p>
    <w:p w14:paraId="0223F2DA" w14:textId="77777777" w:rsidR="007C29E3" w:rsidRPr="00530A11" w:rsidRDefault="007C29E3" w:rsidP="007C29E3">
      <w:pPr>
        <w:ind w:firstLine="420"/>
        <w:rPr>
          <w:rFonts w:cs="Times New Roman"/>
          <w:szCs w:val="24"/>
        </w:rPr>
      </w:pPr>
      <w:r w:rsidRPr="00530A11">
        <w:rPr>
          <w:rFonts w:cs="Times New Roman"/>
          <w:szCs w:val="24"/>
        </w:rPr>
        <w:t>建筑外墙、屋面、门窗、幕墙及外保温等围护结构及建筑防护栏杆、构架应满足安全、耐久和防护要求，与建筑主体结构连接可靠，且能适合主体结构在多遇地震及各种荷载作用</w:t>
      </w:r>
      <w:r w:rsidRPr="00530A11">
        <w:rPr>
          <w:rFonts w:cs="Times New Roman"/>
          <w:szCs w:val="24"/>
        </w:rPr>
        <w:lastRenderedPageBreak/>
        <w:t>下的变形。建筑围护结构防水对于建筑美观、耐久性能、正常使用功能和寿命都有重要影响，因此建筑外墙、建筑外保温系统、屋面、幕墙门窗等还应符合《建筑外墙防水工程技术规程》</w:t>
      </w:r>
      <w:r w:rsidRPr="00530A11">
        <w:rPr>
          <w:rFonts w:cs="Times New Roman"/>
          <w:szCs w:val="24"/>
        </w:rPr>
        <w:t>JGJ/T 235</w:t>
      </w:r>
      <w:r w:rsidRPr="00530A11">
        <w:rPr>
          <w:rFonts w:cs="Times New Roman"/>
          <w:szCs w:val="24"/>
        </w:rPr>
        <w:t>、《外墙外保温工程技术规程》</w:t>
      </w:r>
      <w:r w:rsidRPr="00530A11">
        <w:rPr>
          <w:rFonts w:cs="Times New Roman"/>
          <w:szCs w:val="24"/>
        </w:rPr>
        <w:t>JGJ 144</w:t>
      </w:r>
      <w:r w:rsidRPr="00530A11">
        <w:rPr>
          <w:rFonts w:cs="Times New Roman"/>
          <w:szCs w:val="24"/>
        </w:rPr>
        <w:t>、《屋面工程技术规范》</w:t>
      </w:r>
      <w:r w:rsidRPr="00530A11">
        <w:rPr>
          <w:rFonts w:cs="Times New Roman"/>
          <w:szCs w:val="24"/>
        </w:rPr>
        <w:t>GB 50345</w:t>
      </w:r>
      <w:r w:rsidRPr="00530A11">
        <w:rPr>
          <w:rFonts w:cs="Times New Roman"/>
          <w:szCs w:val="24"/>
        </w:rPr>
        <w:t>、《建筑幕墙》</w:t>
      </w:r>
      <w:r w:rsidRPr="00530A11">
        <w:rPr>
          <w:rFonts w:cs="Times New Roman"/>
          <w:szCs w:val="24"/>
        </w:rPr>
        <w:t>GB/T 21086</w:t>
      </w:r>
      <w:r w:rsidRPr="00530A11">
        <w:rPr>
          <w:rFonts w:cs="Times New Roman"/>
          <w:szCs w:val="24"/>
        </w:rPr>
        <w:t>、《玻璃幕墙工程技术规范》</w:t>
      </w:r>
      <w:r w:rsidRPr="00530A11">
        <w:rPr>
          <w:rFonts w:cs="Times New Roman"/>
          <w:szCs w:val="24"/>
        </w:rPr>
        <w:t>JGJ 102</w:t>
      </w:r>
      <w:r w:rsidRPr="00530A11">
        <w:rPr>
          <w:rFonts w:cs="Times New Roman"/>
          <w:szCs w:val="24"/>
        </w:rPr>
        <w:t>、《建筑玻璃点支承装置》</w:t>
      </w:r>
      <w:r w:rsidRPr="00530A11">
        <w:rPr>
          <w:rFonts w:cs="Times New Roman"/>
          <w:szCs w:val="24"/>
        </w:rPr>
        <w:t>JG/T 138</w:t>
      </w:r>
      <w:r w:rsidRPr="00530A11">
        <w:rPr>
          <w:rFonts w:cs="Times New Roman"/>
          <w:szCs w:val="24"/>
        </w:rPr>
        <w:t>、《吊挂式玻璃幕墙用吊夹》</w:t>
      </w:r>
      <w:r w:rsidRPr="00530A11">
        <w:rPr>
          <w:rFonts w:cs="Times New Roman"/>
          <w:szCs w:val="24"/>
        </w:rPr>
        <w:t>JG 139</w:t>
      </w:r>
      <w:r w:rsidRPr="00530A11">
        <w:rPr>
          <w:rFonts w:cs="Times New Roman"/>
          <w:szCs w:val="24"/>
        </w:rPr>
        <w:t>、《金属与石材幕墙工程技术规范》</w:t>
      </w:r>
      <w:r w:rsidRPr="00530A11">
        <w:rPr>
          <w:rFonts w:cs="Times New Roman"/>
          <w:szCs w:val="24"/>
        </w:rPr>
        <w:t>JGJ 133</w:t>
      </w:r>
      <w:r w:rsidRPr="00530A11">
        <w:rPr>
          <w:rFonts w:cs="Times New Roman"/>
          <w:szCs w:val="24"/>
        </w:rPr>
        <w:t>、《塑料门窗工程技术规程》</w:t>
      </w:r>
      <w:r w:rsidRPr="00530A11">
        <w:rPr>
          <w:rFonts w:cs="Times New Roman"/>
          <w:szCs w:val="24"/>
        </w:rPr>
        <w:t>JGJ 103</w:t>
      </w:r>
      <w:r w:rsidRPr="00530A11">
        <w:rPr>
          <w:rFonts w:cs="Times New Roman"/>
          <w:szCs w:val="24"/>
        </w:rPr>
        <w:t>、《铝合金门窗工程技术规范》</w:t>
      </w:r>
      <w:r w:rsidRPr="00530A11">
        <w:rPr>
          <w:rFonts w:cs="Times New Roman"/>
          <w:szCs w:val="24"/>
        </w:rPr>
        <w:t>JGJ 214</w:t>
      </w:r>
      <w:r w:rsidRPr="00530A11">
        <w:rPr>
          <w:rFonts w:cs="Times New Roman"/>
          <w:szCs w:val="24"/>
        </w:rPr>
        <w:t>等现行标准中关于防水材料和防水设计施工的规定。建筑护栏的材料、设计、施工及验收，除符合本标准的规定外，尚应符合</w:t>
      </w:r>
      <w:bookmarkStart w:id="44" w:name="_Hlk25156498"/>
      <w:r w:rsidRPr="00530A11">
        <w:rPr>
          <w:rFonts w:cs="Times New Roman"/>
          <w:szCs w:val="24"/>
        </w:rPr>
        <w:t>《无障碍设计规范》</w:t>
      </w:r>
      <w:r w:rsidRPr="00530A11">
        <w:rPr>
          <w:rFonts w:cs="Times New Roman"/>
          <w:szCs w:val="24"/>
        </w:rPr>
        <w:t>GB 50763</w:t>
      </w:r>
      <w:bookmarkEnd w:id="44"/>
      <w:r w:rsidRPr="00530A11">
        <w:rPr>
          <w:rFonts w:cs="Times New Roman"/>
          <w:szCs w:val="24"/>
        </w:rPr>
        <w:t>、《木结构设计规范》</w:t>
      </w:r>
      <w:r w:rsidRPr="00530A11">
        <w:rPr>
          <w:rFonts w:cs="Times New Roman"/>
          <w:szCs w:val="24"/>
        </w:rPr>
        <w:t>GB50005</w:t>
      </w:r>
      <w:r w:rsidRPr="00530A11">
        <w:rPr>
          <w:rFonts w:cs="Times New Roman"/>
          <w:szCs w:val="24"/>
        </w:rPr>
        <w:t>、《建筑物防雷设计规范》</w:t>
      </w:r>
      <w:r w:rsidRPr="00530A11">
        <w:rPr>
          <w:rFonts w:cs="Times New Roman"/>
          <w:szCs w:val="24"/>
        </w:rPr>
        <w:t>GB50057</w:t>
      </w:r>
      <w:r w:rsidRPr="00530A11">
        <w:rPr>
          <w:rFonts w:cs="Times New Roman"/>
          <w:szCs w:val="24"/>
        </w:rPr>
        <w:t>、《木结构工程施工质量验收规范》</w:t>
      </w:r>
      <w:r w:rsidRPr="00530A11">
        <w:rPr>
          <w:rFonts w:cs="Times New Roman"/>
          <w:szCs w:val="24"/>
        </w:rPr>
        <w:t>GB50206</w:t>
      </w:r>
      <w:r w:rsidRPr="00530A11">
        <w:rPr>
          <w:rFonts w:cs="Times New Roman"/>
          <w:szCs w:val="24"/>
        </w:rPr>
        <w:t>、《建筑工程施工质量验收统一标准》</w:t>
      </w:r>
      <w:r w:rsidRPr="00530A11">
        <w:rPr>
          <w:rFonts w:cs="Times New Roman"/>
          <w:szCs w:val="24"/>
        </w:rPr>
        <w:t>GB50300</w:t>
      </w:r>
      <w:r w:rsidRPr="00530A11">
        <w:rPr>
          <w:rFonts w:cs="Times New Roman"/>
          <w:szCs w:val="24"/>
        </w:rPr>
        <w:t>、《建筑装饰装修工程质量验收规范》</w:t>
      </w:r>
      <w:r w:rsidRPr="00530A11">
        <w:rPr>
          <w:rFonts w:cs="Times New Roman"/>
          <w:szCs w:val="24"/>
        </w:rPr>
        <w:t>GB50210</w:t>
      </w:r>
      <w:r w:rsidRPr="00530A11">
        <w:rPr>
          <w:rFonts w:cs="Times New Roman"/>
          <w:szCs w:val="24"/>
        </w:rPr>
        <w:t>、《混凝土结构工程施工质量验收规范》</w:t>
      </w:r>
      <w:r w:rsidRPr="00530A11">
        <w:rPr>
          <w:rFonts w:cs="Times New Roman"/>
          <w:szCs w:val="24"/>
        </w:rPr>
        <w:t>GB50204</w:t>
      </w:r>
      <w:r w:rsidRPr="00530A11">
        <w:rPr>
          <w:rFonts w:cs="Times New Roman"/>
          <w:szCs w:val="24"/>
        </w:rPr>
        <w:t>、《砌体工程施工质量验收规范》</w:t>
      </w:r>
      <w:r w:rsidRPr="00530A11">
        <w:rPr>
          <w:rFonts w:cs="Times New Roman"/>
          <w:szCs w:val="24"/>
        </w:rPr>
        <w:t>GB50203</w:t>
      </w:r>
      <w:r w:rsidRPr="00530A11">
        <w:rPr>
          <w:rFonts w:cs="Times New Roman"/>
          <w:szCs w:val="24"/>
        </w:rPr>
        <w:t>、《钢结构工程施工质量验收规范》</w:t>
      </w:r>
      <w:r w:rsidRPr="00530A11">
        <w:rPr>
          <w:rFonts w:cs="Times New Roman"/>
          <w:szCs w:val="24"/>
        </w:rPr>
        <w:t>GB50205</w:t>
      </w:r>
      <w:r w:rsidRPr="00530A11">
        <w:rPr>
          <w:rFonts w:cs="Times New Roman"/>
          <w:szCs w:val="24"/>
        </w:rPr>
        <w:t>、《建筑电气工程施工质量验收规范》</w:t>
      </w:r>
      <w:r w:rsidRPr="00530A11">
        <w:rPr>
          <w:rFonts w:cs="Times New Roman"/>
          <w:szCs w:val="24"/>
        </w:rPr>
        <w:t>GB50303</w:t>
      </w:r>
      <w:r w:rsidRPr="00530A11">
        <w:rPr>
          <w:rFonts w:cs="Times New Roman"/>
          <w:szCs w:val="24"/>
        </w:rPr>
        <w:t>、《混凝土结构加固工程施工及验收规程》</w:t>
      </w:r>
      <w:r w:rsidRPr="00530A11">
        <w:rPr>
          <w:rFonts w:cs="Times New Roman"/>
          <w:szCs w:val="24"/>
        </w:rPr>
        <w:t>DBJ50-049</w:t>
      </w:r>
      <w:r w:rsidRPr="00530A11">
        <w:rPr>
          <w:rFonts w:cs="Times New Roman"/>
          <w:szCs w:val="24"/>
        </w:rPr>
        <w:t>、《建筑防雷施工质量控制与验收规程》</w:t>
      </w:r>
      <w:r w:rsidRPr="00530A11">
        <w:rPr>
          <w:rFonts w:cs="Times New Roman"/>
          <w:szCs w:val="24"/>
        </w:rPr>
        <w:t>DBJ50-060</w:t>
      </w:r>
      <w:r w:rsidRPr="00530A11">
        <w:rPr>
          <w:rFonts w:cs="Times New Roman" w:hint="eastAsia"/>
          <w:szCs w:val="24"/>
        </w:rPr>
        <w:t>、《建筑机电工程抗震设计规范》</w:t>
      </w:r>
      <w:r w:rsidRPr="00530A11">
        <w:rPr>
          <w:rFonts w:cs="Times New Roman"/>
          <w:szCs w:val="24"/>
        </w:rPr>
        <w:t>GB 50981</w:t>
      </w:r>
      <w:r w:rsidRPr="00530A11">
        <w:rPr>
          <w:rFonts w:cs="Times New Roman"/>
          <w:szCs w:val="24"/>
        </w:rPr>
        <w:t>等相关标准规定。</w:t>
      </w:r>
    </w:p>
    <w:p w14:paraId="5990A004"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1C579D1C" w14:textId="77777777" w:rsidR="006677FB" w:rsidRPr="0081478A" w:rsidRDefault="006677FB" w:rsidP="006677FB">
      <w:pPr>
        <w:ind w:firstLine="420"/>
        <w:rPr>
          <w:rFonts w:cs="Times New Roman"/>
          <w:bCs/>
          <w:szCs w:val="24"/>
        </w:rPr>
      </w:pPr>
      <w:r w:rsidRPr="0081478A">
        <w:rPr>
          <w:rFonts w:cs="Times New Roman"/>
          <w:bCs/>
          <w:szCs w:val="24"/>
        </w:rPr>
        <w:t>建筑结构的承载能力极限状态计算应按现行《建筑结构可靠性设计统一标准》</w:t>
      </w:r>
      <w:r w:rsidRPr="0081478A">
        <w:rPr>
          <w:rFonts w:cs="Times New Roman"/>
          <w:bCs/>
          <w:szCs w:val="24"/>
        </w:rPr>
        <w:t>GB 50068</w:t>
      </w:r>
      <w:r w:rsidRPr="0081478A">
        <w:rPr>
          <w:rFonts w:cs="Times New Roman"/>
          <w:bCs/>
          <w:szCs w:val="24"/>
        </w:rPr>
        <w:t>、《建筑抗震设计规范》</w:t>
      </w:r>
      <w:r w:rsidRPr="0081478A">
        <w:rPr>
          <w:rFonts w:cs="Times New Roman"/>
          <w:bCs/>
          <w:szCs w:val="24"/>
        </w:rPr>
        <w:t>GB 50011</w:t>
      </w:r>
      <w:r w:rsidRPr="0081478A">
        <w:rPr>
          <w:rFonts w:cs="Times New Roman"/>
          <w:bCs/>
          <w:szCs w:val="24"/>
        </w:rPr>
        <w:t>、《建筑结构荷载规范》</w:t>
      </w:r>
      <w:r w:rsidRPr="0081478A">
        <w:rPr>
          <w:rFonts w:cs="Times New Roman"/>
          <w:bCs/>
          <w:szCs w:val="24"/>
        </w:rPr>
        <w:t>GB 50009</w:t>
      </w:r>
      <w:r w:rsidRPr="0081478A">
        <w:rPr>
          <w:rFonts w:cs="Times New Roman"/>
          <w:bCs/>
          <w:szCs w:val="24"/>
        </w:rPr>
        <w:t>要求，结合建筑物及场地条件，对应国家及重庆市现行相关标准的规定进行计算，并在结构设计文件的结构设计总说明中明确规定场地条件、设计荷载、设计使用年限、材料、构件性能要求及挠度、裂缝、变形限值等要求。</w:t>
      </w:r>
    </w:p>
    <w:p w14:paraId="683304F9" w14:textId="77777777" w:rsidR="006677FB" w:rsidRPr="0081478A" w:rsidRDefault="006677FB" w:rsidP="006677FB">
      <w:pPr>
        <w:ind w:firstLine="420"/>
        <w:rPr>
          <w:rFonts w:cs="Times New Roman"/>
          <w:bCs/>
          <w:szCs w:val="24"/>
        </w:rPr>
      </w:pPr>
      <w:r w:rsidRPr="0081478A">
        <w:rPr>
          <w:rFonts w:cs="Times New Roman"/>
          <w:bCs/>
          <w:szCs w:val="24"/>
        </w:rPr>
        <w:t>建筑结构的正常使用极限状态验算应按现行《建筑结构可靠性设计统一标准》</w:t>
      </w:r>
      <w:r w:rsidRPr="0081478A">
        <w:rPr>
          <w:rFonts w:cs="Times New Roman"/>
          <w:bCs/>
          <w:szCs w:val="24"/>
        </w:rPr>
        <w:t>GB 50068-2018</w:t>
      </w:r>
      <w:r w:rsidRPr="0081478A">
        <w:rPr>
          <w:rFonts w:cs="Times New Roman"/>
          <w:bCs/>
          <w:szCs w:val="24"/>
        </w:rPr>
        <w:t>对耐久性极限状态的三个方面：</w:t>
      </w:r>
      <w:r w:rsidRPr="0081478A">
        <w:rPr>
          <w:rFonts w:cs="Times New Roman"/>
          <w:bCs/>
          <w:szCs w:val="24"/>
        </w:rPr>
        <w:t>1</w:t>
      </w:r>
      <w:r w:rsidRPr="0081478A">
        <w:rPr>
          <w:rFonts w:cs="Times New Roman"/>
          <w:bCs/>
          <w:szCs w:val="24"/>
        </w:rPr>
        <w:t>）影响承载能力和正常使用的材料性能劣化；</w:t>
      </w:r>
      <w:r w:rsidRPr="0081478A">
        <w:rPr>
          <w:rFonts w:cs="Times New Roman"/>
          <w:bCs/>
          <w:szCs w:val="24"/>
        </w:rPr>
        <w:t>2</w:t>
      </w:r>
      <w:r w:rsidRPr="0081478A">
        <w:rPr>
          <w:rFonts w:cs="Times New Roman"/>
          <w:bCs/>
          <w:szCs w:val="24"/>
        </w:rPr>
        <w:t>）影响耐久性能的裂缝、变形、缺口、外观、材料削弱等；</w:t>
      </w:r>
      <w:r w:rsidRPr="0081478A">
        <w:rPr>
          <w:rFonts w:cs="Times New Roman"/>
          <w:bCs/>
          <w:szCs w:val="24"/>
        </w:rPr>
        <w:t>3</w:t>
      </w:r>
      <w:r w:rsidRPr="0081478A">
        <w:rPr>
          <w:rFonts w:cs="Times New Roman"/>
          <w:bCs/>
          <w:szCs w:val="24"/>
        </w:rPr>
        <w:t>）影响耐久性能的其他特定状态进行验算，并在结构设计文件的结构设计总说明中对可能出现的地基不均匀沉降、超载使用及使用环境影响导致的耐久性问题，包括结构构件裂缝、钢材（筋）锈蚀、混凝土剥落、化学离子腐蚀导致结构材料劣化等明确规定和措施，使结构在设计使用年限内不因材料的劣化而影响建筑安全与正常使用。</w:t>
      </w:r>
    </w:p>
    <w:p w14:paraId="0852C171" w14:textId="77777777" w:rsidR="006677FB" w:rsidRPr="0081478A" w:rsidRDefault="006677FB" w:rsidP="006677FB">
      <w:pPr>
        <w:ind w:firstLine="420"/>
        <w:rPr>
          <w:rFonts w:cs="Times New Roman"/>
          <w:bCs/>
          <w:szCs w:val="24"/>
        </w:rPr>
      </w:pPr>
      <w:r w:rsidRPr="0081478A">
        <w:rPr>
          <w:rFonts w:cs="Times New Roman"/>
          <w:bCs/>
          <w:szCs w:val="24"/>
        </w:rPr>
        <w:t>围护结构及建筑防护栏杆、构架应与建筑主体结构连接可靠，经过结构验算确定能适应主体结构在多遇地震及各种荷载工况下的承载力与变形要求。设计图中应有完整的外围护结构及建筑防护栏杆、构架设计大样，明确材料、构件、部品及连接与构造做法，门窗、幕墙</w:t>
      </w:r>
      <w:r w:rsidRPr="0081478A">
        <w:rPr>
          <w:rFonts w:cs="Times New Roman"/>
          <w:bCs/>
          <w:szCs w:val="24"/>
        </w:rPr>
        <w:lastRenderedPageBreak/>
        <w:t>的性能参数等要求。</w:t>
      </w:r>
    </w:p>
    <w:p w14:paraId="69D3BEA0" w14:textId="3A3E55EE" w:rsidR="006677FB" w:rsidRPr="0081478A" w:rsidRDefault="006677FB" w:rsidP="006677FB">
      <w:pPr>
        <w:ind w:firstLine="420"/>
        <w:rPr>
          <w:rFonts w:cs="Times New Roman"/>
          <w:bCs/>
          <w:szCs w:val="24"/>
        </w:rPr>
      </w:pPr>
      <w:r w:rsidRPr="0081478A">
        <w:rPr>
          <w:rFonts w:cs="Times New Roman"/>
          <w:bCs/>
          <w:szCs w:val="24"/>
        </w:rPr>
        <w:t>围护结构构件、建筑防护栏杆、构架及其连接应按建筑结构国家及重庆市现行相关标准的规定进行极限状态设计，同时还应符合现行《建筑幕墙门窗通用技术条件》</w:t>
      </w:r>
      <w:r w:rsidRPr="0081478A">
        <w:rPr>
          <w:rFonts w:cs="Times New Roman"/>
          <w:bCs/>
          <w:szCs w:val="24"/>
        </w:rPr>
        <w:t>GB/T31433</w:t>
      </w:r>
      <w:r w:rsidRPr="0081478A">
        <w:rPr>
          <w:rFonts w:cs="Times New Roman"/>
          <w:bCs/>
          <w:szCs w:val="24"/>
        </w:rPr>
        <w:t>、《建筑外墙防水工程技术规程》</w:t>
      </w:r>
      <w:r w:rsidRPr="0081478A">
        <w:rPr>
          <w:rFonts w:cs="Times New Roman"/>
          <w:bCs/>
          <w:szCs w:val="24"/>
        </w:rPr>
        <w:t>JGJ/T 235</w:t>
      </w:r>
      <w:r w:rsidRPr="0081478A">
        <w:rPr>
          <w:rFonts w:cs="Times New Roman"/>
          <w:bCs/>
          <w:szCs w:val="24"/>
        </w:rPr>
        <w:t>、《外墙外保温工程技术规程》</w:t>
      </w:r>
      <w:r w:rsidRPr="0081478A">
        <w:rPr>
          <w:rFonts w:cs="Times New Roman"/>
          <w:bCs/>
          <w:szCs w:val="24"/>
        </w:rPr>
        <w:t>JGJ 144</w:t>
      </w:r>
      <w:r w:rsidRPr="0081478A">
        <w:rPr>
          <w:rFonts w:cs="Times New Roman"/>
          <w:bCs/>
          <w:szCs w:val="24"/>
        </w:rPr>
        <w:t>、《屋面工程技术规范》</w:t>
      </w:r>
      <w:r w:rsidRPr="0081478A">
        <w:rPr>
          <w:rFonts w:cs="Times New Roman"/>
          <w:bCs/>
          <w:szCs w:val="24"/>
        </w:rPr>
        <w:t>GB50345</w:t>
      </w:r>
      <w:r w:rsidRPr="0081478A">
        <w:rPr>
          <w:rFonts w:cs="Times New Roman"/>
          <w:bCs/>
          <w:szCs w:val="24"/>
        </w:rPr>
        <w:t>、《建筑幕墙》</w:t>
      </w:r>
      <w:r w:rsidRPr="0081478A">
        <w:rPr>
          <w:rFonts w:cs="Times New Roman"/>
          <w:bCs/>
          <w:szCs w:val="24"/>
        </w:rPr>
        <w:t>GB/T 21086</w:t>
      </w:r>
      <w:r w:rsidRPr="0081478A">
        <w:rPr>
          <w:rFonts w:cs="Times New Roman"/>
          <w:bCs/>
          <w:szCs w:val="24"/>
        </w:rPr>
        <w:t>、《玻璃幕墙工程技术规范》</w:t>
      </w:r>
      <w:r w:rsidRPr="0081478A">
        <w:rPr>
          <w:rFonts w:cs="Times New Roman"/>
          <w:bCs/>
          <w:szCs w:val="24"/>
        </w:rPr>
        <w:t>JGJ 102</w:t>
      </w:r>
      <w:r w:rsidRPr="0081478A">
        <w:rPr>
          <w:rFonts w:cs="Times New Roman"/>
          <w:bCs/>
          <w:szCs w:val="24"/>
        </w:rPr>
        <w:t>、《建筑玻璃点支承装置》</w:t>
      </w:r>
      <w:r w:rsidRPr="0081478A">
        <w:rPr>
          <w:rFonts w:cs="Times New Roman"/>
          <w:bCs/>
          <w:szCs w:val="24"/>
        </w:rPr>
        <w:t>JG/T 138</w:t>
      </w:r>
      <w:r w:rsidRPr="0081478A">
        <w:rPr>
          <w:rFonts w:cs="Times New Roman"/>
          <w:bCs/>
          <w:szCs w:val="24"/>
        </w:rPr>
        <w:t>、《吊挂式玻璃幕墙用吊夹》</w:t>
      </w:r>
      <w:r w:rsidRPr="0081478A">
        <w:rPr>
          <w:rFonts w:cs="Times New Roman"/>
          <w:bCs/>
          <w:szCs w:val="24"/>
        </w:rPr>
        <w:t>JG/T 139</w:t>
      </w:r>
      <w:r w:rsidRPr="0081478A">
        <w:rPr>
          <w:rFonts w:cs="Times New Roman"/>
          <w:bCs/>
          <w:szCs w:val="24"/>
        </w:rPr>
        <w:t>、《金属与石材幕墙工程技术规范》</w:t>
      </w:r>
      <w:r w:rsidRPr="0081478A">
        <w:rPr>
          <w:rFonts w:cs="Times New Roman"/>
          <w:bCs/>
          <w:szCs w:val="24"/>
        </w:rPr>
        <w:t>JGJ 133</w:t>
      </w:r>
      <w:r w:rsidRPr="0081478A">
        <w:rPr>
          <w:rFonts w:cs="Times New Roman"/>
          <w:bCs/>
          <w:szCs w:val="24"/>
        </w:rPr>
        <w:t>、《塑料门窗工程技术规程》</w:t>
      </w:r>
      <w:r w:rsidRPr="0081478A">
        <w:rPr>
          <w:rFonts w:cs="Times New Roman"/>
          <w:bCs/>
          <w:szCs w:val="24"/>
        </w:rPr>
        <w:t>JGJ 103</w:t>
      </w:r>
      <w:r w:rsidRPr="0081478A">
        <w:rPr>
          <w:rFonts w:cs="Times New Roman"/>
          <w:bCs/>
          <w:szCs w:val="24"/>
        </w:rPr>
        <w:t>、《铝合金门窗工程技术规范》</w:t>
      </w:r>
      <w:r w:rsidRPr="0081478A">
        <w:rPr>
          <w:rFonts w:cs="Times New Roman"/>
          <w:bCs/>
          <w:szCs w:val="24"/>
        </w:rPr>
        <w:t>JGJ 214</w:t>
      </w:r>
      <w:r w:rsidRPr="0081478A">
        <w:rPr>
          <w:rFonts w:cs="Times New Roman"/>
          <w:bCs/>
          <w:szCs w:val="24"/>
        </w:rPr>
        <w:t>、《民用建筑设计统一标准》</w:t>
      </w:r>
      <w:r w:rsidRPr="0081478A">
        <w:rPr>
          <w:rFonts w:cs="Times New Roman"/>
          <w:bCs/>
          <w:szCs w:val="24"/>
        </w:rPr>
        <w:t>GB50352</w:t>
      </w:r>
      <w:r w:rsidRPr="0081478A">
        <w:rPr>
          <w:rFonts w:cs="Times New Roman"/>
          <w:bCs/>
          <w:szCs w:val="24"/>
        </w:rPr>
        <w:t>、《住宅设计规范》</w:t>
      </w:r>
      <w:r w:rsidRPr="0081478A">
        <w:rPr>
          <w:rFonts w:cs="Times New Roman"/>
          <w:bCs/>
          <w:szCs w:val="24"/>
        </w:rPr>
        <w:t>GB50096</w:t>
      </w:r>
      <w:r w:rsidRPr="0081478A">
        <w:rPr>
          <w:rFonts w:cs="Times New Roman"/>
          <w:bCs/>
          <w:szCs w:val="24"/>
        </w:rPr>
        <w:t>、《重庆市建筑护栏技术规程》</w:t>
      </w:r>
      <w:r w:rsidRPr="0081478A">
        <w:rPr>
          <w:rFonts w:cs="Times New Roman"/>
          <w:bCs/>
          <w:szCs w:val="24"/>
        </w:rPr>
        <w:t>DBJ50-123</w:t>
      </w:r>
      <w:r w:rsidRPr="0081478A">
        <w:rPr>
          <w:rFonts w:cs="Times New Roman"/>
          <w:bCs/>
          <w:szCs w:val="24"/>
        </w:rPr>
        <w:t>等现行标准的规定并满足防护要求。后期运营过程中，应定期对围护结构进行检查、维护与管理，必要时更换处理。</w:t>
      </w:r>
    </w:p>
    <w:p w14:paraId="7B44F143" w14:textId="1BD5B329" w:rsidR="006677FB" w:rsidRDefault="006677FB" w:rsidP="006677FB">
      <w:pPr>
        <w:ind w:firstLine="420"/>
        <w:rPr>
          <w:rFonts w:cs="Times New Roman"/>
          <w:bCs/>
          <w:szCs w:val="24"/>
        </w:rPr>
      </w:pPr>
      <w:r w:rsidRPr="0081478A">
        <w:rPr>
          <w:rFonts w:cs="Times New Roman"/>
          <w:bCs/>
          <w:szCs w:val="24"/>
        </w:rPr>
        <w:t>结构设计满足相关标准要求，建筑外墙、屋面、门窗、幕墙、外保温等围护结构及建筑防护栏杆、构架有相应设计内容并</w:t>
      </w:r>
      <w:r w:rsidR="008D029A">
        <w:rPr>
          <w:rFonts w:cs="Times New Roman" w:hint="eastAsia"/>
          <w:bCs/>
          <w:szCs w:val="24"/>
        </w:rPr>
        <w:t>应满足《民用建筑设计统一标准》（</w:t>
      </w:r>
      <w:r w:rsidR="008D029A">
        <w:rPr>
          <w:rFonts w:cs="Times New Roman" w:hint="eastAsia"/>
          <w:bCs/>
          <w:szCs w:val="24"/>
        </w:rPr>
        <w:t>G</w:t>
      </w:r>
      <w:r w:rsidR="008D029A">
        <w:rPr>
          <w:rFonts w:cs="Times New Roman"/>
          <w:bCs/>
          <w:szCs w:val="24"/>
        </w:rPr>
        <w:t>B50352-2019</w:t>
      </w:r>
      <w:r w:rsidR="008D029A">
        <w:rPr>
          <w:rFonts w:cs="Times New Roman" w:hint="eastAsia"/>
          <w:bCs/>
          <w:szCs w:val="24"/>
        </w:rPr>
        <w:t>）的防护要求及其他</w:t>
      </w:r>
      <w:r w:rsidRPr="0081478A">
        <w:rPr>
          <w:rFonts w:cs="Times New Roman"/>
          <w:bCs/>
          <w:szCs w:val="24"/>
        </w:rPr>
        <w:t>相关标准要求，施工和运营阶段严格按设计</w:t>
      </w:r>
      <w:r w:rsidR="00474B83" w:rsidRPr="0081478A">
        <w:rPr>
          <w:rFonts w:cs="Times New Roman"/>
          <w:bCs/>
          <w:szCs w:val="24"/>
        </w:rPr>
        <w:t>及</w:t>
      </w:r>
      <w:r w:rsidRPr="0081478A">
        <w:rPr>
          <w:rFonts w:cs="Times New Roman"/>
          <w:bCs/>
          <w:szCs w:val="24"/>
        </w:rPr>
        <w:t>相关要求施工和维护。</w:t>
      </w:r>
    </w:p>
    <w:p w14:paraId="6B398A11" w14:textId="6856EDA3" w:rsidR="00B5169A" w:rsidRPr="0081478A" w:rsidRDefault="00B5169A" w:rsidP="006677FB">
      <w:pPr>
        <w:ind w:firstLine="420"/>
        <w:rPr>
          <w:rFonts w:cs="Times New Roman"/>
          <w:bCs/>
          <w:szCs w:val="24"/>
        </w:rPr>
      </w:pPr>
      <w:r>
        <w:rPr>
          <w:rFonts w:hint="eastAsia"/>
        </w:rPr>
        <w:t>本条</w:t>
      </w:r>
      <w:r w:rsidRPr="00831A18">
        <w:rPr>
          <w:rFonts w:hint="eastAsia"/>
        </w:rPr>
        <w:t>涉及的规范规程及验收分部分项内容</w:t>
      </w:r>
      <w:r>
        <w:rPr>
          <w:rFonts w:hint="eastAsia"/>
        </w:rPr>
        <w:t>较</w:t>
      </w:r>
      <w:r w:rsidRPr="00831A18">
        <w:rPr>
          <w:rFonts w:hint="eastAsia"/>
        </w:rPr>
        <w:t>多，</w:t>
      </w:r>
      <w:r>
        <w:rPr>
          <w:rFonts w:hint="eastAsia"/>
        </w:rPr>
        <w:t>细则</w:t>
      </w:r>
      <w:r w:rsidRPr="00831A18">
        <w:rPr>
          <w:rFonts w:hint="eastAsia"/>
        </w:rPr>
        <w:t>不可能</w:t>
      </w:r>
      <w:r>
        <w:rPr>
          <w:rFonts w:hint="eastAsia"/>
        </w:rPr>
        <w:t>全部</w:t>
      </w:r>
      <w:r w:rsidRPr="00831A18">
        <w:rPr>
          <w:rFonts w:hint="eastAsia"/>
        </w:rPr>
        <w:t>涵盖，评价时</w:t>
      </w:r>
      <w:r>
        <w:rPr>
          <w:rFonts w:hint="eastAsia"/>
        </w:rPr>
        <w:t>，</w:t>
      </w:r>
      <w:r w:rsidRPr="00831A18">
        <w:rPr>
          <w:rFonts w:hint="eastAsia"/>
        </w:rPr>
        <w:t>专家</w:t>
      </w:r>
      <w:r>
        <w:rPr>
          <w:rFonts w:hint="eastAsia"/>
        </w:rPr>
        <w:t>应</w:t>
      </w:r>
      <w:r w:rsidRPr="00831A18">
        <w:rPr>
          <w:rFonts w:hint="eastAsia"/>
        </w:rPr>
        <w:t>根据项目涉及到的部位和重点</w:t>
      </w:r>
      <w:r>
        <w:rPr>
          <w:rFonts w:hint="eastAsia"/>
        </w:rPr>
        <w:t>逐一</w:t>
      </w:r>
      <w:r w:rsidRPr="00831A18">
        <w:rPr>
          <w:rFonts w:hint="eastAsia"/>
        </w:rPr>
        <w:t>把控。</w:t>
      </w:r>
    </w:p>
    <w:p w14:paraId="1EE8A22F"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5EEFD9E4" w14:textId="77777777" w:rsidR="006C71BE" w:rsidRPr="00530A11" w:rsidRDefault="006C71BE" w:rsidP="006C71BE">
      <w:pPr>
        <w:ind w:firstLine="420"/>
        <w:rPr>
          <w:rFonts w:cs="Times New Roman"/>
          <w:szCs w:val="24"/>
        </w:rPr>
      </w:pPr>
      <w:r w:rsidRPr="00530A11">
        <w:rPr>
          <w:rFonts w:cs="Times New Roman"/>
          <w:szCs w:val="24"/>
        </w:rPr>
        <w:t>预评价查阅相关设计文件（含设计说明、计算书等）；评价查阅相关竣工图（含设计说明、计算书等），查看工程验收资料，相关检测检验报告。</w:t>
      </w:r>
    </w:p>
    <w:p w14:paraId="451BC45B" w14:textId="77777777" w:rsidR="00715ABB" w:rsidRPr="006C71BE" w:rsidRDefault="00715ABB" w:rsidP="009A3B1E">
      <w:pPr>
        <w:pStyle w:val="20"/>
        <w:rPr>
          <w:rFonts w:ascii="Times New Roman" w:hAnsi="Times New Roman" w:cs="Times New Roman"/>
          <w:color w:val="auto"/>
        </w:rPr>
      </w:pPr>
    </w:p>
    <w:p w14:paraId="0EB98A4E" w14:textId="77777777" w:rsidR="006A6F67" w:rsidRPr="00530A11" w:rsidRDefault="006A6F67" w:rsidP="006A6F67">
      <w:pPr>
        <w:pStyle w:val="4"/>
        <w:rPr>
          <w:rFonts w:cs="Times New Roman"/>
          <w:bCs w:val="0"/>
        </w:rPr>
      </w:pPr>
      <w:r w:rsidRPr="00530A11">
        <w:rPr>
          <w:rFonts w:cs="Times New Roman"/>
          <w:bCs w:val="0"/>
        </w:rPr>
        <w:t xml:space="preserve">4.1.3 </w:t>
      </w:r>
      <w:r w:rsidRPr="00530A11">
        <w:rPr>
          <w:rFonts w:cs="Times New Roman"/>
          <w:bCs w:val="0"/>
        </w:rPr>
        <w:t>外遮阳、太阳能设施、空调室外设施、外墙花池等外部设施应与建筑主体结构统一设计、施工，并应满足安装、检修、维护及使用要求。</w:t>
      </w:r>
    </w:p>
    <w:p w14:paraId="6094BAC7" w14:textId="77777777" w:rsidR="00715ABB" w:rsidRPr="0081478A" w:rsidRDefault="00F44390">
      <w:pPr>
        <w:ind w:firstLineChars="0" w:firstLine="0"/>
        <w:rPr>
          <w:rFonts w:cs="Times New Roman"/>
          <w:b/>
          <w:szCs w:val="24"/>
        </w:rPr>
      </w:pPr>
      <w:r w:rsidRPr="0081478A">
        <w:rPr>
          <w:rFonts w:cs="Times New Roman"/>
          <w:b/>
          <w:szCs w:val="24"/>
        </w:rPr>
        <w:t>【条文说明】</w:t>
      </w:r>
    </w:p>
    <w:p w14:paraId="1F145EBA" w14:textId="77777777" w:rsidR="007C29E3" w:rsidRPr="00530A11" w:rsidRDefault="007C29E3" w:rsidP="007C29E3">
      <w:pPr>
        <w:ind w:firstLine="420"/>
        <w:rPr>
          <w:szCs w:val="24"/>
        </w:rPr>
      </w:pPr>
      <w:r w:rsidRPr="00530A11">
        <w:t>本条适用于各类民用建筑的预评价、评价。</w:t>
      </w:r>
    </w:p>
    <w:p w14:paraId="6B82B78C" w14:textId="77777777" w:rsidR="007C29E3" w:rsidRPr="00530A11" w:rsidRDefault="007C29E3" w:rsidP="007C29E3">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szCs w:val="24"/>
        </w:rPr>
        <w:t>并对条文和条文说明进行了局部修改和补充。</w:t>
      </w:r>
    </w:p>
    <w:p w14:paraId="10C8559F" w14:textId="77777777" w:rsidR="007C29E3" w:rsidRPr="00530A11" w:rsidRDefault="007C29E3" w:rsidP="007C29E3">
      <w:pPr>
        <w:ind w:firstLine="420"/>
        <w:rPr>
          <w:rFonts w:cs="Times New Roman"/>
        </w:rPr>
      </w:pPr>
      <w:r w:rsidRPr="00530A11">
        <w:rPr>
          <w:rFonts w:cs="Times New Roman"/>
        </w:rPr>
        <w:t>外遮阳、太阳能设施、空调室外机位、外墙花池等外部设施应与建筑主体结构统一设计、施工，确保连接可靠，并应符合《建筑遮阳工程技术规范》</w:t>
      </w:r>
      <w:r w:rsidRPr="00530A11">
        <w:rPr>
          <w:rFonts w:cs="Times New Roman"/>
        </w:rPr>
        <w:t>JGJ 237</w:t>
      </w:r>
      <w:r w:rsidRPr="00530A11">
        <w:rPr>
          <w:rFonts w:cs="Times New Roman"/>
        </w:rPr>
        <w:t>、《民用建筑太阳能热水系统应用技术标准》</w:t>
      </w:r>
      <w:r w:rsidRPr="00530A11">
        <w:rPr>
          <w:rFonts w:cs="Times New Roman"/>
        </w:rPr>
        <w:t>GB 50364</w:t>
      </w:r>
      <w:r w:rsidRPr="00530A11">
        <w:rPr>
          <w:rFonts w:cs="Times New Roman"/>
        </w:rPr>
        <w:t>、《民用建筑太阳能光伏系统应用技术规范》</w:t>
      </w:r>
      <w:r w:rsidRPr="00530A11">
        <w:rPr>
          <w:rFonts w:cs="Times New Roman"/>
        </w:rPr>
        <w:t>JGJ 203</w:t>
      </w:r>
      <w:r w:rsidRPr="00530A11">
        <w:rPr>
          <w:rFonts w:cs="Times New Roman"/>
        </w:rPr>
        <w:t>、《太阳能供热采暖工程技术规范》</w:t>
      </w:r>
      <w:r w:rsidRPr="00530A11">
        <w:rPr>
          <w:rFonts w:cs="Times New Roman"/>
        </w:rPr>
        <w:t>GB 50495</w:t>
      </w:r>
      <w:r w:rsidRPr="00530A11">
        <w:rPr>
          <w:rFonts w:cs="Times New Roman"/>
        </w:rPr>
        <w:t>、《装配式混凝土建筑技术标准》</w:t>
      </w:r>
      <w:r w:rsidRPr="00530A11">
        <w:rPr>
          <w:rFonts w:cs="Times New Roman"/>
        </w:rPr>
        <w:t>GB/T 51231</w:t>
      </w:r>
      <w:r w:rsidRPr="00530A11">
        <w:rPr>
          <w:rFonts w:cs="Times New Roman"/>
        </w:rPr>
        <w:t>等现行相关标准的规定。</w:t>
      </w:r>
    </w:p>
    <w:p w14:paraId="70896DA1" w14:textId="77777777" w:rsidR="007C29E3" w:rsidRPr="00530A11" w:rsidRDefault="007C29E3" w:rsidP="007C29E3">
      <w:pPr>
        <w:ind w:firstLine="420"/>
        <w:rPr>
          <w:rFonts w:cs="Times New Roman"/>
        </w:rPr>
      </w:pPr>
      <w:r w:rsidRPr="00530A11">
        <w:rPr>
          <w:rFonts w:cs="Times New Roman"/>
        </w:rPr>
        <w:lastRenderedPageBreak/>
        <w:t>根据建筑使用的要求和城市规划理念，提前规划空调机型，空调室外机的安装空间尺寸应与机组的外形尺寸相适应。空调室外机安装应符合《家用和类似用途空调器安装规范》</w:t>
      </w:r>
      <w:r w:rsidRPr="00530A11">
        <w:rPr>
          <w:rFonts w:cs="Times New Roman"/>
        </w:rPr>
        <w:t>GB17790</w:t>
      </w:r>
      <w:r w:rsidRPr="00530A11">
        <w:rPr>
          <w:rFonts w:cs="Times New Roman"/>
        </w:rPr>
        <w:t>、《多联式空调（热泵）机组应用设计与安装要求》</w:t>
      </w:r>
      <w:r w:rsidRPr="00530A11">
        <w:rPr>
          <w:rFonts w:cs="Times New Roman"/>
        </w:rPr>
        <w:t>GB/T27941</w:t>
      </w:r>
      <w:r w:rsidRPr="00530A11">
        <w:rPr>
          <w:rFonts w:cs="Times New Roman"/>
        </w:rPr>
        <w:t>、《一体式冷水（热泵）机组》</w:t>
      </w:r>
      <w:r w:rsidRPr="00530A11">
        <w:rPr>
          <w:rFonts w:cs="Times New Roman"/>
        </w:rPr>
        <w:t>GB/T12839</w:t>
      </w:r>
      <w:r w:rsidRPr="00530A11">
        <w:rPr>
          <w:rFonts w:cs="Times New Roman"/>
        </w:rPr>
        <w:t>、《通风与空调工程施工质量验收规范》</w:t>
      </w:r>
      <w:r w:rsidRPr="00530A11">
        <w:rPr>
          <w:rFonts w:cs="Times New Roman"/>
        </w:rPr>
        <w:t>GB50243</w:t>
      </w:r>
      <w:r w:rsidRPr="00530A11">
        <w:rPr>
          <w:rFonts w:cs="Times New Roman"/>
        </w:rPr>
        <w:t>、《制冷系统及热泵安全与环境要求》</w:t>
      </w:r>
      <w:r w:rsidRPr="00530A11">
        <w:rPr>
          <w:rFonts w:cs="Times New Roman"/>
        </w:rPr>
        <w:t>GB/T9237</w:t>
      </w:r>
      <w:r w:rsidRPr="00530A11">
        <w:rPr>
          <w:rFonts w:cs="Times New Roman"/>
        </w:rPr>
        <w:t>、《单元式空气调节机安全要求》</w:t>
      </w:r>
      <w:r w:rsidRPr="00530A11">
        <w:rPr>
          <w:rFonts w:cs="Times New Roman"/>
        </w:rPr>
        <w:t>GB25130</w:t>
      </w:r>
      <w:r w:rsidRPr="00530A11">
        <w:rPr>
          <w:rFonts w:cs="Times New Roman" w:hint="eastAsia"/>
        </w:rPr>
        <w:t>、重庆市《建筑外立面空调室外机位技术规程》</w:t>
      </w:r>
      <w:r w:rsidRPr="00530A11">
        <w:rPr>
          <w:rFonts w:cs="Times New Roman" w:hint="eastAsia"/>
        </w:rPr>
        <w:t>DBJ50/T-167</w:t>
      </w:r>
      <w:r w:rsidRPr="00530A11">
        <w:rPr>
          <w:rFonts w:cs="Times New Roman"/>
        </w:rPr>
        <w:t>等现行相关标准的规定。事先拟定吊搬运计划，包括外形尺寸、重量、搬运路径、预留孔洞及吊搬运设备，确保空调室外设施施工的安全性，并利于后期维护管理。</w:t>
      </w:r>
    </w:p>
    <w:p w14:paraId="633FB485" w14:textId="77777777" w:rsidR="007C29E3" w:rsidRPr="00530A11" w:rsidRDefault="007C29E3" w:rsidP="007C29E3">
      <w:pPr>
        <w:ind w:firstLine="420"/>
        <w:rPr>
          <w:rFonts w:cs="Times New Roman"/>
        </w:rPr>
      </w:pPr>
      <w:r w:rsidRPr="00530A11">
        <w:rPr>
          <w:rFonts w:cs="Times New Roman"/>
        </w:rPr>
        <w:t>外部设施需要定期检修和维护，因此在建筑设计时应考虑后期检修和维护条件，如设计检修通道、马道和吊篮固定端等。当与主体结构不同时施工时，应设预埋件，并在设计文件中明确预埋件的检测验证参数及要求，确保其安全性与耐久性。比如，每年频发的空调外机坠落伤人或安装人员作业时跌落伤亡事故，已成为建筑的重大危险源，故新建或改建建筑设计时预留与主体结构连接牢固的空调外机安装位置，并与拟定的机型大小匹配，同时预留操作空间，保障安装、检修、维护人员安全。</w:t>
      </w:r>
    </w:p>
    <w:p w14:paraId="0BC18F46"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1BA22F72" w14:textId="77777777" w:rsidR="006677FB" w:rsidRPr="0081478A" w:rsidRDefault="006677FB" w:rsidP="006677FB">
      <w:pPr>
        <w:ind w:firstLine="420"/>
        <w:rPr>
          <w:rFonts w:cs="Times New Roman"/>
        </w:rPr>
      </w:pPr>
      <w:r w:rsidRPr="0081478A">
        <w:rPr>
          <w:rFonts w:cs="Times New Roman"/>
        </w:rPr>
        <w:t>外部设施应相应符合现行《建筑遮阳工程技术规范》</w:t>
      </w:r>
      <w:r w:rsidRPr="0081478A">
        <w:rPr>
          <w:rFonts w:cs="Times New Roman"/>
        </w:rPr>
        <w:t>JGJ 237</w:t>
      </w:r>
      <w:r w:rsidRPr="0081478A">
        <w:rPr>
          <w:rFonts w:cs="Times New Roman"/>
        </w:rPr>
        <w:t>、《民用建筑太阳能热水系统应用技术标准》</w:t>
      </w:r>
      <w:r w:rsidRPr="0081478A">
        <w:rPr>
          <w:rFonts w:cs="Times New Roman"/>
        </w:rPr>
        <w:t>GB 50364</w:t>
      </w:r>
      <w:r w:rsidRPr="0081478A">
        <w:rPr>
          <w:rFonts w:cs="Times New Roman"/>
        </w:rPr>
        <w:t>、《民用建筑太阳能光伏系统应用技术规范》</w:t>
      </w:r>
      <w:r w:rsidRPr="0081478A">
        <w:rPr>
          <w:rFonts w:cs="Times New Roman"/>
        </w:rPr>
        <w:t>JGJ 203</w:t>
      </w:r>
      <w:r w:rsidRPr="0081478A">
        <w:rPr>
          <w:rFonts w:cs="Times New Roman"/>
        </w:rPr>
        <w:t>等的规定，且外部设施的结构构件及其与主体结构的连接也应按本标准第</w:t>
      </w:r>
      <w:r w:rsidRPr="0081478A">
        <w:rPr>
          <w:rFonts w:cs="Times New Roman"/>
        </w:rPr>
        <w:t>4.1.2</w:t>
      </w:r>
      <w:r w:rsidRPr="0081478A">
        <w:rPr>
          <w:rFonts w:cs="Times New Roman"/>
        </w:rPr>
        <w:t>条要求验算，满足承载力及正常使用极限状态要求，并满足国家现行相关标准规定的室外环境下的构件连接与构造要求。</w:t>
      </w:r>
    </w:p>
    <w:p w14:paraId="3802F90A" w14:textId="77777777" w:rsidR="006677FB" w:rsidRPr="0081478A" w:rsidRDefault="006677FB" w:rsidP="006677FB">
      <w:pPr>
        <w:ind w:firstLine="420"/>
        <w:rPr>
          <w:rFonts w:cs="Times New Roman"/>
        </w:rPr>
      </w:pPr>
      <w:r w:rsidRPr="0081478A">
        <w:rPr>
          <w:rFonts w:cs="Times New Roman"/>
        </w:rPr>
        <w:t>外部设施应定期检修和维护并满足安装及使用要求。建筑设计时应考虑后期检修和维护条件，如设计检修通道、马道和吊篮固定端等。当与主体结构不同时施工时，应设预埋件，并在设计文件中明确预埋件的检测验证参数及要求，确保其安全性与耐久性。例如，新建或改建建筑设计时预留与主体结构连接牢固的空调外机安装位置，并与拟定的机型大小匹配，同时预留操作空间，保障安装、检修、维护人员安全。</w:t>
      </w:r>
    </w:p>
    <w:p w14:paraId="6518B931" w14:textId="77777777" w:rsidR="006677FB" w:rsidRPr="0081478A" w:rsidRDefault="006677FB" w:rsidP="006677FB">
      <w:pPr>
        <w:ind w:firstLine="420"/>
        <w:rPr>
          <w:rFonts w:cs="Times New Roman"/>
        </w:rPr>
      </w:pPr>
      <w:r w:rsidRPr="0081478A">
        <w:rPr>
          <w:rFonts w:cs="Times New Roman"/>
        </w:rPr>
        <w:t>明确设计构造大样，满足相关标准要求，施工和运营阶段严格按设计及相关要求施工、检修、维护和使用，并提供相关记录文件。</w:t>
      </w:r>
    </w:p>
    <w:p w14:paraId="00856E5D"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2FB8CE2" w14:textId="77777777" w:rsidR="006C71BE" w:rsidRPr="00530A11" w:rsidRDefault="006C71BE" w:rsidP="006C71BE">
      <w:pPr>
        <w:ind w:firstLine="420"/>
        <w:rPr>
          <w:rFonts w:cs="Times New Roman"/>
        </w:rPr>
      </w:pPr>
      <w:r w:rsidRPr="00530A11">
        <w:rPr>
          <w:rFonts w:cs="Times New Roman"/>
        </w:rPr>
        <w:t>预评价查阅相关设计文件（含设计说明、计算书等）；评价查阅</w:t>
      </w:r>
      <w:r w:rsidRPr="00530A11">
        <w:rPr>
          <w:rFonts w:cs="Times New Roman"/>
          <w:szCs w:val="24"/>
        </w:rPr>
        <w:t>施工组织文件、</w:t>
      </w:r>
      <w:r w:rsidRPr="00530A11">
        <w:rPr>
          <w:rFonts w:cs="Times New Roman"/>
        </w:rPr>
        <w:t>相关竣工图（含设计说明、计算书等）</w:t>
      </w:r>
      <w:r w:rsidRPr="00530A11">
        <w:rPr>
          <w:rFonts w:cs="Times New Roman"/>
          <w:szCs w:val="24"/>
        </w:rPr>
        <w:t xml:space="preserve"> </w:t>
      </w:r>
      <w:r w:rsidRPr="00530A11">
        <w:rPr>
          <w:rFonts w:cs="Times New Roman"/>
          <w:szCs w:val="24"/>
        </w:rPr>
        <w:t>及检测检验报告</w:t>
      </w:r>
      <w:r w:rsidRPr="00530A11">
        <w:rPr>
          <w:rFonts w:cs="Times New Roman"/>
        </w:rPr>
        <w:t>、检修和维护条件。</w:t>
      </w:r>
    </w:p>
    <w:p w14:paraId="6758A3F9" w14:textId="77777777" w:rsidR="006C71BE" w:rsidRPr="00530A11" w:rsidRDefault="006C71BE" w:rsidP="006C71BE">
      <w:pPr>
        <w:ind w:firstLine="420"/>
        <w:rPr>
          <w:rFonts w:cs="Times New Roman"/>
        </w:rPr>
      </w:pPr>
      <w:r w:rsidRPr="00530A11">
        <w:rPr>
          <w:rFonts w:cs="Times New Roman"/>
        </w:rPr>
        <w:lastRenderedPageBreak/>
        <w:t>评价查阅相关竣工图</w:t>
      </w:r>
      <w:r w:rsidRPr="00530A11">
        <w:rPr>
          <w:rFonts w:cs="Times New Roman"/>
        </w:rPr>
        <w:t>(</w:t>
      </w:r>
      <w:r w:rsidRPr="00530A11">
        <w:rPr>
          <w:rFonts w:cs="Times New Roman"/>
        </w:rPr>
        <w:t>含设计说明、计算书等</w:t>
      </w:r>
      <w:r w:rsidRPr="00530A11">
        <w:rPr>
          <w:rFonts w:cs="Times New Roman"/>
        </w:rPr>
        <w:t>)</w:t>
      </w:r>
      <w:r w:rsidRPr="00530A11">
        <w:rPr>
          <w:rFonts w:cs="Times New Roman"/>
        </w:rPr>
        <w:t>、检修和维护条件，组织现场查勘。</w:t>
      </w:r>
    </w:p>
    <w:p w14:paraId="2DD8AD31" w14:textId="77777777" w:rsidR="00715ABB" w:rsidRPr="006C71BE" w:rsidRDefault="00715ABB">
      <w:pPr>
        <w:snapToGrid w:val="0"/>
        <w:ind w:firstLine="420"/>
        <w:jc w:val="left"/>
        <w:rPr>
          <w:rFonts w:cs="Times New Roman"/>
          <w:szCs w:val="24"/>
        </w:rPr>
      </w:pPr>
    </w:p>
    <w:p w14:paraId="725C1982" w14:textId="77777777" w:rsidR="006A6F67" w:rsidRPr="00530A11" w:rsidRDefault="006A6F67" w:rsidP="006A6F67">
      <w:pPr>
        <w:pStyle w:val="4"/>
        <w:rPr>
          <w:rFonts w:cs="Times New Roman"/>
          <w:bCs w:val="0"/>
        </w:rPr>
      </w:pPr>
      <w:r w:rsidRPr="00530A11">
        <w:rPr>
          <w:rFonts w:cs="Times New Roman"/>
          <w:bCs w:val="0"/>
        </w:rPr>
        <w:t xml:space="preserve">4.1.4 </w:t>
      </w:r>
      <w:r w:rsidRPr="00530A11">
        <w:rPr>
          <w:rFonts w:cs="Times New Roman"/>
          <w:bCs w:val="0"/>
        </w:rPr>
        <w:t>建筑内部的非结构构件、设备及附属设施等应连接牢固并能适应主体结构变形。</w:t>
      </w:r>
    </w:p>
    <w:p w14:paraId="78134458" w14:textId="77777777" w:rsidR="00715ABB" w:rsidRPr="0081478A" w:rsidRDefault="00F44390">
      <w:pPr>
        <w:ind w:firstLineChars="0" w:firstLine="0"/>
        <w:rPr>
          <w:rFonts w:cs="Times New Roman"/>
          <w:b/>
          <w:szCs w:val="24"/>
        </w:rPr>
      </w:pPr>
      <w:r w:rsidRPr="0081478A">
        <w:rPr>
          <w:rFonts w:cs="Times New Roman"/>
          <w:b/>
          <w:szCs w:val="24"/>
        </w:rPr>
        <w:t>【条文说明】</w:t>
      </w:r>
    </w:p>
    <w:p w14:paraId="7D768D09" w14:textId="77777777" w:rsidR="002C09A7" w:rsidRPr="00530A11" w:rsidRDefault="002C09A7" w:rsidP="002C09A7">
      <w:pPr>
        <w:ind w:firstLine="420"/>
      </w:pPr>
      <w:bookmarkStart w:id="45" w:name="_Hlk33017775"/>
      <w:r w:rsidRPr="00530A11">
        <w:t>本条适用于各类民用建筑的预评价、评价。</w:t>
      </w:r>
    </w:p>
    <w:bookmarkEnd w:id="45"/>
    <w:p w14:paraId="480D8835"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4A2F2F7F" w14:textId="77777777" w:rsidR="002C09A7" w:rsidRPr="00530A11" w:rsidRDefault="002C09A7" w:rsidP="002C09A7">
      <w:pPr>
        <w:ind w:firstLine="420"/>
        <w:rPr>
          <w:rFonts w:cs="Times New Roman"/>
          <w:szCs w:val="24"/>
        </w:rPr>
      </w:pPr>
      <w:r w:rsidRPr="00530A11">
        <w:rPr>
          <w:rFonts w:cs="Times New Roman"/>
          <w:szCs w:val="24"/>
        </w:rPr>
        <w:t>建筑内部的非结构构件包括非承重墙体、附着于楼屋面结构的构件、装饰构件和部件等。设备指建筑中为建筑使用功能服务的附属机械、电气构件、部件和系统，主要包括电梯、照明和应急电源、通信设备，管道系统、采暖和空气调节系统、烟火监测和消防系统、公用天线等。附属设施包括整体卫生间、橱柜、储物柜等。</w:t>
      </w:r>
    </w:p>
    <w:p w14:paraId="0F3DF79A" w14:textId="77777777" w:rsidR="002C09A7" w:rsidRPr="00530A11" w:rsidRDefault="002C09A7" w:rsidP="002C09A7">
      <w:pPr>
        <w:ind w:firstLine="420"/>
        <w:rPr>
          <w:rFonts w:cs="Times New Roman"/>
          <w:szCs w:val="24"/>
        </w:rPr>
      </w:pPr>
      <w:r w:rsidRPr="00530A11">
        <w:rPr>
          <w:rFonts w:cs="Times New Roman"/>
          <w:szCs w:val="24"/>
        </w:rPr>
        <w:t>建筑内部非结构构件、设备及附属设施等应满足建筑使用的安全性。如门窗、防护栏杆等应满足国家现行相关设计标准要求并安装牢固，防止跌落事故发生；且应根据腐蚀环境选用材料或进行耐腐蚀处理。近年因装饰装修脱落导致人员伤亡事故屡见不鲜，如吊链或连接件锈蚀导致吊灯掉落、吊顶脱落、瓷砖脱落等等。室内装饰装修除应符合国家现行相关标准的规定外，还需对承重材料的力学性能进行检测验证。装饰构件之间以及装饰构件与建筑墙体、楼板等构件之间的连接力学性能应满足设计要求，连接可靠并能适合主体结构在地震作用之外各种荷载作用下的变形。</w:t>
      </w:r>
    </w:p>
    <w:p w14:paraId="575087F7" w14:textId="77777777" w:rsidR="002C09A7" w:rsidRPr="00530A11" w:rsidRDefault="002C09A7" w:rsidP="002C09A7">
      <w:pPr>
        <w:ind w:firstLine="420"/>
        <w:rPr>
          <w:rFonts w:cs="Times New Roman"/>
          <w:szCs w:val="24"/>
        </w:rPr>
      </w:pPr>
      <w:r w:rsidRPr="00530A11">
        <w:rPr>
          <w:rFonts w:cs="Times New Roman"/>
          <w:szCs w:val="24"/>
        </w:rPr>
        <w:t>建筑部品、非结构构件及附属设备等应采用机械固定、焊接、预埋等牢固性构件连接方式或一体化建造方式与建筑主体结构可靠连接，防止由于个别构件破坏引起连续性破坏或倒塌。应注意的是，以膨胀螺栓、捆绑、支架等连接或安装方式均不能视为一体化措施。</w:t>
      </w:r>
    </w:p>
    <w:p w14:paraId="0666C771"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2FFDE01E" w14:textId="77777777" w:rsidR="006677FB" w:rsidRPr="0081478A" w:rsidRDefault="006677FB" w:rsidP="006677FB">
      <w:pPr>
        <w:ind w:firstLine="420"/>
        <w:rPr>
          <w:rFonts w:cs="Times New Roman"/>
          <w:bCs/>
          <w:szCs w:val="24"/>
        </w:rPr>
      </w:pPr>
      <w:r w:rsidRPr="0081478A">
        <w:rPr>
          <w:rFonts w:cs="Times New Roman"/>
          <w:bCs/>
          <w:szCs w:val="24"/>
        </w:rPr>
        <w:t>建筑内部非结构构件、设备及附属设施等应满足建筑使用安全，与主体结构之间的连接满足承载力及正常使用极限状态验算及国家及重庆市现行相关标准规定的构造要求。例如，内填充墙高厚比应满足稳定性计算要求；楼屋面下机电设备的吊杆及连接满足吊挂设备的承载力要求；墙上固定吊柜与墙体连接可靠，连接锚栓满足吊柜预期极限承载能力的要求；电梯与主体结构连接可靠，并满足安全使用要求。</w:t>
      </w:r>
    </w:p>
    <w:p w14:paraId="398B9CDD" w14:textId="77777777" w:rsidR="006677FB" w:rsidRPr="0081478A" w:rsidRDefault="006677FB" w:rsidP="006677FB">
      <w:pPr>
        <w:ind w:firstLine="420"/>
        <w:rPr>
          <w:rFonts w:cs="Times New Roman"/>
          <w:bCs/>
          <w:szCs w:val="24"/>
        </w:rPr>
      </w:pPr>
      <w:r w:rsidRPr="0081478A">
        <w:rPr>
          <w:rFonts w:cs="Times New Roman"/>
          <w:bCs/>
          <w:szCs w:val="24"/>
        </w:rPr>
        <w:t>适应主体结构的变形（包括：地震、风荷载、温度作用下的变形、地基不均匀沉降引起的变形及其他各种荷载作用下的变形），主要指以下几个方面：</w:t>
      </w:r>
    </w:p>
    <w:p w14:paraId="3C0DAC71" w14:textId="77777777" w:rsidR="006677FB" w:rsidRPr="0081478A" w:rsidRDefault="006677FB" w:rsidP="006677FB">
      <w:pPr>
        <w:ind w:firstLine="420"/>
        <w:rPr>
          <w:rFonts w:cs="Times New Roman"/>
          <w:bCs/>
          <w:szCs w:val="24"/>
        </w:rPr>
      </w:pPr>
      <w:r w:rsidRPr="0081478A">
        <w:rPr>
          <w:rFonts w:cs="Times New Roman"/>
          <w:bCs/>
          <w:szCs w:val="24"/>
        </w:rPr>
        <w:t>1</w:t>
      </w:r>
      <w:r w:rsidRPr="0081478A">
        <w:rPr>
          <w:rFonts w:cs="Times New Roman"/>
          <w:bCs/>
          <w:szCs w:val="24"/>
        </w:rPr>
        <w:t>）非结构构件适应主体结构的变形。对非结构构件的填充墙，应适应主体结构梁、柱受力变形及不同材料之间因温度膨胀系数不同而产生的变形，需要采取相应的构造要求。如</w:t>
      </w:r>
      <w:r w:rsidRPr="0081478A">
        <w:rPr>
          <w:rFonts w:cs="Times New Roman"/>
          <w:bCs/>
          <w:szCs w:val="24"/>
        </w:rPr>
        <w:lastRenderedPageBreak/>
        <w:t>填充墙墙高超过一定高度与长度即设腰梁及构造柱，与结构柱之间设拉接筋；对非结构构件的装配式内墙条板，在楼面与梁（板）底连接处设金属限位连接卡，墙板之间设子母槽等；对非结构构件的移动式档案密集柜，楼面需要足够的刚度，避免移动档案柜脱轨等。</w:t>
      </w:r>
    </w:p>
    <w:p w14:paraId="739D42F0" w14:textId="77777777" w:rsidR="006677FB" w:rsidRPr="0081478A" w:rsidRDefault="006677FB" w:rsidP="006677FB">
      <w:pPr>
        <w:ind w:firstLine="420"/>
        <w:rPr>
          <w:rFonts w:cs="Times New Roman"/>
          <w:bCs/>
          <w:szCs w:val="24"/>
        </w:rPr>
      </w:pPr>
      <w:r w:rsidRPr="0081478A">
        <w:rPr>
          <w:rFonts w:cs="Times New Roman"/>
          <w:bCs/>
          <w:szCs w:val="24"/>
        </w:rPr>
        <w:t>2</w:t>
      </w:r>
      <w:r w:rsidRPr="0081478A">
        <w:rPr>
          <w:rFonts w:cs="Times New Roman"/>
          <w:bCs/>
          <w:szCs w:val="24"/>
        </w:rPr>
        <w:t>）设备及附属设施适应主体结构变形。设备、设施等应采用机械固定、焊接、预埋等牢固性构件连接方式或一体化建造方式与建筑主体结构可靠连接，变形协调，防止由于个别构件破坏引起连续性破坏或倒塌，或者因建筑主体变形过大而影响设备设施的正常运行。应注意以膨胀螺栓、捆绑、支架等连接或安装方式均不能视为一体化措施。例如，固定的设备及附属设施不能直接横跨主体结构的变形缝；电梯竖向井道在主体结构设计使用年限内的基本风压及常遇地震作用下，能正常运行。</w:t>
      </w:r>
    </w:p>
    <w:p w14:paraId="731DF3DC" w14:textId="77777777" w:rsidR="006677FB" w:rsidRPr="0081478A" w:rsidRDefault="006677FB" w:rsidP="006677FB">
      <w:pPr>
        <w:ind w:firstLine="420"/>
        <w:rPr>
          <w:rFonts w:cs="Times New Roman"/>
          <w:bCs/>
          <w:szCs w:val="24"/>
        </w:rPr>
      </w:pPr>
      <w:r w:rsidRPr="0081478A">
        <w:rPr>
          <w:rFonts w:cs="Times New Roman"/>
          <w:bCs/>
          <w:szCs w:val="24"/>
        </w:rPr>
        <w:t>明确设计构造大样，满足连接牢固和适应结构形变及相关标准要求，施工和运营阶段严格按设计及相关要求施工、检修、维护和使用，并提供相关记录文件。</w:t>
      </w:r>
    </w:p>
    <w:p w14:paraId="5F2136BB"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C3F166B" w14:textId="77777777" w:rsidR="006C71BE" w:rsidRPr="00530A11" w:rsidRDefault="006C71BE" w:rsidP="006C71BE">
      <w:pPr>
        <w:ind w:firstLine="420"/>
        <w:rPr>
          <w:rFonts w:cs="Times New Roman"/>
          <w:szCs w:val="24"/>
        </w:rPr>
      </w:pPr>
      <w:r w:rsidRPr="00530A11">
        <w:rPr>
          <w:rFonts w:cs="Times New Roman"/>
          <w:szCs w:val="24"/>
        </w:rPr>
        <w:t>预评价查阅相关设计文件（含各连接件、配件、预埋件的力学性能及检测检验报告，计算书，施工图）、产品设计要求等；评价查阅相关竣工图、材料决算清单、产品说明书、力学及耐久性能测试或试验报告。</w:t>
      </w:r>
    </w:p>
    <w:p w14:paraId="0C9E491E" w14:textId="77777777" w:rsidR="00715ABB" w:rsidRPr="006C71BE" w:rsidRDefault="00715ABB">
      <w:pPr>
        <w:ind w:firstLine="420"/>
        <w:rPr>
          <w:rFonts w:cs="Times New Roman"/>
          <w:bCs/>
          <w:szCs w:val="24"/>
        </w:rPr>
      </w:pPr>
    </w:p>
    <w:p w14:paraId="7BFDEBA5" w14:textId="77777777" w:rsidR="0011444E" w:rsidRPr="00530A11" w:rsidRDefault="0011444E" w:rsidP="0011444E">
      <w:pPr>
        <w:pStyle w:val="4"/>
        <w:rPr>
          <w:rFonts w:cs="Times New Roman"/>
          <w:bCs w:val="0"/>
        </w:rPr>
      </w:pPr>
      <w:r w:rsidRPr="00530A11">
        <w:rPr>
          <w:rFonts w:cs="Times New Roman"/>
          <w:bCs w:val="0"/>
        </w:rPr>
        <w:t xml:space="preserve">4.1.5 </w:t>
      </w:r>
      <w:r w:rsidRPr="00530A11">
        <w:rPr>
          <w:rFonts w:cs="Times New Roman"/>
          <w:bCs w:val="0"/>
        </w:rPr>
        <w:t>建筑外门窗必须安装牢固，其抗风压性能、水密性能应符合国家现行有关标准的规定。</w:t>
      </w:r>
      <w:r w:rsidRPr="00530A11">
        <w:rPr>
          <w:rFonts w:cs="Times New Roman"/>
          <w:bCs w:val="0"/>
        </w:rPr>
        <w:t xml:space="preserve"> </w:t>
      </w:r>
    </w:p>
    <w:p w14:paraId="3BCCCEB3" w14:textId="77777777" w:rsidR="00715ABB" w:rsidRPr="0081478A" w:rsidRDefault="00F44390">
      <w:pPr>
        <w:ind w:firstLineChars="0" w:firstLine="0"/>
        <w:rPr>
          <w:rFonts w:cs="Times New Roman"/>
          <w:b/>
          <w:szCs w:val="24"/>
        </w:rPr>
      </w:pPr>
      <w:r w:rsidRPr="0081478A">
        <w:rPr>
          <w:rFonts w:cs="Times New Roman"/>
          <w:b/>
          <w:szCs w:val="24"/>
        </w:rPr>
        <w:t>【条文说明】</w:t>
      </w:r>
    </w:p>
    <w:p w14:paraId="7E989A76" w14:textId="77777777" w:rsidR="002C09A7" w:rsidRPr="00530A11" w:rsidRDefault="002C09A7" w:rsidP="002C09A7">
      <w:pPr>
        <w:ind w:firstLine="420"/>
      </w:pPr>
      <w:r w:rsidRPr="00530A11">
        <w:t>本条适用于各类民用建筑的预评价、评价。</w:t>
      </w:r>
    </w:p>
    <w:p w14:paraId="3F6AA797"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79AC2D09" w14:textId="77777777" w:rsidR="002C09A7" w:rsidRPr="00530A11" w:rsidRDefault="002C09A7" w:rsidP="002C09A7">
      <w:pPr>
        <w:ind w:firstLine="420"/>
        <w:rPr>
          <w:rFonts w:cs="Times New Roman"/>
          <w:szCs w:val="24"/>
        </w:rPr>
      </w:pPr>
      <w:r w:rsidRPr="00530A11">
        <w:rPr>
          <w:rFonts w:cs="Times New Roman"/>
          <w:szCs w:val="24"/>
        </w:rPr>
        <w:t>门窗是实现建筑物理性能的极其重要的功能性构件。设计时外门窗应以满足不同气候及环境条件下的建筑物使用功能要求为目标，明确抗风压性能、水密性能指标和等级，并应符合《塑料门窗工程技术规程》</w:t>
      </w:r>
      <w:r w:rsidRPr="00530A11">
        <w:rPr>
          <w:rFonts w:cs="Times New Roman"/>
          <w:szCs w:val="24"/>
        </w:rPr>
        <w:t>JGJ 103</w:t>
      </w:r>
      <w:r w:rsidRPr="00530A11">
        <w:rPr>
          <w:rFonts w:cs="Times New Roman"/>
          <w:szCs w:val="24"/>
        </w:rPr>
        <w:t>、《铝合金门窗工程技术规范》</w:t>
      </w:r>
      <w:r w:rsidRPr="00530A11">
        <w:rPr>
          <w:rFonts w:cs="Times New Roman"/>
          <w:szCs w:val="24"/>
        </w:rPr>
        <w:t>JGJ 214</w:t>
      </w:r>
      <w:bookmarkStart w:id="46" w:name="_Hlk25397590"/>
      <w:r w:rsidRPr="00530A11">
        <w:rPr>
          <w:rFonts w:cs="Times New Roman"/>
          <w:szCs w:val="24"/>
        </w:rPr>
        <w:t>、《节能彩钢门窗应用技术规程》</w:t>
      </w:r>
      <w:r w:rsidRPr="00530A11">
        <w:rPr>
          <w:rFonts w:cs="Times New Roman"/>
          <w:szCs w:val="24"/>
        </w:rPr>
        <w:t>DBJ/T50-089</w:t>
      </w:r>
      <w:bookmarkEnd w:id="46"/>
      <w:r w:rsidRPr="00530A11">
        <w:rPr>
          <w:rFonts w:cs="Times New Roman"/>
          <w:szCs w:val="24"/>
        </w:rPr>
        <w:t>等现行相关标准的规定。</w:t>
      </w:r>
    </w:p>
    <w:p w14:paraId="5D48A2A9" w14:textId="27DD2FDE" w:rsidR="002C09A7" w:rsidRDefault="002C09A7" w:rsidP="002C09A7">
      <w:pPr>
        <w:ind w:firstLine="420"/>
        <w:rPr>
          <w:rFonts w:cs="Times New Roman"/>
          <w:szCs w:val="24"/>
        </w:rPr>
      </w:pPr>
      <w:r w:rsidRPr="00530A11">
        <w:rPr>
          <w:rFonts w:cs="Times New Roman"/>
          <w:szCs w:val="24"/>
        </w:rPr>
        <w:t>外门窗的检测与验收应按《建筑外门窗气密、水密、抗风压性能分级及检测方法》</w:t>
      </w:r>
      <w:r w:rsidRPr="00530A11">
        <w:rPr>
          <w:rFonts w:cs="Times New Roman"/>
          <w:szCs w:val="24"/>
        </w:rPr>
        <w:t>GB/T 7106</w:t>
      </w:r>
      <w:r w:rsidRPr="00530A11">
        <w:rPr>
          <w:rFonts w:cs="Times New Roman"/>
          <w:szCs w:val="24"/>
        </w:rPr>
        <w:t>、《建筑外窗气密、水密、抗风压性能现场检测方法》</w:t>
      </w:r>
      <w:r w:rsidRPr="00530A11">
        <w:rPr>
          <w:rFonts w:cs="Times New Roman"/>
          <w:szCs w:val="24"/>
        </w:rPr>
        <w:t>JG/T 211</w:t>
      </w:r>
      <w:r w:rsidRPr="00530A11">
        <w:rPr>
          <w:rFonts w:cs="Times New Roman"/>
          <w:szCs w:val="24"/>
        </w:rPr>
        <w:t>、《建筑门窗工程检测技术规程》</w:t>
      </w:r>
      <w:r w:rsidRPr="00530A11">
        <w:rPr>
          <w:rFonts w:cs="Times New Roman"/>
          <w:szCs w:val="24"/>
        </w:rPr>
        <w:t>JGJ/T 205</w:t>
      </w:r>
      <w:r w:rsidRPr="00530A11">
        <w:rPr>
          <w:rFonts w:cs="Times New Roman"/>
          <w:szCs w:val="24"/>
        </w:rPr>
        <w:t>、</w:t>
      </w:r>
      <w:r w:rsidR="001836AB" w:rsidRPr="001836AB">
        <w:rPr>
          <w:rFonts w:cs="Times New Roman" w:hint="eastAsia"/>
          <w:szCs w:val="24"/>
        </w:rPr>
        <w:t>《建筑节能工程施工质量验收规范》</w:t>
      </w:r>
      <w:r w:rsidR="001836AB" w:rsidRPr="001836AB">
        <w:rPr>
          <w:rFonts w:cs="Times New Roman" w:hint="eastAsia"/>
          <w:szCs w:val="24"/>
        </w:rPr>
        <w:t>GB</w:t>
      </w:r>
      <w:r w:rsidR="00E50B74">
        <w:rPr>
          <w:rFonts w:cs="Times New Roman"/>
          <w:szCs w:val="24"/>
        </w:rPr>
        <w:t xml:space="preserve"> </w:t>
      </w:r>
      <w:r w:rsidR="001836AB" w:rsidRPr="001836AB">
        <w:rPr>
          <w:rFonts w:cs="Times New Roman" w:hint="eastAsia"/>
          <w:szCs w:val="24"/>
        </w:rPr>
        <w:t>50411</w:t>
      </w:r>
      <w:r w:rsidR="001836AB">
        <w:rPr>
          <w:rFonts w:cs="Times New Roman" w:hint="eastAsia"/>
          <w:szCs w:val="24"/>
        </w:rPr>
        <w:t>、</w:t>
      </w:r>
      <w:r w:rsidRPr="00530A11">
        <w:rPr>
          <w:rFonts w:cs="Times New Roman"/>
          <w:szCs w:val="24"/>
        </w:rPr>
        <w:t>《建筑装饰装修工程质量验收标准》</w:t>
      </w:r>
      <w:r w:rsidRPr="00530A11">
        <w:rPr>
          <w:rFonts w:cs="Times New Roman"/>
          <w:szCs w:val="24"/>
        </w:rPr>
        <w:t>GB 50210</w:t>
      </w:r>
      <w:r w:rsidRPr="00530A11">
        <w:rPr>
          <w:rFonts w:cs="Times New Roman"/>
          <w:szCs w:val="24"/>
        </w:rPr>
        <w:t>等现行相关标准的规定执行。</w:t>
      </w:r>
    </w:p>
    <w:p w14:paraId="7A9D9201" w14:textId="77777777" w:rsidR="0011444E" w:rsidRPr="00530A11" w:rsidRDefault="0011444E" w:rsidP="0011444E">
      <w:pPr>
        <w:ind w:firstLine="420"/>
        <w:rPr>
          <w:rFonts w:cs="Times New Roman"/>
          <w:szCs w:val="24"/>
        </w:rPr>
      </w:pPr>
      <w:r w:rsidRPr="00941AB6">
        <w:rPr>
          <w:rFonts w:cs="Times New Roman" w:hint="eastAsia"/>
          <w:szCs w:val="24"/>
        </w:rPr>
        <w:t>建筑外门窗的开启形式应易于维修、清洗，窗扇应有防脱落措施。在砌体上安装门窗严禁采用射钉固定</w:t>
      </w:r>
      <w:r>
        <w:rPr>
          <w:rFonts w:cs="Times New Roman" w:hint="eastAsia"/>
          <w:szCs w:val="24"/>
        </w:rPr>
        <w:t>。</w:t>
      </w:r>
    </w:p>
    <w:p w14:paraId="756897DA"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lastRenderedPageBreak/>
        <w:t>【评价要点】</w:t>
      </w:r>
    </w:p>
    <w:p w14:paraId="48966AC0" w14:textId="77777777" w:rsidR="006677FB" w:rsidRPr="0081478A" w:rsidRDefault="006677FB" w:rsidP="006677FB">
      <w:pPr>
        <w:ind w:firstLine="420"/>
        <w:rPr>
          <w:rFonts w:cs="Times New Roman"/>
          <w:bCs/>
          <w:szCs w:val="24"/>
        </w:rPr>
      </w:pPr>
      <w:r w:rsidRPr="0081478A">
        <w:rPr>
          <w:rFonts w:cs="Times New Roman"/>
          <w:bCs/>
          <w:szCs w:val="24"/>
        </w:rPr>
        <w:t>在满足本标准第</w:t>
      </w:r>
      <w:r w:rsidRPr="0081478A">
        <w:rPr>
          <w:rFonts w:cs="Times New Roman"/>
          <w:bCs/>
          <w:szCs w:val="24"/>
        </w:rPr>
        <w:t>4.1.2</w:t>
      </w:r>
      <w:r w:rsidRPr="0081478A">
        <w:rPr>
          <w:rFonts w:cs="Times New Roman"/>
          <w:bCs/>
          <w:szCs w:val="24"/>
        </w:rPr>
        <w:t>条的前提下，门窗设计时，各构件及连接应具有足够的刚度、承载能力和一定的变位能力，且要求施工安装牢固，否则容易因抗风压变形过大导致水密性不足，引起渗水，也可能因连接失效导致窗扇脱落等问题。在门窗安装施工过程中，应严格按照设计要求、门窗施工工法和相关验收标准要求进行施工，门窗构件之间连接及门窗四周的与围护结构的连接要可靠、密封应完整、连续，确保外门窗本体、及其与洞口的结合部位严密。</w:t>
      </w:r>
    </w:p>
    <w:p w14:paraId="4D8A1899" w14:textId="77777777" w:rsidR="006677FB" w:rsidRPr="0081478A" w:rsidRDefault="006677FB" w:rsidP="006677FB">
      <w:pPr>
        <w:ind w:firstLine="420"/>
        <w:rPr>
          <w:rFonts w:cs="Times New Roman"/>
          <w:bCs/>
          <w:szCs w:val="24"/>
        </w:rPr>
      </w:pPr>
      <w:r w:rsidRPr="0081478A">
        <w:rPr>
          <w:rFonts w:cs="Times New Roman"/>
          <w:bCs/>
          <w:szCs w:val="24"/>
        </w:rPr>
        <w:t>建设单位应委托第三方检测机构按照现行《建筑外门窗气密、水密、抗风压性能分级及检测方法》</w:t>
      </w:r>
      <w:r w:rsidRPr="0081478A">
        <w:rPr>
          <w:rFonts w:cs="Times New Roman"/>
          <w:bCs/>
          <w:szCs w:val="24"/>
        </w:rPr>
        <w:t>GB/T 7106</w:t>
      </w:r>
      <w:r w:rsidRPr="0081478A">
        <w:rPr>
          <w:rFonts w:cs="Times New Roman"/>
          <w:bCs/>
          <w:szCs w:val="24"/>
        </w:rPr>
        <w:t>进行外门窗水密及抗风压性能见证抽样检测，并提供检测报告；最低抽样原则是在各种门窗规格中，取性能最不利一组三个窗（或门）进行实验室检测验证。当对门窗工程质量有怀疑时，可建议建设单位委托第三方检测机构按现行《建筑外窗气密、水密、抗风压性能现场检测方法》</w:t>
      </w:r>
      <w:r w:rsidRPr="0081478A">
        <w:rPr>
          <w:rFonts w:cs="Times New Roman"/>
          <w:bCs/>
          <w:szCs w:val="24"/>
        </w:rPr>
        <w:t>JG/T 211</w:t>
      </w:r>
      <w:r w:rsidRPr="0081478A">
        <w:rPr>
          <w:rFonts w:cs="Times New Roman"/>
          <w:bCs/>
          <w:szCs w:val="24"/>
        </w:rPr>
        <w:t>进行现场抗风压性能及水密性能检测验证。</w:t>
      </w:r>
    </w:p>
    <w:p w14:paraId="45DE7F0C" w14:textId="77777777" w:rsidR="006677FB" w:rsidRPr="0081478A" w:rsidRDefault="006677FB" w:rsidP="006677FB">
      <w:pPr>
        <w:ind w:firstLine="420"/>
        <w:rPr>
          <w:rFonts w:cs="Times New Roman"/>
          <w:bCs/>
          <w:szCs w:val="24"/>
        </w:rPr>
      </w:pPr>
      <w:r w:rsidRPr="0081478A">
        <w:rPr>
          <w:rFonts w:cs="Times New Roman"/>
          <w:bCs/>
          <w:szCs w:val="24"/>
        </w:rPr>
        <w:t>外门窗的检测与验收应按《建筑外门窗气密、水密、抗风压性能分级及检测方法》</w:t>
      </w:r>
      <w:r w:rsidRPr="0081478A">
        <w:rPr>
          <w:rFonts w:cs="Times New Roman"/>
          <w:bCs/>
          <w:szCs w:val="24"/>
        </w:rPr>
        <w:t>GB/T 7106</w:t>
      </w:r>
      <w:r w:rsidRPr="0081478A">
        <w:rPr>
          <w:rFonts w:cs="Times New Roman"/>
          <w:bCs/>
          <w:szCs w:val="24"/>
        </w:rPr>
        <w:t>、《建筑外窗气密、水密、抗风压性能现场检测方法》</w:t>
      </w:r>
      <w:r w:rsidRPr="0081478A">
        <w:rPr>
          <w:rFonts w:cs="Times New Roman"/>
          <w:bCs/>
          <w:szCs w:val="24"/>
        </w:rPr>
        <w:t>JG/T 211</w:t>
      </w:r>
      <w:r w:rsidRPr="0081478A">
        <w:rPr>
          <w:rFonts w:cs="Times New Roman"/>
          <w:bCs/>
          <w:szCs w:val="24"/>
        </w:rPr>
        <w:t>、《建筑门窗工程检测技术规程》</w:t>
      </w:r>
      <w:r w:rsidRPr="0081478A">
        <w:rPr>
          <w:rFonts w:cs="Times New Roman"/>
          <w:bCs/>
          <w:szCs w:val="24"/>
        </w:rPr>
        <w:t>JGJ/T 205</w:t>
      </w:r>
      <w:r w:rsidRPr="0081478A">
        <w:rPr>
          <w:rFonts w:cs="Times New Roman"/>
          <w:bCs/>
          <w:szCs w:val="24"/>
        </w:rPr>
        <w:t>、《建筑装饰装修工程质量验收标准》</w:t>
      </w:r>
      <w:r w:rsidRPr="0081478A">
        <w:rPr>
          <w:rFonts w:cs="Times New Roman"/>
          <w:bCs/>
          <w:szCs w:val="24"/>
        </w:rPr>
        <w:t>GB 50210</w:t>
      </w:r>
      <w:r w:rsidRPr="0081478A">
        <w:rPr>
          <w:rFonts w:cs="Times New Roman"/>
          <w:bCs/>
          <w:szCs w:val="24"/>
        </w:rPr>
        <w:t>等现行相关标准的规定执行。</w:t>
      </w:r>
    </w:p>
    <w:p w14:paraId="03BCC48F"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5F810F18" w14:textId="77777777" w:rsidR="0011444E" w:rsidRPr="00530A11" w:rsidRDefault="0011444E" w:rsidP="0011444E">
      <w:pPr>
        <w:ind w:firstLine="420"/>
        <w:rPr>
          <w:rFonts w:cs="Times New Roman"/>
          <w:szCs w:val="24"/>
        </w:rPr>
      </w:pPr>
      <w:r w:rsidRPr="00530A11">
        <w:rPr>
          <w:rFonts w:cs="Times New Roman"/>
          <w:szCs w:val="24"/>
        </w:rPr>
        <w:t>预评价查阅相关设计文件、门窗产品三性检测报告；评价查阅相关竣工图、门窗产品三性检测报告和施工工法说明文件</w:t>
      </w:r>
      <w:bookmarkStart w:id="47" w:name="_Hlk39218507"/>
      <w:r>
        <w:rPr>
          <w:rFonts w:cs="Times New Roman" w:hint="eastAsia"/>
          <w:szCs w:val="24"/>
        </w:rPr>
        <w:t>，</w:t>
      </w:r>
      <w:r w:rsidRPr="00941AB6">
        <w:rPr>
          <w:rFonts w:cs="Times New Roman" w:hint="eastAsia"/>
          <w:szCs w:val="24"/>
        </w:rPr>
        <w:t>检查隐蔽工程验收记录</w:t>
      </w:r>
      <w:r>
        <w:rPr>
          <w:rFonts w:cs="Times New Roman" w:hint="eastAsia"/>
          <w:szCs w:val="24"/>
        </w:rPr>
        <w:t>，</w:t>
      </w:r>
      <w:r w:rsidRPr="00941AB6">
        <w:rPr>
          <w:rFonts w:cs="Times New Roman" w:hint="eastAsia"/>
          <w:szCs w:val="24"/>
        </w:rPr>
        <w:t>现场检查时</w:t>
      </w:r>
      <w:r>
        <w:rPr>
          <w:rFonts w:cs="Times New Roman" w:hint="eastAsia"/>
          <w:szCs w:val="24"/>
        </w:rPr>
        <w:t>还应</w:t>
      </w:r>
      <w:r w:rsidRPr="00941AB6">
        <w:rPr>
          <w:rFonts w:cs="Times New Roman" w:hint="eastAsia"/>
          <w:szCs w:val="24"/>
        </w:rPr>
        <w:t>采用观察、开启和关闭检查、手扳检查等</w:t>
      </w:r>
      <w:r w:rsidRPr="00530A11">
        <w:rPr>
          <w:rFonts w:cs="Times New Roman"/>
          <w:szCs w:val="24"/>
        </w:rPr>
        <w:t>。</w:t>
      </w:r>
    </w:p>
    <w:bookmarkEnd w:id="47"/>
    <w:p w14:paraId="0C9887B3" w14:textId="77777777" w:rsidR="00715ABB" w:rsidRPr="006C71BE" w:rsidRDefault="00715ABB">
      <w:pPr>
        <w:snapToGrid w:val="0"/>
        <w:ind w:firstLine="422"/>
        <w:jc w:val="left"/>
        <w:rPr>
          <w:rFonts w:cs="Times New Roman"/>
          <w:b/>
          <w:bCs/>
          <w:szCs w:val="24"/>
        </w:rPr>
      </w:pPr>
    </w:p>
    <w:p w14:paraId="2FF00F0C" w14:textId="77777777" w:rsidR="006A6F67" w:rsidRPr="00530A11" w:rsidRDefault="006A6F67" w:rsidP="006A6F67">
      <w:pPr>
        <w:pStyle w:val="4"/>
        <w:rPr>
          <w:rFonts w:cs="Times New Roman"/>
          <w:bCs w:val="0"/>
        </w:rPr>
      </w:pPr>
      <w:r w:rsidRPr="00530A11">
        <w:rPr>
          <w:rFonts w:cs="Times New Roman"/>
          <w:bCs w:val="0"/>
        </w:rPr>
        <w:t xml:space="preserve">4.1.6 </w:t>
      </w:r>
      <w:r w:rsidRPr="00530A11">
        <w:rPr>
          <w:rFonts w:cs="Times New Roman"/>
          <w:bCs w:val="0"/>
        </w:rPr>
        <w:t>建筑防水层、防潮层设置应满足下列要求：</w:t>
      </w:r>
    </w:p>
    <w:p w14:paraId="277E08A4"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1 </w:t>
      </w:r>
      <w:r w:rsidRPr="006A6F67">
        <w:rPr>
          <w:rFonts w:ascii="Times New Roman" w:hAnsi="Times New Roman" w:cs="Times New Roman" w:hint="eastAsia"/>
          <w:bCs/>
          <w:color w:val="auto"/>
        </w:rPr>
        <w:t>卫生间、浴室、厨房、阳台等楼地面应设置防水层；</w:t>
      </w:r>
    </w:p>
    <w:p w14:paraId="291E47C8"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2 </w:t>
      </w:r>
      <w:r w:rsidRPr="006A6F67">
        <w:rPr>
          <w:rFonts w:ascii="Times New Roman" w:hAnsi="Times New Roman" w:cs="Times New Roman" w:hint="eastAsia"/>
          <w:bCs/>
          <w:color w:val="auto"/>
        </w:rPr>
        <w:t>卫生间、浴室墙面</w:t>
      </w:r>
      <w:r w:rsidRPr="006A6F67">
        <w:rPr>
          <w:rFonts w:ascii="Times New Roman" w:hAnsi="Times New Roman" w:cs="Times New Roman"/>
          <w:bCs/>
          <w:color w:val="auto"/>
        </w:rPr>
        <w:t>1.8</w:t>
      </w:r>
      <w:r w:rsidRPr="006A6F67">
        <w:rPr>
          <w:rFonts w:ascii="Times New Roman" w:hAnsi="Times New Roman" w:cs="Times New Roman" w:hint="eastAsia"/>
          <w:bCs/>
          <w:color w:val="auto"/>
        </w:rPr>
        <w:t>米标高以下应设置防水层；</w:t>
      </w:r>
    </w:p>
    <w:p w14:paraId="09B49315"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3 </w:t>
      </w:r>
      <w:r w:rsidRPr="006A6F67">
        <w:rPr>
          <w:rFonts w:ascii="Times New Roman" w:hAnsi="Times New Roman" w:cs="Times New Roman" w:hint="eastAsia"/>
          <w:bCs/>
          <w:color w:val="auto"/>
        </w:rPr>
        <w:t>卫生间、浴室、厨房、阳台等墙面、顶棚应设置防潮层；</w:t>
      </w:r>
    </w:p>
    <w:p w14:paraId="6F7B54C8"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4 </w:t>
      </w:r>
      <w:r w:rsidRPr="006A6F67">
        <w:rPr>
          <w:rFonts w:ascii="Times New Roman" w:hAnsi="Times New Roman" w:cs="Times New Roman" w:hint="eastAsia"/>
          <w:bCs/>
          <w:color w:val="auto"/>
        </w:rPr>
        <w:t>接触土壤的首层地面应合理设置防潮层或防水层；</w:t>
      </w:r>
    </w:p>
    <w:p w14:paraId="697079C9"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5 </w:t>
      </w:r>
      <w:r w:rsidRPr="006A6F67">
        <w:rPr>
          <w:rFonts w:ascii="Times New Roman" w:hAnsi="Times New Roman" w:cs="Times New Roman" w:hint="eastAsia"/>
          <w:bCs/>
          <w:color w:val="auto"/>
        </w:rPr>
        <w:t>设有低温热水地板辐射供暖的房间，应合理设置防潮层或防水层。</w:t>
      </w:r>
    </w:p>
    <w:p w14:paraId="4B0D1542" w14:textId="77777777" w:rsidR="00715ABB" w:rsidRPr="0081478A" w:rsidRDefault="00F44390">
      <w:pPr>
        <w:ind w:firstLineChars="0" w:firstLine="0"/>
        <w:rPr>
          <w:rFonts w:cs="Times New Roman"/>
          <w:b/>
          <w:szCs w:val="24"/>
        </w:rPr>
      </w:pPr>
      <w:r w:rsidRPr="0081478A">
        <w:rPr>
          <w:rFonts w:cs="Times New Roman"/>
          <w:b/>
          <w:szCs w:val="24"/>
        </w:rPr>
        <w:t>【条文说明】</w:t>
      </w:r>
    </w:p>
    <w:p w14:paraId="77AEE5C4" w14:textId="77777777" w:rsidR="002C09A7" w:rsidRPr="00530A11" w:rsidRDefault="002C09A7" w:rsidP="002C09A7">
      <w:pPr>
        <w:ind w:firstLine="420"/>
      </w:pPr>
      <w:r w:rsidRPr="00530A11">
        <w:t>本条适用于各类民用建筑的预评价、评价。</w:t>
      </w:r>
    </w:p>
    <w:p w14:paraId="2CBBBA28" w14:textId="5C7E5B9F" w:rsidR="00DF6527" w:rsidRPr="00530A11" w:rsidRDefault="002C09A7" w:rsidP="00DF6527">
      <w:pPr>
        <w:ind w:firstLine="420"/>
        <w:rPr>
          <w:rFonts w:cs="Times New Roman"/>
          <w:i/>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szCs w:val="24"/>
        </w:rPr>
        <w:t>并对条文和条文说明进行了局</w:t>
      </w:r>
      <w:r w:rsidRPr="00530A11">
        <w:rPr>
          <w:rFonts w:cs="Times New Roman" w:hint="eastAsia"/>
          <w:szCs w:val="24"/>
        </w:rPr>
        <w:lastRenderedPageBreak/>
        <w:t>部修改和补充。</w:t>
      </w:r>
      <w:r w:rsidRPr="00530A11">
        <w:rPr>
          <w:rFonts w:cs="Times New Roman"/>
          <w:szCs w:val="24"/>
        </w:rPr>
        <w:t>本条对卫生间、浴室、</w:t>
      </w:r>
      <w:r w:rsidRPr="00530A11">
        <w:rPr>
          <w:rFonts w:cs="Times New Roman"/>
        </w:rPr>
        <w:t>厨房、阳台等楼地面</w:t>
      </w:r>
      <w:r w:rsidRPr="00530A11">
        <w:rPr>
          <w:rFonts w:cs="Times New Roman"/>
          <w:szCs w:val="24"/>
        </w:rPr>
        <w:t>的防水进行了规定。为避免水蒸气透过墙体或顶棚，使隔壁房间或住户受潮气影响，导致诸如墙体发霉、破坏装修效果（壁纸脱落、发霉，涂料层起鼓、粉化，地板变形等）等情况发生，要求所有卫生间、浴室墙、地面做防水层，墙面、顶棚均做防潮处理。接触土壤的首层地面应设置防潮层，并视工程具体情况设置防水层。低温热水地板辐射供暖，当绝热层铺设在土壤上时，其绝热层下部应设防潮层。在潮湿房间（如卫生间、厨房等）敷设地板辐射供暖系统时，其加热管覆盖层上应设防水层。防水层和防潮层设计应符合现行行业标准《住宅室内防水工程技术规范》</w:t>
      </w:r>
      <w:r w:rsidRPr="00530A11">
        <w:rPr>
          <w:rFonts w:cs="Times New Roman"/>
          <w:szCs w:val="24"/>
        </w:rPr>
        <w:t>JGJ 298</w:t>
      </w:r>
      <w:r w:rsidRPr="00530A11">
        <w:rPr>
          <w:rFonts w:cs="Times New Roman"/>
          <w:szCs w:val="24"/>
        </w:rPr>
        <w:t>、《地下工程防水技术规范》</w:t>
      </w:r>
      <w:r w:rsidRPr="00530A11">
        <w:rPr>
          <w:rFonts w:cs="Times New Roman"/>
          <w:szCs w:val="24"/>
        </w:rPr>
        <w:t>GB50108</w:t>
      </w:r>
      <w:r w:rsidRPr="00530A11">
        <w:rPr>
          <w:rFonts w:cs="Times New Roman"/>
          <w:szCs w:val="24"/>
        </w:rPr>
        <w:t>、《辐射供暖供冷技术规程》</w:t>
      </w:r>
      <w:r w:rsidRPr="00530A11">
        <w:rPr>
          <w:rFonts w:cs="Times New Roman"/>
          <w:szCs w:val="24"/>
        </w:rPr>
        <w:t>JGJ142</w:t>
      </w:r>
      <w:r w:rsidRPr="00530A11">
        <w:rPr>
          <w:rFonts w:cs="Times New Roman"/>
          <w:szCs w:val="24"/>
        </w:rPr>
        <w:t>的规定。</w:t>
      </w:r>
      <w:r w:rsidR="00DF6527" w:rsidRPr="00C01EA6">
        <w:t>设有配水点的封闭阳台，墙面应设防水层，顶棚宜防潮，楼、地面应有排水措施，并应设置防水层</w:t>
      </w:r>
      <w:r w:rsidR="00DF6527">
        <w:rPr>
          <w:rFonts w:hint="eastAsia"/>
        </w:rPr>
        <w:t>；其他类型阳台，按照国家相关标准规范要求执行。</w:t>
      </w:r>
    </w:p>
    <w:p w14:paraId="6B5F1C0A"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4E161CB4" w14:textId="74D43F6E" w:rsidR="00407515" w:rsidRDefault="006677FB" w:rsidP="00F83296">
      <w:pPr>
        <w:ind w:firstLine="420"/>
      </w:pPr>
      <w:r w:rsidRPr="0081478A">
        <w:rPr>
          <w:rFonts w:cs="Times New Roman"/>
        </w:rPr>
        <w:t>防水层和防潮层设计应符合现行行业标准《住宅室内防水工程技术规范》</w:t>
      </w:r>
      <w:r w:rsidRPr="0081478A">
        <w:rPr>
          <w:rFonts w:cs="Times New Roman"/>
        </w:rPr>
        <w:t>JGJ 298</w:t>
      </w:r>
      <w:r w:rsidRPr="0081478A">
        <w:rPr>
          <w:rFonts w:cs="Times New Roman"/>
        </w:rPr>
        <w:t>的规定以及渝建发</w:t>
      </w:r>
      <w:r w:rsidRPr="0081478A">
        <w:rPr>
          <w:rFonts w:cs="Times New Roman"/>
        </w:rPr>
        <w:t>2013-101</w:t>
      </w:r>
      <w:r w:rsidRPr="0081478A">
        <w:rPr>
          <w:rFonts w:cs="Times New Roman"/>
        </w:rPr>
        <w:t>号文和渝建</w:t>
      </w:r>
      <w:r w:rsidRPr="0081478A">
        <w:rPr>
          <w:rFonts w:cs="Times New Roman"/>
        </w:rPr>
        <w:t>2019-198</w:t>
      </w:r>
      <w:r w:rsidRPr="0081478A">
        <w:rPr>
          <w:rFonts w:cs="Times New Roman"/>
        </w:rPr>
        <w:t>号的规定。</w:t>
      </w:r>
      <w:r w:rsidR="00CA2BBB" w:rsidRPr="00CA2BBB">
        <w:rPr>
          <w:rFonts w:hint="eastAsia"/>
        </w:rPr>
        <w:t>设有低温热水地板辐射供暖的卧室、起居室等本身无水的房间，应在绝热层下方设置防潮层。具体做法参照</w:t>
      </w:r>
      <w:r w:rsidR="0065781D">
        <w:rPr>
          <w:rFonts w:hint="eastAsia"/>
        </w:rPr>
        <w:t>《</w:t>
      </w:r>
      <w:r w:rsidR="00CA2BBB" w:rsidRPr="00CA2BBB">
        <w:rPr>
          <w:rFonts w:hint="eastAsia"/>
        </w:rPr>
        <w:t>国家建筑标准设计图集</w:t>
      </w:r>
      <w:r w:rsidR="00CA2BBB" w:rsidRPr="00CA2BBB">
        <w:rPr>
          <w:rFonts w:hint="eastAsia"/>
        </w:rPr>
        <w:t>J909</w:t>
      </w:r>
      <w:r w:rsidR="00CA2BBB" w:rsidRPr="00CA2BBB">
        <w:rPr>
          <w:rFonts w:hint="eastAsia"/>
        </w:rPr>
        <w:t>、</w:t>
      </w:r>
      <w:r w:rsidR="00CA2BBB" w:rsidRPr="00CA2BBB">
        <w:rPr>
          <w:rFonts w:hint="eastAsia"/>
        </w:rPr>
        <w:t>G120</w:t>
      </w:r>
      <w:r w:rsidR="0065781D">
        <w:rPr>
          <w:rFonts w:hint="eastAsia"/>
        </w:rPr>
        <w:t>》</w:t>
      </w:r>
      <w:r w:rsidR="00CA2BBB" w:rsidRPr="00CA2BBB">
        <w:rPr>
          <w:rFonts w:hint="eastAsia"/>
        </w:rPr>
        <w:t>。</w:t>
      </w:r>
    </w:p>
    <w:p w14:paraId="7D737BA1" w14:textId="5854F3B4"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08577942" w14:textId="77777777" w:rsidR="0084444F" w:rsidRPr="00530A11" w:rsidRDefault="0084444F" w:rsidP="0084444F">
      <w:pPr>
        <w:ind w:firstLine="420"/>
        <w:rPr>
          <w:rFonts w:cs="Times New Roman"/>
          <w:szCs w:val="24"/>
        </w:rPr>
      </w:pPr>
      <w:r w:rsidRPr="00530A11">
        <w:rPr>
          <w:rFonts w:cs="Times New Roman"/>
          <w:szCs w:val="24"/>
        </w:rPr>
        <w:t>预评价查阅相关设计文件、防水和防潮措施说明；评价查阅相关竣工图及检测检验报告、防水和防潮措施说明，查看工程验收资料，查看实体质量是否有渗漏、返潮。</w:t>
      </w:r>
    </w:p>
    <w:p w14:paraId="007FAF65" w14:textId="77777777" w:rsidR="00715ABB" w:rsidRPr="0084444F" w:rsidRDefault="00715ABB">
      <w:pPr>
        <w:ind w:firstLine="420"/>
        <w:rPr>
          <w:rFonts w:cs="Times New Roman"/>
          <w:bCs/>
          <w:szCs w:val="24"/>
        </w:rPr>
      </w:pPr>
    </w:p>
    <w:p w14:paraId="17BCE4A9" w14:textId="77777777" w:rsidR="006A6F67" w:rsidRPr="00530A11" w:rsidRDefault="006A6F67" w:rsidP="006A6F67">
      <w:pPr>
        <w:pStyle w:val="4"/>
        <w:rPr>
          <w:rFonts w:cs="Times New Roman"/>
          <w:bCs w:val="0"/>
        </w:rPr>
      </w:pPr>
      <w:r w:rsidRPr="00530A11">
        <w:rPr>
          <w:rFonts w:cs="Times New Roman"/>
          <w:bCs w:val="0"/>
        </w:rPr>
        <w:t xml:space="preserve">4.1.7 </w:t>
      </w:r>
      <w:r w:rsidRPr="00530A11">
        <w:rPr>
          <w:rFonts w:cs="Times New Roman"/>
          <w:bCs w:val="0"/>
        </w:rPr>
        <w:t>走廊、疏散通道等通行空间应满足紧急疏散、应急救护等要求，且应保持畅通。</w:t>
      </w:r>
    </w:p>
    <w:p w14:paraId="4ECF0F26" w14:textId="77777777" w:rsidR="00715ABB" w:rsidRPr="0081478A" w:rsidRDefault="00F44390">
      <w:pPr>
        <w:ind w:firstLineChars="0" w:firstLine="0"/>
        <w:rPr>
          <w:rFonts w:cs="Times New Roman"/>
          <w:b/>
          <w:szCs w:val="24"/>
        </w:rPr>
      </w:pPr>
      <w:r w:rsidRPr="0081478A">
        <w:rPr>
          <w:rFonts w:cs="Times New Roman"/>
          <w:b/>
          <w:szCs w:val="24"/>
        </w:rPr>
        <w:t>【条文说明】</w:t>
      </w:r>
    </w:p>
    <w:p w14:paraId="605D3C39" w14:textId="77777777" w:rsidR="002C09A7" w:rsidRPr="00530A11" w:rsidRDefault="002C09A7" w:rsidP="002C09A7">
      <w:pPr>
        <w:ind w:firstLine="420"/>
      </w:pPr>
      <w:r w:rsidRPr="00530A11">
        <w:t>本条适用于各类民用建筑的预评价、评价。</w:t>
      </w:r>
    </w:p>
    <w:p w14:paraId="73DC308B"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613F3C88" w14:textId="77777777" w:rsidR="002C09A7" w:rsidRPr="00530A11" w:rsidRDefault="002C09A7" w:rsidP="002C09A7">
      <w:pPr>
        <w:ind w:firstLine="420"/>
        <w:rPr>
          <w:rFonts w:cs="Times New Roman"/>
          <w:szCs w:val="24"/>
        </w:rPr>
      </w:pPr>
      <w:r w:rsidRPr="00530A11">
        <w:rPr>
          <w:rFonts w:cs="Times New Roman"/>
          <w:szCs w:val="24"/>
        </w:rPr>
        <w:t>在发生突发事件时，疏散和救护顺畅非常重要，必须在场地和建筑设计中考虑到对策和措施。建筑应根据其高度、规模、使用功能和耐火等级等因素合理设置安全疏散和避难设施。安全出口和疏散门的位置、数量、宽度及疏散楼梯间的形式，应满足人员安全疏散的要求。走廊、疏散通道等应满足现行国家标准《建筑设计防火规范》</w:t>
      </w:r>
      <w:r w:rsidRPr="00530A11">
        <w:rPr>
          <w:rFonts w:cs="Times New Roman"/>
          <w:szCs w:val="24"/>
        </w:rPr>
        <w:t>GB 50016</w:t>
      </w:r>
      <w:r w:rsidRPr="00530A11">
        <w:rPr>
          <w:rFonts w:cs="Times New Roman"/>
          <w:szCs w:val="24"/>
        </w:rPr>
        <w:t>、《防灾避难场所设计规范》</w:t>
      </w:r>
      <w:r w:rsidRPr="00530A11">
        <w:rPr>
          <w:rFonts w:cs="Times New Roman"/>
          <w:szCs w:val="24"/>
        </w:rPr>
        <w:t>GB 51143</w:t>
      </w:r>
      <w:r w:rsidRPr="00530A11">
        <w:rPr>
          <w:rFonts w:cs="Times New Roman"/>
          <w:szCs w:val="24"/>
        </w:rPr>
        <w:t>等对安全疏散和避难、应急交通的相关要求。本条重在强调保持通行空间路线畅通、视线清晰，不应有阳台花池、机电箱等凸向走廊、疏散通道的设计，防止对人员活动、步行交通、消防疏散埋下安全隐患。</w:t>
      </w:r>
    </w:p>
    <w:p w14:paraId="14BAFACC"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lastRenderedPageBreak/>
        <w:t>【评价要点】</w:t>
      </w:r>
    </w:p>
    <w:p w14:paraId="64342CB7" w14:textId="77777777" w:rsidR="006677FB" w:rsidRPr="0081478A" w:rsidRDefault="006677FB" w:rsidP="006677FB">
      <w:pPr>
        <w:ind w:firstLine="420"/>
        <w:rPr>
          <w:rFonts w:cs="Times New Roman"/>
          <w:bCs/>
          <w:szCs w:val="24"/>
        </w:rPr>
      </w:pPr>
      <w:r w:rsidRPr="0081478A">
        <w:rPr>
          <w:rFonts w:cs="Times New Roman"/>
          <w:bCs/>
          <w:szCs w:val="24"/>
        </w:rPr>
        <w:t>走廊、疏散通道等应满足现行国家标准《建筑设计防火规范》</w:t>
      </w:r>
      <w:r w:rsidRPr="0081478A">
        <w:rPr>
          <w:rFonts w:cs="Times New Roman"/>
          <w:bCs/>
          <w:szCs w:val="24"/>
        </w:rPr>
        <w:t>GB 50016</w:t>
      </w:r>
      <w:r w:rsidRPr="0081478A">
        <w:rPr>
          <w:rFonts w:cs="Times New Roman"/>
          <w:bCs/>
          <w:szCs w:val="24"/>
        </w:rPr>
        <w:t>、《防灾避难场所设计规范》</w:t>
      </w:r>
      <w:r w:rsidRPr="0081478A">
        <w:rPr>
          <w:rFonts w:cs="Times New Roman"/>
          <w:bCs/>
          <w:szCs w:val="24"/>
        </w:rPr>
        <w:t>GB 51143</w:t>
      </w:r>
      <w:r w:rsidRPr="0081478A">
        <w:rPr>
          <w:rFonts w:cs="Times New Roman"/>
          <w:bCs/>
          <w:szCs w:val="24"/>
        </w:rPr>
        <w:t>等对安全疏散和避难、应急交通的相关要求。</w:t>
      </w:r>
    </w:p>
    <w:p w14:paraId="40A442B2"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441DB7D2" w14:textId="77777777" w:rsidR="0084444F" w:rsidRPr="00530A11" w:rsidRDefault="0084444F" w:rsidP="0084444F">
      <w:pPr>
        <w:ind w:firstLine="420"/>
        <w:rPr>
          <w:rFonts w:cs="Times New Roman"/>
          <w:szCs w:val="24"/>
        </w:rPr>
      </w:pPr>
      <w:r w:rsidRPr="00530A11">
        <w:rPr>
          <w:rFonts w:cs="Times New Roman"/>
          <w:szCs w:val="24"/>
        </w:rPr>
        <w:t>预评价查阅相关设计文件；评价查阅相关竣工图、相关管理规定。</w:t>
      </w:r>
    </w:p>
    <w:p w14:paraId="18513AB6" w14:textId="77777777" w:rsidR="00715ABB" w:rsidRPr="0084444F" w:rsidRDefault="00715ABB">
      <w:pPr>
        <w:ind w:firstLine="420"/>
        <w:rPr>
          <w:rFonts w:cs="Times New Roman"/>
        </w:rPr>
      </w:pPr>
    </w:p>
    <w:p w14:paraId="697E4E49" w14:textId="77777777" w:rsidR="006A6F67" w:rsidRPr="00530A11" w:rsidRDefault="006A6F67" w:rsidP="006A6F67">
      <w:pPr>
        <w:pStyle w:val="4"/>
        <w:rPr>
          <w:rFonts w:cs="Times New Roman"/>
          <w:bCs w:val="0"/>
        </w:rPr>
      </w:pPr>
      <w:bookmarkStart w:id="48" w:name="_Hlk20589694"/>
      <w:r w:rsidRPr="00530A11">
        <w:rPr>
          <w:rFonts w:cs="Times New Roman"/>
          <w:bCs w:val="0"/>
        </w:rPr>
        <w:t xml:space="preserve">4.1.8 </w:t>
      </w:r>
      <w:r w:rsidRPr="00530A11">
        <w:rPr>
          <w:rFonts w:cs="Times New Roman"/>
          <w:bCs w:val="0"/>
        </w:rPr>
        <w:t>应具有安全防护的警示和引导标识系统。</w:t>
      </w:r>
    </w:p>
    <w:bookmarkEnd w:id="48"/>
    <w:p w14:paraId="4187663B" w14:textId="77777777" w:rsidR="00715ABB" w:rsidRPr="0081478A" w:rsidRDefault="00F44390">
      <w:pPr>
        <w:ind w:firstLineChars="0" w:firstLine="0"/>
        <w:rPr>
          <w:rFonts w:cs="Times New Roman"/>
          <w:b/>
          <w:szCs w:val="24"/>
        </w:rPr>
      </w:pPr>
      <w:r w:rsidRPr="0081478A">
        <w:rPr>
          <w:rFonts w:cs="Times New Roman"/>
          <w:b/>
          <w:szCs w:val="24"/>
        </w:rPr>
        <w:t>【条文说明】</w:t>
      </w:r>
    </w:p>
    <w:p w14:paraId="66CD125C" w14:textId="77777777" w:rsidR="002C09A7" w:rsidRPr="00530A11" w:rsidRDefault="002C09A7" w:rsidP="002C09A7">
      <w:pPr>
        <w:ind w:firstLine="420"/>
      </w:pPr>
      <w:r w:rsidRPr="00530A11">
        <w:t>本条适用于各类民用建筑的预评价、评价。</w:t>
      </w:r>
    </w:p>
    <w:p w14:paraId="644642D7"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767F0FC3" w14:textId="77777777" w:rsidR="002C09A7" w:rsidRPr="00530A11" w:rsidRDefault="002C09A7" w:rsidP="002C09A7">
      <w:pPr>
        <w:ind w:firstLine="420"/>
        <w:rPr>
          <w:rFonts w:cs="Times New Roman"/>
          <w:szCs w:val="24"/>
        </w:rPr>
      </w:pPr>
      <w:r w:rsidRPr="00530A11">
        <w:rPr>
          <w:rFonts w:cs="Times New Roman"/>
          <w:szCs w:val="24"/>
        </w:rPr>
        <w:t>根据国家标准《安全标志及其使用导则》</w:t>
      </w:r>
      <w:r w:rsidRPr="00530A11">
        <w:rPr>
          <w:rFonts w:cs="Times New Roman"/>
          <w:szCs w:val="24"/>
        </w:rPr>
        <w:t>GB 2894-2008</w:t>
      </w:r>
      <w:r w:rsidRPr="00530A11">
        <w:rPr>
          <w:rFonts w:cs="Times New Roman"/>
          <w:szCs w:val="24"/>
        </w:rPr>
        <w:t>，安全标志分为禁止标志、警告标志、指令标志和提示标志四类。本条所述是指具有警示和引导功能的安全标志，应在场地及建筑公共场所和其他有必要提醒人们注意安全的场所显著位置上设置。</w:t>
      </w:r>
    </w:p>
    <w:p w14:paraId="038CADFF" w14:textId="77777777" w:rsidR="002C09A7" w:rsidRPr="00530A11" w:rsidRDefault="002C09A7" w:rsidP="002C09A7">
      <w:pPr>
        <w:ind w:firstLine="420"/>
        <w:rPr>
          <w:rFonts w:cs="Times New Roman"/>
          <w:szCs w:val="24"/>
        </w:rPr>
      </w:pPr>
      <w:r w:rsidRPr="00530A11">
        <w:rPr>
          <w:rFonts w:cs="Times New Roman"/>
          <w:szCs w:val="24"/>
        </w:rPr>
        <w:t>设置显著、醒目的安全警示标志，能够起到提醒建筑使用者注意安全的作用。警示标志一般设置于人员流动大的场所，青少年和儿童经常活动的场所，容易碰撞、夹伤、湿滑及危险的部位和场所等。比如禁止攀爬、禁止倚靠、禁止伸出窗外、禁止抛物、注意安全、当心碰头、当心夹手、当心车辆、当心坠落、当心滑倒、当心落水等。</w:t>
      </w:r>
    </w:p>
    <w:p w14:paraId="46FBB061" w14:textId="77777777" w:rsidR="002C09A7" w:rsidRPr="00530A11" w:rsidRDefault="002C09A7" w:rsidP="002C09A7">
      <w:pPr>
        <w:ind w:firstLine="420"/>
        <w:rPr>
          <w:rFonts w:cs="Times New Roman"/>
          <w:szCs w:val="24"/>
        </w:rPr>
      </w:pPr>
      <w:r w:rsidRPr="00530A11">
        <w:rPr>
          <w:rFonts w:cs="Times New Roman"/>
          <w:szCs w:val="24"/>
        </w:rPr>
        <w:t>设置安全引导指示标志，包括紧急出口标志、避险处标志、应急避难场所标志、急救点标志、报警点标志等，以及其他促进建筑安全使用的引导标志等。比如紧急出口标志，一般设置于便于安全疏散的紧急出口处，结合方向箭头设置于通向紧急出口的通道、楼梯口等处。</w:t>
      </w:r>
    </w:p>
    <w:p w14:paraId="40AA618A" w14:textId="77777777" w:rsidR="002C09A7" w:rsidRPr="00530A11" w:rsidRDefault="002C09A7" w:rsidP="002C09A7">
      <w:pPr>
        <w:ind w:firstLine="420"/>
        <w:rPr>
          <w:rFonts w:cs="Times New Roman"/>
        </w:rPr>
      </w:pPr>
      <w:r w:rsidRPr="00530A11">
        <w:rPr>
          <w:rFonts w:cs="Times New Roman"/>
        </w:rPr>
        <w:t>车库内主要交叉道路处应设置减速设施和凸面镜，车位应设置橡胶车挡，重要部位处应设置橡胶防撞板。</w:t>
      </w:r>
    </w:p>
    <w:p w14:paraId="636CBEFA" w14:textId="77777777" w:rsidR="002C09A7" w:rsidRPr="00530A11" w:rsidRDefault="002C09A7" w:rsidP="002C09A7">
      <w:pPr>
        <w:ind w:firstLine="420"/>
        <w:rPr>
          <w:rFonts w:cs="Times New Roman"/>
        </w:rPr>
      </w:pPr>
      <w:r w:rsidRPr="00530A11">
        <w:rPr>
          <w:rFonts w:cs="Times New Roman"/>
        </w:rPr>
        <w:t>为了便于管道内的物质识别，确保安全生产，避免在安装过程中、在操作上、在设备检修上发生材料相互混淆、误判断等情况，对所有压力管道、公用管线、公用设备、设施材料标识进行规定。</w:t>
      </w:r>
    </w:p>
    <w:p w14:paraId="6800DE7C"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04642A65" w14:textId="77777777" w:rsidR="006677FB" w:rsidRPr="0081478A" w:rsidRDefault="006677FB" w:rsidP="006677FB">
      <w:pPr>
        <w:ind w:firstLine="420"/>
        <w:rPr>
          <w:rFonts w:cs="Times New Roman"/>
        </w:rPr>
      </w:pPr>
      <w:r w:rsidRPr="0081478A">
        <w:rPr>
          <w:rFonts w:cs="Times New Roman"/>
        </w:rPr>
        <w:t>标识标牌在园林景观总平面图中应有索引，并提供标识标牌设计详图；车库应提供标识标牌和安全防护措施专项设计详图。核查现场标识牌内容是否完善、清晰，位置是否得当，材料是否耐久易维护。</w:t>
      </w:r>
    </w:p>
    <w:p w14:paraId="11BB1506" w14:textId="77777777" w:rsidR="006677FB" w:rsidRPr="0081478A" w:rsidRDefault="006677FB" w:rsidP="006677FB">
      <w:pPr>
        <w:ind w:firstLine="420"/>
        <w:rPr>
          <w:rFonts w:cs="Times New Roman"/>
        </w:rPr>
      </w:pPr>
      <w:r w:rsidRPr="0081478A">
        <w:rPr>
          <w:rFonts w:cs="Times New Roman"/>
        </w:rPr>
        <w:t>非传统水源管道和设备应设置明确、清晰的永久性标识。</w:t>
      </w:r>
    </w:p>
    <w:p w14:paraId="512240B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lastRenderedPageBreak/>
        <w:t>【评价方法】</w:t>
      </w:r>
    </w:p>
    <w:p w14:paraId="627BB0F8" w14:textId="77777777" w:rsidR="0084444F" w:rsidRPr="00530A11" w:rsidRDefault="0084444F" w:rsidP="0084444F">
      <w:pPr>
        <w:ind w:firstLine="420"/>
        <w:rPr>
          <w:rFonts w:cs="Times New Roman"/>
          <w:szCs w:val="24"/>
        </w:rPr>
      </w:pPr>
      <w:r w:rsidRPr="00530A11">
        <w:rPr>
          <w:rFonts w:cs="Times New Roman"/>
          <w:szCs w:val="24"/>
        </w:rPr>
        <w:t>预评价查阅标识系统设计与设置说明文件；评价查阅标识系统设计与设置说明文件、相关影像材料等，组织现场查勘。</w:t>
      </w:r>
    </w:p>
    <w:p w14:paraId="3EA223ED" w14:textId="77777777" w:rsidR="00715ABB" w:rsidRPr="0084444F" w:rsidRDefault="00715ABB">
      <w:pPr>
        <w:ind w:firstLine="420"/>
        <w:rPr>
          <w:rFonts w:cs="Times New Roman"/>
        </w:rPr>
      </w:pPr>
    </w:p>
    <w:p w14:paraId="18ACC31C" w14:textId="77777777" w:rsidR="00715ABB" w:rsidRPr="0081478A" w:rsidRDefault="00715ABB">
      <w:pPr>
        <w:pStyle w:val="20"/>
        <w:rPr>
          <w:rFonts w:ascii="Times New Roman" w:hAnsi="Times New Roman" w:cs="Times New Roman"/>
          <w:color w:val="auto"/>
        </w:rPr>
      </w:pPr>
    </w:p>
    <w:p w14:paraId="36C5C20B" w14:textId="77777777" w:rsidR="00715ABB" w:rsidRPr="0081478A" w:rsidRDefault="00F44390" w:rsidP="003C1556">
      <w:pPr>
        <w:pStyle w:val="2"/>
      </w:pPr>
      <w:bookmarkStart w:id="49" w:name="_Toc22221562"/>
      <w:bookmarkStart w:id="50" w:name="_Toc35364729"/>
      <w:r w:rsidRPr="0081478A">
        <w:t xml:space="preserve">4.2 </w:t>
      </w:r>
      <w:r w:rsidRPr="0081478A">
        <w:t>评分项</w:t>
      </w:r>
      <w:bookmarkEnd w:id="49"/>
      <w:bookmarkEnd w:id="50"/>
    </w:p>
    <w:p w14:paraId="5BB1F4AA" w14:textId="77777777" w:rsidR="00715ABB" w:rsidRPr="0081478A" w:rsidRDefault="00F44390" w:rsidP="001A7E3B">
      <w:pPr>
        <w:pStyle w:val="3"/>
      </w:pPr>
      <w:bookmarkStart w:id="51" w:name="_Toc22221563"/>
      <w:bookmarkStart w:id="52" w:name="_Toc35364730"/>
      <w:r w:rsidRPr="0081478A">
        <w:t xml:space="preserve">Ⅰ </w:t>
      </w:r>
      <w:r w:rsidRPr="0081478A">
        <w:t>安全</w:t>
      </w:r>
      <w:bookmarkEnd w:id="51"/>
      <w:bookmarkEnd w:id="52"/>
    </w:p>
    <w:p w14:paraId="09715E81" w14:textId="77777777" w:rsidR="006A6F67" w:rsidRPr="00530A11" w:rsidRDefault="006A6F67" w:rsidP="006A6F67">
      <w:pPr>
        <w:pStyle w:val="4"/>
        <w:rPr>
          <w:rFonts w:cs="Times New Roman"/>
          <w:bCs w:val="0"/>
        </w:rPr>
      </w:pPr>
      <w:r w:rsidRPr="00530A11">
        <w:rPr>
          <w:rFonts w:cs="Times New Roman"/>
          <w:bCs w:val="0"/>
        </w:rPr>
        <w:t xml:space="preserve">4.2.1 </w:t>
      </w:r>
      <w:r w:rsidRPr="00530A11">
        <w:rPr>
          <w:rFonts w:cs="Times New Roman"/>
          <w:bCs w:val="0"/>
        </w:rPr>
        <w:t>采用基于性能的抗震设计并合理提高建筑的抗震性能，评价总分值为</w:t>
      </w:r>
      <w:r w:rsidRPr="00530A11">
        <w:rPr>
          <w:rFonts w:cs="Times New Roman"/>
          <w:bCs w:val="0"/>
        </w:rPr>
        <w:t>10</w:t>
      </w:r>
      <w:r w:rsidRPr="00530A11">
        <w:rPr>
          <w:rFonts w:cs="Times New Roman"/>
          <w:bCs w:val="0"/>
        </w:rPr>
        <w:t>分，并按下列规则评分：</w:t>
      </w:r>
    </w:p>
    <w:p w14:paraId="5D43341B"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1 </w:t>
      </w:r>
      <w:r w:rsidRPr="006A6F67">
        <w:rPr>
          <w:rFonts w:ascii="Times New Roman" w:hAnsi="Times New Roman" w:cs="Times New Roman"/>
          <w:bCs/>
          <w:color w:val="auto"/>
        </w:rPr>
        <w:t>采用更高的抗震性能目标进行设计，得</w:t>
      </w:r>
      <w:r w:rsidRPr="006A6F67">
        <w:rPr>
          <w:rFonts w:ascii="Times New Roman" w:hAnsi="Times New Roman" w:cs="Times New Roman"/>
          <w:bCs/>
          <w:color w:val="auto"/>
        </w:rPr>
        <w:t>10</w:t>
      </w:r>
      <w:r w:rsidRPr="006A6F67">
        <w:rPr>
          <w:rFonts w:ascii="Times New Roman" w:hAnsi="Times New Roman" w:cs="Times New Roman"/>
          <w:bCs/>
          <w:color w:val="auto"/>
        </w:rPr>
        <w:t>分；</w:t>
      </w:r>
    </w:p>
    <w:p w14:paraId="7632E751" w14:textId="77777777" w:rsidR="006A6F67" w:rsidRPr="006A6F67" w:rsidRDefault="006A6F67" w:rsidP="006A6F67">
      <w:pPr>
        <w:pStyle w:val="20"/>
        <w:ind w:firstLineChars="200" w:firstLine="422"/>
        <w:rPr>
          <w:rFonts w:ascii="Times New Roman" w:hAnsi="Times New Roman" w:cs="Times New Roman"/>
          <w:bCs/>
          <w:color w:val="auto"/>
        </w:rPr>
      </w:pPr>
      <w:r w:rsidRPr="006A6F67">
        <w:rPr>
          <w:rFonts w:ascii="Times New Roman" w:hAnsi="Times New Roman" w:cs="Times New Roman"/>
          <w:bCs/>
          <w:color w:val="auto"/>
        </w:rPr>
        <w:t>1</w:t>
      </w:r>
      <w:r w:rsidRPr="006A6F67">
        <w:rPr>
          <w:rFonts w:ascii="Times New Roman" w:hAnsi="Times New Roman" w:cs="Times New Roman"/>
          <w:bCs/>
          <w:color w:val="auto"/>
        </w:rPr>
        <w:t>）</w:t>
      </w:r>
      <w:r w:rsidRPr="006A6F67">
        <w:rPr>
          <w:rFonts w:ascii="Times New Roman" w:hAnsi="Times New Roman" w:cs="Times New Roman"/>
          <w:bCs/>
          <w:color w:val="auto"/>
        </w:rPr>
        <w:t xml:space="preserve"> </w:t>
      </w:r>
      <w:r w:rsidRPr="006A6F67">
        <w:rPr>
          <w:rFonts w:ascii="Times New Roman" w:hAnsi="Times New Roman" w:cs="Times New Roman"/>
          <w:bCs/>
          <w:color w:val="auto"/>
        </w:rPr>
        <w:t>关键部位、关键构件及节点</w:t>
      </w:r>
      <w:r w:rsidRPr="006A6F67">
        <w:rPr>
          <w:rFonts w:ascii="Times New Roman" w:hAnsi="Times New Roman" w:cs="Times New Roman" w:hint="eastAsia"/>
          <w:bCs/>
          <w:color w:val="auto"/>
        </w:rPr>
        <w:t>采用</w:t>
      </w:r>
      <w:r w:rsidRPr="006A6F67">
        <w:rPr>
          <w:rFonts w:ascii="Times New Roman" w:hAnsi="Times New Roman" w:cs="Times New Roman"/>
          <w:bCs/>
          <w:color w:val="auto"/>
        </w:rPr>
        <w:t>“</w:t>
      </w:r>
      <w:r w:rsidRPr="006A6F67">
        <w:rPr>
          <w:rFonts w:ascii="Times New Roman" w:hAnsi="Times New Roman" w:cs="Times New Roman"/>
          <w:bCs/>
          <w:color w:val="auto"/>
        </w:rPr>
        <w:t>中震不屈服</w:t>
      </w:r>
      <w:r w:rsidRPr="006A6F67">
        <w:rPr>
          <w:rFonts w:ascii="Times New Roman" w:hAnsi="Times New Roman" w:cs="Times New Roman"/>
          <w:bCs/>
          <w:color w:val="auto"/>
        </w:rPr>
        <w:t>”</w:t>
      </w:r>
      <w:r w:rsidRPr="006A6F67">
        <w:rPr>
          <w:rFonts w:ascii="Times New Roman" w:hAnsi="Times New Roman" w:cs="Times New Roman" w:hint="eastAsia"/>
          <w:bCs/>
          <w:color w:val="auto"/>
        </w:rPr>
        <w:t>以上</w:t>
      </w:r>
      <w:r w:rsidRPr="006A6F67">
        <w:rPr>
          <w:rFonts w:ascii="Times New Roman" w:hAnsi="Times New Roman" w:cs="Times New Roman"/>
          <w:bCs/>
          <w:color w:val="auto"/>
        </w:rPr>
        <w:t>的抗震性能目标进行设计，得</w:t>
      </w:r>
      <w:r w:rsidRPr="006A6F67">
        <w:rPr>
          <w:rFonts w:ascii="Times New Roman" w:hAnsi="Times New Roman" w:cs="Times New Roman"/>
          <w:bCs/>
          <w:color w:val="auto"/>
        </w:rPr>
        <w:t>5</w:t>
      </w:r>
      <w:r w:rsidRPr="006A6F67">
        <w:rPr>
          <w:rFonts w:ascii="Times New Roman" w:hAnsi="Times New Roman" w:cs="Times New Roman"/>
          <w:bCs/>
          <w:color w:val="auto"/>
        </w:rPr>
        <w:t>分；</w:t>
      </w:r>
      <w:r w:rsidRPr="006A6F67">
        <w:rPr>
          <w:rFonts w:ascii="Times New Roman" w:hAnsi="Times New Roman" w:cs="Times New Roman"/>
          <w:bCs/>
          <w:color w:val="auto"/>
        </w:rPr>
        <w:t xml:space="preserve"> </w:t>
      </w:r>
    </w:p>
    <w:p w14:paraId="19E103C4" w14:textId="77777777" w:rsidR="006A6F67" w:rsidRPr="006A6F67" w:rsidRDefault="006A6F67" w:rsidP="006A6F67">
      <w:pPr>
        <w:pStyle w:val="20"/>
        <w:ind w:firstLineChars="200" w:firstLine="422"/>
        <w:rPr>
          <w:rFonts w:ascii="Times New Roman" w:hAnsi="Times New Roman" w:cs="Times New Roman"/>
          <w:bCs/>
          <w:color w:val="auto"/>
        </w:rPr>
      </w:pPr>
      <w:r w:rsidRPr="006A6F67">
        <w:rPr>
          <w:rFonts w:ascii="Times New Roman" w:hAnsi="Times New Roman" w:cs="Times New Roman"/>
          <w:bCs/>
          <w:color w:val="auto"/>
        </w:rPr>
        <w:t>2</w:t>
      </w:r>
      <w:r w:rsidRPr="006A6F67">
        <w:rPr>
          <w:rFonts w:ascii="Times New Roman" w:hAnsi="Times New Roman" w:cs="Times New Roman"/>
          <w:bCs/>
          <w:color w:val="auto"/>
        </w:rPr>
        <w:t>）</w:t>
      </w:r>
      <w:r w:rsidRPr="006A6F67">
        <w:rPr>
          <w:rFonts w:ascii="Times New Roman" w:hAnsi="Times New Roman" w:cs="Times New Roman"/>
          <w:bCs/>
          <w:color w:val="auto"/>
        </w:rPr>
        <w:t xml:space="preserve"> </w:t>
      </w:r>
      <w:r w:rsidRPr="006A6F67">
        <w:rPr>
          <w:rFonts w:ascii="Times New Roman" w:hAnsi="Times New Roman" w:cs="Times New Roman"/>
          <w:bCs/>
          <w:color w:val="auto"/>
        </w:rPr>
        <w:t>整体结构</w:t>
      </w:r>
      <w:r w:rsidRPr="006A6F67">
        <w:rPr>
          <w:rFonts w:ascii="Times New Roman" w:hAnsi="Times New Roman" w:cs="Times New Roman" w:hint="eastAsia"/>
          <w:bCs/>
          <w:color w:val="auto"/>
        </w:rPr>
        <w:t>采用</w:t>
      </w:r>
      <w:r w:rsidRPr="006A6F67">
        <w:rPr>
          <w:rFonts w:ascii="Times New Roman" w:hAnsi="Times New Roman" w:cs="Times New Roman"/>
          <w:bCs/>
          <w:color w:val="auto"/>
        </w:rPr>
        <w:t>“</w:t>
      </w:r>
      <w:r w:rsidRPr="006A6F67">
        <w:rPr>
          <w:rFonts w:ascii="Times New Roman" w:hAnsi="Times New Roman" w:cs="Times New Roman"/>
          <w:bCs/>
          <w:color w:val="auto"/>
        </w:rPr>
        <w:t>中震不屈服</w:t>
      </w:r>
      <w:r w:rsidRPr="006A6F67">
        <w:rPr>
          <w:rFonts w:ascii="Times New Roman" w:hAnsi="Times New Roman" w:cs="Times New Roman"/>
          <w:bCs/>
          <w:color w:val="auto"/>
        </w:rPr>
        <w:t>”</w:t>
      </w:r>
      <w:r w:rsidRPr="006A6F67">
        <w:rPr>
          <w:rFonts w:ascii="Times New Roman" w:hAnsi="Times New Roman" w:cs="Times New Roman" w:hint="eastAsia"/>
          <w:bCs/>
          <w:color w:val="auto"/>
        </w:rPr>
        <w:t>以上</w:t>
      </w:r>
      <w:r w:rsidRPr="006A6F67">
        <w:rPr>
          <w:rFonts w:ascii="Times New Roman" w:hAnsi="Times New Roman" w:cs="Times New Roman"/>
          <w:bCs/>
          <w:color w:val="auto"/>
        </w:rPr>
        <w:t>的抗震性能目标进行设计，得</w:t>
      </w:r>
      <w:r w:rsidRPr="006A6F67">
        <w:rPr>
          <w:rFonts w:ascii="Times New Roman" w:hAnsi="Times New Roman" w:cs="Times New Roman"/>
          <w:bCs/>
          <w:color w:val="auto"/>
        </w:rPr>
        <w:t>10</w:t>
      </w:r>
      <w:r w:rsidRPr="006A6F67">
        <w:rPr>
          <w:rFonts w:ascii="Times New Roman" w:hAnsi="Times New Roman" w:cs="Times New Roman"/>
          <w:bCs/>
          <w:color w:val="auto"/>
        </w:rPr>
        <w:t>分。</w:t>
      </w:r>
    </w:p>
    <w:p w14:paraId="685A3B0F"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2 </w:t>
      </w:r>
      <w:r w:rsidRPr="006A6F67">
        <w:rPr>
          <w:rFonts w:ascii="Times New Roman" w:hAnsi="Times New Roman" w:cs="Times New Roman"/>
          <w:bCs/>
          <w:color w:val="auto"/>
        </w:rPr>
        <w:t>采用隔震、消能减震设计，得</w:t>
      </w:r>
      <w:r w:rsidRPr="006A6F67">
        <w:rPr>
          <w:rFonts w:ascii="Times New Roman" w:hAnsi="Times New Roman" w:cs="Times New Roman"/>
          <w:bCs/>
          <w:color w:val="auto"/>
        </w:rPr>
        <w:t>10</w:t>
      </w:r>
      <w:r w:rsidRPr="006A6F67">
        <w:rPr>
          <w:rFonts w:ascii="Times New Roman" w:hAnsi="Times New Roman" w:cs="Times New Roman"/>
          <w:bCs/>
          <w:color w:val="auto"/>
        </w:rPr>
        <w:t>分。</w:t>
      </w:r>
    </w:p>
    <w:p w14:paraId="62C8837C" w14:textId="77777777" w:rsidR="00715ABB" w:rsidRPr="0081478A" w:rsidRDefault="00F44390">
      <w:pPr>
        <w:ind w:firstLineChars="0" w:firstLine="0"/>
        <w:rPr>
          <w:rFonts w:cs="Times New Roman"/>
          <w:b/>
          <w:szCs w:val="24"/>
        </w:rPr>
      </w:pPr>
      <w:r w:rsidRPr="0081478A">
        <w:rPr>
          <w:rFonts w:cs="Times New Roman"/>
          <w:b/>
          <w:szCs w:val="24"/>
        </w:rPr>
        <w:t>【条文说明】</w:t>
      </w:r>
    </w:p>
    <w:p w14:paraId="0C5D885C" w14:textId="77777777" w:rsidR="002C09A7" w:rsidRPr="00530A11" w:rsidRDefault="002C09A7" w:rsidP="002C09A7">
      <w:pPr>
        <w:ind w:firstLine="420"/>
      </w:pPr>
      <w:r w:rsidRPr="00530A11">
        <w:t>本条适用于各类民用建筑的预评价、评价。</w:t>
      </w:r>
    </w:p>
    <w:p w14:paraId="7B44E2B9"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szCs w:val="24"/>
        </w:rPr>
        <w:t>并对条文和条文说明进行了局部修改。</w:t>
      </w:r>
      <w:r w:rsidRPr="00530A11">
        <w:rPr>
          <w:rFonts w:cs="Times New Roman"/>
          <w:szCs w:val="24"/>
        </w:rPr>
        <w:t>采用基于性能的抗震设计并适当提高建筑的抗震性能指标要求，同时在满足使用功能及资源节约的前提下，建筑具有合理的刚度，如采用</w:t>
      </w:r>
      <w:r w:rsidRPr="00530A11">
        <w:rPr>
          <w:rFonts w:cs="Times New Roman"/>
          <w:szCs w:val="24"/>
        </w:rPr>
        <w:t>“</w:t>
      </w:r>
      <w:r w:rsidRPr="00530A11">
        <w:rPr>
          <w:rFonts w:cs="Times New Roman"/>
          <w:szCs w:val="24"/>
        </w:rPr>
        <w:t>中震不屈服</w:t>
      </w:r>
      <w:r w:rsidRPr="00530A11">
        <w:rPr>
          <w:rFonts w:cs="Times New Roman"/>
          <w:szCs w:val="24"/>
        </w:rPr>
        <w:t>”</w:t>
      </w:r>
      <w:r w:rsidRPr="00530A11">
        <w:rPr>
          <w:rFonts w:cs="Times New Roman"/>
          <w:szCs w:val="24"/>
        </w:rPr>
        <w:t>以上的性能目标，可以提高建筑的抗震安全性及功能性；采用隔震、消能减震设计，是提高建筑物的设防类别或提高其抗震性能要求时的有效手段。</w:t>
      </w:r>
    </w:p>
    <w:p w14:paraId="2901E843"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49382642" w14:textId="77777777" w:rsidR="006677FB" w:rsidRPr="0081478A" w:rsidRDefault="006677FB" w:rsidP="006677FB">
      <w:pPr>
        <w:ind w:firstLine="420"/>
        <w:rPr>
          <w:rFonts w:cs="Times New Roman"/>
        </w:rPr>
      </w:pPr>
      <w:r w:rsidRPr="0081478A">
        <w:rPr>
          <w:rFonts w:cs="Times New Roman"/>
        </w:rPr>
        <w:t>基于性能的抗震设计即性能化设计仍是以现有的抗震科学水平和经济条件为前提的，一般需要综合考虑使用功能、设防烈度、结构的不规则程度和类型、结构发挥延性变形的能力、造价、震后的各种损失及修复难度等等因素。不同的抗震设防类别，其性能设计要求也有所不同。</w:t>
      </w:r>
      <w:r w:rsidRPr="0081478A">
        <w:rPr>
          <w:rFonts w:cs="Times New Roman"/>
        </w:rPr>
        <w:t>“</w:t>
      </w:r>
      <w:r w:rsidRPr="0081478A">
        <w:rPr>
          <w:rFonts w:cs="Times New Roman"/>
        </w:rPr>
        <w:t>小震不坏、中震可修、大震不倒</w:t>
      </w:r>
      <w:r w:rsidRPr="0081478A">
        <w:rPr>
          <w:rFonts w:cs="Times New Roman"/>
        </w:rPr>
        <w:t xml:space="preserve">” </w:t>
      </w:r>
      <w:r w:rsidRPr="0081478A">
        <w:rPr>
          <w:rFonts w:cs="Times New Roman"/>
        </w:rPr>
        <w:t>是一般情况的性能要求，参考《建筑抗震设计规范》</w:t>
      </w:r>
      <w:r w:rsidRPr="0081478A">
        <w:rPr>
          <w:rFonts w:cs="Times New Roman"/>
        </w:rPr>
        <w:t>GB 50011-2010</w:t>
      </w:r>
      <w:r w:rsidRPr="0081478A">
        <w:rPr>
          <w:rFonts w:cs="Times New Roman"/>
        </w:rPr>
        <w:t>（</w:t>
      </w:r>
      <w:r w:rsidRPr="0081478A">
        <w:rPr>
          <w:rFonts w:cs="Times New Roman"/>
        </w:rPr>
        <w:t>2016</w:t>
      </w:r>
      <w:r w:rsidRPr="0081478A">
        <w:rPr>
          <w:rFonts w:cs="Times New Roman"/>
        </w:rPr>
        <w:t>年版），地震下可供选定的高于一般情况的预期性能目标可参考</w:t>
      </w:r>
      <w:r w:rsidRPr="0081478A">
        <w:rPr>
          <w:rFonts w:cs="Times New Roman"/>
        </w:rPr>
        <w:lastRenderedPageBreak/>
        <w:t>表</w:t>
      </w:r>
      <w:r w:rsidRPr="0081478A">
        <w:rPr>
          <w:rFonts w:cs="Times New Roman"/>
        </w:rPr>
        <w:t>4.</w:t>
      </w:r>
      <w:r w:rsidR="000F6D77" w:rsidRPr="0081478A">
        <w:rPr>
          <w:rFonts w:cs="Times New Roman"/>
        </w:rPr>
        <w:t>2.</w:t>
      </w:r>
      <w:r w:rsidRPr="0081478A">
        <w:rPr>
          <w:rFonts w:cs="Times New Roman"/>
        </w:rPr>
        <w:t>1</w:t>
      </w:r>
      <w:r w:rsidRPr="0081478A">
        <w:rPr>
          <w:rFonts w:cs="Times New Roman"/>
        </w:rPr>
        <w:t>。</w:t>
      </w:r>
    </w:p>
    <w:p w14:paraId="0A209C9A" w14:textId="77777777" w:rsidR="006677FB" w:rsidRPr="0081478A" w:rsidRDefault="006677FB" w:rsidP="006677FB">
      <w:pPr>
        <w:pStyle w:val="ae"/>
        <w:rPr>
          <w:rFonts w:cs="Times New Roman"/>
          <w:b w:val="0"/>
          <w:bCs/>
        </w:rPr>
      </w:pPr>
      <w:r w:rsidRPr="0081478A">
        <w:rPr>
          <w:rFonts w:cs="Times New Roman"/>
          <w:b w:val="0"/>
          <w:bCs/>
        </w:rPr>
        <w:t>表</w:t>
      </w:r>
      <w:r w:rsidRPr="0081478A">
        <w:rPr>
          <w:rFonts w:cs="Times New Roman"/>
          <w:b w:val="0"/>
          <w:bCs/>
        </w:rPr>
        <w:t>4.</w:t>
      </w:r>
      <w:r w:rsidR="000F6D77" w:rsidRPr="0081478A">
        <w:rPr>
          <w:rFonts w:cs="Times New Roman"/>
          <w:b w:val="0"/>
          <w:bCs/>
        </w:rPr>
        <w:t>2.</w:t>
      </w:r>
      <w:r w:rsidRPr="0081478A">
        <w:rPr>
          <w:rFonts w:cs="Times New Roman"/>
          <w:b w:val="0"/>
          <w:bCs/>
        </w:rPr>
        <w:t xml:space="preserve">1 </w:t>
      </w:r>
      <w:r w:rsidRPr="0081478A">
        <w:rPr>
          <w:rFonts w:cs="Times New Roman"/>
          <w:b w:val="0"/>
          <w:bCs/>
        </w:rPr>
        <w:t>可供选定的高于一般情况的预期性能目标</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98"/>
        <w:gridCol w:w="1770"/>
        <w:gridCol w:w="1774"/>
        <w:gridCol w:w="1774"/>
        <w:gridCol w:w="1912"/>
      </w:tblGrid>
      <w:tr w:rsidR="0081478A" w:rsidRPr="0081478A" w14:paraId="7C57A240" w14:textId="77777777" w:rsidTr="006677FB">
        <w:tc>
          <w:tcPr>
            <w:tcW w:w="761" w:type="pct"/>
            <w:shd w:val="clear" w:color="auto" w:fill="auto"/>
            <w:vAlign w:val="center"/>
          </w:tcPr>
          <w:p w14:paraId="202485A2" w14:textId="77777777" w:rsidR="006677FB" w:rsidRPr="0081478A" w:rsidRDefault="006677FB" w:rsidP="006677FB">
            <w:pPr>
              <w:pStyle w:val="ae"/>
              <w:rPr>
                <w:rFonts w:cs="Times New Roman"/>
                <w:b w:val="0"/>
                <w:bCs/>
                <w:szCs w:val="24"/>
              </w:rPr>
            </w:pPr>
            <w:r w:rsidRPr="0081478A">
              <w:rPr>
                <w:rFonts w:cs="Times New Roman"/>
                <w:b w:val="0"/>
                <w:bCs/>
                <w:szCs w:val="24"/>
              </w:rPr>
              <w:t>地震水准</w:t>
            </w:r>
          </w:p>
        </w:tc>
        <w:tc>
          <w:tcPr>
            <w:tcW w:w="1038" w:type="pct"/>
            <w:shd w:val="clear" w:color="auto" w:fill="auto"/>
            <w:vAlign w:val="center"/>
          </w:tcPr>
          <w:p w14:paraId="3427487B" w14:textId="77777777" w:rsidR="006677FB" w:rsidRPr="0081478A" w:rsidRDefault="006677FB" w:rsidP="006677FB">
            <w:pPr>
              <w:pStyle w:val="ae"/>
              <w:rPr>
                <w:rFonts w:cs="Times New Roman"/>
                <w:b w:val="0"/>
                <w:bCs/>
                <w:szCs w:val="24"/>
              </w:rPr>
            </w:pPr>
            <w:r w:rsidRPr="0081478A">
              <w:rPr>
                <w:rFonts w:cs="Times New Roman"/>
                <w:b w:val="0"/>
                <w:bCs/>
                <w:szCs w:val="24"/>
              </w:rPr>
              <w:t>性能</w:t>
            </w:r>
            <w:r w:rsidRPr="0081478A">
              <w:rPr>
                <w:rFonts w:cs="Times New Roman"/>
                <w:b w:val="0"/>
                <w:bCs/>
                <w:szCs w:val="24"/>
              </w:rPr>
              <w:t>1</w:t>
            </w:r>
          </w:p>
        </w:tc>
        <w:tc>
          <w:tcPr>
            <w:tcW w:w="1040" w:type="pct"/>
            <w:shd w:val="clear" w:color="auto" w:fill="auto"/>
            <w:vAlign w:val="center"/>
          </w:tcPr>
          <w:p w14:paraId="62146C1A" w14:textId="77777777" w:rsidR="006677FB" w:rsidRPr="0081478A" w:rsidRDefault="006677FB" w:rsidP="006677FB">
            <w:pPr>
              <w:pStyle w:val="ae"/>
              <w:rPr>
                <w:rFonts w:cs="Times New Roman"/>
                <w:b w:val="0"/>
                <w:bCs/>
                <w:szCs w:val="24"/>
              </w:rPr>
            </w:pPr>
            <w:r w:rsidRPr="0081478A">
              <w:rPr>
                <w:rFonts w:cs="Times New Roman"/>
                <w:b w:val="0"/>
                <w:bCs/>
                <w:szCs w:val="24"/>
              </w:rPr>
              <w:t>性能</w:t>
            </w:r>
            <w:r w:rsidRPr="0081478A">
              <w:rPr>
                <w:rFonts w:cs="Times New Roman"/>
                <w:b w:val="0"/>
                <w:bCs/>
                <w:szCs w:val="24"/>
              </w:rPr>
              <w:t>2</w:t>
            </w:r>
          </w:p>
        </w:tc>
        <w:tc>
          <w:tcPr>
            <w:tcW w:w="1040" w:type="pct"/>
            <w:shd w:val="clear" w:color="auto" w:fill="auto"/>
            <w:vAlign w:val="center"/>
          </w:tcPr>
          <w:p w14:paraId="4483FDFB" w14:textId="77777777" w:rsidR="006677FB" w:rsidRPr="0081478A" w:rsidRDefault="006677FB" w:rsidP="006677FB">
            <w:pPr>
              <w:pStyle w:val="ae"/>
              <w:rPr>
                <w:rFonts w:cs="Times New Roman"/>
                <w:b w:val="0"/>
                <w:bCs/>
                <w:szCs w:val="24"/>
              </w:rPr>
            </w:pPr>
            <w:r w:rsidRPr="0081478A">
              <w:rPr>
                <w:rFonts w:cs="Times New Roman"/>
                <w:b w:val="0"/>
                <w:bCs/>
                <w:szCs w:val="24"/>
              </w:rPr>
              <w:t>性能</w:t>
            </w:r>
            <w:r w:rsidRPr="0081478A">
              <w:rPr>
                <w:rFonts w:cs="Times New Roman"/>
                <w:b w:val="0"/>
                <w:bCs/>
                <w:szCs w:val="24"/>
              </w:rPr>
              <w:t>3</w:t>
            </w:r>
          </w:p>
        </w:tc>
        <w:tc>
          <w:tcPr>
            <w:tcW w:w="1121" w:type="pct"/>
            <w:shd w:val="clear" w:color="auto" w:fill="auto"/>
            <w:vAlign w:val="center"/>
          </w:tcPr>
          <w:p w14:paraId="16B36C8A" w14:textId="77777777" w:rsidR="006677FB" w:rsidRPr="0081478A" w:rsidRDefault="006677FB" w:rsidP="006677FB">
            <w:pPr>
              <w:pStyle w:val="ae"/>
              <w:rPr>
                <w:rFonts w:cs="Times New Roman"/>
                <w:b w:val="0"/>
                <w:bCs/>
                <w:szCs w:val="24"/>
              </w:rPr>
            </w:pPr>
            <w:r w:rsidRPr="0081478A">
              <w:rPr>
                <w:rFonts w:cs="Times New Roman"/>
                <w:b w:val="0"/>
                <w:bCs/>
                <w:szCs w:val="24"/>
              </w:rPr>
              <w:t>性能</w:t>
            </w:r>
            <w:r w:rsidRPr="0081478A">
              <w:rPr>
                <w:rFonts w:cs="Times New Roman"/>
                <w:b w:val="0"/>
                <w:bCs/>
                <w:szCs w:val="24"/>
              </w:rPr>
              <w:t>4</w:t>
            </w:r>
          </w:p>
        </w:tc>
      </w:tr>
      <w:tr w:rsidR="0081478A" w:rsidRPr="0081478A" w14:paraId="5E0F89D6" w14:textId="77777777" w:rsidTr="006677FB">
        <w:tc>
          <w:tcPr>
            <w:tcW w:w="761" w:type="pct"/>
            <w:shd w:val="clear" w:color="auto" w:fill="auto"/>
            <w:vAlign w:val="center"/>
          </w:tcPr>
          <w:p w14:paraId="48F87353" w14:textId="77777777" w:rsidR="006677FB" w:rsidRPr="0081478A" w:rsidRDefault="006677FB" w:rsidP="006677FB">
            <w:pPr>
              <w:pStyle w:val="ae"/>
              <w:rPr>
                <w:rFonts w:cs="Times New Roman"/>
                <w:b w:val="0"/>
                <w:bCs/>
                <w:szCs w:val="24"/>
              </w:rPr>
            </w:pPr>
            <w:r w:rsidRPr="0081478A">
              <w:rPr>
                <w:rFonts w:cs="Times New Roman"/>
                <w:b w:val="0"/>
                <w:bCs/>
                <w:szCs w:val="24"/>
              </w:rPr>
              <w:t>多遇地震</w:t>
            </w:r>
          </w:p>
        </w:tc>
        <w:tc>
          <w:tcPr>
            <w:tcW w:w="1038" w:type="pct"/>
            <w:shd w:val="clear" w:color="auto" w:fill="auto"/>
            <w:vAlign w:val="center"/>
          </w:tcPr>
          <w:p w14:paraId="7E6D1D93" w14:textId="77777777" w:rsidR="006677FB" w:rsidRPr="0081478A" w:rsidRDefault="006677FB" w:rsidP="006677FB">
            <w:pPr>
              <w:pStyle w:val="ae"/>
              <w:rPr>
                <w:rFonts w:cs="Times New Roman"/>
                <w:b w:val="0"/>
                <w:bCs/>
                <w:szCs w:val="24"/>
              </w:rPr>
            </w:pPr>
            <w:r w:rsidRPr="0081478A">
              <w:rPr>
                <w:rFonts w:cs="Times New Roman"/>
                <w:b w:val="0"/>
                <w:bCs/>
                <w:szCs w:val="24"/>
              </w:rPr>
              <w:t>完好</w:t>
            </w:r>
          </w:p>
        </w:tc>
        <w:tc>
          <w:tcPr>
            <w:tcW w:w="1040" w:type="pct"/>
            <w:shd w:val="clear" w:color="auto" w:fill="auto"/>
            <w:vAlign w:val="center"/>
          </w:tcPr>
          <w:p w14:paraId="3B149C38" w14:textId="77777777" w:rsidR="006677FB" w:rsidRPr="0081478A" w:rsidRDefault="006677FB" w:rsidP="006677FB">
            <w:pPr>
              <w:pStyle w:val="ae"/>
              <w:rPr>
                <w:rFonts w:cs="Times New Roman"/>
                <w:b w:val="0"/>
                <w:bCs/>
                <w:szCs w:val="24"/>
              </w:rPr>
            </w:pPr>
            <w:r w:rsidRPr="0081478A">
              <w:rPr>
                <w:rFonts w:cs="Times New Roman"/>
                <w:b w:val="0"/>
                <w:bCs/>
                <w:szCs w:val="24"/>
              </w:rPr>
              <w:t>完好</w:t>
            </w:r>
          </w:p>
        </w:tc>
        <w:tc>
          <w:tcPr>
            <w:tcW w:w="1040" w:type="pct"/>
            <w:shd w:val="clear" w:color="auto" w:fill="auto"/>
            <w:vAlign w:val="center"/>
          </w:tcPr>
          <w:p w14:paraId="20B9E816" w14:textId="77777777" w:rsidR="006677FB" w:rsidRPr="0081478A" w:rsidRDefault="006677FB" w:rsidP="006677FB">
            <w:pPr>
              <w:pStyle w:val="ae"/>
              <w:rPr>
                <w:rFonts w:cs="Times New Roman"/>
                <w:b w:val="0"/>
                <w:bCs/>
                <w:szCs w:val="24"/>
              </w:rPr>
            </w:pPr>
            <w:r w:rsidRPr="0081478A">
              <w:rPr>
                <w:rFonts w:cs="Times New Roman"/>
                <w:b w:val="0"/>
                <w:bCs/>
                <w:szCs w:val="24"/>
              </w:rPr>
              <w:t>完好</w:t>
            </w:r>
          </w:p>
        </w:tc>
        <w:tc>
          <w:tcPr>
            <w:tcW w:w="1121" w:type="pct"/>
            <w:shd w:val="clear" w:color="auto" w:fill="auto"/>
            <w:vAlign w:val="center"/>
          </w:tcPr>
          <w:p w14:paraId="1709625F" w14:textId="77777777" w:rsidR="006677FB" w:rsidRPr="0081478A" w:rsidRDefault="006677FB" w:rsidP="006677FB">
            <w:pPr>
              <w:pStyle w:val="ae"/>
              <w:rPr>
                <w:rFonts w:cs="Times New Roman"/>
                <w:b w:val="0"/>
                <w:bCs/>
                <w:szCs w:val="24"/>
              </w:rPr>
            </w:pPr>
            <w:r w:rsidRPr="0081478A">
              <w:rPr>
                <w:rFonts w:cs="Times New Roman"/>
                <w:b w:val="0"/>
                <w:bCs/>
                <w:szCs w:val="24"/>
              </w:rPr>
              <w:t>完好</w:t>
            </w:r>
          </w:p>
        </w:tc>
      </w:tr>
      <w:tr w:rsidR="0081478A" w:rsidRPr="0081478A" w14:paraId="51BC91A5" w14:textId="77777777" w:rsidTr="006677FB">
        <w:tc>
          <w:tcPr>
            <w:tcW w:w="761" w:type="pct"/>
            <w:shd w:val="clear" w:color="auto" w:fill="auto"/>
            <w:vAlign w:val="center"/>
          </w:tcPr>
          <w:p w14:paraId="1527C0D8" w14:textId="77777777" w:rsidR="006677FB" w:rsidRPr="0081478A" w:rsidRDefault="006677FB" w:rsidP="006677FB">
            <w:pPr>
              <w:pStyle w:val="ae"/>
              <w:rPr>
                <w:rFonts w:cs="Times New Roman"/>
                <w:b w:val="0"/>
                <w:bCs/>
                <w:szCs w:val="24"/>
              </w:rPr>
            </w:pPr>
            <w:r w:rsidRPr="0081478A">
              <w:rPr>
                <w:rFonts w:cs="Times New Roman"/>
                <w:b w:val="0"/>
                <w:bCs/>
                <w:szCs w:val="24"/>
              </w:rPr>
              <w:t>设防地震</w:t>
            </w:r>
          </w:p>
        </w:tc>
        <w:tc>
          <w:tcPr>
            <w:tcW w:w="1038" w:type="pct"/>
            <w:shd w:val="clear" w:color="auto" w:fill="auto"/>
            <w:vAlign w:val="center"/>
          </w:tcPr>
          <w:p w14:paraId="311DD9BD" w14:textId="77777777" w:rsidR="006677FB" w:rsidRPr="0081478A" w:rsidRDefault="006677FB" w:rsidP="006677FB">
            <w:pPr>
              <w:pStyle w:val="ae"/>
              <w:rPr>
                <w:rFonts w:cs="Times New Roman"/>
                <w:b w:val="0"/>
                <w:bCs/>
                <w:szCs w:val="24"/>
              </w:rPr>
            </w:pPr>
            <w:r w:rsidRPr="0081478A">
              <w:rPr>
                <w:rFonts w:cs="Times New Roman"/>
                <w:b w:val="0"/>
                <w:bCs/>
                <w:szCs w:val="24"/>
              </w:rPr>
              <w:t>完好</w:t>
            </w:r>
            <w:r w:rsidRPr="0081478A">
              <w:rPr>
                <w:rFonts w:cs="Times New Roman"/>
                <w:b w:val="0"/>
                <w:bCs/>
                <w:szCs w:val="24"/>
              </w:rPr>
              <w:t>,</w:t>
            </w:r>
            <w:r w:rsidRPr="0081478A">
              <w:rPr>
                <w:rFonts w:cs="Times New Roman"/>
                <w:b w:val="0"/>
                <w:bCs/>
                <w:szCs w:val="24"/>
              </w:rPr>
              <w:t>正常使用</w:t>
            </w:r>
          </w:p>
        </w:tc>
        <w:tc>
          <w:tcPr>
            <w:tcW w:w="1040" w:type="pct"/>
            <w:shd w:val="clear" w:color="auto" w:fill="auto"/>
            <w:vAlign w:val="center"/>
          </w:tcPr>
          <w:p w14:paraId="6136F522" w14:textId="77777777" w:rsidR="006677FB" w:rsidRPr="0081478A" w:rsidRDefault="006677FB" w:rsidP="006677FB">
            <w:pPr>
              <w:pStyle w:val="ae"/>
              <w:rPr>
                <w:rFonts w:cs="Times New Roman"/>
                <w:b w:val="0"/>
                <w:bCs/>
                <w:szCs w:val="24"/>
              </w:rPr>
            </w:pPr>
            <w:r w:rsidRPr="0081478A">
              <w:rPr>
                <w:rFonts w:cs="Times New Roman"/>
                <w:b w:val="0"/>
                <w:bCs/>
                <w:szCs w:val="24"/>
              </w:rPr>
              <w:t>基本完好</w:t>
            </w:r>
            <w:r w:rsidRPr="0081478A">
              <w:rPr>
                <w:rFonts w:cs="Times New Roman"/>
                <w:b w:val="0"/>
                <w:bCs/>
                <w:szCs w:val="24"/>
              </w:rPr>
              <w:t>,</w:t>
            </w:r>
            <w:r w:rsidRPr="0081478A">
              <w:rPr>
                <w:rFonts w:cs="Times New Roman"/>
                <w:b w:val="0"/>
                <w:bCs/>
                <w:szCs w:val="24"/>
              </w:rPr>
              <w:t>检修后继续使用</w:t>
            </w:r>
          </w:p>
        </w:tc>
        <w:tc>
          <w:tcPr>
            <w:tcW w:w="1040" w:type="pct"/>
            <w:shd w:val="clear" w:color="auto" w:fill="auto"/>
            <w:vAlign w:val="center"/>
          </w:tcPr>
          <w:p w14:paraId="14671283" w14:textId="77777777" w:rsidR="006677FB" w:rsidRPr="0081478A" w:rsidRDefault="006677FB" w:rsidP="006677FB">
            <w:pPr>
              <w:pStyle w:val="ae"/>
              <w:rPr>
                <w:rFonts w:cs="Times New Roman"/>
                <w:b w:val="0"/>
                <w:bCs/>
                <w:szCs w:val="24"/>
              </w:rPr>
            </w:pPr>
            <w:r w:rsidRPr="0081478A">
              <w:rPr>
                <w:rFonts w:cs="Times New Roman"/>
                <w:b w:val="0"/>
                <w:bCs/>
                <w:szCs w:val="24"/>
              </w:rPr>
              <w:t>轻微损坏</w:t>
            </w:r>
            <w:r w:rsidRPr="0081478A">
              <w:rPr>
                <w:rFonts w:cs="Times New Roman"/>
                <w:b w:val="0"/>
                <w:bCs/>
                <w:szCs w:val="24"/>
              </w:rPr>
              <w:t>,</w:t>
            </w:r>
            <w:r w:rsidRPr="0081478A">
              <w:rPr>
                <w:rFonts w:cs="Times New Roman"/>
                <w:b w:val="0"/>
                <w:bCs/>
                <w:szCs w:val="24"/>
              </w:rPr>
              <w:t>简单修理后继续使用</w:t>
            </w:r>
          </w:p>
        </w:tc>
        <w:tc>
          <w:tcPr>
            <w:tcW w:w="1121" w:type="pct"/>
            <w:shd w:val="clear" w:color="auto" w:fill="auto"/>
            <w:vAlign w:val="center"/>
          </w:tcPr>
          <w:p w14:paraId="513DFA6A" w14:textId="77777777" w:rsidR="006677FB" w:rsidRPr="0081478A" w:rsidRDefault="006677FB" w:rsidP="006677FB">
            <w:pPr>
              <w:pStyle w:val="ae"/>
              <w:rPr>
                <w:rFonts w:cs="Times New Roman"/>
                <w:b w:val="0"/>
                <w:bCs/>
                <w:szCs w:val="24"/>
              </w:rPr>
            </w:pPr>
            <w:r w:rsidRPr="0081478A">
              <w:rPr>
                <w:rFonts w:cs="Times New Roman"/>
                <w:b w:val="0"/>
                <w:bCs/>
                <w:szCs w:val="24"/>
              </w:rPr>
              <w:t>轻微至接近中等损坏，变形＜</w:t>
            </w:r>
            <w:r w:rsidRPr="0081478A">
              <w:rPr>
                <w:rFonts w:cs="Times New Roman"/>
                <w:b w:val="0"/>
                <w:bCs/>
                <w:szCs w:val="24"/>
              </w:rPr>
              <w:t>3[</w:t>
            </w:r>
            <w:r w:rsidRPr="0081478A">
              <w:rPr>
                <w:rFonts w:ascii="宋体" w:hAnsi="宋体" w:cs="宋体" w:hint="eastAsia"/>
                <w:b w:val="0"/>
                <w:bCs/>
                <w:szCs w:val="24"/>
              </w:rPr>
              <w:t>⊿</w:t>
            </w:r>
            <w:r w:rsidRPr="0081478A">
              <w:rPr>
                <w:rFonts w:cs="Times New Roman"/>
                <w:b w:val="0"/>
                <w:bCs/>
                <w:szCs w:val="24"/>
              </w:rPr>
              <w:t>ue]</w:t>
            </w:r>
          </w:p>
        </w:tc>
      </w:tr>
      <w:tr w:rsidR="0081478A" w:rsidRPr="0081478A" w14:paraId="62B345BB" w14:textId="77777777" w:rsidTr="006677FB">
        <w:tc>
          <w:tcPr>
            <w:tcW w:w="761" w:type="pct"/>
            <w:shd w:val="clear" w:color="auto" w:fill="auto"/>
            <w:vAlign w:val="center"/>
          </w:tcPr>
          <w:p w14:paraId="4A2C3850" w14:textId="77777777" w:rsidR="006677FB" w:rsidRPr="0081478A" w:rsidRDefault="006677FB" w:rsidP="006677FB">
            <w:pPr>
              <w:pStyle w:val="ae"/>
              <w:rPr>
                <w:rFonts w:cs="Times New Roman"/>
                <w:b w:val="0"/>
                <w:bCs/>
                <w:szCs w:val="24"/>
              </w:rPr>
            </w:pPr>
            <w:r w:rsidRPr="0081478A">
              <w:rPr>
                <w:rFonts w:cs="Times New Roman"/>
                <w:b w:val="0"/>
                <w:bCs/>
                <w:szCs w:val="24"/>
              </w:rPr>
              <w:t>罕遇地震</w:t>
            </w:r>
          </w:p>
        </w:tc>
        <w:tc>
          <w:tcPr>
            <w:tcW w:w="1038" w:type="pct"/>
            <w:shd w:val="clear" w:color="auto" w:fill="auto"/>
            <w:vAlign w:val="center"/>
          </w:tcPr>
          <w:p w14:paraId="1D7938F2" w14:textId="77777777" w:rsidR="006677FB" w:rsidRPr="0081478A" w:rsidRDefault="006677FB" w:rsidP="006677FB">
            <w:pPr>
              <w:pStyle w:val="ae"/>
              <w:rPr>
                <w:rFonts w:cs="Times New Roman"/>
                <w:b w:val="0"/>
                <w:bCs/>
                <w:szCs w:val="24"/>
              </w:rPr>
            </w:pPr>
            <w:r w:rsidRPr="0081478A">
              <w:rPr>
                <w:rFonts w:cs="Times New Roman"/>
                <w:b w:val="0"/>
                <w:bCs/>
                <w:szCs w:val="24"/>
              </w:rPr>
              <w:t>基本完好</w:t>
            </w:r>
            <w:r w:rsidRPr="0081478A">
              <w:rPr>
                <w:rFonts w:cs="Times New Roman"/>
                <w:b w:val="0"/>
                <w:bCs/>
                <w:szCs w:val="24"/>
              </w:rPr>
              <w:t xml:space="preserve">, </w:t>
            </w:r>
            <w:r w:rsidRPr="0081478A">
              <w:rPr>
                <w:rFonts w:cs="Times New Roman"/>
                <w:b w:val="0"/>
                <w:bCs/>
                <w:szCs w:val="24"/>
              </w:rPr>
              <w:t>检修后继续使用</w:t>
            </w:r>
          </w:p>
        </w:tc>
        <w:tc>
          <w:tcPr>
            <w:tcW w:w="1040" w:type="pct"/>
            <w:shd w:val="clear" w:color="auto" w:fill="auto"/>
            <w:vAlign w:val="center"/>
          </w:tcPr>
          <w:p w14:paraId="4E8A5442" w14:textId="77777777" w:rsidR="006677FB" w:rsidRPr="0081478A" w:rsidRDefault="006677FB" w:rsidP="006677FB">
            <w:pPr>
              <w:pStyle w:val="ae"/>
              <w:rPr>
                <w:rFonts w:cs="Times New Roman"/>
                <w:b w:val="0"/>
                <w:bCs/>
                <w:szCs w:val="24"/>
              </w:rPr>
            </w:pPr>
            <w:r w:rsidRPr="0081478A">
              <w:rPr>
                <w:rFonts w:cs="Times New Roman"/>
                <w:b w:val="0"/>
                <w:bCs/>
                <w:szCs w:val="24"/>
              </w:rPr>
              <w:t>轻微至中等破坏</w:t>
            </w:r>
            <w:r w:rsidRPr="0081478A">
              <w:rPr>
                <w:rFonts w:cs="Times New Roman"/>
                <w:b w:val="0"/>
                <w:bCs/>
                <w:szCs w:val="24"/>
              </w:rPr>
              <w:t>,</w:t>
            </w:r>
            <w:r w:rsidRPr="0081478A">
              <w:rPr>
                <w:rFonts w:cs="Times New Roman"/>
                <w:b w:val="0"/>
                <w:bCs/>
                <w:szCs w:val="24"/>
              </w:rPr>
              <w:t>修复后继续使用</w:t>
            </w:r>
          </w:p>
        </w:tc>
        <w:tc>
          <w:tcPr>
            <w:tcW w:w="1040" w:type="pct"/>
            <w:shd w:val="clear" w:color="auto" w:fill="auto"/>
            <w:vAlign w:val="center"/>
          </w:tcPr>
          <w:p w14:paraId="2BCF5898" w14:textId="77777777" w:rsidR="006677FB" w:rsidRPr="0081478A" w:rsidRDefault="006677FB" w:rsidP="006677FB">
            <w:pPr>
              <w:pStyle w:val="ae"/>
              <w:rPr>
                <w:rFonts w:cs="Times New Roman"/>
                <w:b w:val="0"/>
                <w:bCs/>
                <w:szCs w:val="24"/>
              </w:rPr>
            </w:pPr>
            <w:r w:rsidRPr="0081478A">
              <w:rPr>
                <w:rFonts w:cs="Times New Roman"/>
                <w:b w:val="0"/>
                <w:bCs/>
                <w:szCs w:val="24"/>
              </w:rPr>
              <w:t>其破坏需加固后继续使用</w:t>
            </w:r>
          </w:p>
        </w:tc>
        <w:tc>
          <w:tcPr>
            <w:tcW w:w="1121" w:type="pct"/>
            <w:shd w:val="clear" w:color="auto" w:fill="auto"/>
            <w:vAlign w:val="center"/>
          </w:tcPr>
          <w:p w14:paraId="4C869948" w14:textId="77777777" w:rsidR="006677FB" w:rsidRPr="0081478A" w:rsidRDefault="006677FB" w:rsidP="006677FB">
            <w:pPr>
              <w:pStyle w:val="ae"/>
              <w:rPr>
                <w:rFonts w:cs="Times New Roman"/>
                <w:b w:val="0"/>
                <w:bCs/>
                <w:szCs w:val="24"/>
              </w:rPr>
            </w:pPr>
            <w:r w:rsidRPr="0081478A">
              <w:rPr>
                <w:rFonts w:cs="Times New Roman"/>
                <w:b w:val="0"/>
                <w:bCs/>
                <w:szCs w:val="24"/>
              </w:rPr>
              <w:t>接近严重破坏</w:t>
            </w:r>
            <w:r w:rsidRPr="0081478A">
              <w:rPr>
                <w:rFonts w:cs="Times New Roman"/>
                <w:b w:val="0"/>
                <w:bCs/>
                <w:szCs w:val="24"/>
              </w:rPr>
              <w:t>,</w:t>
            </w:r>
            <w:r w:rsidRPr="0081478A">
              <w:rPr>
                <w:rFonts w:cs="Times New Roman"/>
                <w:b w:val="0"/>
                <w:bCs/>
                <w:szCs w:val="24"/>
              </w:rPr>
              <w:t>大修后继续使用</w:t>
            </w:r>
          </w:p>
        </w:tc>
      </w:tr>
    </w:tbl>
    <w:p w14:paraId="12870A54" w14:textId="066E1DA1" w:rsidR="006677FB" w:rsidRPr="0081478A" w:rsidRDefault="006677FB" w:rsidP="006677FB">
      <w:pPr>
        <w:ind w:firstLine="420"/>
        <w:rPr>
          <w:rFonts w:cs="Times New Roman"/>
        </w:rPr>
      </w:pPr>
      <w:r w:rsidRPr="0081478A">
        <w:rPr>
          <w:rFonts w:cs="Times New Roman"/>
        </w:rPr>
        <w:t>针对具体工程的需要和可能，可以对整体结构，也可以对某些部位或者关键构件或者节点，灵活运用各种措施达到表</w:t>
      </w:r>
      <w:r w:rsidR="00C035D8">
        <w:rPr>
          <w:rFonts w:cs="Times New Roman"/>
        </w:rPr>
        <w:t>4.2.1</w:t>
      </w:r>
      <w:r w:rsidRPr="0081478A">
        <w:rPr>
          <w:rFonts w:cs="Times New Roman"/>
        </w:rPr>
        <w:t>预期的性能目标。鼓励采用新技术新材料进行抗震性能设计。</w:t>
      </w:r>
    </w:p>
    <w:p w14:paraId="61A3E180" w14:textId="77777777" w:rsidR="006677FB" w:rsidRPr="0081478A" w:rsidRDefault="006677FB" w:rsidP="006677FB">
      <w:pPr>
        <w:ind w:firstLine="420"/>
        <w:rPr>
          <w:rFonts w:cs="Times New Roman"/>
        </w:rPr>
      </w:pPr>
      <w:r w:rsidRPr="0081478A">
        <w:rPr>
          <w:rFonts w:cs="Times New Roman"/>
        </w:rPr>
        <w:t>本条实际操作时，在确保建筑结构满足</w:t>
      </w:r>
      <w:r w:rsidRPr="0081478A">
        <w:rPr>
          <w:rFonts w:cs="Times New Roman"/>
        </w:rPr>
        <w:t>“</w:t>
      </w:r>
      <w:r w:rsidRPr="0081478A">
        <w:rPr>
          <w:rFonts w:cs="Times New Roman"/>
        </w:rPr>
        <w:t>小震不坏、中震可修、大震不倒</w:t>
      </w:r>
      <w:r w:rsidRPr="0081478A">
        <w:rPr>
          <w:rFonts w:cs="Times New Roman"/>
        </w:rPr>
        <w:t>”</w:t>
      </w:r>
      <w:r w:rsidRPr="0081478A">
        <w:rPr>
          <w:rFonts w:cs="Times New Roman"/>
        </w:rPr>
        <w:t>一般情况的性能要求下，采取措施提高抗震性能或减少地震作用。</w:t>
      </w:r>
    </w:p>
    <w:p w14:paraId="670ED30D" w14:textId="63AB9C96" w:rsidR="006677FB" w:rsidRPr="0081478A" w:rsidRDefault="006677FB" w:rsidP="006677FB">
      <w:pPr>
        <w:ind w:firstLine="420"/>
        <w:rPr>
          <w:rFonts w:cs="Times New Roman"/>
        </w:rPr>
      </w:pPr>
      <w:r w:rsidRPr="0081478A">
        <w:rPr>
          <w:rFonts w:cs="Times New Roman"/>
        </w:rPr>
        <w:t>第</w:t>
      </w:r>
      <w:r w:rsidRPr="0081478A">
        <w:rPr>
          <w:rFonts w:cs="Times New Roman"/>
        </w:rPr>
        <w:t>1</w:t>
      </w:r>
      <w:r w:rsidRPr="0081478A">
        <w:rPr>
          <w:rFonts w:cs="Times New Roman"/>
        </w:rPr>
        <w:t>款根据项目情况，可以考虑对整体结构</w:t>
      </w:r>
      <w:r w:rsidR="00C035D8">
        <w:rPr>
          <w:rFonts w:cs="Times New Roman" w:hint="eastAsia"/>
        </w:rPr>
        <w:t>或</w:t>
      </w:r>
      <w:r w:rsidRPr="0081478A">
        <w:rPr>
          <w:rFonts w:cs="Times New Roman"/>
        </w:rPr>
        <w:t>关键部位、关键构件及节点按</w:t>
      </w:r>
      <w:r w:rsidRPr="0081478A">
        <w:rPr>
          <w:rFonts w:cs="Times New Roman"/>
        </w:rPr>
        <w:t>“</w:t>
      </w:r>
      <w:r w:rsidRPr="0081478A">
        <w:rPr>
          <w:rFonts w:cs="Times New Roman"/>
        </w:rPr>
        <w:t>中震不屈服</w:t>
      </w:r>
      <w:r w:rsidRPr="0081478A">
        <w:rPr>
          <w:rFonts w:cs="Times New Roman"/>
        </w:rPr>
        <w:t>”</w:t>
      </w:r>
      <w:r w:rsidR="00C035D8">
        <w:rPr>
          <w:rFonts w:cs="Times New Roman" w:hint="eastAsia"/>
        </w:rPr>
        <w:t>以上</w:t>
      </w:r>
      <w:r w:rsidRPr="0081478A">
        <w:rPr>
          <w:rFonts w:cs="Times New Roman"/>
        </w:rPr>
        <w:t>的抗震性能目标进行设计，并满足《建筑抗震设计规范》</w:t>
      </w:r>
      <w:r w:rsidRPr="0081478A">
        <w:rPr>
          <w:rFonts w:cs="Times New Roman"/>
        </w:rPr>
        <w:t>GB 50011-2010</w:t>
      </w:r>
      <w:r w:rsidRPr="0081478A">
        <w:rPr>
          <w:rFonts w:cs="Times New Roman"/>
        </w:rPr>
        <w:t>（</w:t>
      </w:r>
      <w:r w:rsidRPr="0081478A">
        <w:rPr>
          <w:rFonts w:cs="Times New Roman"/>
        </w:rPr>
        <w:t>2016</w:t>
      </w:r>
      <w:r w:rsidRPr="0081478A">
        <w:rPr>
          <w:rFonts w:cs="Times New Roman"/>
        </w:rPr>
        <w:t>年版）</w:t>
      </w:r>
      <w:r w:rsidRPr="0081478A">
        <w:rPr>
          <w:rFonts w:cs="Times New Roman"/>
        </w:rPr>
        <w:t>3.10.2</w:t>
      </w:r>
      <w:r w:rsidRPr="0081478A">
        <w:rPr>
          <w:rFonts w:cs="Times New Roman"/>
        </w:rPr>
        <w:t>条、</w:t>
      </w:r>
      <w:r w:rsidRPr="0081478A">
        <w:rPr>
          <w:rFonts w:cs="Times New Roman"/>
        </w:rPr>
        <w:t>3.10.3</w:t>
      </w:r>
      <w:r w:rsidRPr="0081478A">
        <w:rPr>
          <w:rFonts w:cs="Times New Roman"/>
        </w:rPr>
        <w:t>条及条文说明</w:t>
      </w:r>
      <w:r w:rsidR="00C035D8">
        <w:rPr>
          <w:rFonts w:cs="Times New Roman" w:hint="eastAsia"/>
        </w:rPr>
        <w:t>的相关</w:t>
      </w:r>
      <w:r w:rsidRPr="0081478A">
        <w:rPr>
          <w:rFonts w:cs="Times New Roman"/>
        </w:rPr>
        <w:t>要求。关键部位、关键构件及节点可根据建筑平面、立面的规则性、构件的重要性选取，如教学楼的楼梯间作</w:t>
      </w:r>
      <w:r w:rsidRPr="0081478A">
        <w:rPr>
          <w:rFonts w:cs="Times New Roman"/>
        </w:rPr>
        <w:t>“</w:t>
      </w:r>
      <w:r w:rsidRPr="0081478A">
        <w:rPr>
          <w:rFonts w:cs="Times New Roman"/>
        </w:rPr>
        <w:t>抗震安全岛</w:t>
      </w:r>
      <w:r w:rsidRPr="0081478A">
        <w:rPr>
          <w:rFonts w:cs="Times New Roman"/>
        </w:rPr>
        <w:t>”</w:t>
      </w:r>
      <w:r w:rsidRPr="0081478A">
        <w:rPr>
          <w:rFonts w:cs="Times New Roman"/>
        </w:rPr>
        <w:t>，提高该区域的抗震性能，结构转换层的框支柱、框支梁，剪力墙的底部加强层部位、结构薄弱层构件等等。</w:t>
      </w:r>
    </w:p>
    <w:p w14:paraId="6B5D6B2C" w14:textId="49A315E9" w:rsidR="006677FB" w:rsidRPr="0081478A" w:rsidRDefault="006677FB" w:rsidP="006677FB">
      <w:pPr>
        <w:ind w:firstLine="420"/>
        <w:rPr>
          <w:rFonts w:cs="Times New Roman"/>
        </w:rPr>
      </w:pPr>
      <w:r w:rsidRPr="0081478A">
        <w:rPr>
          <w:rFonts w:cs="Times New Roman"/>
        </w:rPr>
        <w:t>第</w:t>
      </w:r>
      <w:r w:rsidR="00474B83" w:rsidRPr="0081478A">
        <w:rPr>
          <w:rFonts w:cs="Times New Roman"/>
        </w:rPr>
        <w:t>2</w:t>
      </w:r>
      <w:r w:rsidRPr="0081478A">
        <w:rPr>
          <w:rFonts w:cs="Times New Roman"/>
        </w:rPr>
        <w:t>款采用包括设隔震支座（垫）、消能减震支撑、阻尼器等</w:t>
      </w:r>
      <w:r w:rsidR="00C035D8">
        <w:rPr>
          <w:rFonts w:cs="Times New Roman" w:hint="eastAsia"/>
        </w:rPr>
        <w:t>等</w:t>
      </w:r>
      <w:r w:rsidRPr="0081478A">
        <w:rPr>
          <w:rFonts w:cs="Times New Roman"/>
        </w:rPr>
        <w:t>。</w:t>
      </w:r>
    </w:p>
    <w:p w14:paraId="79E56367"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42C8EFDF" w14:textId="77777777" w:rsidR="0084444F" w:rsidRPr="00530A11" w:rsidRDefault="0084444F" w:rsidP="0084444F">
      <w:pPr>
        <w:ind w:firstLine="420"/>
        <w:rPr>
          <w:rFonts w:cs="Times New Roman"/>
          <w:szCs w:val="24"/>
        </w:rPr>
      </w:pPr>
      <w:r w:rsidRPr="00530A11">
        <w:rPr>
          <w:rFonts w:cs="Times New Roman"/>
          <w:szCs w:val="24"/>
        </w:rPr>
        <w:t>预评价查阅相关设计文件、结构计算文件；评价查阅相关竣工图、结构计算文件、项目安全分析报告及应对措施结果。</w:t>
      </w:r>
    </w:p>
    <w:p w14:paraId="18333E60" w14:textId="77777777" w:rsidR="00715ABB" w:rsidRPr="0084444F" w:rsidRDefault="00715ABB">
      <w:pPr>
        <w:ind w:firstLine="420"/>
        <w:rPr>
          <w:rFonts w:cs="Times New Roman"/>
        </w:rPr>
      </w:pPr>
    </w:p>
    <w:p w14:paraId="776CC094" w14:textId="77777777" w:rsidR="006A6F67" w:rsidRPr="00530A11" w:rsidRDefault="006A6F67" w:rsidP="006A6F67">
      <w:pPr>
        <w:pStyle w:val="4"/>
        <w:rPr>
          <w:rFonts w:cs="Times New Roman"/>
          <w:bCs w:val="0"/>
        </w:rPr>
      </w:pPr>
      <w:r w:rsidRPr="00530A11">
        <w:rPr>
          <w:rFonts w:cs="Times New Roman"/>
          <w:bCs w:val="0"/>
        </w:rPr>
        <w:t xml:space="preserve">4.2.2 </w:t>
      </w:r>
      <w:r w:rsidRPr="00530A11">
        <w:rPr>
          <w:rFonts w:cs="Times New Roman"/>
          <w:bCs w:val="0"/>
        </w:rPr>
        <w:t>采取保障人员安全的防护措施，评价总分值为</w:t>
      </w:r>
      <w:r w:rsidRPr="00530A11">
        <w:rPr>
          <w:rFonts w:cs="Times New Roman"/>
          <w:bCs w:val="0"/>
        </w:rPr>
        <w:t>15</w:t>
      </w:r>
      <w:r w:rsidRPr="00530A11">
        <w:rPr>
          <w:rFonts w:cs="Times New Roman"/>
          <w:bCs w:val="0"/>
        </w:rPr>
        <w:t>分，并按下列规则分别评分并累计：</w:t>
      </w:r>
    </w:p>
    <w:p w14:paraId="2224DFE2"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1 </w:t>
      </w:r>
      <w:r w:rsidRPr="006A6F67">
        <w:rPr>
          <w:rFonts w:ascii="Times New Roman" w:hAnsi="Times New Roman" w:cs="Times New Roman"/>
          <w:bCs/>
          <w:color w:val="auto"/>
        </w:rPr>
        <w:t>采取措施提高阳台、外窗、窗台、防护栏杆、景观水体等安全防护水平，得</w:t>
      </w:r>
      <w:r w:rsidRPr="006A6F67">
        <w:rPr>
          <w:rFonts w:ascii="Times New Roman" w:hAnsi="Times New Roman" w:cs="Times New Roman"/>
          <w:bCs/>
          <w:color w:val="auto"/>
        </w:rPr>
        <w:t>5</w:t>
      </w:r>
      <w:r w:rsidRPr="006A6F67">
        <w:rPr>
          <w:rFonts w:ascii="Times New Roman" w:hAnsi="Times New Roman" w:cs="Times New Roman"/>
          <w:bCs/>
          <w:color w:val="auto"/>
        </w:rPr>
        <w:t>分；</w:t>
      </w:r>
    </w:p>
    <w:p w14:paraId="7BADAD27" w14:textId="77777777" w:rsidR="006A6F67" w:rsidRPr="006A6F67" w:rsidRDefault="006A6F67" w:rsidP="006A6F67">
      <w:pPr>
        <w:snapToGrid w:val="0"/>
        <w:ind w:firstLineChars="100" w:firstLine="211"/>
        <w:jc w:val="left"/>
        <w:rPr>
          <w:rFonts w:cs="Times New Roman"/>
          <w:b/>
          <w:bCs/>
          <w:szCs w:val="24"/>
        </w:rPr>
      </w:pPr>
      <w:r w:rsidRPr="006A6F67">
        <w:rPr>
          <w:rFonts w:cs="Times New Roman"/>
          <w:b/>
          <w:bCs/>
          <w:szCs w:val="24"/>
        </w:rPr>
        <w:t xml:space="preserve">2 </w:t>
      </w:r>
      <w:r w:rsidRPr="006A6F67">
        <w:rPr>
          <w:rFonts w:cs="Times New Roman"/>
          <w:b/>
          <w:bCs/>
          <w:szCs w:val="24"/>
        </w:rPr>
        <w:t>建筑物出入口均设外墙饰面、门窗玻璃意外脱落的防护措施，并与人员通行区域的遮阳、遮风或挡雨措施结合，得</w:t>
      </w:r>
      <w:r w:rsidRPr="006A6F67">
        <w:rPr>
          <w:rFonts w:cs="Times New Roman"/>
          <w:b/>
          <w:bCs/>
          <w:szCs w:val="24"/>
        </w:rPr>
        <w:t>5</w:t>
      </w:r>
      <w:r w:rsidRPr="006A6F67">
        <w:rPr>
          <w:rFonts w:cs="Times New Roman"/>
          <w:b/>
          <w:bCs/>
          <w:szCs w:val="24"/>
        </w:rPr>
        <w:t>分；</w:t>
      </w:r>
    </w:p>
    <w:p w14:paraId="50D89905" w14:textId="77777777" w:rsidR="006A6F67" w:rsidRPr="006A6F67" w:rsidRDefault="006A6F67" w:rsidP="006A6F67">
      <w:pPr>
        <w:snapToGrid w:val="0"/>
        <w:ind w:firstLineChars="100" w:firstLine="211"/>
        <w:jc w:val="left"/>
        <w:rPr>
          <w:rFonts w:cs="Times New Roman"/>
          <w:b/>
          <w:bCs/>
          <w:szCs w:val="24"/>
        </w:rPr>
      </w:pPr>
      <w:r w:rsidRPr="006A6F67">
        <w:rPr>
          <w:rFonts w:cs="Times New Roman"/>
          <w:b/>
          <w:bCs/>
          <w:szCs w:val="24"/>
        </w:rPr>
        <w:t xml:space="preserve">3 </w:t>
      </w:r>
      <w:r w:rsidRPr="006A6F67">
        <w:rPr>
          <w:rFonts w:cs="Times New Roman"/>
          <w:b/>
          <w:bCs/>
          <w:szCs w:val="24"/>
        </w:rPr>
        <w:t>利用场地或景观形成可降低坠物风险的缓冲区、隔离带，得</w:t>
      </w:r>
      <w:r w:rsidRPr="006A6F67">
        <w:rPr>
          <w:rFonts w:cs="Times New Roman"/>
          <w:b/>
          <w:bCs/>
          <w:szCs w:val="24"/>
        </w:rPr>
        <w:t>5</w:t>
      </w:r>
      <w:r w:rsidRPr="006A6F67">
        <w:rPr>
          <w:rFonts w:cs="Times New Roman"/>
          <w:b/>
          <w:bCs/>
          <w:szCs w:val="24"/>
        </w:rPr>
        <w:t>分。</w:t>
      </w:r>
    </w:p>
    <w:p w14:paraId="5535872F" w14:textId="77777777" w:rsidR="00715ABB" w:rsidRPr="0081478A" w:rsidRDefault="00F44390">
      <w:pPr>
        <w:ind w:firstLineChars="0" w:firstLine="0"/>
        <w:rPr>
          <w:rFonts w:cs="Times New Roman"/>
          <w:b/>
          <w:szCs w:val="24"/>
        </w:rPr>
      </w:pPr>
      <w:r w:rsidRPr="0081478A">
        <w:rPr>
          <w:rFonts w:cs="Times New Roman"/>
          <w:b/>
          <w:szCs w:val="24"/>
        </w:rPr>
        <w:t>【条文说明】</w:t>
      </w:r>
    </w:p>
    <w:p w14:paraId="784D5598" w14:textId="77777777" w:rsidR="002C09A7" w:rsidRPr="00530A11" w:rsidRDefault="002C09A7" w:rsidP="002C09A7">
      <w:pPr>
        <w:ind w:firstLine="420"/>
      </w:pPr>
      <w:r w:rsidRPr="00530A11">
        <w:t>本条适用于各类民用建筑的预评价、评价。</w:t>
      </w:r>
    </w:p>
    <w:p w14:paraId="49D99A69" w14:textId="77777777" w:rsidR="002C09A7" w:rsidRPr="00530A11" w:rsidRDefault="002C09A7" w:rsidP="002C09A7">
      <w:pPr>
        <w:ind w:firstLine="420"/>
        <w:rPr>
          <w:rFonts w:cs="Times New Roman"/>
          <w:szCs w:val="24"/>
        </w:rPr>
      </w:pPr>
      <w:r w:rsidRPr="00530A11">
        <w:rPr>
          <w:rFonts w:cs="Times New Roman"/>
          <w:szCs w:val="24"/>
        </w:rPr>
        <w:lastRenderedPageBreak/>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szCs w:val="24"/>
        </w:rPr>
        <w:t>并对条文和条文说明进行了局部修改。</w:t>
      </w:r>
      <w:r w:rsidRPr="00530A11">
        <w:rPr>
          <w:rFonts w:cs="Times New Roman"/>
          <w:szCs w:val="24"/>
        </w:rPr>
        <w:t>第</w:t>
      </w:r>
      <w:r w:rsidRPr="00530A11">
        <w:rPr>
          <w:rFonts w:cs="Times New Roman"/>
          <w:szCs w:val="24"/>
        </w:rPr>
        <w:t>1</w:t>
      </w:r>
      <w:r w:rsidRPr="00530A11">
        <w:rPr>
          <w:rFonts w:cs="Times New Roman"/>
          <w:szCs w:val="24"/>
        </w:rPr>
        <w:t>款，阳台、外窗、窗台、防护栏杆等强化防坠设计有利于降低坠物伤人风险，阳台外窗采用高窗设计、限制窗扇开启角度、窗台与绿化种植整合设计、适度减少防护栏杆垂直杆件水平净距、安装隐形防盗网等措施，防止物品坠落伤人。此外，外窗的安全防护可与纱窗等相结合，既可以防坠物伤人，还可以防蚊防盗。</w:t>
      </w:r>
      <w:r w:rsidRPr="00530A11">
        <w:rPr>
          <w:rFonts w:cs="Times New Roman" w:hint="eastAsia"/>
          <w:szCs w:val="24"/>
        </w:rPr>
        <w:t>根据《居住区环境景观设计导则》，景观水体</w:t>
      </w:r>
      <w:bookmarkStart w:id="53" w:name="_Hlk25678294"/>
      <w:r w:rsidRPr="00530A11">
        <w:rPr>
          <w:rFonts w:cs="Times New Roman" w:hint="eastAsia"/>
          <w:szCs w:val="24"/>
        </w:rPr>
        <w:t>的水深</w:t>
      </w:r>
      <w:bookmarkEnd w:id="53"/>
      <w:r w:rsidRPr="00530A11">
        <w:rPr>
          <w:rFonts w:cs="Times New Roman" w:hint="eastAsia"/>
          <w:szCs w:val="24"/>
        </w:rPr>
        <w:t>超过</w:t>
      </w:r>
      <w:r w:rsidRPr="00530A11">
        <w:rPr>
          <w:rFonts w:cs="Times New Roman"/>
          <w:szCs w:val="24"/>
        </w:rPr>
        <w:t>0.5m</w:t>
      </w:r>
      <w:r w:rsidRPr="00530A11">
        <w:rPr>
          <w:rFonts w:cs="Times New Roman" w:hint="eastAsia"/>
          <w:szCs w:val="24"/>
        </w:rPr>
        <w:t>时，</w:t>
      </w:r>
      <w:r w:rsidRPr="00530A11">
        <w:rPr>
          <w:rFonts w:cs="Times New Roman"/>
          <w:szCs w:val="24"/>
        </w:rPr>
        <w:t>应采取防护措施（如石栏、木栏、矮墙等）；可涉入式景观水体的水深应小于</w:t>
      </w:r>
      <w:r w:rsidRPr="00530A11">
        <w:rPr>
          <w:rFonts w:cs="Times New Roman"/>
          <w:szCs w:val="24"/>
        </w:rPr>
        <w:t>0.3m</w:t>
      </w:r>
      <w:r w:rsidRPr="00530A11">
        <w:rPr>
          <w:rFonts w:cs="Times New Roman"/>
          <w:szCs w:val="24"/>
        </w:rPr>
        <w:t>，防止儿童溺水，同时水底应做防滑处理，不能种植苔藻类植物。景观水体周边宜借助灯光或音乐变化等方式，防止行人坠入水中。</w:t>
      </w:r>
    </w:p>
    <w:p w14:paraId="3C058117" w14:textId="77777777" w:rsidR="002C09A7" w:rsidRPr="00530A11" w:rsidRDefault="002C09A7" w:rsidP="002C09A7">
      <w:pPr>
        <w:ind w:firstLine="420"/>
        <w:rPr>
          <w:rFonts w:cs="Times New Roman"/>
          <w:szCs w:val="24"/>
        </w:rPr>
      </w:pPr>
      <w:r w:rsidRPr="00530A11">
        <w:rPr>
          <w:rFonts w:cs="Times New Roman"/>
          <w:szCs w:val="24"/>
        </w:rPr>
        <w:t>第</w:t>
      </w:r>
      <w:r w:rsidRPr="00530A11">
        <w:rPr>
          <w:rFonts w:cs="Times New Roman"/>
          <w:szCs w:val="24"/>
        </w:rPr>
        <w:t>2</w:t>
      </w:r>
      <w:r w:rsidRPr="00530A11">
        <w:rPr>
          <w:rFonts w:cs="Times New Roman"/>
          <w:szCs w:val="24"/>
        </w:rPr>
        <w:t>、</w:t>
      </w:r>
      <w:r w:rsidRPr="00530A11">
        <w:rPr>
          <w:rFonts w:cs="Times New Roman"/>
          <w:szCs w:val="24"/>
        </w:rPr>
        <w:t>3</w:t>
      </w:r>
      <w:r w:rsidRPr="00530A11">
        <w:rPr>
          <w:rFonts w:cs="Times New Roman"/>
          <w:szCs w:val="24"/>
        </w:rPr>
        <w:t>款，外墙饰面、外墙粉刷及保温层等掉落伤人的现象在国内各个城市都有发生，甚至尚未住人的新建小区也出现瓷砖大面积掉落现象。在建筑间距和通路设计时，除了考虑消防、采光、通风、日照间距等，还需考虑采取避免坠物伤人的措施。由于建筑物外墙钢筋混凝土、填充墙体、水泥砂浆、外贴保温、外墙饰面层及门窗等的热胀冷缩系数不同，建筑设计时虽然采取设墙面变形缝的措施，但受环境温度、湿度及施工质量的影响，各种材料会发生不同程度的变形，材料连接界面破坏，出现外墙空鼓，最后导致坠落影响人民生命与财产安全。因此，要求建筑物出入口均设外墙饰面、门窗玻璃意外脱落的防护措施，并与人员通行区域的遮阳、遮风或挡雨措施结合，同时采取建立护栏、缓冲区、隔离带等安全措施，消除安全隐患。</w:t>
      </w:r>
    </w:p>
    <w:p w14:paraId="502D4E91" w14:textId="6C45B5CB"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32C3680C" w14:textId="49B323D4" w:rsidR="00D313E6" w:rsidRPr="0081478A" w:rsidRDefault="00A560A5" w:rsidP="00D313E6">
      <w:pPr>
        <w:ind w:firstLine="420"/>
        <w:rPr>
          <w:rFonts w:cs="Times New Roman"/>
          <w:bCs/>
          <w:szCs w:val="24"/>
        </w:rPr>
      </w:pPr>
      <w:r w:rsidRPr="00A560A5">
        <w:rPr>
          <w:rFonts w:cs="Times New Roman" w:hint="eastAsia"/>
          <w:bCs/>
          <w:szCs w:val="24"/>
        </w:rPr>
        <w:t>本条第</w:t>
      </w:r>
      <w:r w:rsidRPr="00A560A5">
        <w:rPr>
          <w:rFonts w:cs="Times New Roman" w:hint="eastAsia"/>
          <w:bCs/>
          <w:szCs w:val="24"/>
        </w:rPr>
        <w:t>1</w:t>
      </w:r>
      <w:r w:rsidRPr="00A560A5">
        <w:rPr>
          <w:rFonts w:cs="Times New Roman" w:hint="eastAsia"/>
          <w:bCs/>
          <w:szCs w:val="24"/>
        </w:rPr>
        <w:t>款，评价时要求</w:t>
      </w:r>
      <w:r w:rsidR="00D313E6" w:rsidRPr="0081478A">
        <w:rPr>
          <w:rFonts w:cs="Times New Roman"/>
          <w:bCs/>
          <w:szCs w:val="24"/>
        </w:rPr>
        <w:t>栏杆高度、栏杆垂直杆件净间距、外窗防护设施高度、栏杆水平荷载和竖向荷载等设计值应比现行相关标准要求提高</w:t>
      </w:r>
      <w:r w:rsidR="00D313E6" w:rsidRPr="0081478A">
        <w:rPr>
          <w:rFonts w:cs="Times New Roman"/>
          <w:bCs/>
          <w:szCs w:val="24"/>
        </w:rPr>
        <w:t>10%</w:t>
      </w:r>
      <w:r w:rsidR="00D313E6" w:rsidRPr="0081478A">
        <w:rPr>
          <w:rFonts w:cs="Times New Roman"/>
          <w:bCs/>
          <w:szCs w:val="24"/>
        </w:rPr>
        <w:t>。</w:t>
      </w:r>
    </w:p>
    <w:p w14:paraId="0D7B5F24" w14:textId="77777777" w:rsidR="00D313E6" w:rsidRPr="0081478A" w:rsidRDefault="00D313E6" w:rsidP="00D313E6">
      <w:pPr>
        <w:ind w:firstLine="420"/>
        <w:rPr>
          <w:rFonts w:cs="Times New Roman"/>
          <w:bCs/>
          <w:szCs w:val="24"/>
        </w:rPr>
      </w:pPr>
      <w:r w:rsidRPr="0081478A">
        <w:rPr>
          <w:rFonts w:cs="Times New Roman"/>
          <w:bCs/>
          <w:szCs w:val="24"/>
        </w:rPr>
        <w:t>《民用建筑设计统一标准》</w:t>
      </w:r>
      <w:r w:rsidRPr="0081478A">
        <w:rPr>
          <w:rFonts w:cs="Times New Roman"/>
          <w:bCs/>
          <w:szCs w:val="24"/>
        </w:rPr>
        <w:t>GB 50352-2019</w:t>
      </w:r>
      <w:r w:rsidRPr="0081478A">
        <w:rPr>
          <w:rFonts w:cs="Times New Roman"/>
          <w:bCs/>
          <w:szCs w:val="24"/>
        </w:rPr>
        <w:t>对栏杆高度、栏杆垂直杆件净间距、外窗防护设施高度的设计要求如下：</w:t>
      </w:r>
    </w:p>
    <w:p w14:paraId="50FDA631" w14:textId="77777777" w:rsidR="00D313E6" w:rsidRPr="0081478A" w:rsidRDefault="00D313E6" w:rsidP="00D313E6">
      <w:pPr>
        <w:ind w:firstLine="420"/>
        <w:rPr>
          <w:rFonts w:cs="Times New Roman"/>
          <w:bCs/>
          <w:szCs w:val="24"/>
        </w:rPr>
      </w:pPr>
      <w:r w:rsidRPr="0081478A">
        <w:rPr>
          <w:rFonts w:cs="Times New Roman"/>
          <w:bCs/>
          <w:szCs w:val="24"/>
        </w:rPr>
        <w:t xml:space="preserve">6.7.3 </w:t>
      </w:r>
      <w:r w:rsidRPr="0081478A">
        <w:rPr>
          <w:rFonts w:cs="Times New Roman"/>
          <w:bCs/>
          <w:szCs w:val="24"/>
        </w:rPr>
        <w:t>阳台、外廊、室内回廊、内天井、上人屋面及室外楼梯等临空处应设置防护栏杆，并应符合下列规定：</w:t>
      </w:r>
      <w:r w:rsidRPr="0081478A">
        <w:rPr>
          <w:rFonts w:cs="Times New Roman"/>
          <w:bCs/>
          <w:szCs w:val="24"/>
        </w:rPr>
        <w:t xml:space="preserve">2 </w:t>
      </w:r>
      <w:r w:rsidRPr="0081478A">
        <w:rPr>
          <w:rFonts w:cs="Times New Roman"/>
          <w:bCs/>
          <w:szCs w:val="24"/>
        </w:rPr>
        <w:t>当临空高度在</w:t>
      </w:r>
      <w:r w:rsidRPr="0081478A">
        <w:rPr>
          <w:rFonts w:cs="Times New Roman"/>
          <w:bCs/>
          <w:szCs w:val="24"/>
        </w:rPr>
        <w:t>24.0m</w:t>
      </w:r>
      <w:r w:rsidRPr="0081478A">
        <w:rPr>
          <w:rFonts w:cs="Times New Roman"/>
          <w:bCs/>
          <w:szCs w:val="24"/>
        </w:rPr>
        <w:t>以下时，栏杆高度不应低于</w:t>
      </w:r>
      <w:r w:rsidRPr="0081478A">
        <w:rPr>
          <w:rFonts w:cs="Times New Roman"/>
          <w:bCs/>
          <w:szCs w:val="24"/>
        </w:rPr>
        <w:t>1.05m</w:t>
      </w:r>
      <w:r w:rsidRPr="0081478A">
        <w:rPr>
          <w:rFonts w:cs="Times New Roman"/>
          <w:bCs/>
          <w:szCs w:val="24"/>
        </w:rPr>
        <w:t>；当临空高度在</w:t>
      </w:r>
      <w:r w:rsidRPr="0081478A">
        <w:rPr>
          <w:rFonts w:cs="Times New Roman"/>
          <w:bCs/>
          <w:szCs w:val="24"/>
        </w:rPr>
        <w:t>24.0m</w:t>
      </w:r>
      <w:r w:rsidRPr="0081478A">
        <w:rPr>
          <w:rFonts w:cs="Times New Roman"/>
          <w:bCs/>
          <w:szCs w:val="24"/>
        </w:rPr>
        <w:t>及以上时，栏杆高度不应低于</w:t>
      </w:r>
      <w:r w:rsidRPr="0081478A">
        <w:rPr>
          <w:rFonts w:cs="Times New Roman"/>
          <w:bCs/>
          <w:szCs w:val="24"/>
        </w:rPr>
        <w:t>1.1m</w:t>
      </w:r>
      <w:r w:rsidRPr="0081478A">
        <w:rPr>
          <w:rFonts w:cs="Times New Roman"/>
          <w:bCs/>
          <w:szCs w:val="24"/>
        </w:rPr>
        <w:t>。上人屋面和交通、商业、旅馆、医院、学校等建筑临开敞中庭的栏杆高度不应小于</w:t>
      </w:r>
      <w:r w:rsidRPr="0081478A">
        <w:rPr>
          <w:rFonts w:cs="Times New Roman"/>
          <w:bCs/>
          <w:szCs w:val="24"/>
        </w:rPr>
        <w:t>1.2m</w:t>
      </w:r>
      <w:r w:rsidRPr="0081478A">
        <w:rPr>
          <w:rFonts w:cs="Times New Roman"/>
          <w:bCs/>
          <w:szCs w:val="24"/>
        </w:rPr>
        <w:t>。</w:t>
      </w:r>
    </w:p>
    <w:p w14:paraId="2DDD95E5" w14:textId="77777777" w:rsidR="00D313E6" w:rsidRPr="0081478A" w:rsidRDefault="00D313E6" w:rsidP="00D313E6">
      <w:pPr>
        <w:ind w:firstLine="420"/>
        <w:rPr>
          <w:rFonts w:cs="Times New Roman"/>
          <w:bCs/>
          <w:szCs w:val="24"/>
        </w:rPr>
      </w:pPr>
      <w:r w:rsidRPr="0081478A">
        <w:rPr>
          <w:rFonts w:cs="Times New Roman"/>
          <w:bCs/>
          <w:szCs w:val="24"/>
        </w:rPr>
        <w:t xml:space="preserve">6.7.4 </w:t>
      </w:r>
      <w:r w:rsidRPr="0081478A">
        <w:rPr>
          <w:rFonts w:cs="Times New Roman"/>
          <w:bCs/>
          <w:szCs w:val="24"/>
        </w:rPr>
        <w:t>住宅、托儿所、幼儿园、中小学及其他少年儿童专用活动场所的栏杆必须采取防止攀爬的构造。当采用垂直杆件做栏杆时，其杆件净间距不应大于</w:t>
      </w:r>
      <w:r w:rsidRPr="0081478A">
        <w:rPr>
          <w:rFonts w:cs="Times New Roman"/>
          <w:bCs/>
          <w:szCs w:val="24"/>
        </w:rPr>
        <w:t>0.11m</w:t>
      </w:r>
      <w:r w:rsidRPr="0081478A">
        <w:rPr>
          <w:rFonts w:cs="Times New Roman"/>
          <w:bCs/>
          <w:szCs w:val="24"/>
        </w:rPr>
        <w:t>。</w:t>
      </w:r>
    </w:p>
    <w:p w14:paraId="28CC41D8" w14:textId="77777777" w:rsidR="00D313E6" w:rsidRPr="0081478A" w:rsidRDefault="00D313E6" w:rsidP="00D313E6">
      <w:pPr>
        <w:ind w:firstLine="420"/>
        <w:rPr>
          <w:rFonts w:cs="Times New Roman"/>
          <w:bCs/>
          <w:szCs w:val="24"/>
        </w:rPr>
      </w:pPr>
      <w:r w:rsidRPr="0081478A">
        <w:rPr>
          <w:rFonts w:cs="Times New Roman"/>
          <w:bCs/>
          <w:szCs w:val="24"/>
        </w:rPr>
        <w:t xml:space="preserve">6.11.6 </w:t>
      </w:r>
      <w:r w:rsidRPr="0081478A">
        <w:rPr>
          <w:rFonts w:cs="Times New Roman"/>
          <w:bCs/>
          <w:szCs w:val="24"/>
        </w:rPr>
        <w:t>窗的设置应符合下列规定：</w:t>
      </w:r>
      <w:r w:rsidRPr="0081478A">
        <w:rPr>
          <w:rFonts w:cs="Times New Roman"/>
          <w:bCs/>
          <w:szCs w:val="24"/>
        </w:rPr>
        <w:t xml:space="preserve">3 </w:t>
      </w:r>
      <w:r w:rsidRPr="0081478A">
        <w:rPr>
          <w:rFonts w:cs="Times New Roman"/>
          <w:bCs/>
          <w:szCs w:val="24"/>
        </w:rPr>
        <w:t>公共建筑临空外窗的窗台距楼地面净高不得低于</w:t>
      </w:r>
      <w:r w:rsidRPr="0081478A">
        <w:rPr>
          <w:rFonts w:cs="Times New Roman"/>
          <w:bCs/>
          <w:szCs w:val="24"/>
        </w:rPr>
        <w:t>0.8m</w:t>
      </w:r>
      <w:r w:rsidRPr="0081478A">
        <w:rPr>
          <w:rFonts w:cs="Times New Roman"/>
          <w:bCs/>
          <w:szCs w:val="24"/>
        </w:rPr>
        <w:t>，否则应设置防护设施，防护设施的高度由地面起算不应低于</w:t>
      </w:r>
      <w:r w:rsidRPr="0081478A">
        <w:rPr>
          <w:rFonts w:cs="Times New Roman"/>
          <w:bCs/>
          <w:szCs w:val="24"/>
        </w:rPr>
        <w:t>0.8m</w:t>
      </w:r>
      <w:r w:rsidRPr="0081478A">
        <w:rPr>
          <w:rFonts w:cs="Times New Roman"/>
          <w:bCs/>
          <w:szCs w:val="24"/>
        </w:rPr>
        <w:t>；</w:t>
      </w:r>
      <w:r w:rsidRPr="0081478A">
        <w:rPr>
          <w:rFonts w:cs="Times New Roman"/>
          <w:bCs/>
          <w:szCs w:val="24"/>
        </w:rPr>
        <w:t xml:space="preserve">4 </w:t>
      </w:r>
      <w:r w:rsidRPr="0081478A">
        <w:rPr>
          <w:rFonts w:cs="Times New Roman"/>
          <w:bCs/>
          <w:szCs w:val="24"/>
        </w:rPr>
        <w:t>居住建筑临空</w:t>
      </w:r>
      <w:r w:rsidRPr="0081478A">
        <w:rPr>
          <w:rFonts w:cs="Times New Roman"/>
          <w:bCs/>
          <w:szCs w:val="24"/>
        </w:rPr>
        <w:lastRenderedPageBreak/>
        <w:t>外窗的窗台距楼地面净高不得低于</w:t>
      </w:r>
      <w:r w:rsidRPr="0081478A">
        <w:rPr>
          <w:rFonts w:cs="Times New Roman"/>
          <w:bCs/>
          <w:szCs w:val="24"/>
        </w:rPr>
        <w:t>0.9m</w:t>
      </w:r>
      <w:r w:rsidRPr="0081478A">
        <w:rPr>
          <w:rFonts w:cs="Times New Roman"/>
          <w:bCs/>
          <w:szCs w:val="24"/>
        </w:rPr>
        <w:t>，否则应设置防护设施，防护设施的高度由地面起算不应低于</w:t>
      </w:r>
      <w:r w:rsidRPr="0081478A">
        <w:rPr>
          <w:rFonts w:cs="Times New Roman"/>
          <w:bCs/>
          <w:szCs w:val="24"/>
        </w:rPr>
        <w:t>0.9m</w:t>
      </w:r>
      <w:r w:rsidRPr="0081478A">
        <w:rPr>
          <w:rFonts w:cs="Times New Roman"/>
          <w:bCs/>
          <w:szCs w:val="24"/>
        </w:rPr>
        <w:t>；</w:t>
      </w:r>
    </w:p>
    <w:p w14:paraId="3F06B22B" w14:textId="77777777" w:rsidR="00D313E6" w:rsidRPr="0081478A" w:rsidRDefault="00D313E6" w:rsidP="00D313E6">
      <w:pPr>
        <w:ind w:firstLine="420"/>
        <w:rPr>
          <w:rFonts w:cs="Times New Roman"/>
          <w:bCs/>
          <w:szCs w:val="24"/>
        </w:rPr>
      </w:pPr>
      <w:r w:rsidRPr="0081478A">
        <w:rPr>
          <w:rFonts w:cs="Times New Roman"/>
          <w:bCs/>
          <w:szCs w:val="24"/>
        </w:rPr>
        <w:t xml:space="preserve">6.11.7 </w:t>
      </w:r>
      <w:r w:rsidRPr="0081478A">
        <w:rPr>
          <w:rFonts w:cs="Times New Roman"/>
          <w:bCs/>
          <w:szCs w:val="24"/>
        </w:rPr>
        <w:t>当凸窗窗台高度低于或等于</w:t>
      </w:r>
      <w:r w:rsidRPr="0081478A">
        <w:rPr>
          <w:rFonts w:cs="Times New Roman"/>
          <w:bCs/>
          <w:szCs w:val="24"/>
        </w:rPr>
        <w:t>0.45m</w:t>
      </w:r>
      <w:r w:rsidRPr="0081478A">
        <w:rPr>
          <w:rFonts w:cs="Times New Roman"/>
          <w:bCs/>
          <w:szCs w:val="24"/>
        </w:rPr>
        <w:t>时，其防护高度从窗台面起算不应低于</w:t>
      </w:r>
      <w:r w:rsidRPr="0081478A">
        <w:rPr>
          <w:rFonts w:cs="Times New Roman"/>
          <w:bCs/>
          <w:szCs w:val="24"/>
        </w:rPr>
        <w:t>0.9m</w:t>
      </w:r>
      <w:r w:rsidRPr="0081478A">
        <w:rPr>
          <w:rFonts w:cs="Times New Roman"/>
          <w:bCs/>
          <w:szCs w:val="24"/>
        </w:rPr>
        <w:t>；当凸窗窗台高度高于</w:t>
      </w:r>
      <w:r w:rsidRPr="0081478A">
        <w:rPr>
          <w:rFonts w:cs="Times New Roman"/>
          <w:bCs/>
          <w:szCs w:val="24"/>
        </w:rPr>
        <w:t>0.45m</w:t>
      </w:r>
      <w:r w:rsidRPr="0081478A">
        <w:rPr>
          <w:rFonts w:cs="Times New Roman"/>
          <w:bCs/>
          <w:szCs w:val="24"/>
        </w:rPr>
        <w:t>时，其防护高度从窗台面起算不应低于</w:t>
      </w:r>
      <w:r w:rsidRPr="0081478A">
        <w:rPr>
          <w:rFonts w:cs="Times New Roman"/>
          <w:bCs/>
          <w:szCs w:val="24"/>
        </w:rPr>
        <w:t>0.6m</w:t>
      </w:r>
      <w:r w:rsidRPr="0081478A">
        <w:rPr>
          <w:rFonts w:cs="Times New Roman"/>
          <w:bCs/>
          <w:szCs w:val="24"/>
        </w:rPr>
        <w:t>。</w:t>
      </w:r>
    </w:p>
    <w:p w14:paraId="7EEDE605" w14:textId="77777777" w:rsidR="00D313E6" w:rsidRPr="0081478A" w:rsidRDefault="00D313E6" w:rsidP="00D313E6">
      <w:pPr>
        <w:ind w:firstLine="420"/>
        <w:rPr>
          <w:rFonts w:cs="Times New Roman"/>
          <w:bCs/>
          <w:szCs w:val="24"/>
        </w:rPr>
      </w:pPr>
      <w:r w:rsidRPr="0081478A">
        <w:rPr>
          <w:rFonts w:cs="Times New Roman"/>
          <w:bCs/>
          <w:szCs w:val="24"/>
        </w:rPr>
        <w:t>《建筑结构荷载规范》</w:t>
      </w:r>
      <w:r w:rsidRPr="0081478A">
        <w:rPr>
          <w:rFonts w:cs="Times New Roman"/>
          <w:bCs/>
          <w:szCs w:val="24"/>
        </w:rPr>
        <w:t>GB 50009-2012</w:t>
      </w:r>
      <w:r w:rsidRPr="0081478A">
        <w:rPr>
          <w:rFonts w:cs="Times New Roman"/>
          <w:bCs/>
          <w:szCs w:val="24"/>
        </w:rPr>
        <w:t>对栏杆水平荷载和垂直荷载的设计要求如下：</w:t>
      </w:r>
    </w:p>
    <w:p w14:paraId="752BEC3C" w14:textId="70B415A5" w:rsidR="006677FB" w:rsidRPr="00A560A5" w:rsidRDefault="00D313E6" w:rsidP="00A560A5">
      <w:pPr>
        <w:ind w:firstLine="420"/>
        <w:rPr>
          <w:rFonts w:cs="Times New Roman"/>
          <w:bCs/>
          <w:szCs w:val="24"/>
        </w:rPr>
      </w:pPr>
      <w:r w:rsidRPr="0081478A">
        <w:rPr>
          <w:rFonts w:cs="Times New Roman"/>
          <w:bCs/>
          <w:szCs w:val="24"/>
        </w:rPr>
        <w:t xml:space="preserve">5.5.2 </w:t>
      </w:r>
      <w:r w:rsidRPr="0081478A">
        <w:rPr>
          <w:rFonts w:cs="Times New Roman"/>
          <w:bCs/>
          <w:szCs w:val="24"/>
        </w:rPr>
        <w:t>楼梯、看台、阳台和上人屋面等的栏杆活荷载标准值，不应小于下列规定：</w:t>
      </w:r>
      <w:r w:rsidRPr="0081478A">
        <w:rPr>
          <w:rFonts w:cs="Times New Roman"/>
          <w:bCs/>
          <w:szCs w:val="24"/>
        </w:rPr>
        <w:t xml:space="preserve">1 </w:t>
      </w:r>
      <w:r w:rsidRPr="0081478A">
        <w:rPr>
          <w:rFonts w:cs="Times New Roman"/>
          <w:bCs/>
          <w:szCs w:val="24"/>
        </w:rPr>
        <w:t>住宅、宿舍、办公楼、旅馆、医院、托儿所、幼儿园，栏杆顶部的水平荷载应取</w:t>
      </w:r>
      <w:r w:rsidRPr="0081478A">
        <w:rPr>
          <w:rFonts w:cs="Times New Roman"/>
          <w:bCs/>
          <w:szCs w:val="24"/>
        </w:rPr>
        <w:t>1.0kN/m</w:t>
      </w:r>
      <w:r w:rsidRPr="0081478A">
        <w:rPr>
          <w:rFonts w:cs="Times New Roman"/>
          <w:bCs/>
          <w:szCs w:val="24"/>
        </w:rPr>
        <w:t>；</w:t>
      </w:r>
      <w:r w:rsidRPr="0081478A">
        <w:rPr>
          <w:rFonts w:cs="Times New Roman"/>
          <w:bCs/>
          <w:szCs w:val="24"/>
        </w:rPr>
        <w:t xml:space="preserve">2 </w:t>
      </w:r>
      <w:r w:rsidRPr="0081478A">
        <w:rPr>
          <w:rFonts w:cs="Times New Roman"/>
          <w:bCs/>
          <w:szCs w:val="24"/>
        </w:rPr>
        <w:t>学校、食堂、剧场、电影院、车站、礼堂、展览馆或体育场，栏杆顶部的水平荷载应取</w:t>
      </w:r>
      <w:r w:rsidRPr="0081478A">
        <w:rPr>
          <w:rFonts w:cs="Times New Roman"/>
          <w:bCs/>
          <w:szCs w:val="24"/>
        </w:rPr>
        <w:t>1.0kN/m</w:t>
      </w:r>
      <w:r w:rsidRPr="0081478A">
        <w:rPr>
          <w:rFonts w:cs="Times New Roman"/>
          <w:bCs/>
          <w:szCs w:val="24"/>
        </w:rPr>
        <w:t>，竖向荷载应取</w:t>
      </w:r>
      <w:r w:rsidRPr="0081478A">
        <w:rPr>
          <w:rFonts w:cs="Times New Roman"/>
          <w:bCs/>
          <w:szCs w:val="24"/>
        </w:rPr>
        <w:t>1.2kN/m</w:t>
      </w:r>
      <w:r w:rsidRPr="0081478A">
        <w:rPr>
          <w:rFonts w:cs="Times New Roman"/>
          <w:bCs/>
          <w:szCs w:val="24"/>
        </w:rPr>
        <w:t>，水平荷载与竖向荷载应分别考虑。</w:t>
      </w:r>
      <w:r w:rsidR="006677FB" w:rsidRPr="0081478A">
        <w:rPr>
          <w:rFonts w:cs="Times New Roman"/>
        </w:rPr>
        <w:t>明确相关设计构造大样，满足安全防护及相关标准要求，施工和运营阶段严格按设计及相关要求施工、检修、维护和使用，并提供相关记录文件。</w:t>
      </w:r>
    </w:p>
    <w:p w14:paraId="7B31DD68" w14:textId="108C694F" w:rsidR="001E4D52" w:rsidRPr="00A560A5" w:rsidRDefault="00A560A5" w:rsidP="00643310">
      <w:pPr>
        <w:ind w:firstLineChars="300" w:firstLine="630"/>
        <w:rPr>
          <w:bCs/>
          <w:szCs w:val="24"/>
        </w:rPr>
      </w:pPr>
      <w:r>
        <w:rPr>
          <w:rFonts w:hint="eastAsia"/>
        </w:rPr>
        <w:t>第</w:t>
      </w:r>
      <w:r>
        <w:rPr>
          <w:rFonts w:hint="eastAsia"/>
        </w:rPr>
        <w:t>2</w:t>
      </w:r>
      <w:r>
        <w:rPr>
          <w:rFonts w:hint="eastAsia"/>
        </w:rPr>
        <w:t>、</w:t>
      </w:r>
      <w:r>
        <w:rPr>
          <w:rFonts w:hint="eastAsia"/>
        </w:rPr>
        <w:t>3</w:t>
      </w:r>
      <w:r>
        <w:rPr>
          <w:rFonts w:hint="eastAsia"/>
        </w:rPr>
        <w:t>款主要是采取被动方法降低防坠物风险，第</w:t>
      </w:r>
      <w:r>
        <w:rPr>
          <w:rFonts w:hint="eastAsia"/>
        </w:rPr>
        <w:t>2</w:t>
      </w:r>
      <w:r>
        <w:rPr>
          <w:rFonts w:hint="eastAsia"/>
        </w:rPr>
        <w:t>款系指建筑物出入口，第</w:t>
      </w:r>
      <w:r>
        <w:rPr>
          <w:rFonts w:hint="eastAsia"/>
        </w:rPr>
        <w:t>3</w:t>
      </w:r>
      <w:r>
        <w:rPr>
          <w:rFonts w:hint="eastAsia"/>
        </w:rPr>
        <w:t>款系指建筑物周边。</w:t>
      </w:r>
    </w:p>
    <w:p w14:paraId="3112B8A7"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00352985" w14:textId="2EC978B0" w:rsidR="0084444F" w:rsidRPr="00530A11" w:rsidRDefault="0084444F" w:rsidP="0084444F">
      <w:pPr>
        <w:ind w:firstLine="420"/>
        <w:rPr>
          <w:rFonts w:cs="Times New Roman"/>
          <w:szCs w:val="24"/>
        </w:rPr>
      </w:pPr>
      <w:r w:rsidRPr="00530A11">
        <w:rPr>
          <w:rFonts w:cs="Times New Roman"/>
          <w:szCs w:val="24"/>
        </w:rPr>
        <w:t>预评价查阅</w:t>
      </w:r>
      <w:r w:rsidR="00A560A5" w:rsidRPr="00A560A5">
        <w:rPr>
          <w:rFonts w:cs="Times New Roman" w:hint="eastAsia"/>
          <w:szCs w:val="24"/>
        </w:rPr>
        <w:t>建筑专业阳台、外窗、窗台、防护栏杆设计图，建筑出入口安全防护设计图及室外场地设计图等</w:t>
      </w:r>
      <w:r w:rsidRPr="00530A11">
        <w:rPr>
          <w:rFonts w:cs="Times New Roman"/>
          <w:szCs w:val="24"/>
        </w:rPr>
        <w:t>相关设计文件等；评价查阅相关竣工图及检测检验报告，组织现场查勘。</w:t>
      </w:r>
    </w:p>
    <w:p w14:paraId="35EA04B7" w14:textId="77777777" w:rsidR="00715ABB" w:rsidRPr="0084444F" w:rsidRDefault="00715ABB">
      <w:pPr>
        <w:snapToGrid w:val="0"/>
        <w:ind w:firstLine="420"/>
        <w:jc w:val="left"/>
        <w:rPr>
          <w:rFonts w:cs="Times New Roman"/>
          <w:szCs w:val="24"/>
        </w:rPr>
      </w:pPr>
    </w:p>
    <w:p w14:paraId="392F8807" w14:textId="77777777" w:rsidR="006A6F67" w:rsidRPr="00530A11" w:rsidRDefault="006A6F67" w:rsidP="006A6F67">
      <w:pPr>
        <w:pStyle w:val="4"/>
        <w:rPr>
          <w:rFonts w:cs="Times New Roman"/>
          <w:bCs w:val="0"/>
        </w:rPr>
      </w:pPr>
      <w:r w:rsidRPr="00530A11">
        <w:rPr>
          <w:rFonts w:cs="Times New Roman"/>
          <w:bCs w:val="0"/>
        </w:rPr>
        <w:t xml:space="preserve">4.2.3 </w:t>
      </w:r>
      <w:bookmarkStart w:id="54" w:name="_Hlk25677954"/>
      <w:bookmarkStart w:id="55" w:name="_Hlk20679992"/>
      <w:r w:rsidRPr="00530A11">
        <w:rPr>
          <w:rFonts w:cs="Times New Roman"/>
          <w:bCs w:val="0"/>
        </w:rPr>
        <w:t>采用具有安全防护功能的产品或配件，评价总分值为</w:t>
      </w:r>
      <w:r w:rsidRPr="00530A11">
        <w:rPr>
          <w:rFonts w:cs="Times New Roman"/>
          <w:bCs w:val="0"/>
        </w:rPr>
        <w:t>10</w:t>
      </w:r>
      <w:r w:rsidRPr="00530A11">
        <w:rPr>
          <w:rFonts w:cs="Times New Roman"/>
          <w:bCs w:val="0"/>
        </w:rPr>
        <w:t>分，并按下列规则分别评分并累计：</w:t>
      </w:r>
    </w:p>
    <w:p w14:paraId="6F8253B3" w14:textId="77777777" w:rsidR="006A6F67" w:rsidRPr="006A6F67" w:rsidRDefault="006A6F67" w:rsidP="006A6F67">
      <w:pPr>
        <w:pStyle w:val="20"/>
        <w:ind w:firstLineChars="100" w:firstLine="211"/>
        <w:rPr>
          <w:rFonts w:ascii="Times New Roman" w:hAnsi="Times New Roman" w:cs="Times New Roman"/>
          <w:bCs/>
        </w:rPr>
      </w:pPr>
      <w:r w:rsidRPr="006A6F67">
        <w:rPr>
          <w:rFonts w:ascii="Times New Roman" w:hAnsi="Times New Roman" w:cs="Times New Roman"/>
          <w:bCs/>
        </w:rPr>
        <w:t xml:space="preserve">1 </w:t>
      </w:r>
      <w:r w:rsidRPr="006A6F67">
        <w:rPr>
          <w:rFonts w:ascii="Times New Roman" w:hAnsi="Times New Roman" w:cs="Times New Roman"/>
          <w:bCs/>
        </w:rPr>
        <w:t>采用具有安全防护功能的玻璃，得</w:t>
      </w:r>
      <w:r w:rsidRPr="006A6F67">
        <w:rPr>
          <w:rFonts w:ascii="Times New Roman" w:hAnsi="Times New Roman" w:cs="Times New Roman"/>
          <w:bCs/>
        </w:rPr>
        <w:t>5</w:t>
      </w:r>
      <w:r w:rsidRPr="006A6F67">
        <w:rPr>
          <w:rFonts w:ascii="Times New Roman" w:hAnsi="Times New Roman" w:cs="Times New Roman"/>
          <w:bCs/>
        </w:rPr>
        <w:t>分；</w:t>
      </w:r>
    </w:p>
    <w:p w14:paraId="75D1EE17" w14:textId="77777777" w:rsidR="006A6F67" w:rsidRPr="006A6F67" w:rsidRDefault="006A6F67" w:rsidP="006A6F67">
      <w:pPr>
        <w:pStyle w:val="20"/>
        <w:ind w:firstLineChars="100" w:firstLine="211"/>
        <w:rPr>
          <w:rFonts w:cs="Times New Roman"/>
          <w:bCs/>
        </w:rPr>
      </w:pPr>
      <w:r w:rsidRPr="006A6F67">
        <w:rPr>
          <w:rFonts w:ascii="Times New Roman" w:hAnsi="Times New Roman" w:cs="Times New Roman"/>
          <w:bCs/>
        </w:rPr>
        <w:t xml:space="preserve">2 </w:t>
      </w:r>
      <w:r w:rsidRPr="006A6F67">
        <w:rPr>
          <w:rFonts w:ascii="Times New Roman" w:hAnsi="Times New Roman" w:cs="Times New Roman"/>
          <w:bCs/>
        </w:rPr>
        <w:t>采用具备防夹功能的门窗，得</w:t>
      </w:r>
      <w:r w:rsidRPr="006A6F67">
        <w:rPr>
          <w:rFonts w:ascii="Times New Roman" w:hAnsi="Times New Roman" w:cs="Times New Roman"/>
          <w:bCs/>
        </w:rPr>
        <w:t>5</w:t>
      </w:r>
      <w:r w:rsidRPr="006A6F67">
        <w:rPr>
          <w:rFonts w:ascii="Times New Roman" w:hAnsi="Times New Roman" w:cs="Times New Roman"/>
          <w:bCs/>
        </w:rPr>
        <w:t>分。</w:t>
      </w:r>
      <w:bookmarkEnd w:id="54"/>
      <w:r w:rsidRPr="006A6F67" w:rsidDel="002A39C1">
        <w:rPr>
          <w:rFonts w:ascii="Times New Roman" w:hAnsi="Times New Roman" w:cs="Times New Roman"/>
          <w:bCs/>
        </w:rPr>
        <w:t xml:space="preserve"> </w:t>
      </w:r>
      <w:bookmarkEnd w:id="55"/>
    </w:p>
    <w:p w14:paraId="05715443" w14:textId="77777777" w:rsidR="00715ABB" w:rsidRPr="0081478A" w:rsidRDefault="00F44390">
      <w:pPr>
        <w:ind w:firstLineChars="0" w:firstLine="0"/>
        <w:rPr>
          <w:rFonts w:cs="Times New Roman"/>
          <w:b/>
          <w:szCs w:val="24"/>
        </w:rPr>
      </w:pPr>
      <w:r w:rsidRPr="0081478A">
        <w:rPr>
          <w:rFonts w:cs="Times New Roman"/>
          <w:b/>
          <w:szCs w:val="24"/>
        </w:rPr>
        <w:t>【条文说明】</w:t>
      </w:r>
    </w:p>
    <w:p w14:paraId="7F12D2B9" w14:textId="77777777" w:rsidR="002C09A7" w:rsidRPr="00530A11" w:rsidRDefault="002C09A7" w:rsidP="002C09A7">
      <w:pPr>
        <w:ind w:firstLine="420"/>
      </w:pPr>
      <w:r w:rsidRPr="00530A11">
        <w:t>本条适用于各类民用建筑的预评价、评价。</w:t>
      </w:r>
    </w:p>
    <w:p w14:paraId="102B0B5B"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5E5F572E" w14:textId="77777777" w:rsidR="002C09A7" w:rsidRPr="00530A11" w:rsidRDefault="002C09A7" w:rsidP="002C09A7">
      <w:pPr>
        <w:ind w:firstLine="420"/>
        <w:rPr>
          <w:rFonts w:cs="Times New Roman"/>
          <w:szCs w:val="24"/>
        </w:rPr>
      </w:pPr>
      <w:bookmarkStart w:id="56" w:name="_Hlk25677998"/>
      <w:r w:rsidRPr="00530A11">
        <w:rPr>
          <w:rFonts w:cs="Times New Roman"/>
          <w:szCs w:val="24"/>
        </w:rPr>
        <w:t>第</w:t>
      </w:r>
      <w:r w:rsidRPr="00530A11">
        <w:rPr>
          <w:rFonts w:cs="Times New Roman"/>
          <w:szCs w:val="24"/>
        </w:rPr>
        <w:t>1</w:t>
      </w:r>
      <w:r w:rsidRPr="00530A11">
        <w:rPr>
          <w:rFonts w:cs="Times New Roman"/>
          <w:szCs w:val="24"/>
        </w:rPr>
        <w:t>款，参考国家现行标准《建筑用安全玻璃》</w:t>
      </w:r>
      <w:r w:rsidRPr="00530A11">
        <w:rPr>
          <w:rFonts w:cs="Times New Roman"/>
          <w:szCs w:val="24"/>
        </w:rPr>
        <w:t>GB 15763</w:t>
      </w:r>
      <w:r w:rsidRPr="00530A11">
        <w:rPr>
          <w:rFonts w:cs="Times New Roman"/>
          <w:szCs w:val="24"/>
        </w:rPr>
        <w:t>、《建筑玻璃应用技术规程》</w:t>
      </w:r>
      <w:r w:rsidRPr="00530A11">
        <w:rPr>
          <w:rFonts w:cs="Times New Roman"/>
          <w:szCs w:val="24"/>
        </w:rPr>
        <w:t>JGJ 113</w:t>
      </w:r>
      <w:r w:rsidRPr="00530A11">
        <w:rPr>
          <w:rFonts w:cs="Times New Roman"/>
          <w:szCs w:val="24"/>
        </w:rPr>
        <w:t>的有关规定以及《建筑安全玻璃管理规定》（发改运行</w:t>
      </w:r>
      <w:r w:rsidRPr="00530A11">
        <w:rPr>
          <w:rFonts w:cs="Times New Roman"/>
          <w:szCs w:val="24"/>
        </w:rPr>
        <w:t>[2003]2116</w:t>
      </w:r>
      <w:r w:rsidRPr="00530A11">
        <w:rPr>
          <w:rFonts w:cs="Times New Roman"/>
          <w:szCs w:val="24"/>
        </w:rPr>
        <w:t>号）对建筑用安全玻璃使用的建议，人体撞击建筑中的玻璃制品并受到伤害的主要原因是缺少足够的安全防护。为了尽量减少建筑用玻璃制品在受到冲击时对人体造成划伤、割伤等，在建筑中使用玻璃制品时需尽可能地采取下列措施：</w:t>
      </w:r>
    </w:p>
    <w:p w14:paraId="0AA0779A" w14:textId="77777777" w:rsidR="002C09A7" w:rsidRPr="00530A11" w:rsidRDefault="002C09A7" w:rsidP="002C09A7">
      <w:pPr>
        <w:ind w:firstLine="420"/>
        <w:rPr>
          <w:rFonts w:cs="Times New Roman"/>
          <w:szCs w:val="24"/>
        </w:rPr>
      </w:pPr>
      <w:r w:rsidRPr="00530A11">
        <w:rPr>
          <w:rFonts w:cs="Times New Roman"/>
          <w:szCs w:val="24"/>
        </w:rPr>
        <w:t>1</w:t>
      </w:r>
      <w:r w:rsidRPr="00530A11">
        <w:rPr>
          <w:rFonts w:cs="Times New Roman"/>
          <w:szCs w:val="24"/>
        </w:rPr>
        <w:t>选择安全玻璃制品时，充分考虑玻璃的种类、结构、厚度、尺寸，尤其是合理选择安</w:t>
      </w:r>
      <w:r w:rsidRPr="00530A11">
        <w:rPr>
          <w:rFonts w:cs="Times New Roman"/>
          <w:szCs w:val="24"/>
        </w:rPr>
        <w:lastRenderedPageBreak/>
        <w:t>全玻璃制品霰弹袋冲击试验的冲击历程和冲击高度级别等；</w:t>
      </w:r>
    </w:p>
    <w:p w14:paraId="4918F409" w14:textId="77777777" w:rsidR="002C09A7" w:rsidRPr="00530A11" w:rsidRDefault="002C09A7" w:rsidP="002C09A7">
      <w:pPr>
        <w:ind w:firstLine="420"/>
        <w:rPr>
          <w:rFonts w:cs="Times New Roman"/>
          <w:szCs w:val="24"/>
        </w:rPr>
      </w:pPr>
      <w:r w:rsidRPr="00530A11">
        <w:rPr>
          <w:rFonts w:cs="Times New Roman"/>
          <w:szCs w:val="24"/>
        </w:rPr>
        <w:t>2</w:t>
      </w:r>
      <w:r w:rsidRPr="00530A11">
        <w:rPr>
          <w:rFonts w:cs="Times New Roman"/>
          <w:szCs w:val="24"/>
        </w:rPr>
        <w:t>对关键场所的安全玻璃制品采取必要的其他防护；</w:t>
      </w:r>
    </w:p>
    <w:p w14:paraId="5D56D3BC" w14:textId="77777777" w:rsidR="002C09A7" w:rsidRPr="00530A11" w:rsidRDefault="002C09A7" w:rsidP="002C09A7">
      <w:pPr>
        <w:ind w:firstLine="420"/>
        <w:rPr>
          <w:rFonts w:cs="Times New Roman"/>
          <w:szCs w:val="24"/>
        </w:rPr>
      </w:pPr>
      <w:r w:rsidRPr="00530A11">
        <w:rPr>
          <w:rFonts w:cs="Times New Roman"/>
          <w:szCs w:val="24"/>
        </w:rPr>
        <w:t>3</w:t>
      </w:r>
      <w:r w:rsidRPr="00530A11">
        <w:rPr>
          <w:rFonts w:cs="Times New Roman"/>
          <w:szCs w:val="24"/>
        </w:rPr>
        <w:t>关键场所的安全玻璃制品设置容易识别的标识。</w:t>
      </w:r>
    </w:p>
    <w:p w14:paraId="6705C4A9" w14:textId="77777777" w:rsidR="002C09A7" w:rsidRPr="00530A11" w:rsidRDefault="002C09A7" w:rsidP="002C09A7">
      <w:pPr>
        <w:ind w:firstLine="420"/>
        <w:rPr>
          <w:rFonts w:cs="Times New Roman"/>
          <w:szCs w:val="24"/>
        </w:rPr>
      </w:pPr>
      <w:r w:rsidRPr="00530A11">
        <w:rPr>
          <w:rFonts w:cs="Times New Roman"/>
          <w:szCs w:val="24"/>
        </w:rPr>
        <w:t>本条所述包括分隔建筑室内外的玻璃门窗、幕墙、防护栏杆等采用安全玻璃，室内玻璃隔断、玻璃护栏等采用夹胶钢化玻璃以防止自爆伤人。</w:t>
      </w:r>
    </w:p>
    <w:p w14:paraId="635680C7" w14:textId="77777777" w:rsidR="002C09A7" w:rsidRPr="00530A11" w:rsidRDefault="002C09A7" w:rsidP="002C09A7">
      <w:pPr>
        <w:ind w:firstLine="420"/>
        <w:rPr>
          <w:rFonts w:cs="Times New Roman"/>
          <w:szCs w:val="24"/>
        </w:rPr>
      </w:pPr>
      <w:bookmarkStart w:id="57" w:name="_Hlk26102767"/>
      <w:r w:rsidRPr="00530A11">
        <w:rPr>
          <w:rFonts w:cs="Times New Roman" w:hint="eastAsia"/>
          <w:szCs w:val="24"/>
        </w:rPr>
        <w:t>除现行国标、现行标准规范规定之外的部位全部采用安全玻璃，本条才能得分。</w:t>
      </w:r>
    </w:p>
    <w:p w14:paraId="08973607" w14:textId="77777777" w:rsidR="002C09A7" w:rsidRPr="00530A11" w:rsidRDefault="002C09A7" w:rsidP="002C09A7">
      <w:pPr>
        <w:ind w:firstLine="420"/>
        <w:rPr>
          <w:rFonts w:cs="Times New Roman"/>
          <w:szCs w:val="24"/>
        </w:rPr>
      </w:pPr>
      <w:bookmarkStart w:id="58" w:name="_Hlk25678009"/>
      <w:bookmarkEnd w:id="56"/>
      <w:bookmarkEnd w:id="57"/>
      <w:r w:rsidRPr="00530A11">
        <w:rPr>
          <w:rFonts w:cs="Times New Roman"/>
          <w:szCs w:val="24"/>
        </w:rPr>
        <w:t>第</w:t>
      </w:r>
      <w:r w:rsidRPr="00530A11">
        <w:rPr>
          <w:rFonts w:cs="Times New Roman"/>
          <w:szCs w:val="24"/>
        </w:rPr>
        <w:t>2</w:t>
      </w:r>
      <w:r w:rsidRPr="00530A11">
        <w:rPr>
          <w:rFonts w:cs="Times New Roman"/>
          <w:szCs w:val="24"/>
        </w:rPr>
        <w:t>款，</w:t>
      </w:r>
      <w:bookmarkEnd w:id="58"/>
      <w:r w:rsidRPr="00530A11">
        <w:rPr>
          <w:rFonts w:cs="Times New Roman"/>
          <w:szCs w:val="24"/>
        </w:rPr>
        <w:t>生活中常见的自动门窗、推拉门、旋转门等夹人事故频频发生，尤其是对于缺乏自我保护能力的孩子来说更为危险。因此，对于人流量大、门窗开合频繁的位置，可采用可调力度的闭门器或具有缓冲功能的延时闭门器等措施，防止夹人伤人事故的发生。</w:t>
      </w:r>
    </w:p>
    <w:p w14:paraId="5CE1E377" w14:textId="77777777" w:rsidR="006677FB" w:rsidRPr="0081478A" w:rsidRDefault="006677FB" w:rsidP="006C79E9">
      <w:pPr>
        <w:pStyle w:val="20"/>
      </w:pPr>
      <w:r w:rsidRPr="0081478A">
        <w:t>【评价要点】</w:t>
      </w:r>
    </w:p>
    <w:p w14:paraId="60E03A86" w14:textId="77777777" w:rsidR="006677FB" w:rsidRPr="0081478A" w:rsidRDefault="006677FB" w:rsidP="006677FB">
      <w:pPr>
        <w:ind w:firstLine="420"/>
        <w:rPr>
          <w:rFonts w:cs="Times New Roman"/>
          <w:bCs/>
          <w:szCs w:val="24"/>
        </w:rPr>
      </w:pPr>
      <w:r w:rsidRPr="0081478A">
        <w:rPr>
          <w:rFonts w:cs="Times New Roman"/>
          <w:bCs/>
          <w:szCs w:val="24"/>
        </w:rPr>
        <w:t>活动场所和公共区域采用具有安全防护功能的产品和配件，所选产品或配件应无尖锐突出物，阳角均为圆角或钝角。</w:t>
      </w:r>
    </w:p>
    <w:p w14:paraId="15320EE8" w14:textId="77777777" w:rsidR="006677FB" w:rsidRPr="0081478A" w:rsidRDefault="006677FB" w:rsidP="006677FB">
      <w:pPr>
        <w:ind w:firstLine="420"/>
        <w:rPr>
          <w:rFonts w:cs="Times New Roman"/>
          <w:bCs/>
          <w:szCs w:val="24"/>
        </w:rPr>
      </w:pPr>
      <w:r w:rsidRPr="0081478A">
        <w:rPr>
          <w:rFonts w:cs="Times New Roman"/>
          <w:bCs/>
          <w:szCs w:val="24"/>
        </w:rPr>
        <w:t>电梯门、大堂入口门、旋转门、推拉门窗设置有可调力度的闭门器或具有缓冲功能的延时闭门器等措施。</w:t>
      </w:r>
    </w:p>
    <w:p w14:paraId="3C72A729" w14:textId="77777777" w:rsidR="00715ABB" w:rsidRPr="006C79E9" w:rsidRDefault="00F44390" w:rsidP="006C79E9">
      <w:pPr>
        <w:pStyle w:val="20"/>
      </w:pPr>
      <w:r w:rsidRPr="0081478A">
        <w:t>【评价方法】</w:t>
      </w:r>
    </w:p>
    <w:p w14:paraId="28FE28D3" w14:textId="77777777" w:rsidR="0084444F" w:rsidRPr="00530A11" w:rsidRDefault="0084444F" w:rsidP="0084444F">
      <w:pPr>
        <w:ind w:firstLine="420"/>
        <w:rPr>
          <w:rFonts w:cs="Times New Roman"/>
          <w:szCs w:val="24"/>
        </w:rPr>
      </w:pPr>
      <w:r w:rsidRPr="00530A11">
        <w:rPr>
          <w:rFonts w:cs="Times New Roman"/>
          <w:szCs w:val="24"/>
        </w:rPr>
        <w:t>预评价查阅相关设计文件等；评价查阅相关竣工图及门窗检测检验报告。</w:t>
      </w:r>
    </w:p>
    <w:p w14:paraId="736A4D20" w14:textId="77777777" w:rsidR="00715ABB" w:rsidRPr="0084444F" w:rsidRDefault="00715ABB">
      <w:pPr>
        <w:snapToGrid w:val="0"/>
        <w:ind w:firstLine="420"/>
        <w:jc w:val="left"/>
        <w:rPr>
          <w:rFonts w:cs="Times New Roman"/>
          <w:szCs w:val="24"/>
        </w:rPr>
      </w:pPr>
    </w:p>
    <w:p w14:paraId="3930E969" w14:textId="77777777" w:rsidR="006A6F67" w:rsidRPr="00530A11" w:rsidRDefault="006A6F67" w:rsidP="006A6F67">
      <w:pPr>
        <w:pStyle w:val="4"/>
        <w:rPr>
          <w:rFonts w:cs="Times New Roman"/>
          <w:bCs w:val="0"/>
        </w:rPr>
      </w:pPr>
      <w:r w:rsidRPr="00530A11">
        <w:rPr>
          <w:rFonts w:cs="Times New Roman"/>
          <w:bCs w:val="0"/>
        </w:rPr>
        <w:t xml:space="preserve">4.2.4 </w:t>
      </w:r>
      <w:r w:rsidRPr="00530A11">
        <w:rPr>
          <w:rFonts w:cs="Times New Roman"/>
          <w:bCs w:val="0"/>
        </w:rPr>
        <w:t>室内外地面或路面设置防滑措施，评价总分值为</w:t>
      </w:r>
      <w:r w:rsidRPr="00530A11">
        <w:rPr>
          <w:rFonts w:cs="Times New Roman"/>
          <w:bCs w:val="0"/>
        </w:rPr>
        <w:t>10</w:t>
      </w:r>
      <w:r w:rsidRPr="00530A11">
        <w:rPr>
          <w:rFonts w:cs="Times New Roman"/>
          <w:bCs w:val="0"/>
        </w:rPr>
        <w:t>分，并按下列规则分别评分并累计：</w:t>
      </w:r>
    </w:p>
    <w:p w14:paraId="24773E95"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1 </w:t>
      </w:r>
      <w:r w:rsidRPr="006A6F67">
        <w:rPr>
          <w:rFonts w:ascii="Times New Roman" w:hAnsi="Times New Roman" w:cs="Times New Roman"/>
          <w:bCs/>
          <w:color w:val="auto"/>
        </w:rPr>
        <w:t>建筑室内外活动场所采用防滑地面，防滑等级达到现行行业标准《建筑地面工程防滑技术规程》</w:t>
      </w:r>
      <w:r w:rsidRPr="006A6F67">
        <w:rPr>
          <w:rFonts w:ascii="Times New Roman" w:hAnsi="Times New Roman" w:cs="Times New Roman"/>
          <w:bCs/>
          <w:color w:val="auto"/>
        </w:rPr>
        <w:t>JGJ/T 331</w:t>
      </w:r>
      <w:r w:rsidRPr="006A6F67">
        <w:rPr>
          <w:rFonts w:ascii="Times New Roman" w:hAnsi="Times New Roman" w:cs="Times New Roman"/>
          <w:bCs/>
          <w:color w:val="auto"/>
        </w:rPr>
        <w:t>规定的</w:t>
      </w:r>
      <w:r w:rsidRPr="006A6F67">
        <w:rPr>
          <w:rFonts w:ascii="Times New Roman" w:hAnsi="Times New Roman" w:cs="Times New Roman"/>
          <w:bCs/>
          <w:color w:val="auto"/>
        </w:rPr>
        <w:t>Ad</w:t>
      </w:r>
      <w:r w:rsidRPr="006A6F67">
        <w:rPr>
          <w:rFonts w:ascii="Times New Roman" w:hAnsi="Times New Roman" w:cs="Times New Roman"/>
          <w:bCs/>
          <w:color w:val="auto"/>
        </w:rPr>
        <w:t>、</w:t>
      </w:r>
      <w:r w:rsidRPr="006A6F67">
        <w:rPr>
          <w:rFonts w:ascii="Times New Roman" w:hAnsi="Times New Roman" w:cs="Times New Roman"/>
          <w:bCs/>
          <w:color w:val="auto"/>
        </w:rPr>
        <w:t>Aw</w:t>
      </w:r>
      <w:r w:rsidRPr="006A6F67">
        <w:rPr>
          <w:rFonts w:ascii="Times New Roman" w:hAnsi="Times New Roman" w:cs="Times New Roman"/>
          <w:bCs/>
          <w:color w:val="auto"/>
        </w:rPr>
        <w:t>级，得</w:t>
      </w:r>
      <w:r w:rsidRPr="006A6F67">
        <w:rPr>
          <w:rFonts w:ascii="Times New Roman" w:hAnsi="Times New Roman" w:cs="Times New Roman"/>
          <w:bCs/>
          <w:color w:val="auto"/>
        </w:rPr>
        <w:t>6</w:t>
      </w:r>
      <w:r w:rsidRPr="006A6F67">
        <w:rPr>
          <w:rFonts w:ascii="Times New Roman" w:hAnsi="Times New Roman" w:cs="Times New Roman"/>
          <w:bCs/>
          <w:color w:val="auto"/>
        </w:rPr>
        <w:t>分；</w:t>
      </w:r>
    </w:p>
    <w:p w14:paraId="0DA8A104" w14:textId="77777777" w:rsidR="006A6F67" w:rsidRPr="006A6F67" w:rsidRDefault="006A6F67" w:rsidP="006A6F67">
      <w:pPr>
        <w:pStyle w:val="20"/>
        <w:ind w:firstLineChars="100" w:firstLine="211"/>
        <w:rPr>
          <w:rFonts w:ascii="Times New Roman" w:hAnsi="Times New Roman" w:cs="Times New Roman"/>
          <w:bCs/>
          <w:color w:val="auto"/>
        </w:rPr>
      </w:pPr>
      <w:r w:rsidRPr="006A6F67">
        <w:rPr>
          <w:rFonts w:ascii="Times New Roman" w:hAnsi="Times New Roman" w:cs="Times New Roman"/>
          <w:bCs/>
          <w:color w:val="auto"/>
        </w:rPr>
        <w:t xml:space="preserve">2 </w:t>
      </w:r>
      <w:r w:rsidRPr="006A6F67">
        <w:rPr>
          <w:rFonts w:ascii="Times New Roman" w:hAnsi="Times New Roman" w:cs="Times New Roman"/>
          <w:bCs/>
          <w:color w:val="auto"/>
        </w:rPr>
        <w:t>建筑坡道、楼梯踏步防滑等级达到现行行业标准《建筑地面工程防滑技术规程》</w:t>
      </w:r>
      <w:r w:rsidRPr="006A6F67">
        <w:rPr>
          <w:rFonts w:ascii="Times New Roman" w:hAnsi="Times New Roman" w:cs="Times New Roman"/>
          <w:bCs/>
          <w:color w:val="auto"/>
        </w:rPr>
        <w:t>JGJ/T 331</w:t>
      </w:r>
      <w:r w:rsidRPr="006A6F67">
        <w:rPr>
          <w:rFonts w:ascii="Times New Roman" w:hAnsi="Times New Roman" w:cs="Times New Roman"/>
          <w:bCs/>
          <w:color w:val="auto"/>
        </w:rPr>
        <w:t>规定的</w:t>
      </w:r>
      <w:r w:rsidRPr="006A6F67">
        <w:rPr>
          <w:rFonts w:ascii="Times New Roman" w:hAnsi="Times New Roman" w:cs="Times New Roman"/>
          <w:bCs/>
          <w:color w:val="auto"/>
        </w:rPr>
        <w:t>Ad</w:t>
      </w:r>
      <w:r w:rsidRPr="006A6F67">
        <w:rPr>
          <w:rFonts w:ascii="Times New Roman" w:hAnsi="Times New Roman" w:cs="Times New Roman"/>
          <w:bCs/>
          <w:color w:val="auto"/>
        </w:rPr>
        <w:t>、</w:t>
      </w:r>
      <w:r w:rsidRPr="006A6F67">
        <w:rPr>
          <w:rFonts w:ascii="Times New Roman" w:hAnsi="Times New Roman" w:cs="Times New Roman"/>
          <w:bCs/>
          <w:color w:val="auto"/>
        </w:rPr>
        <w:t>Aw</w:t>
      </w:r>
      <w:r w:rsidRPr="006A6F67">
        <w:rPr>
          <w:rFonts w:ascii="Times New Roman" w:hAnsi="Times New Roman" w:cs="Times New Roman"/>
          <w:bCs/>
          <w:color w:val="auto"/>
        </w:rPr>
        <w:t>级或按水平地面等级提高一级，并采用防滑条等防滑构造技术措施，得</w:t>
      </w:r>
      <w:r w:rsidRPr="006A6F67">
        <w:rPr>
          <w:rFonts w:ascii="Times New Roman" w:hAnsi="Times New Roman" w:cs="Times New Roman"/>
          <w:bCs/>
          <w:color w:val="auto"/>
        </w:rPr>
        <w:t>4</w:t>
      </w:r>
      <w:r w:rsidRPr="006A6F67">
        <w:rPr>
          <w:rFonts w:ascii="Times New Roman" w:hAnsi="Times New Roman" w:cs="Times New Roman"/>
          <w:bCs/>
          <w:color w:val="auto"/>
        </w:rPr>
        <w:t>分。</w:t>
      </w:r>
    </w:p>
    <w:p w14:paraId="4EBB5E71" w14:textId="77777777" w:rsidR="00715ABB" w:rsidRPr="0081478A" w:rsidRDefault="00F44390">
      <w:pPr>
        <w:snapToGrid w:val="0"/>
        <w:ind w:firstLineChars="0" w:firstLine="0"/>
        <w:jc w:val="left"/>
        <w:rPr>
          <w:rFonts w:cs="Times New Roman"/>
          <w:b/>
          <w:szCs w:val="24"/>
        </w:rPr>
      </w:pPr>
      <w:r w:rsidRPr="0081478A">
        <w:rPr>
          <w:rFonts w:cs="Times New Roman"/>
          <w:b/>
          <w:szCs w:val="24"/>
        </w:rPr>
        <w:t>【条文说明】</w:t>
      </w:r>
    </w:p>
    <w:p w14:paraId="4B8F4822" w14:textId="77777777" w:rsidR="002C09A7" w:rsidRPr="00530A11" w:rsidRDefault="002C09A7" w:rsidP="002C09A7">
      <w:pPr>
        <w:ind w:firstLine="420"/>
      </w:pPr>
      <w:r w:rsidRPr="00530A11">
        <w:t>本条适用于各类民用建筑的预评价、评价。</w:t>
      </w:r>
    </w:p>
    <w:p w14:paraId="52CF0BF4"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szCs w:val="24"/>
        </w:rPr>
        <w:t>并对条文和条文说明进行了局部修改。</w:t>
      </w:r>
      <w:r w:rsidRPr="00530A11">
        <w:rPr>
          <w:rFonts w:cs="Times New Roman"/>
          <w:szCs w:val="24"/>
        </w:rPr>
        <w:t>建筑防滑地面工程对于保证人身安全至关重要。光亮、光滑的室内地面，因雨雪天气造成的室外湿滑地面和浴室、厕所等湿滑地面极易导致伤害事故。按现行行业标准《建筑地面工程防滑技术规程》</w:t>
      </w:r>
      <w:r w:rsidRPr="00530A11">
        <w:rPr>
          <w:rFonts w:cs="Times New Roman"/>
          <w:szCs w:val="24"/>
        </w:rPr>
        <w:t>JGJ/T 331</w:t>
      </w:r>
      <w:r w:rsidRPr="00530A11">
        <w:rPr>
          <w:rFonts w:cs="Times New Roman"/>
          <w:szCs w:val="24"/>
        </w:rPr>
        <w:t>的规定，</w:t>
      </w:r>
      <w:r w:rsidRPr="00530A11">
        <w:rPr>
          <w:rFonts w:cs="Times New Roman"/>
          <w:szCs w:val="24"/>
        </w:rPr>
        <w:t>Aw</w:t>
      </w:r>
      <w:r w:rsidRPr="00530A11">
        <w:rPr>
          <w:rFonts w:cs="Times New Roman"/>
          <w:szCs w:val="24"/>
        </w:rPr>
        <w:t>、</w:t>
      </w:r>
      <w:r w:rsidRPr="00530A11">
        <w:rPr>
          <w:rFonts w:cs="Times New Roman"/>
          <w:szCs w:val="24"/>
        </w:rPr>
        <w:t>Bw</w:t>
      </w:r>
      <w:r w:rsidRPr="00530A11">
        <w:rPr>
          <w:rFonts w:cs="Times New Roman"/>
          <w:szCs w:val="24"/>
        </w:rPr>
        <w:t>、</w:t>
      </w:r>
      <w:r w:rsidRPr="00530A11">
        <w:rPr>
          <w:rFonts w:cs="Times New Roman"/>
          <w:szCs w:val="24"/>
        </w:rPr>
        <w:t>Cw</w:t>
      </w:r>
      <w:r w:rsidRPr="00530A11">
        <w:rPr>
          <w:rFonts w:cs="Times New Roman"/>
          <w:szCs w:val="24"/>
        </w:rPr>
        <w:t>、</w:t>
      </w:r>
      <w:r w:rsidRPr="00530A11">
        <w:rPr>
          <w:rFonts w:cs="Times New Roman"/>
          <w:szCs w:val="24"/>
        </w:rPr>
        <w:t>Dw</w:t>
      </w:r>
      <w:r w:rsidRPr="00530A11">
        <w:rPr>
          <w:rFonts w:cs="Times New Roman"/>
          <w:szCs w:val="24"/>
        </w:rPr>
        <w:t>分别表示潮湿地面防滑安</w:t>
      </w:r>
      <w:r w:rsidRPr="00530A11">
        <w:rPr>
          <w:rFonts w:cs="Times New Roman"/>
          <w:szCs w:val="24"/>
        </w:rPr>
        <w:lastRenderedPageBreak/>
        <w:t>全程度为高级、中高级、中级、低级，</w:t>
      </w:r>
      <w:r w:rsidRPr="00530A11">
        <w:rPr>
          <w:rFonts w:cs="Times New Roman"/>
          <w:szCs w:val="24"/>
        </w:rPr>
        <w:t>Ad</w:t>
      </w:r>
      <w:r w:rsidRPr="00530A11">
        <w:rPr>
          <w:rFonts w:cs="Times New Roman"/>
          <w:szCs w:val="24"/>
        </w:rPr>
        <w:t>、</w:t>
      </w:r>
      <w:r w:rsidRPr="00530A11">
        <w:rPr>
          <w:rFonts w:cs="Times New Roman"/>
          <w:szCs w:val="24"/>
        </w:rPr>
        <w:t>Bd</w:t>
      </w:r>
      <w:r w:rsidRPr="00530A11">
        <w:rPr>
          <w:rFonts w:cs="Times New Roman"/>
          <w:szCs w:val="24"/>
        </w:rPr>
        <w:t>、</w:t>
      </w:r>
      <w:r w:rsidRPr="00530A11">
        <w:rPr>
          <w:rFonts w:cs="Times New Roman"/>
          <w:szCs w:val="24"/>
        </w:rPr>
        <w:t>Cd</w:t>
      </w:r>
      <w:r w:rsidRPr="00530A11">
        <w:rPr>
          <w:rFonts w:cs="Times New Roman"/>
          <w:szCs w:val="24"/>
        </w:rPr>
        <w:t>、</w:t>
      </w:r>
      <w:r w:rsidRPr="00530A11">
        <w:rPr>
          <w:rFonts w:cs="Times New Roman"/>
          <w:szCs w:val="24"/>
        </w:rPr>
        <w:t>Dd</w:t>
      </w:r>
      <w:r w:rsidRPr="00530A11">
        <w:rPr>
          <w:rFonts w:cs="Times New Roman"/>
          <w:szCs w:val="24"/>
        </w:rPr>
        <w:t>分别表示干态地面防滑安全程度为高级、中高级、中级、低级。</w:t>
      </w:r>
    </w:p>
    <w:p w14:paraId="24BE82D9"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3BAE893D" w14:textId="77777777" w:rsidR="006677FB" w:rsidRPr="0081478A" w:rsidRDefault="006677FB" w:rsidP="006677FB">
      <w:pPr>
        <w:ind w:firstLine="420"/>
        <w:rPr>
          <w:rFonts w:cs="Times New Roman"/>
          <w:bCs/>
          <w:szCs w:val="24"/>
        </w:rPr>
      </w:pPr>
      <w:r w:rsidRPr="0081478A">
        <w:rPr>
          <w:rFonts w:cs="Times New Roman"/>
          <w:bCs/>
          <w:szCs w:val="24"/>
        </w:rPr>
        <w:t>防滑措施满足现行行业标准《建筑地面工程防滑技术规程》</w:t>
      </w:r>
      <w:r w:rsidRPr="0081478A">
        <w:rPr>
          <w:rFonts w:cs="Times New Roman"/>
          <w:bCs/>
          <w:szCs w:val="24"/>
        </w:rPr>
        <w:t>JGJ/T 331</w:t>
      </w:r>
      <w:r w:rsidRPr="0081478A">
        <w:rPr>
          <w:rFonts w:cs="Times New Roman"/>
          <w:bCs/>
          <w:szCs w:val="24"/>
        </w:rPr>
        <w:t>的规定。</w:t>
      </w:r>
    </w:p>
    <w:p w14:paraId="31D3AACC"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AB5D9BF" w14:textId="5E65DD2A" w:rsidR="0084444F" w:rsidRPr="00530A11" w:rsidRDefault="0084444F" w:rsidP="0084444F">
      <w:pPr>
        <w:ind w:firstLine="420"/>
        <w:rPr>
          <w:rFonts w:cs="Times New Roman"/>
          <w:szCs w:val="24"/>
        </w:rPr>
      </w:pPr>
      <w:r w:rsidRPr="00530A11">
        <w:rPr>
          <w:rFonts w:cs="Times New Roman"/>
          <w:szCs w:val="24"/>
        </w:rPr>
        <w:t>预评价查阅</w:t>
      </w:r>
      <w:r w:rsidR="00A560A5" w:rsidRPr="00A560A5">
        <w:rPr>
          <w:rFonts w:cs="Times New Roman" w:hint="eastAsia"/>
          <w:szCs w:val="24"/>
        </w:rPr>
        <w:t>建筑设计说明、防滑构造做法等</w:t>
      </w:r>
      <w:r w:rsidRPr="00530A11">
        <w:rPr>
          <w:rFonts w:cs="Times New Roman"/>
          <w:szCs w:val="24"/>
        </w:rPr>
        <w:t>相关设计文件；评价查阅相关竣工图、防滑材料有关测试</w:t>
      </w:r>
      <w:r w:rsidR="00334250">
        <w:rPr>
          <w:rFonts w:cs="Times New Roman" w:hint="eastAsia"/>
          <w:szCs w:val="24"/>
        </w:rPr>
        <w:t>、检测</w:t>
      </w:r>
      <w:r w:rsidRPr="00530A11">
        <w:rPr>
          <w:rFonts w:cs="Times New Roman"/>
          <w:szCs w:val="24"/>
        </w:rPr>
        <w:t>报告，组织现场查勘。</w:t>
      </w:r>
    </w:p>
    <w:p w14:paraId="26380D31" w14:textId="77777777" w:rsidR="00715ABB" w:rsidRPr="0084444F" w:rsidRDefault="00715ABB">
      <w:pPr>
        <w:snapToGrid w:val="0"/>
        <w:ind w:firstLine="420"/>
        <w:jc w:val="left"/>
        <w:rPr>
          <w:rFonts w:cs="Times New Roman"/>
          <w:szCs w:val="24"/>
        </w:rPr>
      </w:pPr>
    </w:p>
    <w:p w14:paraId="4F5ED91B" w14:textId="4EAC1277" w:rsidR="00715ABB" w:rsidRPr="0081478A" w:rsidRDefault="006A6F67" w:rsidP="00AB036B">
      <w:pPr>
        <w:pStyle w:val="4"/>
        <w:rPr>
          <w:rFonts w:cs="Times New Roman"/>
        </w:rPr>
      </w:pPr>
      <w:r w:rsidRPr="006A6F67">
        <w:rPr>
          <w:rFonts w:cs="Times New Roman" w:hint="eastAsia"/>
        </w:rPr>
        <w:t xml:space="preserve">4.2.5 </w:t>
      </w:r>
      <w:r w:rsidRPr="006A6F67">
        <w:rPr>
          <w:rFonts w:cs="Times New Roman" w:hint="eastAsia"/>
        </w:rPr>
        <w:t>采取人车分流措施，且步行和自行车交通系统有充足照明，评价分值为</w:t>
      </w:r>
      <w:r w:rsidRPr="006A6F67">
        <w:rPr>
          <w:rFonts w:cs="Times New Roman" w:hint="eastAsia"/>
        </w:rPr>
        <w:t>8</w:t>
      </w:r>
      <w:r w:rsidRPr="006A6F67">
        <w:rPr>
          <w:rFonts w:cs="Times New Roman" w:hint="eastAsia"/>
        </w:rPr>
        <w:t>分。</w:t>
      </w:r>
    </w:p>
    <w:p w14:paraId="04BBC584" w14:textId="77777777" w:rsidR="00715ABB" w:rsidRPr="0081478A" w:rsidRDefault="00F44390" w:rsidP="006C79E9">
      <w:pPr>
        <w:pStyle w:val="20"/>
      </w:pPr>
      <w:r w:rsidRPr="0081478A">
        <w:t>【条文说明】</w:t>
      </w:r>
    </w:p>
    <w:p w14:paraId="7DE04A8E" w14:textId="77777777" w:rsidR="002C09A7" w:rsidRPr="00530A11" w:rsidRDefault="002C09A7" w:rsidP="002C09A7">
      <w:pPr>
        <w:ind w:firstLine="420"/>
      </w:pPr>
      <w:r w:rsidRPr="00530A11">
        <w:t>本条适用于各类民用建筑的预评价、评价。</w:t>
      </w:r>
    </w:p>
    <w:p w14:paraId="2099346E"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307D29C4" w14:textId="63F8CE1A" w:rsidR="002C09A7" w:rsidRPr="00530A11" w:rsidRDefault="002C09A7" w:rsidP="002C09A7">
      <w:pPr>
        <w:ind w:firstLine="420"/>
        <w:rPr>
          <w:rFonts w:cs="Times New Roman"/>
          <w:szCs w:val="24"/>
        </w:rPr>
      </w:pPr>
      <w:r w:rsidRPr="00530A11">
        <w:rPr>
          <w:rFonts w:cs="Times New Roman"/>
          <w:szCs w:val="24"/>
        </w:rPr>
        <w:t>随着城镇汽车保有量大幅提升，交通压力与日俱增。建筑场地内的交通状况直接关系着使用者的人身安全。人车分流将行人和机动车</w:t>
      </w:r>
      <w:r w:rsidR="00401AE6">
        <w:rPr>
          <w:rFonts w:cs="Times New Roman" w:hint="eastAsia"/>
          <w:szCs w:val="24"/>
        </w:rPr>
        <w:t>（不含应急车辆）</w:t>
      </w:r>
      <w:r w:rsidRPr="00530A11">
        <w:rPr>
          <w:rFonts w:cs="Times New Roman"/>
          <w:szCs w:val="24"/>
        </w:rPr>
        <w:t>完全分离开，互不干扰，可避免人车争路的情况，充分保障行人尤其是老人和儿童的安全。提供完善的人行道路网络可鼓励公众步行，也是建立以行人为本的城市的先决条件。</w:t>
      </w:r>
    </w:p>
    <w:p w14:paraId="4CB81AD2" w14:textId="77777777" w:rsidR="002C09A7" w:rsidRPr="00530A11" w:rsidRDefault="002C09A7" w:rsidP="002C09A7">
      <w:pPr>
        <w:ind w:firstLine="420"/>
        <w:rPr>
          <w:rFonts w:cs="Times New Roman"/>
          <w:szCs w:val="24"/>
        </w:rPr>
      </w:pPr>
      <w:r w:rsidRPr="00530A11">
        <w:rPr>
          <w:rFonts w:cs="Times New Roman"/>
          <w:szCs w:val="24"/>
        </w:rPr>
        <w:t>步行和自行车交通系统如果照明不足，往往会导致人们产生不安全感，特别是在空旷或比较空旷的公共区域。充足的照明可以消除不安全感，对降低犯罪率、防止发生交通事故、提高夜间行人的安全性有重要作用。</w:t>
      </w:r>
    </w:p>
    <w:p w14:paraId="4DE9C33A" w14:textId="77777777" w:rsidR="002C09A7" w:rsidRPr="00530A11" w:rsidRDefault="002C09A7" w:rsidP="002C09A7">
      <w:pPr>
        <w:ind w:firstLine="420"/>
        <w:rPr>
          <w:rFonts w:cs="Times New Roman"/>
          <w:szCs w:val="24"/>
        </w:rPr>
      </w:pPr>
      <w:r w:rsidRPr="00530A11">
        <w:rPr>
          <w:rFonts w:cs="Times New Roman"/>
          <w:szCs w:val="24"/>
        </w:rPr>
        <w:t>夜间行人的不安全感和实际存在的危险与道路等行人设施的照度水平和照明质量密切相关。步行和自行车交通系统照明应以路面平均照度、路面最小照度和垂直照度为评价指标，其照明标准值应不低于现行行业标准《城市道路照明设计标准》</w:t>
      </w:r>
      <w:r w:rsidRPr="00530A11">
        <w:rPr>
          <w:rFonts w:cs="Times New Roman"/>
          <w:szCs w:val="24"/>
        </w:rPr>
        <w:t>CJJ 45</w:t>
      </w:r>
      <w:r w:rsidRPr="00530A11">
        <w:rPr>
          <w:rFonts w:cs="Times New Roman"/>
          <w:szCs w:val="24"/>
        </w:rPr>
        <w:t>的有关要求。</w:t>
      </w:r>
    </w:p>
    <w:p w14:paraId="20CDF8EE"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187E547B" w14:textId="0B64EB59" w:rsidR="00C41AEB" w:rsidRDefault="00C41AEB" w:rsidP="00C41AEB">
      <w:pPr>
        <w:pStyle w:val="a4"/>
        <w:ind w:firstLine="420"/>
      </w:pPr>
      <w:r>
        <w:rPr>
          <w:rFonts w:cs="Times New Roman" w:hint="eastAsia"/>
        </w:rPr>
        <w:t>1</w:t>
      </w:r>
      <w:r>
        <w:rPr>
          <w:rFonts w:cs="Times New Roman"/>
        </w:rPr>
        <w:t>.</w:t>
      </w:r>
      <w:r w:rsidR="006677FB" w:rsidRPr="0081478A">
        <w:rPr>
          <w:rFonts w:cs="Times New Roman"/>
        </w:rPr>
        <w:t>人车分流是指在道路上将人流和车流完全分隔开，使其互不干扰。人车</w:t>
      </w:r>
      <w:r w:rsidR="00A560A5">
        <w:rPr>
          <w:rFonts w:cs="Times New Roman" w:hint="eastAsia"/>
        </w:rPr>
        <w:t>分流</w:t>
      </w:r>
      <w:r w:rsidR="006677FB" w:rsidRPr="0081478A">
        <w:rPr>
          <w:rFonts w:cs="Times New Roman"/>
        </w:rPr>
        <w:t>包括人行天桥、人行过街地道，以及步行街、步行区等措施，是保证人行安全和人车兼顾的重要措施。居住区内应严格实施人车分流，公共建筑应根据建筑功能需求合理实施人车分流，且保证充足的照明条件</w:t>
      </w:r>
      <w:r w:rsidR="006677FB" w:rsidRPr="0081478A">
        <w:rPr>
          <w:rFonts w:cs="Times New Roman" w:hint="eastAsia"/>
        </w:rPr>
        <w:t>。</w:t>
      </w:r>
      <w:r>
        <w:rPr>
          <w:rFonts w:hint="eastAsia"/>
        </w:rPr>
        <w:t>对于非机动车应用量较大的场所，还应设置人行与非机动车分流措施。</w:t>
      </w:r>
    </w:p>
    <w:p w14:paraId="18D388BF" w14:textId="64A1BF01" w:rsidR="006677FB" w:rsidRPr="00235608" w:rsidRDefault="00C41AEB" w:rsidP="006677FB">
      <w:pPr>
        <w:ind w:firstLine="420"/>
        <w:rPr>
          <w:rFonts w:cs="Times New Roman"/>
        </w:rPr>
      </w:pPr>
      <w:r>
        <w:rPr>
          <w:rFonts w:cs="Times New Roman" w:hint="eastAsia"/>
        </w:rPr>
        <w:t>2</w:t>
      </w:r>
      <w:r>
        <w:rPr>
          <w:rFonts w:cs="Times New Roman"/>
        </w:rPr>
        <w:t>.</w:t>
      </w:r>
      <w:r w:rsidR="00235608" w:rsidRPr="00235608">
        <w:rPr>
          <w:rFonts w:cs="Times New Roman" w:hint="eastAsia"/>
        </w:rPr>
        <w:t>步行和自行车交通系统的路面平均照度、路面最小照度和垂直照度不低于《城市道路照明设计标准》</w:t>
      </w:r>
      <w:r w:rsidR="00235608" w:rsidRPr="00235608">
        <w:rPr>
          <w:rFonts w:cs="Times New Roman" w:hint="eastAsia"/>
        </w:rPr>
        <w:t>CJJ 45</w:t>
      </w:r>
      <w:r w:rsidR="00CC191A">
        <w:rPr>
          <w:rFonts w:cs="Times New Roman"/>
        </w:rPr>
        <w:t>-2015</w:t>
      </w:r>
      <w:r w:rsidR="00235608" w:rsidRPr="00235608">
        <w:rPr>
          <w:rFonts w:cs="Times New Roman" w:hint="eastAsia"/>
        </w:rPr>
        <w:t>第</w:t>
      </w:r>
      <w:r w:rsidR="00235608" w:rsidRPr="00235608">
        <w:rPr>
          <w:rFonts w:cs="Times New Roman" w:hint="eastAsia"/>
        </w:rPr>
        <w:t>3.5</w:t>
      </w:r>
      <w:r w:rsidR="00235608" w:rsidRPr="00235608">
        <w:rPr>
          <w:rFonts w:cs="Times New Roman" w:hint="eastAsia"/>
        </w:rPr>
        <w:t>条要求。</w:t>
      </w:r>
    </w:p>
    <w:p w14:paraId="0631C967"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68FD395" w14:textId="1687DFA9" w:rsidR="0084444F" w:rsidRPr="00530A11" w:rsidRDefault="0084444F" w:rsidP="0084444F">
      <w:pPr>
        <w:ind w:firstLine="420"/>
        <w:rPr>
          <w:rFonts w:cs="Times New Roman"/>
          <w:szCs w:val="24"/>
        </w:rPr>
      </w:pPr>
      <w:bookmarkStart w:id="59" w:name="_Toc22221564"/>
      <w:r w:rsidRPr="00530A11">
        <w:rPr>
          <w:rFonts w:cs="Times New Roman"/>
          <w:szCs w:val="24"/>
        </w:rPr>
        <w:lastRenderedPageBreak/>
        <w:t>预评价查阅</w:t>
      </w:r>
      <w:r w:rsidR="00A560A5" w:rsidRPr="00A560A5">
        <w:rPr>
          <w:rFonts w:cs="Times New Roman" w:hint="eastAsia"/>
          <w:szCs w:val="24"/>
        </w:rPr>
        <w:t>场地道路</w:t>
      </w:r>
      <w:r w:rsidRPr="00530A11">
        <w:rPr>
          <w:rFonts w:cs="Times New Roman"/>
          <w:szCs w:val="24"/>
        </w:rPr>
        <w:t>照明设计文件、</w:t>
      </w:r>
      <w:r w:rsidR="00235608" w:rsidRPr="00235608">
        <w:rPr>
          <w:rFonts w:cs="Times New Roman" w:hint="eastAsia"/>
          <w:szCs w:val="24"/>
        </w:rPr>
        <w:t>步行和自行车交通系统的路面平均照度、路面最小照度和垂直照度计算书、</w:t>
      </w:r>
      <w:r w:rsidRPr="00530A11">
        <w:rPr>
          <w:rFonts w:cs="Times New Roman"/>
          <w:szCs w:val="24"/>
        </w:rPr>
        <w:t>人车分流专项设计文件；评价查阅相关竣工图及</w:t>
      </w:r>
      <w:r w:rsidR="00A560A5" w:rsidRPr="00A560A5">
        <w:rPr>
          <w:rFonts w:cs="Times New Roman" w:hint="eastAsia"/>
          <w:szCs w:val="24"/>
        </w:rPr>
        <w:t>道路照度现场</w:t>
      </w:r>
      <w:r w:rsidRPr="00530A11">
        <w:rPr>
          <w:rFonts w:cs="Times New Roman"/>
          <w:szCs w:val="24"/>
        </w:rPr>
        <w:t>检测报告</w:t>
      </w:r>
      <w:r w:rsidR="00235608" w:rsidRPr="00235608">
        <w:rPr>
          <w:rFonts w:cs="Times New Roman" w:hint="eastAsia"/>
          <w:szCs w:val="24"/>
        </w:rPr>
        <w:t>（步行和自行车交通系统的路面平均照度、路面最小照度和垂直照度检测报告）</w:t>
      </w:r>
      <w:r w:rsidRPr="00530A11">
        <w:rPr>
          <w:rFonts w:cs="Times New Roman"/>
          <w:szCs w:val="24"/>
        </w:rPr>
        <w:t>，组织现场查勘。</w:t>
      </w:r>
    </w:p>
    <w:p w14:paraId="3714AC2F" w14:textId="77777777" w:rsidR="00715ABB" w:rsidRPr="0081478A" w:rsidRDefault="00F44390" w:rsidP="001A7E3B">
      <w:pPr>
        <w:pStyle w:val="3"/>
      </w:pPr>
      <w:bookmarkStart w:id="60" w:name="_Toc35364731"/>
      <w:r w:rsidRPr="0081478A">
        <w:t xml:space="preserve">Ⅱ </w:t>
      </w:r>
      <w:r w:rsidRPr="0081478A">
        <w:t>耐久</w:t>
      </w:r>
      <w:bookmarkEnd w:id="59"/>
      <w:bookmarkEnd w:id="60"/>
    </w:p>
    <w:p w14:paraId="07A5E890" w14:textId="77777777" w:rsidR="006A6F67" w:rsidRPr="006A6F67" w:rsidRDefault="006A6F67" w:rsidP="006A6F67">
      <w:pPr>
        <w:pStyle w:val="4"/>
        <w:rPr>
          <w:rFonts w:cs="Times New Roman"/>
          <w:bCs w:val="0"/>
        </w:rPr>
      </w:pPr>
      <w:r w:rsidRPr="006A6F67">
        <w:rPr>
          <w:rFonts w:cs="Times New Roman"/>
          <w:bCs w:val="0"/>
        </w:rPr>
        <w:t xml:space="preserve">4.2.6 </w:t>
      </w:r>
      <w:r w:rsidRPr="006A6F67">
        <w:rPr>
          <w:rFonts w:cs="Times New Roman"/>
          <w:bCs w:val="0"/>
        </w:rPr>
        <w:t>采取提升建筑适变性的措施，评价总分值为</w:t>
      </w:r>
      <w:r w:rsidRPr="006A6F67">
        <w:rPr>
          <w:rFonts w:cs="Times New Roman"/>
          <w:bCs w:val="0"/>
        </w:rPr>
        <w:t>18</w:t>
      </w:r>
      <w:r w:rsidRPr="006A6F67">
        <w:rPr>
          <w:rFonts w:cs="Times New Roman"/>
          <w:bCs w:val="0"/>
        </w:rPr>
        <w:t>分，并按下列规则分别评分并累计：</w:t>
      </w:r>
    </w:p>
    <w:p w14:paraId="02D77F02" w14:textId="77777777" w:rsidR="006A6F67" w:rsidRPr="006A6F67" w:rsidRDefault="006A6F67" w:rsidP="006A6F67">
      <w:pPr>
        <w:snapToGrid w:val="0"/>
        <w:ind w:firstLineChars="100" w:firstLine="211"/>
        <w:jc w:val="left"/>
        <w:rPr>
          <w:rFonts w:cs="Times New Roman"/>
          <w:b/>
          <w:szCs w:val="24"/>
        </w:rPr>
      </w:pPr>
      <w:r w:rsidRPr="006A6F67">
        <w:rPr>
          <w:rFonts w:cs="Times New Roman"/>
          <w:b/>
          <w:szCs w:val="24"/>
        </w:rPr>
        <w:t xml:space="preserve">1 </w:t>
      </w:r>
      <w:r w:rsidRPr="006A6F67">
        <w:rPr>
          <w:rFonts w:cs="Times New Roman"/>
          <w:b/>
          <w:szCs w:val="24"/>
        </w:rPr>
        <w:t>采取通用开放、灵活可变的使用空间设计，或采取建筑使用功能可变措施，得</w:t>
      </w:r>
      <w:r w:rsidRPr="006A6F67">
        <w:rPr>
          <w:rFonts w:cs="Times New Roman"/>
          <w:b/>
          <w:szCs w:val="24"/>
        </w:rPr>
        <w:t>7</w:t>
      </w:r>
      <w:r w:rsidRPr="006A6F67">
        <w:rPr>
          <w:rFonts w:cs="Times New Roman"/>
          <w:b/>
          <w:szCs w:val="24"/>
        </w:rPr>
        <w:t>分</w:t>
      </w:r>
      <w:r w:rsidRPr="006A6F67">
        <w:rPr>
          <w:rFonts w:cs="Times New Roman"/>
          <w:b/>
          <w:szCs w:val="24"/>
        </w:rPr>
        <w:t>;</w:t>
      </w:r>
    </w:p>
    <w:p w14:paraId="20302707" w14:textId="77777777" w:rsidR="006A6F67" w:rsidRPr="006A6F67" w:rsidRDefault="006A6F67" w:rsidP="006A6F67">
      <w:pPr>
        <w:snapToGrid w:val="0"/>
        <w:ind w:firstLineChars="100" w:firstLine="211"/>
        <w:jc w:val="left"/>
        <w:rPr>
          <w:rFonts w:cs="Times New Roman"/>
          <w:b/>
          <w:szCs w:val="24"/>
        </w:rPr>
      </w:pPr>
      <w:r w:rsidRPr="006A6F67">
        <w:rPr>
          <w:rFonts w:cs="Times New Roman"/>
          <w:b/>
          <w:szCs w:val="24"/>
        </w:rPr>
        <w:t xml:space="preserve">2 </w:t>
      </w:r>
      <w:r w:rsidRPr="006A6F67">
        <w:rPr>
          <w:rFonts w:cs="Times New Roman"/>
          <w:b/>
          <w:szCs w:val="24"/>
        </w:rPr>
        <w:t>建筑结构与建筑设备管线分离，得</w:t>
      </w:r>
      <w:r w:rsidRPr="006A6F67">
        <w:rPr>
          <w:rFonts w:cs="Times New Roman"/>
          <w:b/>
          <w:szCs w:val="24"/>
        </w:rPr>
        <w:t>7</w:t>
      </w:r>
      <w:r w:rsidRPr="006A6F67">
        <w:rPr>
          <w:rFonts w:cs="Times New Roman"/>
          <w:b/>
          <w:szCs w:val="24"/>
        </w:rPr>
        <w:t>分；</w:t>
      </w:r>
    </w:p>
    <w:p w14:paraId="7255ECF7" w14:textId="77777777" w:rsidR="006A6F67" w:rsidRPr="006A6F67" w:rsidRDefault="006A6F67" w:rsidP="006A6F67">
      <w:pPr>
        <w:snapToGrid w:val="0"/>
        <w:ind w:firstLineChars="100" w:firstLine="211"/>
        <w:jc w:val="left"/>
        <w:rPr>
          <w:rFonts w:cs="Times New Roman"/>
          <w:b/>
          <w:szCs w:val="24"/>
        </w:rPr>
      </w:pPr>
      <w:r w:rsidRPr="006A6F67">
        <w:rPr>
          <w:rFonts w:cs="Times New Roman"/>
          <w:b/>
          <w:szCs w:val="24"/>
        </w:rPr>
        <w:t xml:space="preserve">3 </w:t>
      </w:r>
      <w:r w:rsidRPr="006A6F67">
        <w:rPr>
          <w:rFonts w:cs="Times New Roman"/>
          <w:b/>
          <w:szCs w:val="24"/>
        </w:rPr>
        <w:t>采用与建筑功能和空间变化相适应的设备设施布置方式或控制方式，得</w:t>
      </w:r>
      <w:r w:rsidRPr="006A6F67">
        <w:rPr>
          <w:rFonts w:cs="Times New Roman"/>
          <w:b/>
          <w:szCs w:val="24"/>
        </w:rPr>
        <w:t>4</w:t>
      </w:r>
      <w:r w:rsidRPr="006A6F67">
        <w:rPr>
          <w:rFonts w:cs="Times New Roman"/>
          <w:b/>
          <w:szCs w:val="24"/>
        </w:rPr>
        <w:t>分。</w:t>
      </w:r>
    </w:p>
    <w:p w14:paraId="6A0FBF9D" w14:textId="77777777" w:rsidR="00715ABB" w:rsidRPr="0081478A" w:rsidRDefault="00F44390">
      <w:pPr>
        <w:ind w:firstLineChars="0" w:firstLine="0"/>
        <w:rPr>
          <w:rFonts w:cs="Times New Roman"/>
          <w:b/>
          <w:szCs w:val="24"/>
        </w:rPr>
      </w:pPr>
      <w:r w:rsidRPr="0081478A">
        <w:rPr>
          <w:rFonts w:cs="Times New Roman"/>
          <w:b/>
          <w:szCs w:val="24"/>
        </w:rPr>
        <w:t>【条文说明】</w:t>
      </w:r>
    </w:p>
    <w:p w14:paraId="24DA84FA" w14:textId="77777777" w:rsidR="002C09A7" w:rsidRPr="00530A11" w:rsidRDefault="002C09A7" w:rsidP="002C09A7">
      <w:pPr>
        <w:ind w:firstLine="420"/>
      </w:pPr>
      <w:r w:rsidRPr="00530A11">
        <w:t>本条适用于各类民用建筑的预评价、评价。</w:t>
      </w:r>
    </w:p>
    <w:p w14:paraId="6E2C3380" w14:textId="77777777" w:rsidR="002C09A7" w:rsidRPr="00530A11" w:rsidRDefault="002C09A7" w:rsidP="002C09A7">
      <w:pPr>
        <w:ind w:firstLine="420"/>
        <w:rPr>
          <w:rFonts w:cs="Times New Roman"/>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szCs w:val="24"/>
        </w:rPr>
        <w:t>7.2.4</w:t>
      </w:r>
      <w:r w:rsidRPr="00530A11">
        <w:rPr>
          <w:rFonts w:cs="Times New Roman"/>
        </w:rPr>
        <w:t>条，地方标准</w:t>
      </w:r>
      <w:r w:rsidRPr="00530A11">
        <w:rPr>
          <w:rFonts w:cs="Times New Roman"/>
        </w:rPr>
        <w:t>2014</w:t>
      </w:r>
      <w:r w:rsidRPr="00530A11">
        <w:rPr>
          <w:rFonts w:cs="Times New Roman"/>
        </w:rPr>
        <w:t>版</w:t>
      </w:r>
      <w:r w:rsidRPr="00530A11">
        <w:rPr>
          <w:rFonts w:cs="Times New Roman"/>
          <w:szCs w:val="24"/>
        </w:rPr>
        <w:t>7.2.5</w:t>
      </w:r>
      <w:r w:rsidRPr="00530A11">
        <w:rPr>
          <w:rFonts w:cs="Times New Roman"/>
        </w:rPr>
        <w:t>条的基础上发展而来。</w:t>
      </w:r>
    </w:p>
    <w:p w14:paraId="30C096AF" w14:textId="77777777" w:rsidR="002C09A7" w:rsidRPr="00530A11" w:rsidRDefault="002C09A7" w:rsidP="002C09A7">
      <w:pPr>
        <w:ind w:firstLine="420"/>
        <w:rPr>
          <w:rFonts w:cs="Times New Roman"/>
        </w:rPr>
      </w:pPr>
      <w:r w:rsidRPr="00530A11">
        <w:rPr>
          <w:rFonts w:cs="Times New Roman"/>
          <w:szCs w:val="24"/>
        </w:rPr>
        <w:t>第</w:t>
      </w:r>
      <w:r w:rsidRPr="00530A11">
        <w:rPr>
          <w:rFonts w:cs="Times New Roman"/>
          <w:szCs w:val="24"/>
        </w:rPr>
        <w:t>1</w:t>
      </w:r>
      <w:r w:rsidRPr="00530A11">
        <w:rPr>
          <w:rFonts w:cs="Times New Roman"/>
          <w:szCs w:val="24"/>
        </w:rPr>
        <w:t>款，随着社会和技术的进步，以及人们对建筑的需求不断提升，若建筑不能满足使用需求的变化，很大可能将以被改造或拆除告终，成为</w:t>
      </w:r>
      <w:r w:rsidRPr="00530A11">
        <w:rPr>
          <w:rFonts w:cs="Times New Roman"/>
          <w:szCs w:val="24"/>
        </w:rPr>
        <w:t>“</w:t>
      </w:r>
      <w:r w:rsidRPr="00530A11">
        <w:rPr>
          <w:rFonts w:cs="Times New Roman"/>
          <w:szCs w:val="24"/>
        </w:rPr>
        <w:t>短命</w:t>
      </w:r>
      <w:r w:rsidRPr="00530A11">
        <w:rPr>
          <w:rFonts w:cs="Times New Roman"/>
          <w:szCs w:val="24"/>
        </w:rPr>
        <w:t>”</w:t>
      </w:r>
      <w:r w:rsidRPr="00530A11">
        <w:rPr>
          <w:rFonts w:cs="Times New Roman"/>
          <w:szCs w:val="24"/>
        </w:rPr>
        <w:t>建筑。本款旨在鼓励采取措施提升建筑适变性，有利于使用空间功能转换和改造再利用，避免建筑</w:t>
      </w:r>
      <w:r w:rsidRPr="00530A11">
        <w:rPr>
          <w:rFonts w:cs="Times New Roman"/>
          <w:szCs w:val="24"/>
        </w:rPr>
        <w:t>“</w:t>
      </w:r>
      <w:r w:rsidRPr="00530A11">
        <w:rPr>
          <w:rFonts w:cs="Times New Roman"/>
          <w:szCs w:val="24"/>
        </w:rPr>
        <w:t>短命</w:t>
      </w:r>
      <w:r w:rsidRPr="00530A11">
        <w:rPr>
          <w:rFonts w:cs="Times New Roman"/>
          <w:szCs w:val="24"/>
        </w:rPr>
        <w:t>”</w:t>
      </w:r>
      <w:r w:rsidRPr="00530A11">
        <w:rPr>
          <w:rFonts w:cs="Times New Roman"/>
          <w:szCs w:val="24"/>
        </w:rPr>
        <w:t>。建筑适变性包括建筑的适应性和可变性。适应性是指使用功能和空间的变化潜力，可变性是指结构和空间上的形态变化。通过利用建筑空间和结构潜力，使建筑空间和功能适应使用者需求的变化，在适应当前需求的同时，使建筑具有更大的弹性以应对变化，以此获得更长的使用寿命。如采用大开间和进深结构方案、灵活布置内隔墙、</w:t>
      </w:r>
      <w:r w:rsidRPr="00530A11">
        <w:rPr>
          <w:rFonts w:cs="Times New Roman"/>
        </w:rPr>
        <w:t>为室内无障碍设施的加装预留条件</w:t>
      </w:r>
      <w:r w:rsidRPr="00530A11">
        <w:rPr>
          <w:rFonts w:cs="Times New Roman"/>
          <w:szCs w:val="24"/>
        </w:rPr>
        <w:t>等措施提升建筑适变性，减少室内空间重新布置时对建筑构件的破坏，延长建筑使用寿命。</w:t>
      </w:r>
    </w:p>
    <w:p w14:paraId="676181AD" w14:textId="77777777" w:rsidR="002C09A7" w:rsidRPr="00530A11" w:rsidRDefault="002C09A7" w:rsidP="002C09A7">
      <w:pPr>
        <w:ind w:firstLine="420"/>
        <w:rPr>
          <w:rFonts w:cs="Times New Roman"/>
          <w:szCs w:val="24"/>
        </w:rPr>
      </w:pPr>
      <w:r w:rsidRPr="00530A11">
        <w:rPr>
          <w:rFonts w:cs="Times New Roman"/>
          <w:szCs w:val="24"/>
        </w:rPr>
        <w:t>第</w:t>
      </w:r>
      <w:r w:rsidRPr="00530A11">
        <w:rPr>
          <w:rFonts w:cs="Times New Roman"/>
          <w:szCs w:val="24"/>
        </w:rPr>
        <w:t>2</w:t>
      </w:r>
      <w:r w:rsidRPr="00530A11">
        <w:rPr>
          <w:rFonts w:cs="Times New Roman"/>
          <w:szCs w:val="24"/>
        </w:rPr>
        <w:t>款，根据现行行业标准《装配式住宅建筑设计标准》</w:t>
      </w:r>
      <w:r w:rsidRPr="00530A11">
        <w:rPr>
          <w:rFonts w:cs="Times New Roman"/>
          <w:szCs w:val="24"/>
        </w:rPr>
        <w:t>JGJ/T 398</w:t>
      </w:r>
      <w:r w:rsidRPr="00530A11">
        <w:rPr>
          <w:rFonts w:cs="Times New Roman"/>
          <w:szCs w:val="24"/>
        </w:rPr>
        <w:t>的规定，管线分离是指建筑结构体中不埋设设备及管线，将设备及管线与建筑结构体相分离的方式。管线与结构、墙体的寿命不同，给建筑全寿命期的使用和维护带来了很大的困难。建筑结构与设备管线分离设计，可有利于建筑的长寿化。建筑结构不仅仅指建筑主体结构，还包括外围护结构和公共管井等可保持长久不变的部分。建筑结构与设备管线分离设计便于设备管线维护更新，可保证建筑能够较为便捷地进行管线改造与更换，从而达到延长建筑使用寿命目的。装配式建筑采用</w:t>
      </w:r>
      <w:r w:rsidRPr="00530A11">
        <w:rPr>
          <w:rFonts w:cs="Times New Roman"/>
          <w:szCs w:val="24"/>
        </w:rPr>
        <w:t>SI</w:t>
      </w:r>
      <w:r w:rsidRPr="00530A11">
        <w:rPr>
          <w:rFonts w:cs="Times New Roman"/>
          <w:szCs w:val="24"/>
        </w:rPr>
        <w:t>体系，即支撑体</w:t>
      </w:r>
      <w:r w:rsidRPr="00530A11">
        <w:rPr>
          <w:rFonts w:cs="Times New Roman"/>
          <w:szCs w:val="24"/>
        </w:rPr>
        <w:t>S</w:t>
      </w:r>
      <w:r w:rsidRPr="00530A11">
        <w:rPr>
          <w:rFonts w:cs="Times New Roman"/>
          <w:szCs w:val="24"/>
        </w:rPr>
        <w:t>（</w:t>
      </w:r>
      <w:r w:rsidRPr="00530A11">
        <w:rPr>
          <w:rFonts w:cs="Times New Roman"/>
          <w:szCs w:val="24"/>
        </w:rPr>
        <w:t>Skeleton</w:t>
      </w:r>
      <w:r w:rsidRPr="00530A11">
        <w:rPr>
          <w:rFonts w:cs="Times New Roman"/>
          <w:szCs w:val="24"/>
        </w:rPr>
        <w:t>）和填充体</w:t>
      </w:r>
      <w:r w:rsidRPr="00530A11">
        <w:rPr>
          <w:rFonts w:cs="Times New Roman"/>
          <w:szCs w:val="24"/>
        </w:rPr>
        <w:t>I</w:t>
      </w:r>
      <w:r w:rsidRPr="00530A11">
        <w:rPr>
          <w:rFonts w:cs="Times New Roman"/>
          <w:szCs w:val="24"/>
        </w:rPr>
        <w:t>（</w:t>
      </w:r>
      <w:r w:rsidRPr="00530A11">
        <w:rPr>
          <w:rFonts w:cs="Times New Roman"/>
          <w:szCs w:val="24"/>
        </w:rPr>
        <w:t>Infill</w:t>
      </w:r>
      <w:r w:rsidRPr="00530A11">
        <w:rPr>
          <w:rFonts w:cs="Times New Roman"/>
          <w:szCs w:val="24"/>
        </w:rPr>
        <w:t>）相分离的建筑体系，可认为</w:t>
      </w:r>
      <w:r w:rsidRPr="00530A11">
        <w:rPr>
          <w:rFonts w:cs="Times New Roman"/>
          <w:szCs w:val="24"/>
        </w:rPr>
        <w:lastRenderedPageBreak/>
        <w:t>实现了建筑主体结构与建筑设备管线分离。</w:t>
      </w:r>
    </w:p>
    <w:p w14:paraId="22B8BC57" w14:textId="77777777" w:rsidR="002C09A7" w:rsidRPr="00530A11" w:rsidRDefault="002C09A7" w:rsidP="002C09A7">
      <w:pPr>
        <w:ind w:firstLine="420"/>
        <w:rPr>
          <w:rFonts w:cs="Times New Roman"/>
        </w:rPr>
      </w:pPr>
      <w:r w:rsidRPr="00530A11">
        <w:rPr>
          <w:rFonts w:cs="Times New Roman"/>
          <w:szCs w:val="24"/>
        </w:rPr>
        <w:t>第</w:t>
      </w:r>
      <w:r w:rsidRPr="00530A11">
        <w:rPr>
          <w:rFonts w:cs="Times New Roman"/>
          <w:szCs w:val="24"/>
        </w:rPr>
        <w:t>3</w:t>
      </w:r>
      <w:r w:rsidRPr="00530A11">
        <w:rPr>
          <w:rFonts w:cs="Times New Roman"/>
          <w:szCs w:val="24"/>
        </w:rPr>
        <w:t>款，指能够与第</w:t>
      </w:r>
      <w:r w:rsidRPr="00530A11">
        <w:rPr>
          <w:rFonts w:cs="Times New Roman"/>
          <w:szCs w:val="24"/>
        </w:rPr>
        <w:t>1</w:t>
      </w:r>
      <w:r w:rsidRPr="00530A11">
        <w:rPr>
          <w:rFonts w:cs="Times New Roman"/>
          <w:szCs w:val="24"/>
        </w:rPr>
        <w:t>款中建筑功能或空间变化相适应的设备设施布置方式或控制方式，既能够提升室内空间的弹性利用，也能够提高建筑使用时的灵活度。比如家具、电器与隔墙相结合，满足不同分隔空间的使用需求；或采用智能控制手段，实现设备设施的升降、移动、隐藏等功能，满足某一空间的多样化使用需求；还可以采用可拆分构件或模块化布置方式，实现同一构件在不同需求下的功能互换，或同一构件在不同空间的功能复制。</w:t>
      </w:r>
    </w:p>
    <w:p w14:paraId="561B7E87"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77D1EFDC" w14:textId="36D89710" w:rsidR="006677FB" w:rsidRPr="0081478A" w:rsidRDefault="00A560A5" w:rsidP="006677FB">
      <w:pPr>
        <w:ind w:firstLine="420"/>
        <w:rPr>
          <w:rFonts w:cs="Times New Roman"/>
        </w:rPr>
      </w:pPr>
      <w:r>
        <w:rPr>
          <w:rFonts w:cs="Times New Roman" w:hint="eastAsia"/>
        </w:rPr>
        <w:t>本</w:t>
      </w:r>
      <w:r w:rsidR="003F1038">
        <w:rPr>
          <w:rFonts w:cs="Times New Roman" w:hint="eastAsia"/>
        </w:rPr>
        <w:t>条</w:t>
      </w:r>
      <w:r>
        <w:rPr>
          <w:rFonts w:cs="Times New Roman" w:hint="eastAsia"/>
        </w:rPr>
        <w:t>第</w:t>
      </w:r>
      <w:r>
        <w:rPr>
          <w:rFonts w:cs="Times New Roman" w:hint="eastAsia"/>
        </w:rPr>
        <w:t>1</w:t>
      </w:r>
      <w:r w:rsidR="003F1038">
        <w:rPr>
          <w:rFonts w:cs="Times New Roman" w:hint="eastAsia"/>
        </w:rPr>
        <w:t>款</w:t>
      </w:r>
      <w:r>
        <w:rPr>
          <w:rFonts w:cs="Times New Roman" w:hint="eastAsia"/>
        </w:rPr>
        <w:t>，</w:t>
      </w:r>
      <w:r w:rsidR="006677FB" w:rsidRPr="0081478A">
        <w:rPr>
          <w:rFonts w:cs="Times New Roman"/>
        </w:rPr>
        <w:t>除走廊、楼梯、电梯井、卫生间、设备机房、公共管井以外的地上室内空间均应视为可变换功能的室内空间，有特殊隔声、防护及特殊工艺需求的空间不计入。此外，作为商业、办公用途的地下空间也应视为可变换功能的室内空间，其他用途的地下空间可不计入。</w:t>
      </w:r>
    </w:p>
    <w:p w14:paraId="4BEBBD90" w14:textId="7849B0FD" w:rsidR="006677FB" w:rsidRPr="0081478A" w:rsidRDefault="006677FB" w:rsidP="006677FB">
      <w:pPr>
        <w:ind w:firstLine="420"/>
        <w:rPr>
          <w:rFonts w:cs="Times New Roman"/>
        </w:rPr>
      </w:pPr>
      <w:r w:rsidRPr="0081478A">
        <w:rPr>
          <w:rFonts w:cs="Times New Roman"/>
        </w:rPr>
        <w:t>可重复使用的隔断（墙）：在拆除过程中应基本不影响与之相接的其他隔墙，拆卸后可进行再次利用，如大开间敞开式办公空间内的玻璃隔断（墙）、预制隔断（墙）、特殊节点设计的可分段拆除的轻钢龙骨水泥板或石膏板隔断（墙）和木隔断（墙）等。是否具有可拆卸节点，也是认定某隔断是否属于可重复使用的隔断（墙）的一个关键点，如用砂浆砌筑的砌体隔墙不算可重复使用的隔墙。</w:t>
      </w:r>
    </w:p>
    <w:p w14:paraId="2DD413DB" w14:textId="2E281290" w:rsidR="006677FB" w:rsidRPr="0081478A" w:rsidRDefault="006677FB" w:rsidP="006677FB">
      <w:pPr>
        <w:ind w:firstLine="420"/>
        <w:rPr>
          <w:rFonts w:cs="Times New Roman"/>
        </w:rPr>
      </w:pPr>
      <w:r w:rsidRPr="0081478A">
        <w:rPr>
          <w:rFonts w:cs="Times New Roman"/>
        </w:rPr>
        <w:t>可重复使用的隔断（墙）比例：实际采用的可重复使用隔断（墙）围合的建筑面积与建筑中可变换功能的室内空间面积的比值</w:t>
      </w:r>
      <w:r w:rsidR="00A560A5">
        <w:rPr>
          <w:rFonts w:cs="Times New Roman" w:hint="eastAsia"/>
        </w:rPr>
        <w:t>，</w:t>
      </w:r>
      <w:r w:rsidR="00A560A5" w:rsidRPr="00A560A5">
        <w:rPr>
          <w:rFonts w:cs="Times New Roman" w:hint="eastAsia"/>
        </w:rPr>
        <w:t>本条要求不小于</w:t>
      </w:r>
      <w:r w:rsidR="00A560A5" w:rsidRPr="00A560A5">
        <w:rPr>
          <w:rFonts w:cs="Times New Roman" w:hint="eastAsia"/>
        </w:rPr>
        <w:t>80%</w:t>
      </w:r>
      <w:r w:rsidR="00A560A5" w:rsidRPr="00A560A5">
        <w:rPr>
          <w:rFonts w:cs="Times New Roman" w:hint="eastAsia"/>
        </w:rPr>
        <w:t>。</w:t>
      </w:r>
    </w:p>
    <w:p w14:paraId="3C0A8A88"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1420EBB6" w14:textId="77777777" w:rsidR="0084444F" w:rsidRPr="00530A11" w:rsidRDefault="0084444F" w:rsidP="0084444F">
      <w:pPr>
        <w:ind w:firstLine="420"/>
        <w:rPr>
          <w:rFonts w:cs="Times New Roman"/>
          <w:szCs w:val="24"/>
        </w:rPr>
      </w:pPr>
      <w:r w:rsidRPr="00530A11">
        <w:rPr>
          <w:rFonts w:cs="Times New Roman"/>
          <w:szCs w:val="24"/>
        </w:rPr>
        <w:t>预评价查阅相关设计文件、建筑适变性提升措施的设计说明；评价阶段查阅相关竣工图、建筑适变性提升措施的设计说明，查看施工过程影像资料，工程验收资料，组织现场查勘。</w:t>
      </w:r>
    </w:p>
    <w:p w14:paraId="456F5E71" w14:textId="77777777" w:rsidR="00715ABB" w:rsidRPr="0084444F" w:rsidRDefault="00715ABB">
      <w:pPr>
        <w:snapToGrid w:val="0"/>
        <w:ind w:firstLine="420"/>
        <w:jc w:val="left"/>
        <w:rPr>
          <w:rFonts w:cs="Times New Roman"/>
          <w:szCs w:val="24"/>
        </w:rPr>
      </w:pPr>
    </w:p>
    <w:p w14:paraId="1422A366" w14:textId="77777777" w:rsidR="006A6F67" w:rsidRPr="00530A11" w:rsidRDefault="006A6F67" w:rsidP="006A6F67">
      <w:pPr>
        <w:pStyle w:val="4"/>
        <w:rPr>
          <w:rFonts w:cs="Times New Roman"/>
          <w:bCs w:val="0"/>
        </w:rPr>
      </w:pPr>
      <w:bookmarkStart w:id="61" w:name="_Hlk20589409"/>
      <w:r w:rsidRPr="00530A11">
        <w:rPr>
          <w:rFonts w:cs="Times New Roman"/>
          <w:bCs w:val="0"/>
        </w:rPr>
        <w:t xml:space="preserve">4.2.7 </w:t>
      </w:r>
      <w:r w:rsidRPr="00530A11">
        <w:rPr>
          <w:rFonts w:cs="Times New Roman"/>
          <w:bCs w:val="0"/>
        </w:rPr>
        <w:t>采取提升建筑部品部件耐久性的措施，评价总分值为</w:t>
      </w:r>
      <w:r w:rsidRPr="00530A11">
        <w:rPr>
          <w:rFonts w:cs="Times New Roman"/>
          <w:bCs w:val="0"/>
        </w:rPr>
        <w:t>10</w:t>
      </w:r>
      <w:r w:rsidRPr="00530A11">
        <w:rPr>
          <w:rFonts w:cs="Times New Roman"/>
          <w:bCs w:val="0"/>
        </w:rPr>
        <w:t>分，并按下列规则分别评分并累计：</w:t>
      </w:r>
    </w:p>
    <w:p w14:paraId="0FE34225" w14:textId="77777777" w:rsidR="006A6F67" w:rsidRPr="006A6F67" w:rsidRDefault="006A6F67" w:rsidP="006A6F67">
      <w:pPr>
        <w:snapToGrid w:val="0"/>
        <w:ind w:firstLineChars="100" w:firstLine="211"/>
        <w:jc w:val="left"/>
        <w:rPr>
          <w:rFonts w:cs="Times New Roman"/>
          <w:b/>
          <w:bCs/>
          <w:szCs w:val="24"/>
        </w:rPr>
      </w:pPr>
      <w:r w:rsidRPr="006A6F67">
        <w:rPr>
          <w:rFonts w:cs="Times New Roman"/>
          <w:b/>
          <w:bCs/>
          <w:szCs w:val="24"/>
        </w:rPr>
        <w:t xml:space="preserve">1 </w:t>
      </w:r>
      <w:r w:rsidRPr="006A6F67">
        <w:rPr>
          <w:rFonts w:cs="Times New Roman"/>
          <w:b/>
          <w:bCs/>
          <w:szCs w:val="24"/>
        </w:rPr>
        <w:t>使用耐腐蚀、抗老化、耐久性能好的管材、管线、管件、阀门，得</w:t>
      </w:r>
      <w:r w:rsidRPr="006A6F67">
        <w:rPr>
          <w:rFonts w:cs="Times New Roman"/>
          <w:b/>
          <w:bCs/>
          <w:szCs w:val="24"/>
        </w:rPr>
        <w:t>5</w:t>
      </w:r>
      <w:r w:rsidRPr="006A6F67">
        <w:rPr>
          <w:rFonts w:cs="Times New Roman"/>
          <w:b/>
          <w:bCs/>
          <w:szCs w:val="24"/>
        </w:rPr>
        <w:t>分；</w:t>
      </w:r>
    </w:p>
    <w:p w14:paraId="1C6D40DD" w14:textId="77777777" w:rsidR="006A6F67" w:rsidRPr="006A6F67" w:rsidRDefault="006A6F67" w:rsidP="006A6F67">
      <w:pPr>
        <w:snapToGrid w:val="0"/>
        <w:ind w:firstLineChars="100" w:firstLine="211"/>
        <w:jc w:val="left"/>
        <w:rPr>
          <w:rFonts w:cs="Times New Roman"/>
          <w:b/>
          <w:bCs/>
          <w:szCs w:val="24"/>
        </w:rPr>
      </w:pPr>
      <w:r w:rsidRPr="006A6F67">
        <w:rPr>
          <w:rFonts w:cs="Times New Roman"/>
          <w:b/>
          <w:bCs/>
          <w:szCs w:val="24"/>
        </w:rPr>
        <w:t xml:space="preserve">2 </w:t>
      </w:r>
      <w:r w:rsidRPr="006A6F67">
        <w:rPr>
          <w:rFonts w:cs="Times New Roman"/>
          <w:b/>
          <w:bCs/>
          <w:szCs w:val="24"/>
        </w:rPr>
        <w:t>活动配件选用长寿命产品，并考虑部品组合的同寿命性；不同使用寿命的部品组合时，采用便于分别拆换、更新和升级的构造，得</w:t>
      </w:r>
      <w:r w:rsidRPr="006A6F67">
        <w:rPr>
          <w:rFonts w:cs="Times New Roman"/>
          <w:b/>
          <w:bCs/>
          <w:szCs w:val="24"/>
        </w:rPr>
        <w:t>5</w:t>
      </w:r>
      <w:r w:rsidRPr="006A6F67">
        <w:rPr>
          <w:rFonts w:cs="Times New Roman"/>
          <w:b/>
          <w:bCs/>
          <w:szCs w:val="24"/>
        </w:rPr>
        <w:t>分。</w:t>
      </w:r>
    </w:p>
    <w:bookmarkEnd w:id="61"/>
    <w:p w14:paraId="7B4963FC" w14:textId="77777777" w:rsidR="00715ABB" w:rsidRPr="0081478A" w:rsidRDefault="00F44390">
      <w:pPr>
        <w:ind w:firstLineChars="0" w:firstLine="0"/>
        <w:rPr>
          <w:rFonts w:cs="Times New Roman"/>
          <w:b/>
          <w:szCs w:val="24"/>
        </w:rPr>
      </w:pPr>
      <w:r w:rsidRPr="0081478A">
        <w:rPr>
          <w:rFonts w:cs="Times New Roman"/>
          <w:b/>
          <w:szCs w:val="24"/>
        </w:rPr>
        <w:t>【条文说明】</w:t>
      </w:r>
    </w:p>
    <w:p w14:paraId="59CDC189" w14:textId="77777777" w:rsidR="002C09A7" w:rsidRPr="00530A11" w:rsidRDefault="002C09A7" w:rsidP="002C09A7">
      <w:pPr>
        <w:ind w:firstLine="420"/>
      </w:pPr>
      <w:r w:rsidRPr="00530A11">
        <w:t>本条适用于各类民用建筑的预评价、评价。</w:t>
      </w:r>
    </w:p>
    <w:p w14:paraId="458681FB" w14:textId="77777777" w:rsidR="002C09A7" w:rsidRPr="00530A11" w:rsidRDefault="002C09A7" w:rsidP="002C09A7">
      <w:pPr>
        <w:ind w:firstLine="420"/>
        <w:rPr>
          <w:rFonts w:cs="Times New Roman"/>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w:t>
      </w:r>
      <w:r w:rsidRPr="00530A11">
        <w:rPr>
          <w:rFonts w:cs="Times New Roman" w:hint="eastAsia"/>
        </w:rPr>
        <w:lastRenderedPageBreak/>
        <w:t>部修改</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szCs w:val="24"/>
        </w:rPr>
        <w:t>6.2.2</w:t>
      </w:r>
      <w:r w:rsidRPr="00530A11">
        <w:rPr>
          <w:rFonts w:cs="Times New Roman"/>
        </w:rPr>
        <w:t>条，地方标准</w:t>
      </w:r>
      <w:r w:rsidRPr="00530A11">
        <w:rPr>
          <w:rFonts w:cs="Times New Roman"/>
        </w:rPr>
        <w:t>2014</w:t>
      </w:r>
      <w:r w:rsidRPr="00530A11">
        <w:rPr>
          <w:rFonts w:cs="Times New Roman"/>
        </w:rPr>
        <w:t>版</w:t>
      </w:r>
      <w:r w:rsidRPr="00530A11">
        <w:rPr>
          <w:rFonts w:cs="Times New Roman"/>
          <w:szCs w:val="24"/>
        </w:rPr>
        <w:t>6.2.2</w:t>
      </w:r>
      <w:r w:rsidRPr="00530A11">
        <w:rPr>
          <w:rFonts w:cs="Times New Roman"/>
        </w:rPr>
        <w:t>条的基础上发展而来。</w:t>
      </w:r>
    </w:p>
    <w:p w14:paraId="54355286" w14:textId="77777777" w:rsidR="002C09A7" w:rsidRPr="00530A11" w:rsidRDefault="002C09A7" w:rsidP="002C09A7">
      <w:pPr>
        <w:ind w:firstLine="420"/>
        <w:rPr>
          <w:rFonts w:cs="Times New Roman"/>
        </w:rPr>
      </w:pPr>
      <w:r w:rsidRPr="00530A11">
        <w:rPr>
          <w:rFonts w:cs="Times New Roman"/>
        </w:rPr>
        <w:t>活动配件指建筑的各种五金配件、管道阀门、开关龙头等，考虑选用长寿命的优质产品，且构造上易于更换。同时还应考虑为维护、更换操作提供方便条件。部分常见的耐腐蚀、抗老化、耐久性能好的部品部件见表</w:t>
      </w:r>
      <w:r w:rsidRPr="00530A11">
        <w:rPr>
          <w:rFonts w:cs="Times New Roman"/>
        </w:rPr>
        <w:t>1</w:t>
      </w:r>
      <w:r w:rsidRPr="00530A11">
        <w:rPr>
          <w:rFonts w:cs="Times New Roman"/>
        </w:rPr>
        <w:t>。</w:t>
      </w:r>
    </w:p>
    <w:p w14:paraId="1CABBE71"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 xml:space="preserve">1 </w:t>
      </w:r>
      <w:r w:rsidRPr="00530A11">
        <w:rPr>
          <w:rFonts w:cs="Times New Roman"/>
          <w:b w:val="0"/>
        </w:rPr>
        <w:t>部分常见的耐腐蚀、抗老化、耐久性能好的部品部件及要求</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51"/>
        <w:gridCol w:w="4151"/>
      </w:tblGrid>
      <w:tr w:rsidR="002C09A7" w:rsidRPr="00530A11" w14:paraId="63DB7E37" w14:textId="77777777" w:rsidTr="00F83296">
        <w:trPr>
          <w:jc w:val="center"/>
        </w:trPr>
        <w:tc>
          <w:tcPr>
            <w:tcW w:w="4151" w:type="dxa"/>
            <w:vAlign w:val="center"/>
          </w:tcPr>
          <w:p w14:paraId="03B5ADC7" w14:textId="77777777" w:rsidR="002C09A7" w:rsidRPr="00530A11" w:rsidRDefault="002C09A7" w:rsidP="00C060F4">
            <w:pPr>
              <w:pStyle w:val="ae"/>
              <w:rPr>
                <w:rFonts w:cs="Times New Roman"/>
                <w:b w:val="0"/>
              </w:rPr>
            </w:pPr>
            <w:r w:rsidRPr="00530A11">
              <w:rPr>
                <w:rFonts w:cs="Times New Roman"/>
                <w:b w:val="0"/>
              </w:rPr>
              <w:t>常见类型</w:t>
            </w:r>
          </w:p>
        </w:tc>
        <w:tc>
          <w:tcPr>
            <w:tcW w:w="4151" w:type="dxa"/>
            <w:vAlign w:val="center"/>
          </w:tcPr>
          <w:p w14:paraId="6BD84BA9" w14:textId="77777777" w:rsidR="002C09A7" w:rsidRPr="00530A11" w:rsidRDefault="002C09A7" w:rsidP="00C060F4">
            <w:pPr>
              <w:pStyle w:val="ae"/>
              <w:rPr>
                <w:rFonts w:cs="Times New Roman"/>
                <w:b w:val="0"/>
              </w:rPr>
            </w:pPr>
            <w:r w:rsidRPr="00530A11">
              <w:rPr>
                <w:rFonts w:cs="Times New Roman"/>
                <w:b w:val="0"/>
              </w:rPr>
              <w:t>要求</w:t>
            </w:r>
          </w:p>
        </w:tc>
      </w:tr>
      <w:tr w:rsidR="002C09A7" w:rsidRPr="00530A11" w14:paraId="414AD37A" w14:textId="77777777" w:rsidTr="00F83296">
        <w:trPr>
          <w:jc w:val="center"/>
        </w:trPr>
        <w:tc>
          <w:tcPr>
            <w:tcW w:w="4151" w:type="dxa"/>
            <w:vMerge w:val="restart"/>
            <w:vAlign w:val="center"/>
          </w:tcPr>
          <w:p w14:paraId="7685EC81" w14:textId="77777777" w:rsidR="002C09A7" w:rsidRPr="00530A11" w:rsidRDefault="002C09A7" w:rsidP="00C060F4">
            <w:pPr>
              <w:pStyle w:val="ae"/>
              <w:rPr>
                <w:rFonts w:cs="Times New Roman"/>
                <w:b w:val="0"/>
              </w:rPr>
            </w:pPr>
            <w:r w:rsidRPr="00530A11">
              <w:rPr>
                <w:rFonts w:cs="Times New Roman"/>
                <w:b w:val="0"/>
              </w:rPr>
              <w:t>管材、管线、管材</w:t>
            </w:r>
          </w:p>
        </w:tc>
        <w:tc>
          <w:tcPr>
            <w:tcW w:w="4151" w:type="dxa"/>
            <w:vAlign w:val="center"/>
          </w:tcPr>
          <w:p w14:paraId="0ACEF99E" w14:textId="77777777" w:rsidR="002C09A7" w:rsidRPr="00530A11" w:rsidRDefault="002C09A7" w:rsidP="00C060F4">
            <w:pPr>
              <w:pStyle w:val="ae"/>
              <w:rPr>
                <w:rFonts w:cs="Times New Roman"/>
                <w:b w:val="0"/>
              </w:rPr>
            </w:pPr>
            <w:r w:rsidRPr="00530A11">
              <w:rPr>
                <w:rFonts w:cs="Times New Roman"/>
                <w:b w:val="0"/>
              </w:rPr>
              <w:t>室内给水系统采用铜管、不锈钢管或内衬不锈钢复合管</w:t>
            </w:r>
          </w:p>
        </w:tc>
      </w:tr>
      <w:tr w:rsidR="002C09A7" w:rsidRPr="00530A11" w14:paraId="71D0628F" w14:textId="77777777" w:rsidTr="00F83296">
        <w:trPr>
          <w:jc w:val="center"/>
        </w:trPr>
        <w:tc>
          <w:tcPr>
            <w:tcW w:w="4151" w:type="dxa"/>
            <w:vMerge/>
            <w:vAlign w:val="center"/>
          </w:tcPr>
          <w:p w14:paraId="6E9FC82F" w14:textId="77777777" w:rsidR="002C09A7" w:rsidRPr="00530A11" w:rsidRDefault="002C09A7" w:rsidP="00C060F4">
            <w:pPr>
              <w:pStyle w:val="ae"/>
              <w:rPr>
                <w:rFonts w:cs="Times New Roman"/>
                <w:b w:val="0"/>
              </w:rPr>
            </w:pPr>
          </w:p>
        </w:tc>
        <w:tc>
          <w:tcPr>
            <w:tcW w:w="4151" w:type="dxa"/>
            <w:vAlign w:val="center"/>
          </w:tcPr>
          <w:p w14:paraId="02CF9D40" w14:textId="77777777" w:rsidR="002C09A7" w:rsidRPr="00530A11" w:rsidRDefault="002C09A7" w:rsidP="00C060F4">
            <w:pPr>
              <w:pStyle w:val="ae"/>
              <w:rPr>
                <w:rFonts w:cs="Times New Roman"/>
                <w:b w:val="0"/>
              </w:rPr>
            </w:pPr>
            <w:r w:rsidRPr="00530A11">
              <w:rPr>
                <w:rFonts w:cs="Times New Roman"/>
                <w:b w:val="0"/>
              </w:rPr>
              <w:t>电气系统采用低烟低毒阻燃型线缆、矿物绝缘类不燃性电缆、耐火电缆等，且导体材料采用铜芯</w:t>
            </w:r>
          </w:p>
        </w:tc>
      </w:tr>
      <w:tr w:rsidR="002C09A7" w:rsidRPr="00530A11" w14:paraId="1B718E8D" w14:textId="77777777" w:rsidTr="00F83296">
        <w:trPr>
          <w:jc w:val="center"/>
        </w:trPr>
        <w:tc>
          <w:tcPr>
            <w:tcW w:w="4151" w:type="dxa"/>
            <w:vMerge w:val="restart"/>
            <w:vAlign w:val="center"/>
          </w:tcPr>
          <w:p w14:paraId="6261FEA3" w14:textId="77777777" w:rsidR="002C09A7" w:rsidRPr="00530A11" w:rsidRDefault="002C09A7" w:rsidP="00C060F4">
            <w:pPr>
              <w:pStyle w:val="ae"/>
              <w:rPr>
                <w:rFonts w:cs="Times New Roman"/>
                <w:b w:val="0"/>
              </w:rPr>
            </w:pPr>
            <w:r w:rsidRPr="00530A11">
              <w:rPr>
                <w:rFonts w:cs="Times New Roman"/>
                <w:b w:val="0"/>
              </w:rPr>
              <w:t>活动配件</w:t>
            </w:r>
          </w:p>
        </w:tc>
        <w:tc>
          <w:tcPr>
            <w:tcW w:w="4151" w:type="dxa"/>
            <w:vAlign w:val="center"/>
          </w:tcPr>
          <w:p w14:paraId="64729957" w14:textId="77777777" w:rsidR="002C09A7" w:rsidRPr="00530A11" w:rsidRDefault="002C09A7" w:rsidP="00C060F4">
            <w:pPr>
              <w:pStyle w:val="ae"/>
              <w:rPr>
                <w:rFonts w:cs="Times New Roman"/>
                <w:b w:val="0"/>
              </w:rPr>
            </w:pPr>
            <w:r w:rsidRPr="00530A11">
              <w:rPr>
                <w:rFonts w:cs="Times New Roman"/>
                <w:b w:val="0"/>
              </w:rPr>
              <w:t>门窗反复启闭性能达到相应产品标准要求的</w:t>
            </w:r>
            <w:r w:rsidRPr="00530A11">
              <w:rPr>
                <w:rFonts w:cs="Times New Roman"/>
                <w:b w:val="0"/>
              </w:rPr>
              <w:t>2</w:t>
            </w:r>
            <w:r w:rsidRPr="00530A11">
              <w:rPr>
                <w:rFonts w:cs="Times New Roman"/>
                <w:b w:val="0"/>
              </w:rPr>
              <w:t>倍</w:t>
            </w:r>
          </w:p>
        </w:tc>
      </w:tr>
      <w:tr w:rsidR="002C09A7" w:rsidRPr="00530A11" w14:paraId="706411A4" w14:textId="77777777" w:rsidTr="00F83296">
        <w:trPr>
          <w:jc w:val="center"/>
        </w:trPr>
        <w:tc>
          <w:tcPr>
            <w:tcW w:w="4151" w:type="dxa"/>
            <w:vMerge/>
            <w:vAlign w:val="center"/>
          </w:tcPr>
          <w:p w14:paraId="6E7678EF" w14:textId="77777777" w:rsidR="002C09A7" w:rsidRPr="00530A11" w:rsidRDefault="002C09A7" w:rsidP="00C060F4">
            <w:pPr>
              <w:pStyle w:val="ae"/>
              <w:rPr>
                <w:rFonts w:cs="Times New Roman"/>
                <w:b w:val="0"/>
              </w:rPr>
            </w:pPr>
          </w:p>
        </w:tc>
        <w:tc>
          <w:tcPr>
            <w:tcW w:w="4151" w:type="dxa"/>
            <w:vAlign w:val="center"/>
          </w:tcPr>
          <w:p w14:paraId="520A4E20" w14:textId="77777777" w:rsidR="002C09A7" w:rsidRPr="00530A11" w:rsidRDefault="002C09A7" w:rsidP="00C060F4">
            <w:pPr>
              <w:pStyle w:val="ae"/>
              <w:rPr>
                <w:rFonts w:cs="Times New Roman"/>
                <w:b w:val="0"/>
              </w:rPr>
            </w:pPr>
            <w:r w:rsidRPr="00530A11">
              <w:rPr>
                <w:rFonts w:cs="Times New Roman"/>
                <w:b w:val="0"/>
              </w:rPr>
              <w:t>遮阳产品机械耐久性达到相应产品标准要求的最高级</w:t>
            </w:r>
          </w:p>
        </w:tc>
      </w:tr>
      <w:tr w:rsidR="002C09A7" w:rsidRPr="00530A11" w14:paraId="4BED98AF" w14:textId="77777777" w:rsidTr="00F83296">
        <w:trPr>
          <w:jc w:val="center"/>
        </w:trPr>
        <w:tc>
          <w:tcPr>
            <w:tcW w:w="4151" w:type="dxa"/>
            <w:vMerge/>
            <w:vAlign w:val="center"/>
          </w:tcPr>
          <w:p w14:paraId="4A05AF9F" w14:textId="77777777" w:rsidR="002C09A7" w:rsidRPr="00530A11" w:rsidRDefault="002C09A7" w:rsidP="00C060F4">
            <w:pPr>
              <w:pStyle w:val="ae"/>
              <w:rPr>
                <w:rFonts w:cs="Times New Roman"/>
                <w:b w:val="0"/>
              </w:rPr>
            </w:pPr>
          </w:p>
        </w:tc>
        <w:tc>
          <w:tcPr>
            <w:tcW w:w="4151" w:type="dxa"/>
            <w:vAlign w:val="center"/>
          </w:tcPr>
          <w:p w14:paraId="572F4818" w14:textId="77777777" w:rsidR="002C09A7" w:rsidRPr="00530A11" w:rsidRDefault="002C09A7" w:rsidP="00C060F4">
            <w:pPr>
              <w:pStyle w:val="ae"/>
              <w:rPr>
                <w:rFonts w:cs="Times New Roman"/>
                <w:b w:val="0"/>
              </w:rPr>
            </w:pPr>
            <w:r w:rsidRPr="00530A11">
              <w:rPr>
                <w:rFonts w:cs="Times New Roman"/>
                <w:b w:val="0"/>
              </w:rPr>
              <w:t>水嘴寿命达到相应产品标准要求的</w:t>
            </w:r>
            <w:r w:rsidRPr="00530A11">
              <w:rPr>
                <w:rFonts w:cs="Times New Roman"/>
                <w:b w:val="0"/>
              </w:rPr>
              <w:t>1.2</w:t>
            </w:r>
            <w:r w:rsidRPr="00530A11">
              <w:rPr>
                <w:rFonts w:cs="Times New Roman"/>
                <w:b w:val="0"/>
              </w:rPr>
              <w:t>倍</w:t>
            </w:r>
          </w:p>
        </w:tc>
      </w:tr>
      <w:tr w:rsidR="002C09A7" w:rsidRPr="00530A11" w14:paraId="37FA2353" w14:textId="77777777" w:rsidTr="00F83296">
        <w:trPr>
          <w:jc w:val="center"/>
        </w:trPr>
        <w:tc>
          <w:tcPr>
            <w:tcW w:w="4151" w:type="dxa"/>
            <w:vMerge/>
            <w:vAlign w:val="center"/>
          </w:tcPr>
          <w:p w14:paraId="750754DA" w14:textId="77777777" w:rsidR="002C09A7" w:rsidRPr="00530A11" w:rsidRDefault="002C09A7" w:rsidP="00C060F4">
            <w:pPr>
              <w:pStyle w:val="ae"/>
              <w:rPr>
                <w:rFonts w:cs="Times New Roman"/>
                <w:b w:val="0"/>
              </w:rPr>
            </w:pPr>
          </w:p>
        </w:tc>
        <w:tc>
          <w:tcPr>
            <w:tcW w:w="4151" w:type="dxa"/>
            <w:vAlign w:val="center"/>
          </w:tcPr>
          <w:p w14:paraId="354F22E3" w14:textId="77777777" w:rsidR="002C09A7" w:rsidRPr="00530A11" w:rsidRDefault="002C09A7" w:rsidP="00C060F4">
            <w:pPr>
              <w:pStyle w:val="ae"/>
              <w:rPr>
                <w:rFonts w:cs="Times New Roman"/>
                <w:b w:val="0"/>
              </w:rPr>
            </w:pPr>
            <w:r w:rsidRPr="00530A11">
              <w:rPr>
                <w:rFonts w:cs="Times New Roman"/>
                <w:b w:val="0"/>
              </w:rPr>
              <w:t>阀门寿命达到相应产品标准要求的</w:t>
            </w:r>
            <w:r w:rsidRPr="00530A11">
              <w:rPr>
                <w:rFonts w:cs="Times New Roman"/>
                <w:b w:val="0"/>
              </w:rPr>
              <w:t>1.5</w:t>
            </w:r>
            <w:r w:rsidRPr="00530A11">
              <w:rPr>
                <w:rFonts w:cs="Times New Roman"/>
                <w:b w:val="0"/>
              </w:rPr>
              <w:t>倍</w:t>
            </w:r>
          </w:p>
        </w:tc>
      </w:tr>
    </w:tbl>
    <w:p w14:paraId="1229FE39" w14:textId="77777777" w:rsidR="002C09A7" w:rsidRPr="00530A11" w:rsidRDefault="002C09A7" w:rsidP="002C09A7">
      <w:pPr>
        <w:ind w:firstLine="420"/>
      </w:pPr>
    </w:p>
    <w:p w14:paraId="700A86BA" w14:textId="77777777" w:rsidR="002C09A7" w:rsidRPr="00530A11" w:rsidRDefault="002C09A7" w:rsidP="002C09A7">
      <w:pPr>
        <w:ind w:firstLine="420"/>
      </w:pPr>
      <w:r w:rsidRPr="00530A11">
        <w:rPr>
          <w:rFonts w:hint="eastAsia"/>
        </w:rPr>
        <w:t>应采取有效措施避免管网漏损，包括：选用密闭性能好的阀门、设备，使用耐腐蚀、耐久性能好的管材、管件；室外埋地管道采取有效措施避免管网漏损；设计阶段根据水平衡测试的要求安装分级计量水表；运行阶段，提供用水量计量情况和管网漏损检测、整改的报告。</w:t>
      </w:r>
    </w:p>
    <w:p w14:paraId="5EDF8C59" w14:textId="77777777" w:rsidR="002C09A7" w:rsidRPr="00530A11" w:rsidRDefault="002C09A7" w:rsidP="002C09A7">
      <w:pPr>
        <w:ind w:firstLine="420"/>
      </w:pPr>
      <w:r w:rsidRPr="00530A11">
        <w:rPr>
          <w:rFonts w:hint="eastAsia"/>
        </w:rPr>
        <w:t>管网漏失水量包括：阀门故障漏水量、室内卫生器具漏水量、水池、水箱溢流漏水量、设备漏水量和管网漏水量。</w:t>
      </w:r>
    </w:p>
    <w:p w14:paraId="7567C2E9" w14:textId="426EF643" w:rsidR="006677FB" w:rsidRPr="006C79E9" w:rsidRDefault="006677FB" w:rsidP="006C79E9">
      <w:pPr>
        <w:pStyle w:val="20"/>
      </w:pPr>
      <w:r w:rsidRPr="0081478A">
        <w:t>【评价要点】</w:t>
      </w:r>
    </w:p>
    <w:p w14:paraId="35EA4507" w14:textId="36246EA8" w:rsidR="00A560A5" w:rsidRPr="00A560A5" w:rsidRDefault="00A560A5" w:rsidP="00643310">
      <w:pPr>
        <w:ind w:firstLine="420"/>
      </w:pPr>
      <w:r w:rsidRPr="00A560A5">
        <w:rPr>
          <w:rFonts w:hint="eastAsia"/>
        </w:rPr>
        <w:t>相关专业设计说明中应明确设计的部品部件的耐久性设计性能参数要求。</w:t>
      </w:r>
    </w:p>
    <w:p w14:paraId="28AD5BDB" w14:textId="525CD84E" w:rsidR="006677FB" w:rsidRPr="0081478A" w:rsidRDefault="006677FB" w:rsidP="006677FB">
      <w:pPr>
        <w:ind w:firstLine="420"/>
        <w:rPr>
          <w:rFonts w:cs="Times New Roman"/>
        </w:rPr>
      </w:pPr>
      <w:r w:rsidRPr="0081478A">
        <w:rPr>
          <w:rFonts w:cs="Times New Roman"/>
        </w:rPr>
        <w:t>为避免漏损，可采取以下措施</w:t>
      </w:r>
      <w:r w:rsidR="008D37F7">
        <w:rPr>
          <w:rFonts w:cs="Times New Roman" w:hint="eastAsia"/>
        </w:rPr>
        <w:t>：</w:t>
      </w:r>
    </w:p>
    <w:p w14:paraId="1DA9BA1A" w14:textId="7046E895" w:rsidR="006677FB" w:rsidRPr="0081478A" w:rsidRDefault="006677FB" w:rsidP="006677FB">
      <w:pPr>
        <w:ind w:firstLine="420"/>
        <w:rPr>
          <w:rFonts w:cs="Times New Roman"/>
        </w:rPr>
      </w:pPr>
      <w:r w:rsidRPr="0081478A">
        <w:rPr>
          <w:rFonts w:cs="Times New Roman"/>
        </w:rPr>
        <w:t>1</w:t>
      </w:r>
      <w:r w:rsidRPr="0081478A">
        <w:rPr>
          <w:rFonts w:cs="Times New Roman"/>
        </w:rPr>
        <w:t>）给水系统中使用的管材、管件，必须符合现行产品行业标准的要求。对新型管材和管件应符合企业标准的要求，企业标准必须经由有关行政和政府主管部门，组织专家评估、鉴定并备案。</w:t>
      </w:r>
    </w:p>
    <w:p w14:paraId="13552D3F" w14:textId="6B55A146" w:rsidR="006677FB" w:rsidRDefault="006677FB" w:rsidP="006677FB">
      <w:pPr>
        <w:ind w:firstLine="420"/>
        <w:rPr>
          <w:rFonts w:cs="Times New Roman"/>
        </w:rPr>
      </w:pPr>
      <w:r w:rsidRPr="0081478A">
        <w:rPr>
          <w:rFonts w:cs="Times New Roman"/>
        </w:rPr>
        <w:lastRenderedPageBreak/>
        <w:t>2</w:t>
      </w:r>
      <w:r w:rsidRPr="0081478A">
        <w:rPr>
          <w:rFonts w:cs="Times New Roman"/>
        </w:rPr>
        <w:t>）选用性能高的阀门、零泄漏阀门等。</w:t>
      </w:r>
    </w:p>
    <w:p w14:paraId="6C8966E6" w14:textId="25DF1783" w:rsidR="007F007E" w:rsidRPr="007F007E" w:rsidRDefault="007F007E" w:rsidP="006677FB">
      <w:pPr>
        <w:ind w:firstLine="420"/>
        <w:rPr>
          <w:rFonts w:cs="Times New Roman"/>
        </w:rPr>
      </w:pPr>
      <w:r>
        <w:rPr>
          <w:rFonts w:cs="Times New Roman"/>
        </w:rPr>
        <w:t>3</w:t>
      </w:r>
      <w:r>
        <w:rPr>
          <w:rFonts w:cs="Times New Roman" w:hint="eastAsia"/>
        </w:rPr>
        <w:t>）</w:t>
      </w:r>
      <w:r w:rsidRPr="007F007E">
        <w:rPr>
          <w:rFonts w:cs="Times New Roman" w:hint="eastAsia"/>
        </w:rPr>
        <w:t>电线、电缆</w:t>
      </w:r>
      <w:r>
        <w:rPr>
          <w:rFonts w:cs="Times New Roman" w:hint="eastAsia"/>
        </w:rPr>
        <w:t>、门窗、</w:t>
      </w:r>
      <w:r w:rsidRPr="00530A11">
        <w:rPr>
          <w:rFonts w:cs="Times New Roman"/>
        </w:rPr>
        <w:t>遮阳产品</w:t>
      </w:r>
      <w:r>
        <w:rPr>
          <w:rFonts w:cs="Times New Roman" w:hint="eastAsia"/>
        </w:rPr>
        <w:t>等</w:t>
      </w:r>
      <w:r w:rsidRPr="007F007E">
        <w:rPr>
          <w:rFonts w:cs="Times New Roman" w:hint="eastAsia"/>
        </w:rPr>
        <w:t>必须符合现行产品国家和行业标准</w:t>
      </w:r>
      <w:r>
        <w:rPr>
          <w:rFonts w:cs="Times New Roman" w:hint="eastAsia"/>
        </w:rPr>
        <w:t>。</w:t>
      </w:r>
    </w:p>
    <w:p w14:paraId="06233E2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305C521" w14:textId="77777777" w:rsidR="0084444F" w:rsidRPr="00530A11" w:rsidRDefault="0084444F" w:rsidP="0084444F">
      <w:pPr>
        <w:ind w:firstLine="420"/>
        <w:jc w:val="left"/>
        <w:rPr>
          <w:rFonts w:cs="Times New Roman"/>
          <w:szCs w:val="24"/>
        </w:rPr>
      </w:pPr>
      <w:r w:rsidRPr="00530A11">
        <w:rPr>
          <w:rFonts w:cs="Times New Roman"/>
          <w:szCs w:val="24"/>
        </w:rPr>
        <w:t>预评价查阅相关设计文件、产品设计要求；评价查阅相关竣工图、产品说明书或检测检验报告。</w:t>
      </w:r>
    </w:p>
    <w:p w14:paraId="54642078" w14:textId="77777777" w:rsidR="00715ABB" w:rsidRPr="0084444F" w:rsidRDefault="00715ABB">
      <w:pPr>
        <w:snapToGrid w:val="0"/>
        <w:ind w:firstLine="420"/>
        <w:jc w:val="left"/>
        <w:rPr>
          <w:rFonts w:cs="Times New Roman"/>
          <w:szCs w:val="24"/>
        </w:rPr>
      </w:pPr>
    </w:p>
    <w:p w14:paraId="5135479C" w14:textId="77777777" w:rsidR="006A6F67" w:rsidRPr="00530A11" w:rsidRDefault="006A6F67" w:rsidP="006A6F67">
      <w:pPr>
        <w:pStyle w:val="4"/>
        <w:rPr>
          <w:rFonts w:cs="Times New Roman"/>
          <w:bCs w:val="0"/>
        </w:rPr>
      </w:pPr>
      <w:r w:rsidRPr="00530A11">
        <w:rPr>
          <w:rFonts w:cs="Times New Roman"/>
          <w:bCs w:val="0"/>
        </w:rPr>
        <w:t xml:space="preserve">4.2.8 </w:t>
      </w:r>
      <w:r w:rsidRPr="00530A11">
        <w:rPr>
          <w:rFonts w:cs="Times New Roman"/>
          <w:bCs w:val="0"/>
        </w:rPr>
        <w:t>提高建筑结构材料的耐久性，评价总分值为</w:t>
      </w:r>
      <w:r w:rsidRPr="00530A11">
        <w:rPr>
          <w:rFonts w:cs="Times New Roman"/>
          <w:bCs w:val="0"/>
        </w:rPr>
        <w:t>10</w:t>
      </w:r>
      <w:r w:rsidRPr="00530A11">
        <w:rPr>
          <w:rFonts w:cs="Times New Roman"/>
          <w:bCs w:val="0"/>
        </w:rPr>
        <w:t>分，并按下列规则评分</w:t>
      </w:r>
      <w:r w:rsidRPr="00530A11">
        <w:rPr>
          <w:rFonts w:cs="Times New Roman"/>
          <w:bCs w:val="0"/>
        </w:rPr>
        <w:t>:</w:t>
      </w:r>
    </w:p>
    <w:p w14:paraId="0409121A" w14:textId="77777777" w:rsidR="006A6F67" w:rsidRPr="006A6F67" w:rsidRDefault="006A6F67" w:rsidP="006A6F67">
      <w:pPr>
        <w:snapToGrid w:val="0"/>
        <w:ind w:firstLineChars="100" w:firstLine="211"/>
        <w:jc w:val="left"/>
        <w:rPr>
          <w:rFonts w:cs="Times New Roman"/>
          <w:b/>
          <w:bCs/>
          <w:szCs w:val="24"/>
        </w:rPr>
      </w:pPr>
      <w:r w:rsidRPr="006A6F67">
        <w:rPr>
          <w:rFonts w:cs="Times New Roman"/>
          <w:b/>
          <w:bCs/>
          <w:szCs w:val="24"/>
        </w:rPr>
        <w:t xml:space="preserve">1 </w:t>
      </w:r>
      <w:r w:rsidRPr="006A6F67">
        <w:rPr>
          <w:rFonts w:cs="Times New Roman"/>
          <w:b/>
          <w:bCs/>
          <w:szCs w:val="24"/>
        </w:rPr>
        <w:t>按</w:t>
      </w:r>
      <w:r w:rsidRPr="006A6F67">
        <w:rPr>
          <w:rFonts w:cs="Times New Roman"/>
          <w:b/>
          <w:bCs/>
          <w:szCs w:val="24"/>
        </w:rPr>
        <w:t>100</w:t>
      </w:r>
      <w:r w:rsidRPr="006A6F67">
        <w:rPr>
          <w:rFonts w:cs="Times New Roman"/>
          <w:b/>
          <w:bCs/>
          <w:szCs w:val="24"/>
        </w:rPr>
        <w:t>年进行耐久性设计，得</w:t>
      </w:r>
      <w:r w:rsidRPr="006A6F67">
        <w:rPr>
          <w:rFonts w:cs="Times New Roman"/>
          <w:b/>
          <w:bCs/>
          <w:szCs w:val="24"/>
        </w:rPr>
        <w:t>10</w:t>
      </w:r>
      <w:r w:rsidRPr="006A6F67">
        <w:rPr>
          <w:rFonts w:cs="Times New Roman"/>
          <w:b/>
          <w:bCs/>
          <w:szCs w:val="24"/>
        </w:rPr>
        <w:t>分。</w:t>
      </w:r>
    </w:p>
    <w:p w14:paraId="6B082E88" w14:textId="77777777" w:rsidR="006A6F67" w:rsidRPr="006A6F67" w:rsidRDefault="006A6F67" w:rsidP="006A6F67">
      <w:pPr>
        <w:snapToGrid w:val="0"/>
        <w:ind w:firstLineChars="100" w:firstLine="211"/>
        <w:jc w:val="left"/>
        <w:rPr>
          <w:rFonts w:cs="Times New Roman"/>
          <w:b/>
          <w:bCs/>
          <w:szCs w:val="24"/>
        </w:rPr>
      </w:pPr>
      <w:r w:rsidRPr="006A6F67">
        <w:rPr>
          <w:rFonts w:cs="Times New Roman"/>
          <w:b/>
          <w:bCs/>
          <w:szCs w:val="24"/>
        </w:rPr>
        <w:t xml:space="preserve">2 </w:t>
      </w:r>
      <w:r w:rsidRPr="006A6F67">
        <w:rPr>
          <w:rFonts w:cs="Times New Roman"/>
          <w:b/>
          <w:bCs/>
          <w:szCs w:val="24"/>
        </w:rPr>
        <w:t>采用耐久性能好的建筑结构材料，满足下列条件之一，得</w:t>
      </w:r>
      <w:r w:rsidRPr="006A6F67">
        <w:rPr>
          <w:rFonts w:cs="Times New Roman"/>
          <w:b/>
          <w:bCs/>
          <w:szCs w:val="24"/>
        </w:rPr>
        <w:t>10</w:t>
      </w:r>
      <w:r w:rsidRPr="006A6F67">
        <w:rPr>
          <w:rFonts w:cs="Times New Roman"/>
          <w:b/>
          <w:bCs/>
          <w:szCs w:val="24"/>
        </w:rPr>
        <w:t>分：</w:t>
      </w:r>
    </w:p>
    <w:p w14:paraId="33EE155D" w14:textId="77777777" w:rsidR="006A6F67" w:rsidRPr="006A6F67" w:rsidRDefault="006A6F67" w:rsidP="006A6F67">
      <w:pPr>
        <w:pStyle w:val="20"/>
        <w:ind w:firstLineChars="200" w:firstLine="422"/>
        <w:rPr>
          <w:rFonts w:ascii="Times New Roman" w:hAnsi="Times New Roman" w:cs="Times New Roman"/>
          <w:bCs/>
          <w:color w:val="auto"/>
        </w:rPr>
      </w:pPr>
      <w:r w:rsidRPr="006A6F67">
        <w:rPr>
          <w:rFonts w:ascii="Times New Roman" w:hAnsi="Times New Roman" w:cs="Times New Roman"/>
          <w:bCs/>
          <w:color w:val="auto"/>
        </w:rPr>
        <w:t>1</w:t>
      </w:r>
      <w:r w:rsidRPr="006A6F67">
        <w:rPr>
          <w:rFonts w:ascii="Times New Roman" w:hAnsi="Times New Roman" w:cs="Times New Roman" w:hint="eastAsia"/>
          <w:bCs/>
          <w:color w:val="auto"/>
        </w:rPr>
        <w:t>）</w:t>
      </w:r>
      <w:r w:rsidRPr="006A6F67">
        <w:rPr>
          <w:rFonts w:ascii="Times New Roman" w:hAnsi="Times New Roman" w:cs="Times New Roman"/>
          <w:bCs/>
          <w:color w:val="auto"/>
        </w:rPr>
        <w:t xml:space="preserve"> </w:t>
      </w:r>
      <w:r w:rsidRPr="006A6F67">
        <w:rPr>
          <w:rFonts w:ascii="Times New Roman" w:hAnsi="Times New Roman" w:cs="Times New Roman" w:hint="eastAsia"/>
          <w:bCs/>
          <w:color w:val="auto"/>
        </w:rPr>
        <w:t>对于混凝土构件，合理提高钢筋保护层厚度，得</w:t>
      </w:r>
      <w:r w:rsidRPr="006A6F67">
        <w:rPr>
          <w:rFonts w:ascii="Times New Roman" w:hAnsi="Times New Roman" w:cs="Times New Roman"/>
          <w:bCs/>
          <w:color w:val="auto"/>
        </w:rPr>
        <w:t>4</w:t>
      </w:r>
      <w:r w:rsidRPr="006A6F67">
        <w:rPr>
          <w:rFonts w:ascii="Times New Roman" w:hAnsi="Times New Roman" w:cs="Times New Roman" w:hint="eastAsia"/>
          <w:bCs/>
          <w:color w:val="auto"/>
        </w:rPr>
        <w:t>分；采用高耐久混凝土的用量占混凝土总量的比例超过</w:t>
      </w:r>
      <w:r w:rsidRPr="006A6F67">
        <w:rPr>
          <w:rFonts w:ascii="Times New Roman" w:hAnsi="Times New Roman" w:cs="Times New Roman"/>
          <w:bCs/>
          <w:color w:val="auto"/>
        </w:rPr>
        <w:t>50%</w:t>
      </w:r>
      <w:r w:rsidRPr="006A6F67">
        <w:rPr>
          <w:rFonts w:ascii="Times New Roman" w:hAnsi="Times New Roman" w:cs="Times New Roman" w:hint="eastAsia"/>
          <w:bCs/>
          <w:color w:val="auto"/>
        </w:rPr>
        <w:t>，得</w:t>
      </w:r>
      <w:r w:rsidRPr="006A6F67">
        <w:rPr>
          <w:rFonts w:ascii="Times New Roman" w:hAnsi="Times New Roman" w:cs="Times New Roman"/>
          <w:bCs/>
          <w:color w:val="auto"/>
        </w:rPr>
        <w:t>6</w:t>
      </w:r>
      <w:r w:rsidRPr="006A6F67">
        <w:rPr>
          <w:rFonts w:ascii="Times New Roman" w:hAnsi="Times New Roman" w:cs="Times New Roman" w:hint="eastAsia"/>
          <w:bCs/>
          <w:color w:val="auto"/>
        </w:rPr>
        <w:t>分；</w:t>
      </w:r>
    </w:p>
    <w:p w14:paraId="4FB6514C" w14:textId="77777777" w:rsidR="006A6F67" w:rsidRPr="006A6F67" w:rsidRDefault="006A6F67" w:rsidP="006A6F67">
      <w:pPr>
        <w:snapToGrid w:val="0"/>
        <w:ind w:firstLine="422"/>
        <w:jc w:val="left"/>
        <w:rPr>
          <w:rFonts w:cs="Times New Roman"/>
          <w:b/>
          <w:bCs/>
          <w:szCs w:val="24"/>
        </w:rPr>
      </w:pPr>
      <w:r w:rsidRPr="006A6F67">
        <w:rPr>
          <w:rFonts w:cs="Times New Roman"/>
          <w:b/>
          <w:bCs/>
          <w:szCs w:val="24"/>
        </w:rPr>
        <w:t>2</w:t>
      </w:r>
      <w:r w:rsidRPr="006A6F67">
        <w:rPr>
          <w:rFonts w:cs="Times New Roman"/>
          <w:b/>
          <w:bCs/>
          <w:szCs w:val="24"/>
        </w:rPr>
        <w:t>）</w:t>
      </w:r>
      <w:r w:rsidRPr="006A6F67">
        <w:rPr>
          <w:rFonts w:cs="Times New Roman"/>
          <w:b/>
          <w:bCs/>
          <w:szCs w:val="24"/>
        </w:rPr>
        <w:t xml:space="preserve"> </w:t>
      </w:r>
      <w:r w:rsidRPr="006A6F67">
        <w:rPr>
          <w:rFonts w:cs="Times New Roman"/>
          <w:b/>
          <w:bCs/>
          <w:szCs w:val="24"/>
        </w:rPr>
        <w:t>对于钢构件，采用耐候结构钢或耐候型防腐涂料；</w:t>
      </w:r>
    </w:p>
    <w:p w14:paraId="2059B983" w14:textId="77777777" w:rsidR="006A6F67" w:rsidRPr="006A6F67" w:rsidRDefault="006A6F67" w:rsidP="006A6F67">
      <w:pPr>
        <w:snapToGrid w:val="0"/>
        <w:ind w:firstLine="422"/>
        <w:jc w:val="left"/>
        <w:rPr>
          <w:rFonts w:cs="Times New Roman"/>
          <w:b/>
          <w:bCs/>
          <w:szCs w:val="24"/>
        </w:rPr>
      </w:pPr>
      <w:r w:rsidRPr="006A6F67">
        <w:rPr>
          <w:rFonts w:cs="Times New Roman"/>
          <w:b/>
          <w:bCs/>
          <w:szCs w:val="24"/>
        </w:rPr>
        <w:t>3</w:t>
      </w:r>
      <w:r w:rsidRPr="006A6F67">
        <w:rPr>
          <w:rFonts w:cs="Times New Roman"/>
          <w:b/>
          <w:bCs/>
          <w:szCs w:val="24"/>
        </w:rPr>
        <w:t>）</w:t>
      </w:r>
      <w:r w:rsidRPr="006A6F67">
        <w:rPr>
          <w:rFonts w:cs="Times New Roman"/>
          <w:b/>
          <w:bCs/>
          <w:szCs w:val="24"/>
        </w:rPr>
        <w:t xml:space="preserve"> </w:t>
      </w:r>
      <w:r w:rsidRPr="006A6F67">
        <w:rPr>
          <w:rFonts w:cs="Times New Roman"/>
          <w:b/>
          <w:bCs/>
          <w:szCs w:val="24"/>
        </w:rPr>
        <w:t>对于木构件，采用防腐木材、耐久木材或耐久木制品。</w:t>
      </w:r>
    </w:p>
    <w:p w14:paraId="2107FF74" w14:textId="77777777" w:rsidR="00715ABB" w:rsidRPr="0081478A" w:rsidRDefault="00F44390" w:rsidP="006C79E9">
      <w:pPr>
        <w:pStyle w:val="20"/>
      </w:pPr>
      <w:r w:rsidRPr="0081478A">
        <w:t>【条文说明】</w:t>
      </w:r>
    </w:p>
    <w:p w14:paraId="138EBC49" w14:textId="77777777" w:rsidR="002C09A7" w:rsidRPr="00530A11" w:rsidRDefault="002C09A7" w:rsidP="002C09A7">
      <w:pPr>
        <w:ind w:firstLine="420"/>
      </w:pPr>
      <w:r w:rsidRPr="00530A11">
        <w:t>本条适用于各类民用建筑的预评价、评价。</w:t>
      </w:r>
    </w:p>
    <w:p w14:paraId="65D9E5CE" w14:textId="4F18F217" w:rsidR="002C09A7" w:rsidRPr="00530A11" w:rsidRDefault="002C09A7" w:rsidP="002C09A7">
      <w:pPr>
        <w:ind w:firstLine="420"/>
        <w:rPr>
          <w:rFonts w:cs="Times New Roman"/>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szCs w:val="24"/>
        </w:rPr>
        <w:t>7.2.11</w:t>
      </w:r>
      <w:r w:rsidRPr="00530A11">
        <w:rPr>
          <w:rFonts w:cs="Times New Roman"/>
        </w:rPr>
        <w:t>条，地方标准</w:t>
      </w:r>
      <w:r w:rsidRPr="00530A11">
        <w:rPr>
          <w:rFonts w:cs="Times New Roman"/>
        </w:rPr>
        <w:t>2014</w:t>
      </w:r>
      <w:r w:rsidRPr="00530A11">
        <w:rPr>
          <w:rFonts w:cs="Times New Roman"/>
        </w:rPr>
        <w:t>版</w:t>
      </w:r>
      <w:r w:rsidRPr="00530A11">
        <w:rPr>
          <w:rFonts w:cs="Times New Roman"/>
          <w:szCs w:val="24"/>
        </w:rPr>
        <w:t>7.2.12</w:t>
      </w:r>
      <w:r w:rsidRPr="00530A11">
        <w:rPr>
          <w:rFonts w:cs="Times New Roman"/>
        </w:rPr>
        <w:t>条的基础上发展而来。</w:t>
      </w:r>
    </w:p>
    <w:p w14:paraId="7351ECE5" w14:textId="77777777" w:rsidR="002C09A7" w:rsidRPr="00530A11" w:rsidRDefault="002C09A7" w:rsidP="002C09A7">
      <w:pPr>
        <w:ind w:firstLine="420"/>
        <w:jc w:val="left"/>
        <w:rPr>
          <w:rFonts w:cs="Times New Roman"/>
          <w:szCs w:val="24"/>
        </w:rPr>
      </w:pPr>
      <w:r w:rsidRPr="00530A11">
        <w:rPr>
          <w:rFonts w:cs="Times New Roman"/>
          <w:szCs w:val="24"/>
        </w:rPr>
        <w:t>第</w:t>
      </w:r>
      <w:r w:rsidRPr="00530A11">
        <w:rPr>
          <w:rFonts w:cs="Times New Roman"/>
          <w:szCs w:val="24"/>
        </w:rPr>
        <w:t>1</w:t>
      </w:r>
      <w:r w:rsidRPr="00530A11">
        <w:rPr>
          <w:rFonts w:cs="Times New Roman"/>
          <w:szCs w:val="24"/>
        </w:rPr>
        <w:t>款，按</w:t>
      </w:r>
      <w:r w:rsidRPr="00530A11">
        <w:rPr>
          <w:rFonts w:cs="Times New Roman"/>
          <w:szCs w:val="24"/>
        </w:rPr>
        <w:t>100</w:t>
      </w:r>
      <w:r w:rsidRPr="00530A11">
        <w:rPr>
          <w:rFonts w:cs="Times New Roman"/>
          <w:szCs w:val="24"/>
        </w:rPr>
        <w:t>年进行耐久性设计，可在造价提高有限的情况下提高结构综合性能，减少后期检测维修工程量。</w:t>
      </w:r>
    </w:p>
    <w:p w14:paraId="28F9FDF6" w14:textId="77777777" w:rsidR="002C09A7" w:rsidRPr="00530A11" w:rsidRDefault="002C09A7" w:rsidP="002C09A7">
      <w:pPr>
        <w:ind w:firstLine="420"/>
        <w:rPr>
          <w:rFonts w:cs="Times New Roman"/>
        </w:rPr>
      </w:pPr>
      <w:r w:rsidRPr="00530A11">
        <w:rPr>
          <w:rFonts w:cs="Times New Roman"/>
        </w:rPr>
        <w:t>第</w:t>
      </w:r>
      <w:r w:rsidRPr="00530A11">
        <w:rPr>
          <w:rFonts w:cs="Times New Roman"/>
        </w:rPr>
        <w:t>2</w:t>
      </w:r>
      <w:r w:rsidRPr="00530A11">
        <w:rPr>
          <w:rFonts w:cs="Times New Roman"/>
        </w:rPr>
        <w:t>款第</w:t>
      </w:r>
      <w:r w:rsidRPr="00530A11">
        <w:rPr>
          <w:rFonts w:cs="Times New Roman"/>
        </w:rPr>
        <w:t>1</w:t>
      </w:r>
      <w:r w:rsidRPr="00530A11">
        <w:rPr>
          <w:rFonts w:cs="Times New Roman"/>
        </w:rPr>
        <w:t>项，对混凝土结构，结合建筑的环境类别及作用等级，具体采用提高钢筋保护层厚度或高耐久性等级混凝土。当采用提高钢筋保护层厚度时，保护层厚度增加值不应小于</w:t>
      </w:r>
      <w:r w:rsidRPr="00530A11">
        <w:rPr>
          <w:rFonts w:cs="Times New Roman"/>
        </w:rPr>
        <w:t>5mm</w:t>
      </w:r>
      <w:r w:rsidRPr="00530A11">
        <w:rPr>
          <w:rFonts w:cs="Times New Roman"/>
        </w:rPr>
        <w:t>。当采用高耐久混凝土时，具体采用何种类型的高耐久混凝土，应在满足设计要求下，结合具体应用环境（如盐碱地等）及作用等级，合理提出抗渗性能、抗硫酸盐侵蚀性能，抗氯离子渗透性能、抗碳化性能及早期抗裂性能等耐久性指标要求。各项混凝土耐久性指标的检测与试验应按现行国家标准《普通混凝土长期性能和耐久性能试验方法标准》</w:t>
      </w:r>
      <w:r w:rsidRPr="00530A11">
        <w:rPr>
          <w:rFonts w:cs="Times New Roman"/>
        </w:rPr>
        <w:t>GB/T 50082</w:t>
      </w:r>
      <w:r w:rsidRPr="00530A11">
        <w:rPr>
          <w:rFonts w:cs="Times New Roman"/>
        </w:rPr>
        <w:t>的规定执行，测试结果应按现行行业标准《混凝土耐久性检验评定标准》</w:t>
      </w:r>
      <w:r w:rsidRPr="00530A11">
        <w:rPr>
          <w:rFonts w:cs="Times New Roman"/>
        </w:rPr>
        <w:t>JGJ/T 193</w:t>
      </w:r>
      <w:r w:rsidRPr="00530A11">
        <w:rPr>
          <w:rFonts w:cs="Times New Roman"/>
        </w:rPr>
        <w:t>的规定进行性能等级划分。</w:t>
      </w:r>
    </w:p>
    <w:p w14:paraId="19908815" w14:textId="77777777" w:rsidR="002C09A7" w:rsidRPr="00530A11" w:rsidRDefault="002C09A7" w:rsidP="002C09A7">
      <w:pPr>
        <w:ind w:firstLine="420"/>
        <w:jc w:val="left"/>
        <w:rPr>
          <w:rFonts w:cs="Times New Roman"/>
          <w:szCs w:val="24"/>
        </w:rPr>
      </w:pPr>
      <w:r w:rsidRPr="00530A11">
        <w:rPr>
          <w:rFonts w:cs="Times New Roman"/>
          <w:szCs w:val="24"/>
        </w:rPr>
        <w:t>第</w:t>
      </w:r>
      <w:r w:rsidRPr="00530A11">
        <w:rPr>
          <w:rFonts w:cs="Times New Roman"/>
          <w:szCs w:val="24"/>
        </w:rPr>
        <w:t>2</w:t>
      </w:r>
      <w:r w:rsidRPr="00530A11">
        <w:rPr>
          <w:rFonts w:cs="Times New Roman"/>
          <w:szCs w:val="24"/>
        </w:rPr>
        <w:t>款第</w:t>
      </w:r>
      <w:r w:rsidRPr="00530A11">
        <w:rPr>
          <w:rFonts w:cs="Times New Roman"/>
          <w:szCs w:val="24"/>
        </w:rPr>
        <w:t>2</w:t>
      </w:r>
      <w:r w:rsidRPr="00530A11">
        <w:rPr>
          <w:rFonts w:cs="Times New Roman"/>
          <w:szCs w:val="24"/>
        </w:rPr>
        <w:t>项，耐候结构钢是指符合现行国家标准《耐候结构钢》</w:t>
      </w:r>
      <w:r w:rsidRPr="00530A11">
        <w:rPr>
          <w:rFonts w:cs="Times New Roman"/>
          <w:szCs w:val="24"/>
        </w:rPr>
        <w:t>GB/T 4171</w:t>
      </w:r>
      <w:r w:rsidRPr="00530A11">
        <w:rPr>
          <w:rFonts w:cs="Times New Roman"/>
          <w:szCs w:val="24"/>
        </w:rPr>
        <w:t>要求的钢材；耐候型防腐涂料是指符合现行行业标准《建筑用钢结构防腐涂料》</w:t>
      </w:r>
      <w:r w:rsidRPr="00530A11">
        <w:rPr>
          <w:rFonts w:cs="Times New Roman"/>
          <w:szCs w:val="24"/>
        </w:rPr>
        <w:t>JG/T 224</w:t>
      </w:r>
      <w:r w:rsidRPr="00530A11">
        <w:rPr>
          <w:rFonts w:cs="Times New Roman"/>
          <w:szCs w:val="24"/>
        </w:rPr>
        <w:t>的</w:t>
      </w:r>
      <w:r w:rsidRPr="00530A11">
        <w:rPr>
          <w:rFonts w:cs="Times New Roman"/>
          <w:szCs w:val="24"/>
        </w:rPr>
        <w:t>Ⅱ</w:t>
      </w:r>
      <w:r w:rsidRPr="00530A11">
        <w:rPr>
          <w:rFonts w:cs="Times New Roman"/>
          <w:szCs w:val="24"/>
        </w:rPr>
        <w:t>型面漆</w:t>
      </w:r>
      <w:r w:rsidRPr="00530A11">
        <w:rPr>
          <w:rFonts w:cs="Times New Roman"/>
          <w:szCs w:val="24"/>
        </w:rPr>
        <w:lastRenderedPageBreak/>
        <w:t>和长效型底漆。</w:t>
      </w:r>
    </w:p>
    <w:p w14:paraId="58C14C91" w14:textId="77777777" w:rsidR="002C09A7" w:rsidRPr="00530A11" w:rsidRDefault="002C09A7" w:rsidP="002C09A7">
      <w:pPr>
        <w:ind w:firstLine="420"/>
        <w:jc w:val="left"/>
        <w:rPr>
          <w:rFonts w:cs="Times New Roman"/>
          <w:szCs w:val="24"/>
        </w:rPr>
      </w:pPr>
      <w:r w:rsidRPr="00530A11">
        <w:rPr>
          <w:rFonts w:cs="Times New Roman"/>
          <w:szCs w:val="24"/>
        </w:rPr>
        <w:t>第</w:t>
      </w:r>
      <w:r w:rsidRPr="00530A11">
        <w:rPr>
          <w:rFonts w:cs="Times New Roman"/>
          <w:szCs w:val="24"/>
        </w:rPr>
        <w:t>2</w:t>
      </w:r>
      <w:r w:rsidRPr="00530A11">
        <w:rPr>
          <w:rFonts w:cs="Times New Roman"/>
          <w:szCs w:val="24"/>
        </w:rPr>
        <w:t>款第</w:t>
      </w:r>
      <w:r w:rsidRPr="00530A11">
        <w:rPr>
          <w:rFonts w:cs="Times New Roman"/>
          <w:szCs w:val="24"/>
        </w:rPr>
        <w:t>3</w:t>
      </w:r>
      <w:r w:rsidRPr="00530A11">
        <w:rPr>
          <w:rFonts w:cs="Times New Roman"/>
          <w:szCs w:val="24"/>
        </w:rPr>
        <w:t>项，根据国家标准《多高层木结构建筑技术标准》</w:t>
      </w:r>
      <w:r w:rsidRPr="00530A11">
        <w:rPr>
          <w:rFonts w:cs="Times New Roman"/>
          <w:szCs w:val="24"/>
        </w:rPr>
        <w:t>GB/T 51226-2017</w:t>
      </w:r>
      <w:r w:rsidRPr="00530A11">
        <w:rPr>
          <w:rFonts w:cs="Times New Roman"/>
          <w:szCs w:val="24"/>
        </w:rPr>
        <w:t>，多高层木结构建筑采用的结构木材可分为方木、原木、规格材、层板胶合木、正交胶合木、结构复合木材、木基结构板材以及其他结构用锯材，其材质等级应符合现行国家标准《木结构设计标准》</w:t>
      </w:r>
      <w:r w:rsidRPr="00530A11">
        <w:rPr>
          <w:rFonts w:cs="Times New Roman"/>
          <w:szCs w:val="24"/>
        </w:rPr>
        <w:t>GB 50005</w:t>
      </w:r>
      <w:r w:rsidRPr="00530A11">
        <w:rPr>
          <w:rFonts w:cs="Times New Roman"/>
          <w:szCs w:val="24"/>
        </w:rPr>
        <w:t>的有关规定。根据现行国家标准《木结构设计标准》</w:t>
      </w:r>
      <w:r w:rsidRPr="00530A11">
        <w:rPr>
          <w:rFonts w:cs="Times New Roman"/>
          <w:szCs w:val="24"/>
        </w:rPr>
        <w:t>GB 50005</w:t>
      </w:r>
      <w:r w:rsidRPr="00530A11">
        <w:rPr>
          <w:rFonts w:cs="Times New Roman"/>
          <w:szCs w:val="24"/>
        </w:rPr>
        <w:t>，所有在室外使用，或与土壤直接接触的木构件，应采用防腐木材。在不直接接触土壤的情况下，可采用其他耐久木材或耐久木制品。</w:t>
      </w:r>
    </w:p>
    <w:p w14:paraId="0AA346B2" w14:textId="77777777" w:rsidR="002C09A7" w:rsidRPr="00530A11" w:rsidRDefault="002C09A7" w:rsidP="002C09A7">
      <w:pPr>
        <w:ind w:firstLine="420"/>
        <w:jc w:val="left"/>
        <w:rPr>
          <w:rFonts w:cs="Times New Roman"/>
          <w:szCs w:val="24"/>
        </w:rPr>
      </w:pPr>
      <w:r w:rsidRPr="00530A11">
        <w:rPr>
          <w:rFonts w:cs="Times New Roman"/>
          <w:szCs w:val="24"/>
        </w:rPr>
        <w:t>对于采用多种类型构件的建筑，第</w:t>
      </w:r>
      <w:r w:rsidRPr="00530A11">
        <w:rPr>
          <w:rFonts w:cs="Times New Roman"/>
          <w:szCs w:val="24"/>
        </w:rPr>
        <w:t>2</w:t>
      </w:r>
      <w:r w:rsidRPr="00530A11">
        <w:rPr>
          <w:rFonts w:cs="Times New Roman"/>
          <w:szCs w:val="24"/>
        </w:rPr>
        <w:t>款得分按照材料用量比例计算，最终得分应在分别对应该款</w:t>
      </w:r>
      <w:r w:rsidRPr="00530A11">
        <w:rPr>
          <w:rFonts w:cs="Times New Roman"/>
          <w:szCs w:val="24"/>
        </w:rPr>
        <w:t>3</w:t>
      </w:r>
      <w:r w:rsidRPr="00530A11">
        <w:rPr>
          <w:rFonts w:cs="Times New Roman"/>
          <w:szCs w:val="24"/>
        </w:rPr>
        <w:t>项评分后，按各自得分的最低分得分。</w:t>
      </w:r>
    </w:p>
    <w:p w14:paraId="3F31AD8D" w14:textId="77777777" w:rsidR="006677FB" w:rsidRPr="006C79E9" w:rsidRDefault="006677FB" w:rsidP="006C79E9">
      <w:pPr>
        <w:pStyle w:val="20"/>
      </w:pPr>
      <w:r w:rsidRPr="0081478A">
        <w:t>【评价要点】</w:t>
      </w:r>
    </w:p>
    <w:p w14:paraId="6FDBD914" w14:textId="77777777" w:rsidR="006677FB" w:rsidRPr="0081478A" w:rsidRDefault="006677FB" w:rsidP="006677FB">
      <w:pPr>
        <w:ind w:firstLine="420"/>
        <w:jc w:val="left"/>
        <w:rPr>
          <w:rFonts w:cs="Times New Roman"/>
          <w:bCs/>
          <w:szCs w:val="24"/>
        </w:rPr>
      </w:pPr>
      <w:r w:rsidRPr="0081478A">
        <w:rPr>
          <w:rFonts w:cs="Times New Roman"/>
          <w:bCs/>
          <w:szCs w:val="24"/>
        </w:rPr>
        <w:t>第</w:t>
      </w:r>
      <w:r w:rsidRPr="0081478A">
        <w:rPr>
          <w:rFonts w:cs="Times New Roman"/>
          <w:bCs/>
          <w:szCs w:val="24"/>
        </w:rPr>
        <w:t>1</w:t>
      </w:r>
      <w:r w:rsidRPr="0081478A">
        <w:rPr>
          <w:rFonts w:cs="Times New Roman"/>
          <w:bCs/>
          <w:szCs w:val="24"/>
        </w:rPr>
        <w:t>款主要是耐久性设计。结构的耐久性设计应使结构构件出现耐久性极限状态标志或限制的年限不小于</w:t>
      </w:r>
      <w:r w:rsidRPr="0081478A">
        <w:rPr>
          <w:rFonts w:cs="Times New Roman"/>
          <w:bCs/>
          <w:szCs w:val="24"/>
        </w:rPr>
        <w:t>100</w:t>
      </w:r>
      <w:r w:rsidRPr="0081478A">
        <w:rPr>
          <w:rFonts w:cs="Times New Roman"/>
          <w:bCs/>
          <w:szCs w:val="24"/>
        </w:rPr>
        <w:t>年，耐久性设计应包括保证构件质量的预防性处理措施、减小侵蚀作用的局部环境改善措施、延缓构件出现损伤的表面防护措施和延缓材料性能劣化速度的保护措施。《建筑结构可靠性设计统一标准》</w:t>
      </w:r>
      <w:r w:rsidRPr="0081478A">
        <w:rPr>
          <w:rFonts w:cs="Times New Roman"/>
          <w:bCs/>
          <w:szCs w:val="24"/>
        </w:rPr>
        <w:t>GB 50068-2018</w:t>
      </w:r>
      <w:r w:rsidRPr="0081478A">
        <w:rPr>
          <w:rFonts w:cs="Times New Roman"/>
          <w:bCs/>
          <w:szCs w:val="24"/>
        </w:rPr>
        <w:t>的附录</w:t>
      </w:r>
      <w:r w:rsidRPr="0081478A">
        <w:rPr>
          <w:rFonts w:cs="Times New Roman"/>
          <w:bCs/>
          <w:szCs w:val="24"/>
        </w:rPr>
        <w:t>C</w:t>
      </w:r>
      <w:r w:rsidRPr="0081478A">
        <w:rPr>
          <w:rFonts w:cs="Times New Roman"/>
          <w:bCs/>
          <w:szCs w:val="24"/>
        </w:rPr>
        <w:t>提出了耐久性设计的具体规定。</w:t>
      </w:r>
    </w:p>
    <w:p w14:paraId="6023D2D1" w14:textId="77777777" w:rsidR="006677FB" w:rsidRPr="0081478A" w:rsidRDefault="006677FB" w:rsidP="006677FB">
      <w:pPr>
        <w:ind w:firstLine="420"/>
        <w:jc w:val="left"/>
        <w:rPr>
          <w:rFonts w:cs="Times New Roman"/>
          <w:bCs/>
          <w:szCs w:val="24"/>
        </w:rPr>
      </w:pPr>
      <w:r w:rsidRPr="0081478A">
        <w:rPr>
          <w:rFonts w:cs="Times New Roman"/>
          <w:bCs/>
          <w:szCs w:val="24"/>
        </w:rPr>
        <w:t>第</w:t>
      </w:r>
      <w:r w:rsidRPr="0081478A">
        <w:rPr>
          <w:rFonts w:cs="Times New Roman"/>
          <w:bCs/>
          <w:szCs w:val="24"/>
        </w:rPr>
        <w:t>2</w:t>
      </w:r>
      <w:r w:rsidRPr="0081478A">
        <w:rPr>
          <w:rFonts w:cs="Times New Roman"/>
          <w:bCs/>
          <w:szCs w:val="24"/>
        </w:rPr>
        <w:t>款主要是建筑结构材料的耐久性能，具体如下：</w:t>
      </w:r>
    </w:p>
    <w:p w14:paraId="595B942F" w14:textId="77777777" w:rsidR="006677FB" w:rsidRPr="0081478A" w:rsidRDefault="006677FB" w:rsidP="006677FB">
      <w:pPr>
        <w:ind w:firstLine="420"/>
        <w:jc w:val="left"/>
        <w:rPr>
          <w:rFonts w:cs="Times New Roman"/>
          <w:bCs/>
          <w:szCs w:val="24"/>
        </w:rPr>
      </w:pPr>
      <w:r w:rsidRPr="0081478A">
        <w:rPr>
          <w:rFonts w:cs="Times New Roman"/>
          <w:bCs/>
          <w:szCs w:val="24"/>
        </w:rPr>
        <w:t>1</w:t>
      </w:r>
      <w:r w:rsidRPr="0081478A">
        <w:rPr>
          <w:rFonts w:cs="Times New Roman"/>
          <w:bCs/>
          <w:szCs w:val="24"/>
        </w:rPr>
        <w:t>）对混凝土结构，根据《混凝土结构设计规范》</w:t>
      </w:r>
      <w:r w:rsidRPr="0081478A">
        <w:rPr>
          <w:rFonts w:cs="Times New Roman"/>
          <w:bCs/>
          <w:szCs w:val="24"/>
        </w:rPr>
        <w:t>GB50010-2010</w:t>
      </w:r>
      <w:r w:rsidRPr="0081478A">
        <w:rPr>
          <w:rFonts w:cs="Times New Roman"/>
          <w:bCs/>
          <w:szCs w:val="24"/>
        </w:rPr>
        <w:t>（</w:t>
      </w:r>
      <w:r w:rsidRPr="0081478A">
        <w:rPr>
          <w:rFonts w:cs="Times New Roman"/>
          <w:bCs/>
          <w:szCs w:val="24"/>
        </w:rPr>
        <w:t>2015</w:t>
      </w:r>
      <w:r w:rsidRPr="0081478A">
        <w:rPr>
          <w:rFonts w:cs="Times New Roman"/>
          <w:bCs/>
          <w:szCs w:val="24"/>
        </w:rPr>
        <w:t>年版）</w:t>
      </w:r>
      <w:r w:rsidRPr="0081478A">
        <w:rPr>
          <w:rFonts w:cs="Times New Roman"/>
          <w:bCs/>
          <w:szCs w:val="24"/>
        </w:rPr>
        <w:t>8.2.1</w:t>
      </w:r>
      <w:r w:rsidRPr="0081478A">
        <w:rPr>
          <w:rFonts w:cs="Times New Roman"/>
          <w:bCs/>
          <w:szCs w:val="24"/>
        </w:rPr>
        <w:t>条，结合建筑的环境类别及作用等级，具体采用提高钢筋保护层厚度。当采用提高钢筋保护层厚度时，保护层厚度增加值不应小于</w:t>
      </w:r>
      <w:r w:rsidRPr="0081478A">
        <w:rPr>
          <w:rFonts w:cs="Times New Roman"/>
          <w:bCs/>
          <w:szCs w:val="24"/>
        </w:rPr>
        <w:t>5mm</w:t>
      </w:r>
      <w:r w:rsidRPr="0081478A">
        <w:rPr>
          <w:rFonts w:cs="Times New Roman"/>
          <w:bCs/>
          <w:szCs w:val="24"/>
        </w:rPr>
        <w:t>。当采用高耐久混凝土时，使用部位包括基础、竖向构件、水平构件及构架。</w:t>
      </w:r>
    </w:p>
    <w:p w14:paraId="2950BD5F" w14:textId="77777777" w:rsidR="006677FB" w:rsidRPr="0081478A" w:rsidRDefault="006677FB" w:rsidP="006677FB">
      <w:pPr>
        <w:ind w:firstLine="420"/>
        <w:jc w:val="left"/>
        <w:rPr>
          <w:rFonts w:cs="Times New Roman"/>
          <w:bCs/>
          <w:szCs w:val="24"/>
        </w:rPr>
      </w:pPr>
      <w:r w:rsidRPr="0081478A">
        <w:rPr>
          <w:rFonts w:cs="Times New Roman"/>
          <w:bCs/>
          <w:szCs w:val="24"/>
        </w:rPr>
        <w:t>2</w:t>
      </w:r>
      <w:r w:rsidRPr="0081478A">
        <w:rPr>
          <w:rFonts w:cs="Times New Roman"/>
          <w:bCs/>
          <w:szCs w:val="24"/>
        </w:rPr>
        <w:t>）耐候结构钢是指符合现行国家标准《耐候结构钢》</w:t>
      </w:r>
      <w:r w:rsidRPr="0081478A">
        <w:rPr>
          <w:rFonts w:cs="Times New Roman"/>
          <w:bCs/>
          <w:szCs w:val="24"/>
        </w:rPr>
        <w:t>GB/T 4171</w:t>
      </w:r>
      <w:r w:rsidRPr="0081478A">
        <w:rPr>
          <w:rFonts w:cs="Times New Roman"/>
          <w:bCs/>
          <w:szCs w:val="24"/>
        </w:rPr>
        <w:t>要求的钢材；耐候型防腐涂料是指符合现行行业标准《建筑用钢结构防腐涂料》</w:t>
      </w:r>
      <w:r w:rsidRPr="0081478A">
        <w:rPr>
          <w:rFonts w:cs="Times New Roman"/>
          <w:bCs/>
          <w:szCs w:val="24"/>
        </w:rPr>
        <w:t>JG/T 224</w:t>
      </w:r>
      <w:r w:rsidRPr="0081478A">
        <w:rPr>
          <w:rFonts w:cs="Times New Roman"/>
          <w:bCs/>
          <w:szCs w:val="24"/>
        </w:rPr>
        <w:t>的</w:t>
      </w:r>
      <w:r w:rsidRPr="0081478A">
        <w:rPr>
          <w:rFonts w:cs="Times New Roman"/>
          <w:bCs/>
          <w:szCs w:val="24"/>
        </w:rPr>
        <w:t>II</w:t>
      </w:r>
      <w:r w:rsidRPr="0081478A">
        <w:rPr>
          <w:rFonts w:cs="Times New Roman"/>
          <w:bCs/>
          <w:szCs w:val="24"/>
        </w:rPr>
        <w:t>型面漆和长效型底漆。</w:t>
      </w:r>
    </w:p>
    <w:p w14:paraId="197DA760" w14:textId="77777777" w:rsidR="006677FB" w:rsidRPr="0081478A" w:rsidRDefault="006677FB" w:rsidP="006677FB">
      <w:pPr>
        <w:ind w:firstLine="420"/>
        <w:jc w:val="left"/>
        <w:rPr>
          <w:rFonts w:cs="Times New Roman"/>
          <w:bCs/>
          <w:szCs w:val="24"/>
        </w:rPr>
      </w:pPr>
      <w:r w:rsidRPr="0081478A">
        <w:rPr>
          <w:rFonts w:cs="Times New Roman"/>
          <w:bCs/>
          <w:szCs w:val="24"/>
        </w:rPr>
        <w:t>3</w:t>
      </w:r>
      <w:r w:rsidRPr="0081478A">
        <w:rPr>
          <w:rFonts w:cs="Times New Roman"/>
          <w:bCs/>
          <w:szCs w:val="24"/>
        </w:rPr>
        <w:t>）根据《多高层木结构建筑技术标准》</w:t>
      </w:r>
      <w:r w:rsidRPr="0081478A">
        <w:rPr>
          <w:rFonts w:cs="Times New Roman"/>
          <w:bCs/>
          <w:szCs w:val="24"/>
        </w:rPr>
        <w:t>GB/T 51226-2017</w:t>
      </w:r>
      <w:r w:rsidRPr="0081478A">
        <w:rPr>
          <w:rFonts w:cs="Times New Roman"/>
          <w:bCs/>
          <w:szCs w:val="24"/>
        </w:rPr>
        <w:t>，多高层木结构建筑采用的结构木材可分为方木、原木、规格材、层板胶合木、正交胶合木、结构复合木材、木基结构板材以及其他结构用锯材，其材质等级应符合现行国家标准《木结构设计标准》</w:t>
      </w:r>
      <w:r w:rsidRPr="0081478A">
        <w:rPr>
          <w:rFonts w:cs="Times New Roman"/>
          <w:bCs/>
          <w:szCs w:val="24"/>
        </w:rPr>
        <w:t>GB 50005</w:t>
      </w:r>
      <w:r w:rsidRPr="0081478A">
        <w:rPr>
          <w:rFonts w:cs="Times New Roman"/>
          <w:bCs/>
          <w:szCs w:val="24"/>
        </w:rPr>
        <w:t>的有关规定。</w:t>
      </w:r>
    </w:p>
    <w:p w14:paraId="048ADAC1" w14:textId="77777777" w:rsidR="00715ABB" w:rsidRPr="006C79E9" w:rsidRDefault="00F44390" w:rsidP="006C79E9">
      <w:pPr>
        <w:pStyle w:val="20"/>
      </w:pPr>
      <w:r w:rsidRPr="0081478A">
        <w:t>【评价方法】</w:t>
      </w:r>
    </w:p>
    <w:p w14:paraId="78F5427C" w14:textId="77777777" w:rsidR="0084444F" w:rsidRPr="00530A11" w:rsidRDefault="0084444F" w:rsidP="0084444F">
      <w:pPr>
        <w:ind w:firstLine="420"/>
        <w:jc w:val="left"/>
        <w:rPr>
          <w:rFonts w:cs="Times New Roman"/>
          <w:szCs w:val="24"/>
        </w:rPr>
      </w:pPr>
      <w:r w:rsidRPr="00530A11">
        <w:rPr>
          <w:rFonts w:cs="Times New Roman"/>
          <w:szCs w:val="24"/>
        </w:rPr>
        <w:t>预评价查阅相关设计文件；评价查阅相关竣工图及检测检验报告、材料用量计算书、材料决算清单，查看施工过程影像资料。</w:t>
      </w:r>
    </w:p>
    <w:p w14:paraId="62EA0779" w14:textId="77777777" w:rsidR="00715ABB" w:rsidRPr="0084444F" w:rsidRDefault="00715ABB">
      <w:pPr>
        <w:snapToGrid w:val="0"/>
        <w:ind w:firstLine="420"/>
        <w:jc w:val="left"/>
        <w:rPr>
          <w:rFonts w:cs="Times New Roman"/>
          <w:szCs w:val="24"/>
        </w:rPr>
      </w:pPr>
    </w:p>
    <w:p w14:paraId="3246257A" w14:textId="77777777" w:rsidR="006A6F67" w:rsidRPr="00530A11" w:rsidRDefault="006A6F67" w:rsidP="006A6F67">
      <w:pPr>
        <w:pStyle w:val="4"/>
        <w:rPr>
          <w:rFonts w:cs="Times New Roman"/>
          <w:bCs w:val="0"/>
        </w:rPr>
      </w:pPr>
      <w:bookmarkStart w:id="62" w:name="_Hlk20680267"/>
      <w:r w:rsidRPr="00530A11">
        <w:rPr>
          <w:rFonts w:cs="Times New Roman"/>
          <w:bCs w:val="0"/>
        </w:rPr>
        <w:t xml:space="preserve">4.2.9 </w:t>
      </w:r>
      <w:bookmarkEnd w:id="62"/>
      <w:r w:rsidRPr="00530A11">
        <w:rPr>
          <w:rFonts w:cs="Times New Roman"/>
          <w:bCs w:val="0"/>
        </w:rPr>
        <w:t>合理采用耐久性好、易维护的装饰装修建筑材料，评价总分值为</w:t>
      </w:r>
      <w:r w:rsidRPr="00530A11">
        <w:rPr>
          <w:rFonts w:cs="Times New Roman"/>
          <w:bCs w:val="0"/>
        </w:rPr>
        <w:t>9</w:t>
      </w:r>
      <w:r w:rsidRPr="00530A11">
        <w:rPr>
          <w:rFonts w:cs="Times New Roman"/>
          <w:bCs w:val="0"/>
        </w:rPr>
        <w:t>分，并按下列规则分别评分并累计：</w:t>
      </w:r>
    </w:p>
    <w:p w14:paraId="481893C2" w14:textId="77777777" w:rsidR="006A6F67" w:rsidRPr="006A6F67" w:rsidRDefault="006A6F67" w:rsidP="00F83296">
      <w:pPr>
        <w:snapToGrid w:val="0"/>
        <w:ind w:firstLineChars="94" w:firstLine="198"/>
        <w:jc w:val="left"/>
        <w:rPr>
          <w:rFonts w:cs="Times New Roman"/>
          <w:b/>
          <w:bCs/>
          <w:szCs w:val="24"/>
        </w:rPr>
      </w:pPr>
      <w:r w:rsidRPr="006A6F67">
        <w:rPr>
          <w:rFonts w:cs="Times New Roman"/>
          <w:b/>
          <w:bCs/>
          <w:szCs w:val="24"/>
        </w:rPr>
        <w:t xml:space="preserve">1 </w:t>
      </w:r>
      <w:r w:rsidRPr="006A6F67">
        <w:rPr>
          <w:rFonts w:cs="Times New Roman"/>
          <w:b/>
          <w:bCs/>
          <w:szCs w:val="24"/>
        </w:rPr>
        <w:t>采用耐久性好的外饰面材料，得</w:t>
      </w:r>
      <w:r w:rsidRPr="006A6F67">
        <w:rPr>
          <w:rFonts w:cs="Times New Roman"/>
          <w:b/>
          <w:bCs/>
          <w:szCs w:val="24"/>
        </w:rPr>
        <w:t>3</w:t>
      </w:r>
      <w:r w:rsidRPr="006A6F67">
        <w:rPr>
          <w:rFonts w:cs="Times New Roman"/>
          <w:b/>
          <w:bCs/>
          <w:szCs w:val="24"/>
        </w:rPr>
        <w:t>分；</w:t>
      </w:r>
    </w:p>
    <w:p w14:paraId="71E95C87" w14:textId="77777777" w:rsidR="006A6F67" w:rsidRPr="006A6F67" w:rsidRDefault="006A6F67" w:rsidP="00F83296">
      <w:pPr>
        <w:snapToGrid w:val="0"/>
        <w:ind w:firstLineChars="94" w:firstLine="198"/>
        <w:jc w:val="left"/>
        <w:rPr>
          <w:rFonts w:cs="Times New Roman"/>
          <w:b/>
          <w:bCs/>
          <w:szCs w:val="24"/>
        </w:rPr>
      </w:pPr>
      <w:r w:rsidRPr="006A6F67">
        <w:rPr>
          <w:rFonts w:cs="Times New Roman"/>
          <w:b/>
          <w:bCs/>
          <w:szCs w:val="24"/>
        </w:rPr>
        <w:t xml:space="preserve">2 </w:t>
      </w:r>
      <w:r w:rsidRPr="006A6F67">
        <w:rPr>
          <w:rFonts w:cs="Times New Roman"/>
          <w:b/>
          <w:bCs/>
          <w:szCs w:val="24"/>
        </w:rPr>
        <w:t>采用耐久性好的防水和密封材料，得</w:t>
      </w:r>
      <w:r w:rsidRPr="006A6F67">
        <w:rPr>
          <w:rFonts w:cs="Times New Roman"/>
          <w:b/>
          <w:bCs/>
          <w:szCs w:val="24"/>
        </w:rPr>
        <w:t>3</w:t>
      </w:r>
      <w:r w:rsidRPr="006A6F67">
        <w:rPr>
          <w:rFonts w:cs="Times New Roman"/>
          <w:b/>
          <w:bCs/>
          <w:szCs w:val="24"/>
        </w:rPr>
        <w:t>分；</w:t>
      </w:r>
    </w:p>
    <w:p w14:paraId="208FAC31" w14:textId="77777777" w:rsidR="006A6F67" w:rsidRPr="006A6F67" w:rsidRDefault="006A6F67" w:rsidP="00F83296">
      <w:pPr>
        <w:snapToGrid w:val="0"/>
        <w:ind w:firstLineChars="94" w:firstLine="198"/>
        <w:jc w:val="left"/>
        <w:rPr>
          <w:rFonts w:cs="Times New Roman"/>
          <w:b/>
          <w:bCs/>
          <w:szCs w:val="24"/>
        </w:rPr>
      </w:pPr>
      <w:r w:rsidRPr="006A6F67">
        <w:rPr>
          <w:rFonts w:cs="Times New Roman"/>
          <w:b/>
          <w:bCs/>
          <w:szCs w:val="24"/>
        </w:rPr>
        <w:t xml:space="preserve">3 </w:t>
      </w:r>
      <w:r w:rsidRPr="006A6F67">
        <w:rPr>
          <w:rFonts w:cs="Times New Roman"/>
          <w:b/>
          <w:bCs/>
          <w:szCs w:val="24"/>
        </w:rPr>
        <w:t>采用耐久性好、易维护的室内装饰装修材料，得</w:t>
      </w:r>
      <w:r w:rsidRPr="006A6F67">
        <w:rPr>
          <w:rFonts w:cs="Times New Roman"/>
          <w:b/>
          <w:bCs/>
          <w:szCs w:val="24"/>
        </w:rPr>
        <w:t>3</w:t>
      </w:r>
      <w:r w:rsidRPr="006A6F67">
        <w:rPr>
          <w:rFonts w:cs="Times New Roman"/>
          <w:b/>
          <w:bCs/>
          <w:szCs w:val="24"/>
        </w:rPr>
        <w:t>分。</w:t>
      </w:r>
    </w:p>
    <w:p w14:paraId="07BECCB9" w14:textId="77777777" w:rsidR="00715ABB" w:rsidRPr="0081478A" w:rsidRDefault="00F44390" w:rsidP="006C79E9">
      <w:pPr>
        <w:pStyle w:val="20"/>
      </w:pPr>
      <w:r w:rsidRPr="0081478A">
        <w:t>【条文说明】</w:t>
      </w:r>
    </w:p>
    <w:p w14:paraId="13E7B984" w14:textId="77777777" w:rsidR="002C09A7" w:rsidRPr="00530A11" w:rsidRDefault="002C09A7" w:rsidP="002C09A7">
      <w:pPr>
        <w:ind w:firstLine="420"/>
      </w:pPr>
      <w:r w:rsidRPr="00530A11">
        <w:t>本条适用于各类民用建筑的预评价、评价。</w:t>
      </w:r>
    </w:p>
    <w:p w14:paraId="55FA902A" w14:textId="77777777" w:rsidR="00964656" w:rsidRPr="00530A11" w:rsidRDefault="00964656" w:rsidP="00964656">
      <w:pPr>
        <w:ind w:firstLine="420"/>
        <w:rPr>
          <w:rFonts w:cs="Times New Roman"/>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szCs w:val="24"/>
        </w:rPr>
        <w:t>7.2.1</w:t>
      </w:r>
      <w:r>
        <w:rPr>
          <w:rFonts w:cs="Times New Roman"/>
          <w:szCs w:val="24"/>
        </w:rPr>
        <w:t>4</w:t>
      </w:r>
      <w:r w:rsidRPr="00530A11">
        <w:rPr>
          <w:rFonts w:cs="Times New Roman"/>
        </w:rPr>
        <w:t>条，地方标准</w:t>
      </w:r>
      <w:r w:rsidRPr="00530A11">
        <w:rPr>
          <w:rFonts w:cs="Times New Roman"/>
        </w:rPr>
        <w:t>2014</w:t>
      </w:r>
      <w:r w:rsidRPr="00530A11">
        <w:rPr>
          <w:rFonts w:cs="Times New Roman"/>
        </w:rPr>
        <w:t>版</w:t>
      </w:r>
      <w:r w:rsidRPr="00530A11">
        <w:rPr>
          <w:rFonts w:cs="Times New Roman"/>
          <w:szCs w:val="24"/>
        </w:rPr>
        <w:t>7.2.1</w:t>
      </w:r>
      <w:r>
        <w:rPr>
          <w:rFonts w:cs="Times New Roman"/>
          <w:szCs w:val="24"/>
        </w:rPr>
        <w:t>3</w:t>
      </w:r>
      <w:r w:rsidRPr="00530A11">
        <w:rPr>
          <w:rFonts w:cs="Times New Roman"/>
        </w:rPr>
        <w:t>条的基础上发展而来。</w:t>
      </w:r>
    </w:p>
    <w:p w14:paraId="23B886C4" w14:textId="18B757EB" w:rsidR="0028100F" w:rsidRDefault="0028100F" w:rsidP="002C09A7">
      <w:pPr>
        <w:ind w:rightChars="-24" w:right="-50" w:firstLine="420"/>
        <w:jc w:val="left"/>
        <w:rPr>
          <w:rFonts w:cs="Times New Roman"/>
        </w:rPr>
      </w:pPr>
      <w:bookmarkStart w:id="63" w:name="_Hlk39413488"/>
      <w:r>
        <w:rPr>
          <w:rFonts w:cs="Times New Roman" w:hint="eastAsia"/>
        </w:rPr>
        <w:t>第</w:t>
      </w:r>
      <w:r>
        <w:rPr>
          <w:rFonts w:cs="Times New Roman" w:hint="eastAsia"/>
        </w:rPr>
        <w:t>1</w:t>
      </w:r>
      <w:r>
        <w:rPr>
          <w:rFonts w:cs="Times New Roman" w:hint="eastAsia"/>
        </w:rPr>
        <w:t>款外饰面材料，包括水性氟涂料或耐候性相当的涂料，选用耐久性与建筑幕墙设计年限相匹配的饰面材料，合理采用清水混凝土等。本土鼓励项目结合实际情况合理使用清水混凝土。采用水性氟涂料或耐候性相当的涂料耐候性应符合行业标准《建筑用水性氟涂料》</w:t>
      </w:r>
      <w:r>
        <w:rPr>
          <w:rFonts w:cs="Times New Roman" w:hint="eastAsia"/>
        </w:rPr>
        <w:t>H</w:t>
      </w:r>
      <w:r>
        <w:rPr>
          <w:rFonts w:cs="Times New Roman"/>
        </w:rPr>
        <w:t>G/T4104-2009</w:t>
      </w:r>
      <w:r>
        <w:rPr>
          <w:rFonts w:cs="Times New Roman" w:hint="eastAsia"/>
        </w:rPr>
        <w:t>的优等品的要求。</w:t>
      </w:r>
    </w:p>
    <w:bookmarkEnd w:id="63"/>
    <w:p w14:paraId="02BA08C2" w14:textId="327092B2" w:rsidR="002C09A7" w:rsidRPr="00530A11" w:rsidRDefault="002C09A7" w:rsidP="002C09A7">
      <w:pPr>
        <w:ind w:rightChars="-24" w:right="-50" w:firstLine="420"/>
        <w:jc w:val="left"/>
        <w:rPr>
          <w:rFonts w:cs="Times New Roman"/>
        </w:rPr>
      </w:pPr>
      <w:r w:rsidRPr="00530A11">
        <w:rPr>
          <w:rFonts w:cs="Times New Roman"/>
        </w:rPr>
        <w:t>第</w:t>
      </w:r>
      <w:r w:rsidRPr="00530A11">
        <w:rPr>
          <w:rFonts w:cs="Times New Roman"/>
        </w:rPr>
        <w:t>2</w:t>
      </w:r>
      <w:r w:rsidRPr="00530A11">
        <w:rPr>
          <w:rFonts w:cs="Times New Roman"/>
        </w:rPr>
        <w:t>款防水和密封材料，满足国家标准《绿色产品评价</w:t>
      </w:r>
      <w:r w:rsidRPr="00530A11">
        <w:rPr>
          <w:rFonts w:cs="Times New Roman"/>
        </w:rPr>
        <w:t xml:space="preserve"> </w:t>
      </w:r>
      <w:r w:rsidRPr="00530A11">
        <w:rPr>
          <w:rFonts w:cs="Times New Roman"/>
        </w:rPr>
        <w:t>防水与密封材料》</w:t>
      </w:r>
      <w:r w:rsidRPr="00530A11">
        <w:rPr>
          <w:rFonts w:cs="Times New Roman"/>
        </w:rPr>
        <w:t>GB/T 35609-2017</w:t>
      </w:r>
      <w:r w:rsidRPr="00530A11">
        <w:rPr>
          <w:rFonts w:cs="Times New Roman"/>
        </w:rPr>
        <w:t>对于沥青基防水卷材、高分子防水卷材、防水涂料、密封胶的耐久性要求，或满足</w:t>
      </w:r>
      <w:bookmarkStart w:id="64" w:name="_Hlk34051032"/>
      <w:r w:rsidRPr="00530A11">
        <w:rPr>
          <w:rFonts w:cs="Times New Roman"/>
        </w:rPr>
        <w:t>住建部《绿色建材评价标准》</w:t>
      </w:r>
      <w:r w:rsidRPr="00530A11">
        <w:rPr>
          <w:rFonts w:cs="Times New Roman"/>
        </w:rPr>
        <w:t>T/CECS</w:t>
      </w:r>
      <w:r w:rsidRPr="00530A11">
        <w:rPr>
          <w:rFonts w:cs="Times New Roman"/>
        </w:rPr>
        <w:t>和重庆市《绿色建材评价标准》</w:t>
      </w:r>
      <w:r w:rsidRPr="00530A11">
        <w:rPr>
          <w:rFonts w:cs="Times New Roman"/>
        </w:rPr>
        <w:t>DBJ50/T-230</w:t>
      </w:r>
      <w:bookmarkEnd w:id="64"/>
      <w:r w:rsidRPr="00530A11">
        <w:rPr>
          <w:rFonts w:cs="Times New Roman"/>
        </w:rPr>
        <w:t>对于沥青基防水卷材、高分子防水卷材、防水涂料、密封胶的耐久性要求。</w:t>
      </w:r>
    </w:p>
    <w:p w14:paraId="48D81574" w14:textId="77777777" w:rsidR="0028100F" w:rsidRDefault="002C09A7" w:rsidP="002C09A7">
      <w:pPr>
        <w:ind w:firstLine="420"/>
        <w:jc w:val="left"/>
        <w:rPr>
          <w:rFonts w:cs="Times New Roman"/>
          <w:szCs w:val="24"/>
        </w:rPr>
      </w:pPr>
      <w:r w:rsidRPr="00530A11">
        <w:rPr>
          <w:rFonts w:cs="Times New Roman"/>
        </w:rPr>
        <w:t>第</w:t>
      </w:r>
      <w:r w:rsidRPr="00530A11">
        <w:rPr>
          <w:rFonts w:cs="Times New Roman"/>
        </w:rPr>
        <w:t>3</w:t>
      </w:r>
      <w:r w:rsidRPr="00530A11">
        <w:rPr>
          <w:rFonts w:cs="Times New Roman"/>
        </w:rPr>
        <w:t>款</w:t>
      </w:r>
      <w:r w:rsidRPr="00530A11">
        <w:rPr>
          <w:rFonts w:cs="Times New Roman"/>
          <w:szCs w:val="24"/>
        </w:rPr>
        <w:t>为了保持建筑物的风格、视觉效果和人居环境，装饰装修材料在一定使用年限后会进行更新替换。如果使用易沾污、难维护及耐久性差的装饰装修材料或做法，则会在一定程度上增加建筑物的维护成本，且施工也会带来有毒有害物质的排放、粉尘及噪声等问题。</w:t>
      </w:r>
    </w:p>
    <w:p w14:paraId="35EEB6A5" w14:textId="4CB4A2D8" w:rsidR="002C09A7" w:rsidRPr="00530A11" w:rsidRDefault="002C09A7" w:rsidP="002C09A7">
      <w:pPr>
        <w:ind w:firstLine="420"/>
        <w:jc w:val="left"/>
        <w:rPr>
          <w:rFonts w:cs="Times New Roman"/>
          <w:szCs w:val="24"/>
        </w:rPr>
      </w:pPr>
      <w:r w:rsidRPr="00530A11">
        <w:rPr>
          <w:rFonts w:cs="Times New Roman"/>
          <w:szCs w:val="24"/>
        </w:rPr>
        <w:t>对采用耐久性好的装饰装修材料评价内容举例如表</w:t>
      </w:r>
      <w:r w:rsidRPr="00530A11">
        <w:rPr>
          <w:rFonts w:cs="Times New Roman"/>
          <w:szCs w:val="24"/>
        </w:rPr>
        <w:t>2</w:t>
      </w:r>
      <w:r w:rsidRPr="00530A11">
        <w:rPr>
          <w:rFonts w:cs="Times New Roman"/>
          <w:szCs w:val="24"/>
        </w:rPr>
        <w:t>。</w:t>
      </w:r>
    </w:p>
    <w:p w14:paraId="21E1AC51"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 xml:space="preserve">2 </w:t>
      </w:r>
      <w:r w:rsidRPr="00530A11">
        <w:rPr>
          <w:rFonts w:cs="Times New Roman"/>
          <w:b w:val="0"/>
        </w:rPr>
        <w:t>采用耐久性好的装饰装修材料评价内容</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41"/>
        <w:gridCol w:w="4161"/>
      </w:tblGrid>
      <w:tr w:rsidR="002C09A7" w:rsidRPr="00530A11" w14:paraId="08001224" w14:textId="77777777" w:rsidTr="00F83296">
        <w:trPr>
          <w:jc w:val="center"/>
        </w:trPr>
        <w:tc>
          <w:tcPr>
            <w:tcW w:w="4141" w:type="dxa"/>
            <w:vAlign w:val="center"/>
          </w:tcPr>
          <w:p w14:paraId="699C57C5" w14:textId="77777777" w:rsidR="002C09A7" w:rsidRPr="00530A11" w:rsidRDefault="002C09A7" w:rsidP="00C060F4">
            <w:pPr>
              <w:pStyle w:val="ae"/>
              <w:rPr>
                <w:rFonts w:cs="Times New Roman"/>
                <w:b w:val="0"/>
              </w:rPr>
            </w:pPr>
            <w:r w:rsidRPr="00530A11">
              <w:rPr>
                <w:rFonts w:cs="Times New Roman"/>
                <w:b w:val="0"/>
              </w:rPr>
              <w:t>分类</w:t>
            </w:r>
          </w:p>
        </w:tc>
        <w:tc>
          <w:tcPr>
            <w:tcW w:w="4161" w:type="dxa"/>
            <w:vAlign w:val="center"/>
          </w:tcPr>
          <w:p w14:paraId="2DE0112F" w14:textId="77777777" w:rsidR="002C09A7" w:rsidRPr="00530A11" w:rsidRDefault="002C09A7" w:rsidP="00C060F4">
            <w:pPr>
              <w:pStyle w:val="ae"/>
              <w:rPr>
                <w:rFonts w:cs="Times New Roman"/>
                <w:b w:val="0"/>
              </w:rPr>
            </w:pPr>
            <w:r w:rsidRPr="00530A11">
              <w:rPr>
                <w:rFonts w:cs="Times New Roman"/>
                <w:b w:val="0"/>
              </w:rPr>
              <w:t>评价内容</w:t>
            </w:r>
          </w:p>
        </w:tc>
      </w:tr>
      <w:tr w:rsidR="002C09A7" w:rsidRPr="00530A11" w14:paraId="51EF55C7" w14:textId="77777777" w:rsidTr="00F83296">
        <w:trPr>
          <w:jc w:val="center"/>
        </w:trPr>
        <w:tc>
          <w:tcPr>
            <w:tcW w:w="4141" w:type="dxa"/>
            <w:vMerge w:val="restart"/>
            <w:vAlign w:val="center"/>
          </w:tcPr>
          <w:p w14:paraId="05C4AF4C" w14:textId="77777777" w:rsidR="002C09A7" w:rsidRPr="00530A11" w:rsidRDefault="002C09A7" w:rsidP="00C060F4">
            <w:pPr>
              <w:pStyle w:val="ae"/>
              <w:rPr>
                <w:rFonts w:cs="Times New Roman"/>
                <w:b w:val="0"/>
              </w:rPr>
            </w:pPr>
            <w:r w:rsidRPr="00530A11">
              <w:rPr>
                <w:rFonts w:cs="Times New Roman"/>
                <w:b w:val="0"/>
              </w:rPr>
              <w:t>外饰面材料</w:t>
            </w:r>
          </w:p>
        </w:tc>
        <w:tc>
          <w:tcPr>
            <w:tcW w:w="4161" w:type="dxa"/>
            <w:vAlign w:val="center"/>
          </w:tcPr>
          <w:p w14:paraId="65859D45" w14:textId="77777777" w:rsidR="002C09A7" w:rsidRPr="00530A11" w:rsidRDefault="002C09A7" w:rsidP="00C060F4">
            <w:pPr>
              <w:pStyle w:val="ae"/>
              <w:rPr>
                <w:rFonts w:cs="Times New Roman"/>
                <w:b w:val="0"/>
              </w:rPr>
            </w:pPr>
            <w:r w:rsidRPr="00530A11">
              <w:rPr>
                <w:rFonts w:cs="Times New Roman"/>
                <w:b w:val="0"/>
              </w:rPr>
              <w:t>采用水性氟涂料或耐候性相当的涂料</w:t>
            </w:r>
          </w:p>
        </w:tc>
      </w:tr>
      <w:tr w:rsidR="002C09A7" w:rsidRPr="00530A11" w14:paraId="3A332890" w14:textId="77777777" w:rsidTr="00F83296">
        <w:trPr>
          <w:jc w:val="center"/>
        </w:trPr>
        <w:tc>
          <w:tcPr>
            <w:tcW w:w="4141" w:type="dxa"/>
            <w:vMerge/>
            <w:vAlign w:val="center"/>
          </w:tcPr>
          <w:p w14:paraId="65BA9AD8" w14:textId="77777777" w:rsidR="002C09A7" w:rsidRPr="00530A11" w:rsidRDefault="002C09A7" w:rsidP="00C060F4">
            <w:pPr>
              <w:pStyle w:val="ae"/>
              <w:rPr>
                <w:rFonts w:cs="Times New Roman"/>
                <w:b w:val="0"/>
              </w:rPr>
            </w:pPr>
          </w:p>
        </w:tc>
        <w:tc>
          <w:tcPr>
            <w:tcW w:w="4161" w:type="dxa"/>
            <w:vAlign w:val="center"/>
          </w:tcPr>
          <w:p w14:paraId="42D32B5B" w14:textId="77777777" w:rsidR="002C09A7" w:rsidRPr="00530A11" w:rsidRDefault="002C09A7" w:rsidP="00C060F4">
            <w:pPr>
              <w:pStyle w:val="ae"/>
              <w:rPr>
                <w:rFonts w:cs="Times New Roman"/>
                <w:b w:val="0"/>
              </w:rPr>
            </w:pPr>
            <w:r w:rsidRPr="00530A11">
              <w:rPr>
                <w:rFonts w:cs="Times New Roman"/>
                <w:b w:val="0"/>
              </w:rPr>
              <w:t>选用耐久性与建筑幕墙设计年限相匹配的饰面材料</w:t>
            </w:r>
          </w:p>
        </w:tc>
      </w:tr>
      <w:tr w:rsidR="002C09A7" w:rsidRPr="00530A11" w14:paraId="5AEB695C" w14:textId="77777777" w:rsidTr="00F83296">
        <w:trPr>
          <w:jc w:val="center"/>
        </w:trPr>
        <w:tc>
          <w:tcPr>
            <w:tcW w:w="4141" w:type="dxa"/>
            <w:vMerge/>
            <w:vAlign w:val="center"/>
          </w:tcPr>
          <w:p w14:paraId="57A7E25F" w14:textId="77777777" w:rsidR="002C09A7" w:rsidRPr="00530A11" w:rsidRDefault="002C09A7" w:rsidP="00C060F4">
            <w:pPr>
              <w:pStyle w:val="ae"/>
              <w:rPr>
                <w:rFonts w:cs="Times New Roman"/>
                <w:b w:val="0"/>
              </w:rPr>
            </w:pPr>
          </w:p>
        </w:tc>
        <w:tc>
          <w:tcPr>
            <w:tcW w:w="4161" w:type="dxa"/>
            <w:vAlign w:val="center"/>
          </w:tcPr>
          <w:p w14:paraId="5EA429FB" w14:textId="77777777" w:rsidR="002C09A7" w:rsidRPr="00530A11" w:rsidRDefault="002C09A7" w:rsidP="00C060F4">
            <w:pPr>
              <w:pStyle w:val="ae"/>
              <w:rPr>
                <w:rFonts w:cs="Times New Roman"/>
                <w:b w:val="0"/>
              </w:rPr>
            </w:pPr>
            <w:r w:rsidRPr="00530A11">
              <w:rPr>
                <w:rFonts w:cs="Times New Roman"/>
                <w:b w:val="0"/>
              </w:rPr>
              <w:t>合理采用清水混凝土</w:t>
            </w:r>
          </w:p>
        </w:tc>
      </w:tr>
      <w:tr w:rsidR="002C09A7" w:rsidRPr="00530A11" w14:paraId="68AC7BCF" w14:textId="77777777" w:rsidTr="00F83296">
        <w:trPr>
          <w:jc w:val="center"/>
        </w:trPr>
        <w:tc>
          <w:tcPr>
            <w:tcW w:w="4141" w:type="dxa"/>
            <w:vAlign w:val="center"/>
          </w:tcPr>
          <w:p w14:paraId="1435CCD6" w14:textId="77777777" w:rsidR="002C09A7" w:rsidRPr="00530A11" w:rsidRDefault="002C09A7" w:rsidP="00C060F4">
            <w:pPr>
              <w:pStyle w:val="ae"/>
              <w:rPr>
                <w:rFonts w:cs="Times New Roman"/>
                <w:b w:val="0"/>
              </w:rPr>
            </w:pPr>
            <w:r w:rsidRPr="00530A11">
              <w:rPr>
                <w:rFonts w:cs="Times New Roman"/>
                <w:b w:val="0"/>
              </w:rPr>
              <w:t>防水和密封</w:t>
            </w:r>
          </w:p>
        </w:tc>
        <w:tc>
          <w:tcPr>
            <w:tcW w:w="4161" w:type="dxa"/>
            <w:vAlign w:val="center"/>
          </w:tcPr>
          <w:p w14:paraId="6EFFDC1F" w14:textId="77777777" w:rsidR="002C09A7" w:rsidRPr="00530A11" w:rsidRDefault="002C09A7" w:rsidP="00C060F4">
            <w:pPr>
              <w:pStyle w:val="ae"/>
              <w:rPr>
                <w:rFonts w:cs="Times New Roman"/>
                <w:b w:val="0"/>
              </w:rPr>
            </w:pPr>
            <w:r w:rsidRPr="00530A11">
              <w:rPr>
                <w:rFonts w:cs="Times New Roman"/>
                <w:b w:val="0"/>
              </w:rPr>
              <w:t>选用耐久性符合现行国家标准《绿色产品评</w:t>
            </w:r>
            <w:r w:rsidRPr="00530A11">
              <w:rPr>
                <w:rFonts w:cs="Times New Roman"/>
                <w:b w:val="0"/>
              </w:rPr>
              <w:lastRenderedPageBreak/>
              <w:t>价</w:t>
            </w:r>
            <w:r w:rsidRPr="00530A11">
              <w:rPr>
                <w:rFonts w:cs="Times New Roman"/>
                <w:b w:val="0"/>
              </w:rPr>
              <w:t xml:space="preserve"> </w:t>
            </w:r>
            <w:r w:rsidRPr="00530A11">
              <w:rPr>
                <w:rFonts w:cs="Times New Roman"/>
                <w:b w:val="0"/>
              </w:rPr>
              <w:t>防水与密封材料》</w:t>
            </w:r>
            <w:r w:rsidRPr="00530A11">
              <w:rPr>
                <w:rFonts w:cs="Times New Roman"/>
                <w:b w:val="0"/>
              </w:rPr>
              <w:t>GB/T 35609-2017</w:t>
            </w:r>
            <w:r w:rsidRPr="00530A11">
              <w:rPr>
                <w:rFonts w:cs="Times New Roman"/>
                <w:b w:val="0"/>
              </w:rPr>
              <w:t>或符合住建部《绿色建材评价标准》</w:t>
            </w:r>
            <w:r w:rsidRPr="00530A11">
              <w:rPr>
                <w:rFonts w:cs="Times New Roman"/>
                <w:b w:val="0"/>
              </w:rPr>
              <w:t>T/CECS</w:t>
            </w:r>
            <w:r w:rsidRPr="00530A11">
              <w:rPr>
                <w:rFonts w:cs="Times New Roman"/>
                <w:b w:val="0"/>
              </w:rPr>
              <w:t>和重庆市《绿色建材评价标准》</w:t>
            </w:r>
            <w:r w:rsidRPr="00530A11">
              <w:rPr>
                <w:rFonts w:cs="Times New Roman"/>
                <w:b w:val="0"/>
              </w:rPr>
              <w:t>DBJ50/T-230</w:t>
            </w:r>
            <w:r w:rsidRPr="00530A11">
              <w:rPr>
                <w:rFonts w:cs="Times New Roman"/>
                <w:b w:val="0"/>
              </w:rPr>
              <w:t>规定的材料</w:t>
            </w:r>
          </w:p>
        </w:tc>
      </w:tr>
      <w:tr w:rsidR="002C09A7" w:rsidRPr="00530A11" w14:paraId="4FAC541B" w14:textId="77777777" w:rsidTr="00F83296">
        <w:trPr>
          <w:jc w:val="center"/>
        </w:trPr>
        <w:tc>
          <w:tcPr>
            <w:tcW w:w="4141" w:type="dxa"/>
            <w:vMerge w:val="restart"/>
            <w:vAlign w:val="center"/>
          </w:tcPr>
          <w:p w14:paraId="3C16996E" w14:textId="77777777" w:rsidR="002C09A7" w:rsidRPr="00530A11" w:rsidRDefault="002C09A7" w:rsidP="00C060F4">
            <w:pPr>
              <w:pStyle w:val="ae"/>
              <w:rPr>
                <w:rFonts w:cs="Times New Roman"/>
                <w:b w:val="0"/>
              </w:rPr>
            </w:pPr>
            <w:r w:rsidRPr="00530A11">
              <w:rPr>
                <w:rFonts w:cs="Times New Roman"/>
                <w:b w:val="0"/>
              </w:rPr>
              <w:lastRenderedPageBreak/>
              <w:t>室内装饰装修材料</w:t>
            </w:r>
          </w:p>
        </w:tc>
        <w:tc>
          <w:tcPr>
            <w:tcW w:w="4161" w:type="dxa"/>
            <w:vAlign w:val="center"/>
          </w:tcPr>
          <w:p w14:paraId="4A08D3A6" w14:textId="77777777" w:rsidR="002C09A7" w:rsidRPr="00530A11" w:rsidRDefault="002C09A7" w:rsidP="00C060F4">
            <w:pPr>
              <w:pStyle w:val="ae"/>
              <w:rPr>
                <w:rFonts w:cs="Times New Roman"/>
                <w:b w:val="0"/>
              </w:rPr>
            </w:pPr>
            <w:r w:rsidRPr="00530A11">
              <w:rPr>
                <w:rFonts w:cs="Times New Roman"/>
                <w:b w:val="0"/>
              </w:rPr>
              <w:t>选用耐洗刷性</w:t>
            </w:r>
            <w:r w:rsidRPr="00530A11">
              <w:rPr>
                <w:rFonts w:cs="Times New Roman"/>
                <w:b w:val="0"/>
              </w:rPr>
              <w:t>≥5000</w:t>
            </w:r>
            <w:r w:rsidRPr="00530A11">
              <w:rPr>
                <w:rFonts w:cs="Times New Roman"/>
                <w:b w:val="0"/>
              </w:rPr>
              <w:t>次的内墙涂料</w:t>
            </w:r>
          </w:p>
        </w:tc>
      </w:tr>
      <w:tr w:rsidR="002C09A7" w:rsidRPr="00530A11" w14:paraId="2010860B" w14:textId="77777777" w:rsidTr="00F83296">
        <w:trPr>
          <w:jc w:val="center"/>
        </w:trPr>
        <w:tc>
          <w:tcPr>
            <w:tcW w:w="4141" w:type="dxa"/>
            <w:vMerge/>
            <w:vAlign w:val="center"/>
          </w:tcPr>
          <w:p w14:paraId="2123709E" w14:textId="77777777" w:rsidR="002C09A7" w:rsidRPr="00530A11" w:rsidRDefault="002C09A7" w:rsidP="00C060F4">
            <w:pPr>
              <w:pStyle w:val="ae"/>
              <w:rPr>
                <w:rFonts w:cs="Times New Roman"/>
                <w:b w:val="0"/>
              </w:rPr>
            </w:pPr>
          </w:p>
        </w:tc>
        <w:tc>
          <w:tcPr>
            <w:tcW w:w="4161" w:type="dxa"/>
            <w:vAlign w:val="center"/>
          </w:tcPr>
          <w:p w14:paraId="67A42AF2" w14:textId="77777777" w:rsidR="002C09A7" w:rsidRPr="00530A11" w:rsidRDefault="002C09A7" w:rsidP="00C060F4">
            <w:pPr>
              <w:pStyle w:val="ae"/>
              <w:rPr>
                <w:rFonts w:cs="Times New Roman"/>
                <w:b w:val="0"/>
              </w:rPr>
            </w:pPr>
            <w:r w:rsidRPr="00530A11">
              <w:rPr>
                <w:rFonts w:cs="Times New Roman"/>
                <w:b w:val="0"/>
              </w:rPr>
              <w:t>选用耐磨性好的陶瓷地砖（有釉砖耐磨性不低于</w:t>
            </w:r>
            <w:r w:rsidRPr="00530A11">
              <w:rPr>
                <w:rFonts w:cs="Times New Roman"/>
                <w:b w:val="0"/>
              </w:rPr>
              <w:t>4</w:t>
            </w:r>
            <w:r w:rsidRPr="00530A11">
              <w:rPr>
                <w:rFonts w:cs="Times New Roman"/>
                <w:b w:val="0"/>
              </w:rPr>
              <w:t>级，无釉砖磨坑体积不大于</w:t>
            </w:r>
            <w:r w:rsidRPr="00530A11">
              <w:rPr>
                <w:rFonts w:cs="Times New Roman"/>
                <w:b w:val="0"/>
              </w:rPr>
              <w:t>127mm</w:t>
            </w:r>
            <w:r w:rsidRPr="00530A11">
              <w:rPr>
                <w:rFonts w:cs="Times New Roman"/>
                <w:b w:val="0"/>
                <w:vertAlign w:val="superscript"/>
              </w:rPr>
              <w:t>3</w:t>
            </w:r>
            <w:r w:rsidRPr="00530A11">
              <w:rPr>
                <w:rFonts w:cs="Times New Roman"/>
                <w:b w:val="0"/>
              </w:rPr>
              <w:t>）</w:t>
            </w:r>
          </w:p>
        </w:tc>
      </w:tr>
      <w:tr w:rsidR="002C09A7" w:rsidRPr="00530A11" w14:paraId="4EB4F9FC" w14:textId="77777777" w:rsidTr="00F83296">
        <w:trPr>
          <w:jc w:val="center"/>
        </w:trPr>
        <w:tc>
          <w:tcPr>
            <w:tcW w:w="4141" w:type="dxa"/>
            <w:vMerge/>
            <w:vAlign w:val="center"/>
          </w:tcPr>
          <w:p w14:paraId="34F31EB3" w14:textId="77777777" w:rsidR="002C09A7" w:rsidRPr="00530A11" w:rsidRDefault="002C09A7" w:rsidP="00C060F4">
            <w:pPr>
              <w:pStyle w:val="ae"/>
              <w:rPr>
                <w:rFonts w:cs="Times New Roman"/>
                <w:b w:val="0"/>
              </w:rPr>
            </w:pPr>
          </w:p>
        </w:tc>
        <w:tc>
          <w:tcPr>
            <w:tcW w:w="4161" w:type="dxa"/>
            <w:vAlign w:val="center"/>
          </w:tcPr>
          <w:p w14:paraId="6DED9689" w14:textId="77777777" w:rsidR="002C09A7" w:rsidRPr="00530A11" w:rsidRDefault="002C09A7" w:rsidP="00C060F4">
            <w:pPr>
              <w:pStyle w:val="ae"/>
              <w:rPr>
                <w:rFonts w:cs="Times New Roman"/>
                <w:b w:val="0"/>
              </w:rPr>
            </w:pPr>
            <w:r w:rsidRPr="00530A11">
              <w:rPr>
                <w:rFonts w:cs="Times New Roman"/>
                <w:b w:val="0"/>
              </w:rPr>
              <w:t>采用免装饰面层的做法</w:t>
            </w:r>
          </w:p>
        </w:tc>
      </w:tr>
    </w:tbl>
    <w:p w14:paraId="5B834E14" w14:textId="77777777" w:rsidR="006677FB" w:rsidRPr="0081478A" w:rsidRDefault="006677FB" w:rsidP="006677FB">
      <w:pPr>
        <w:pStyle w:val="20"/>
        <w:rPr>
          <w:rFonts w:ascii="Times New Roman" w:hAnsi="Times New Roman" w:cs="Times New Roman"/>
          <w:color w:val="auto"/>
        </w:rPr>
      </w:pPr>
      <w:r w:rsidRPr="0081478A">
        <w:rPr>
          <w:rFonts w:ascii="Times New Roman" w:hAnsi="Times New Roman" w:cs="Times New Roman"/>
          <w:color w:val="auto"/>
        </w:rPr>
        <w:t>【评价要点】</w:t>
      </w:r>
    </w:p>
    <w:p w14:paraId="57574522" w14:textId="2F69A144" w:rsidR="006677FB" w:rsidRPr="0081478A" w:rsidRDefault="006677FB" w:rsidP="006677FB">
      <w:pPr>
        <w:ind w:firstLine="420"/>
        <w:rPr>
          <w:rFonts w:cs="Times New Roman"/>
          <w:b/>
        </w:rPr>
      </w:pPr>
      <w:r w:rsidRPr="0081478A">
        <w:rPr>
          <w:rFonts w:cs="Times New Roman"/>
        </w:rPr>
        <w:t>对建筑</w:t>
      </w:r>
      <w:r w:rsidR="00370C7D" w:rsidRPr="0081478A">
        <w:rPr>
          <w:rFonts w:cs="Times New Roman"/>
        </w:rPr>
        <w:t>、车库</w:t>
      </w:r>
      <w:r w:rsidRPr="0081478A">
        <w:rPr>
          <w:rFonts w:cs="Times New Roman"/>
        </w:rPr>
        <w:t>室内所采用耐久性好、易维护的装饰装修材料应提供相关材料证明所采用材料的耐久性。</w:t>
      </w:r>
    </w:p>
    <w:p w14:paraId="4A040A75" w14:textId="77777777" w:rsidR="00715ABB" w:rsidRPr="006C79E9" w:rsidRDefault="00F44390" w:rsidP="006C79E9">
      <w:pPr>
        <w:pStyle w:val="20"/>
      </w:pPr>
      <w:r w:rsidRPr="0081478A">
        <w:t>【评价方法】</w:t>
      </w:r>
    </w:p>
    <w:p w14:paraId="28F6E1DF" w14:textId="77777777" w:rsidR="0084444F" w:rsidRPr="00530A11" w:rsidRDefault="0084444F" w:rsidP="0084444F">
      <w:pPr>
        <w:ind w:firstLine="420"/>
        <w:rPr>
          <w:rFonts w:cs="Times New Roman"/>
          <w:kern w:val="44"/>
          <w:szCs w:val="21"/>
        </w:rPr>
      </w:pPr>
      <w:r w:rsidRPr="00530A11">
        <w:rPr>
          <w:rFonts w:cs="Times New Roman"/>
          <w:kern w:val="44"/>
          <w:szCs w:val="21"/>
        </w:rPr>
        <w:t>预评价查阅相关设计文件；评价查阅装饰装修竣工图、材料决算清单、材料检测检验报告及有关耐久性证明材料</w:t>
      </w:r>
      <w:r w:rsidRPr="00530A11">
        <w:rPr>
          <w:rFonts w:cs="Times New Roman"/>
          <w:szCs w:val="24"/>
        </w:rPr>
        <w:t>，查看施工过程影像资料</w:t>
      </w:r>
      <w:r w:rsidRPr="00530A11">
        <w:rPr>
          <w:rFonts w:cs="Times New Roman"/>
          <w:kern w:val="44"/>
          <w:szCs w:val="21"/>
        </w:rPr>
        <w:t>。</w:t>
      </w:r>
    </w:p>
    <w:p w14:paraId="08935ABF" w14:textId="77777777" w:rsidR="00E71ADE" w:rsidRPr="0081478A" w:rsidRDefault="00E71ADE">
      <w:pPr>
        <w:widowControl/>
        <w:ind w:firstLineChars="0" w:firstLine="0"/>
        <w:jc w:val="left"/>
        <w:rPr>
          <w:rFonts w:cs="Times New Roman"/>
          <w:bCs/>
          <w:kern w:val="44"/>
          <w:szCs w:val="21"/>
        </w:rPr>
      </w:pPr>
      <w:r w:rsidRPr="0081478A">
        <w:rPr>
          <w:rFonts w:cs="Times New Roman"/>
          <w:bCs/>
          <w:kern w:val="44"/>
          <w:szCs w:val="21"/>
        </w:rPr>
        <w:br w:type="page"/>
      </w:r>
    </w:p>
    <w:p w14:paraId="180CF73A" w14:textId="77777777" w:rsidR="00715ABB" w:rsidRPr="0081478A" w:rsidRDefault="00F44390" w:rsidP="003C1556">
      <w:pPr>
        <w:pStyle w:val="1"/>
      </w:pPr>
      <w:bookmarkStart w:id="65" w:name="_Toc22221565"/>
      <w:bookmarkStart w:id="66" w:name="_Toc35364732"/>
      <w:r w:rsidRPr="0081478A">
        <w:lastRenderedPageBreak/>
        <w:t xml:space="preserve">5  </w:t>
      </w:r>
      <w:r w:rsidRPr="0081478A">
        <w:t>健康舒适</w:t>
      </w:r>
      <w:bookmarkEnd w:id="65"/>
      <w:bookmarkEnd w:id="66"/>
    </w:p>
    <w:p w14:paraId="44753B7F" w14:textId="77777777" w:rsidR="00715ABB" w:rsidRPr="0081478A" w:rsidRDefault="00F44390" w:rsidP="003C1556">
      <w:pPr>
        <w:pStyle w:val="2"/>
      </w:pPr>
      <w:bookmarkStart w:id="67" w:name="_Toc22221566"/>
      <w:bookmarkStart w:id="68" w:name="_Toc35364733"/>
      <w:r w:rsidRPr="0081478A">
        <w:t xml:space="preserve">5.1 </w:t>
      </w:r>
      <w:r w:rsidRPr="0081478A">
        <w:t>控</w:t>
      </w:r>
      <w:r w:rsidRPr="0081478A">
        <w:t xml:space="preserve"> </w:t>
      </w:r>
      <w:r w:rsidRPr="0081478A">
        <w:t>制</w:t>
      </w:r>
      <w:r w:rsidRPr="0081478A">
        <w:t xml:space="preserve"> </w:t>
      </w:r>
      <w:r w:rsidRPr="0081478A">
        <w:t>项</w:t>
      </w:r>
      <w:bookmarkEnd w:id="67"/>
      <w:bookmarkEnd w:id="68"/>
    </w:p>
    <w:p w14:paraId="29EB1326" w14:textId="77777777" w:rsidR="002C09A7" w:rsidRPr="00530A11" w:rsidRDefault="002C09A7" w:rsidP="002C09A7">
      <w:pPr>
        <w:pStyle w:val="4"/>
        <w:rPr>
          <w:rFonts w:cs="Times New Roman"/>
          <w:bCs w:val="0"/>
        </w:rPr>
      </w:pPr>
      <w:r w:rsidRPr="00530A11">
        <w:rPr>
          <w:rFonts w:cs="Times New Roman"/>
          <w:bCs w:val="0"/>
        </w:rPr>
        <w:t xml:space="preserve">5.1.1 </w:t>
      </w:r>
      <w:r w:rsidRPr="00530A11">
        <w:rPr>
          <w:rFonts w:cs="Times New Roman"/>
          <w:bCs w:val="0"/>
        </w:rPr>
        <w:t>室内空气中的氨、甲醛、苯、总挥发性有机物、氡等污染物浓度应符合现行国家标准《室内空气质量标准》</w:t>
      </w:r>
      <w:r w:rsidRPr="00530A11">
        <w:rPr>
          <w:rFonts w:cs="Times New Roman"/>
          <w:bCs w:val="0"/>
        </w:rPr>
        <w:t>GB/T 18883</w:t>
      </w:r>
      <w:r w:rsidRPr="00530A11">
        <w:rPr>
          <w:rFonts w:cs="Times New Roman"/>
          <w:bCs w:val="0"/>
        </w:rPr>
        <w:t>的有关规定。建筑室内和建筑主出入口处应禁止吸烟，并应在醒目位置设置禁烟标志。</w:t>
      </w:r>
    </w:p>
    <w:p w14:paraId="0020F704" w14:textId="77777777" w:rsidR="00715ABB" w:rsidRPr="0081478A" w:rsidRDefault="00F44390">
      <w:pPr>
        <w:ind w:firstLineChars="0" w:firstLine="0"/>
        <w:rPr>
          <w:rFonts w:cs="Times New Roman"/>
          <w:b/>
          <w:szCs w:val="24"/>
        </w:rPr>
      </w:pPr>
      <w:r w:rsidRPr="0081478A">
        <w:rPr>
          <w:rFonts w:cs="Times New Roman"/>
          <w:b/>
          <w:szCs w:val="24"/>
        </w:rPr>
        <w:t>【条文说明】</w:t>
      </w:r>
    </w:p>
    <w:p w14:paraId="7352FB4B" w14:textId="77777777" w:rsidR="002C09A7" w:rsidRPr="00530A11" w:rsidRDefault="002C09A7" w:rsidP="002C09A7">
      <w:pPr>
        <w:ind w:firstLine="420"/>
        <w:rPr>
          <w:szCs w:val="24"/>
        </w:rPr>
      </w:pPr>
      <w:r w:rsidRPr="00530A11">
        <w:t>本条沿引国家《绿色建筑评价标准》</w:t>
      </w:r>
      <w:r w:rsidRPr="00530A11">
        <w:t>GB/T 50378-2019</w:t>
      </w:r>
      <w:r w:rsidRPr="00530A11">
        <w:t>。本条在国家标准</w:t>
      </w:r>
      <w:r w:rsidRPr="00530A11">
        <w:t>2014</w:t>
      </w:r>
      <w:r w:rsidRPr="00530A11">
        <w:t>年版第</w:t>
      </w:r>
      <w:r w:rsidRPr="00530A11">
        <w:rPr>
          <w:szCs w:val="24"/>
        </w:rPr>
        <w:t>8.1.7</w:t>
      </w:r>
      <w:r w:rsidRPr="00530A11">
        <w:t>条，地方标准</w:t>
      </w:r>
      <w:r w:rsidRPr="00530A11">
        <w:t>2014</w:t>
      </w:r>
      <w:r w:rsidRPr="00530A11">
        <w:t>版</w:t>
      </w:r>
      <w:r w:rsidRPr="00530A11">
        <w:rPr>
          <w:szCs w:val="24"/>
        </w:rPr>
        <w:t>8.1.3</w:t>
      </w:r>
      <w:r w:rsidRPr="00530A11">
        <w:t>条的基础上发展而来。</w:t>
      </w:r>
    </w:p>
    <w:p w14:paraId="517F57D8" w14:textId="77777777" w:rsidR="002C09A7" w:rsidRPr="00530A11" w:rsidRDefault="002C09A7" w:rsidP="002C09A7">
      <w:pPr>
        <w:ind w:firstLine="420"/>
        <w:rPr>
          <w:rFonts w:cs="Times New Roman"/>
          <w:szCs w:val="24"/>
        </w:rPr>
      </w:pPr>
      <w:r w:rsidRPr="00530A11">
        <w:rPr>
          <w:rFonts w:cs="Times New Roman"/>
          <w:szCs w:val="24"/>
        </w:rPr>
        <w:t>本条适用于各类民用建筑的预评价、评价。预评价时，对于全装修建筑项目，可仅对室内空气中的甲醛、苯、总挥发性有机物进行浓度预评估；对于非全装修建筑项目，本条不参评。评价时，对于全装修建筑项目，应按本条要求执行；对于非全装修建筑项目，符合现行国家标准《民用建筑工程室内环境污染控制规范》</w:t>
      </w:r>
      <w:r w:rsidRPr="00530A11">
        <w:rPr>
          <w:rFonts w:cs="Times New Roman"/>
          <w:szCs w:val="24"/>
        </w:rPr>
        <w:t>GB 50325</w:t>
      </w:r>
      <w:r w:rsidRPr="00530A11">
        <w:rPr>
          <w:rFonts w:cs="Times New Roman"/>
          <w:szCs w:val="24"/>
        </w:rPr>
        <w:t>的有关要求，视为本条达标。</w:t>
      </w:r>
    </w:p>
    <w:p w14:paraId="1D59CD04" w14:textId="77777777" w:rsidR="002C09A7" w:rsidRPr="00530A11" w:rsidRDefault="002C09A7" w:rsidP="002C09A7">
      <w:pPr>
        <w:ind w:firstLine="420"/>
        <w:rPr>
          <w:rFonts w:cs="Times New Roman"/>
          <w:szCs w:val="24"/>
        </w:rPr>
      </w:pPr>
      <w:r w:rsidRPr="00530A11">
        <w:rPr>
          <w:rFonts w:cs="Times New Roman"/>
          <w:szCs w:val="24"/>
        </w:rPr>
        <w:t>建筑室内空气中的氨、甲醛、苯、总挥发性有机物、氡等污染物以及吸烟</w:t>
      </w:r>
      <w:r w:rsidRPr="00530A11">
        <w:rPr>
          <w:rFonts w:cs="Times New Roman"/>
          <w:szCs w:val="24"/>
        </w:rPr>
        <w:t>(</w:t>
      </w:r>
      <w:r w:rsidRPr="00530A11">
        <w:rPr>
          <w:rFonts w:cs="Times New Roman"/>
          <w:szCs w:val="24"/>
        </w:rPr>
        <w:t>包括二手烟</w:t>
      </w:r>
      <w:r w:rsidRPr="00530A11">
        <w:rPr>
          <w:rFonts w:cs="Times New Roman"/>
          <w:szCs w:val="24"/>
        </w:rPr>
        <w:t>)</w:t>
      </w:r>
      <w:r w:rsidRPr="00530A11">
        <w:rPr>
          <w:rFonts w:cs="Times New Roman"/>
          <w:szCs w:val="24"/>
        </w:rPr>
        <w:t>对人体的危害已得到普遍认识，通过建筑内污染物浓度控制及禁烟控制，是实现绿色建筑的基本要求。</w:t>
      </w:r>
      <w:r w:rsidRPr="00530A11">
        <w:rPr>
          <w:rFonts w:cs="Times New Roman"/>
        </w:rPr>
        <w:t>无烟环境是实现高品质室内空气质量的基本措施。</w:t>
      </w:r>
    </w:p>
    <w:p w14:paraId="191ADA3D" w14:textId="77777777" w:rsidR="002C09A7" w:rsidRPr="00530A11" w:rsidRDefault="002C09A7" w:rsidP="002C09A7">
      <w:pPr>
        <w:ind w:firstLine="420"/>
        <w:rPr>
          <w:rFonts w:cs="Times New Roman"/>
          <w:szCs w:val="24"/>
        </w:rPr>
      </w:pPr>
      <w:r w:rsidRPr="00530A11">
        <w:rPr>
          <w:rFonts w:cs="Times New Roman"/>
          <w:szCs w:val="24"/>
        </w:rPr>
        <w:t>在项目实施过程中，即使所使用的装修材料、家具制品均满足各自污染物限量控制标准，但装修后多种类或大量材料制品的叠加使用，仍可能造成室内空气污染物浓度超标，控制空气中各类污染物的浓度指标是保障建筑使用者健康的基本前提。项目在设计时即应采取措施，对室内空气污染物浓度进行预评估，预测工程建成后室内空气污染物的浓度情况，指导建筑材料的选用和优化。</w:t>
      </w:r>
    </w:p>
    <w:p w14:paraId="36330A16" w14:textId="77777777" w:rsidR="002C09A7" w:rsidRPr="00530A11" w:rsidRDefault="002C09A7" w:rsidP="002C09A7">
      <w:pPr>
        <w:ind w:firstLine="420"/>
        <w:rPr>
          <w:rFonts w:cs="Times New Roman"/>
          <w:i/>
          <w:szCs w:val="24"/>
        </w:rPr>
      </w:pPr>
      <w:r w:rsidRPr="00530A11">
        <w:rPr>
          <w:rFonts w:cs="Times New Roman"/>
          <w:szCs w:val="24"/>
        </w:rPr>
        <w:t>吸烟及二手烟对人健康同样会造成较大的危害，目前国内一些城市已经发布了控制吸烟条例，如《北京市控制吸烟条例》、《上海市公共场所控制吸烟条例》、《广州市控制吸烟条例》、《天津市控制吸烟条例》、《杭州市公共场所控制吸烟条例》、《青岛市控制吸烟条例》等等。因此，本条规定建筑室内和建筑主出入口处禁止吸烟，并设置禁烟标志。本条所述的建筑室内，主要指的是公共建筑室内和住宅建筑内的公共区域。</w:t>
      </w:r>
      <w:r w:rsidRPr="00530A11">
        <w:rPr>
          <w:rFonts w:cs="Times New Roman"/>
        </w:rPr>
        <w:t>项目范围内的室内空间禁止吸烟和使用电子香烟。</w:t>
      </w:r>
      <w:bookmarkStart w:id="69" w:name="_Hlk26799922"/>
      <w:r w:rsidRPr="00530A11">
        <w:rPr>
          <w:rFonts w:cs="Times New Roman"/>
        </w:rPr>
        <w:t>建筑主入口、</w:t>
      </w:r>
      <w:bookmarkStart w:id="70" w:name="_Hlk25157779"/>
      <w:r w:rsidRPr="00530A11">
        <w:rPr>
          <w:rFonts w:cs="Times New Roman"/>
        </w:rPr>
        <w:t>人能够到达的</w:t>
      </w:r>
      <w:bookmarkEnd w:id="70"/>
      <w:r w:rsidRPr="00530A11">
        <w:rPr>
          <w:rFonts w:cs="Times New Roman"/>
        </w:rPr>
        <w:t>可开启窗和建筑新风入口周围</w:t>
      </w:r>
      <w:r w:rsidRPr="00530A11">
        <w:rPr>
          <w:rFonts w:cs="Times New Roman"/>
        </w:rPr>
        <w:t>8</w:t>
      </w:r>
      <w:r w:rsidRPr="00530A11">
        <w:rPr>
          <w:rFonts w:cs="Times New Roman"/>
        </w:rPr>
        <w:t>米内禁止吸烟，并应设置有明显的禁烟标识</w:t>
      </w:r>
      <w:bookmarkEnd w:id="69"/>
      <w:r w:rsidRPr="00530A11">
        <w:rPr>
          <w:rFonts w:cs="Times New Roman"/>
        </w:rPr>
        <w:t>。</w:t>
      </w:r>
    </w:p>
    <w:p w14:paraId="5F16C31C" w14:textId="77777777" w:rsidR="002C09A7" w:rsidRPr="00530A11" w:rsidRDefault="002C09A7" w:rsidP="002C09A7">
      <w:pPr>
        <w:ind w:firstLine="420"/>
        <w:rPr>
          <w:rFonts w:cs="Times New Roman"/>
          <w:szCs w:val="24"/>
        </w:rPr>
      </w:pPr>
      <w:r w:rsidRPr="00530A11">
        <w:rPr>
          <w:rFonts w:cs="Times New Roman"/>
          <w:szCs w:val="24"/>
        </w:rPr>
        <w:lastRenderedPageBreak/>
        <w:t>预评价时，应综合考虑建筑情况、室内装修设计方案、装修材料的种类和使用量、室内新风量、环境温度等诸多影响因素，以各种装修材料、家具制品主要污染物的释放特征</w:t>
      </w:r>
      <w:r w:rsidRPr="00530A11">
        <w:rPr>
          <w:rFonts w:cs="Times New Roman"/>
          <w:szCs w:val="24"/>
        </w:rPr>
        <w:t>(</w:t>
      </w:r>
      <w:r w:rsidRPr="00530A11">
        <w:rPr>
          <w:rFonts w:cs="Times New Roman"/>
          <w:szCs w:val="24"/>
        </w:rPr>
        <w:t>如释放速率</w:t>
      </w:r>
      <w:r w:rsidRPr="00530A11">
        <w:rPr>
          <w:rFonts w:cs="Times New Roman"/>
          <w:szCs w:val="24"/>
        </w:rPr>
        <w:t>)</w:t>
      </w:r>
      <w:r w:rsidRPr="00530A11">
        <w:rPr>
          <w:rFonts w:cs="Times New Roman"/>
          <w:szCs w:val="24"/>
        </w:rPr>
        <w:t>为基础，以</w:t>
      </w:r>
      <w:r w:rsidRPr="00530A11">
        <w:rPr>
          <w:rFonts w:cs="Times New Roman"/>
          <w:szCs w:val="24"/>
        </w:rPr>
        <w:t>“</w:t>
      </w:r>
      <w:r w:rsidRPr="00530A11">
        <w:rPr>
          <w:rFonts w:cs="Times New Roman"/>
          <w:szCs w:val="24"/>
        </w:rPr>
        <w:t>总量控制</w:t>
      </w:r>
      <w:r w:rsidRPr="00530A11">
        <w:rPr>
          <w:rFonts w:cs="Times New Roman"/>
          <w:szCs w:val="24"/>
        </w:rPr>
        <w:t>”</w:t>
      </w:r>
      <w:r w:rsidRPr="00530A11">
        <w:rPr>
          <w:rFonts w:cs="Times New Roman"/>
          <w:szCs w:val="24"/>
        </w:rPr>
        <w:t>为原则。依据装修设计方案，选择典型功能房间</w:t>
      </w:r>
      <w:r w:rsidRPr="00530A11">
        <w:rPr>
          <w:rFonts w:cs="Times New Roman"/>
          <w:szCs w:val="24"/>
        </w:rPr>
        <w:t>(</w:t>
      </w:r>
      <w:r w:rsidRPr="00530A11">
        <w:rPr>
          <w:rFonts w:cs="Times New Roman"/>
          <w:szCs w:val="24"/>
        </w:rPr>
        <w:t>卧室、客厅、办公室等</w:t>
      </w:r>
      <w:r w:rsidRPr="00530A11">
        <w:rPr>
          <w:rFonts w:cs="Times New Roman"/>
          <w:szCs w:val="24"/>
        </w:rPr>
        <w:t>)</w:t>
      </w:r>
      <w:r w:rsidRPr="00530A11">
        <w:rPr>
          <w:rFonts w:cs="Times New Roman"/>
          <w:szCs w:val="24"/>
        </w:rPr>
        <w:t>使用的主要建材</w:t>
      </w:r>
      <w:r w:rsidRPr="00530A11">
        <w:rPr>
          <w:rFonts w:cs="Times New Roman"/>
          <w:szCs w:val="24"/>
        </w:rPr>
        <w:t>(3</w:t>
      </w:r>
      <w:r w:rsidRPr="00530A11">
        <w:rPr>
          <w:rFonts w:cs="Times New Roman"/>
          <w:szCs w:val="24"/>
        </w:rPr>
        <w:t>种～</w:t>
      </w:r>
      <w:r w:rsidRPr="00530A11">
        <w:rPr>
          <w:rFonts w:cs="Times New Roman"/>
          <w:szCs w:val="24"/>
        </w:rPr>
        <w:t>5</w:t>
      </w:r>
      <w:r w:rsidRPr="00530A11">
        <w:rPr>
          <w:rFonts w:cs="Times New Roman"/>
          <w:szCs w:val="24"/>
        </w:rPr>
        <w:t>种</w:t>
      </w:r>
      <w:r w:rsidRPr="00530A11">
        <w:rPr>
          <w:rFonts w:cs="Times New Roman"/>
          <w:szCs w:val="24"/>
        </w:rPr>
        <w:t>)</w:t>
      </w:r>
      <w:r w:rsidRPr="00530A11">
        <w:rPr>
          <w:rFonts w:cs="Times New Roman"/>
          <w:szCs w:val="24"/>
        </w:rPr>
        <w:t>及固定家具制品，对室内空气中甲醛、苯、总挥发性有机物的浓度水平进行预评估。其中建材污染物释放特性参数及评估计算方法可参考现行行业标准《住宅建筑室内装修污染控制技术标准》</w:t>
      </w:r>
      <w:r w:rsidRPr="00530A11">
        <w:rPr>
          <w:rFonts w:cs="Times New Roman"/>
          <w:szCs w:val="24"/>
        </w:rPr>
        <w:t>JGJ/T 436</w:t>
      </w:r>
      <w:r w:rsidRPr="00530A11">
        <w:rPr>
          <w:rFonts w:cs="Times New Roman"/>
          <w:szCs w:val="24"/>
        </w:rPr>
        <w:t>和《公共建筑室内空气质量控制设计标准》</w:t>
      </w:r>
      <w:r w:rsidRPr="00530A11">
        <w:rPr>
          <w:rFonts w:cs="Times New Roman"/>
          <w:szCs w:val="24"/>
        </w:rPr>
        <w:t>JGJ/T 461</w:t>
      </w:r>
      <w:r w:rsidRPr="00530A11">
        <w:rPr>
          <w:rFonts w:cs="Times New Roman"/>
          <w:szCs w:val="24"/>
        </w:rPr>
        <w:t>的相关规定。</w:t>
      </w:r>
    </w:p>
    <w:p w14:paraId="36D1C9F6" w14:textId="77777777" w:rsidR="002C09A7" w:rsidRDefault="002C09A7" w:rsidP="002C09A7">
      <w:pPr>
        <w:ind w:firstLine="420"/>
      </w:pPr>
      <w:r w:rsidRPr="00530A11">
        <w:t>评价时，应选取每栋单体建筑中具有代表性的典型房间进行采样检测，采样和检验方法应符合现行国家标准《室内空气质量标准》</w:t>
      </w:r>
      <w:r w:rsidRPr="00530A11">
        <w:t>GB/T 18883</w:t>
      </w:r>
      <w:r w:rsidRPr="00530A11">
        <w:t>的相关规定；采样的房间数量不少于房间总数的</w:t>
      </w:r>
      <w:r w:rsidRPr="00530A11">
        <w:t>5</w:t>
      </w:r>
      <w:r w:rsidRPr="00530A11">
        <w:t>％，且每个单体建筑不少于</w:t>
      </w:r>
      <w:r w:rsidRPr="00530A11">
        <w:t>3</w:t>
      </w:r>
      <w:r w:rsidRPr="00530A11">
        <w:t>间。</w:t>
      </w:r>
    </w:p>
    <w:p w14:paraId="50AF7765" w14:textId="27DF266C" w:rsidR="006677FB" w:rsidRPr="006C79E9" w:rsidRDefault="006677FB" w:rsidP="006C79E9">
      <w:pPr>
        <w:pStyle w:val="20"/>
      </w:pPr>
      <w:r w:rsidRPr="0081478A">
        <w:t>【评价要点】</w:t>
      </w:r>
    </w:p>
    <w:p w14:paraId="77598B36" w14:textId="03CDC4B3" w:rsidR="0091162F" w:rsidRPr="0081478A" w:rsidRDefault="0091162F" w:rsidP="00921836">
      <w:pPr>
        <w:ind w:firstLine="420"/>
        <w:rPr>
          <w:rFonts w:cs="Times New Roman"/>
        </w:rPr>
      </w:pPr>
      <w:r w:rsidRPr="0081478A">
        <w:rPr>
          <w:rFonts w:cs="Times New Roman"/>
        </w:rPr>
        <w:t>对于非全装修建筑项目，应符合现行国家标准《民用建筑工程室内环境污染控制规范》</w:t>
      </w:r>
      <w:r w:rsidRPr="0081478A">
        <w:rPr>
          <w:rFonts w:cs="Times New Roman"/>
        </w:rPr>
        <w:t>GB 50325</w:t>
      </w:r>
      <w:r w:rsidRPr="0081478A">
        <w:rPr>
          <w:rFonts w:cs="Times New Roman"/>
        </w:rPr>
        <w:t>的有关要求；对于运行阶段建筑项目和全装修建筑项目，应符合现行国家标准《室内空气质量标准》</w:t>
      </w:r>
      <w:r w:rsidRPr="0081478A">
        <w:rPr>
          <w:rFonts w:cs="Times New Roman"/>
        </w:rPr>
        <w:t>GB/T 18883</w:t>
      </w:r>
      <w:r w:rsidRPr="0081478A">
        <w:rPr>
          <w:rFonts w:cs="Times New Roman"/>
        </w:rPr>
        <w:t>的有关要求。</w:t>
      </w:r>
    </w:p>
    <w:p w14:paraId="76843B59" w14:textId="7BF143AC" w:rsidR="006677FB" w:rsidRPr="0081478A" w:rsidRDefault="006677FB" w:rsidP="00EC70DB">
      <w:pPr>
        <w:ind w:firstLine="420"/>
      </w:pPr>
      <w:r w:rsidRPr="0081478A">
        <w:t>本条要求建筑</w:t>
      </w:r>
      <w:r w:rsidR="00CA3B0F" w:rsidRPr="0081478A">
        <w:t>、车库室内</w:t>
      </w:r>
      <w:r w:rsidRPr="0081478A">
        <w:t>运行满一年后，氨、甲醛、苯、总挥发性有机物、氡五类空气污染物浓度应符合现行国家标准《室内空气质量标准》（</w:t>
      </w:r>
      <w:r w:rsidRPr="0081478A">
        <w:t>GB/T 18883—2002</w:t>
      </w:r>
      <w:r w:rsidRPr="0081478A">
        <w:t>）中的有关规定，详见表</w:t>
      </w:r>
      <w:r w:rsidRPr="0081478A">
        <w:t>5.1</w:t>
      </w:r>
      <w:r w:rsidRPr="0081478A">
        <w:t>。</w:t>
      </w:r>
    </w:p>
    <w:p w14:paraId="49E5C77B" w14:textId="77777777" w:rsidR="006677FB" w:rsidRPr="0081478A" w:rsidRDefault="006677FB" w:rsidP="006677FB">
      <w:pPr>
        <w:pStyle w:val="ae"/>
        <w:rPr>
          <w:rFonts w:cs="Times New Roman"/>
          <w:b w:val="0"/>
          <w:bCs/>
        </w:rPr>
      </w:pPr>
      <w:bookmarkStart w:id="71" w:name="_Hlk25159209"/>
      <w:r w:rsidRPr="0081478A">
        <w:rPr>
          <w:rFonts w:cs="Times New Roman"/>
          <w:b w:val="0"/>
          <w:bCs/>
        </w:rPr>
        <w:t>表</w:t>
      </w:r>
      <w:r w:rsidRPr="0081478A">
        <w:rPr>
          <w:rFonts w:cs="Times New Roman"/>
          <w:b w:val="0"/>
          <w:bCs/>
        </w:rPr>
        <w:t xml:space="preserve">5.1 </w:t>
      </w:r>
      <w:r w:rsidRPr="0081478A">
        <w:rPr>
          <w:rFonts w:cs="Times New Roman"/>
          <w:b w:val="0"/>
          <w:bCs/>
        </w:rPr>
        <w:t>室内空气质量标准</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Look w:val="00A0" w:firstRow="1" w:lastRow="0" w:firstColumn="1" w:lastColumn="0" w:noHBand="0" w:noVBand="0"/>
      </w:tblPr>
      <w:tblGrid>
        <w:gridCol w:w="2674"/>
        <w:gridCol w:w="1960"/>
        <w:gridCol w:w="2736"/>
      </w:tblGrid>
      <w:tr w:rsidR="0081478A" w:rsidRPr="0081478A" w14:paraId="64A6E257" w14:textId="77777777" w:rsidTr="006677FB">
        <w:trPr>
          <w:jc w:val="center"/>
        </w:trPr>
        <w:tc>
          <w:tcPr>
            <w:tcW w:w="1814" w:type="pct"/>
            <w:shd w:val="clear" w:color="auto" w:fill="auto"/>
            <w:noWrap/>
            <w:vAlign w:val="center"/>
          </w:tcPr>
          <w:p w14:paraId="0F22A728" w14:textId="77777777" w:rsidR="006677FB" w:rsidRPr="0081478A" w:rsidRDefault="006677FB" w:rsidP="006677FB">
            <w:pPr>
              <w:pStyle w:val="ae"/>
              <w:rPr>
                <w:rFonts w:cs="Times New Roman"/>
                <w:b w:val="0"/>
                <w:bCs/>
              </w:rPr>
            </w:pPr>
            <w:bookmarkStart w:id="72" w:name="_Hlk25159198"/>
            <w:bookmarkEnd w:id="71"/>
            <w:r w:rsidRPr="0081478A">
              <w:rPr>
                <w:rFonts w:cs="Times New Roman"/>
                <w:b w:val="0"/>
                <w:bCs/>
              </w:rPr>
              <w:t>污染物</w:t>
            </w:r>
          </w:p>
        </w:tc>
        <w:tc>
          <w:tcPr>
            <w:tcW w:w="1330" w:type="pct"/>
            <w:shd w:val="clear" w:color="auto" w:fill="auto"/>
            <w:noWrap/>
            <w:vAlign w:val="center"/>
          </w:tcPr>
          <w:p w14:paraId="3F736B78" w14:textId="77777777" w:rsidR="006677FB" w:rsidRPr="0081478A" w:rsidRDefault="006677FB" w:rsidP="006677FB">
            <w:pPr>
              <w:pStyle w:val="ae"/>
              <w:rPr>
                <w:rFonts w:cs="Times New Roman"/>
                <w:b w:val="0"/>
                <w:bCs/>
              </w:rPr>
            </w:pPr>
            <w:r w:rsidRPr="0081478A">
              <w:rPr>
                <w:rFonts w:cs="Times New Roman"/>
                <w:b w:val="0"/>
                <w:bCs/>
              </w:rPr>
              <w:t>标准值</w:t>
            </w:r>
          </w:p>
        </w:tc>
        <w:tc>
          <w:tcPr>
            <w:tcW w:w="1856" w:type="pct"/>
            <w:shd w:val="clear" w:color="auto" w:fill="auto"/>
            <w:noWrap/>
            <w:vAlign w:val="center"/>
          </w:tcPr>
          <w:p w14:paraId="49EEAE70" w14:textId="77777777" w:rsidR="006677FB" w:rsidRPr="0081478A" w:rsidRDefault="006677FB" w:rsidP="006677FB">
            <w:pPr>
              <w:pStyle w:val="ae"/>
              <w:rPr>
                <w:rFonts w:cs="Times New Roman"/>
                <w:b w:val="0"/>
                <w:bCs/>
              </w:rPr>
            </w:pPr>
            <w:r w:rsidRPr="0081478A">
              <w:rPr>
                <w:rFonts w:cs="Times New Roman"/>
                <w:b w:val="0"/>
                <w:bCs/>
              </w:rPr>
              <w:t>备注</w:t>
            </w:r>
          </w:p>
        </w:tc>
      </w:tr>
      <w:tr w:rsidR="0081478A" w:rsidRPr="0081478A" w14:paraId="4E579B40" w14:textId="77777777" w:rsidTr="006677FB">
        <w:trPr>
          <w:jc w:val="center"/>
        </w:trPr>
        <w:tc>
          <w:tcPr>
            <w:tcW w:w="1814" w:type="pct"/>
            <w:shd w:val="clear" w:color="auto" w:fill="auto"/>
            <w:noWrap/>
            <w:vAlign w:val="center"/>
          </w:tcPr>
          <w:p w14:paraId="714613C5" w14:textId="77777777" w:rsidR="006677FB" w:rsidRPr="0081478A" w:rsidRDefault="006677FB" w:rsidP="006677FB">
            <w:pPr>
              <w:pStyle w:val="ae"/>
              <w:rPr>
                <w:rFonts w:cs="Times New Roman"/>
                <w:b w:val="0"/>
                <w:bCs/>
              </w:rPr>
            </w:pPr>
            <w:r w:rsidRPr="0081478A">
              <w:rPr>
                <w:rFonts w:cs="Times New Roman"/>
                <w:b w:val="0"/>
                <w:bCs/>
              </w:rPr>
              <w:t>氨</w:t>
            </w:r>
            <w:r w:rsidRPr="0081478A">
              <w:rPr>
                <w:rFonts w:cs="Times New Roman"/>
                <w:b w:val="0"/>
                <w:bCs/>
              </w:rPr>
              <w:t xml:space="preserve"> NH</w:t>
            </w:r>
            <w:r w:rsidRPr="0081478A">
              <w:rPr>
                <w:rFonts w:cs="Times New Roman"/>
                <w:b w:val="0"/>
                <w:bCs/>
                <w:vertAlign w:val="subscript"/>
              </w:rPr>
              <w:t>3</w:t>
            </w:r>
          </w:p>
        </w:tc>
        <w:tc>
          <w:tcPr>
            <w:tcW w:w="1330" w:type="pct"/>
            <w:shd w:val="clear" w:color="auto" w:fill="auto"/>
            <w:noWrap/>
            <w:vAlign w:val="center"/>
          </w:tcPr>
          <w:p w14:paraId="2871698C" w14:textId="77777777" w:rsidR="006677FB" w:rsidRPr="0081478A" w:rsidRDefault="006677FB" w:rsidP="006677FB">
            <w:pPr>
              <w:pStyle w:val="ae"/>
              <w:rPr>
                <w:rFonts w:cs="Times New Roman"/>
                <w:b w:val="0"/>
                <w:bCs/>
              </w:rPr>
            </w:pPr>
            <w:r w:rsidRPr="0081478A">
              <w:rPr>
                <w:rFonts w:cs="Times New Roman"/>
                <w:b w:val="0"/>
                <w:bCs/>
              </w:rPr>
              <w:t>≤0.20mg/m³</w:t>
            </w:r>
          </w:p>
        </w:tc>
        <w:tc>
          <w:tcPr>
            <w:tcW w:w="1856" w:type="pct"/>
            <w:shd w:val="clear" w:color="auto" w:fill="auto"/>
            <w:noWrap/>
            <w:vAlign w:val="center"/>
          </w:tcPr>
          <w:p w14:paraId="21EAF8CD" w14:textId="77777777" w:rsidR="006677FB" w:rsidRPr="0081478A" w:rsidRDefault="006677FB" w:rsidP="006677FB">
            <w:pPr>
              <w:pStyle w:val="ae"/>
              <w:rPr>
                <w:rFonts w:cs="Times New Roman"/>
                <w:b w:val="0"/>
                <w:bCs/>
              </w:rPr>
            </w:pPr>
            <w:r w:rsidRPr="0081478A">
              <w:rPr>
                <w:rFonts w:cs="Times New Roman"/>
                <w:b w:val="0"/>
                <w:bCs/>
              </w:rPr>
              <w:t>1h</w:t>
            </w:r>
            <w:r w:rsidRPr="0081478A">
              <w:rPr>
                <w:rFonts w:cs="Times New Roman"/>
                <w:b w:val="0"/>
                <w:bCs/>
              </w:rPr>
              <w:t>均值</w:t>
            </w:r>
          </w:p>
        </w:tc>
      </w:tr>
      <w:tr w:rsidR="0081478A" w:rsidRPr="0081478A" w14:paraId="192370D8" w14:textId="77777777" w:rsidTr="006677FB">
        <w:trPr>
          <w:jc w:val="center"/>
        </w:trPr>
        <w:tc>
          <w:tcPr>
            <w:tcW w:w="1814" w:type="pct"/>
            <w:shd w:val="clear" w:color="auto" w:fill="auto"/>
            <w:noWrap/>
            <w:vAlign w:val="center"/>
          </w:tcPr>
          <w:p w14:paraId="11EBCABB" w14:textId="77777777" w:rsidR="006677FB" w:rsidRPr="0081478A" w:rsidRDefault="006677FB" w:rsidP="006677FB">
            <w:pPr>
              <w:pStyle w:val="ae"/>
              <w:rPr>
                <w:rFonts w:cs="Times New Roman"/>
                <w:b w:val="0"/>
                <w:bCs/>
              </w:rPr>
            </w:pPr>
            <w:r w:rsidRPr="0081478A">
              <w:rPr>
                <w:rFonts w:cs="Times New Roman"/>
                <w:b w:val="0"/>
                <w:bCs/>
              </w:rPr>
              <w:t>甲醛</w:t>
            </w:r>
            <w:r w:rsidRPr="0081478A">
              <w:rPr>
                <w:rFonts w:cs="Times New Roman"/>
                <w:b w:val="0"/>
                <w:bCs/>
              </w:rPr>
              <w:t xml:space="preserve"> HCHO</w:t>
            </w:r>
          </w:p>
        </w:tc>
        <w:tc>
          <w:tcPr>
            <w:tcW w:w="1330" w:type="pct"/>
            <w:shd w:val="clear" w:color="auto" w:fill="auto"/>
            <w:noWrap/>
            <w:vAlign w:val="center"/>
          </w:tcPr>
          <w:p w14:paraId="1DCD31AA" w14:textId="77777777" w:rsidR="006677FB" w:rsidRPr="0081478A" w:rsidRDefault="006677FB" w:rsidP="006677FB">
            <w:pPr>
              <w:pStyle w:val="ae"/>
              <w:rPr>
                <w:rFonts w:cs="Times New Roman"/>
                <w:b w:val="0"/>
                <w:bCs/>
              </w:rPr>
            </w:pPr>
            <w:r w:rsidRPr="0081478A">
              <w:rPr>
                <w:rFonts w:cs="Times New Roman"/>
                <w:b w:val="0"/>
                <w:bCs/>
              </w:rPr>
              <w:t>≤0.10mg/m³</w:t>
            </w:r>
          </w:p>
        </w:tc>
        <w:tc>
          <w:tcPr>
            <w:tcW w:w="1856" w:type="pct"/>
            <w:shd w:val="clear" w:color="auto" w:fill="auto"/>
            <w:noWrap/>
            <w:vAlign w:val="center"/>
          </w:tcPr>
          <w:p w14:paraId="63F71668" w14:textId="77777777" w:rsidR="006677FB" w:rsidRPr="0081478A" w:rsidRDefault="006677FB" w:rsidP="006677FB">
            <w:pPr>
              <w:pStyle w:val="ae"/>
              <w:rPr>
                <w:rFonts w:cs="Times New Roman"/>
                <w:b w:val="0"/>
                <w:bCs/>
              </w:rPr>
            </w:pPr>
            <w:r w:rsidRPr="0081478A">
              <w:rPr>
                <w:rFonts w:cs="Times New Roman"/>
                <w:b w:val="0"/>
                <w:bCs/>
              </w:rPr>
              <w:t>1h</w:t>
            </w:r>
            <w:r w:rsidRPr="0081478A">
              <w:rPr>
                <w:rFonts w:cs="Times New Roman"/>
                <w:b w:val="0"/>
                <w:bCs/>
              </w:rPr>
              <w:t>均值</w:t>
            </w:r>
          </w:p>
        </w:tc>
      </w:tr>
      <w:tr w:rsidR="0081478A" w:rsidRPr="0081478A" w14:paraId="6FBFF35F" w14:textId="77777777" w:rsidTr="006677FB">
        <w:trPr>
          <w:jc w:val="center"/>
        </w:trPr>
        <w:tc>
          <w:tcPr>
            <w:tcW w:w="1814" w:type="pct"/>
            <w:shd w:val="clear" w:color="auto" w:fill="auto"/>
            <w:noWrap/>
            <w:vAlign w:val="center"/>
          </w:tcPr>
          <w:p w14:paraId="7FACD8DE" w14:textId="77777777" w:rsidR="006677FB" w:rsidRPr="0081478A" w:rsidRDefault="006677FB" w:rsidP="006677FB">
            <w:pPr>
              <w:pStyle w:val="ae"/>
              <w:rPr>
                <w:rFonts w:cs="Times New Roman"/>
                <w:b w:val="0"/>
                <w:bCs/>
              </w:rPr>
            </w:pPr>
            <w:r w:rsidRPr="0081478A">
              <w:rPr>
                <w:rFonts w:cs="Times New Roman"/>
                <w:b w:val="0"/>
                <w:bCs/>
              </w:rPr>
              <w:t>苯</w:t>
            </w:r>
            <w:r w:rsidRPr="0081478A">
              <w:rPr>
                <w:rFonts w:cs="Times New Roman"/>
                <w:b w:val="0"/>
                <w:bCs/>
              </w:rPr>
              <w:t xml:space="preserve"> C</w:t>
            </w:r>
            <w:r w:rsidRPr="0081478A">
              <w:rPr>
                <w:rFonts w:cs="Times New Roman"/>
                <w:b w:val="0"/>
                <w:bCs/>
                <w:vertAlign w:val="subscript"/>
              </w:rPr>
              <w:t>6</w:t>
            </w:r>
            <w:r w:rsidRPr="0081478A">
              <w:rPr>
                <w:rFonts w:cs="Times New Roman"/>
                <w:b w:val="0"/>
                <w:bCs/>
              </w:rPr>
              <w:t>H</w:t>
            </w:r>
            <w:r w:rsidRPr="0081478A">
              <w:rPr>
                <w:rFonts w:cs="Times New Roman"/>
                <w:b w:val="0"/>
                <w:bCs/>
                <w:vertAlign w:val="subscript"/>
              </w:rPr>
              <w:t>6</w:t>
            </w:r>
          </w:p>
        </w:tc>
        <w:tc>
          <w:tcPr>
            <w:tcW w:w="1330" w:type="pct"/>
            <w:shd w:val="clear" w:color="auto" w:fill="auto"/>
            <w:noWrap/>
            <w:vAlign w:val="center"/>
          </w:tcPr>
          <w:p w14:paraId="2508CB04" w14:textId="77777777" w:rsidR="006677FB" w:rsidRPr="0081478A" w:rsidRDefault="006677FB" w:rsidP="006677FB">
            <w:pPr>
              <w:pStyle w:val="ae"/>
              <w:rPr>
                <w:rFonts w:cs="Times New Roman"/>
                <w:b w:val="0"/>
                <w:bCs/>
              </w:rPr>
            </w:pPr>
            <w:r w:rsidRPr="0081478A">
              <w:rPr>
                <w:rFonts w:cs="Times New Roman"/>
                <w:b w:val="0"/>
                <w:bCs/>
              </w:rPr>
              <w:t>≤0.11mg/m³</w:t>
            </w:r>
          </w:p>
        </w:tc>
        <w:tc>
          <w:tcPr>
            <w:tcW w:w="1856" w:type="pct"/>
            <w:shd w:val="clear" w:color="auto" w:fill="auto"/>
            <w:noWrap/>
            <w:vAlign w:val="center"/>
          </w:tcPr>
          <w:p w14:paraId="5D61106C" w14:textId="77777777" w:rsidR="006677FB" w:rsidRPr="0081478A" w:rsidRDefault="006677FB" w:rsidP="006677FB">
            <w:pPr>
              <w:pStyle w:val="ae"/>
              <w:rPr>
                <w:rFonts w:cs="Times New Roman"/>
                <w:b w:val="0"/>
                <w:bCs/>
              </w:rPr>
            </w:pPr>
            <w:r w:rsidRPr="0081478A">
              <w:rPr>
                <w:rFonts w:cs="Times New Roman"/>
                <w:b w:val="0"/>
                <w:bCs/>
              </w:rPr>
              <w:t>1h</w:t>
            </w:r>
            <w:r w:rsidRPr="0081478A">
              <w:rPr>
                <w:rFonts w:cs="Times New Roman"/>
                <w:b w:val="0"/>
                <w:bCs/>
              </w:rPr>
              <w:t>均值</w:t>
            </w:r>
          </w:p>
        </w:tc>
      </w:tr>
      <w:tr w:rsidR="0081478A" w:rsidRPr="0081478A" w14:paraId="04F8E09F" w14:textId="77777777" w:rsidTr="006677FB">
        <w:trPr>
          <w:jc w:val="center"/>
        </w:trPr>
        <w:tc>
          <w:tcPr>
            <w:tcW w:w="1814" w:type="pct"/>
            <w:shd w:val="clear" w:color="auto" w:fill="auto"/>
            <w:noWrap/>
            <w:vAlign w:val="center"/>
          </w:tcPr>
          <w:p w14:paraId="31E8722F" w14:textId="77777777" w:rsidR="006677FB" w:rsidRPr="0081478A" w:rsidRDefault="006677FB" w:rsidP="006677FB">
            <w:pPr>
              <w:pStyle w:val="ae"/>
              <w:rPr>
                <w:rFonts w:cs="Times New Roman"/>
                <w:b w:val="0"/>
                <w:bCs/>
              </w:rPr>
            </w:pPr>
            <w:r w:rsidRPr="0081478A">
              <w:rPr>
                <w:rFonts w:cs="Times New Roman"/>
                <w:b w:val="0"/>
                <w:bCs/>
              </w:rPr>
              <w:t>总挥发性有机物</w:t>
            </w:r>
            <w:r w:rsidRPr="0081478A">
              <w:rPr>
                <w:rFonts w:cs="Times New Roman"/>
                <w:b w:val="0"/>
                <w:bCs/>
              </w:rPr>
              <w:t xml:space="preserve"> TVOC</w:t>
            </w:r>
          </w:p>
        </w:tc>
        <w:tc>
          <w:tcPr>
            <w:tcW w:w="1330" w:type="pct"/>
            <w:shd w:val="clear" w:color="auto" w:fill="auto"/>
            <w:noWrap/>
            <w:vAlign w:val="center"/>
          </w:tcPr>
          <w:p w14:paraId="3D71337D" w14:textId="77777777" w:rsidR="006677FB" w:rsidRPr="0081478A" w:rsidRDefault="006677FB" w:rsidP="006677FB">
            <w:pPr>
              <w:pStyle w:val="ae"/>
              <w:rPr>
                <w:rFonts w:cs="Times New Roman"/>
                <w:b w:val="0"/>
                <w:bCs/>
              </w:rPr>
            </w:pPr>
            <w:r w:rsidRPr="0081478A">
              <w:rPr>
                <w:rFonts w:cs="Times New Roman"/>
                <w:b w:val="0"/>
                <w:bCs/>
              </w:rPr>
              <w:t>≤0.60mg/m³</w:t>
            </w:r>
          </w:p>
        </w:tc>
        <w:tc>
          <w:tcPr>
            <w:tcW w:w="1856" w:type="pct"/>
            <w:shd w:val="clear" w:color="auto" w:fill="auto"/>
            <w:noWrap/>
            <w:vAlign w:val="center"/>
          </w:tcPr>
          <w:p w14:paraId="3AD12803" w14:textId="77777777" w:rsidR="006677FB" w:rsidRPr="0081478A" w:rsidRDefault="006677FB" w:rsidP="006677FB">
            <w:pPr>
              <w:pStyle w:val="ae"/>
              <w:rPr>
                <w:rFonts w:cs="Times New Roman"/>
                <w:b w:val="0"/>
                <w:bCs/>
              </w:rPr>
            </w:pPr>
            <w:r w:rsidRPr="0081478A">
              <w:rPr>
                <w:rFonts w:cs="Times New Roman"/>
                <w:b w:val="0"/>
                <w:bCs/>
              </w:rPr>
              <w:t>8h</w:t>
            </w:r>
            <w:r w:rsidRPr="0081478A">
              <w:rPr>
                <w:rFonts w:cs="Times New Roman"/>
                <w:b w:val="0"/>
                <w:bCs/>
              </w:rPr>
              <w:t>均值</w:t>
            </w:r>
          </w:p>
        </w:tc>
      </w:tr>
      <w:tr w:rsidR="0081478A" w:rsidRPr="0081478A" w14:paraId="3BE92491" w14:textId="77777777" w:rsidTr="006677FB">
        <w:trPr>
          <w:jc w:val="center"/>
        </w:trPr>
        <w:tc>
          <w:tcPr>
            <w:tcW w:w="1814" w:type="pct"/>
            <w:shd w:val="clear" w:color="auto" w:fill="auto"/>
            <w:noWrap/>
            <w:vAlign w:val="center"/>
          </w:tcPr>
          <w:p w14:paraId="5ACDEBF5" w14:textId="77777777" w:rsidR="006677FB" w:rsidRPr="0081478A" w:rsidRDefault="006677FB" w:rsidP="006677FB">
            <w:pPr>
              <w:pStyle w:val="ae"/>
              <w:rPr>
                <w:rFonts w:cs="Times New Roman"/>
                <w:b w:val="0"/>
                <w:bCs/>
              </w:rPr>
            </w:pPr>
            <w:r w:rsidRPr="0081478A">
              <w:rPr>
                <w:rFonts w:cs="Times New Roman"/>
                <w:b w:val="0"/>
                <w:bCs/>
              </w:rPr>
              <w:t>氡</w:t>
            </w:r>
            <w:r w:rsidRPr="0081478A">
              <w:rPr>
                <w:rFonts w:cs="Times New Roman"/>
                <w:b w:val="0"/>
                <w:bCs/>
              </w:rPr>
              <w:t>222 Rn</w:t>
            </w:r>
          </w:p>
        </w:tc>
        <w:tc>
          <w:tcPr>
            <w:tcW w:w="1330" w:type="pct"/>
            <w:shd w:val="clear" w:color="auto" w:fill="auto"/>
            <w:noWrap/>
            <w:vAlign w:val="center"/>
          </w:tcPr>
          <w:p w14:paraId="28E1F8B0" w14:textId="77777777" w:rsidR="006677FB" w:rsidRPr="0081478A" w:rsidRDefault="006677FB" w:rsidP="006677FB">
            <w:pPr>
              <w:pStyle w:val="ae"/>
              <w:rPr>
                <w:rFonts w:cs="Times New Roman"/>
                <w:b w:val="0"/>
                <w:bCs/>
              </w:rPr>
            </w:pPr>
            <w:r w:rsidRPr="0081478A">
              <w:rPr>
                <w:rFonts w:cs="Times New Roman"/>
                <w:b w:val="0"/>
                <w:bCs/>
              </w:rPr>
              <w:t>≤400Bq/m³</w:t>
            </w:r>
          </w:p>
        </w:tc>
        <w:tc>
          <w:tcPr>
            <w:tcW w:w="1856" w:type="pct"/>
            <w:shd w:val="clear" w:color="auto" w:fill="auto"/>
            <w:noWrap/>
            <w:vAlign w:val="center"/>
          </w:tcPr>
          <w:p w14:paraId="000E33E2" w14:textId="77777777" w:rsidR="006677FB" w:rsidRPr="0081478A" w:rsidRDefault="006677FB" w:rsidP="006677FB">
            <w:pPr>
              <w:pStyle w:val="ae"/>
              <w:rPr>
                <w:rFonts w:cs="Times New Roman"/>
                <w:b w:val="0"/>
                <w:bCs/>
              </w:rPr>
            </w:pPr>
            <w:r w:rsidRPr="0081478A">
              <w:rPr>
                <w:rFonts w:cs="Times New Roman"/>
                <w:b w:val="0"/>
                <w:bCs/>
              </w:rPr>
              <w:t>年平均值（行动水平）</w:t>
            </w:r>
          </w:p>
        </w:tc>
      </w:tr>
    </w:tbl>
    <w:bookmarkEnd w:id="72"/>
    <w:p w14:paraId="0E84C1D6" w14:textId="77777777" w:rsidR="00375A92" w:rsidRDefault="006677FB" w:rsidP="00375A92">
      <w:pPr>
        <w:ind w:firstLine="420"/>
      </w:pPr>
      <w:r w:rsidRPr="0081478A">
        <w:t>项目范围内的室内空间禁止吸烟和使用电子香烟。建筑主入口、可开启窗和建筑新风入口周围</w:t>
      </w:r>
      <w:r w:rsidR="002B4D27" w:rsidRPr="0081478A">
        <w:t>8</w:t>
      </w:r>
      <w:r w:rsidRPr="0081478A">
        <w:t>米内禁止吸烟，有明显的禁烟标识。</w:t>
      </w:r>
    </w:p>
    <w:p w14:paraId="1D6C5939" w14:textId="0C96C15D" w:rsidR="00715ABB" w:rsidRPr="006C79E9" w:rsidRDefault="00F44390" w:rsidP="006C79E9">
      <w:pPr>
        <w:pStyle w:val="20"/>
      </w:pPr>
      <w:r w:rsidRPr="0081478A">
        <w:t>【评价方法】</w:t>
      </w:r>
    </w:p>
    <w:p w14:paraId="11D9D816" w14:textId="77777777" w:rsidR="0084444F" w:rsidRPr="00530A11" w:rsidRDefault="0084444F" w:rsidP="0084444F">
      <w:pPr>
        <w:ind w:firstLine="420"/>
        <w:rPr>
          <w:rFonts w:cs="Times New Roman"/>
          <w:szCs w:val="24"/>
        </w:rPr>
      </w:pPr>
      <w:r w:rsidRPr="00530A11">
        <w:rPr>
          <w:rFonts w:cs="Times New Roman"/>
          <w:szCs w:val="24"/>
        </w:rPr>
        <w:t>预评价查阅相关设计文件、相关说明文件</w:t>
      </w:r>
      <w:r w:rsidRPr="00530A11">
        <w:rPr>
          <w:rFonts w:cs="Times New Roman"/>
          <w:szCs w:val="24"/>
        </w:rPr>
        <w:t>(</w:t>
      </w:r>
      <w:r w:rsidRPr="00530A11">
        <w:rPr>
          <w:rFonts w:cs="Times New Roman"/>
          <w:szCs w:val="24"/>
        </w:rPr>
        <w:t>装修材料种类、用量，禁止吸烟措施</w:t>
      </w:r>
      <w:r w:rsidRPr="00530A11">
        <w:rPr>
          <w:rFonts w:cs="Times New Roman"/>
          <w:szCs w:val="24"/>
        </w:rPr>
        <w:t>)</w:t>
      </w:r>
      <w:r w:rsidRPr="00530A11">
        <w:rPr>
          <w:rFonts w:cs="Times New Roman"/>
          <w:szCs w:val="24"/>
        </w:rPr>
        <w:t>、预评估分析报告；评价查阅相关竣工图、相关说明文件</w:t>
      </w:r>
      <w:r w:rsidRPr="00530A11">
        <w:rPr>
          <w:rFonts w:cs="Times New Roman"/>
          <w:szCs w:val="24"/>
        </w:rPr>
        <w:t>(</w:t>
      </w:r>
      <w:r w:rsidRPr="00530A11">
        <w:rPr>
          <w:rFonts w:cs="Times New Roman"/>
          <w:szCs w:val="24"/>
        </w:rPr>
        <w:t>装修材料种类、用量，禁止吸烟措施</w:t>
      </w:r>
      <w:r w:rsidRPr="00530A11">
        <w:rPr>
          <w:rFonts w:cs="Times New Roman"/>
          <w:szCs w:val="24"/>
        </w:rPr>
        <w:t>)</w:t>
      </w:r>
      <w:r w:rsidRPr="00530A11">
        <w:rPr>
          <w:rFonts w:cs="Times New Roman"/>
          <w:szCs w:val="24"/>
        </w:rPr>
        <w:t>、</w:t>
      </w:r>
      <w:r w:rsidRPr="00530A11">
        <w:rPr>
          <w:rFonts w:cs="Times New Roman"/>
          <w:szCs w:val="24"/>
        </w:rPr>
        <w:lastRenderedPageBreak/>
        <w:t>预评估分析报告，投入使用的项目尚应查阅室内空气质量检测报告、</w:t>
      </w:r>
      <w:r w:rsidRPr="00530A11">
        <w:rPr>
          <w:rFonts w:cs="Times New Roman"/>
        </w:rPr>
        <w:t>查看现场实体禁烟标识。</w:t>
      </w:r>
    </w:p>
    <w:p w14:paraId="199DAE8A" w14:textId="77777777" w:rsidR="00715ABB" w:rsidRPr="0084444F" w:rsidRDefault="00715ABB">
      <w:pPr>
        <w:snapToGrid w:val="0"/>
        <w:ind w:firstLineChars="0" w:firstLine="0"/>
        <w:jc w:val="left"/>
        <w:rPr>
          <w:rFonts w:cs="Times New Roman"/>
          <w:szCs w:val="24"/>
        </w:rPr>
      </w:pPr>
    </w:p>
    <w:p w14:paraId="767EAB4A" w14:textId="77777777" w:rsidR="002C09A7" w:rsidRPr="00530A11" w:rsidRDefault="002C09A7" w:rsidP="002C09A7">
      <w:pPr>
        <w:pStyle w:val="4"/>
        <w:rPr>
          <w:rFonts w:cs="Times New Roman"/>
          <w:bCs w:val="0"/>
        </w:rPr>
      </w:pPr>
      <w:r w:rsidRPr="00530A11">
        <w:rPr>
          <w:rFonts w:cs="Times New Roman"/>
          <w:bCs w:val="0"/>
        </w:rPr>
        <w:t xml:space="preserve">5.1.2 </w:t>
      </w:r>
      <w:r w:rsidRPr="00530A11">
        <w:rPr>
          <w:rFonts w:cs="Times New Roman"/>
          <w:bCs w:val="0"/>
        </w:rPr>
        <w:t>应采取措施避免厨房、餐厅、打印复印室、卫生间、地下车库等区域的空气和污染物串通到其他空间；应防止厨房、卫生间的排气倒灌。</w:t>
      </w:r>
    </w:p>
    <w:p w14:paraId="451034C6" w14:textId="77777777" w:rsidR="00715ABB" w:rsidRPr="0081478A" w:rsidRDefault="00F44390" w:rsidP="006C79E9">
      <w:pPr>
        <w:pStyle w:val="20"/>
      </w:pPr>
      <w:r w:rsidRPr="0081478A">
        <w:t>【条文说明】</w:t>
      </w:r>
    </w:p>
    <w:p w14:paraId="5F51594A" w14:textId="77777777" w:rsidR="002C09A7" w:rsidRPr="00530A11" w:rsidRDefault="002C09A7" w:rsidP="002C09A7">
      <w:pPr>
        <w:ind w:firstLine="420"/>
      </w:pPr>
      <w:r w:rsidRPr="00530A11">
        <w:t>本条适用于各类民用建筑的预评价、评价。</w:t>
      </w:r>
    </w:p>
    <w:p w14:paraId="4EDB62A5" w14:textId="77777777" w:rsidR="002C09A7" w:rsidRPr="00530A11" w:rsidRDefault="002C09A7" w:rsidP="002C09A7">
      <w:pPr>
        <w:ind w:firstLine="420"/>
        <w:rPr>
          <w:rFonts w:cs="Times New Roman"/>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8.2.11</w:t>
      </w:r>
      <w:r w:rsidRPr="00530A11">
        <w:rPr>
          <w:rFonts w:cs="Times New Roman"/>
          <w:kern w:val="44"/>
          <w:szCs w:val="24"/>
        </w:rPr>
        <w:t>、</w:t>
      </w:r>
      <w:r w:rsidRPr="00530A11">
        <w:rPr>
          <w:rFonts w:cs="Times New Roman"/>
          <w:kern w:val="44"/>
          <w:szCs w:val="24"/>
        </w:rPr>
        <w:t>8.2.13</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8.2.11</w:t>
      </w:r>
      <w:r w:rsidRPr="00530A11">
        <w:rPr>
          <w:rFonts w:cs="Times New Roman"/>
          <w:kern w:val="44"/>
          <w:szCs w:val="24"/>
        </w:rPr>
        <w:t>、</w:t>
      </w:r>
      <w:r w:rsidRPr="00530A11">
        <w:rPr>
          <w:rFonts w:cs="Times New Roman"/>
          <w:kern w:val="44"/>
          <w:szCs w:val="24"/>
        </w:rPr>
        <w:t>8.2.13</w:t>
      </w:r>
      <w:r w:rsidRPr="00530A11">
        <w:rPr>
          <w:rFonts w:cs="Times New Roman"/>
        </w:rPr>
        <w:t>条的基础上发展而来。</w:t>
      </w:r>
    </w:p>
    <w:p w14:paraId="516429F5" w14:textId="77777777" w:rsidR="002C09A7" w:rsidRPr="00530A11" w:rsidRDefault="002C09A7" w:rsidP="002C09A7">
      <w:pPr>
        <w:ind w:firstLine="420"/>
        <w:rPr>
          <w:rFonts w:cs="Times New Roman"/>
          <w:kern w:val="44"/>
          <w:szCs w:val="24"/>
        </w:rPr>
      </w:pPr>
      <w:r w:rsidRPr="00530A11">
        <w:rPr>
          <w:rFonts w:cs="Times New Roman"/>
          <w:kern w:val="44"/>
          <w:szCs w:val="24"/>
        </w:rPr>
        <w:t>避免厨房、餐厅、打印复印室、卫生间、地下车库等区域的空气和污染物串通到室内其他空间，为此要保证合理的气流组织，采取合理的排风措施避免污染物扩散，将厨房和卫生间设置于建筑单元</w:t>
      </w:r>
      <w:r w:rsidRPr="00530A11">
        <w:rPr>
          <w:rFonts w:cs="Times New Roman"/>
          <w:kern w:val="44"/>
          <w:szCs w:val="24"/>
        </w:rPr>
        <w:t>(</w:t>
      </w:r>
      <w:r w:rsidRPr="00530A11">
        <w:rPr>
          <w:rFonts w:cs="Times New Roman"/>
          <w:kern w:val="44"/>
          <w:szCs w:val="24"/>
        </w:rPr>
        <w:t>或户型</w:t>
      </w:r>
      <w:r w:rsidRPr="00530A11">
        <w:rPr>
          <w:rFonts w:cs="Times New Roman"/>
          <w:kern w:val="44"/>
          <w:szCs w:val="24"/>
        </w:rPr>
        <w:t>)</w:t>
      </w:r>
      <w:r w:rsidRPr="00530A11">
        <w:rPr>
          <w:rFonts w:cs="Times New Roman"/>
          <w:kern w:val="44"/>
          <w:szCs w:val="24"/>
        </w:rPr>
        <w:t>自然通风的负压侧，防止厨房或卫生间的气味进入室内而影响室内空气质量。同时，可以对不同功能房间保证一定压差，避免气味或污染物串通到室内其他空间。如设置机械排风，应保证负压，还应注意其取风口和排风口的位置，避免短路或污染。</w:t>
      </w:r>
    </w:p>
    <w:p w14:paraId="0AAA89ED" w14:textId="77777777" w:rsidR="002C09A7" w:rsidRPr="00530A11" w:rsidRDefault="002C09A7" w:rsidP="002C09A7">
      <w:pPr>
        <w:ind w:firstLine="420"/>
        <w:rPr>
          <w:rFonts w:cs="Times New Roman"/>
        </w:rPr>
      </w:pPr>
      <w:r w:rsidRPr="00530A11">
        <w:rPr>
          <w:rFonts w:cs="Times New Roman"/>
        </w:rPr>
        <w:t>厨房和卫生间的排气倒灌，对室内空气品质影响巨大，因此本条对避免厨房和卫生间排气倒灌进行了规定。厨房和卫生间的排气道设计应符合现行国家标准《住宅设计规范》</w:t>
      </w:r>
      <w:r w:rsidRPr="00530A11">
        <w:rPr>
          <w:rFonts w:cs="Times New Roman"/>
        </w:rPr>
        <w:t>GB 50096</w:t>
      </w:r>
      <w:r w:rsidRPr="00530A11">
        <w:rPr>
          <w:rFonts w:cs="Times New Roman"/>
        </w:rPr>
        <w:t>、《住宅建筑规范》</w:t>
      </w:r>
      <w:r w:rsidRPr="00530A11">
        <w:rPr>
          <w:rFonts w:cs="Times New Roman"/>
        </w:rPr>
        <w:t>GB 50368</w:t>
      </w:r>
      <w:r w:rsidRPr="00530A11">
        <w:rPr>
          <w:rFonts w:cs="Times New Roman"/>
        </w:rPr>
        <w:t>、《建筑设计防火规范》</w:t>
      </w:r>
      <w:r w:rsidRPr="00530A11">
        <w:rPr>
          <w:rFonts w:cs="Times New Roman"/>
        </w:rPr>
        <w:t>GB 50016</w:t>
      </w:r>
      <w:r w:rsidRPr="00530A11">
        <w:rPr>
          <w:rFonts w:cs="Times New Roman"/>
        </w:rPr>
        <w:t>、《民用建筑设计统一标准》</w:t>
      </w:r>
      <w:r w:rsidRPr="00530A11">
        <w:rPr>
          <w:rFonts w:cs="Times New Roman"/>
        </w:rPr>
        <w:t>GB 50352</w:t>
      </w:r>
      <w:r w:rsidRPr="00530A11">
        <w:rPr>
          <w:rFonts w:cs="Times New Roman"/>
        </w:rPr>
        <w:t>等规范的有关规定。排气道的断面、形状、尺寸和内壁应有利于排烟</w:t>
      </w:r>
      <w:r w:rsidRPr="00530A11">
        <w:rPr>
          <w:rFonts w:cs="Times New Roman"/>
        </w:rPr>
        <w:t>(</w:t>
      </w:r>
      <w:r w:rsidRPr="00530A11">
        <w:rPr>
          <w:rFonts w:cs="Times New Roman"/>
        </w:rPr>
        <w:t>气</w:t>
      </w:r>
      <w:r w:rsidRPr="00530A11">
        <w:rPr>
          <w:rFonts w:cs="Times New Roman"/>
        </w:rPr>
        <w:t>)</w:t>
      </w:r>
      <w:r w:rsidRPr="00530A11">
        <w:rPr>
          <w:rFonts w:cs="Times New Roman"/>
        </w:rPr>
        <w:t>通畅，防止产生阻滞、涡流、串烟、漏气和倒灌等现象。其他措施还包括安装止回排气阀、防倒灌风帽等。止回排气阀的各零件部品表面应平整，不应有裂缝、压坑及明显的凹凸、锤痕、毛刺、孔洞等缺陷。</w:t>
      </w:r>
      <w:r w:rsidRPr="00530A11">
        <w:rPr>
          <w:rFonts w:cs="Times New Roman"/>
        </w:rPr>
        <w:t xml:space="preserve"> </w:t>
      </w:r>
    </w:p>
    <w:p w14:paraId="4B7A0E7B" w14:textId="77777777" w:rsidR="002C09A7" w:rsidRPr="00530A11" w:rsidRDefault="002C09A7" w:rsidP="002C09A7">
      <w:pPr>
        <w:ind w:firstLine="420"/>
        <w:rPr>
          <w:rFonts w:cs="Times New Roman"/>
        </w:rPr>
      </w:pPr>
      <w:r w:rsidRPr="00530A11">
        <w:rPr>
          <w:rFonts w:cs="Times New Roman"/>
        </w:rPr>
        <w:t>同时还应禁止燃气热水器的排烟管排至油烟机烟道，以免造成危险。</w:t>
      </w:r>
    </w:p>
    <w:p w14:paraId="05691899" w14:textId="77777777" w:rsidR="002B4D27" w:rsidRPr="006C79E9" w:rsidRDefault="002B4D27" w:rsidP="006C79E9">
      <w:pPr>
        <w:pStyle w:val="20"/>
      </w:pPr>
      <w:r w:rsidRPr="0081478A">
        <w:t>【评价要点】</w:t>
      </w:r>
    </w:p>
    <w:p w14:paraId="2BE14B1F" w14:textId="77777777" w:rsidR="002B4D27" w:rsidRPr="0081478A" w:rsidRDefault="00252571" w:rsidP="00252571">
      <w:pPr>
        <w:snapToGrid w:val="0"/>
        <w:ind w:firstLine="420"/>
        <w:jc w:val="left"/>
        <w:rPr>
          <w:rFonts w:cs="Times New Roman"/>
          <w:szCs w:val="24"/>
        </w:rPr>
      </w:pPr>
      <w:r w:rsidRPr="0081478A">
        <w:rPr>
          <w:rFonts w:cs="Times New Roman"/>
        </w:rPr>
        <w:t xml:space="preserve">1 </w:t>
      </w:r>
      <w:r w:rsidR="002B4D27" w:rsidRPr="0081478A">
        <w:rPr>
          <w:rFonts w:cs="Times New Roman"/>
          <w:szCs w:val="24"/>
        </w:rPr>
        <w:t>室内风环境数值分析报告应满足本书附录</w:t>
      </w:r>
      <w:r w:rsidR="002B4D27" w:rsidRPr="0081478A">
        <w:rPr>
          <w:rFonts w:cs="Times New Roman"/>
          <w:szCs w:val="24"/>
        </w:rPr>
        <w:t>A.4</w:t>
      </w:r>
      <w:r w:rsidR="002B4D27" w:rsidRPr="0081478A">
        <w:rPr>
          <w:rFonts w:cs="Times New Roman"/>
          <w:szCs w:val="24"/>
        </w:rPr>
        <w:t>的要求。</w:t>
      </w:r>
    </w:p>
    <w:p w14:paraId="7D0BBE2C" w14:textId="77777777" w:rsidR="002B4D27" w:rsidRPr="0081478A" w:rsidRDefault="00252571" w:rsidP="002B4D27">
      <w:pPr>
        <w:snapToGrid w:val="0"/>
        <w:ind w:firstLine="420"/>
        <w:jc w:val="left"/>
        <w:rPr>
          <w:rFonts w:cs="Times New Roman"/>
          <w:szCs w:val="24"/>
        </w:rPr>
      </w:pPr>
      <w:r w:rsidRPr="0081478A">
        <w:rPr>
          <w:rFonts w:cs="Times New Roman"/>
          <w:szCs w:val="24"/>
        </w:rPr>
        <w:t xml:space="preserve">2 </w:t>
      </w:r>
      <w:r w:rsidR="002B4D27" w:rsidRPr="0081478A">
        <w:rPr>
          <w:rFonts w:cs="Times New Roman"/>
          <w:szCs w:val="24"/>
        </w:rPr>
        <w:t>卫生间、餐厅、地下车库等区域如设置机械排风，并保证负压外，还应注意其取风口和排风口的位置，避免短路或污染，才能判断达标。</w:t>
      </w:r>
    </w:p>
    <w:p w14:paraId="75126B40" w14:textId="77777777" w:rsidR="00715ABB" w:rsidRPr="006C79E9" w:rsidRDefault="00F44390" w:rsidP="006C79E9">
      <w:pPr>
        <w:pStyle w:val="20"/>
      </w:pPr>
      <w:r w:rsidRPr="0081478A">
        <w:t>【评价方法】</w:t>
      </w:r>
    </w:p>
    <w:p w14:paraId="07875C57" w14:textId="75BF3DD4" w:rsidR="0084444F" w:rsidRPr="00530A11" w:rsidRDefault="0084444F" w:rsidP="0084444F">
      <w:pPr>
        <w:ind w:firstLine="420"/>
        <w:rPr>
          <w:rFonts w:cs="Times New Roman"/>
          <w:kern w:val="44"/>
          <w:szCs w:val="24"/>
        </w:rPr>
      </w:pPr>
      <w:r w:rsidRPr="00530A11">
        <w:rPr>
          <w:rFonts w:cs="Times New Roman"/>
          <w:kern w:val="44"/>
          <w:szCs w:val="24"/>
        </w:rPr>
        <w:t>预评价查阅相关设计文件、气流组织模拟分析报告</w:t>
      </w:r>
      <w:r w:rsidR="006F6073">
        <w:rPr>
          <w:rFonts w:cs="Times New Roman" w:hint="eastAsia"/>
          <w:kern w:val="44"/>
          <w:szCs w:val="24"/>
        </w:rPr>
        <w:t>，重点查阅打印复印室、影像设备房、厨房等特殊功能房间的气流组织设计</w:t>
      </w:r>
      <w:r w:rsidRPr="00530A11">
        <w:rPr>
          <w:rFonts w:cs="Times New Roman"/>
          <w:kern w:val="44"/>
          <w:szCs w:val="24"/>
        </w:rPr>
        <w:t>；评价查阅相关竣工图、气流组织模拟分析报告、相关产品性能检测报告或质量合格证书，查看施工过程影像资料。</w:t>
      </w:r>
    </w:p>
    <w:p w14:paraId="258E3956" w14:textId="77777777" w:rsidR="00715ABB" w:rsidRPr="0084444F" w:rsidRDefault="00715ABB">
      <w:pPr>
        <w:snapToGrid w:val="0"/>
        <w:ind w:firstLine="420"/>
        <w:jc w:val="left"/>
        <w:rPr>
          <w:rFonts w:cs="Times New Roman"/>
          <w:szCs w:val="24"/>
        </w:rPr>
      </w:pPr>
    </w:p>
    <w:p w14:paraId="45E51BE8" w14:textId="77777777" w:rsidR="002C09A7" w:rsidRPr="00530A11" w:rsidRDefault="002C09A7" w:rsidP="002C09A7">
      <w:pPr>
        <w:pStyle w:val="4"/>
        <w:rPr>
          <w:rFonts w:cs="Times New Roman"/>
          <w:bCs w:val="0"/>
        </w:rPr>
      </w:pPr>
      <w:r w:rsidRPr="00530A11">
        <w:rPr>
          <w:rFonts w:cs="Times New Roman"/>
          <w:bCs w:val="0"/>
        </w:rPr>
        <w:lastRenderedPageBreak/>
        <w:t xml:space="preserve">5.1.3 </w:t>
      </w:r>
      <w:r w:rsidRPr="00530A11">
        <w:rPr>
          <w:rFonts w:cs="Times New Roman"/>
          <w:bCs w:val="0"/>
        </w:rPr>
        <w:t>给水排水系统的设置应符合下列规定：</w:t>
      </w:r>
    </w:p>
    <w:p w14:paraId="016C69D4" w14:textId="77777777" w:rsidR="002C09A7" w:rsidRPr="002C09A7" w:rsidRDefault="002C09A7" w:rsidP="002C09A7">
      <w:pPr>
        <w:snapToGrid w:val="0"/>
        <w:ind w:firstLineChars="0" w:firstLine="0"/>
        <w:jc w:val="left"/>
        <w:rPr>
          <w:rFonts w:cs="Times New Roman"/>
          <w:b/>
          <w:bCs/>
          <w:szCs w:val="24"/>
        </w:rPr>
      </w:pPr>
      <w:r w:rsidRPr="002C09A7">
        <w:rPr>
          <w:rFonts w:cs="Times New Roman"/>
          <w:b/>
          <w:bCs/>
          <w:szCs w:val="24"/>
        </w:rPr>
        <w:t xml:space="preserve">  1 </w:t>
      </w:r>
      <w:r w:rsidRPr="002C09A7">
        <w:rPr>
          <w:rFonts w:cs="Times New Roman"/>
          <w:b/>
          <w:bCs/>
          <w:szCs w:val="24"/>
        </w:rPr>
        <w:t>生活饮用水水质应满足现行国家标准《生活饮用水卫生标准》</w:t>
      </w:r>
      <w:r w:rsidRPr="002C09A7">
        <w:rPr>
          <w:rFonts w:cs="Times New Roman"/>
          <w:b/>
          <w:bCs/>
          <w:szCs w:val="24"/>
        </w:rPr>
        <w:t>GB 5749</w:t>
      </w:r>
      <w:r w:rsidRPr="002C09A7">
        <w:rPr>
          <w:rFonts w:cs="Times New Roman"/>
          <w:b/>
          <w:bCs/>
          <w:szCs w:val="24"/>
        </w:rPr>
        <w:t>的要求；</w:t>
      </w:r>
    </w:p>
    <w:p w14:paraId="372495A0"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应制定水池、水箱等储水设施定期清洗消毒计划并实施，且生活饮用水储水设施每半年清洗消毒不应少于</w:t>
      </w:r>
      <w:r w:rsidRPr="002C09A7">
        <w:rPr>
          <w:rFonts w:cs="Times New Roman"/>
          <w:b/>
          <w:bCs/>
          <w:szCs w:val="24"/>
        </w:rPr>
        <w:t>1</w:t>
      </w:r>
      <w:r w:rsidRPr="002C09A7">
        <w:rPr>
          <w:rFonts w:cs="Times New Roman"/>
          <w:b/>
          <w:bCs/>
          <w:szCs w:val="24"/>
        </w:rPr>
        <w:t>次；</w:t>
      </w:r>
    </w:p>
    <w:p w14:paraId="118CEA07" w14:textId="77777777" w:rsidR="002C09A7" w:rsidRPr="002C09A7" w:rsidRDefault="002C09A7" w:rsidP="002C09A7">
      <w:pPr>
        <w:ind w:firstLineChars="100" w:firstLine="211"/>
        <w:rPr>
          <w:rFonts w:cs="Times New Roman"/>
          <w:b/>
          <w:bCs/>
          <w:szCs w:val="24"/>
        </w:rPr>
      </w:pPr>
      <w:r w:rsidRPr="002C09A7">
        <w:rPr>
          <w:rFonts w:cs="Times New Roman"/>
          <w:b/>
          <w:bCs/>
          <w:szCs w:val="24"/>
        </w:rPr>
        <w:t xml:space="preserve">3 </w:t>
      </w:r>
      <w:r w:rsidRPr="002C09A7">
        <w:rPr>
          <w:rFonts w:cs="Times New Roman"/>
          <w:b/>
          <w:bCs/>
          <w:szCs w:val="24"/>
        </w:rPr>
        <w:t>应使用构造内自带水封的便器，且其水封深度不应小于</w:t>
      </w:r>
      <w:r w:rsidRPr="002C09A7">
        <w:rPr>
          <w:rFonts w:cs="Times New Roman"/>
          <w:b/>
          <w:bCs/>
          <w:szCs w:val="24"/>
        </w:rPr>
        <w:t>50mm</w:t>
      </w:r>
      <w:r w:rsidRPr="002C09A7">
        <w:rPr>
          <w:rFonts w:cs="Times New Roman"/>
          <w:b/>
          <w:bCs/>
          <w:szCs w:val="24"/>
        </w:rPr>
        <w:t>。</w:t>
      </w:r>
    </w:p>
    <w:p w14:paraId="65FAD7BF" w14:textId="77777777" w:rsidR="002C09A7" w:rsidRPr="002C09A7" w:rsidRDefault="002C09A7" w:rsidP="002C09A7">
      <w:pPr>
        <w:snapToGrid w:val="0"/>
        <w:ind w:firstLineChars="100" w:firstLine="211"/>
        <w:jc w:val="left"/>
        <w:rPr>
          <w:rFonts w:cs="Times New Roman"/>
          <w:b/>
          <w:bCs/>
          <w:szCs w:val="24"/>
        </w:rPr>
      </w:pPr>
      <w:r w:rsidRPr="002C09A7">
        <w:rPr>
          <w:rFonts w:cs="Times New Roman" w:hint="eastAsia"/>
          <w:b/>
          <w:bCs/>
          <w:szCs w:val="24"/>
        </w:rPr>
        <w:t xml:space="preserve">4 </w:t>
      </w:r>
      <w:r w:rsidRPr="002C09A7">
        <w:rPr>
          <w:rFonts w:cs="Times New Roman" w:hint="eastAsia"/>
          <w:b/>
          <w:bCs/>
          <w:szCs w:val="24"/>
        </w:rPr>
        <w:t>非传统水源管道和设备应设置明确、清晰的永久性标识。</w:t>
      </w:r>
    </w:p>
    <w:p w14:paraId="3E0F9695" w14:textId="77777777" w:rsidR="00715ABB" w:rsidRPr="0081478A" w:rsidRDefault="00F44390" w:rsidP="006C79E9">
      <w:pPr>
        <w:pStyle w:val="20"/>
      </w:pPr>
      <w:r w:rsidRPr="0081478A">
        <w:t>【条文说明】</w:t>
      </w:r>
    </w:p>
    <w:p w14:paraId="3CD118FC" w14:textId="77777777" w:rsidR="002C09A7" w:rsidRPr="00530A11" w:rsidRDefault="002C09A7" w:rsidP="002C09A7">
      <w:pPr>
        <w:ind w:firstLine="420"/>
      </w:pPr>
      <w:r w:rsidRPr="00530A11">
        <w:t>本条适用于各类民用建筑的预评价、评价。在生活饮用水水质符合现行国家标准《生活饮用水卫生标准》</w:t>
      </w:r>
      <w:r w:rsidRPr="00530A11">
        <w:t>GB 5749</w:t>
      </w:r>
      <w:r w:rsidRPr="00530A11">
        <w:t>规定的前提下，若建筑未设置储水设施，本条第</w:t>
      </w:r>
      <w:r w:rsidRPr="00530A11">
        <w:t>1</w:t>
      </w:r>
      <w:r w:rsidRPr="00530A11">
        <w:t>款直接通过。</w:t>
      </w:r>
    </w:p>
    <w:p w14:paraId="3CB844C1" w14:textId="77777777" w:rsidR="002C09A7" w:rsidRPr="00530A11" w:rsidRDefault="002C09A7" w:rsidP="002C09A7">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kern w:val="44"/>
          <w:szCs w:val="24"/>
        </w:rPr>
        <w:t>符合健康要求的建筑给水排水系统，是建筑健康安全的重要保障。</w:t>
      </w:r>
    </w:p>
    <w:p w14:paraId="0432655A" w14:textId="77777777" w:rsidR="002C09A7" w:rsidRPr="00530A11" w:rsidRDefault="002C09A7" w:rsidP="002C09A7">
      <w:pPr>
        <w:ind w:firstLine="420"/>
        <w:rPr>
          <w:rFonts w:cs="Times New Roman"/>
          <w:kern w:val="44"/>
          <w:szCs w:val="24"/>
        </w:rPr>
      </w:pPr>
      <w:r w:rsidRPr="00530A11">
        <w:rPr>
          <w:rFonts w:cs="Times New Roman"/>
          <w:kern w:val="44"/>
          <w:szCs w:val="24"/>
        </w:rPr>
        <w:t>第</w:t>
      </w:r>
      <w:r w:rsidRPr="00530A11">
        <w:rPr>
          <w:rFonts w:cs="Times New Roman"/>
          <w:kern w:val="44"/>
          <w:szCs w:val="24"/>
        </w:rPr>
        <w:t>1</w:t>
      </w:r>
      <w:r w:rsidRPr="00530A11">
        <w:rPr>
          <w:rFonts w:cs="Times New Roman"/>
          <w:kern w:val="44"/>
          <w:szCs w:val="24"/>
        </w:rPr>
        <w:t>款，能够提供符合卫生要求的生活饮用水是绿色建筑的基本前提之一。建筑生活饮用水用水点出水水质的常规指标应符合现行国家标准《生活饮用水卫生标准》</w:t>
      </w:r>
      <w:r w:rsidRPr="00530A11">
        <w:rPr>
          <w:rFonts w:cs="Times New Roman"/>
          <w:kern w:val="44"/>
          <w:szCs w:val="24"/>
        </w:rPr>
        <w:t>GB 5749</w:t>
      </w:r>
      <w:r w:rsidRPr="00530A11">
        <w:rPr>
          <w:rFonts w:cs="Times New Roman"/>
          <w:kern w:val="44"/>
          <w:szCs w:val="24"/>
        </w:rPr>
        <w:t>的规定。</w:t>
      </w:r>
    </w:p>
    <w:p w14:paraId="1C66DAE1" w14:textId="77777777" w:rsidR="002C09A7" w:rsidRPr="00530A11" w:rsidRDefault="002C09A7" w:rsidP="002C09A7">
      <w:pPr>
        <w:ind w:firstLine="420"/>
        <w:rPr>
          <w:rFonts w:cs="Times New Roman"/>
          <w:kern w:val="44"/>
          <w:szCs w:val="24"/>
        </w:rPr>
      </w:pPr>
      <w:r w:rsidRPr="00530A11">
        <w:rPr>
          <w:rFonts w:cs="Times New Roman"/>
          <w:kern w:val="44"/>
          <w:szCs w:val="24"/>
        </w:rPr>
        <w:t>第</w:t>
      </w:r>
      <w:r w:rsidRPr="00530A11">
        <w:rPr>
          <w:rFonts w:cs="Times New Roman"/>
          <w:kern w:val="44"/>
          <w:szCs w:val="24"/>
        </w:rPr>
        <w:t>2</w:t>
      </w:r>
      <w:r w:rsidRPr="00530A11">
        <w:rPr>
          <w:rFonts w:cs="Times New Roman"/>
          <w:kern w:val="44"/>
          <w:szCs w:val="24"/>
        </w:rPr>
        <w:t>款，生活饮用水储水设施包括生活饮用水供水系统储水设施、集中生活热水储水设施、储有生活用水的消防储水设施、冷却用水储水设施、游泳池及水景平衡水箱</w:t>
      </w:r>
      <w:r w:rsidRPr="00530A11">
        <w:rPr>
          <w:rFonts w:cs="Times New Roman"/>
          <w:kern w:val="44"/>
          <w:szCs w:val="24"/>
        </w:rPr>
        <w:t>(</w:t>
      </w:r>
      <w:r w:rsidRPr="00530A11">
        <w:rPr>
          <w:rFonts w:cs="Times New Roman"/>
          <w:kern w:val="44"/>
          <w:szCs w:val="24"/>
        </w:rPr>
        <w:t>池</w:t>
      </w:r>
      <w:r w:rsidRPr="00530A11">
        <w:rPr>
          <w:rFonts w:cs="Times New Roman"/>
          <w:kern w:val="44"/>
          <w:szCs w:val="24"/>
        </w:rPr>
        <w:t>)</w:t>
      </w:r>
      <w:r w:rsidRPr="00530A11">
        <w:rPr>
          <w:rFonts w:cs="Times New Roman"/>
          <w:kern w:val="44"/>
          <w:szCs w:val="24"/>
        </w:rPr>
        <w:t>等。储水设施清洗后应进行水质检测，水质合格后方可恢复供水。</w:t>
      </w:r>
    </w:p>
    <w:p w14:paraId="30E7B185" w14:textId="77777777" w:rsidR="002C09A7" w:rsidRPr="00530A11" w:rsidRDefault="002C09A7" w:rsidP="002C09A7">
      <w:pPr>
        <w:ind w:firstLine="420"/>
        <w:rPr>
          <w:rFonts w:cs="Times New Roman"/>
          <w:kern w:val="44"/>
          <w:szCs w:val="24"/>
        </w:rPr>
      </w:pPr>
      <w:r w:rsidRPr="00530A11">
        <w:rPr>
          <w:rFonts w:cs="Times New Roman"/>
          <w:kern w:val="44"/>
          <w:szCs w:val="24"/>
        </w:rPr>
        <w:t>第</w:t>
      </w:r>
      <w:r w:rsidRPr="00530A11">
        <w:rPr>
          <w:rFonts w:cs="Times New Roman"/>
          <w:kern w:val="44"/>
          <w:szCs w:val="24"/>
        </w:rPr>
        <w:t>3</w:t>
      </w:r>
      <w:r w:rsidRPr="00530A11">
        <w:rPr>
          <w:rFonts w:cs="Times New Roman"/>
          <w:kern w:val="44"/>
          <w:szCs w:val="24"/>
        </w:rPr>
        <w:t>款，水封装置是建筑排水管道系统中用以实现水封功能的装置。便器构造内自带水封，能够在保证污废水顺利排出的前提下，最大限度地防止排水系统中的有害气体逸入室内，避免室内环境受到污染，有效保护人体健康。便器构造内自带水封时，有效水封深度不得小于</w:t>
      </w:r>
      <w:r w:rsidRPr="00530A11">
        <w:rPr>
          <w:rFonts w:cs="Times New Roman"/>
          <w:kern w:val="44"/>
          <w:szCs w:val="24"/>
        </w:rPr>
        <w:t>50mm</w:t>
      </w:r>
      <w:r w:rsidRPr="00530A11">
        <w:rPr>
          <w:rFonts w:cs="Times New Roman"/>
          <w:kern w:val="44"/>
          <w:szCs w:val="24"/>
        </w:rPr>
        <w:t>，且不能采用活动机械密封替代水封。</w:t>
      </w:r>
    </w:p>
    <w:p w14:paraId="4392159B" w14:textId="77777777" w:rsidR="002C09A7" w:rsidRPr="00530A11" w:rsidRDefault="002C09A7" w:rsidP="002C09A7">
      <w:pPr>
        <w:ind w:firstLine="420"/>
        <w:rPr>
          <w:rFonts w:cs="Times New Roman"/>
          <w:kern w:val="44"/>
          <w:szCs w:val="24"/>
        </w:rPr>
      </w:pPr>
      <w:r w:rsidRPr="00530A11">
        <w:rPr>
          <w:rFonts w:cs="Times New Roman" w:hint="eastAsia"/>
          <w:kern w:val="44"/>
          <w:szCs w:val="24"/>
        </w:rPr>
        <w:t>第</w:t>
      </w:r>
      <w:r w:rsidRPr="00530A11">
        <w:rPr>
          <w:rFonts w:cs="Times New Roman" w:hint="eastAsia"/>
          <w:kern w:val="44"/>
          <w:szCs w:val="24"/>
        </w:rPr>
        <w:t>4</w:t>
      </w:r>
      <w:r w:rsidRPr="00530A11">
        <w:rPr>
          <w:rFonts w:cs="Times New Roman" w:hint="eastAsia"/>
          <w:kern w:val="44"/>
          <w:szCs w:val="24"/>
        </w:rPr>
        <w:t>款，要求对非传统水源的管道和设备设置明确、清晰的永久标识，可最大限度地避免在施工、日常维护或维修时发生误接、误饮、误用的情况，为用户提供健康用水保障。目前建筑行业有关部门仅对管道标记的颜色进行了规定，尚未制定统一的民用建筑管道标识标准图集，标识设置可参考现行国家标准《工业管道的基本识别色、识别符号和安全标识》</w:t>
      </w:r>
      <w:r w:rsidRPr="00530A11">
        <w:rPr>
          <w:rFonts w:cs="Times New Roman" w:hint="eastAsia"/>
          <w:kern w:val="44"/>
          <w:szCs w:val="24"/>
        </w:rPr>
        <w:t>GB 7231</w:t>
      </w:r>
      <w:r w:rsidRPr="00530A11">
        <w:rPr>
          <w:rFonts w:cs="Times New Roman" w:hint="eastAsia"/>
          <w:kern w:val="44"/>
          <w:szCs w:val="24"/>
        </w:rPr>
        <w:t>、《建筑给水排水及采暖工程施工质量验收规范》</w:t>
      </w:r>
      <w:r w:rsidRPr="00530A11">
        <w:rPr>
          <w:rFonts w:cs="Times New Roman" w:hint="eastAsia"/>
          <w:kern w:val="44"/>
          <w:szCs w:val="24"/>
        </w:rPr>
        <w:t>GB 50242</w:t>
      </w:r>
      <w:r w:rsidRPr="00530A11">
        <w:rPr>
          <w:rFonts w:cs="Times New Roman" w:hint="eastAsia"/>
          <w:kern w:val="44"/>
          <w:szCs w:val="24"/>
        </w:rPr>
        <w:t>中的相关规定。</w:t>
      </w:r>
    </w:p>
    <w:p w14:paraId="396F3D8A" w14:textId="6A82F2F2" w:rsidR="002B4D27" w:rsidRPr="006C79E9" w:rsidRDefault="002B4D27" w:rsidP="006C79E9">
      <w:pPr>
        <w:pStyle w:val="20"/>
      </w:pPr>
      <w:r w:rsidRPr="0081478A">
        <w:t>【评价要点】</w:t>
      </w:r>
    </w:p>
    <w:p w14:paraId="035FC163" w14:textId="0403B917" w:rsidR="00377E4B" w:rsidRDefault="00377E4B" w:rsidP="00377E4B">
      <w:pPr>
        <w:ind w:firstLine="420"/>
      </w:pPr>
      <w:r>
        <w:rPr>
          <w:rFonts w:cs="Times New Roman" w:hint="eastAsia"/>
        </w:rPr>
        <w:t>1</w:t>
      </w:r>
      <w:r>
        <w:rPr>
          <w:rFonts w:cs="Times New Roman"/>
        </w:rPr>
        <w:t>.</w:t>
      </w:r>
      <w:r w:rsidRPr="00216B28">
        <w:t>根据用水要求的不同，给水水质应达到国家、重庆或行业标准规定的要求。</w:t>
      </w:r>
    </w:p>
    <w:p w14:paraId="5FF2031C" w14:textId="3D09AE47" w:rsidR="00377E4B" w:rsidRDefault="00377E4B" w:rsidP="00377E4B">
      <w:pPr>
        <w:ind w:firstLine="420"/>
      </w:pPr>
      <w:r>
        <w:t>2.</w:t>
      </w:r>
      <w:r w:rsidRPr="00216B28">
        <w:t>生活水箱应设在建筑物房间内，容积、材质及密封方式设计合理，水箱、给水管材对水质无污染。</w:t>
      </w:r>
    </w:p>
    <w:p w14:paraId="376FB282" w14:textId="219457AD" w:rsidR="00377E4B" w:rsidRDefault="00377E4B" w:rsidP="00377E4B">
      <w:pPr>
        <w:ind w:firstLine="420"/>
      </w:pPr>
      <w:r>
        <w:rPr>
          <w:rFonts w:hint="eastAsia"/>
        </w:rPr>
        <w:lastRenderedPageBreak/>
        <w:t>3</w:t>
      </w:r>
      <w:r>
        <w:t>.</w:t>
      </w:r>
      <w:r w:rsidRPr="00530A11">
        <w:rPr>
          <w:rFonts w:cs="Times New Roman"/>
          <w:kern w:val="44"/>
          <w:szCs w:val="24"/>
        </w:rPr>
        <w:t>便器构造内自带水封，有效水封深度不得小于</w:t>
      </w:r>
      <w:r w:rsidRPr="00530A11">
        <w:rPr>
          <w:rFonts w:cs="Times New Roman"/>
          <w:kern w:val="44"/>
          <w:szCs w:val="24"/>
        </w:rPr>
        <w:t>50mm</w:t>
      </w:r>
      <w:r>
        <w:rPr>
          <w:rFonts w:cs="Times New Roman" w:hint="eastAsia"/>
          <w:kern w:val="44"/>
          <w:szCs w:val="24"/>
        </w:rPr>
        <w:t>。</w:t>
      </w:r>
    </w:p>
    <w:p w14:paraId="3E2D54B6" w14:textId="3A3276F0" w:rsidR="00377E4B" w:rsidRPr="00377E4B" w:rsidRDefault="00377E4B" w:rsidP="00377E4B">
      <w:pPr>
        <w:ind w:firstLine="420"/>
        <w:rPr>
          <w:rFonts w:cs="Times New Roman"/>
        </w:rPr>
      </w:pPr>
      <w:r>
        <w:rPr>
          <w:rFonts w:cs="Times New Roman" w:hint="eastAsia"/>
        </w:rPr>
        <w:t>4</w:t>
      </w:r>
      <w:r>
        <w:rPr>
          <w:rFonts w:cs="Times New Roman"/>
        </w:rPr>
        <w:t>.</w:t>
      </w:r>
      <w:r w:rsidRPr="00216B28">
        <w:t>使用非传统水源时，应保证非传统水源的使用安全，设置防止误接、误用、误饮的措施。</w:t>
      </w:r>
    </w:p>
    <w:p w14:paraId="2BC45264" w14:textId="77777777" w:rsidR="00715ABB" w:rsidRPr="006C79E9" w:rsidRDefault="00F44390" w:rsidP="006C79E9">
      <w:pPr>
        <w:pStyle w:val="20"/>
      </w:pPr>
      <w:r w:rsidRPr="0081478A">
        <w:t>【评价方法】</w:t>
      </w:r>
    </w:p>
    <w:p w14:paraId="55718FCB" w14:textId="77777777" w:rsidR="0084444F" w:rsidRPr="008C626F" w:rsidRDefault="0084444F" w:rsidP="0084444F">
      <w:pPr>
        <w:ind w:firstLine="420"/>
      </w:pPr>
      <w:r w:rsidRPr="00530A11">
        <w:t>预评价查阅市政供水的水质检测报告</w:t>
      </w:r>
      <w:r w:rsidRPr="00530A11">
        <w:t>(</w:t>
      </w:r>
      <w:r w:rsidRPr="00530A11">
        <w:t>可用同一水源邻近项目一年以内的水质检测报告</w:t>
      </w:r>
      <w:r w:rsidRPr="00530A11">
        <w:t>)</w:t>
      </w:r>
      <w:r w:rsidRPr="00530A11">
        <w:t>、相关设计文件</w:t>
      </w:r>
      <w:r w:rsidRPr="00530A11">
        <w:t>(</w:t>
      </w:r>
      <w:r w:rsidRPr="00530A11">
        <w:t>含卫生器具和地漏水封要求的说明、标识设置说明</w:t>
      </w:r>
      <w:r w:rsidRPr="00530A11">
        <w:t>)</w:t>
      </w:r>
      <w:r w:rsidRPr="00530A11">
        <w:t>；评价查阅相关竣工图、产品说明、各用水部门水质检测报告、管理制度、工作记录。</w:t>
      </w:r>
    </w:p>
    <w:p w14:paraId="0D0D9810" w14:textId="77777777" w:rsidR="00715ABB" w:rsidRPr="0084444F" w:rsidRDefault="00715ABB">
      <w:pPr>
        <w:ind w:firstLine="420"/>
        <w:rPr>
          <w:rFonts w:cs="Times New Roman"/>
        </w:rPr>
      </w:pPr>
    </w:p>
    <w:p w14:paraId="4C6C52F0" w14:textId="77777777" w:rsidR="002C09A7" w:rsidRPr="00530A11" w:rsidRDefault="002C09A7" w:rsidP="002C09A7">
      <w:pPr>
        <w:pStyle w:val="4"/>
        <w:rPr>
          <w:rFonts w:cs="Times New Roman"/>
          <w:bCs w:val="0"/>
        </w:rPr>
      </w:pPr>
      <w:r w:rsidRPr="00530A11">
        <w:rPr>
          <w:rFonts w:cs="Times New Roman"/>
          <w:bCs w:val="0"/>
        </w:rPr>
        <w:t xml:space="preserve">5.1.4 </w:t>
      </w:r>
      <w:r w:rsidRPr="00530A11">
        <w:rPr>
          <w:rFonts w:cs="Times New Roman"/>
          <w:bCs w:val="0"/>
        </w:rPr>
        <w:t>建筑布局合理，主要功能房间与噪声源合理分隔，且建筑</w:t>
      </w:r>
      <w:bookmarkStart w:id="73" w:name="_Hlk25520962"/>
      <w:r w:rsidRPr="00530A11">
        <w:rPr>
          <w:rFonts w:cs="Times New Roman"/>
          <w:bCs w:val="0"/>
        </w:rPr>
        <w:t>声环境</w:t>
      </w:r>
      <w:bookmarkEnd w:id="73"/>
      <w:r w:rsidRPr="00530A11">
        <w:rPr>
          <w:rFonts w:cs="Times New Roman"/>
          <w:bCs w:val="0"/>
        </w:rPr>
        <w:t>质量应符合下列规定：</w:t>
      </w:r>
    </w:p>
    <w:p w14:paraId="72B6AB0F"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1 </w:t>
      </w:r>
      <w:r w:rsidRPr="002C09A7">
        <w:rPr>
          <w:rFonts w:cs="Times New Roman"/>
          <w:b/>
          <w:bCs/>
          <w:szCs w:val="24"/>
        </w:rPr>
        <w:t>主要功能房间的室内噪声级应满足现行国家标准《民用建筑隔声设计规范》</w:t>
      </w:r>
      <w:r w:rsidRPr="002C09A7">
        <w:rPr>
          <w:rFonts w:cs="Times New Roman"/>
          <w:b/>
          <w:bCs/>
          <w:szCs w:val="24"/>
        </w:rPr>
        <w:t>GB 50118</w:t>
      </w:r>
      <w:r w:rsidRPr="002C09A7">
        <w:rPr>
          <w:rFonts w:cs="Times New Roman"/>
          <w:b/>
          <w:bCs/>
          <w:szCs w:val="24"/>
        </w:rPr>
        <w:t>中的低限要求；</w:t>
      </w:r>
    </w:p>
    <w:p w14:paraId="64CD518A" w14:textId="77777777" w:rsidR="002C09A7" w:rsidRPr="002C09A7" w:rsidRDefault="002C09A7" w:rsidP="002C09A7">
      <w:pPr>
        <w:snapToGrid w:val="0"/>
        <w:ind w:firstLineChars="100" w:firstLine="211"/>
        <w:jc w:val="left"/>
        <w:rPr>
          <w:rFonts w:cs="Times New Roman"/>
          <w:b/>
          <w:bCs/>
        </w:rPr>
      </w:pPr>
      <w:r w:rsidRPr="002C09A7">
        <w:rPr>
          <w:rFonts w:cs="Times New Roman"/>
          <w:b/>
          <w:bCs/>
        </w:rPr>
        <w:t xml:space="preserve">2 </w:t>
      </w:r>
      <w:r w:rsidRPr="002C09A7">
        <w:rPr>
          <w:rFonts w:cs="Times New Roman"/>
          <w:b/>
          <w:bCs/>
        </w:rPr>
        <w:t>主要功能房间的外墙、隔墙、楼板和门窗的隔声性能应满足现行国家标准《民用建筑隔声设计规范》</w:t>
      </w:r>
      <w:r w:rsidRPr="002C09A7">
        <w:rPr>
          <w:rFonts w:cs="Times New Roman"/>
          <w:b/>
          <w:bCs/>
        </w:rPr>
        <w:t>GB 50118</w:t>
      </w:r>
      <w:r w:rsidRPr="002C09A7">
        <w:rPr>
          <w:rFonts w:cs="Times New Roman"/>
          <w:b/>
          <w:bCs/>
        </w:rPr>
        <w:t>中的低限要求；</w:t>
      </w:r>
    </w:p>
    <w:p w14:paraId="33BDF4F9" w14:textId="77777777" w:rsidR="002C09A7" w:rsidRPr="002C09A7" w:rsidRDefault="002C09A7" w:rsidP="002C09A7">
      <w:pPr>
        <w:pStyle w:val="20"/>
        <w:ind w:firstLineChars="100" w:firstLine="211"/>
        <w:rPr>
          <w:rFonts w:ascii="Times New Roman" w:hAnsi="Times New Roman" w:cs="Times New Roman"/>
          <w:bCs/>
          <w:color w:val="auto"/>
        </w:rPr>
      </w:pPr>
      <w:bookmarkStart w:id="74" w:name="_Hlk22059644"/>
      <w:r w:rsidRPr="002C09A7">
        <w:rPr>
          <w:rFonts w:ascii="Times New Roman" w:hAnsi="Times New Roman" w:cs="Times New Roman"/>
          <w:bCs/>
          <w:color w:val="auto"/>
        </w:rPr>
        <w:t xml:space="preserve">3 </w:t>
      </w:r>
      <w:r w:rsidRPr="002C09A7">
        <w:rPr>
          <w:rFonts w:ascii="Times New Roman" w:hAnsi="Times New Roman" w:cs="Times New Roman" w:hint="eastAsia"/>
          <w:bCs/>
          <w:color w:val="auto"/>
        </w:rPr>
        <w:t>建筑服务设备、设施的结构噪声应满足现行国家标准《民用建筑隔声设计规范》</w:t>
      </w:r>
      <w:r w:rsidRPr="002C09A7">
        <w:rPr>
          <w:rFonts w:ascii="Times New Roman" w:hAnsi="Times New Roman" w:cs="Times New Roman"/>
          <w:bCs/>
          <w:color w:val="auto"/>
        </w:rPr>
        <w:t>GB 50118</w:t>
      </w:r>
      <w:r w:rsidRPr="002C09A7">
        <w:rPr>
          <w:rFonts w:ascii="Times New Roman" w:hAnsi="Times New Roman" w:cs="Times New Roman" w:hint="eastAsia"/>
          <w:bCs/>
          <w:color w:val="auto"/>
        </w:rPr>
        <w:t>中的低限要求或满足现行国家标准《社会生活环境噪声排放标准》</w:t>
      </w:r>
      <w:r w:rsidRPr="002C09A7">
        <w:rPr>
          <w:rFonts w:ascii="Times New Roman" w:hAnsi="Times New Roman" w:cs="Times New Roman"/>
          <w:bCs/>
          <w:color w:val="auto"/>
        </w:rPr>
        <w:t>GB 22337</w:t>
      </w:r>
      <w:r w:rsidRPr="002C09A7">
        <w:rPr>
          <w:rFonts w:ascii="Times New Roman" w:hAnsi="Times New Roman" w:cs="Times New Roman" w:hint="eastAsia"/>
          <w:bCs/>
          <w:color w:val="auto"/>
        </w:rPr>
        <w:t>的限值要求；</w:t>
      </w:r>
    </w:p>
    <w:bookmarkEnd w:id="74"/>
    <w:p w14:paraId="196BC622" w14:textId="77777777" w:rsidR="002C09A7" w:rsidRPr="002C09A7" w:rsidRDefault="002C09A7" w:rsidP="002C09A7">
      <w:pPr>
        <w:pStyle w:val="20"/>
        <w:ind w:firstLineChars="100" w:firstLine="211"/>
        <w:rPr>
          <w:rFonts w:ascii="Times New Roman" w:hAnsi="Times New Roman" w:cs="Times New Roman"/>
          <w:bCs/>
          <w:color w:val="auto"/>
        </w:rPr>
      </w:pPr>
      <w:r w:rsidRPr="002C09A7">
        <w:rPr>
          <w:rFonts w:ascii="Times New Roman" w:hAnsi="Times New Roman" w:cs="Times New Roman"/>
          <w:bCs/>
          <w:color w:val="auto"/>
        </w:rPr>
        <w:t xml:space="preserve">4 </w:t>
      </w:r>
      <w:r w:rsidRPr="002C09A7">
        <w:rPr>
          <w:rFonts w:ascii="Times New Roman" w:hAnsi="Times New Roman" w:cs="Times New Roman" w:hint="eastAsia"/>
          <w:bCs/>
          <w:color w:val="auto"/>
        </w:rPr>
        <w:t>有混响时间和吸声要求的主要功能房间，该性能应满足现行国家标准《民用建筑隔声设计规范》</w:t>
      </w:r>
      <w:r w:rsidRPr="002C09A7">
        <w:rPr>
          <w:rFonts w:ascii="Times New Roman" w:hAnsi="Times New Roman" w:cs="Times New Roman"/>
          <w:bCs/>
          <w:color w:val="auto"/>
        </w:rPr>
        <w:t>GB 50118</w:t>
      </w:r>
      <w:r w:rsidRPr="002C09A7">
        <w:rPr>
          <w:rFonts w:ascii="Times New Roman" w:hAnsi="Times New Roman" w:cs="Times New Roman" w:hint="eastAsia"/>
          <w:bCs/>
          <w:color w:val="auto"/>
        </w:rPr>
        <w:t>的要求或该功能房间所属建筑设计规范的要求。</w:t>
      </w:r>
    </w:p>
    <w:p w14:paraId="2F7BFD4F" w14:textId="77777777" w:rsidR="00715ABB" w:rsidRPr="0081478A" w:rsidRDefault="00F44390">
      <w:pPr>
        <w:ind w:firstLineChars="0" w:firstLine="0"/>
        <w:rPr>
          <w:rFonts w:cs="Times New Roman"/>
          <w:b/>
          <w:szCs w:val="24"/>
        </w:rPr>
      </w:pPr>
      <w:r w:rsidRPr="0081478A">
        <w:rPr>
          <w:rFonts w:cs="Times New Roman"/>
          <w:b/>
          <w:szCs w:val="24"/>
        </w:rPr>
        <w:t>【条文说明】</w:t>
      </w:r>
    </w:p>
    <w:p w14:paraId="42B189F4" w14:textId="77777777" w:rsidR="00715ABB" w:rsidRPr="0081478A" w:rsidRDefault="00F44390">
      <w:pPr>
        <w:ind w:firstLine="420"/>
        <w:rPr>
          <w:rFonts w:cs="Times New Roman"/>
        </w:rPr>
      </w:pPr>
      <w:r w:rsidRPr="0081478A">
        <w:rPr>
          <w:rFonts w:cs="Times New Roman"/>
        </w:rPr>
        <w:t>本条适用于各类民用建筑的预评价、评价。</w:t>
      </w:r>
    </w:p>
    <w:p w14:paraId="30062FB5" w14:textId="77777777" w:rsidR="00715ABB" w:rsidRPr="0081478A" w:rsidRDefault="00F44390">
      <w:pPr>
        <w:ind w:firstLine="420"/>
        <w:rPr>
          <w:rFonts w:cs="Times New Roman"/>
        </w:rPr>
      </w:pPr>
      <w:r w:rsidRPr="0081478A">
        <w:rPr>
          <w:rFonts w:cs="Times New Roman"/>
        </w:rPr>
        <w:t>本条沿引国家《绿色建筑评价标准》</w:t>
      </w:r>
      <w:r w:rsidRPr="0081478A">
        <w:rPr>
          <w:rFonts w:cs="Times New Roman"/>
        </w:rPr>
        <w:t>GB/T 50378-2019</w:t>
      </w:r>
      <w:r w:rsidRPr="0081478A">
        <w:rPr>
          <w:rFonts w:cs="Times New Roman"/>
        </w:rPr>
        <w:t>，并进行了局部补充。本条在国家标准</w:t>
      </w:r>
      <w:r w:rsidRPr="0081478A">
        <w:rPr>
          <w:rFonts w:cs="Times New Roman"/>
        </w:rPr>
        <w:t>2014</w:t>
      </w:r>
      <w:r w:rsidRPr="0081478A">
        <w:rPr>
          <w:rFonts w:cs="Times New Roman"/>
        </w:rPr>
        <w:t>年版第</w:t>
      </w:r>
      <w:r w:rsidRPr="0081478A">
        <w:rPr>
          <w:rFonts w:cs="Times New Roman"/>
        </w:rPr>
        <w:t>8.1.1</w:t>
      </w:r>
      <w:r w:rsidRPr="0081478A">
        <w:rPr>
          <w:rFonts w:cs="Times New Roman"/>
        </w:rPr>
        <w:t>、</w:t>
      </w:r>
      <w:r w:rsidRPr="0081478A">
        <w:rPr>
          <w:rFonts w:cs="Times New Roman"/>
        </w:rPr>
        <w:t>8.1.2</w:t>
      </w:r>
      <w:r w:rsidRPr="0081478A">
        <w:rPr>
          <w:rFonts w:cs="Times New Roman"/>
        </w:rPr>
        <w:t>条，地方标准</w:t>
      </w:r>
      <w:r w:rsidRPr="0081478A">
        <w:rPr>
          <w:rFonts w:cs="Times New Roman"/>
        </w:rPr>
        <w:t>2014</w:t>
      </w:r>
      <w:r w:rsidRPr="0081478A">
        <w:rPr>
          <w:rFonts w:cs="Times New Roman"/>
        </w:rPr>
        <w:t>版</w:t>
      </w:r>
      <w:r w:rsidRPr="0081478A">
        <w:rPr>
          <w:rFonts w:cs="Times New Roman"/>
        </w:rPr>
        <w:t>8.1.1</w:t>
      </w:r>
      <w:r w:rsidRPr="0081478A">
        <w:rPr>
          <w:rFonts w:cs="Times New Roman"/>
        </w:rPr>
        <w:t>、</w:t>
      </w:r>
      <w:r w:rsidRPr="0081478A">
        <w:rPr>
          <w:rFonts w:cs="Times New Roman"/>
        </w:rPr>
        <w:t>8.1.2</w:t>
      </w:r>
      <w:r w:rsidRPr="0081478A">
        <w:rPr>
          <w:rFonts w:cs="Times New Roman"/>
        </w:rPr>
        <w:t>条的基础上发展而来。噪声控制对象包括室内自身声源和室外噪声。提高建筑构造的隔声降噪能力对使用者的健康是非常必要的，因此需采取有效措施控制人所处环境的噪声级，提高隔声性能，减少噪声对人体健康的影响。本条在国家标准要求的基础上，补充了建筑服务设备结构噪声限值要求和室内音质要求，目的是加强噪声排放源头控制，避免建筑服务设备噪声扰民及避免出现音质缺陷。声环境相关条文所指的主要功能房间是指在《民用建筑隔声设计规范》</w:t>
      </w:r>
      <w:r w:rsidRPr="0081478A">
        <w:rPr>
          <w:rFonts w:cs="Times New Roman"/>
        </w:rPr>
        <w:t>GB 50118</w:t>
      </w:r>
      <w:r w:rsidRPr="0081478A">
        <w:rPr>
          <w:rFonts w:cs="Times New Roman"/>
        </w:rPr>
        <w:t>或其他建筑设计规范中对室内噪声级或混响时间或吸声做出规定的房间。</w:t>
      </w:r>
    </w:p>
    <w:p w14:paraId="7860F2F7" w14:textId="77777777" w:rsidR="00715ABB" w:rsidRPr="0081478A" w:rsidRDefault="00F44390">
      <w:pPr>
        <w:ind w:firstLine="420"/>
        <w:rPr>
          <w:rFonts w:cs="Times New Roman"/>
          <w:bCs/>
          <w:szCs w:val="24"/>
        </w:rPr>
      </w:pPr>
      <w:r w:rsidRPr="0081478A">
        <w:rPr>
          <w:rFonts w:cs="Times New Roman"/>
        </w:rPr>
        <w:t>对于建筑外部噪声源的控制，应首先从源头控制噪声排放值和采取隔声减振措施，其次在规划选址阶段就做综合考量，建筑设计时应进行合理的空间布局，避免或降低主要功能房</w:t>
      </w:r>
      <w:r w:rsidRPr="0081478A">
        <w:rPr>
          <w:rFonts w:cs="Times New Roman"/>
        </w:rPr>
        <w:lastRenderedPageBreak/>
        <w:t>间受到室外交通、活动区域、设备、设施等噪声干扰。因此，本条首先要求建筑设计应做到建筑布局合理，主要功能房间与噪声源合理分隔。</w:t>
      </w:r>
    </w:p>
    <w:p w14:paraId="3A55E11F" w14:textId="64B8A1F2" w:rsidR="00715ABB" w:rsidRPr="0081478A" w:rsidRDefault="00F44390">
      <w:pPr>
        <w:ind w:firstLine="420"/>
        <w:rPr>
          <w:rFonts w:cs="Times New Roman"/>
        </w:rPr>
      </w:pPr>
      <w:r w:rsidRPr="0081478A">
        <w:rPr>
          <w:rFonts w:cs="Times New Roman"/>
        </w:rPr>
        <w:t>第</w:t>
      </w:r>
      <w:r w:rsidRPr="0081478A">
        <w:rPr>
          <w:rFonts w:cs="Times New Roman"/>
        </w:rPr>
        <w:t>1</w:t>
      </w:r>
      <w:r w:rsidRPr="0081478A">
        <w:rPr>
          <w:rFonts w:cs="Times New Roman"/>
        </w:rPr>
        <w:t>款，影响建筑室内噪声级大小的噪声源主要包括两类</w:t>
      </w:r>
      <w:r w:rsidRPr="0081478A">
        <w:rPr>
          <w:rFonts w:cs="Times New Roman"/>
        </w:rPr>
        <w:t>:</w:t>
      </w:r>
      <w:r w:rsidRPr="0081478A">
        <w:rPr>
          <w:rFonts w:cs="Times New Roman"/>
        </w:rPr>
        <w:t>一类是室内自身声源，如室内的通风空调设备、日用电器等；另一类是来自室外的噪声源，包括建筑外部的噪声源</w:t>
      </w:r>
      <w:r w:rsidRPr="0081478A">
        <w:rPr>
          <w:rFonts w:cs="Times New Roman"/>
        </w:rPr>
        <w:t>(</w:t>
      </w:r>
      <w:r w:rsidRPr="0081478A">
        <w:rPr>
          <w:rFonts w:cs="Times New Roman"/>
        </w:rPr>
        <w:t>如周边交通噪声、社会生活噪声、工业噪声等</w:t>
      </w:r>
      <w:r w:rsidRPr="0081478A">
        <w:rPr>
          <w:rFonts w:cs="Times New Roman"/>
        </w:rPr>
        <w:t>)</w:t>
      </w:r>
      <w:r w:rsidRPr="0081478A">
        <w:rPr>
          <w:rFonts w:cs="Times New Roman"/>
        </w:rPr>
        <w:t>。对建筑物内部的噪声</w:t>
      </w:r>
      <w:bookmarkStart w:id="75" w:name="_Hlk19933530"/>
      <w:r w:rsidRPr="0081478A">
        <w:rPr>
          <w:rFonts w:cs="Times New Roman"/>
        </w:rPr>
        <w:t>源</w:t>
      </w:r>
      <w:bookmarkEnd w:id="75"/>
      <w:r w:rsidRPr="0081478A">
        <w:rPr>
          <w:rFonts w:cs="Times New Roman"/>
        </w:rPr>
        <w:t>，应通过使主要功能房间远离噪声源、选用低</w:t>
      </w:r>
      <w:bookmarkStart w:id="76" w:name="_Hlk19933519"/>
      <w:r w:rsidRPr="0081478A">
        <w:rPr>
          <w:rFonts w:cs="Times New Roman"/>
        </w:rPr>
        <w:t>噪声</w:t>
      </w:r>
      <w:bookmarkEnd w:id="76"/>
      <w:r w:rsidRPr="0081478A">
        <w:rPr>
          <w:rFonts w:cs="Times New Roman"/>
        </w:rPr>
        <w:t>设备</w:t>
      </w:r>
      <w:bookmarkStart w:id="77" w:name="_Hlk19933545"/>
      <w:r w:rsidRPr="0081478A">
        <w:rPr>
          <w:rFonts w:cs="Times New Roman"/>
        </w:rPr>
        <w:t>、</w:t>
      </w:r>
      <w:bookmarkEnd w:id="77"/>
      <w:r w:rsidRPr="0081478A">
        <w:rPr>
          <w:rFonts w:cs="Times New Roman"/>
        </w:rPr>
        <w:t>针对噪声源特性设置有效隔声、隔振、吸声、消声等综合措施来控制</w:t>
      </w:r>
      <w:bookmarkStart w:id="78" w:name="_Hlk19938207"/>
      <w:r w:rsidRPr="0081478A">
        <w:rPr>
          <w:rFonts w:cs="Times New Roman"/>
        </w:rPr>
        <w:t>建筑内部服务设备的噪声</w:t>
      </w:r>
      <w:bookmarkEnd w:id="78"/>
      <w:r w:rsidRPr="0081478A">
        <w:rPr>
          <w:rFonts w:cs="Times New Roman"/>
        </w:rPr>
        <w:t>影响。然后，应通过提高围护结构隔声性能等方式进一步改善室内声环境质量。若《民用建筑隔声设计规范》</w:t>
      </w:r>
      <w:r w:rsidRPr="0081478A">
        <w:rPr>
          <w:rFonts w:cs="Times New Roman"/>
        </w:rPr>
        <w:t>GB 50118</w:t>
      </w:r>
      <w:r w:rsidRPr="0081478A">
        <w:rPr>
          <w:rFonts w:cs="Times New Roman"/>
        </w:rPr>
        <w:t>中没有明确室内噪声级的低限要求，则该标准的规定值即作为室内噪声级的最低要求。</w:t>
      </w:r>
      <w:r w:rsidR="006F6073">
        <w:rPr>
          <w:rFonts w:cs="Times New Roman" w:hint="eastAsia"/>
        </w:rPr>
        <w:t>对于标准中没有明确噪声级要求的空间，室内噪声级可不做要求。</w:t>
      </w:r>
    </w:p>
    <w:p w14:paraId="0BAA319D" w14:textId="77777777" w:rsidR="00715ABB" w:rsidRPr="0081478A" w:rsidRDefault="00F44390">
      <w:pPr>
        <w:ind w:firstLine="420"/>
        <w:rPr>
          <w:rFonts w:cs="Times New Roman"/>
        </w:rPr>
      </w:pPr>
      <w:r w:rsidRPr="0081478A">
        <w:rPr>
          <w:rFonts w:cs="Times New Roman"/>
        </w:rPr>
        <w:t>第</w:t>
      </w:r>
      <w:r w:rsidRPr="0081478A">
        <w:rPr>
          <w:rFonts w:cs="Times New Roman"/>
        </w:rPr>
        <w:t>2</w:t>
      </w:r>
      <w:r w:rsidRPr="0081478A">
        <w:rPr>
          <w:rFonts w:cs="Times New Roman"/>
        </w:rPr>
        <w:t>款，外墙、隔墙和门窗的隔声性能指空气声隔声性能；楼板的隔声性能除了空气声隔声性能之外，还包括撞击声隔声性能。本款所指的外墙、隔墙和门窗的隔声性能的低限要求，与现行国家标准</w:t>
      </w:r>
      <w:bookmarkStart w:id="79" w:name="_Hlk20021189"/>
      <w:r w:rsidRPr="0081478A">
        <w:rPr>
          <w:rFonts w:cs="Times New Roman"/>
        </w:rPr>
        <w:t>《民用建筑隔声设计规范》</w:t>
      </w:r>
      <w:r w:rsidRPr="0081478A">
        <w:rPr>
          <w:rFonts w:cs="Times New Roman"/>
        </w:rPr>
        <w:t>GB50118</w:t>
      </w:r>
      <w:bookmarkEnd w:id="79"/>
      <w:r w:rsidRPr="0081478A">
        <w:rPr>
          <w:rFonts w:cs="Times New Roman"/>
        </w:rPr>
        <w:t>中的低限要求规定对应，若该标准中没有明确围护结构隔声性能的低限要求，即对应该标准规定的隔声性能的最低要求。</w:t>
      </w:r>
    </w:p>
    <w:p w14:paraId="1B3E153A" w14:textId="77777777" w:rsidR="00715ABB" w:rsidRPr="0081478A" w:rsidRDefault="00F44390">
      <w:pPr>
        <w:ind w:firstLine="420"/>
        <w:rPr>
          <w:rFonts w:cs="Times New Roman"/>
        </w:rPr>
      </w:pPr>
      <w:r w:rsidRPr="0081478A">
        <w:rPr>
          <w:rFonts w:cs="Times New Roman"/>
        </w:rPr>
        <w:t>第</w:t>
      </w:r>
      <w:r w:rsidRPr="0081478A">
        <w:rPr>
          <w:rFonts w:cs="Times New Roman"/>
        </w:rPr>
        <w:t>3</w:t>
      </w:r>
      <w:r w:rsidRPr="0081478A">
        <w:rPr>
          <w:rFonts w:cs="Times New Roman"/>
        </w:rPr>
        <w:t>款，</w:t>
      </w:r>
      <w:bookmarkStart w:id="80" w:name="_Hlk20021914"/>
      <w:r w:rsidRPr="0081478A">
        <w:rPr>
          <w:rFonts w:cs="Times New Roman"/>
        </w:rPr>
        <w:t>建筑服务设备</w:t>
      </w:r>
      <w:bookmarkEnd w:id="80"/>
      <w:r w:rsidRPr="0081478A">
        <w:rPr>
          <w:rFonts w:cs="Times New Roman"/>
        </w:rPr>
        <w:t>结构噪声主要是建筑中提供服务的电梯、水泵、冷却塔、风机、空调机组等设备运行时产生振动，进而引起建筑内的地板、墙体振动，并随建筑结构传播产生结构噪声。由于营业性文化娱乐场所、商业经营场所的规模越来越大，需要的冷却塔、热泵机组、风机、空调室外机组也越来越多，常常可以见到一座建筑配数个乃至十几个冷却塔、热泵机组、风机、空调室外机组的情形，因此，在设备选型、布置和技术措施上既要考虑防止这些设备、设施产生的噪声和振动对所属建筑的干扰，还需考虑防止对邻近建筑的干扰，而后者常被忽视而引起纠纷。</w:t>
      </w:r>
    </w:p>
    <w:p w14:paraId="37C10699" w14:textId="77777777" w:rsidR="00715ABB" w:rsidRPr="0081478A" w:rsidRDefault="00F44390">
      <w:pPr>
        <w:ind w:firstLine="420"/>
        <w:rPr>
          <w:rFonts w:cs="Times New Roman"/>
        </w:rPr>
      </w:pPr>
      <w:r w:rsidRPr="0081478A">
        <w:rPr>
          <w:rFonts w:cs="Times New Roman"/>
        </w:rPr>
        <w:t>目前，建筑特别是住宅内配套服务设备引起的室内结构噪声投诉日益增加，《民用建筑隔声设计规范》</w:t>
      </w:r>
      <w:r w:rsidRPr="0081478A">
        <w:rPr>
          <w:rFonts w:cs="Times New Roman"/>
        </w:rPr>
        <w:t>GB50118</w:t>
      </w:r>
      <w:r w:rsidRPr="0081478A">
        <w:rPr>
          <w:rFonts w:cs="Times New Roman"/>
        </w:rPr>
        <w:t>局部修订（征求意见稿）已在住宅、医院、旅馆隔声设计中增加了建筑服务设备结构噪声限值指标。在该标准实施前或未在该标准中规定限值的，本款按国家标准《社会生活环境</w:t>
      </w:r>
      <w:bookmarkStart w:id="81" w:name="_Hlk20022048"/>
      <w:r w:rsidRPr="0081478A">
        <w:rPr>
          <w:rFonts w:cs="Times New Roman"/>
        </w:rPr>
        <w:t>噪声排放</w:t>
      </w:r>
      <w:bookmarkEnd w:id="81"/>
      <w:r w:rsidRPr="0081478A">
        <w:rPr>
          <w:rFonts w:cs="Times New Roman"/>
        </w:rPr>
        <w:t>标准》</w:t>
      </w:r>
      <w:r w:rsidRPr="0081478A">
        <w:rPr>
          <w:rFonts w:cs="Times New Roman"/>
        </w:rPr>
        <w:t>GB 22337</w:t>
      </w:r>
      <w:r w:rsidRPr="0081478A">
        <w:rPr>
          <w:rFonts w:cs="Times New Roman"/>
        </w:rPr>
        <w:t>的结构传播固定设备室内噪声排放限值评价。</w:t>
      </w:r>
    </w:p>
    <w:p w14:paraId="0326DBBA" w14:textId="77777777" w:rsidR="00715ABB" w:rsidRPr="0081478A" w:rsidRDefault="00F44390">
      <w:pPr>
        <w:ind w:firstLine="420"/>
        <w:rPr>
          <w:rFonts w:cs="Times New Roman"/>
        </w:rPr>
      </w:pPr>
      <w:r w:rsidRPr="0081478A">
        <w:rPr>
          <w:rFonts w:cs="Times New Roman"/>
        </w:rPr>
        <w:t>第</w:t>
      </w:r>
      <w:r w:rsidRPr="0081478A">
        <w:rPr>
          <w:rFonts w:cs="Times New Roman"/>
        </w:rPr>
        <w:t>4</w:t>
      </w:r>
      <w:r w:rsidRPr="0081478A">
        <w:rPr>
          <w:rFonts w:cs="Times New Roman"/>
        </w:rPr>
        <w:t>款，为控制室内声反射，降低嘈杂的环境声，保证使用功能需要的声清晰度，《民用建筑隔声设计规范》</w:t>
      </w:r>
      <w:r w:rsidRPr="0081478A">
        <w:rPr>
          <w:rFonts w:cs="Times New Roman"/>
        </w:rPr>
        <w:t>GB50118</w:t>
      </w:r>
      <w:r w:rsidRPr="0081478A">
        <w:rPr>
          <w:rFonts w:cs="Times New Roman"/>
        </w:rPr>
        <w:t>对某些功能房间提出了混响时间或吸声要求，目的是</w:t>
      </w:r>
      <w:bookmarkStart w:id="82" w:name="_Hlk20033996"/>
      <w:r w:rsidRPr="0081478A">
        <w:rPr>
          <w:rFonts w:cs="Times New Roman"/>
        </w:rPr>
        <w:t>避免该类房间出现音质缺陷</w:t>
      </w:r>
      <w:bookmarkEnd w:id="82"/>
      <w:r w:rsidRPr="0081478A">
        <w:rPr>
          <w:rFonts w:cs="Times New Roman"/>
        </w:rPr>
        <w:t>导致使用功能受损。</w:t>
      </w:r>
    </w:p>
    <w:p w14:paraId="04C80E45" w14:textId="77777777" w:rsidR="00715ABB" w:rsidRPr="0081478A" w:rsidRDefault="00F44390">
      <w:pPr>
        <w:ind w:firstLine="420"/>
        <w:rPr>
          <w:rFonts w:cs="Times New Roman"/>
        </w:rPr>
      </w:pPr>
      <w:r w:rsidRPr="0081478A">
        <w:rPr>
          <w:rFonts w:cs="Times New Roman"/>
        </w:rPr>
        <w:t>在《民用建筑隔声设计规范》</w:t>
      </w:r>
      <w:r w:rsidRPr="0081478A">
        <w:rPr>
          <w:rFonts w:cs="Times New Roman"/>
        </w:rPr>
        <w:t>GB50118</w:t>
      </w:r>
      <w:r w:rsidRPr="0081478A">
        <w:rPr>
          <w:rFonts w:cs="Times New Roman"/>
        </w:rPr>
        <w:t>和《社会生活环境噪声排放标准》</w:t>
      </w:r>
      <w:r w:rsidRPr="0081478A">
        <w:rPr>
          <w:rFonts w:cs="Times New Roman"/>
        </w:rPr>
        <w:t>GB 22337</w:t>
      </w:r>
      <w:r w:rsidRPr="0081478A">
        <w:rPr>
          <w:rFonts w:cs="Times New Roman"/>
        </w:rPr>
        <w:t>中</w:t>
      </w:r>
      <w:r w:rsidRPr="0081478A">
        <w:rPr>
          <w:rFonts w:cs="Times New Roman"/>
        </w:rPr>
        <w:lastRenderedPageBreak/>
        <w:t>没有规定的建筑功能房间，如文化建筑、体育建筑、广电建筑、会议建筑、影院建筑等专业用途的建筑功能房间，其声环境质量要求通常高于普通民用建筑，因此，该类建筑功能房间声环境质量除满足本条各款的规定外，还应满足与该建筑类型对应的相关规范规定，以避免出现音质缺陷导致使用功能受损。</w:t>
      </w:r>
    </w:p>
    <w:p w14:paraId="09D81A2E"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42710828" w14:textId="77777777" w:rsidR="002B4D27" w:rsidRPr="001C4871" w:rsidRDefault="00252571" w:rsidP="00252571">
      <w:pPr>
        <w:ind w:firstLine="420"/>
        <w:rPr>
          <w:rFonts w:cs="Times New Roman"/>
        </w:rPr>
      </w:pPr>
      <w:r w:rsidRPr="001C4871">
        <w:rPr>
          <w:rFonts w:cs="Times New Roman"/>
        </w:rPr>
        <w:t xml:space="preserve">1 </w:t>
      </w:r>
      <w:r w:rsidR="002B4D27" w:rsidRPr="001C4871">
        <w:rPr>
          <w:rFonts w:cs="Times New Roman"/>
        </w:rPr>
        <w:t>室内背景噪声计算报告应满足</w:t>
      </w:r>
      <w:r w:rsidR="002B4D27" w:rsidRPr="006C79E9">
        <w:rPr>
          <w:rFonts w:cs="Times New Roman"/>
        </w:rPr>
        <w:t>本</w:t>
      </w:r>
      <w:r w:rsidR="002B4D27" w:rsidRPr="006C79E9">
        <w:rPr>
          <w:rFonts w:cs="Times New Roman" w:hint="eastAsia"/>
        </w:rPr>
        <w:t>书附录</w:t>
      </w:r>
      <w:r w:rsidR="002B4D27" w:rsidRPr="006C79E9">
        <w:rPr>
          <w:rFonts w:cs="Times New Roman"/>
        </w:rPr>
        <w:t>B.6</w:t>
      </w:r>
      <w:r w:rsidR="002B4D27" w:rsidRPr="001C4871">
        <w:rPr>
          <w:rFonts w:cs="Times New Roman"/>
        </w:rPr>
        <w:t>的要求。</w:t>
      </w:r>
      <w:r w:rsidRPr="001C4871">
        <w:rPr>
          <w:rFonts w:cs="Times New Roman"/>
        </w:rPr>
        <w:t>本条指的</w:t>
      </w:r>
      <w:r w:rsidR="002B4D27" w:rsidRPr="001C4871">
        <w:rPr>
          <w:rFonts w:cs="Times New Roman"/>
          <w:spacing w:val="-4"/>
        </w:rPr>
        <w:t>低限要求，与国家标准《民用建筑隔声设计规范》（</w:t>
      </w:r>
      <w:r w:rsidR="002B4D27" w:rsidRPr="001C4871">
        <w:rPr>
          <w:rFonts w:cs="Times New Roman"/>
          <w:spacing w:val="-4"/>
        </w:rPr>
        <w:t>GB 50118—2010</w:t>
      </w:r>
      <w:r w:rsidR="002B4D27" w:rsidRPr="001C4871">
        <w:rPr>
          <w:rFonts w:cs="Times New Roman"/>
        </w:rPr>
        <w:t>）的低限要求规定对应，如该标准中没有明确室内噪声级的低限要求，即对应该标准规定的室内噪声级的最低要求。</w:t>
      </w:r>
    </w:p>
    <w:p w14:paraId="52830208" w14:textId="528C853F" w:rsidR="00375A92" w:rsidRDefault="00252571" w:rsidP="00375A92">
      <w:pPr>
        <w:ind w:firstLine="420"/>
      </w:pPr>
      <w:r w:rsidRPr="001C4871">
        <w:t xml:space="preserve">2 </w:t>
      </w:r>
      <w:r w:rsidR="002B4D27" w:rsidRPr="001C4871">
        <w:t>建筑构件隔声性能计算报告应满足本书附录</w:t>
      </w:r>
      <w:r w:rsidR="002B4D27" w:rsidRPr="001C4871">
        <w:t>B.6</w:t>
      </w:r>
      <w:r w:rsidR="002B4D27" w:rsidRPr="001C4871">
        <w:t>的要求。本条所指的围护结构构件的隔声性能的低</w:t>
      </w:r>
      <w:r w:rsidR="002B4D27" w:rsidRPr="0081478A">
        <w:t>限要求，与国家标准《民用建筑隔声设计规范》（</w:t>
      </w:r>
      <w:r w:rsidR="002B4D27" w:rsidRPr="0081478A">
        <w:rPr>
          <w:rFonts w:eastAsia="Times New Roman"/>
        </w:rPr>
        <w:t>GB 50118</w:t>
      </w:r>
      <w:r w:rsidR="002B4D27" w:rsidRPr="0081478A">
        <w:t>—2010</w:t>
      </w:r>
      <w:r w:rsidR="002B4D27" w:rsidRPr="0081478A">
        <w:t>）的低限要求规定对应，如该标准中没有明确围护结构隔声性能的低限要求，即对应该标准规定的隔声性能的最低要求。</w:t>
      </w:r>
    </w:p>
    <w:p w14:paraId="3B5C2830" w14:textId="367CE893" w:rsidR="000A7347" w:rsidRDefault="00377E4B" w:rsidP="00377E4B">
      <w:pPr>
        <w:ind w:firstLine="420"/>
        <w:rPr>
          <w:rFonts w:cs="Times New Roman"/>
        </w:rPr>
      </w:pPr>
      <w:r>
        <w:rPr>
          <w:rFonts w:hint="eastAsia"/>
        </w:rPr>
        <w:t>3</w:t>
      </w:r>
      <w:r>
        <w:t>.</w:t>
      </w:r>
      <w:r w:rsidR="000A7347" w:rsidRPr="000A7347">
        <w:rPr>
          <w:rFonts w:cs="Times New Roman"/>
        </w:rPr>
        <w:t xml:space="preserve"> </w:t>
      </w:r>
      <w:r w:rsidR="000A7347" w:rsidRPr="0081478A">
        <w:rPr>
          <w:rFonts w:cs="Times New Roman"/>
        </w:rPr>
        <w:t>电梯、水泵、冷却塔、风机、空调机组等</w:t>
      </w:r>
      <w:r w:rsidR="000A7347">
        <w:rPr>
          <w:rFonts w:cs="Times New Roman" w:hint="eastAsia"/>
        </w:rPr>
        <w:t>建筑服务</w:t>
      </w:r>
      <w:r w:rsidR="000A7347" w:rsidRPr="0081478A">
        <w:rPr>
          <w:rFonts w:cs="Times New Roman"/>
        </w:rPr>
        <w:t>设备</w:t>
      </w:r>
      <w:r w:rsidR="000A7347">
        <w:rPr>
          <w:rFonts w:hint="eastAsia"/>
        </w:rPr>
        <w:t>的选择符合国家标准，且应采用</w:t>
      </w:r>
      <w:r w:rsidR="000A7347" w:rsidRPr="000A7347">
        <w:rPr>
          <w:rFonts w:hint="eastAsia"/>
        </w:rPr>
        <w:t>消声器、隔声、吸声、隔振等</w:t>
      </w:r>
      <w:r w:rsidR="000A7347">
        <w:rPr>
          <w:rFonts w:hint="eastAsia"/>
        </w:rPr>
        <w:t>降噪技术</w:t>
      </w:r>
      <w:r w:rsidR="000A7347">
        <w:rPr>
          <w:rFonts w:cs="Times New Roman" w:hint="eastAsia"/>
        </w:rPr>
        <w:t>减少</w:t>
      </w:r>
      <w:r w:rsidR="000A7347" w:rsidRPr="0081478A">
        <w:rPr>
          <w:rFonts w:cs="Times New Roman"/>
        </w:rPr>
        <w:t>建筑服务设备结构噪声</w:t>
      </w:r>
      <w:r w:rsidR="000A7347">
        <w:rPr>
          <w:rFonts w:cs="Times New Roman" w:hint="eastAsia"/>
        </w:rPr>
        <w:t>。</w:t>
      </w:r>
    </w:p>
    <w:p w14:paraId="6A9FE62E" w14:textId="76692923" w:rsidR="00377E4B" w:rsidRDefault="00377E4B" w:rsidP="00377E4B">
      <w:pPr>
        <w:ind w:firstLine="420"/>
      </w:pPr>
      <w:r>
        <w:rPr>
          <w:rFonts w:hint="eastAsia"/>
        </w:rPr>
        <w:t>4</w:t>
      </w:r>
      <w:r>
        <w:t>.</w:t>
      </w:r>
      <w:r w:rsidRPr="00377E4B">
        <w:rPr>
          <w:rFonts w:hint="eastAsia"/>
        </w:rPr>
        <w:t xml:space="preserve"> </w:t>
      </w:r>
      <w:r>
        <w:rPr>
          <w:rFonts w:hint="eastAsia"/>
        </w:rPr>
        <w:t>公共建筑中的多功能厅、接待大厅、大型会议室和其他有声学要求的重要房间应进行专项声学设计，满足相应功能要求。依据《剧场、电影院和多用途厅堂建筑声学设计规范》（</w:t>
      </w:r>
      <w:r>
        <w:rPr>
          <w:rFonts w:hint="eastAsia"/>
        </w:rPr>
        <w:t>GB/T 50356</w:t>
      </w:r>
      <w:r>
        <w:rPr>
          <w:rFonts w:hint="eastAsia"/>
        </w:rPr>
        <w:t>—</w:t>
      </w:r>
      <w:r>
        <w:rPr>
          <w:rFonts w:hint="eastAsia"/>
        </w:rPr>
        <w:t>2005</w:t>
      </w:r>
      <w:r>
        <w:rPr>
          <w:rFonts w:hint="eastAsia"/>
        </w:rPr>
        <w:t>），剧场应满足本书第</w:t>
      </w:r>
      <w:r>
        <w:rPr>
          <w:rFonts w:hint="eastAsia"/>
        </w:rPr>
        <w:t>3</w:t>
      </w:r>
      <w:r>
        <w:rPr>
          <w:rFonts w:hint="eastAsia"/>
        </w:rPr>
        <w:t>章要求，多用途厅堂应满足本书第</w:t>
      </w:r>
      <w:r>
        <w:rPr>
          <w:rFonts w:hint="eastAsia"/>
        </w:rPr>
        <w:t>5</w:t>
      </w:r>
      <w:r>
        <w:rPr>
          <w:rFonts w:hint="eastAsia"/>
        </w:rPr>
        <w:t>章要求，噪声控制应满足本书第</w:t>
      </w:r>
      <w:r>
        <w:rPr>
          <w:rFonts w:hint="eastAsia"/>
        </w:rPr>
        <w:t>6</w:t>
      </w:r>
      <w:r>
        <w:rPr>
          <w:rFonts w:hint="eastAsia"/>
        </w:rPr>
        <w:t>章要求。此外，教室需满足混响时间和声音清晰度等达标的问题。</w:t>
      </w:r>
    </w:p>
    <w:p w14:paraId="25486364" w14:textId="134E5F5C" w:rsidR="00377E4B" w:rsidRPr="00377E4B" w:rsidRDefault="00377E4B" w:rsidP="00377E4B">
      <w:pPr>
        <w:ind w:firstLine="420"/>
      </w:pPr>
      <w:r>
        <w:rPr>
          <w:rFonts w:hint="eastAsia"/>
        </w:rPr>
        <w:t>专项声学设计至少要求将上述房间的声学目标在建筑设计说明和相应的图纸中明确体现。</w:t>
      </w:r>
    </w:p>
    <w:p w14:paraId="4FB50449" w14:textId="6C60A411" w:rsidR="00715ABB" w:rsidRPr="006C79E9" w:rsidRDefault="00F44390" w:rsidP="006C79E9">
      <w:pPr>
        <w:pStyle w:val="20"/>
      </w:pPr>
      <w:r w:rsidRPr="0081478A">
        <w:t>【评价方法】</w:t>
      </w:r>
    </w:p>
    <w:p w14:paraId="17490517" w14:textId="77777777" w:rsidR="0084444F" w:rsidRPr="00530A11" w:rsidRDefault="0084444F" w:rsidP="0084444F">
      <w:pPr>
        <w:ind w:firstLine="420"/>
        <w:rPr>
          <w:rFonts w:cs="Times New Roman"/>
        </w:rPr>
      </w:pPr>
      <w:r w:rsidRPr="00530A11">
        <w:rPr>
          <w:rFonts w:cs="Times New Roman"/>
        </w:rPr>
        <w:t>预评价查阅相关设计文件</w:t>
      </w:r>
      <w:bookmarkStart w:id="83" w:name="_Hlk20021934"/>
      <w:r w:rsidRPr="00530A11">
        <w:rPr>
          <w:rFonts w:cs="Times New Roman"/>
        </w:rPr>
        <w:t>、</w:t>
      </w:r>
      <w:bookmarkEnd w:id="83"/>
      <w:r w:rsidRPr="00530A11">
        <w:rPr>
          <w:rFonts w:cs="Times New Roman"/>
        </w:rPr>
        <w:t>环评报告、噪声分析报告、构件隔声性能的实验室</w:t>
      </w:r>
      <w:bookmarkStart w:id="84" w:name="_Hlk20022061"/>
      <w:r w:rsidRPr="00530A11">
        <w:rPr>
          <w:rFonts w:cs="Times New Roman"/>
        </w:rPr>
        <w:t>检验报告</w:t>
      </w:r>
      <w:bookmarkEnd w:id="84"/>
      <w:r w:rsidRPr="00530A11">
        <w:rPr>
          <w:rFonts w:cs="Times New Roman"/>
        </w:rPr>
        <w:t>、建筑服务设备噪声排放检验报告、声学设计分析报告；评价查阅相关竣工图、噪声分析报告、声学设计分析报告、室内噪声级检测报告、构件隔声性能的实验室检验报告、建筑服务设备、设施噪声排放检测报告、建筑服务设备结构噪声检测报告、混响时间检测报告。</w:t>
      </w:r>
    </w:p>
    <w:p w14:paraId="31B4EB3D" w14:textId="77777777" w:rsidR="002B4D27" w:rsidRPr="0084444F" w:rsidRDefault="002B4D27">
      <w:pPr>
        <w:ind w:firstLine="420"/>
        <w:rPr>
          <w:rFonts w:cs="Times New Roman"/>
        </w:rPr>
      </w:pPr>
    </w:p>
    <w:p w14:paraId="10C7CCE5" w14:textId="77777777" w:rsidR="002C09A7" w:rsidRPr="00530A11" w:rsidRDefault="002C09A7" w:rsidP="002C09A7">
      <w:pPr>
        <w:pStyle w:val="4"/>
        <w:rPr>
          <w:rFonts w:cs="Times New Roman"/>
          <w:bCs w:val="0"/>
        </w:rPr>
      </w:pPr>
      <w:r w:rsidRPr="00530A11">
        <w:rPr>
          <w:rFonts w:cs="Times New Roman"/>
          <w:bCs w:val="0"/>
        </w:rPr>
        <w:t xml:space="preserve">5.1.5 </w:t>
      </w:r>
      <w:r w:rsidRPr="00530A11">
        <w:rPr>
          <w:rFonts w:cs="Times New Roman"/>
          <w:bCs w:val="0"/>
        </w:rPr>
        <w:t>建筑照明应符合下列规定：</w:t>
      </w:r>
    </w:p>
    <w:p w14:paraId="5C0C3426"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1 </w:t>
      </w:r>
      <w:r w:rsidRPr="002C09A7">
        <w:rPr>
          <w:rFonts w:cs="Times New Roman"/>
          <w:b/>
          <w:bCs/>
          <w:szCs w:val="24"/>
        </w:rPr>
        <w:t>照明数量和质量应符合现行国家标准《建筑照明设计标准》</w:t>
      </w:r>
      <w:r w:rsidRPr="002C09A7">
        <w:rPr>
          <w:rFonts w:cs="Times New Roman"/>
          <w:b/>
          <w:bCs/>
          <w:szCs w:val="24"/>
        </w:rPr>
        <w:t>GB 50034</w:t>
      </w:r>
      <w:r w:rsidRPr="002C09A7">
        <w:rPr>
          <w:rFonts w:cs="Times New Roman"/>
          <w:b/>
          <w:bCs/>
          <w:szCs w:val="24"/>
        </w:rPr>
        <w:t>的规定；</w:t>
      </w:r>
    </w:p>
    <w:p w14:paraId="5B39702B"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人员长期停留的场所应采用符合现行国家标准《灯和灯系统的光生物安全性》</w:t>
      </w:r>
      <w:r w:rsidRPr="002C09A7">
        <w:rPr>
          <w:rFonts w:cs="Times New Roman"/>
          <w:b/>
          <w:bCs/>
          <w:szCs w:val="24"/>
        </w:rPr>
        <w:t>GB/T 20145</w:t>
      </w:r>
      <w:r w:rsidRPr="002C09A7">
        <w:rPr>
          <w:rFonts w:cs="Times New Roman"/>
          <w:b/>
          <w:bCs/>
          <w:szCs w:val="24"/>
        </w:rPr>
        <w:t>规定的无危险类照明产品；</w:t>
      </w:r>
    </w:p>
    <w:p w14:paraId="4590FDB5" w14:textId="77777777" w:rsidR="002C09A7" w:rsidRPr="002C09A7" w:rsidRDefault="002C09A7" w:rsidP="002C09A7">
      <w:pPr>
        <w:ind w:firstLineChars="100" w:firstLine="211"/>
        <w:rPr>
          <w:rFonts w:cs="Times New Roman"/>
          <w:b/>
          <w:bCs/>
          <w:szCs w:val="24"/>
        </w:rPr>
      </w:pPr>
      <w:r w:rsidRPr="002C09A7">
        <w:rPr>
          <w:rFonts w:cs="Times New Roman"/>
          <w:b/>
          <w:bCs/>
          <w:szCs w:val="24"/>
        </w:rPr>
        <w:lastRenderedPageBreak/>
        <w:t xml:space="preserve">3 </w:t>
      </w:r>
      <w:r w:rsidRPr="002C09A7">
        <w:rPr>
          <w:rFonts w:cs="Times New Roman"/>
          <w:b/>
          <w:bCs/>
          <w:szCs w:val="24"/>
        </w:rPr>
        <w:t>选用</w:t>
      </w:r>
      <w:r w:rsidRPr="002C09A7">
        <w:rPr>
          <w:rFonts w:cs="Times New Roman"/>
          <w:b/>
          <w:bCs/>
          <w:szCs w:val="24"/>
        </w:rPr>
        <w:t>LED</w:t>
      </w:r>
      <w:r w:rsidRPr="002C09A7">
        <w:rPr>
          <w:rFonts w:cs="Times New Roman" w:hint="eastAsia"/>
          <w:b/>
          <w:bCs/>
          <w:szCs w:val="24"/>
        </w:rPr>
        <w:t>照明产品</w:t>
      </w:r>
      <w:r w:rsidRPr="002C09A7">
        <w:rPr>
          <w:rFonts w:cs="Times New Roman"/>
          <w:b/>
          <w:bCs/>
          <w:szCs w:val="24"/>
        </w:rPr>
        <w:t>的光输出波形的波动深度应满足现行国家标准《</w:t>
      </w:r>
      <w:r w:rsidRPr="002C09A7">
        <w:rPr>
          <w:rFonts w:cs="Times New Roman"/>
          <w:b/>
          <w:bCs/>
          <w:szCs w:val="24"/>
        </w:rPr>
        <w:t>LED</w:t>
      </w:r>
      <w:r w:rsidRPr="002C09A7">
        <w:rPr>
          <w:rFonts w:cs="Times New Roman"/>
          <w:b/>
          <w:bCs/>
          <w:szCs w:val="24"/>
        </w:rPr>
        <w:t>室内照明应用技术要求》</w:t>
      </w:r>
      <w:r w:rsidRPr="002C09A7">
        <w:rPr>
          <w:rFonts w:cs="Times New Roman"/>
          <w:b/>
          <w:bCs/>
          <w:szCs w:val="24"/>
        </w:rPr>
        <w:t>GB/T 31831</w:t>
      </w:r>
      <w:r w:rsidRPr="002C09A7">
        <w:rPr>
          <w:rFonts w:cs="Times New Roman"/>
          <w:b/>
          <w:bCs/>
          <w:szCs w:val="24"/>
        </w:rPr>
        <w:t>的规定。</w:t>
      </w:r>
    </w:p>
    <w:p w14:paraId="44C590B4" w14:textId="77777777" w:rsidR="00715ABB" w:rsidRPr="006C79E9" w:rsidRDefault="00F44390" w:rsidP="006C79E9">
      <w:pPr>
        <w:pStyle w:val="20"/>
      </w:pPr>
      <w:r w:rsidRPr="0081478A">
        <w:t>【条文说明】</w:t>
      </w:r>
    </w:p>
    <w:p w14:paraId="12353DEF" w14:textId="77777777" w:rsidR="0087265D" w:rsidRPr="00530A11" w:rsidRDefault="0087265D" w:rsidP="0087265D">
      <w:pPr>
        <w:ind w:firstLine="420"/>
      </w:pPr>
      <w:r w:rsidRPr="00530A11">
        <w:t>本条适用于各类民用建筑的预评价、评价。</w:t>
      </w:r>
    </w:p>
    <w:p w14:paraId="1F95B3D2"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8.1.3</w:t>
      </w:r>
      <w:r w:rsidRPr="00530A11">
        <w:rPr>
          <w:rFonts w:cs="Times New Roman"/>
        </w:rPr>
        <w:t>条，地方标准</w:t>
      </w:r>
      <w:r w:rsidRPr="00530A11">
        <w:rPr>
          <w:rFonts w:cs="Times New Roman"/>
        </w:rPr>
        <w:t>2014</w:t>
      </w:r>
      <w:r w:rsidRPr="00530A11">
        <w:rPr>
          <w:rFonts w:cs="Times New Roman"/>
        </w:rPr>
        <w:t>版</w:t>
      </w:r>
      <w:r w:rsidRPr="00530A11">
        <w:rPr>
          <w:rFonts w:cs="Times New Roman"/>
          <w:kern w:val="44"/>
          <w:szCs w:val="24"/>
        </w:rPr>
        <w:t>8.1.4</w:t>
      </w:r>
      <w:r w:rsidRPr="00530A11">
        <w:rPr>
          <w:rFonts w:cs="Times New Roman"/>
        </w:rPr>
        <w:t>条的基础上发展而来。</w:t>
      </w:r>
    </w:p>
    <w:p w14:paraId="4D204965" w14:textId="77777777"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1</w:t>
      </w:r>
      <w:r w:rsidRPr="00530A11">
        <w:rPr>
          <w:rFonts w:cs="Times New Roman"/>
          <w:kern w:val="44"/>
          <w:szCs w:val="24"/>
        </w:rPr>
        <w:t>款，室内照明质量是影响室内环境质量的重要因素之一，良好的照明不但有利于提升人们的工作和学习效率，更有利于人们的身心健康，减少各种职业疾病。良好、舒适的照明要求在参考平面上具有适当的照度水平，避免眩光，显色效果良好。各类民用建筑中的室内照度、眩光值、一般显色指数等照明数量和质量指标应满足现行国家标准《建筑照明设计标准》</w:t>
      </w:r>
      <w:r w:rsidRPr="00530A11">
        <w:rPr>
          <w:rFonts w:cs="Times New Roman"/>
          <w:kern w:val="44"/>
          <w:szCs w:val="24"/>
        </w:rPr>
        <w:t>GB 50034</w:t>
      </w:r>
      <w:r w:rsidRPr="00530A11">
        <w:rPr>
          <w:rFonts w:cs="Times New Roman"/>
          <w:kern w:val="44"/>
          <w:szCs w:val="24"/>
        </w:rPr>
        <w:t>的有关规定。</w:t>
      </w:r>
    </w:p>
    <w:p w14:paraId="6AAC73D1" w14:textId="77777777"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2</w:t>
      </w:r>
      <w:r w:rsidRPr="00530A11">
        <w:rPr>
          <w:rFonts w:cs="Times New Roman"/>
          <w:kern w:val="44"/>
          <w:szCs w:val="24"/>
        </w:rPr>
        <w:t>款，对照明产品光生物安全性作了规定，现行国家标准《灯和灯系统的光生物安全性》</w:t>
      </w:r>
      <w:r w:rsidRPr="00530A11">
        <w:rPr>
          <w:rFonts w:cs="Times New Roman"/>
          <w:kern w:val="44"/>
          <w:szCs w:val="24"/>
        </w:rPr>
        <w:t>GB/T 20145</w:t>
      </w:r>
      <w:r w:rsidRPr="00530A11">
        <w:rPr>
          <w:rFonts w:cs="Times New Roman"/>
          <w:kern w:val="44"/>
          <w:szCs w:val="24"/>
        </w:rPr>
        <w:t>规定了照明产品不同危险级别的光生物安全指标及相关测试方法，为保障室内人员的健康，人员长期停留场所的照明应选择安全组别为无危险类的产品。</w:t>
      </w:r>
    </w:p>
    <w:p w14:paraId="74E407BE" w14:textId="77777777" w:rsidR="0087265D" w:rsidRPr="00530A11" w:rsidRDefault="0087265D" w:rsidP="0087265D">
      <w:pPr>
        <w:ind w:firstLine="420"/>
      </w:pPr>
      <w:r w:rsidRPr="00530A11">
        <w:rPr>
          <w:rFonts w:cs="Times New Roman"/>
          <w:kern w:val="44"/>
          <w:szCs w:val="24"/>
        </w:rPr>
        <w:t>第</w:t>
      </w:r>
      <w:r w:rsidRPr="00530A11">
        <w:rPr>
          <w:rFonts w:cs="Times New Roman"/>
          <w:kern w:val="44"/>
          <w:szCs w:val="24"/>
        </w:rPr>
        <w:t>3</w:t>
      </w:r>
      <w:r w:rsidRPr="00530A11">
        <w:rPr>
          <w:rFonts w:cs="Times New Roman"/>
          <w:kern w:val="44"/>
          <w:szCs w:val="24"/>
        </w:rPr>
        <w:t>款，光源光输出波形的波动深度又称为频闪比，用来评价光输出的波动对人的影响。当电光源光通量波动的频率，与运动</w:t>
      </w:r>
      <w:r w:rsidRPr="00530A11">
        <w:rPr>
          <w:rFonts w:cs="Times New Roman"/>
          <w:kern w:val="44"/>
          <w:szCs w:val="24"/>
        </w:rPr>
        <w:t>(</w:t>
      </w:r>
      <w:r w:rsidRPr="00530A11">
        <w:rPr>
          <w:rFonts w:cs="Times New Roman"/>
          <w:kern w:val="44"/>
          <w:szCs w:val="24"/>
        </w:rPr>
        <w:t>旋转</w:t>
      </w:r>
      <w:r w:rsidRPr="00530A11">
        <w:rPr>
          <w:rFonts w:cs="Times New Roman"/>
          <w:kern w:val="44"/>
          <w:szCs w:val="24"/>
        </w:rPr>
        <w:t>)</w:t>
      </w:r>
      <w:r w:rsidRPr="00530A11">
        <w:rPr>
          <w:rFonts w:cs="Times New Roman"/>
          <w:kern w:val="44"/>
          <w:szCs w:val="24"/>
        </w:rPr>
        <w:t>物体的速度</w:t>
      </w:r>
      <w:r w:rsidRPr="00530A11">
        <w:rPr>
          <w:rFonts w:cs="Times New Roman"/>
          <w:kern w:val="44"/>
          <w:szCs w:val="24"/>
        </w:rPr>
        <w:t>(</w:t>
      </w:r>
      <w:r w:rsidRPr="00530A11">
        <w:rPr>
          <w:rFonts w:cs="Times New Roman"/>
          <w:kern w:val="44"/>
          <w:szCs w:val="24"/>
        </w:rPr>
        <w:t>转速</w:t>
      </w:r>
      <w:r w:rsidRPr="00530A11">
        <w:rPr>
          <w:rFonts w:cs="Times New Roman"/>
          <w:kern w:val="44"/>
          <w:szCs w:val="24"/>
        </w:rPr>
        <w:t>)</w:t>
      </w:r>
      <w:r w:rsidRPr="00530A11">
        <w:rPr>
          <w:rFonts w:cs="Times New Roman"/>
          <w:kern w:val="44"/>
          <w:szCs w:val="24"/>
        </w:rPr>
        <w:t>成整倍数关系时，运动</w:t>
      </w:r>
      <w:r w:rsidRPr="00530A11">
        <w:rPr>
          <w:rFonts w:cs="Times New Roman"/>
          <w:kern w:val="44"/>
          <w:szCs w:val="24"/>
        </w:rPr>
        <w:t>(</w:t>
      </w:r>
      <w:r w:rsidRPr="00530A11">
        <w:rPr>
          <w:rFonts w:cs="Times New Roman"/>
          <w:kern w:val="44"/>
          <w:szCs w:val="24"/>
        </w:rPr>
        <w:t>旋转</w:t>
      </w:r>
      <w:r w:rsidRPr="00530A11">
        <w:rPr>
          <w:rFonts w:cs="Times New Roman"/>
          <w:kern w:val="44"/>
          <w:szCs w:val="24"/>
        </w:rPr>
        <w:t>)</w:t>
      </w:r>
      <w:r w:rsidRPr="00530A11">
        <w:rPr>
          <w:rFonts w:cs="Times New Roman"/>
          <w:kern w:val="44"/>
          <w:szCs w:val="24"/>
        </w:rPr>
        <w:t>物体的运动</w:t>
      </w:r>
      <w:r w:rsidRPr="00530A11">
        <w:rPr>
          <w:rFonts w:cs="Times New Roman"/>
          <w:kern w:val="44"/>
          <w:szCs w:val="24"/>
        </w:rPr>
        <w:t>(</w:t>
      </w:r>
      <w:r w:rsidRPr="00530A11">
        <w:rPr>
          <w:rFonts w:cs="Times New Roman"/>
          <w:kern w:val="44"/>
          <w:szCs w:val="24"/>
        </w:rPr>
        <w:t>旋转</w:t>
      </w:r>
      <w:r w:rsidRPr="00530A11">
        <w:rPr>
          <w:rFonts w:cs="Times New Roman"/>
          <w:kern w:val="44"/>
          <w:szCs w:val="24"/>
        </w:rPr>
        <w:t>)</w:t>
      </w:r>
      <w:r w:rsidRPr="00530A11">
        <w:rPr>
          <w:rFonts w:cs="Times New Roman"/>
          <w:kern w:val="44"/>
          <w:szCs w:val="24"/>
        </w:rPr>
        <w:t>状态，在人的视觉中就会产生静止、倒转、运动</w:t>
      </w:r>
      <w:r w:rsidRPr="00530A11">
        <w:rPr>
          <w:rFonts w:cs="Times New Roman"/>
          <w:kern w:val="44"/>
          <w:szCs w:val="24"/>
        </w:rPr>
        <w:t>(</w:t>
      </w:r>
      <w:r w:rsidRPr="00530A11">
        <w:rPr>
          <w:rFonts w:cs="Times New Roman"/>
          <w:kern w:val="44"/>
          <w:szCs w:val="24"/>
        </w:rPr>
        <w:t>旋转</w:t>
      </w:r>
      <w:r w:rsidRPr="00530A11">
        <w:rPr>
          <w:rFonts w:cs="Times New Roman"/>
          <w:kern w:val="44"/>
          <w:szCs w:val="24"/>
        </w:rPr>
        <w:t>)</w:t>
      </w:r>
      <w:r w:rsidRPr="00530A11">
        <w:rPr>
          <w:rFonts w:cs="Times New Roman"/>
          <w:kern w:val="44"/>
          <w:szCs w:val="24"/>
        </w:rPr>
        <w:t>速度缓慢，以及上述三种状态周期性重复的错误视觉，轻则导致视觉疲劳、偏头痛和工作效率的降低，重则引发事故。光通量波动的波动深度越大，负效应越大，危害越严重。</w:t>
      </w:r>
      <w:r w:rsidRPr="00530A11">
        <w:rPr>
          <w:rFonts w:cs="Times New Roman" w:hint="eastAsia"/>
          <w:kern w:val="44"/>
          <w:szCs w:val="24"/>
        </w:rPr>
        <w:t>照明频闪的限值执行《</w:t>
      </w:r>
      <w:r w:rsidRPr="00530A11">
        <w:rPr>
          <w:rFonts w:cs="Times New Roman" w:hint="eastAsia"/>
          <w:kern w:val="44"/>
          <w:szCs w:val="24"/>
        </w:rPr>
        <w:t>LED</w:t>
      </w:r>
      <w:r w:rsidRPr="00530A11">
        <w:rPr>
          <w:rFonts w:cs="Times New Roman" w:hint="eastAsia"/>
          <w:kern w:val="44"/>
          <w:szCs w:val="24"/>
        </w:rPr>
        <w:t>室内照明应用技术要求</w:t>
      </w:r>
      <w:r w:rsidRPr="00530A11">
        <w:rPr>
          <w:rFonts w:cs="Times New Roman" w:hint="eastAsia"/>
          <w:kern w:val="44"/>
          <w:szCs w:val="24"/>
        </w:rPr>
        <w:t xml:space="preserve"> </w:t>
      </w:r>
      <w:r w:rsidRPr="00530A11">
        <w:rPr>
          <w:rFonts w:cs="Times New Roman" w:hint="eastAsia"/>
          <w:kern w:val="44"/>
          <w:szCs w:val="24"/>
        </w:rPr>
        <w:t>》</w:t>
      </w:r>
      <w:r w:rsidRPr="00530A11">
        <w:rPr>
          <w:rFonts w:cs="Times New Roman" w:hint="eastAsia"/>
          <w:kern w:val="44"/>
          <w:szCs w:val="24"/>
        </w:rPr>
        <w:t>GB/T 31831-2015</w:t>
      </w:r>
      <w:r w:rsidRPr="00530A11">
        <w:rPr>
          <w:rFonts w:cs="Times New Roman" w:hint="eastAsia"/>
          <w:kern w:val="44"/>
          <w:szCs w:val="24"/>
        </w:rPr>
        <w:t>规定：</w:t>
      </w:r>
      <w:r w:rsidRPr="00530A11">
        <w:rPr>
          <w:rFonts w:cs="Times New Roman" w:hint="eastAsia"/>
          <w:kern w:val="44"/>
          <w:szCs w:val="24"/>
        </w:rPr>
        <w:t>6.1.4</w:t>
      </w:r>
      <w:r w:rsidRPr="00530A11">
        <w:rPr>
          <w:rFonts w:cs="Times New Roman" w:hint="eastAsia"/>
          <w:kern w:val="44"/>
          <w:szCs w:val="24"/>
        </w:rPr>
        <w:t>用于人员长期工作或停留场所的一般照明的</w:t>
      </w:r>
      <w:r w:rsidRPr="00530A11">
        <w:rPr>
          <w:rFonts w:cs="Times New Roman" w:hint="eastAsia"/>
          <w:kern w:val="44"/>
          <w:szCs w:val="24"/>
        </w:rPr>
        <w:t>LED</w:t>
      </w:r>
      <w:r w:rsidRPr="00530A11">
        <w:rPr>
          <w:rFonts w:cs="Times New Roman" w:hint="eastAsia"/>
          <w:kern w:val="44"/>
          <w:szCs w:val="24"/>
        </w:rPr>
        <w:t>光源和</w:t>
      </w:r>
      <w:r w:rsidRPr="00530A11">
        <w:rPr>
          <w:rFonts w:cs="Times New Roman" w:hint="eastAsia"/>
          <w:kern w:val="44"/>
          <w:szCs w:val="24"/>
        </w:rPr>
        <w:t>LED</w:t>
      </w:r>
      <w:r w:rsidRPr="00530A11">
        <w:rPr>
          <w:rFonts w:cs="Times New Roman" w:hint="eastAsia"/>
          <w:kern w:val="44"/>
          <w:szCs w:val="24"/>
        </w:rPr>
        <w:t>灯具，其光输出波形的波动深度应符合下表的规定。其他节能照明产品参照执行。</w:t>
      </w:r>
    </w:p>
    <w:p w14:paraId="6B09F6A9" w14:textId="77777777" w:rsidR="0087265D" w:rsidRPr="00530A11" w:rsidRDefault="0087265D" w:rsidP="0087265D">
      <w:pPr>
        <w:pStyle w:val="ae"/>
        <w:rPr>
          <w:b w:val="0"/>
        </w:rPr>
      </w:pPr>
      <w:r w:rsidRPr="00530A11">
        <w:rPr>
          <w:rFonts w:hint="eastAsia"/>
          <w:b w:val="0"/>
        </w:rPr>
        <w:t>表</w:t>
      </w:r>
      <w:r w:rsidRPr="00530A11">
        <w:rPr>
          <w:rFonts w:hint="eastAsia"/>
          <w:b w:val="0"/>
        </w:rPr>
        <w:t xml:space="preserve">7.3.1 </w:t>
      </w:r>
      <w:r w:rsidRPr="00530A11">
        <w:rPr>
          <w:rFonts w:hint="eastAsia"/>
          <w:b w:val="0"/>
        </w:rPr>
        <w:t>波动深度要求</w:t>
      </w:r>
    </w:p>
    <w:tbl>
      <w:tblPr>
        <w:tblW w:w="8188" w:type="dxa"/>
        <w:jc w:val="center"/>
        <w:tblBorders>
          <w:top w:val="single" w:sz="8" w:space="0" w:color="000000"/>
          <w:left w:val="single" w:sz="8" w:space="0" w:color="000000"/>
          <w:bottom w:val="single" w:sz="8" w:space="0" w:color="000000"/>
          <w:right w:val="single" w:sz="8" w:space="0" w:color="000000"/>
        </w:tblBorders>
        <w:tblLayout w:type="fixed"/>
        <w:tblLook w:val="04A0" w:firstRow="1" w:lastRow="0" w:firstColumn="1" w:lastColumn="0" w:noHBand="0" w:noVBand="1"/>
      </w:tblPr>
      <w:tblGrid>
        <w:gridCol w:w="4243"/>
        <w:gridCol w:w="3945"/>
      </w:tblGrid>
      <w:tr w:rsidR="0087265D" w:rsidRPr="00530A11" w14:paraId="7C159FC1" w14:textId="77777777" w:rsidTr="00C060F4">
        <w:trPr>
          <w:trHeight w:val="278"/>
          <w:jc w:val="center"/>
        </w:trPr>
        <w:tc>
          <w:tcPr>
            <w:tcW w:w="4243" w:type="dxa"/>
            <w:tcBorders>
              <w:top w:val="single" w:sz="8" w:space="0" w:color="000000"/>
              <w:left w:val="single" w:sz="8" w:space="0" w:color="000000"/>
              <w:bottom w:val="single" w:sz="8" w:space="0" w:color="000000"/>
              <w:right w:val="single" w:sz="8" w:space="0" w:color="000000"/>
            </w:tcBorders>
          </w:tcPr>
          <w:p w14:paraId="7848AE4C" w14:textId="77777777" w:rsidR="0087265D" w:rsidRPr="00530A11" w:rsidRDefault="0087265D" w:rsidP="00C060F4">
            <w:pPr>
              <w:pStyle w:val="ae"/>
              <w:rPr>
                <w:b w:val="0"/>
              </w:rPr>
            </w:pPr>
            <w:r w:rsidRPr="00530A11">
              <w:rPr>
                <w:b w:val="0"/>
              </w:rPr>
              <w:t>波动频率</w:t>
            </w:r>
            <w:r w:rsidRPr="00530A11">
              <w:rPr>
                <w:b w:val="0"/>
              </w:rPr>
              <w:t>f</w:t>
            </w:r>
          </w:p>
        </w:tc>
        <w:tc>
          <w:tcPr>
            <w:tcW w:w="3945" w:type="dxa"/>
            <w:tcBorders>
              <w:top w:val="single" w:sz="8" w:space="0" w:color="000000"/>
              <w:left w:val="single" w:sz="8" w:space="0" w:color="000000"/>
              <w:bottom w:val="single" w:sz="8" w:space="0" w:color="000000"/>
              <w:right w:val="single" w:sz="8" w:space="0" w:color="000000"/>
            </w:tcBorders>
          </w:tcPr>
          <w:p w14:paraId="17539206" w14:textId="77777777" w:rsidR="0087265D" w:rsidRPr="00530A11" w:rsidRDefault="0087265D" w:rsidP="00C060F4">
            <w:pPr>
              <w:pStyle w:val="ae"/>
              <w:rPr>
                <w:b w:val="0"/>
              </w:rPr>
            </w:pPr>
            <w:r w:rsidRPr="00530A11">
              <w:rPr>
                <w:b w:val="0"/>
              </w:rPr>
              <w:t>波动深度</w:t>
            </w:r>
            <w:r w:rsidRPr="00530A11">
              <w:rPr>
                <w:b w:val="0"/>
              </w:rPr>
              <w:t>FPF</w:t>
            </w:r>
            <w:r w:rsidRPr="00530A11">
              <w:rPr>
                <w:b w:val="0"/>
              </w:rPr>
              <w:t>限值（</w:t>
            </w:r>
            <w:r w:rsidRPr="00530A11">
              <w:rPr>
                <w:b w:val="0"/>
              </w:rPr>
              <w:t>%</w:t>
            </w:r>
            <w:r w:rsidRPr="00530A11">
              <w:rPr>
                <w:b w:val="0"/>
              </w:rPr>
              <w:t>）</w:t>
            </w:r>
          </w:p>
        </w:tc>
      </w:tr>
      <w:tr w:rsidR="0087265D" w:rsidRPr="00530A11" w14:paraId="42722314" w14:textId="77777777" w:rsidTr="00C060F4">
        <w:trPr>
          <w:trHeight w:val="119"/>
          <w:jc w:val="center"/>
        </w:trPr>
        <w:tc>
          <w:tcPr>
            <w:tcW w:w="4243" w:type="dxa"/>
            <w:tcBorders>
              <w:top w:val="single" w:sz="8" w:space="0" w:color="000000"/>
              <w:left w:val="single" w:sz="8" w:space="0" w:color="000000"/>
              <w:bottom w:val="single" w:sz="8" w:space="0" w:color="000000"/>
              <w:right w:val="single" w:sz="8" w:space="0" w:color="000000"/>
            </w:tcBorders>
          </w:tcPr>
          <w:p w14:paraId="649EBC6D" w14:textId="77777777" w:rsidR="0087265D" w:rsidRPr="00530A11" w:rsidRDefault="0087265D" w:rsidP="00C060F4">
            <w:pPr>
              <w:pStyle w:val="ae"/>
              <w:rPr>
                <w:b w:val="0"/>
              </w:rPr>
            </w:pPr>
            <w:r w:rsidRPr="00530A11">
              <w:rPr>
                <w:b w:val="0"/>
              </w:rPr>
              <w:t xml:space="preserve">f≤9Hz </w:t>
            </w:r>
          </w:p>
        </w:tc>
        <w:tc>
          <w:tcPr>
            <w:tcW w:w="3945" w:type="dxa"/>
            <w:tcBorders>
              <w:top w:val="single" w:sz="8" w:space="0" w:color="000000"/>
              <w:left w:val="single" w:sz="8" w:space="0" w:color="000000"/>
              <w:bottom w:val="single" w:sz="8" w:space="0" w:color="000000"/>
              <w:right w:val="single" w:sz="8" w:space="0" w:color="000000"/>
            </w:tcBorders>
          </w:tcPr>
          <w:p w14:paraId="38AF919E" w14:textId="77777777" w:rsidR="0087265D" w:rsidRPr="00530A11" w:rsidRDefault="0087265D" w:rsidP="00C060F4">
            <w:pPr>
              <w:pStyle w:val="ae"/>
              <w:rPr>
                <w:b w:val="0"/>
              </w:rPr>
            </w:pPr>
            <w:r w:rsidRPr="00530A11">
              <w:rPr>
                <w:b w:val="0"/>
              </w:rPr>
              <w:t>FPF≤0.288</w:t>
            </w:r>
          </w:p>
        </w:tc>
      </w:tr>
      <w:tr w:rsidR="0087265D" w:rsidRPr="00530A11" w14:paraId="523B2A5B" w14:textId="77777777" w:rsidTr="00C060F4">
        <w:trPr>
          <w:trHeight w:val="119"/>
          <w:jc w:val="center"/>
        </w:trPr>
        <w:tc>
          <w:tcPr>
            <w:tcW w:w="4243" w:type="dxa"/>
            <w:tcBorders>
              <w:top w:val="single" w:sz="8" w:space="0" w:color="000000"/>
              <w:left w:val="single" w:sz="8" w:space="0" w:color="000000"/>
              <w:bottom w:val="single" w:sz="8" w:space="0" w:color="000000"/>
              <w:right w:val="single" w:sz="8" w:space="0" w:color="000000"/>
            </w:tcBorders>
          </w:tcPr>
          <w:p w14:paraId="2FB89773" w14:textId="77777777" w:rsidR="0087265D" w:rsidRPr="00530A11" w:rsidRDefault="0087265D" w:rsidP="00C060F4">
            <w:pPr>
              <w:pStyle w:val="ae"/>
              <w:rPr>
                <w:b w:val="0"/>
              </w:rPr>
            </w:pPr>
            <w:r w:rsidRPr="00530A11">
              <w:rPr>
                <w:b w:val="0"/>
              </w:rPr>
              <w:t>9Hz</w:t>
            </w:r>
            <w:r w:rsidRPr="00530A11">
              <w:rPr>
                <w:b w:val="0"/>
              </w:rPr>
              <w:t>＜</w:t>
            </w:r>
            <w:r w:rsidRPr="00530A11">
              <w:rPr>
                <w:b w:val="0"/>
              </w:rPr>
              <w:t>f≤3125Hz</w:t>
            </w:r>
          </w:p>
        </w:tc>
        <w:tc>
          <w:tcPr>
            <w:tcW w:w="3945" w:type="dxa"/>
            <w:tcBorders>
              <w:top w:val="single" w:sz="8" w:space="0" w:color="000000"/>
              <w:left w:val="single" w:sz="8" w:space="0" w:color="000000"/>
              <w:bottom w:val="single" w:sz="8" w:space="0" w:color="000000"/>
              <w:right w:val="single" w:sz="8" w:space="0" w:color="000000"/>
            </w:tcBorders>
          </w:tcPr>
          <w:p w14:paraId="5796E0CE" w14:textId="77777777" w:rsidR="0087265D" w:rsidRPr="00530A11" w:rsidRDefault="0087265D" w:rsidP="00C060F4">
            <w:pPr>
              <w:pStyle w:val="ae"/>
              <w:rPr>
                <w:b w:val="0"/>
              </w:rPr>
            </w:pPr>
            <w:r w:rsidRPr="00530A11">
              <w:rPr>
                <w:b w:val="0"/>
              </w:rPr>
              <w:t>FPF≤f×0.08/2.5</w:t>
            </w:r>
          </w:p>
        </w:tc>
      </w:tr>
      <w:tr w:rsidR="0087265D" w:rsidRPr="00530A11" w14:paraId="198CCED6" w14:textId="77777777" w:rsidTr="00C060F4">
        <w:trPr>
          <w:trHeight w:val="50"/>
          <w:jc w:val="center"/>
        </w:trPr>
        <w:tc>
          <w:tcPr>
            <w:tcW w:w="4243" w:type="dxa"/>
            <w:tcBorders>
              <w:top w:val="single" w:sz="8" w:space="0" w:color="000000"/>
              <w:left w:val="single" w:sz="8" w:space="0" w:color="000000"/>
              <w:bottom w:val="single" w:sz="8" w:space="0" w:color="000000"/>
              <w:right w:val="single" w:sz="8" w:space="0" w:color="000000"/>
            </w:tcBorders>
          </w:tcPr>
          <w:p w14:paraId="42D4D800" w14:textId="77777777" w:rsidR="0087265D" w:rsidRPr="00530A11" w:rsidRDefault="0087265D" w:rsidP="00C060F4">
            <w:pPr>
              <w:pStyle w:val="ae"/>
              <w:rPr>
                <w:b w:val="0"/>
              </w:rPr>
            </w:pPr>
            <w:r w:rsidRPr="00530A11">
              <w:rPr>
                <w:b w:val="0"/>
              </w:rPr>
              <w:t>f</w:t>
            </w:r>
            <w:r w:rsidRPr="00530A11">
              <w:rPr>
                <w:b w:val="0"/>
              </w:rPr>
              <w:t>＞</w:t>
            </w:r>
            <w:r w:rsidRPr="00530A11">
              <w:rPr>
                <w:b w:val="0"/>
              </w:rPr>
              <w:t>3125Hz</w:t>
            </w:r>
          </w:p>
        </w:tc>
        <w:tc>
          <w:tcPr>
            <w:tcW w:w="3945" w:type="dxa"/>
            <w:tcBorders>
              <w:top w:val="single" w:sz="8" w:space="0" w:color="000000"/>
              <w:left w:val="single" w:sz="8" w:space="0" w:color="000000"/>
              <w:bottom w:val="single" w:sz="8" w:space="0" w:color="000000"/>
              <w:right w:val="single" w:sz="8" w:space="0" w:color="000000"/>
            </w:tcBorders>
          </w:tcPr>
          <w:p w14:paraId="7A6F43E6" w14:textId="77777777" w:rsidR="0087265D" w:rsidRPr="00530A11" w:rsidRDefault="0087265D" w:rsidP="00C060F4">
            <w:pPr>
              <w:pStyle w:val="ae"/>
              <w:rPr>
                <w:b w:val="0"/>
              </w:rPr>
            </w:pPr>
            <w:r w:rsidRPr="00530A11">
              <w:rPr>
                <w:b w:val="0"/>
              </w:rPr>
              <w:t>无限制</w:t>
            </w:r>
          </w:p>
        </w:tc>
      </w:tr>
    </w:tbl>
    <w:p w14:paraId="7FD03B51" w14:textId="5FA64185" w:rsidR="002B4D27" w:rsidRPr="006C79E9" w:rsidRDefault="002B4D27" w:rsidP="006C79E9">
      <w:pPr>
        <w:pStyle w:val="20"/>
      </w:pPr>
      <w:r w:rsidRPr="0081478A">
        <w:t>【评价要点】</w:t>
      </w:r>
    </w:p>
    <w:p w14:paraId="082C78CA" w14:textId="35BA41FA" w:rsidR="00235608" w:rsidRPr="00235608" w:rsidRDefault="00235608" w:rsidP="00643310">
      <w:pPr>
        <w:ind w:firstLine="420"/>
      </w:pPr>
      <w:r w:rsidRPr="00235608">
        <w:rPr>
          <w:rFonts w:hint="eastAsia"/>
        </w:rPr>
        <w:t>照明照度、眩光值、一般显色指数等照明数量和质量指标应满足现行国家标准《建筑照</w:t>
      </w:r>
      <w:r w:rsidRPr="00235608">
        <w:rPr>
          <w:rFonts w:hint="eastAsia"/>
        </w:rPr>
        <w:lastRenderedPageBreak/>
        <w:t>明设计标准》</w:t>
      </w:r>
      <w:r w:rsidRPr="00235608">
        <w:rPr>
          <w:rFonts w:hint="eastAsia"/>
        </w:rPr>
        <w:t>GB 50034</w:t>
      </w:r>
      <w:r w:rsidRPr="00235608">
        <w:rPr>
          <w:rFonts w:hint="eastAsia"/>
        </w:rPr>
        <w:t>的有关规定。</w:t>
      </w:r>
    </w:p>
    <w:p w14:paraId="728095B3" w14:textId="4EE318CD" w:rsidR="002B4D27" w:rsidRPr="0081478A" w:rsidRDefault="002B4D27" w:rsidP="002B4D27">
      <w:pPr>
        <w:ind w:firstLine="420"/>
        <w:rPr>
          <w:rFonts w:cs="Times New Roman"/>
        </w:rPr>
      </w:pPr>
      <w:r w:rsidRPr="0081478A">
        <w:rPr>
          <w:rFonts w:cs="Times New Roman"/>
        </w:rPr>
        <w:t>为避免眩光，直接型灯具的遮光角应满足</w:t>
      </w:r>
      <w:r w:rsidR="00C035D8">
        <w:rPr>
          <w:rFonts w:cs="Times New Roman" w:hint="eastAsia"/>
        </w:rPr>
        <w:t>下</w:t>
      </w:r>
      <w:r w:rsidRPr="0081478A">
        <w:rPr>
          <w:rFonts w:cs="Times New Roman"/>
        </w:rPr>
        <w:t>表的要求。</w:t>
      </w:r>
    </w:p>
    <w:p w14:paraId="49FBD6DC" w14:textId="056D0BCB" w:rsidR="002B4D27" w:rsidRPr="0081478A" w:rsidRDefault="002B4D27" w:rsidP="002B4D27">
      <w:pPr>
        <w:pStyle w:val="ae"/>
        <w:rPr>
          <w:rFonts w:cs="Times New Roman"/>
          <w:b w:val="0"/>
          <w:bCs/>
        </w:rPr>
      </w:pPr>
      <w:r w:rsidRPr="0081478A">
        <w:rPr>
          <w:rFonts w:cs="Times New Roman"/>
          <w:b w:val="0"/>
          <w:bCs/>
        </w:rPr>
        <w:t>直接型灯具的遮光角</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 w:type="dxa"/>
        </w:tblCellMar>
        <w:tblLook w:val="00A0" w:firstRow="1" w:lastRow="0" w:firstColumn="1" w:lastColumn="0" w:noHBand="0" w:noVBand="0"/>
      </w:tblPr>
      <w:tblGrid>
        <w:gridCol w:w="1842"/>
        <w:gridCol w:w="1843"/>
        <w:gridCol w:w="1842"/>
        <w:gridCol w:w="1843"/>
      </w:tblGrid>
      <w:tr w:rsidR="0081478A" w:rsidRPr="0081478A" w14:paraId="081FA78B" w14:textId="77777777" w:rsidTr="002B4D27">
        <w:trPr>
          <w:jc w:val="center"/>
        </w:trPr>
        <w:tc>
          <w:tcPr>
            <w:tcW w:w="1842" w:type="dxa"/>
            <w:shd w:val="clear" w:color="auto" w:fill="auto"/>
            <w:vAlign w:val="center"/>
          </w:tcPr>
          <w:p w14:paraId="5D6E7FE0" w14:textId="77777777" w:rsidR="002B4D27" w:rsidRPr="0081478A" w:rsidRDefault="002B4D27" w:rsidP="002B4D27">
            <w:pPr>
              <w:pStyle w:val="ae"/>
              <w:rPr>
                <w:rFonts w:cs="Times New Roman"/>
                <w:b w:val="0"/>
                <w:bCs/>
              </w:rPr>
            </w:pPr>
            <w:r w:rsidRPr="0081478A">
              <w:rPr>
                <w:rFonts w:cs="Times New Roman"/>
                <w:b w:val="0"/>
                <w:bCs/>
              </w:rPr>
              <w:t>光源平均亮度</w:t>
            </w:r>
            <w:r w:rsidRPr="0081478A">
              <w:rPr>
                <w:rFonts w:cs="Times New Roman"/>
                <w:b w:val="0"/>
                <w:bCs/>
              </w:rPr>
              <w:t>/</w:t>
            </w:r>
            <w:r w:rsidRPr="0081478A">
              <w:rPr>
                <w:rFonts w:cs="Times New Roman"/>
                <w:b w:val="0"/>
                <w:bCs/>
              </w:rPr>
              <w:t>（</w:t>
            </w:r>
            <w:r w:rsidRPr="0081478A">
              <w:rPr>
                <w:rFonts w:cs="Times New Roman"/>
                <w:b w:val="0"/>
                <w:bCs/>
              </w:rPr>
              <w:t>kcd/m</w:t>
            </w:r>
            <w:r w:rsidRPr="00643310">
              <w:rPr>
                <w:rFonts w:cs="Times New Roman"/>
                <w:b w:val="0"/>
                <w:bCs/>
                <w:vertAlign w:val="superscript"/>
              </w:rPr>
              <w:t>2</w:t>
            </w:r>
            <w:r w:rsidRPr="0081478A">
              <w:rPr>
                <w:rFonts w:cs="Times New Roman"/>
                <w:b w:val="0"/>
                <w:bCs/>
              </w:rPr>
              <w:t>）</w:t>
            </w:r>
          </w:p>
        </w:tc>
        <w:tc>
          <w:tcPr>
            <w:tcW w:w="1843" w:type="dxa"/>
            <w:shd w:val="clear" w:color="auto" w:fill="auto"/>
            <w:vAlign w:val="center"/>
          </w:tcPr>
          <w:p w14:paraId="732C98ED" w14:textId="77777777" w:rsidR="002B4D27" w:rsidRPr="0081478A" w:rsidRDefault="002B4D27" w:rsidP="002B4D27">
            <w:pPr>
              <w:pStyle w:val="ae"/>
              <w:rPr>
                <w:rFonts w:cs="Times New Roman"/>
                <w:b w:val="0"/>
                <w:bCs/>
              </w:rPr>
            </w:pPr>
            <w:r w:rsidRPr="0081478A">
              <w:rPr>
                <w:rFonts w:cs="Times New Roman"/>
                <w:b w:val="0"/>
                <w:bCs/>
              </w:rPr>
              <w:t>遮光角</w:t>
            </w:r>
            <w:r w:rsidRPr="0081478A">
              <w:rPr>
                <w:rFonts w:cs="Times New Roman"/>
                <w:b w:val="0"/>
                <w:bCs/>
              </w:rPr>
              <w:t>/</w:t>
            </w:r>
            <w:r w:rsidRPr="0081478A">
              <w:rPr>
                <w:rFonts w:cs="Times New Roman"/>
                <w:b w:val="0"/>
                <w:bCs/>
              </w:rPr>
              <w:t>（</w:t>
            </w:r>
            <w:r w:rsidRPr="0081478A">
              <w:rPr>
                <w:rFonts w:cs="Times New Roman"/>
                <w:b w:val="0"/>
                <w:bCs/>
              </w:rPr>
              <w:t>°</w:t>
            </w:r>
            <w:r w:rsidRPr="0081478A">
              <w:rPr>
                <w:rFonts w:cs="Times New Roman"/>
                <w:b w:val="0"/>
                <w:bCs/>
              </w:rPr>
              <w:t>）</w:t>
            </w:r>
          </w:p>
        </w:tc>
        <w:tc>
          <w:tcPr>
            <w:tcW w:w="1842" w:type="dxa"/>
            <w:shd w:val="clear" w:color="auto" w:fill="auto"/>
            <w:vAlign w:val="center"/>
          </w:tcPr>
          <w:p w14:paraId="10F3B329" w14:textId="77777777" w:rsidR="002B4D27" w:rsidRPr="0081478A" w:rsidRDefault="002B4D27" w:rsidP="002B4D27">
            <w:pPr>
              <w:pStyle w:val="ae"/>
              <w:rPr>
                <w:rFonts w:cs="Times New Roman"/>
                <w:b w:val="0"/>
                <w:bCs/>
              </w:rPr>
            </w:pPr>
            <w:r w:rsidRPr="0081478A">
              <w:rPr>
                <w:rFonts w:cs="Times New Roman"/>
                <w:b w:val="0"/>
                <w:bCs/>
              </w:rPr>
              <w:t>光源平均亮度（</w:t>
            </w:r>
            <w:r w:rsidRPr="0081478A">
              <w:rPr>
                <w:rFonts w:cs="Times New Roman"/>
                <w:b w:val="0"/>
                <w:bCs/>
              </w:rPr>
              <w:t>kcd/m</w:t>
            </w:r>
            <w:r w:rsidRPr="00643310">
              <w:rPr>
                <w:rFonts w:cs="Times New Roman"/>
                <w:b w:val="0"/>
                <w:bCs/>
                <w:vertAlign w:val="superscript"/>
              </w:rPr>
              <w:t>2</w:t>
            </w:r>
            <w:r w:rsidRPr="0081478A">
              <w:rPr>
                <w:rFonts w:cs="Times New Roman"/>
                <w:b w:val="0"/>
                <w:bCs/>
              </w:rPr>
              <w:t>）</w:t>
            </w:r>
          </w:p>
        </w:tc>
        <w:tc>
          <w:tcPr>
            <w:tcW w:w="1843" w:type="dxa"/>
            <w:shd w:val="clear" w:color="auto" w:fill="auto"/>
            <w:vAlign w:val="center"/>
          </w:tcPr>
          <w:p w14:paraId="702CF77F" w14:textId="77777777" w:rsidR="002B4D27" w:rsidRPr="0081478A" w:rsidRDefault="002B4D27" w:rsidP="002B4D27">
            <w:pPr>
              <w:pStyle w:val="ae"/>
              <w:rPr>
                <w:rFonts w:cs="Times New Roman"/>
                <w:b w:val="0"/>
                <w:bCs/>
              </w:rPr>
            </w:pPr>
            <w:r w:rsidRPr="0081478A">
              <w:rPr>
                <w:rFonts w:cs="Times New Roman"/>
                <w:b w:val="0"/>
                <w:bCs/>
              </w:rPr>
              <w:t>遮光角</w:t>
            </w:r>
            <w:r w:rsidRPr="0081478A">
              <w:rPr>
                <w:rFonts w:cs="Times New Roman"/>
                <w:b w:val="0"/>
                <w:bCs/>
              </w:rPr>
              <w:t>/</w:t>
            </w:r>
            <w:r w:rsidRPr="0081478A">
              <w:rPr>
                <w:rFonts w:cs="Times New Roman"/>
                <w:b w:val="0"/>
                <w:bCs/>
              </w:rPr>
              <w:t>（</w:t>
            </w:r>
            <w:r w:rsidRPr="0081478A">
              <w:rPr>
                <w:rFonts w:cs="Times New Roman"/>
                <w:b w:val="0"/>
                <w:bCs/>
              </w:rPr>
              <w:t>°</w:t>
            </w:r>
            <w:r w:rsidRPr="0081478A">
              <w:rPr>
                <w:rFonts w:cs="Times New Roman"/>
                <w:b w:val="0"/>
                <w:bCs/>
              </w:rPr>
              <w:t>）</w:t>
            </w:r>
          </w:p>
        </w:tc>
      </w:tr>
      <w:tr w:rsidR="0081478A" w:rsidRPr="0081478A" w14:paraId="2626BA43" w14:textId="77777777" w:rsidTr="002B4D27">
        <w:trPr>
          <w:jc w:val="center"/>
        </w:trPr>
        <w:tc>
          <w:tcPr>
            <w:tcW w:w="1842" w:type="dxa"/>
            <w:shd w:val="clear" w:color="auto" w:fill="auto"/>
            <w:vAlign w:val="center"/>
          </w:tcPr>
          <w:p w14:paraId="416B4242" w14:textId="77777777" w:rsidR="002B4D27" w:rsidRPr="0081478A" w:rsidRDefault="002B4D27" w:rsidP="002B4D27">
            <w:pPr>
              <w:pStyle w:val="ae"/>
              <w:rPr>
                <w:rFonts w:cs="Times New Roman"/>
                <w:b w:val="0"/>
                <w:bCs/>
              </w:rPr>
            </w:pPr>
            <w:r w:rsidRPr="0081478A">
              <w:rPr>
                <w:rFonts w:cs="Times New Roman"/>
                <w:b w:val="0"/>
                <w:bCs/>
              </w:rPr>
              <w:t>1</w:t>
            </w:r>
            <w:r w:rsidRPr="0081478A">
              <w:rPr>
                <w:rFonts w:cs="Times New Roman"/>
                <w:b w:val="0"/>
                <w:bCs/>
              </w:rPr>
              <w:t>～</w:t>
            </w:r>
            <w:r w:rsidRPr="0081478A">
              <w:rPr>
                <w:rFonts w:cs="Times New Roman"/>
                <w:b w:val="0"/>
                <w:bCs/>
              </w:rPr>
              <w:t>20</w:t>
            </w:r>
          </w:p>
        </w:tc>
        <w:tc>
          <w:tcPr>
            <w:tcW w:w="1843" w:type="dxa"/>
            <w:shd w:val="clear" w:color="auto" w:fill="auto"/>
            <w:vAlign w:val="center"/>
          </w:tcPr>
          <w:p w14:paraId="4AD9B1BF" w14:textId="77777777" w:rsidR="002B4D27" w:rsidRPr="0081478A" w:rsidRDefault="002B4D27" w:rsidP="002B4D27">
            <w:pPr>
              <w:pStyle w:val="ae"/>
              <w:rPr>
                <w:rFonts w:cs="Times New Roman"/>
                <w:b w:val="0"/>
                <w:bCs/>
              </w:rPr>
            </w:pPr>
            <w:r w:rsidRPr="0081478A">
              <w:rPr>
                <w:rFonts w:cs="Times New Roman"/>
                <w:b w:val="0"/>
                <w:bCs/>
              </w:rPr>
              <w:t>10</w:t>
            </w:r>
          </w:p>
        </w:tc>
        <w:tc>
          <w:tcPr>
            <w:tcW w:w="1842" w:type="dxa"/>
            <w:shd w:val="clear" w:color="auto" w:fill="auto"/>
            <w:vAlign w:val="center"/>
          </w:tcPr>
          <w:p w14:paraId="1C84C913" w14:textId="77777777" w:rsidR="002B4D27" w:rsidRPr="0081478A" w:rsidRDefault="002B4D27" w:rsidP="002B4D27">
            <w:pPr>
              <w:pStyle w:val="ae"/>
              <w:rPr>
                <w:rFonts w:cs="Times New Roman"/>
                <w:b w:val="0"/>
                <w:bCs/>
              </w:rPr>
            </w:pPr>
            <w:r w:rsidRPr="0081478A">
              <w:rPr>
                <w:rFonts w:cs="Times New Roman"/>
                <w:b w:val="0"/>
                <w:bCs/>
              </w:rPr>
              <w:t>50</w:t>
            </w:r>
            <w:r w:rsidRPr="0081478A">
              <w:rPr>
                <w:rFonts w:cs="Times New Roman"/>
                <w:b w:val="0"/>
                <w:bCs/>
              </w:rPr>
              <w:t>～</w:t>
            </w:r>
            <w:r w:rsidRPr="0081478A">
              <w:rPr>
                <w:rFonts w:cs="Times New Roman"/>
                <w:b w:val="0"/>
                <w:bCs/>
              </w:rPr>
              <w:t>500</w:t>
            </w:r>
          </w:p>
        </w:tc>
        <w:tc>
          <w:tcPr>
            <w:tcW w:w="1843" w:type="dxa"/>
            <w:shd w:val="clear" w:color="auto" w:fill="auto"/>
            <w:vAlign w:val="center"/>
          </w:tcPr>
          <w:p w14:paraId="2D22ABD4" w14:textId="77777777" w:rsidR="002B4D27" w:rsidRPr="0081478A" w:rsidRDefault="002B4D27" w:rsidP="002B4D27">
            <w:pPr>
              <w:pStyle w:val="ae"/>
              <w:rPr>
                <w:rFonts w:cs="Times New Roman"/>
                <w:b w:val="0"/>
                <w:bCs/>
              </w:rPr>
            </w:pPr>
            <w:r w:rsidRPr="0081478A">
              <w:rPr>
                <w:rFonts w:cs="Times New Roman"/>
                <w:b w:val="0"/>
                <w:bCs/>
              </w:rPr>
              <w:t>20</w:t>
            </w:r>
          </w:p>
        </w:tc>
      </w:tr>
      <w:tr w:rsidR="002B4D27" w:rsidRPr="0081478A" w14:paraId="35540151" w14:textId="77777777" w:rsidTr="002B4D27">
        <w:trPr>
          <w:jc w:val="center"/>
        </w:trPr>
        <w:tc>
          <w:tcPr>
            <w:tcW w:w="1842" w:type="dxa"/>
            <w:shd w:val="clear" w:color="auto" w:fill="auto"/>
            <w:vAlign w:val="center"/>
          </w:tcPr>
          <w:p w14:paraId="36C45270" w14:textId="77777777" w:rsidR="002B4D27" w:rsidRPr="0081478A" w:rsidRDefault="002B4D27" w:rsidP="002B4D27">
            <w:pPr>
              <w:pStyle w:val="ae"/>
              <w:rPr>
                <w:rFonts w:cs="Times New Roman"/>
                <w:b w:val="0"/>
                <w:bCs/>
              </w:rPr>
            </w:pPr>
            <w:r w:rsidRPr="0081478A">
              <w:rPr>
                <w:rFonts w:cs="Times New Roman"/>
                <w:b w:val="0"/>
                <w:bCs/>
              </w:rPr>
              <w:t>20</w:t>
            </w:r>
            <w:r w:rsidRPr="0081478A">
              <w:rPr>
                <w:rFonts w:cs="Times New Roman"/>
                <w:b w:val="0"/>
                <w:bCs/>
              </w:rPr>
              <w:t>～</w:t>
            </w:r>
            <w:r w:rsidRPr="0081478A">
              <w:rPr>
                <w:rFonts w:cs="Times New Roman"/>
                <w:b w:val="0"/>
                <w:bCs/>
              </w:rPr>
              <w:t>50</w:t>
            </w:r>
          </w:p>
        </w:tc>
        <w:tc>
          <w:tcPr>
            <w:tcW w:w="1843" w:type="dxa"/>
            <w:shd w:val="clear" w:color="auto" w:fill="auto"/>
            <w:vAlign w:val="center"/>
          </w:tcPr>
          <w:p w14:paraId="249B7213" w14:textId="77777777" w:rsidR="002B4D27" w:rsidRPr="0081478A" w:rsidRDefault="002B4D27" w:rsidP="002B4D27">
            <w:pPr>
              <w:pStyle w:val="ae"/>
              <w:rPr>
                <w:rFonts w:cs="Times New Roman"/>
                <w:b w:val="0"/>
                <w:bCs/>
              </w:rPr>
            </w:pPr>
            <w:r w:rsidRPr="0081478A">
              <w:rPr>
                <w:rFonts w:cs="Times New Roman"/>
                <w:b w:val="0"/>
                <w:bCs/>
              </w:rPr>
              <w:t>15</w:t>
            </w:r>
          </w:p>
        </w:tc>
        <w:tc>
          <w:tcPr>
            <w:tcW w:w="1842" w:type="dxa"/>
            <w:shd w:val="clear" w:color="auto" w:fill="auto"/>
            <w:vAlign w:val="center"/>
          </w:tcPr>
          <w:p w14:paraId="7A73FF24" w14:textId="77777777" w:rsidR="002B4D27" w:rsidRPr="0081478A" w:rsidRDefault="002B4D27" w:rsidP="002B4D27">
            <w:pPr>
              <w:pStyle w:val="ae"/>
              <w:rPr>
                <w:rFonts w:cs="Times New Roman"/>
                <w:b w:val="0"/>
                <w:bCs/>
              </w:rPr>
            </w:pPr>
            <w:r w:rsidRPr="0081478A">
              <w:rPr>
                <w:rFonts w:cs="Times New Roman"/>
                <w:b w:val="0"/>
                <w:bCs/>
              </w:rPr>
              <w:t>≥500</w:t>
            </w:r>
          </w:p>
        </w:tc>
        <w:tc>
          <w:tcPr>
            <w:tcW w:w="1843" w:type="dxa"/>
            <w:shd w:val="clear" w:color="auto" w:fill="auto"/>
            <w:vAlign w:val="center"/>
          </w:tcPr>
          <w:p w14:paraId="4F1009C7" w14:textId="77777777" w:rsidR="002B4D27" w:rsidRPr="0081478A" w:rsidRDefault="002B4D27" w:rsidP="002B4D27">
            <w:pPr>
              <w:pStyle w:val="ae"/>
              <w:rPr>
                <w:rFonts w:cs="Times New Roman"/>
                <w:b w:val="0"/>
                <w:bCs/>
              </w:rPr>
            </w:pPr>
            <w:r w:rsidRPr="0081478A">
              <w:rPr>
                <w:rFonts w:cs="Times New Roman"/>
                <w:b w:val="0"/>
                <w:bCs/>
              </w:rPr>
              <w:t>30</w:t>
            </w:r>
          </w:p>
        </w:tc>
      </w:tr>
    </w:tbl>
    <w:p w14:paraId="72C35B16" w14:textId="77777777" w:rsidR="002B4D27" w:rsidRPr="0081478A" w:rsidRDefault="002B4D27" w:rsidP="002B4D27">
      <w:pPr>
        <w:pStyle w:val="9"/>
        <w:ind w:firstLine="420"/>
      </w:pPr>
    </w:p>
    <w:p w14:paraId="149D2D24" w14:textId="4BB65748" w:rsidR="002B4D27" w:rsidRPr="0081478A" w:rsidRDefault="002B4D27" w:rsidP="002B4D27">
      <w:pPr>
        <w:ind w:firstLine="420"/>
        <w:rPr>
          <w:rFonts w:cs="Times New Roman"/>
        </w:rPr>
      </w:pPr>
      <w:r w:rsidRPr="0081478A">
        <w:rPr>
          <w:rFonts w:cs="Times New Roman"/>
        </w:rPr>
        <w:t>公共建筑常用房间或场所的不舒适眩光应采用统一眩光值（</w:t>
      </w:r>
      <w:r w:rsidRPr="0081478A">
        <w:rPr>
          <w:rFonts w:cs="Times New Roman"/>
        </w:rPr>
        <w:t>UGR</w:t>
      </w:r>
      <w:r w:rsidRPr="0081478A">
        <w:rPr>
          <w:rFonts w:cs="Times New Roman"/>
        </w:rPr>
        <w:t>）评价，按《建筑照明设计标准》</w:t>
      </w:r>
      <w:r w:rsidRPr="0081478A">
        <w:rPr>
          <w:rFonts w:cs="Times New Roman"/>
        </w:rPr>
        <w:t>GB</w:t>
      </w:r>
      <w:r w:rsidR="000A7347">
        <w:rPr>
          <w:rFonts w:cs="Times New Roman"/>
        </w:rPr>
        <w:t xml:space="preserve"> </w:t>
      </w:r>
      <w:r w:rsidRPr="0081478A">
        <w:rPr>
          <w:rFonts w:cs="Times New Roman"/>
        </w:rPr>
        <w:t>50034</w:t>
      </w:r>
      <w:r w:rsidRPr="0081478A">
        <w:rPr>
          <w:rFonts w:cs="Times New Roman"/>
        </w:rPr>
        <w:t>采取控制措施，其最大允许值应符合《建筑照明设计标准》</w:t>
      </w:r>
      <w:r w:rsidR="000A7347" w:rsidRPr="0081478A">
        <w:rPr>
          <w:rFonts w:cs="Times New Roman"/>
        </w:rPr>
        <w:t>GB</w:t>
      </w:r>
      <w:r w:rsidR="000A7347">
        <w:rPr>
          <w:rFonts w:cs="Times New Roman"/>
        </w:rPr>
        <w:t xml:space="preserve"> </w:t>
      </w:r>
      <w:r w:rsidR="000A7347" w:rsidRPr="0081478A">
        <w:rPr>
          <w:rFonts w:cs="Times New Roman"/>
        </w:rPr>
        <w:t>50034</w:t>
      </w:r>
      <w:r w:rsidRPr="0081478A">
        <w:rPr>
          <w:rFonts w:cs="Times New Roman"/>
        </w:rPr>
        <w:t>的规定。长期工作或停留的房间或场所，照明光源的显色指数（</w:t>
      </w:r>
      <w:r w:rsidRPr="0081478A">
        <w:rPr>
          <w:rFonts w:cs="Times New Roman"/>
        </w:rPr>
        <w:t>Ra</w:t>
      </w:r>
      <w:r w:rsidRPr="0081478A">
        <w:rPr>
          <w:rFonts w:cs="Times New Roman"/>
        </w:rPr>
        <w:t>）不能小于</w:t>
      </w:r>
      <w:r w:rsidRPr="0081478A">
        <w:rPr>
          <w:rFonts w:cs="Times New Roman"/>
        </w:rPr>
        <w:t>80</w:t>
      </w:r>
      <w:r w:rsidRPr="0081478A">
        <w:rPr>
          <w:rFonts w:cs="Times New Roman"/>
        </w:rPr>
        <w:t>。常用房间或场所的显色指数最小允许值应符合《建筑照明设计标准》</w:t>
      </w:r>
      <w:r w:rsidR="000A7347" w:rsidRPr="0081478A">
        <w:rPr>
          <w:rFonts w:cs="Times New Roman"/>
        </w:rPr>
        <w:t>GB</w:t>
      </w:r>
      <w:r w:rsidR="000A7347">
        <w:rPr>
          <w:rFonts w:cs="Times New Roman"/>
        </w:rPr>
        <w:t xml:space="preserve"> </w:t>
      </w:r>
      <w:r w:rsidR="000A7347" w:rsidRPr="0081478A">
        <w:rPr>
          <w:rFonts w:cs="Times New Roman"/>
        </w:rPr>
        <w:t>50034</w:t>
      </w:r>
      <w:r w:rsidRPr="0081478A">
        <w:rPr>
          <w:rFonts w:cs="Times New Roman"/>
        </w:rPr>
        <w:t>的规定。</w:t>
      </w:r>
    </w:p>
    <w:p w14:paraId="1AFD7C58" w14:textId="77777777" w:rsidR="00235608" w:rsidRDefault="00235608" w:rsidP="00235608">
      <w:pPr>
        <w:ind w:firstLine="420"/>
      </w:pPr>
      <w:r>
        <w:rPr>
          <w:rFonts w:hint="eastAsia"/>
        </w:rPr>
        <w:t>人员长期停留场所的照明应选择安全组别为无危险类的产品。</w:t>
      </w:r>
    </w:p>
    <w:p w14:paraId="2570D843" w14:textId="3AB345C9" w:rsidR="00235608" w:rsidRDefault="00235608" w:rsidP="00235608">
      <w:pPr>
        <w:ind w:firstLine="420"/>
      </w:pPr>
      <w:r>
        <w:rPr>
          <w:rFonts w:hint="eastAsia"/>
        </w:rPr>
        <w:t>人员长期工作或停留场所的一般照明的</w:t>
      </w:r>
      <w:r>
        <w:rPr>
          <w:rFonts w:hint="eastAsia"/>
        </w:rPr>
        <w:t>LED</w:t>
      </w:r>
      <w:r>
        <w:rPr>
          <w:rFonts w:hint="eastAsia"/>
        </w:rPr>
        <w:t>光源和</w:t>
      </w:r>
      <w:r>
        <w:rPr>
          <w:rFonts w:hint="eastAsia"/>
        </w:rPr>
        <w:t>LED</w:t>
      </w:r>
      <w:r>
        <w:rPr>
          <w:rFonts w:hint="eastAsia"/>
        </w:rPr>
        <w:t>灯具，其光输出波形的波动深度应符合下表的规定照明频闪的限值执行《</w:t>
      </w:r>
      <w:r>
        <w:rPr>
          <w:rFonts w:hint="eastAsia"/>
        </w:rPr>
        <w:t>LED</w:t>
      </w:r>
      <w:r>
        <w:rPr>
          <w:rFonts w:hint="eastAsia"/>
        </w:rPr>
        <w:t>室内照明应用技术要求</w:t>
      </w:r>
      <w:r>
        <w:rPr>
          <w:rFonts w:hint="eastAsia"/>
        </w:rPr>
        <w:t xml:space="preserve"> </w:t>
      </w:r>
      <w:r>
        <w:rPr>
          <w:rFonts w:hint="eastAsia"/>
        </w:rPr>
        <w:t>》</w:t>
      </w:r>
      <w:r>
        <w:rPr>
          <w:rFonts w:hint="eastAsia"/>
        </w:rPr>
        <w:t>GB/T 31831-2015</w:t>
      </w:r>
      <w:r>
        <w:rPr>
          <w:rFonts w:hint="eastAsia"/>
        </w:rPr>
        <w:t>规定。</w:t>
      </w:r>
    </w:p>
    <w:p w14:paraId="6CD97107" w14:textId="06F1CF71" w:rsidR="00715ABB" w:rsidRPr="006C79E9" w:rsidRDefault="00F44390" w:rsidP="006C79E9">
      <w:pPr>
        <w:pStyle w:val="20"/>
      </w:pPr>
      <w:r w:rsidRPr="0081478A">
        <w:t>【评价方法】</w:t>
      </w:r>
    </w:p>
    <w:p w14:paraId="2431F131" w14:textId="77777777" w:rsidR="0084444F" w:rsidRPr="00530A11" w:rsidRDefault="0084444F" w:rsidP="0084444F">
      <w:pPr>
        <w:ind w:firstLine="420"/>
        <w:rPr>
          <w:rFonts w:cs="Times New Roman"/>
        </w:rPr>
      </w:pPr>
      <w:r w:rsidRPr="00530A11">
        <w:rPr>
          <w:rFonts w:cs="Times New Roman"/>
        </w:rPr>
        <w:t>预评价查阅相关设计文件、计算书；评价查阅相关竣工图、计算书、现场检测报告、产品说明书及产品型式检验报告，组织现场查勘。</w:t>
      </w:r>
    </w:p>
    <w:p w14:paraId="5069A635" w14:textId="77777777" w:rsidR="00715ABB" w:rsidRPr="0084444F" w:rsidRDefault="00715ABB">
      <w:pPr>
        <w:snapToGrid w:val="0"/>
        <w:ind w:firstLine="420"/>
        <w:jc w:val="left"/>
        <w:rPr>
          <w:rFonts w:cs="Times New Roman"/>
          <w:szCs w:val="24"/>
        </w:rPr>
      </w:pPr>
    </w:p>
    <w:p w14:paraId="4177511B" w14:textId="77777777" w:rsidR="002C09A7" w:rsidRPr="00530A11" w:rsidRDefault="002C09A7" w:rsidP="002C09A7">
      <w:pPr>
        <w:pStyle w:val="4"/>
        <w:rPr>
          <w:rFonts w:cs="Times New Roman"/>
          <w:bCs w:val="0"/>
        </w:rPr>
      </w:pPr>
      <w:r w:rsidRPr="00530A11">
        <w:rPr>
          <w:rFonts w:cs="Times New Roman"/>
          <w:bCs w:val="0"/>
        </w:rPr>
        <w:t xml:space="preserve">5.1.6 </w:t>
      </w:r>
      <w:r w:rsidRPr="00530A11">
        <w:rPr>
          <w:rFonts w:cs="Times New Roman"/>
          <w:bCs w:val="0"/>
        </w:rPr>
        <w:t>应采取措施保障室内热环境。采用集中供暖空调系统的建筑，房间内的温度、湿度、新风量等设计参数应符合现行国家标准《民用建筑供暖通风与空气调节设计规范》</w:t>
      </w:r>
      <w:r w:rsidRPr="00530A11">
        <w:rPr>
          <w:rFonts w:cs="Times New Roman"/>
          <w:bCs w:val="0"/>
        </w:rPr>
        <w:t>GB 50736</w:t>
      </w:r>
      <w:r w:rsidRPr="00530A11">
        <w:rPr>
          <w:rFonts w:cs="Times New Roman"/>
          <w:bCs w:val="0"/>
        </w:rPr>
        <w:t>的有关规定；采用非集中供暖空调系统的建筑，应具有保障室内热环境的措施或预留条件。</w:t>
      </w:r>
    </w:p>
    <w:p w14:paraId="032D8BCF" w14:textId="77777777" w:rsidR="00715ABB" w:rsidRPr="0081478A" w:rsidRDefault="00F44390" w:rsidP="006C79E9">
      <w:pPr>
        <w:pStyle w:val="20"/>
      </w:pPr>
      <w:r w:rsidRPr="0081478A">
        <w:t>【条文说明】</w:t>
      </w:r>
    </w:p>
    <w:p w14:paraId="106F9959" w14:textId="77777777" w:rsidR="0087265D" w:rsidRPr="00530A11" w:rsidRDefault="0087265D" w:rsidP="0087265D">
      <w:pPr>
        <w:ind w:firstLine="420"/>
      </w:pPr>
      <w:r w:rsidRPr="00530A11">
        <w:t>本条适用于各类民用建筑的预评价、评价。</w:t>
      </w:r>
    </w:p>
    <w:p w14:paraId="245AAE65"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8.1.4</w:t>
      </w:r>
      <w:r w:rsidRPr="00530A11">
        <w:rPr>
          <w:rFonts w:cs="Times New Roman"/>
        </w:rPr>
        <w:t>条，地方标准</w:t>
      </w:r>
      <w:r w:rsidRPr="00530A11">
        <w:rPr>
          <w:rFonts w:cs="Times New Roman"/>
        </w:rPr>
        <w:t>2014</w:t>
      </w:r>
      <w:r w:rsidRPr="00530A11">
        <w:rPr>
          <w:rFonts w:cs="Times New Roman"/>
        </w:rPr>
        <w:t>版</w:t>
      </w:r>
      <w:r w:rsidRPr="00530A11">
        <w:rPr>
          <w:rFonts w:cs="Times New Roman"/>
          <w:kern w:val="44"/>
          <w:szCs w:val="24"/>
        </w:rPr>
        <w:t>8.1.5</w:t>
      </w:r>
      <w:r w:rsidRPr="00530A11">
        <w:rPr>
          <w:rFonts w:cs="Times New Roman"/>
        </w:rPr>
        <w:t>条的基础上发展而来。</w:t>
      </w:r>
    </w:p>
    <w:p w14:paraId="45E121F9" w14:textId="77777777" w:rsidR="0087265D" w:rsidRPr="00530A11" w:rsidRDefault="0087265D" w:rsidP="0087265D">
      <w:pPr>
        <w:ind w:firstLine="420"/>
        <w:rPr>
          <w:rFonts w:cs="Times New Roman"/>
          <w:i/>
        </w:rPr>
      </w:pPr>
      <w:r w:rsidRPr="00530A11">
        <w:rPr>
          <w:rFonts w:cs="Times New Roman"/>
          <w:kern w:val="44"/>
          <w:szCs w:val="24"/>
        </w:rPr>
        <w:t>建筑应满足室内热环境舒适度的要求。采用集中供暖空调系统的建筑，其房间的温度、湿度、新风量等是室内热环境的重要指标，应满足现行国家标准《民用建筑供暖通风与空气调节设计规范》</w:t>
      </w:r>
      <w:r w:rsidRPr="00530A11">
        <w:rPr>
          <w:rFonts w:cs="Times New Roman"/>
          <w:kern w:val="44"/>
          <w:szCs w:val="24"/>
        </w:rPr>
        <w:t>GB 50736</w:t>
      </w:r>
      <w:r w:rsidRPr="00530A11">
        <w:rPr>
          <w:rFonts w:cs="Times New Roman"/>
          <w:kern w:val="44"/>
          <w:szCs w:val="24"/>
        </w:rPr>
        <w:t>中的有关规定。对于非集中供暖空调系统的建筑，应有保障室内</w:t>
      </w:r>
      <w:r w:rsidRPr="00530A11">
        <w:rPr>
          <w:rFonts w:cs="Times New Roman"/>
          <w:kern w:val="44"/>
          <w:szCs w:val="24"/>
        </w:rPr>
        <w:lastRenderedPageBreak/>
        <w:t>热环境的措施或预留条件，并应在设计图中予以明确要求和具体措施，如分体空调安装条件等。</w:t>
      </w:r>
    </w:p>
    <w:p w14:paraId="437E3AB3" w14:textId="77777777" w:rsidR="002B4D27" w:rsidRPr="006C79E9" w:rsidRDefault="002B4D27" w:rsidP="006C79E9">
      <w:pPr>
        <w:pStyle w:val="20"/>
      </w:pPr>
      <w:r w:rsidRPr="0081478A">
        <w:t>【评价要点】</w:t>
      </w:r>
    </w:p>
    <w:p w14:paraId="5C9ECA67" w14:textId="1057ED65" w:rsidR="002B4D27" w:rsidRDefault="002B4D27" w:rsidP="002B4D27">
      <w:pPr>
        <w:ind w:firstLine="420"/>
        <w:rPr>
          <w:rFonts w:cs="Times New Roman"/>
        </w:rPr>
      </w:pPr>
      <w:r w:rsidRPr="0081478A">
        <w:rPr>
          <w:rFonts w:cs="Times New Roman"/>
        </w:rPr>
        <w:t>通风以及房间的温、湿度、新风量是室内热环境的重要指标，应满足《民用建筑供暖通风与空气调节设计规范》</w:t>
      </w:r>
      <w:r w:rsidRPr="0081478A">
        <w:rPr>
          <w:rFonts w:cs="Times New Roman"/>
        </w:rPr>
        <w:t>GB</w:t>
      </w:r>
      <w:r w:rsidR="000E0324">
        <w:rPr>
          <w:rFonts w:cs="Times New Roman"/>
        </w:rPr>
        <w:t xml:space="preserve"> </w:t>
      </w:r>
      <w:r w:rsidRPr="0081478A">
        <w:rPr>
          <w:rFonts w:cs="Times New Roman"/>
        </w:rPr>
        <w:t>50736</w:t>
      </w:r>
      <w:r w:rsidRPr="0081478A">
        <w:rPr>
          <w:rFonts w:cs="Times New Roman"/>
        </w:rPr>
        <w:t>中的有关规定。</w:t>
      </w:r>
    </w:p>
    <w:p w14:paraId="183AE342" w14:textId="7FEE91BD" w:rsidR="00EB1876" w:rsidRPr="0081478A" w:rsidRDefault="00EB1876" w:rsidP="002B4D27">
      <w:pPr>
        <w:ind w:firstLine="420"/>
        <w:rPr>
          <w:rFonts w:cs="Times New Roman"/>
        </w:rPr>
      </w:pPr>
      <w:r>
        <w:rPr>
          <w:rFonts w:cs="Times New Roman" w:hint="eastAsia"/>
        </w:rPr>
        <w:t>相关检测</w:t>
      </w:r>
      <w:r w:rsidR="00EC20D6">
        <w:rPr>
          <w:rFonts w:cs="Times New Roman" w:hint="eastAsia"/>
        </w:rPr>
        <w:t>报告应满足检测标准中关于检测房间数量和测点布点位置、数量的要求。</w:t>
      </w:r>
    </w:p>
    <w:p w14:paraId="52C7C867"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2FBA0895" w14:textId="77777777" w:rsidR="0084444F" w:rsidRPr="00530A11" w:rsidRDefault="0084444F" w:rsidP="0084444F">
      <w:pPr>
        <w:ind w:firstLine="420"/>
        <w:rPr>
          <w:rFonts w:cs="Times New Roman"/>
          <w:kern w:val="44"/>
          <w:szCs w:val="24"/>
        </w:rPr>
      </w:pPr>
      <w:r w:rsidRPr="00530A11">
        <w:rPr>
          <w:rFonts w:cs="Times New Roman"/>
          <w:kern w:val="44"/>
          <w:szCs w:val="24"/>
        </w:rPr>
        <w:t>预评价查阅相关设计文件；评价查阅相关竣工图、室内温湿度检测报告。</w:t>
      </w:r>
    </w:p>
    <w:p w14:paraId="5F46A529" w14:textId="77777777" w:rsidR="00715ABB" w:rsidRPr="0084444F" w:rsidRDefault="00715ABB">
      <w:pPr>
        <w:ind w:firstLine="420"/>
        <w:rPr>
          <w:rFonts w:cs="Times New Roman"/>
        </w:rPr>
      </w:pPr>
    </w:p>
    <w:p w14:paraId="7E6494EC" w14:textId="77777777" w:rsidR="002C09A7" w:rsidRPr="00530A11" w:rsidRDefault="002C09A7" w:rsidP="002C09A7">
      <w:pPr>
        <w:pStyle w:val="4"/>
        <w:rPr>
          <w:rFonts w:cs="Times New Roman"/>
          <w:bCs w:val="0"/>
        </w:rPr>
      </w:pPr>
      <w:r w:rsidRPr="00530A11">
        <w:rPr>
          <w:rFonts w:cs="Times New Roman"/>
          <w:bCs w:val="0"/>
        </w:rPr>
        <w:t xml:space="preserve">5.1.7 </w:t>
      </w:r>
      <w:r w:rsidRPr="00530A11">
        <w:rPr>
          <w:rFonts w:cs="Times New Roman"/>
          <w:bCs w:val="0"/>
        </w:rPr>
        <w:t>围护结构热工性能应符合下列规定：</w:t>
      </w:r>
    </w:p>
    <w:p w14:paraId="73B20AB5"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1 </w:t>
      </w:r>
      <w:r w:rsidRPr="002C09A7">
        <w:rPr>
          <w:rFonts w:cs="Times New Roman"/>
          <w:b/>
          <w:bCs/>
          <w:szCs w:val="24"/>
        </w:rPr>
        <w:t>在室内设计温度、湿度条件下，建筑非透光围护结构内表面不得结露；</w:t>
      </w:r>
    </w:p>
    <w:p w14:paraId="1051AE07"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供暖建筑的屋面、外墙内部不应产生冷凝；</w:t>
      </w:r>
    </w:p>
    <w:p w14:paraId="288E0827"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3 </w:t>
      </w:r>
      <w:r w:rsidRPr="002C09A7">
        <w:rPr>
          <w:rFonts w:cs="Times New Roman"/>
          <w:b/>
          <w:bCs/>
          <w:szCs w:val="24"/>
        </w:rPr>
        <w:t>屋顶和外墙隔热性能应满足现行国家标准《民用建筑热工设计规范》</w:t>
      </w:r>
      <w:r w:rsidRPr="002C09A7">
        <w:rPr>
          <w:rFonts w:cs="Times New Roman"/>
          <w:b/>
          <w:bCs/>
          <w:szCs w:val="24"/>
        </w:rPr>
        <w:t>GB 50176</w:t>
      </w:r>
      <w:r w:rsidRPr="002C09A7">
        <w:rPr>
          <w:rFonts w:cs="Times New Roman"/>
          <w:b/>
          <w:bCs/>
          <w:szCs w:val="24"/>
        </w:rPr>
        <w:t>的要求。</w:t>
      </w:r>
    </w:p>
    <w:p w14:paraId="03FC5AE9" w14:textId="77777777" w:rsidR="00715ABB" w:rsidRPr="0081478A" w:rsidRDefault="00F44390">
      <w:pPr>
        <w:ind w:firstLineChars="0" w:firstLine="0"/>
        <w:rPr>
          <w:rFonts w:cs="Times New Roman"/>
          <w:b/>
          <w:szCs w:val="24"/>
        </w:rPr>
      </w:pPr>
      <w:r w:rsidRPr="0081478A">
        <w:rPr>
          <w:rFonts w:cs="Times New Roman"/>
          <w:b/>
          <w:szCs w:val="24"/>
        </w:rPr>
        <w:t>【条文说明】</w:t>
      </w:r>
    </w:p>
    <w:p w14:paraId="682D3C04" w14:textId="77777777" w:rsidR="0087265D" w:rsidRPr="00530A11" w:rsidRDefault="0087265D" w:rsidP="0087265D">
      <w:pPr>
        <w:ind w:firstLine="420"/>
        <w:rPr>
          <w:szCs w:val="24"/>
        </w:rPr>
      </w:pPr>
      <w:r w:rsidRPr="00530A11">
        <w:t>本条适用各类民用建筑的预评价、评价。</w:t>
      </w:r>
    </w:p>
    <w:p w14:paraId="2A644643"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8.1.5</w:t>
      </w:r>
      <w:r w:rsidRPr="00530A11">
        <w:rPr>
          <w:rFonts w:cs="Times New Roman"/>
        </w:rPr>
        <w:t>、</w:t>
      </w:r>
      <w:r w:rsidRPr="00530A11">
        <w:rPr>
          <w:rFonts w:cs="Times New Roman"/>
        </w:rPr>
        <w:t>8.1.6</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8.1.6</w:t>
      </w:r>
      <w:r w:rsidRPr="00530A11">
        <w:rPr>
          <w:rFonts w:cs="Times New Roman"/>
        </w:rPr>
        <w:t>、</w:t>
      </w:r>
      <w:r w:rsidRPr="00530A11">
        <w:rPr>
          <w:rFonts w:cs="Times New Roman"/>
        </w:rPr>
        <w:t>8.1.7</w:t>
      </w:r>
      <w:r w:rsidRPr="00530A11">
        <w:rPr>
          <w:rFonts w:cs="Times New Roman"/>
        </w:rPr>
        <w:t>条的基础上发展而来。</w:t>
      </w:r>
    </w:p>
    <w:p w14:paraId="63E845E4" w14:textId="77777777" w:rsidR="0087265D" w:rsidRPr="00530A11" w:rsidRDefault="0087265D" w:rsidP="0087265D">
      <w:pPr>
        <w:ind w:firstLine="420"/>
        <w:rPr>
          <w:rFonts w:cs="Times New Roman"/>
        </w:rPr>
      </w:pPr>
      <w:r w:rsidRPr="00530A11">
        <w:rPr>
          <w:rFonts w:cs="Times New Roman"/>
        </w:rPr>
        <w:t>民用建筑的热工设计与地区气候相适应，保证室内基本的热环境要求。建筑热工设计主要包括建筑物及其围护结构的保温、防热和防潮设计。</w:t>
      </w:r>
    </w:p>
    <w:p w14:paraId="60CE1597" w14:textId="77777777" w:rsidR="0087265D" w:rsidRPr="00530A11" w:rsidRDefault="0087265D" w:rsidP="0087265D">
      <w:pPr>
        <w:ind w:firstLine="420"/>
        <w:rPr>
          <w:rFonts w:cs="Times New Roman"/>
        </w:rPr>
      </w:pPr>
      <w:r w:rsidRPr="00530A11">
        <w:rPr>
          <w:rFonts w:cs="Times New Roman"/>
        </w:rPr>
        <w:t>第</w:t>
      </w:r>
      <w:r w:rsidRPr="00530A11">
        <w:rPr>
          <w:rFonts w:cs="Times New Roman"/>
        </w:rPr>
        <w:t>1</w:t>
      </w:r>
      <w:r w:rsidRPr="00530A11">
        <w:rPr>
          <w:rFonts w:cs="Times New Roman"/>
        </w:rPr>
        <w:t>款，房间内表面长期或经常结露会引起霉变，污染室内的空气，应加以控制。在南方的梅雨季节，空气的湿度接近饱和，要彻底避免发生结露现象非常困难，不属于本条控制范畴。另外，短时间的结露并不至于引起霉变，所以本条控制</w:t>
      </w:r>
      <w:r w:rsidRPr="00530A11">
        <w:rPr>
          <w:rFonts w:cs="Times New Roman"/>
        </w:rPr>
        <w:t>“</w:t>
      </w:r>
      <w:r w:rsidRPr="00530A11">
        <w:rPr>
          <w:rFonts w:cs="Times New Roman"/>
        </w:rPr>
        <w:t>在室内设计温度、湿度</w:t>
      </w:r>
      <w:r w:rsidRPr="00530A11">
        <w:rPr>
          <w:rFonts w:cs="Times New Roman"/>
        </w:rPr>
        <w:t>”</w:t>
      </w:r>
      <w:r w:rsidRPr="00530A11">
        <w:rPr>
          <w:rFonts w:cs="Times New Roman"/>
        </w:rPr>
        <w:t>这一前提条件下不结露。建筑非透光围护结构内表面，以及热桥部分的内表面应满足现行国家标准《民用建筑热工设计规范》</w:t>
      </w:r>
      <w:r w:rsidRPr="00530A11">
        <w:rPr>
          <w:rFonts w:cs="Times New Roman"/>
        </w:rPr>
        <w:t>GB50176</w:t>
      </w:r>
      <w:r w:rsidRPr="00530A11">
        <w:rPr>
          <w:rFonts w:cs="Times New Roman"/>
        </w:rPr>
        <w:t>的要求，并进行防结露验算。</w:t>
      </w:r>
    </w:p>
    <w:p w14:paraId="5D1F32EC" w14:textId="77777777" w:rsidR="0087265D" w:rsidRPr="00530A11" w:rsidRDefault="0087265D" w:rsidP="0087265D">
      <w:pPr>
        <w:ind w:firstLine="420"/>
        <w:rPr>
          <w:rFonts w:cs="Times New Roman"/>
        </w:rPr>
      </w:pPr>
      <w:r w:rsidRPr="00530A11">
        <w:rPr>
          <w:rFonts w:cs="Times New Roman"/>
        </w:rPr>
        <w:t>第</w:t>
      </w:r>
      <w:r w:rsidRPr="00530A11">
        <w:rPr>
          <w:rFonts w:cs="Times New Roman"/>
        </w:rPr>
        <w:t>2</w:t>
      </w:r>
      <w:r w:rsidRPr="00530A11">
        <w:rPr>
          <w:rFonts w:cs="Times New Roman"/>
        </w:rPr>
        <w:t>款，建筑围护结构在使用过程中，当围护结构两侧出现温度与湿度差时，会造成围护结构内部温程度的重新分布。若围护结构内部某处温度低于了空气露点温度，围护结构内部空气中的水分或渗入围护结构内部的空气中的水分将发生冷凝。因此，应防止水蒸气渗透进入围护结构内部，并控制围护结构内部不产生冷凝。供暖建筑的外墙、屋面应根据现行国家标准《民用建筑热工设计规范》</w:t>
      </w:r>
      <w:r w:rsidRPr="00530A11">
        <w:rPr>
          <w:rFonts w:cs="Times New Roman"/>
        </w:rPr>
        <w:t>GB50176</w:t>
      </w:r>
      <w:r w:rsidRPr="00530A11">
        <w:rPr>
          <w:rFonts w:cs="Times New Roman"/>
        </w:rPr>
        <w:t>的要求，进行内部冷凝验算。</w:t>
      </w:r>
    </w:p>
    <w:p w14:paraId="10F16540" w14:textId="77777777" w:rsidR="0087265D" w:rsidRPr="00530A11" w:rsidRDefault="0087265D" w:rsidP="0087265D">
      <w:pPr>
        <w:ind w:firstLine="420"/>
        <w:rPr>
          <w:rFonts w:cs="Times New Roman"/>
        </w:rPr>
      </w:pPr>
      <w:r w:rsidRPr="00530A11">
        <w:rPr>
          <w:rFonts w:cs="Times New Roman"/>
        </w:rPr>
        <w:t>第</w:t>
      </w:r>
      <w:r w:rsidRPr="00530A11">
        <w:rPr>
          <w:rFonts w:cs="Times New Roman"/>
        </w:rPr>
        <w:t>3</w:t>
      </w:r>
      <w:r w:rsidRPr="00530A11">
        <w:rPr>
          <w:rFonts w:cs="Times New Roman"/>
        </w:rPr>
        <w:t>款，屋顶和外墙的隔热性能，对于建筑在夏季时室内热舒适度的改善，以及空调负</w:t>
      </w:r>
      <w:r w:rsidRPr="00530A11">
        <w:rPr>
          <w:rFonts w:cs="Times New Roman"/>
        </w:rPr>
        <w:lastRenderedPageBreak/>
        <w:t>荷的降低，具有重要意义。屋顶和外墙的热工性能不仅要满足国家现行建筑节能标准的要求，也要满足现行国家标准《民用建筑热工设计规范》</w:t>
      </w:r>
      <w:r w:rsidRPr="00530A11">
        <w:rPr>
          <w:rFonts w:cs="Times New Roman"/>
        </w:rPr>
        <w:t>GB50176</w:t>
      </w:r>
      <w:r w:rsidRPr="00530A11">
        <w:rPr>
          <w:rFonts w:cs="Times New Roman"/>
        </w:rPr>
        <w:t>的要求，并进行隔热性能验算。</w:t>
      </w:r>
    </w:p>
    <w:p w14:paraId="6DE10A5B"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6D5737D9" w14:textId="159575F9" w:rsidR="002B4D27" w:rsidRPr="0081478A" w:rsidRDefault="00252571" w:rsidP="00252571">
      <w:pPr>
        <w:ind w:firstLine="420"/>
        <w:rPr>
          <w:rFonts w:cs="Times New Roman"/>
        </w:rPr>
      </w:pPr>
      <w:r w:rsidRPr="0081478A">
        <w:rPr>
          <w:rFonts w:cs="Times New Roman"/>
        </w:rPr>
        <w:t xml:space="preserve">1 </w:t>
      </w:r>
      <w:r w:rsidR="002B4D27" w:rsidRPr="0081478A">
        <w:rPr>
          <w:rFonts w:cs="Times New Roman"/>
        </w:rPr>
        <w:t>在室内设计温、湿度条件下，建筑围护结构内表面不结露。结露判断依据《民用建筑热工设计规范》</w:t>
      </w:r>
      <w:r w:rsidR="002B4D27" w:rsidRPr="0081478A">
        <w:rPr>
          <w:rFonts w:cs="Times New Roman"/>
        </w:rPr>
        <w:t>GB</w:t>
      </w:r>
      <w:r w:rsidR="000E0324">
        <w:rPr>
          <w:rFonts w:cs="Times New Roman"/>
        </w:rPr>
        <w:t xml:space="preserve"> </w:t>
      </w:r>
      <w:r w:rsidR="002B4D27" w:rsidRPr="0081478A">
        <w:rPr>
          <w:rFonts w:cs="Times New Roman"/>
        </w:rPr>
        <w:t>50176</w:t>
      </w:r>
      <w:r w:rsidR="002B4D27" w:rsidRPr="0081478A">
        <w:rPr>
          <w:rFonts w:cs="Times New Roman"/>
        </w:rPr>
        <w:t>。</w:t>
      </w:r>
    </w:p>
    <w:p w14:paraId="46066429" w14:textId="29C9FCBA" w:rsidR="002B4D27" w:rsidRPr="0081478A" w:rsidRDefault="00252571" w:rsidP="00252571">
      <w:pPr>
        <w:ind w:firstLine="420"/>
        <w:rPr>
          <w:rFonts w:cs="Times New Roman"/>
        </w:rPr>
      </w:pPr>
      <w:r w:rsidRPr="0081478A">
        <w:rPr>
          <w:rFonts w:cs="Times New Roman"/>
        </w:rPr>
        <w:t xml:space="preserve">2 </w:t>
      </w:r>
      <w:r w:rsidR="002B4D27" w:rsidRPr="0081478A">
        <w:rPr>
          <w:rFonts w:cs="Times New Roman"/>
        </w:rPr>
        <w:t>在自然通风条件下，房间的屋顶和东、西外墙隔热性能满足现行国家标准《民用建筑热工设计规范》</w:t>
      </w:r>
      <w:r w:rsidR="000E0324" w:rsidRPr="0081478A">
        <w:rPr>
          <w:rFonts w:cs="Times New Roman"/>
        </w:rPr>
        <w:t>GB</w:t>
      </w:r>
      <w:r w:rsidR="000E0324">
        <w:rPr>
          <w:rFonts w:cs="Times New Roman"/>
        </w:rPr>
        <w:t xml:space="preserve"> </w:t>
      </w:r>
      <w:r w:rsidR="000E0324" w:rsidRPr="0081478A">
        <w:rPr>
          <w:rFonts w:cs="Times New Roman"/>
        </w:rPr>
        <w:t>50176</w:t>
      </w:r>
      <w:r w:rsidR="002B4D27" w:rsidRPr="0081478A">
        <w:rPr>
          <w:rFonts w:cs="Times New Roman"/>
        </w:rPr>
        <w:t>的要求。隔热性能判断依据《民用建筑热工设计规范》</w:t>
      </w:r>
      <w:r w:rsidR="000E0324" w:rsidRPr="0081478A">
        <w:rPr>
          <w:rFonts w:cs="Times New Roman"/>
        </w:rPr>
        <w:t>GB</w:t>
      </w:r>
      <w:r w:rsidR="000E0324">
        <w:rPr>
          <w:rFonts w:cs="Times New Roman"/>
        </w:rPr>
        <w:t xml:space="preserve"> </w:t>
      </w:r>
      <w:r w:rsidR="000E0324" w:rsidRPr="0081478A">
        <w:rPr>
          <w:rFonts w:cs="Times New Roman"/>
        </w:rPr>
        <w:t>50176</w:t>
      </w:r>
      <w:r w:rsidR="002B4D27" w:rsidRPr="0081478A">
        <w:rPr>
          <w:rFonts w:cs="Times New Roman"/>
        </w:rPr>
        <w:t>。</w:t>
      </w:r>
    </w:p>
    <w:p w14:paraId="7E3D5B1F" w14:textId="77777777" w:rsidR="00715ABB" w:rsidRPr="006C79E9" w:rsidRDefault="00F44390" w:rsidP="006C79E9">
      <w:pPr>
        <w:pStyle w:val="20"/>
      </w:pPr>
      <w:r w:rsidRPr="0081478A">
        <w:t>【评价方法】</w:t>
      </w:r>
    </w:p>
    <w:p w14:paraId="7E7ACEB2" w14:textId="1EE7DAA7" w:rsidR="0084444F" w:rsidRPr="00530A11" w:rsidRDefault="0084444F" w:rsidP="0084444F">
      <w:pPr>
        <w:ind w:firstLineChars="177" w:firstLine="372"/>
        <w:rPr>
          <w:rFonts w:cs="Times New Roman"/>
        </w:rPr>
      </w:pPr>
      <w:r w:rsidRPr="00530A11">
        <w:rPr>
          <w:rFonts w:cs="Times New Roman"/>
        </w:rPr>
        <w:t>预评价查阅相关设计文件、建筑围护结构防结露验算报告、隔热性能验算报告、内部冷凝验算报告；评价查阅相关竣工图，</w:t>
      </w:r>
      <w:r w:rsidR="00EC20D6">
        <w:rPr>
          <w:rFonts w:cs="Times New Roman" w:hint="eastAsia"/>
        </w:rPr>
        <w:t>施工、监理过程影像资料，</w:t>
      </w:r>
      <w:r w:rsidRPr="00530A11">
        <w:rPr>
          <w:rFonts w:cs="Times New Roman" w:hint="eastAsia"/>
        </w:rPr>
        <w:t>检</w:t>
      </w:r>
      <w:r w:rsidRPr="00530A11">
        <w:rPr>
          <w:rFonts w:cs="Times New Roman"/>
        </w:rPr>
        <w:t>查建筑构造与计算报告一致性。</w:t>
      </w:r>
    </w:p>
    <w:p w14:paraId="5F21A263" w14:textId="77777777" w:rsidR="00715ABB" w:rsidRPr="0084444F" w:rsidRDefault="00715ABB">
      <w:pPr>
        <w:snapToGrid w:val="0"/>
        <w:ind w:firstLine="420"/>
        <w:jc w:val="left"/>
        <w:rPr>
          <w:rFonts w:cs="Times New Roman"/>
          <w:szCs w:val="24"/>
        </w:rPr>
      </w:pPr>
    </w:p>
    <w:p w14:paraId="5964A2F2" w14:textId="77777777" w:rsidR="002C09A7" w:rsidRPr="00530A11" w:rsidRDefault="002C09A7" w:rsidP="002C09A7">
      <w:pPr>
        <w:pStyle w:val="4"/>
        <w:rPr>
          <w:rFonts w:cs="Times New Roman"/>
          <w:bCs w:val="0"/>
        </w:rPr>
      </w:pPr>
      <w:r w:rsidRPr="00530A11">
        <w:rPr>
          <w:rFonts w:cs="Times New Roman"/>
          <w:bCs w:val="0"/>
        </w:rPr>
        <w:t xml:space="preserve">5.1.8 </w:t>
      </w:r>
      <w:r w:rsidRPr="00530A11">
        <w:rPr>
          <w:rFonts w:cs="Times New Roman"/>
          <w:bCs w:val="0"/>
        </w:rPr>
        <w:t>主要功能房间应具有现场独立控制的热环境调节装置。</w:t>
      </w:r>
      <w:r w:rsidRPr="00530A11">
        <w:rPr>
          <w:rFonts w:cs="Times New Roman" w:hint="eastAsia"/>
          <w:bCs w:val="0"/>
        </w:rPr>
        <w:t>对于具有集中式系统的房间应具备终端风量、流量调节装置；对于分散式或半集中式系统的房间，应具备末端独立控制装置。</w:t>
      </w:r>
    </w:p>
    <w:p w14:paraId="75198B4A" w14:textId="77777777" w:rsidR="00715ABB" w:rsidRPr="0081478A" w:rsidRDefault="00F44390" w:rsidP="006C79E9">
      <w:pPr>
        <w:pStyle w:val="20"/>
      </w:pPr>
      <w:r w:rsidRPr="0081478A">
        <w:t>【条文说明】</w:t>
      </w:r>
    </w:p>
    <w:p w14:paraId="0927CB12" w14:textId="77777777" w:rsidR="0087265D" w:rsidRPr="00530A11" w:rsidRDefault="0087265D" w:rsidP="0087265D">
      <w:pPr>
        <w:ind w:firstLine="420"/>
      </w:pPr>
      <w:bookmarkStart w:id="85" w:name="_Hlk33018773"/>
      <w:r w:rsidRPr="00530A11">
        <w:t>本条适用于各类民用建筑的预评价、评价。</w:t>
      </w:r>
    </w:p>
    <w:p w14:paraId="56A61893" w14:textId="44F137C6" w:rsidR="0087265D" w:rsidRPr="00530A11" w:rsidRDefault="0087265D" w:rsidP="0087265D">
      <w:pPr>
        <w:ind w:firstLine="420"/>
        <w:rPr>
          <w:rFonts w:cs="Times New Roman"/>
          <w:kern w:val="44"/>
          <w:szCs w:val="24"/>
        </w:rPr>
      </w:pPr>
      <w:r w:rsidRPr="00530A11">
        <w:rPr>
          <w:rFonts w:cs="Times New Roman"/>
        </w:rPr>
        <w:t>本条沿引自国家《绿色建筑评价标准》</w:t>
      </w:r>
      <w:r w:rsidRPr="00530A11">
        <w:rPr>
          <w:rFonts w:cs="Times New Roman"/>
        </w:rPr>
        <w:t>GB/T 50378-2019</w:t>
      </w:r>
      <w:r w:rsidRPr="00530A11">
        <w:rPr>
          <w:rFonts w:cs="Times New Roman"/>
          <w:kern w:val="44"/>
          <w:szCs w:val="24"/>
        </w:rPr>
        <w:t>，</w:t>
      </w:r>
      <w:r w:rsidRPr="00530A11">
        <w:rPr>
          <w:rFonts w:cs="Times New Roman" w:hint="eastAsia"/>
        </w:rPr>
        <w:t>并对条文和条文说明进行了局部修改和补充。</w:t>
      </w:r>
      <w:r w:rsidRPr="00530A11">
        <w:rPr>
          <w:rFonts w:cs="Times New Roman"/>
        </w:rPr>
        <w:t>本条</w:t>
      </w:r>
      <w:r w:rsidRPr="00530A11">
        <w:rPr>
          <w:rFonts w:cs="Times New Roman"/>
          <w:kern w:val="44"/>
          <w:szCs w:val="24"/>
        </w:rPr>
        <w:t>在国家标准</w:t>
      </w:r>
      <w:r w:rsidRPr="00530A11">
        <w:rPr>
          <w:rFonts w:cs="Times New Roman"/>
          <w:kern w:val="44"/>
          <w:szCs w:val="24"/>
        </w:rPr>
        <w:t>2014</w:t>
      </w:r>
      <w:r w:rsidRPr="00530A11">
        <w:rPr>
          <w:rFonts w:cs="Times New Roman"/>
          <w:kern w:val="44"/>
          <w:szCs w:val="24"/>
        </w:rPr>
        <w:t>年版第</w:t>
      </w:r>
      <w:r w:rsidRPr="00530A11">
        <w:rPr>
          <w:rFonts w:cs="Times New Roman"/>
          <w:kern w:val="44"/>
          <w:szCs w:val="24"/>
        </w:rPr>
        <w:t>8.2.9</w:t>
      </w:r>
      <w:r w:rsidRPr="00530A11">
        <w:rPr>
          <w:rFonts w:cs="Times New Roman"/>
          <w:kern w:val="44"/>
          <w:szCs w:val="24"/>
        </w:rPr>
        <w:t>、地方标准</w:t>
      </w:r>
      <w:r w:rsidRPr="00530A11">
        <w:rPr>
          <w:rFonts w:cs="Times New Roman"/>
          <w:kern w:val="44"/>
          <w:szCs w:val="24"/>
        </w:rPr>
        <w:t>2014</w:t>
      </w:r>
      <w:r w:rsidRPr="00530A11">
        <w:rPr>
          <w:rFonts w:cs="Times New Roman"/>
          <w:kern w:val="44"/>
          <w:szCs w:val="24"/>
        </w:rPr>
        <w:t>年版</w:t>
      </w:r>
      <w:r w:rsidRPr="00530A11">
        <w:rPr>
          <w:rFonts w:cs="Times New Roman"/>
          <w:kern w:val="44"/>
          <w:szCs w:val="24"/>
        </w:rPr>
        <w:t>8.2.9</w:t>
      </w:r>
      <w:r w:rsidRPr="00530A11">
        <w:rPr>
          <w:rFonts w:cs="Times New Roman"/>
          <w:kern w:val="44"/>
          <w:szCs w:val="24"/>
        </w:rPr>
        <w:t>条基础上发展而来。本条文强调用户个体对室内热舒适的调控性。采用个性化热环境调节装置可以满足不同人员对热舒适的差异化需求，从而最大限度地改善个体热舒适性，提高室内人员对室内热环境的满意率。</w:t>
      </w:r>
    </w:p>
    <w:p w14:paraId="3D09B198" w14:textId="77777777" w:rsidR="0087265D" w:rsidRPr="00530A11" w:rsidRDefault="0087265D" w:rsidP="0087265D">
      <w:pPr>
        <w:ind w:firstLine="420"/>
        <w:rPr>
          <w:rFonts w:cs="Times New Roman"/>
          <w:kern w:val="44"/>
          <w:szCs w:val="24"/>
        </w:rPr>
      </w:pPr>
      <w:r w:rsidRPr="00530A11">
        <w:rPr>
          <w:rFonts w:cs="Times New Roman"/>
          <w:kern w:val="44"/>
          <w:szCs w:val="24"/>
        </w:rPr>
        <w:t>对于采用集中供暖空调系统的建筑，应根据房间、区域的功能和所采用的系统形式，合理设置可现场独立调节的热环境调节装置。对于未采用集中供暖空调系统的建筑，应合理设计建筑热环境营造方案，具备满足个性化热舒适需求的可独立控制的热环境调节装置或功能。</w:t>
      </w:r>
    </w:p>
    <w:p w14:paraId="37EEE72A" w14:textId="77777777" w:rsidR="0087265D" w:rsidRPr="00530A11" w:rsidRDefault="0087265D" w:rsidP="0087265D">
      <w:pPr>
        <w:ind w:firstLine="420"/>
        <w:rPr>
          <w:rFonts w:cs="Times New Roman"/>
          <w:kern w:val="44"/>
          <w:szCs w:val="24"/>
        </w:rPr>
      </w:pPr>
      <w:r w:rsidRPr="00530A11">
        <w:rPr>
          <w:rFonts w:cs="Times New Roman"/>
          <w:kern w:val="44"/>
          <w:szCs w:val="24"/>
        </w:rPr>
        <w:t>针对集中空调系统中常出现的集中式系统，考虑到其服务面积较大，往往对于大空间内的局部区域存在调控困难的现象，本条要求针对此类情况，系统应具备终端送风系统的风量调控，或者兼顾终端流量调节，实现大空间内的局部区域热环境可调节。而对于半集中式或分散式，由于系统本身具备末端设备，调控相对容易，因此要求末端独立可控。</w:t>
      </w:r>
    </w:p>
    <w:bookmarkEnd w:id="85"/>
    <w:p w14:paraId="66D29375" w14:textId="77777777" w:rsidR="002B4D27" w:rsidRPr="006C79E9" w:rsidRDefault="002B4D27" w:rsidP="006C79E9">
      <w:pPr>
        <w:pStyle w:val="20"/>
      </w:pPr>
      <w:r w:rsidRPr="0081478A">
        <w:t>【评价要点】</w:t>
      </w:r>
    </w:p>
    <w:p w14:paraId="376FD170" w14:textId="2E0631C9" w:rsidR="002B4D27" w:rsidRPr="0081478A" w:rsidRDefault="00EC7A9E" w:rsidP="002B4D27">
      <w:pPr>
        <w:ind w:firstLine="420"/>
        <w:rPr>
          <w:rFonts w:cs="Times New Roman"/>
          <w:bCs/>
          <w:kern w:val="44"/>
          <w:szCs w:val="24"/>
        </w:rPr>
      </w:pPr>
      <w:r>
        <w:rPr>
          <w:rFonts w:cs="Times New Roman" w:hint="eastAsia"/>
          <w:bCs/>
          <w:kern w:val="44"/>
          <w:szCs w:val="24"/>
        </w:rPr>
        <w:lastRenderedPageBreak/>
        <w:t>核查</w:t>
      </w:r>
      <w:r w:rsidRPr="00530A11">
        <w:rPr>
          <w:rFonts w:cs="Times New Roman" w:hint="eastAsia"/>
          <w:bCs/>
        </w:rPr>
        <w:t>集中式系统</w:t>
      </w:r>
      <w:r w:rsidRPr="0081478A">
        <w:rPr>
          <w:rFonts w:cs="Times New Roman"/>
          <w:bCs/>
          <w:kern w:val="44"/>
          <w:szCs w:val="24"/>
        </w:rPr>
        <w:t>主要功能房间</w:t>
      </w:r>
      <w:r>
        <w:rPr>
          <w:rFonts w:cs="Times New Roman" w:hint="eastAsia"/>
          <w:bCs/>
        </w:rPr>
        <w:t>的</w:t>
      </w:r>
      <w:r w:rsidRPr="00530A11">
        <w:rPr>
          <w:rFonts w:cs="Times New Roman" w:hint="eastAsia"/>
          <w:bCs/>
        </w:rPr>
        <w:t>终端风量、流量调节装置</w:t>
      </w:r>
      <w:r>
        <w:rPr>
          <w:rFonts w:cs="Times New Roman" w:hint="eastAsia"/>
          <w:bCs/>
        </w:rPr>
        <w:t>，半集中式系统、分散式系统</w:t>
      </w:r>
      <w:r w:rsidR="002B4D27" w:rsidRPr="0081478A">
        <w:rPr>
          <w:rFonts w:cs="Times New Roman"/>
          <w:bCs/>
          <w:kern w:val="44"/>
          <w:szCs w:val="24"/>
        </w:rPr>
        <w:t>主要功能房间的</w:t>
      </w:r>
      <w:r w:rsidRPr="00530A11">
        <w:rPr>
          <w:rFonts w:cs="Times New Roman" w:hint="eastAsia"/>
          <w:bCs/>
        </w:rPr>
        <w:t>末端独立控制装置</w:t>
      </w:r>
      <w:r>
        <w:rPr>
          <w:rFonts w:cs="Times New Roman" w:hint="eastAsia"/>
          <w:bCs/>
          <w:kern w:val="44"/>
          <w:szCs w:val="24"/>
        </w:rPr>
        <w:t>，并且检查调节室温情况。</w:t>
      </w:r>
    </w:p>
    <w:p w14:paraId="57C278AC"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024F043" w14:textId="77777777" w:rsidR="0084444F" w:rsidRPr="00530A11" w:rsidRDefault="0084444F" w:rsidP="0084444F">
      <w:pPr>
        <w:ind w:firstLine="420"/>
        <w:rPr>
          <w:rFonts w:cs="Times New Roman"/>
          <w:kern w:val="44"/>
          <w:szCs w:val="24"/>
        </w:rPr>
      </w:pPr>
      <w:r w:rsidRPr="00530A11">
        <w:rPr>
          <w:rFonts w:cs="Times New Roman"/>
          <w:kern w:val="44"/>
          <w:szCs w:val="24"/>
        </w:rPr>
        <w:t>预评价查阅相关设计文件；评价查阅相关竣工图、产品说明书</w:t>
      </w:r>
      <w:r w:rsidRPr="00530A11">
        <w:rPr>
          <w:rFonts w:cs="Times New Roman"/>
        </w:rPr>
        <w:t>，组织现场查勘</w:t>
      </w:r>
      <w:r w:rsidRPr="00530A11">
        <w:rPr>
          <w:rFonts w:cs="Times New Roman"/>
          <w:kern w:val="44"/>
          <w:szCs w:val="24"/>
        </w:rPr>
        <w:t>。</w:t>
      </w:r>
    </w:p>
    <w:p w14:paraId="3862C038" w14:textId="77777777" w:rsidR="00715ABB" w:rsidRPr="0084444F" w:rsidRDefault="00715ABB">
      <w:pPr>
        <w:snapToGrid w:val="0"/>
        <w:ind w:firstLine="420"/>
        <w:jc w:val="left"/>
        <w:rPr>
          <w:rFonts w:cs="Times New Roman"/>
          <w:szCs w:val="24"/>
        </w:rPr>
      </w:pPr>
    </w:p>
    <w:p w14:paraId="29DB338D" w14:textId="77777777" w:rsidR="002C09A7" w:rsidRPr="00530A11" w:rsidRDefault="002C09A7" w:rsidP="002C09A7">
      <w:pPr>
        <w:pStyle w:val="4"/>
        <w:rPr>
          <w:rFonts w:cs="Times New Roman"/>
          <w:bCs w:val="0"/>
        </w:rPr>
      </w:pPr>
      <w:r w:rsidRPr="00530A11">
        <w:rPr>
          <w:rFonts w:cs="Times New Roman"/>
          <w:bCs w:val="0"/>
        </w:rPr>
        <w:t xml:space="preserve">5.1.9 </w:t>
      </w:r>
      <w:r w:rsidRPr="00530A11">
        <w:rPr>
          <w:rFonts w:cs="Times New Roman"/>
          <w:bCs w:val="0"/>
        </w:rPr>
        <w:t>地下车库应设置与排风设备联动的一氧化碳浓度监测装置。</w:t>
      </w:r>
    </w:p>
    <w:p w14:paraId="04AA355F" w14:textId="77777777" w:rsidR="00715ABB" w:rsidRPr="0081478A" w:rsidRDefault="00F44390" w:rsidP="006C79E9">
      <w:pPr>
        <w:pStyle w:val="20"/>
      </w:pPr>
      <w:r w:rsidRPr="0081478A">
        <w:t>【条文说明】</w:t>
      </w:r>
    </w:p>
    <w:p w14:paraId="20DE30B7" w14:textId="77777777" w:rsidR="0087265D" w:rsidRPr="00530A11" w:rsidRDefault="0087265D" w:rsidP="0087265D">
      <w:pPr>
        <w:ind w:firstLine="420"/>
        <w:rPr>
          <w:szCs w:val="24"/>
        </w:rPr>
      </w:pPr>
      <w:r w:rsidRPr="00530A11">
        <w:t>本条适用于各类民用建筑的预评价、评价。</w:t>
      </w:r>
    </w:p>
    <w:p w14:paraId="06FF8E76"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8.2.13</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8.2.13</w:t>
      </w:r>
      <w:r w:rsidRPr="00530A11">
        <w:rPr>
          <w:rFonts w:cs="Times New Roman"/>
        </w:rPr>
        <w:t>条的基础上发展而来。</w:t>
      </w:r>
    </w:p>
    <w:p w14:paraId="1508FE44" w14:textId="77777777" w:rsidR="0087265D" w:rsidRPr="00530A11" w:rsidRDefault="0087265D" w:rsidP="0087265D">
      <w:pPr>
        <w:ind w:firstLine="420"/>
        <w:rPr>
          <w:rFonts w:cs="Times New Roman"/>
        </w:rPr>
      </w:pPr>
      <w:r w:rsidRPr="00530A11">
        <w:rPr>
          <w:rFonts w:cs="Times New Roman"/>
        </w:rPr>
        <w:t>地下车库空气流通不好，容易导致有害气体浓度过大，对人体造成伤害。有地下车库的建筑，车库设置与排风设备联动的一氧化碳检测装置，超过一定的量值时即报警并启动排风系统。所设定的量值可参考现行国家标准《工作场所有害因素职业接触限值</w:t>
      </w:r>
      <w:r w:rsidRPr="00530A11">
        <w:rPr>
          <w:rFonts w:cs="Times New Roman"/>
        </w:rPr>
        <w:t xml:space="preserve"> </w:t>
      </w:r>
      <w:r w:rsidRPr="00530A11">
        <w:rPr>
          <w:rFonts w:cs="Times New Roman"/>
        </w:rPr>
        <w:t>第</w:t>
      </w:r>
      <w:r w:rsidRPr="00530A11">
        <w:rPr>
          <w:rFonts w:cs="Times New Roman"/>
        </w:rPr>
        <w:t>1</w:t>
      </w:r>
      <w:r w:rsidRPr="00530A11">
        <w:rPr>
          <w:rFonts w:cs="Times New Roman"/>
        </w:rPr>
        <w:t>部分：化学有害因素》</w:t>
      </w:r>
      <w:r w:rsidRPr="00530A11">
        <w:rPr>
          <w:rFonts w:cs="Times New Roman"/>
        </w:rPr>
        <w:t>GBZ 2.1</w:t>
      </w:r>
      <w:r w:rsidRPr="00530A11">
        <w:rPr>
          <w:rFonts w:cs="Times New Roman"/>
        </w:rPr>
        <w:t>等相关标准的规定。</w:t>
      </w:r>
    </w:p>
    <w:p w14:paraId="150F2F6D" w14:textId="77777777" w:rsidR="0087265D" w:rsidRPr="00530A11" w:rsidRDefault="0087265D" w:rsidP="0087265D">
      <w:pPr>
        <w:ind w:firstLine="420"/>
        <w:rPr>
          <w:rFonts w:cs="Times New Roman"/>
        </w:rPr>
      </w:pPr>
      <w:r w:rsidRPr="00530A11">
        <w:rPr>
          <w:rFonts w:cs="Times New Roman"/>
        </w:rPr>
        <w:t>车库一氧化碳浓度监测装置宜按</w:t>
      </w:r>
      <w:r w:rsidRPr="00530A11">
        <w:rPr>
          <w:rFonts w:cs="Times New Roman"/>
        </w:rPr>
        <w:t>1</w:t>
      </w:r>
      <w:r w:rsidRPr="00530A11">
        <w:rPr>
          <w:rFonts w:cs="Times New Roman"/>
        </w:rPr>
        <w:t>个</w:t>
      </w:r>
      <w:r w:rsidRPr="00530A11">
        <w:rPr>
          <w:rFonts w:cs="Times New Roman"/>
        </w:rPr>
        <w:t>/400</w:t>
      </w:r>
      <w:r w:rsidRPr="00530A11">
        <w:rPr>
          <w:rFonts w:cs="Times New Roman"/>
        </w:rPr>
        <w:t>㎡进行布置，点位应结合车库风机设计，一氧化碳的短时间接触容许浓度上限为</w:t>
      </w:r>
      <w:r w:rsidRPr="00530A11">
        <w:rPr>
          <w:rFonts w:cs="Times New Roman"/>
        </w:rPr>
        <w:t>30mg/m³</w:t>
      </w:r>
      <w:r w:rsidRPr="00530A11">
        <w:rPr>
          <w:rFonts w:cs="Times New Roman"/>
        </w:rPr>
        <w:t>，超过此值报警，然后立刻启动排风系统。一氧化碳比重比空气略轻，一氧化碳探测器的安装高度应高出一氧化碳释放源</w:t>
      </w:r>
      <w:r w:rsidRPr="00530A11">
        <w:rPr>
          <w:rFonts w:cs="Times New Roman"/>
        </w:rPr>
        <w:t>0.5-2m</w:t>
      </w:r>
      <w:r w:rsidRPr="00530A11">
        <w:rPr>
          <w:rFonts w:cs="Times New Roman"/>
        </w:rPr>
        <w:t>，且应保证探测器安装的场所安全（防破坏）、无冲击、无振动、无强电磁干扰；并保证设备易于检修，安装探测器的地点与周边管线或设备之间应留有不小于</w:t>
      </w:r>
      <w:r w:rsidRPr="00530A11">
        <w:rPr>
          <w:rFonts w:cs="Times New Roman"/>
        </w:rPr>
        <w:t>0.5m</w:t>
      </w:r>
      <w:r w:rsidRPr="00530A11">
        <w:rPr>
          <w:rFonts w:cs="Times New Roman"/>
        </w:rPr>
        <w:t>的净空和出入通道；一氧化碳探测器在车库的安装高度，可在距所在地坪</w:t>
      </w:r>
      <w:r w:rsidRPr="00530A11">
        <w:rPr>
          <w:rFonts w:cs="Times New Roman"/>
        </w:rPr>
        <w:t>1.6m-1.8m</w:t>
      </w:r>
      <w:r w:rsidRPr="00530A11">
        <w:rPr>
          <w:rFonts w:cs="Times New Roman"/>
        </w:rPr>
        <w:t>处。</w:t>
      </w:r>
    </w:p>
    <w:p w14:paraId="3384F498" w14:textId="77777777" w:rsidR="002B4D27" w:rsidRPr="006C79E9" w:rsidRDefault="002B4D27" w:rsidP="006C79E9">
      <w:pPr>
        <w:pStyle w:val="20"/>
      </w:pPr>
      <w:r w:rsidRPr="0081478A">
        <w:t>【评价要点】</w:t>
      </w:r>
    </w:p>
    <w:p w14:paraId="7790BE7E" w14:textId="2EDF94FA" w:rsidR="00E4331E" w:rsidRPr="0081478A" w:rsidRDefault="00C035D8" w:rsidP="002B4D27">
      <w:pPr>
        <w:ind w:firstLine="420"/>
        <w:rPr>
          <w:rFonts w:cs="Times New Roman"/>
        </w:rPr>
      </w:pPr>
      <w:r w:rsidRPr="00C035D8">
        <w:rPr>
          <w:rFonts w:cs="Times New Roman" w:hint="eastAsia"/>
        </w:rPr>
        <w:t>一氧化碳设置的位置、数量和风机是否联动控制。</w:t>
      </w:r>
    </w:p>
    <w:p w14:paraId="682C1098"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7D859150" w14:textId="0D643FCE" w:rsidR="00715ABB" w:rsidRPr="0084444F" w:rsidRDefault="0084444F" w:rsidP="0084444F">
      <w:pPr>
        <w:ind w:firstLine="420"/>
        <w:rPr>
          <w:rFonts w:cs="Times New Roman"/>
        </w:rPr>
      </w:pPr>
      <w:r w:rsidRPr="00530A11">
        <w:rPr>
          <w:rFonts w:cs="Times New Roman"/>
        </w:rPr>
        <w:t>预评价查阅相关设计文件；评价查阅相关竣工图、运行记录，组织现场查勘。</w:t>
      </w:r>
    </w:p>
    <w:p w14:paraId="0824966A" w14:textId="77777777" w:rsidR="00715ABB" w:rsidRPr="0081478A" w:rsidRDefault="00715ABB">
      <w:pPr>
        <w:pStyle w:val="20"/>
        <w:rPr>
          <w:rFonts w:ascii="Times New Roman" w:hAnsi="Times New Roman" w:cs="Times New Roman"/>
          <w:color w:val="auto"/>
        </w:rPr>
      </w:pPr>
    </w:p>
    <w:p w14:paraId="28E48B8E" w14:textId="77777777" w:rsidR="002C09A7" w:rsidRPr="00530A11" w:rsidRDefault="002C09A7" w:rsidP="002C09A7">
      <w:pPr>
        <w:pStyle w:val="4"/>
        <w:rPr>
          <w:rFonts w:cs="Times New Roman"/>
          <w:bCs w:val="0"/>
        </w:rPr>
      </w:pPr>
      <w:r w:rsidRPr="00530A11">
        <w:rPr>
          <w:rFonts w:cs="Times New Roman"/>
          <w:bCs w:val="0"/>
        </w:rPr>
        <w:t>5.1.10</w:t>
      </w:r>
      <w:bookmarkStart w:id="86" w:name="_Hlk26103103"/>
      <w:r w:rsidRPr="00530A11">
        <w:rPr>
          <w:rFonts w:cs="Times New Roman" w:hint="eastAsia"/>
          <w:bCs w:val="0"/>
        </w:rPr>
        <w:t>游泳池水、非传统水源等</w:t>
      </w:r>
      <w:bookmarkStart w:id="87" w:name="_Hlk25158690"/>
      <w:r w:rsidRPr="00530A11">
        <w:rPr>
          <w:rFonts w:cs="Times New Roman" w:hint="eastAsia"/>
          <w:bCs w:val="0"/>
        </w:rPr>
        <w:t>的水质</w:t>
      </w:r>
      <w:bookmarkEnd w:id="87"/>
      <w:r w:rsidRPr="00530A11">
        <w:rPr>
          <w:rFonts w:cs="Times New Roman" w:hint="eastAsia"/>
          <w:bCs w:val="0"/>
        </w:rPr>
        <w:t>满足国家现行有关标准的要求。</w:t>
      </w:r>
      <w:r w:rsidRPr="00530A11">
        <w:rPr>
          <w:rFonts w:cs="Times New Roman"/>
          <w:bCs w:val="0"/>
        </w:rPr>
        <w:tab/>
      </w:r>
      <w:bookmarkEnd w:id="86"/>
    </w:p>
    <w:p w14:paraId="023092FC" w14:textId="77777777" w:rsidR="00715ABB" w:rsidRPr="0081478A" w:rsidRDefault="00F44390">
      <w:pPr>
        <w:ind w:firstLineChars="0" w:firstLine="0"/>
        <w:rPr>
          <w:rFonts w:cs="Times New Roman"/>
          <w:b/>
          <w:szCs w:val="24"/>
        </w:rPr>
      </w:pPr>
      <w:r w:rsidRPr="0081478A">
        <w:rPr>
          <w:rFonts w:cs="Times New Roman"/>
          <w:b/>
          <w:szCs w:val="24"/>
        </w:rPr>
        <w:t>【条文说明】</w:t>
      </w:r>
    </w:p>
    <w:p w14:paraId="5072377C" w14:textId="77777777" w:rsidR="0087265D" w:rsidRPr="00530A11" w:rsidRDefault="0087265D" w:rsidP="0087265D">
      <w:pPr>
        <w:ind w:firstLine="420"/>
        <w:rPr>
          <w:szCs w:val="24"/>
        </w:rPr>
      </w:pPr>
      <w:r w:rsidRPr="00530A11">
        <w:t>本条适用于各类民用建筑的预评价、评价。</w:t>
      </w:r>
    </w:p>
    <w:p w14:paraId="48C762B1" w14:textId="4C0CC75C" w:rsidR="0087265D" w:rsidRPr="00530A11" w:rsidRDefault="0087265D" w:rsidP="0087265D">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rPr>
        <w:t>并对条文和条文说明进行了局部修改</w:t>
      </w:r>
      <w:r w:rsidRPr="00530A11">
        <w:rPr>
          <w:rFonts w:cs="Times New Roman"/>
          <w:szCs w:val="24"/>
        </w:rPr>
        <w:t>。</w:t>
      </w:r>
    </w:p>
    <w:p w14:paraId="2422078E" w14:textId="77777777" w:rsidR="0087265D" w:rsidRPr="00530A11" w:rsidRDefault="0087265D" w:rsidP="0087265D">
      <w:pPr>
        <w:ind w:firstLine="420"/>
        <w:rPr>
          <w:rFonts w:cs="Times New Roman"/>
          <w:kern w:val="44"/>
          <w:szCs w:val="24"/>
        </w:rPr>
      </w:pPr>
      <w:r w:rsidRPr="00530A11">
        <w:rPr>
          <w:rFonts w:cs="Times New Roman"/>
          <w:kern w:val="44"/>
          <w:szCs w:val="24"/>
        </w:rPr>
        <w:lastRenderedPageBreak/>
        <w:t>当项目中除生活饮用水供水系统外，未设置其他供水系统时，本条可直接达标。</w:t>
      </w:r>
    </w:p>
    <w:p w14:paraId="4888919A" w14:textId="77777777" w:rsidR="0087265D" w:rsidRPr="00530A11" w:rsidRDefault="0087265D" w:rsidP="0087265D">
      <w:pPr>
        <w:ind w:firstLine="420"/>
        <w:rPr>
          <w:rFonts w:cs="Times New Roman"/>
          <w:kern w:val="44"/>
          <w:szCs w:val="24"/>
        </w:rPr>
      </w:pPr>
      <w:r w:rsidRPr="00530A11">
        <w:rPr>
          <w:rFonts w:cs="Times New Roman"/>
          <w:kern w:val="44"/>
          <w:szCs w:val="24"/>
        </w:rPr>
        <w:t>游泳池循环水处理系统水质应满足现行行业标准《游泳池水质标准》</w:t>
      </w:r>
      <w:r w:rsidRPr="00530A11">
        <w:rPr>
          <w:rFonts w:cs="Times New Roman"/>
          <w:kern w:val="44"/>
          <w:szCs w:val="24"/>
        </w:rPr>
        <w:t>CJ 244</w:t>
      </w:r>
      <w:r w:rsidRPr="00530A11">
        <w:rPr>
          <w:rFonts w:cs="Times New Roman"/>
          <w:kern w:val="44"/>
          <w:szCs w:val="24"/>
        </w:rPr>
        <w:t>的要求。</w:t>
      </w:r>
    </w:p>
    <w:p w14:paraId="3A469192" w14:textId="77777777" w:rsidR="0087265D" w:rsidRPr="00530A11" w:rsidRDefault="0087265D" w:rsidP="0087265D">
      <w:pPr>
        <w:ind w:firstLine="420"/>
        <w:rPr>
          <w:rFonts w:cs="Times New Roman"/>
          <w:kern w:val="44"/>
          <w:szCs w:val="24"/>
        </w:rPr>
      </w:pPr>
      <w:r w:rsidRPr="00530A11">
        <w:rPr>
          <w:rFonts w:cs="Times New Roman"/>
          <w:kern w:val="44"/>
          <w:szCs w:val="24"/>
        </w:rPr>
        <w:t>非传统水源供水系统水质，应根据不同用途的用水满足现行国家标准城市污水再生利用系列标准的要求。设有模块化户内中水集成系统的项目，户内中水水质应满足现行行业标准《模块化户内中水集成系统技术规程》</w:t>
      </w:r>
      <w:r w:rsidRPr="00530A11">
        <w:rPr>
          <w:rFonts w:cs="Times New Roman"/>
          <w:kern w:val="44"/>
          <w:szCs w:val="24"/>
        </w:rPr>
        <w:t>JGJ/T 409</w:t>
      </w:r>
      <w:r w:rsidRPr="00530A11">
        <w:rPr>
          <w:rFonts w:cs="Times New Roman"/>
          <w:kern w:val="44"/>
          <w:szCs w:val="24"/>
        </w:rPr>
        <w:t>的要求。</w:t>
      </w:r>
    </w:p>
    <w:p w14:paraId="0DB5BB22" w14:textId="3E24334F" w:rsidR="002B4D27"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0DD124CF" w14:textId="36F64E89" w:rsidR="001C4871" w:rsidRPr="0081478A" w:rsidRDefault="001C4871" w:rsidP="001C4871">
      <w:pPr>
        <w:ind w:firstLine="420"/>
      </w:pPr>
      <w:r w:rsidRPr="0081478A">
        <w:rPr>
          <w:rFonts w:cs="Times New Roman"/>
          <w:bCs/>
          <w:kern w:val="44"/>
          <w:szCs w:val="24"/>
        </w:rPr>
        <w:t>评价查阅</w:t>
      </w:r>
      <w:r w:rsidRPr="00530A11">
        <w:rPr>
          <w:rFonts w:cs="Times New Roman" w:hint="eastAsia"/>
        </w:rPr>
        <w:t>游泳池水</w:t>
      </w:r>
      <w:r>
        <w:rPr>
          <w:rFonts w:cs="Times New Roman" w:hint="eastAsia"/>
          <w:bCs/>
          <w:kern w:val="44"/>
          <w:szCs w:val="24"/>
        </w:rPr>
        <w:t>水质</w:t>
      </w:r>
      <w:r w:rsidRPr="0081478A">
        <w:rPr>
          <w:rFonts w:cs="Times New Roman"/>
          <w:bCs/>
          <w:kern w:val="44"/>
          <w:szCs w:val="24"/>
        </w:rPr>
        <w:t>检测报告</w:t>
      </w:r>
      <w:r w:rsidRPr="00530A11">
        <w:rPr>
          <w:rFonts w:cs="Times New Roman" w:hint="eastAsia"/>
        </w:rPr>
        <w:t>、非传统水源</w:t>
      </w:r>
      <w:r>
        <w:rPr>
          <w:rFonts w:cs="Times New Roman" w:hint="eastAsia"/>
          <w:bCs/>
          <w:kern w:val="44"/>
          <w:szCs w:val="24"/>
        </w:rPr>
        <w:t>水质</w:t>
      </w:r>
      <w:r w:rsidRPr="0081478A">
        <w:rPr>
          <w:rFonts w:cs="Times New Roman"/>
          <w:bCs/>
          <w:kern w:val="44"/>
          <w:szCs w:val="24"/>
        </w:rPr>
        <w:t>检测报告（应依据相关国家标准进行检测）</w:t>
      </w:r>
      <w:r>
        <w:rPr>
          <w:rFonts w:cs="Times New Roman" w:hint="eastAsia"/>
          <w:bCs/>
          <w:kern w:val="44"/>
          <w:szCs w:val="24"/>
        </w:rPr>
        <w:t>。</w:t>
      </w:r>
    </w:p>
    <w:p w14:paraId="089567EA"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7994C6F0" w14:textId="77777777" w:rsidR="0084444F" w:rsidRPr="00530A11" w:rsidRDefault="0084444F" w:rsidP="0084444F">
      <w:pPr>
        <w:ind w:firstLine="420"/>
        <w:rPr>
          <w:rFonts w:cs="Times New Roman"/>
        </w:rPr>
      </w:pPr>
      <w:r w:rsidRPr="00530A11">
        <w:rPr>
          <w:rFonts w:cs="Times New Roman"/>
        </w:rPr>
        <w:t>预评价查阅相关设计文件；评价查阅相关竣工图、运行记录，</w:t>
      </w:r>
      <w:r w:rsidRPr="00530A11">
        <w:rPr>
          <w:rFonts w:cs="Times New Roman" w:hint="eastAsia"/>
        </w:rPr>
        <w:t>水质检测报告</w:t>
      </w:r>
      <w:r w:rsidRPr="00530A11">
        <w:rPr>
          <w:rFonts w:cs="Times New Roman"/>
        </w:rPr>
        <w:t>，水质记录。</w:t>
      </w:r>
    </w:p>
    <w:p w14:paraId="77E462F4" w14:textId="77777777" w:rsidR="00715ABB" w:rsidRPr="0084444F" w:rsidRDefault="00715ABB">
      <w:pPr>
        <w:snapToGrid w:val="0"/>
        <w:ind w:firstLine="420"/>
        <w:jc w:val="left"/>
        <w:rPr>
          <w:rFonts w:cs="Times New Roman"/>
          <w:szCs w:val="24"/>
        </w:rPr>
      </w:pPr>
    </w:p>
    <w:p w14:paraId="0FB52DFE" w14:textId="77777777" w:rsidR="00715ABB" w:rsidRPr="0081478A" w:rsidRDefault="00F44390" w:rsidP="003C1556">
      <w:pPr>
        <w:pStyle w:val="2"/>
      </w:pPr>
      <w:bookmarkStart w:id="88" w:name="_Toc22221567"/>
      <w:bookmarkStart w:id="89" w:name="_Toc35364734"/>
      <w:r w:rsidRPr="0081478A">
        <w:t xml:space="preserve">5.2 </w:t>
      </w:r>
      <w:r w:rsidRPr="0081478A">
        <w:t>评分项</w:t>
      </w:r>
      <w:bookmarkEnd w:id="88"/>
      <w:bookmarkEnd w:id="89"/>
    </w:p>
    <w:p w14:paraId="34B22CC9" w14:textId="77777777" w:rsidR="00715ABB" w:rsidRPr="0081478A" w:rsidRDefault="00F44390" w:rsidP="001A7E3B">
      <w:pPr>
        <w:pStyle w:val="3"/>
      </w:pPr>
      <w:bookmarkStart w:id="90" w:name="_Toc22221568"/>
      <w:bookmarkStart w:id="91" w:name="_Toc35364735"/>
      <w:r w:rsidRPr="0081478A">
        <w:t xml:space="preserve">I </w:t>
      </w:r>
      <w:r w:rsidRPr="0081478A">
        <w:t>室内空气品质</w:t>
      </w:r>
      <w:bookmarkEnd w:id="90"/>
      <w:bookmarkEnd w:id="91"/>
    </w:p>
    <w:p w14:paraId="1FF70680" w14:textId="77777777" w:rsidR="002C09A7" w:rsidRPr="00530A11" w:rsidRDefault="002C09A7" w:rsidP="002C09A7">
      <w:pPr>
        <w:pStyle w:val="4"/>
        <w:rPr>
          <w:rFonts w:cs="Times New Roman"/>
          <w:bCs w:val="0"/>
        </w:rPr>
      </w:pPr>
      <w:bookmarkStart w:id="92" w:name="_Hlk20313043"/>
      <w:r w:rsidRPr="00530A11">
        <w:rPr>
          <w:rFonts w:cs="Times New Roman"/>
          <w:bCs w:val="0"/>
        </w:rPr>
        <w:t xml:space="preserve">5.2.1 </w:t>
      </w:r>
      <w:r w:rsidRPr="00530A11">
        <w:rPr>
          <w:rFonts w:cs="Times New Roman"/>
          <w:bCs w:val="0"/>
        </w:rPr>
        <w:t>控制室内主要空气污染物的浓度，评价总分值为</w:t>
      </w:r>
      <w:r w:rsidRPr="00530A11">
        <w:rPr>
          <w:rFonts w:cs="Times New Roman"/>
          <w:bCs w:val="0"/>
        </w:rPr>
        <w:t>12</w:t>
      </w:r>
      <w:r w:rsidRPr="00530A11">
        <w:rPr>
          <w:rFonts w:cs="Times New Roman"/>
          <w:bCs w:val="0"/>
        </w:rPr>
        <w:t>分，并按下列规则分别评分并累计：</w:t>
      </w:r>
    </w:p>
    <w:p w14:paraId="62C120E8"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1 </w:t>
      </w:r>
      <w:r w:rsidRPr="002C09A7">
        <w:rPr>
          <w:rFonts w:cs="Times New Roman"/>
          <w:b/>
          <w:bCs/>
          <w:szCs w:val="24"/>
        </w:rPr>
        <w:t>氨、甲醛、苯、总挥发性有机物、氡等污染物浓度低于现行国家标准《室内空气质量标准》</w:t>
      </w:r>
      <w:r w:rsidRPr="002C09A7">
        <w:rPr>
          <w:rFonts w:cs="Times New Roman"/>
          <w:b/>
          <w:bCs/>
          <w:szCs w:val="24"/>
        </w:rPr>
        <w:t>GB/T 18883</w:t>
      </w:r>
      <w:r w:rsidRPr="002C09A7">
        <w:rPr>
          <w:rFonts w:cs="Times New Roman"/>
          <w:b/>
          <w:bCs/>
          <w:szCs w:val="24"/>
        </w:rPr>
        <w:t>规定限值的</w:t>
      </w:r>
      <w:r w:rsidRPr="002C09A7">
        <w:rPr>
          <w:rFonts w:cs="Times New Roman"/>
          <w:b/>
          <w:bCs/>
          <w:szCs w:val="24"/>
        </w:rPr>
        <w:t>10</w:t>
      </w:r>
      <w:r w:rsidRPr="002C09A7">
        <w:rPr>
          <w:rFonts w:cs="Times New Roman"/>
          <w:b/>
          <w:bCs/>
          <w:szCs w:val="24"/>
        </w:rPr>
        <w:t>％，得</w:t>
      </w:r>
      <w:r w:rsidRPr="002C09A7">
        <w:rPr>
          <w:rFonts w:cs="Times New Roman"/>
          <w:b/>
          <w:bCs/>
          <w:szCs w:val="24"/>
        </w:rPr>
        <w:t>3</w:t>
      </w:r>
      <w:r w:rsidRPr="002C09A7">
        <w:rPr>
          <w:rFonts w:cs="Times New Roman"/>
          <w:b/>
          <w:bCs/>
          <w:szCs w:val="24"/>
        </w:rPr>
        <w:t>分；低于</w:t>
      </w:r>
      <w:r w:rsidRPr="002C09A7">
        <w:rPr>
          <w:rFonts w:cs="Times New Roman"/>
          <w:b/>
          <w:bCs/>
          <w:szCs w:val="24"/>
        </w:rPr>
        <w:t>20</w:t>
      </w:r>
      <w:r w:rsidRPr="002C09A7">
        <w:rPr>
          <w:rFonts w:cs="Times New Roman"/>
          <w:b/>
          <w:bCs/>
          <w:szCs w:val="24"/>
        </w:rPr>
        <w:t>％，得</w:t>
      </w:r>
      <w:r w:rsidRPr="002C09A7">
        <w:rPr>
          <w:rFonts w:cs="Times New Roman"/>
          <w:b/>
          <w:bCs/>
          <w:szCs w:val="24"/>
        </w:rPr>
        <w:t>6</w:t>
      </w:r>
      <w:r w:rsidRPr="002C09A7">
        <w:rPr>
          <w:rFonts w:cs="Times New Roman"/>
          <w:b/>
          <w:bCs/>
          <w:szCs w:val="24"/>
        </w:rPr>
        <w:t>分；</w:t>
      </w:r>
    </w:p>
    <w:p w14:paraId="26185E44"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室内</w:t>
      </w:r>
      <w:r w:rsidRPr="002C09A7">
        <w:rPr>
          <w:rFonts w:cs="Times New Roman"/>
          <w:b/>
          <w:bCs/>
          <w:szCs w:val="24"/>
        </w:rPr>
        <w:t>PM</w:t>
      </w:r>
      <w:r w:rsidRPr="002C09A7">
        <w:rPr>
          <w:rFonts w:cs="Times New Roman"/>
          <w:b/>
          <w:bCs/>
          <w:sz w:val="23"/>
          <w:szCs w:val="23"/>
          <w:vertAlign w:val="subscript"/>
        </w:rPr>
        <w:t>2.5</w:t>
      </w:r>
      <w:r w:rsidRPr="002C09A7">
        <w:rPr>
          <w:rFonts w:cs="Times New Roman"/>
          <w:b/>
          <w:bCs/>
          <w:szCs w:val="24"/>
        </w:rPr>
        <w:t>年均浓度不高于</w:t>
      </w:r>
      <w:r w:rsidRPr="002C09A7">
        <w:rPr>
          <w:rFonts w:cs="Times New Roman"/>
          <w:b/>
          <w:bCs/>
          <w:szCs w:val="24"/>
        </w:rPr>
        <w:t>25μg/m</w:t>
      </w:r>
      <w:r w:rsidRPr="002C09A7">
        <w:rPr>
          <w:rFonts w:cs="Times New Roman"/>
          <w:b/>
          <w:bCs/>
          <w:sz w:val="23"/>
          <w:szCs w:val="23"/>
          <w:vertAlign w:val="superscript"/>
        </w:rPr>
        <w:t>3</w:t>
      </w:r>
      <w:r w:rsidRPr="002C09A7">
        <w:rPr>
          <w:rFonts w:cs="Times New Roman"/>
          <w:b/>
          <w:bCs/>
          <w:szCs w:val="24"/>
        </w:rPr>
        <w:t>，且室内</w:t>
      </w:r>
      <w:r w:rsidRPr="002C09A7">
        <w:rPr>
          <w:rFonts w:cs="Times New Roman"/>
          <w:b/>
          <w:bCs/>
          <w:szCs w:val="24"/>
        </w:rPr>
        <w:t>PM</w:t>
      </w:r>
      <w:r w:rsidRPr="002C09A7">
        <w:rPr>
          <w:rFonts w:cs="Times New Roman"/>
          <w:b/>
          <w:bCs/>
          <w:sz w:val="23"/>
          <w:szCs w:val="23"/>
          <w:vertAlign w:val="subscript"/>
        </w:rPr>
        <w:t>10</w:t>
      </w:r>
      <w:r w:rsidRPr="002C09A7">
        <w:rPr>
          <w:rFonts w:cs="Times New Roman"/>
          <w:b/>
          <w:bCs/>
          <w:szCs w:val="24"/>
        </w:rPr>
        <w:t>年均浓度不高于</w:t>
      </w:r>
      <w:r w:rsidRPr="002C09A7">
        <w:rPr>
          <w:rFonts w:cs="Times New Roman"/>
          <w:b/>
          <w:bCs/>
          <w:szCs w:val="24"/>
        </w:rPr>
        <w:t>50μg/m</w:t>
      </w:r>
      <w:r w:rsidRPr="002C09A7">
        <w:rPr>
          <w:rFonts w:cs="Times New Roman"/>
          <w:b/>
          <w:bCs/>
          <w:sz w:val="23"/>
          <w:szCs w:val="23"/>
          <w:vertAlign w:val="superscript"/>
        </w:rPr>
        <w:t>3</w:t>
      </w:r>
      <w:r w:rsidRPr="002C09A7">
        <w:rPr>
          <w:rFonts w:cs="Times New Roman"/>
          <w:b/>
          <w:bCs/>
          <w:szCs w:val="24"/>
        </w:rPr>
        <w:t>，得</w:t>
      </w:r>
      <w:r w:rsidRPr="002C09A7">
        <w:rPr>
          <w:rFonts w:cs="Times New Roman"/>
          <w:b/>
          <w:bCs/>
          <w:szCs w:val="24"/>
        </w:rPr>
        <w:t>6</w:t>
      </w:r>
      <w:r w:rsidRPr="002C09A7">
        <w:rPr>
          <w:rFonts w:cs="Times New Roman"/>
          <w:b/>
          <w:bCs/>
          <w:szCs w:val="24"/>
        </w:rPr>
        <w:t>分。</w:t>
      </w:r>
    </w:p>
    <w:p w14:paraId="51C3106A" w14:textId="77777777" w:rsidR="00715ABB" w:rsidRPr="0081478A" w:rsidRDefault="00F44390">
      <w:pPr>
        <w:ind w:firstLineChars="0" w:firstLine="0"/>
        <w:rPr>
          <w:rFonts w:cs="Times New Roman"/>
          <w:b/>
          <w:bCs/>
        </w:rPr>
      </w:pPr>
      <w:r w:rsidRPr="0081478A">
        <w:rPr>
          <w:rFonts w:cs="Times New Roman"/>
          <w:b/>
          <w:bCs/>
        </w:rPr>
        <w:t>【条文说明】</w:t>
      </w:r>
    </w:p>
    <w:p w14:paraId="7076E85A" w14:textId="77777777" w:rsidR="0087265D" w:rsidRPr="00530A11" w:rsidRDefault="0087265D" w:rsidP="0087265D">
      <w:pPr>
        <w:ind w:firstLine="420"/>
      </w:pPr>
      <w:r w:rsidRPr="00530A11">
        <w:t>本条适用于各类民用建筑的预评价、评价。</w:t>
      </w:r>
    </w:p>
    <w:p w14:paraId="1CBCC400"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11.2.7</w:t>
      </w:r>
      <w:r w:rsidRPr="00530A11">
        <w:rPr>
          <w:rFonts w:cs="Times New Roman"/>
        </w:rPr>
        <w:t>条，地方标准</w:t>
      </w:r>
      <w:r w:rsidRPr="00530A11">
        <w:rPr>
          <w:rFonts w:cs="Times New Roman"/>
        </w:rPr>
        <w:t>2014</w:t>
      </w:r>
      <w:r w:rsidRPr="00530A11">
        <w:rPr>
          <w:rFonts w:cs="Times New Roman"/>
        </w:rPr>
        <w:t>版</w:t>
      </w:r>
      <w:r w:rsidRPr="00530A11">
        <w:rPr>
          <w:rFonts w:cs="Times New Roman"/>
          <w:kern w:val="44"/>
          <w:szCs w:val="24"/>
        </w:rPr>
        <w:t>11.2.5</w:t>
      </w:r>
      <w:r w:rsidRPr="00530A11">
        <w:rPr>
          <w:rFonts w:cs="Times New Roman"/>
        </w:rPr>
        <w:t>条的基础上发展而来。</w:t>
      </w:r>
    </w:p>
    <w:p w14:paraId="10B7FEDB" w14:textId="08E8CF7C"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1</w:t>
      </w:r>
      <w:r w:rsidRPr="00530A11">
        <w:rPr>
          <w:rFonts w:cs="Times New Roman"/>
          <w:kern w:val="44"/>
          <w:szCs w:val="24"/>
        </w:rPr>
        <w:t>款，在本</w:t>
      </w:r>
      <w:r w:rsidR="00FD5C9F">
        <w:rPr>
          <w:rFonts w:cs="Times New Roman" w:hint="eastAsia"/>
          <w:kern w:val="44"/>
          <w:szCs w:val="24"/>
        </w:rPr>
        <w:t>细则</w:t>
      </w:r>
      <w:r w:rsidRPr="00530A11">
        <w:rPr>
          <w:rFonts w:cs="Times New Roman"/>
          <w:kern w:val="44"/>
          <w:szCs w:val="24"/>
        </w:rPr>
        <w:t>第</w:t>
      </w:r>
      <w:r w:rsidRPr="00530A11">
        <w:rPr>
          <w:rFonts w:cs="Times New Roman"/>
          <w:kern w:val="44"/>
          <w:szCs w:val="24"/>
        </w:rPr>
        <w:t>5.1.1</w:t>
      </w:r>
      <w:r w:rsidRPr="00530A11">
        <w:rPr>
          <w:rFonts w:cs="Times New Roman"/>
          <w:kern w:val="44"/>
          <w:szCs w:val="24"/>
        </w:rPr>
        <w:t>条基础上对室内空气污染物的浓度提出了更高的要求。具体预评估方法详见本</w:t>
      </w:r>
      <w:r w:rsidR="00FD5C9F">
        <w:rPr>
          <w:rFonts w:cs="Times New Roman" w:hint="eastAsia"/>
          <w:kern w:val="44"/>
          <w:szCs w:val="24"/>
        </w:rPr>
        <w:t>细则</w:t>
      </w:r>
      <w:r w:rsidRPr="00530A11">
        <w:rPr>
          <w:rFonts w:cs="Times New Roman"/>
          <w:kern w:val="44"/>
          <w:szCs w:val="24"/>
        </w:rPr>
        <w:t>第</w:t>
      </w:r>
      <w:r w:rsidRPr="00530A11">
        <w:rPr>
          <w:rFonts w:cs="Times New Roman"/>
          <w:kern w:val="44"/>
          <w:szCs w:val="24"/>
        </w:rPr>
        <w:t>5.1.1</w:t>
      </w:r>
      <w:r w:rsidRPr="00530A11">
        <w:rPr>
          <w:rFonts w:cs="Times New Roman"/>
          <w:kern w:val="44"/>
          <w:szCs w:val="24"/>
        </w:rPr>
        <w:t>条的条文说明。预评价时，可仅对甲醛、苯、总挥发性有机物进行浓度预评估。</w:t>
      </w:r>
    </w:p>
    <w:p w14:paraId="7DB8DCA4" w14:textId="666C8749"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2</w:t>
      </w:r>
      <w:r w:rsidRPr="00530A11">
        <w:rPr>
          <w:rFonts w:cs="Times New Roman"/>
          <w:kern w:val="44"/>
          <w:szCs w:val="24"/>
        </w:rPr>
        <w:t>款，对颗粒物浓度限值进行了规定。预评价时，全装修项目可通过建筑设计因素</w:t>
      </w:r>
      <w:r w:rsidRPr="00530A11">
        <w:rPr>
          <w:rFonts w:cs="Times New Roman"/>
          <w:kern w:val="44"/>
          <w:szCs w:val="24"/>
        </w:rPr>
        <w:t>(</w:t>
      </w:r>
      <w:r w:rsidRPr="00530A11">
        <w:rPr>
          <w:rFonts w:cs="Times New Roman"/>
          <w:kern w:val="44"/>
          <w:szCs w:val="24"/>
        </w:rPr>
        <w:t>门窗渗透风量、新风量、净化设备效率、室内源等</w:t>
      </w:r>
      <w:r w:rsidRPr="00530A11">
        <w:rPr>
          <w:rFonts w:cs="Times New Roman"/>
          <w:kern w:val="44"/>
          <w:szCs w:val="24"/>
        </w:rPr>
        <w:t>)</w:t>
      </w:r>
      <w:r w:rsidRPr="00530A11">
        <w:rPr>
          <w:rFonts w:cs="Times New Roman"/>
          <w:kern w:val="44"/>
          <w:szCs w:val="24"/>
        </w:rPr>
        <w:t>及室外颗粒物水平</w:t>
      </w:r>
      <w:r w:rsidRPr="00530A11">
        <w:rPr>
          <w:rFonts w:cs="Times New Roman"/>
          <w:kern w:val="44"/>
          <w:szCs w:val="24"/>
        </w:rPr>
        <w:t>(</w:t>
      </w:r>
      <w:r w:rsidRPr="00530A11">
        <w:rPr>
          <w:rFonts w:cs="Times New Roman"/>
          <w:kern w:val="44"/>
          <w:szCs w:val="24"/>
        </w:rPr>
        <w:t>建筑所在地近一年环境大气监测数据</w:t>
      </w:r>
      <w:r w:rsidRPr="00530A11">
        <w:rPr>
          <w:rFonts w:cs="Times New Roman"/>
          <w:kern w:val="44"/>
          <w:szCs w:val="24"/>
        </w:rPr>
        <w:t>)</w:t>
      </w:r>
      <w:r w:rsidRPr="00530A11">
        <w:rPr>
          <w:rFonts w:cs="Times New Roman"/>
          <w:kern w:val="44"/>
          <w:szCs w:val="24"/>
        </w:rPr>
        <w:t>，对建筑内部颗粒物浓度进行估算。预评价的计算方法可参考现行行业标准</w:t>
      </w:r>
      <w:r w:rsidRPr="00530A11">
        <w:rPr>
          <w:rFonts w:cs="Times New Roman"/>
          <w:kern w:val="44"/>
          <w:szCs w:val="24"/>
        </w:rPr>
        <w:lastRenderedPageBreak/>
        <w:t>《公共建筑室内空气质量控制设计标准》</w:t>
      </w:r>
      <w:r w:rsidRPr="00530A11">
        <w:rPr>
          <w:rFonts w:cs="Times New Roman"/>
          <w:kern w:val="44"/>
          <w:szCs w:val="24"/>
        </w:rPr>
        <w:t>JGJ/T 461</w:t>
      </w:r>
      <w:r w:rsidRPr="00530A11">
        <w:rPr>
          <w:rFonts w:cs="Times New Roman"/>
          <w:kern w:val="44"/>
          <w:szCs w:val="24"/>
        </w:rPr>
        <w:t>中室内空气质量设计计算的相关规定。评价时，建筑内应具有颗粒物浓度监测传感设备，至少每小时对建筑内颗粒物浓度进行一次记录、存储，</w:t>
      </w:r>
      <w:bookmarkStart w:id="93" w:name="_Hlk25159761"/>
      <w:r w:rsidRPr="00530A11">
        <w:rPr>
          <w:rFonts w:cs="Times New Roman"/>
          <w:kern w:val="44"/>
          <w:szCs w:val="24"/>
        </w:rPr>
        <w:t>取典型月（不少于</w:t>
      </w:r>
      <w:r w:rsidR="00E72971">
        <w:rPr>
          <w:rFonts w:cs="Times New Roman"/>
          <w:kern w:val="44"/>
          <w:szCs w:val="24"/>
        </w:rPr>
        <w:t>5</w:t>
      </w:r>
      <w:r w:rsidRPr="00530A11">
        <w:rPr>
          <w:rFonts w:cs="Times New Roman"/>
          <w:kern w:val="44"/>
          <w:szCs w:val="24"/>
        </w:rPr>
        <w:t>个月）</w:t>
      </w:r>
      <w:bookmarkEnd w:id="93"/>
      <w:r w:rsidRPr="00530A11">
        <w:rPr>
          <w:rFonts w:cs="Times New Roman"/>
          <w:kern w:val="44"/>
          <w:szCs w:val="24"/>
        </w:rPr>
        <w:t>进行连续监测后取算术平均值，并出具报告。对于住宅建筑，应对每种户型主要功能房间进行监测；对于公共建筑，应每层选取一个主要功能房间进行监测。对于尚未投入使用或投入使用未满一年的项目，应对室内</w:t>
      </w:r>
      <w:r w:rsidRPr="00530A11">
        <w:rPr>
          <w:rFonts w:cs="Times New Roman"/>
          <w:kern w:val="44"/>
          <w:szCs w:val="24"/>
        </w:rPr>
        <w:t>PM</w:t>
      </w:r>
      <w:r w:rsidRPr="00530A11">
        <w:rPr>
          <w:rFonts w:cs="Times New Roman"/>
          <w:kern w:val="44"/>
          <w:szCs w:val="24"/>
          <w:vertAlign w:val="subscript"/>
        </w:rPr>
        <w:t>2.5</w:t>
      </w:r>
      <w:r w:rsidRPr="00530A11">
        <w:rPr>
          <w:rFonts w:cs="Times New Roman"/>
          <w:kern w:val="44"/>
          <w:szCs w:val="24"/>
        </w:rPr>
        <w:t>和</w:t>
      </w:r>
      <w:r w:rsidRPr="00530A11">
        <w:rPr>
          <w:rFonts w:cs="Times New Roman"/>
          <w:kern w:val="44"/>
          <w:szCs w:val="24"/>
        </w:rPr>
        <w:t>PM</w:t>
      </w:r>
      <w:r w:rsidRPr="00530A11">
        <w:rPr>
          <w:rFonts w:cs="Times New Roman"/>
          <w:kern w:val="44"/>
          <w:szCs w:val="24"/>
          <w:vertAlign w:val="subscript"/>
        </w:rPr>
        <w:t>10</w:t>
      </w:r>
      <w:r w:rsidRPr="00530A11">
        <w:rPr>
          <w:rFonts w:cs="Times New Roman"/>
          <w:kern w:val="44"/>
          <w:szCs w:val="24"/>
        </w:rPr>
        <w:t>的年平均浓度进行预评估。</w:t>
      </w:r>
    </w:p>
    <w:p w14:paraId="36C623AF"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6A53BF9F" w14:textId="62C0EC33" w:rsidR="002B4D27" w:rsidRDefault="00252571" w:rsidP="002B4D27">
      <w:pPr>
        <w:ind w:firstLine="420"/>
        <w:rPr>
          <w:rFonts w:cs="Times New Roman"/>
          <w:bCs/>
          <w:kern w:val="44"/>
          <w:szCs w:val="24"/>
        </w:rPr>
      </w:pPr>
      <w:r w:rsidRPr="0081478A">
        <w:rPr>
          <w:rFonts w:cs="Times New Roman"/>
          <w:bCs/>
          <w:kern w:val="44"/>
          <w:szCs w:val="24"/>
        </w:rPr>
        <w:t>查阅</w:t>
      </w:r>
      <w:r w:rsidR="002B4D27" w:rsidRPr="0081478A">
        <w:rPr>
          <w:rFonts w:cs="Times New Roman"/>
          <w:bCs/>
          <w:kern w:val="44"/>
          <w:szCs w:val="24"/>
        </w:rPr>
        <w:t>室内污染物检测报告（应依据相关国家标准进行检测），并现场检查。</w:t>
      </w:r>
    </w:p>
    <w:p w14:paraId="1E325292" w14:textId="7F38BD28" w:rsidR="009460D0" w:rsidRPr="0081478A" w:rsidRDefault="009460D0" w:rsidP="002B4D27">
      <w:pPr>
        <w:ind w:firstLine="420"/>
        <w:rPr>
          <w:rFonts w:cs="Times New Roman"/>
          <w:bCs/>
          <w:kern w:val="44"/>
          <w:szCs w:val="24"/>
        </w:rPr>
      </w:pPr>
      <w:r>
        <w:rPr>
          <w:rFonts w:cs="Times New Roman" w:hint="eastAsia"/>
          <w:bCs/>
          <w:kern w:val="44"/>
          <w:szCs w:val="24"/>
        </w:rPr>
        <w:t>室内污染物浓度监测报告可参考《室内空气质量标准》</w:t>
      </w:r>
      <w:r w:rsidRPr="009460D0">
        <w:rPr>
          <w:rFonts w:cs="Times New Roman"/>
          <w:bCs/>
          <w:kern w:val="44"/>
          <w:szCs w:val="24"/>
        </w:rPr>
        <w:t>GB/T 18883</w:t>
      </w:r>
      <w:r>
        <w:rPr>
          <w:rFonts w:cs="Times New Roman" w:hint="eastAsia"/>
          <w:bCs/>
          <w:kern w:val="44"/>
          <w:szCs w:val="24"/>
        </w:rPr>
        <w:t>中附录的相关要求。</w:t>
      </w:r>
    </w:p>
    <w:p w14:paraId="29EB28CE"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bookmarkEnd w:id="92"/>
    <w:p w14:paraId="5DA84342" w14:textId="77777777" w:rsidR="0084444F" w:rsidRPr="00530A11" w:rsidRDefault="0084444F" w:rsidP="0084444F">
      <w:pPr>
        <w:ind w:firstLine="420"/>
        <w:rPr>
          <w:rFonts w:cs="Times New Roman"/>
          <w:kern w:val="44"/>
          <w:szCs w:val="24"/>
        </w:rPr>
      </w:pPr>
      <w:r w:rsidRPr="00530A11">
        <w:rPr>
          <w:rFonts w:cs="Times New Roman"/>
          <w:kern w:val="44"/>
          <w:szCs w:val="24"/>
        </w:rPr>
        <w:t>预评价查阅相关设计文件、建筑材料使用说明</w:t>
      </w:r>
      <w:r w:rsidRPr="00530A11">
        <w:rPr>
          <w:rFonts w:cs="Times New Roman"/>
          <w:kern w:val="44"/>
          <w:szCs w:val="24"/>
        </w:rPr>
        <w:t>(</w:t>
      </w:r>
      <w:r w:rsidRPr="00530A11">
        <w:rPr>
          <w:rFonts w:cs="Times New Roman"/>
          <w:kern w:val="44"/>
          <w:szCs w:val="24"/>
        </w:rPr>
        <w:t>种类、用量</w:t>
      </w:r>
      <w:r w:rsidRPr="00530A11">
        <w:rPr>
          <w:rFonts w:cs="Times New Roman"/>
          <w:kern w:val="44"/>
          <w:szCs w:val="24"/>
        </w:rPr>
        <w:t>)</w:t>
      </w:r>
      <w:r w:rsidRPr="00530A11">
        <w:rPr>
          <w:rFonts w:cs="Times New Roman"/>
          <w:kern w:val="44"/>
          <w:szCs w:val="24"/>
        </w:rPr>
        <w:t>、污染物浓度预评估分析报告；评价查阅相关竣工图、建筑材料使用说明</w:t>
      </w:r>
      <w:r w:rsidRPr="00530A11">
        <w:rPr>
          <w:rFonts w:cs="Times New Roman"/>
          <w:kern w:val="44"/>
          <w:szCs w:val="24"/>
        </w:rPr>
        <w:t>(</w:t>
      </w:r>
      <w:r w:rsidRPr="00530A11">
        <w:rPr>
          <w:rFonts w:cs="Times New Roman"/>
          <w:kern w:val="44"/>
          <w:szCs w:val="24"/>
        </w:rPr>
        <w:t>种类、用量</w:t>
      </w:r>
      <w:r w:rsidRPr="00530A11">
        <w:rPr>
          <w:rFonts w:cs="Times New Roman"/>
          <w:kern w:val="44"/>
          <w:szCs w:val="24"/>
        </w:rPr>
        <w:t>)</w:t>
      </w:r>
      <w:r w:rsidRPr="00530A11">
        <w:rPr>
          <w:rFonts w:cs="Times New Roman"/>
          <w:kern w:val="44"/>
          <w:szCs w:val="24"/>
        </w:rPr>
        <w:t>、污染物浓度预评估分析报告，投入使用的项目尚应查阅室内空气质量现场检测报告、</w:t>
      </w:r>
      <w:r w:rsidRPr="00530A11">
        <w:rPr>
          <w:rFonts w:cs="Times New Roman"/>
          <w:kern w:val="44"/>
          <w:szCs w:val="24"/>
        </w:rPr>
        <w:t>PM</w:t>
      </w:r>
      <w:r w:rsidRPr="00530A11">
        <w:rPr>
          <w:rFonts w:cs="Times New Roman"/>
          <w:kern w:val="44"/>
          <w:szCs w:val="24"/>
          <w:vertAlign w:val="subscript"/>
        </w:rPr>
        <w:t>2.5</w:t>
      </w:r>
      <w:r w:rsidRPr="00530A11">
        <w:rPr>
          <w:rFonts w:cs="Times New Roman"/>
          <w:kern w:val="44"/>
          <w:szCs w:val="24"/>
        </w:rPr>
        <w:t>和</w:t>
      </w:r>
      <w:r w:rsidRPr="00530A11">
        <w:rPr>
          <w:rFonts w:cs="Times New Roman"/>
          <w:kern w:val="44"/>
          <w:szCs w:val="24"/>
        </w:rPr>
        <w:t>PM</w:t>
      </w:r>
      <w:r w:rsidRPr="00530A11">
        <w:rPr>
          <w:rFonts w:cs="Times New Roman"/>
          <w:kern w:val="44"/>
          <w:szCs w:val="24"/>
          <w:vertAlign w:val="subscript"/>
        </w:rPr>
        <w:t>10</w:t>
      </w:r>
      <w:r w:rsidRPr="00530A11">
        <w:rPr>
          <w:rFonts w:cs="Times New Roman"/>
          <w:kern w:val="44"/>
          <w:szCs w:val="24"/>
        </w:rPr>
        <w:t>浓度计算报告</w:t>
      </w:r>
      <w:r w:rsidRPr="00530A11">
        <w:rPr>
          <w:rFonts w:cs="Times New Roman"/>
          <w:kern w:val="44"/>
          <w:szCs w:val="24"/>
        </w:rPr>
        <w:t>(</w:t>
      </w:r>
      <w:r w:rsidRPr="00530A11">
        <w:rPr>
          <w:rFonts w:cs="Times New Roman"/>
          <w:kern w:val="44"/>
          <w:szCs w:val="24"/>
        </w:rPr>
        <w:t>附原始监测数据</w:t>
      </w:r>
      <w:r w:rsidRPr="00530A11">
        <w:rPr>
          <w:rFonts w:cs="Times New Roman"/>
          <w:kern w:val="44"/>
          <w:szCs w:val="24"/>
        </w:rPr>
        <w:t>)</w:t>
      </w:r>
      <w:r w:rsidRPr="00530A11">
        <w:rPr>
          <w:rFonts w:cs="Times New Roman"/>
          <w:kern w:val="44"/>
          <w:szCs w:val="24"/>
        </w:rPr>
        <w:t>。</w:t>
      </w:r>
    </w:p>
    <w:p w14:paraId="5263E279" w14:textId="77777777" w:rsidR="00715ABB" w:rsidRPr="0084444F" w:rsidRDefault="00715ABB">
      <w:pPr>
        <w:snapToGrid w:val="0"/>
        <w:ind w:firstLineChars="0" w:firstLine="0"/>
        <w:jc w:val="left"/>
        <w:rPr>
          <w:rFonts w:cs="Times New Roman"/>
          <w:szCs w:val="24"/>
        </w:rPr>
      </w:pPr>
    </w:p>
    <w:p w14:paraId="5206684E" w14:textId="77777777" w:rsidR="002C09A7" w:rsidRPr="009536CB" w:rsidRDefault="002C09A7" w:rsidP="002C09A7">
      <w:pPr>
        <w:pStyle w:val="4"/>
        <w:rPr>
          <w:rFonts w:cs="Times New Roman"/>
          <w:bCs w:val="0"/>
        </w:rPr>
      </w:pPr>
      <w:r w:rsidRPr="00530A11">
        <w:rPr>
          <w:rFonts w:cs="Times New Roman"/>
          <w:bCs w:val="0"/>
        </w:rPr>
        <w:t xml:space="preserve">5.2.2 </w:t>
      </w:r>
      <w:r w:rsidRPr="00530A11">
        <w:rPr>
          <w:rFonts w:cs="Times New Roman"/>
          <w:bCs w:val="0"/>
        </w:rPr>
        <w:t>选用的装饰装修材料满足国家现行绿色产品评价标准中对有害物质限量的要求，评价总分值为</w:t>
      </w:r>
      <w:r w:rsidRPr="00530A11">
        <w:rPr>
          <w:rFonts w:cs="Times New Roman"/>
          <w:bCs w:val="0"/>
        </w:rPr>
        <w:t>8</w:t>
      </w:r>
      <w:r w:rsidRPr="00530A11">
        <w:rPr>
          <w:rFonts w:cs="Times New Roman"/>
          <w:bCs w:val="0"/>
        </w:rPr>
        <w:t>分。选用满足要求的装饰装修材料达到</w:t>
      </w:r>
      <w:r w:rsidRPr="00530A11">
        <w:rPr>
          <w:rFonts w:cs="Times New Roman"/>
          <w:bCs w:val="0"/>
        </w:rPr>
        <w:t>3</w:t>
      </w:r>
      <w:r w:rsidRPr="00530A11">
        <w:rPr>
          <w:rFonts w:cs="Times New Roman"/>
          <w:bCs w:val="0"/>
        </w:rPr>
        <w:t>类及以上，得</w:t>
      </w:r>
      <w:r w:rsidRPr="00530A11">
        <w:rPr>
          <w:rFonts w:cs="Times New Roman"/>
          <w:bCs w:val="0"/>
        </w:rPr>
        <w:t>5</w:t>
      </w:r>
      <w:r w:rsidRPr="00530A11">
        <w:rPr>
          <w:rFonts w:cs="Times New Roman"/>
          <w:bCs w:val="0"/>
        </w:rPr>
        <w:t>分；达到</w:t>
      </w:r>
      <w:r w:rsidRPr="00530A11">
        <w:rPr>
          <w:rFonts w:cs="Times New Roman"/>
          <w:bCs w:val="0"/>
        </w:rPr>
        <w:t>5</w:t>
      </w:r>
      <w:r w:rsidRPr="00530A11">
        <w:rPr>
          <w:rFonts w:cs="Times New Roman"/>
          <w:bCs w:val="0"/>
        </w:rPr>
        <w:t>类及以上，得</w:t>
      </w:r>
      <w:r w:rsidRPr="00530A11">
        <w:rPr>
          <w:rFonts w:cs="Times New Roman"/>
          <w:bCs w:val="0"/>
        </w:rPr>
        <w:t>8</w:t>
      </w:r>
      <w:r w:rsidRPr="00530A11">
        <w:rPr>
          <w:rFonts w:cs="Times New Roman"/>
          <w:bCs w:val="0"/>
        </w:rPr>
        <w:t>分。</w:t>
      </w:r>
    </w:p>
    <w:p w14:paraId="1A1A8E9D" w14:textId="77777777" w:rsidR="00715ABB" w:rsidRPr="0081478A" w:rsidRDefault="00F44390" w:rsidP="006C79E9">
      <w:pPr>
        <w:pStyle w:val="20"/>
      </w:pPr>
      <w:r w:rsidRPr="0081478A">
        <w:t>【条文说明】</w:t>
      </w:r>
    </w:p>
    <w:p w14:paraId="445105DF" w14:textId="77777777" w:rsidR="0087265D" w:rsidRPr="00530A11" w:rsidRDefault="0087265D" w:rsidP="0087265D">
      <w:pPr>
        <w:ind w:firstLine="420"/>
      </w:pPr>
      <w:r w:rsidRPr="00530A11">
        <w:t>本条适用于各类民用建筑的预评价、评价。</w:t>
      </w:r>
    </w:p>
    <w:p w14:paraId="735B0FEE" w14:textId="77777777" w:rsidR="0087265D" w:rsidRPr="00530A11" w:rsidRDefault="0087265D" w:rsidP="0087265D">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001F3E35" w14:textId="3901E5C5" w:rsidR="00715ABB" w:rsidRPr="0084444F" w:rsidRDefault="0087265D" w:rsidP="0084444F">
      <w:pPr>
        <w:ind w:firstLine="420"/>
        <w:rPr>
          <w:rFonts w:cs="Times New Roman"/>
          <w:kern w:val="44"/>
          <w:szCs w:val="24"/>
        </w:rPr>
      </w:pPr>
      <w:r w:rsidRPr="00530A11">
        <w:rPr>
          <w:rFonts w:cs="Times New Roman"/>
          <w:kern w:val="44"/>
          <w:szCs w:val="24"/>
        </w:rPr>
        <w:t>从源头把控，选用绿色、环保、安全的室内装饰装修材料是保障室内空气质量的基本手段。为提升家装消费品质量，满足人民日益增长的对健康生活的追求，有关部门于</w:t>
      </w:r>
      <w:r w:rsidRPr="00530A11">
        <w:rPr>
          <w:rFonts w:cs="Times New Roman"/>
          <w:kern w:val="44"/>
          <w:szCs w:val="24"/>
        </w:rPr>
        <w:t>2017</w:t>
      </w:r>
      <w:r w:rsidRPr="00530A11">
        <w:rPr>
          <w:rFonts w:cs="Times New Roman"/>
          <w:kern w:val="44"/>
          <w:szCs w:val="24"/>
        </w:rPr>
        <w:t>年</w:t>
      </w:r>
      <w:r w:rsidRPr="00530A11">
        <w:rPr>
          <w:rFonts w:cs="Times New Roman"/>
          <w:kern w:val="44"/>
          <w:szCs w:val="24"/>
        </w:rPr>
        <w:t>12</w:t>
      </w:r>
      <w:r w:rsidRPr="00530A11">
        <w:rPr>
          <w:rFonts w:cs="Times New Roman"/>
          <w:kern w:val="44"/>
          <w:szCs w:val="24"/>
        </w:rPr>
        <w:t>月</w:t>
      </w:r>
      <w:r w:rsidRPr="00530A11">
        <w:rPr>
          <w:rFonts w:cs="Times New Roman"/>
          <w:kern w:val="44"/>
          <w:szCs w:val="24"/>
        </w:rPr>
        <w:t>8</w:t>
      </w:r>
      <w:r w:rsidRPr="00530A11">
        <w:rPr>
          <w:rFonts w:cs="Times New Roman"/>
          <w:kern w:val="44"/>
          <w:szCs w:val="24"/>
        </w:rPr>
        <w:t>日发布了包括内墙涂覆材料、木器漆、地坪涂料、壁纸、陶瓷砖、卫生陶瓷、人造板和木质地板、防水涂料、密封胶、家具等产品在内的绿色产品评价系列国家标准。如现行国家标准《绿色产品评价</w:t>
      </w:r>
      <w:r w:rsidRPr="00530A11">
        <w:rPr>
          <w:rFonts w:cs="Times New Roman"/>
          <w:kern w:val="44"/>
          <w:szCs w:val="24"/>
        </w:rPr>
        <w:t xml:space="preserve"> </w:t>
      </w:r>
      <w:r w:rsidRPr="00530A11">
        <w:rPr>
          <w:rFonts w:cs="Times New Roman"/>
          <w:kern w:val="44"/>
          <w:szCs w:val="24"/>
        </w:rPr>
        <w:t>涂料》</w:t>
      </w:r>
      <w:r w:rsidRPr="00530A11">
        <w:rPr>
          <w:rFonts w:cs="Times New Roman"/>
          <w:kern w:val="44"/>
          <w:szCs w:val="24"/>
        </w:rPr>
        <w:t>GB/T 35602</w:t>
      </w:r>
      <w:r w:rsidRPr="00530A11">
        <w:rPr>
          <w:rFonts w:cs="Times New Roman"/>
          <w:kern w:val="44"/>
          <w:szCs w:val="24"/>
        </w:rPr>
        <w:t>、《绿色产品评价</w:t>
      </w:r>
      <w:r w:rsidRPr="00530A11">
        <w:rPr>
          <w:rFonts w:cs="Times New Roman"/>
          <w:kern w:val="44"/>
          <w:szCs w:val="24"/>
        </w:rPr>
        <w:t xml:space="preserve"> </w:t>
      </w:r>
      <w:r w:rsidRPr="00530A11">
        <w:rPr>
          <w:rFonts w:cs="Times New Roman"/>
          <w:kern w:val="44"/>
          <w:szCs w:val="24"/>
        </w:rPr>
        <w:t>纸和纸制品》</w:t>
      </w:r>
      <w:r w:rsidRPr="00530A11">
        <w:rPr>
          <w:rFonts w:cs="Times New Roman"/>
          <w:kern w:val="44"/>
          <w:szCs w:val="24"/>
        </w:rPr>
        <w:t>GB/T 35613</w:t>
      </w:r>
      <w:r w:rsidRPr="00530A11">
        <w:rPr>
          <w:rFonts w:cs="Times New Roman"/>
          <w:kern w:val="44"/>
          <w:szCs w:val="24"/>
        </w:rPr>
        <w:t>、《绿色产品评价</w:t>
      </w:r>
      <w:r w:rsidRPr="00530A11">
        <w:rPr>
          <w:rFonts w:cs="Times New Roman"/>
          <w:kern w:val="44"/>
          <w:szCs w:val="24"/>
        </w:rPr>
        <w:t xml:space="preserve"> </w:t>
      </w:r>
      <w:r w:rsidRPr="00530A11">
        <w:rPr>
          <w:rFonts w:cs="Times New Roman"/>
          <w:kern w:val="44"/>
          <w:szCs w:val="24"/>
        </w:rPr>
        <w:t>陶瓷砖</w:t>
      </w:r>
      <w:r w:rsidRPr="00530A11">
        <w:rPr>
          <w:rFonts w:cs="Times New Roman"/>
          <w:kern w:val="44"/>
          <w:szCs w:val="24"/>
        </w:rPr>
        <w:t>(</w:t>
      </w:r>
      <w:r w:rsidRPr="00530A11">
        <w:rPr>
          <w:rFonts w:cs="Times New Roman"/>
          <w:kern w:val="44"/>
          <w:szCs w:val="24"/>
        </w:rPr>
        <w:t>板</w:t>
      </w:r>
      <w:r w:rsidRPr="00530A11">
        <w:rPr>
          <w:rFonts w:cs="Times New Roman"/>
          <w:kern w:val="44"/>
          <w:szCs w:val="24"/>
        </w:rPr>
        <w:t>)</w:t>
      </w:r>
      <w:r w:rsidRPr="00530A11">
        <w:rPr>
          <w:rFonts w:cs="Times New Roman"/>
          <w:kern w:val="44"/>
          <w:szCs w:val="24"/>
        </w:rPr>
        <w:t>》</w:t>
      </w:r>
      <w:r w:rsidRPr="00530A11">
        <w:rPr>
          <w:rFonts w:cs="Times New Roman"/>
          <w:kern w:val="44"/>
          <w:szCs w:val="24"/>
        </w:rPr>
        <w:t>GB/T 35610</w:t>
      </w:r>
      <w:r w:rsidRPr="00530A11">
        <w:rPr>
          <w:rFonts w:cs="Times New Roman"/>
          <w:kern w:val="44"/>
          <w:szCs w:val="24"/>
        </w:rPr>
        <w:t>、《绿色产品评价</w:t>
      </w:r>
      <w:r w:rsidRPr="00530A11">
        <w:rPr>
          <w:rFonts w:cs="Times New Roman"/>
          <w:kern w:val="44"/>
          <w:szCs w:val="24"/>
        </w:rPr>
        <w:t xml:space="preserve"> </w:t>
      </w:r>
      <w:r w:rsidRPr="00530A11">
        <w:rPr>
          <w:rFonts w:cs="Times New Roman"/>
          <w:kern w:val="44"/>
          <w:szCs w:val="24"/>
        </w:rPr>
        <w:t>人造板和木质地板》</w:t>
      </w:r>
      <w:r w:rsidRPr="00530A11">
        <w:rPr>
          <w:rFonts w:cs="Times New Roman"/>
          <w:kern w:val="44"/>
          <w:szCs w:val="24"/>
        </w:rPr>
        <w:t>GB/T 35601</w:t>
      </w:r>
      <w:r w:rsidRPr="00530A11">
        <w:rPr>
          <w:rFonts w:cs="Times New Roman"/>
          <w:kern w:val="44"/>
          <w:szCs w:val="24"/>
        </w:rPr>
        <w:t>、《绿色产品评价</w:t>
      </w:r>
      <w:r w:rsidRPr="00530A11">
        <w:rPr>
          <w:rFonts w:cs="Times New Roman"/>
          <w:kern w:val="44"/>
          <w:szCs w:val="24"/>
        </w:rPr>
        <w:t xml:space="preserve"> </w:t>
      </w:r>
      <w:r w:rsidRPr="00530A11">
        <w:rPr>
          <w:rFonts w:cs="Times New Roman"/>
          <w:kern w:val="44"/>
          <w:szCs w:val="24"/>
        </w:rPr>
        <w:t>防水与密封材料》</w:t>
      </w:r>
      <w:r w:rsidRPr="00530A11">
        <w:rPr>
          <w:rFonts w:cs="Times New Roman"/>
          <w:kern w:val="44"/>
          <w:szCs w:val="24"/>
        </w:rPr>
        <w:t>GB/T 35609</w:t>
      </w:r>
      <w:r w:rsidRPr="00530A11">
        <w:rPr>
          <w:rFonts w:cs="Times New Roman"/>
          <w:kern w:val="44"/>
          <w:szCs w:val="24"/>
        </w:rPr>
        <w:t>等，对产品中有害物质种类及限量进行了严格、明确的规定。其他装饰装修材料，其有害物质限量同样应符合现行有关标准的规定。对于未开展绿色产品评价的应该满足</w:t>
      </w:r>
      <w:r w:rsidRPr="00530A11">
        <w:rPr>
          <w:rFonts w:cs="Times New Roman"/>
        </w:rPr>
        <w:t>住建部《绿色建材评价标准》</w:t>
      </w:r>
      <w:r w:rsidRPr="00530A11">
        <w:rPr>
          <w:rFonts w:cs="Times New Roman"/>
        </w:rPr>
        <w:t>T/CECS</w:t>
      </w:r>
      <w:r w:rsidRPr="00530A11">
        <w:rPr>
          <w:rFonts w:cs="Times New Roman"/>
        </w:rPr>
        <w:t>和重庆市《绿色建</w:t>
      </w:r>
      <w:r w:rsidRPr="00530A11">
        <w:rPr>
          <w:rFonts w:cs="Times New Roman"/>
        </w:rPr>
        <w:lastRenderedPageBreak/>
        <w:t>材评价标准》</w:t>
      </w:r>
      <w:r w:rsidRPr="00530A11">
        <w:rPr>
          <w:rFonts w:cs="Times New Roman"/>
        </w:rPr>
        <w:t>DBJ50/T-230</w:t>
      </w:r>
      <w:r w:rsidRPr="00530A11">
        <w:rPr>
          <w:rFonts w:cs="Times New Roman"/>
        </w:rPr>
        <w:t>对于</w:t>
      </w:r>
      <w:r w:rsidRPr="00530A11">
        <w:rPr>
          <w:rFonts w:cs="Times New Roman"/>
          <w:kern w:val="44"/>
          <w:szCs w:val="24"/>
        </w:rPr>
        <w:t>内墙涂覆材料、木器漆、地坪涂料、壁纸、陶瓷砖、卫生陶瓷、人造板和木质地板、防水涂料、密封胶、家具等产品</w:t>
      </w:r>
      <w:r w:rsidRPr="00530A11">
        <w:rPr>
          <w:rFonts w:cs="Times New Roman"/>
        </w:rPr>
        <w:t>的要求。</w:t>
      </w:r>
    </w:p>
    <w:p w14:paraId="49A215F9" w14:textId="77777777" w:rsidR="002B4D27" w:rsidRPr="006C79E9" w:rsidRDefault="002B4D27" w:rsidP="006C79E9">
      <w:pPr>
        <w:pStyle w:val="20"/>
      </w:pPr>
      <w:r w:rsidRPr="0081478A">
        <w:t>【评价要点】</w:t>
      </w:r>
    </w:p>
    <w:p w14:paraId="0F78676C" w14:textId="10FEB877" w:rsidR="00CA3B0F" w:rsidRPr="0081478A" w:rsidRDefault="00CA3B0F" w:rsidP="00CA3B0F">
      <w:pPr>
        <w:ind w:firstLine="420"/>
        <w:rPr>
          <w:rFonts w:cs="Times New Roman"/>
          <w:shd w:val="pct15" w:color="auto" w:fill="FFFFFF"/>
        </w:rPr>
      </w:pPr>
      <w:r w:rsidRPr="0081478A">
        <w:rPr>
          <w:rFonts w:cs="Times New Roman"/>
        </w:rPr>
        <w:t>车库建筑材料、装修材料中有害物质含量</w:t>
      </w:r>
      <w:r w:rsidR="00DA6A7E">
        <w:rPr>
          <w:rFonts w:cs="Times New Roman" w:hint="eastAsia"/>
        </w:rPr>
        <w:t>也</w:t>
      </w:r>
      <w:r w:rsidRPr="0081478A">
        <w:rPr>
          <w:rFonts w:cs="Times New Roman"/>
        </w:rPr>
        <w:t>应符合相关标准。</w:t>
      </w:r>
    </w:p>
    <w:p w14:paraId="1608A360" w14:textId="77777777" w:rsidR="00715ABB" w:rsidRPr="006C79E9" w:rsidRDefault="00F44390" w:rsidP="006C79E9">
      <w:pPr>
        <w:pStyle w:val="20"/>
      </w:pPr>
      <w:r w:rsidRPr="0081478A">
        <w:t>【评价方法】</w:t>
      </w:r>
    </w:p>
    <w:p w14:paraId="4290D029" w14:textId="60DC6D3B" w:rsidR="00715ABB" w:rsidRPr="0084444F" w:rsidRDefault="0084444F" w:rsidP="0084444F">
      <w:pPr>
        <w:ind w:firstLine="420"/>
      </w:pPr>
      <w:r w:rsidRPr="00530A11">
        <w:t>预评价查阅相关设计文件；评价查阅相关竣工图、工程决算材料清单、产品检验报告。</w:t>
      </w:r>
    </w:p>
    <w:p w14:paraId="488E99F9" w14:textId="77777777" w:rsidR="00715ABB" w:rsidRPr="0081478A" w:rsidRDefault="00F44390" w:rsidP="001A7E3B">
      <w:pPr>
        <w:pStyle w:val="3"/>
      </w:pPr>
      <w:bookmarkStart w:id="94" w:name="_Toc22221569"/>
      <w:bookmarkStart w:id="95" w:name="_Toc35364736"/>
      <w:r w:rsidRPr="0081478A">
        <w:t xml:space="preserve">Ⅱ </w:t>
      </w:r>
      <w:r w:rsidRPr="0081478A">
        <w:t>水质</w:t>
      </w:r>
      <w:bookmarkEnd w:id="94"/>
      <w:bookmarkEnd w:id="95"/>
    </w:p>
    <w:p w14:paraId="05281531" w14:textId="77777777" w:rsidR="002C09A7" w:rsidRPr="00530A11" w:rsidRDefault="002C09A7" w:rsidP="002C09A7">
      <w:pPr>
        <w:pStyle w:val="4"/>
        <w:rPr>
          <w:rFonts w:cs="Times New Roman"/>
          <w:bCs w:val="0"/>
        </w:rPr>
      </w:pPr>
      <w:r w:rsidRPr="00530A11">
        <w:rPr>
          <w:rFonts w:cs="Times New Roman"/>
          <w:bCs w:val="0"/>
        </w:rPr>
        <w:t xml:space="preserve">5.2.3 </w:t>
      </w:r>
      <w:r w:rsidRPr="00530A11">
        <w:rPr>
          <w:rFonts w:cs="Times New Roman"/>
          <w:bCs w:val="0"/>
        </w:rPr>
        <w:t>设置直饮水系统，且直饮水</w:t>
      </w:r>
      <w:r w:rsidRPr="00530A11">
        <w:rPr>
          <w:rFonts w:cs="Times New Roman" w:hint="eastAsia"/>
          <w:bCs w:val="0"/>
        </w:rPr>
        <w:t>、集中生活用水、采暖空调系统用水、景观水体等</w:t>
      </w:r>
      <w:r w:rsidRPr="00530A11">
        <w:rPr>
          <w:rFonts w:cs="Times New Roman"/>
          <w:bCs w:val="0"/>
        </w:rPr>
        <w:t>的水质满足国家现行有关标准的要求，评价分值为</w:t>
      </w:r>
      <w:r w:rsidRPr="00530A11">
        <w:rPr>
          <w:rFonts w:cs="Times New Roman"/>
          <w:bCs w:val="0"/>
        </w:rPr>
        <w:t>5</w:t>
      </w:r>
      <w:r w:rsidRPr="00530A11">
        <w:rPr>
          <w:rFonts w:cs="Times New Roman"/>
          <w:bCs w:val="0"/>
        </w:rPr>
        <w:t>分。</w:t>
      </w:r>
    </w:p>
    <w:p w14:paraId="54A97615" w14:textId="77777777" w:rsidR="00715ABB" w:rsidRPr="0081478A" w:rsidRDefault="00F44390">
      <w:pPr>
        <w:ind w:firstLineChars="0" w:firstLine="0"/>
        <w:rPr>
          <w:rFonts w:cs="Times New Roman"/>
          <w:b/>
          <w:szCs w:val="24"/>
        </w:rPr>
      </w:pPr>
      <w:r w:rsidRPr="0081478A">
        <w:rPr>
          <w:rFonts w:cs="Times New Roman"/>
          <w:b/>
          <w:szCs w:val="24"/>
        </w:rPr>
        <w:t>【条文说明】</w:t>
      </w:r>
    </w:p>
    <w:p w14:paraId="2A726CC0" w14:textId="77777777" w:rsidR="0087265D" w:rsidRPr="00530A11" w:rsidRDefault="0087265D" w:rsidP="0087265D">
      <w:pPr>
        <w:ind w:firstLine="420"/>
      </w:pPr>
      <w:r w:rsidRPr="00530A11">
        <w:t>本条适用于各类民用建筑的预评价、评价。</w:t>
      </w:r>
    </w:p>
    <w:p w14:paraId="02C2DBAB" w14:textId="77777777" w:rsidR="0087265D" w:rsidRPr="00530A11" w:rsidRDefault="0087265D" w:rsidP="0087265D">
      <w:pPr>
        <w:ind w:firstLine="420"/>
        <w:rPr>
          <w:rFonts w:cs="Times New Roman"/>
          <w:kern w:val="44"/>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r w:rsidRPr="00530A11">
        <w:rPr>
          <w:rFonts w:cs="Times New Roman" w:hint="eastAsia"/>
        </w:rPr>
        <w:t>并对条文和条文说明进行了局部修改。</w:t>
      </w:r>
      <w:r w:rsidRPr="00530A11">
        <w:rPr>
          <w:rFonts w:cs="Times New Roman"/>
          <w:kern w:val="44"/>
          <w:szCs w:val="24"/>
        </w:rPr>
        <w:t>本条鼓励绿色建筑项目直饮水系统，且水质应满足要求。直饮水系统分为集中供水的管道直饮水系统和分散供水的终端直饮水处理设备。管道直饮水系统供水水质应符合现行行业标准《饮用净水水质标准》</w:t>
      </w:r>
      <w:r w:rsidRPr="00530A11">
        <w:rPr>
          <w:rFonts w:cs="Times New Roman"/>
          <w:kern w:val="44"/>
          <w:szCs w:val="24"/>
        </w:rPr>
        <w:t>CJ 94</w:t>
      </w:r>
      <w:r w:rsidRPr="00530A11">
        <w:rPr>
          <w:rFonts w:cs="Times New Roman"/>
          <w:kern w:val="44"/>
          <w:szCs w:val="24"/>
        </w:rPr>
        <w:t>的要求；终端直饮水处理设备的出水水质标准可参考现行行业标准《饮用净水水质标准》</w:t>
      </w:r>
      <w:r w:rsidRPr="00530A11">
        <w:rPr>
          <w:rFonts w:cs="Times New Roman"/>
          <w:kern w:val="44"/>
          <w:szCs w:val="24"/>
        </w:rPr>
        <w:t>CJ 94</w:t>
      </w:r>
      <w:r w:rsidRPr="00530A11">
        <w:rPr>
          <w:rFonts w:cs="Times New Roman"/>
          <w:kern w:val="44"/>
          <w:szCs w:val="24"/>
        </w:rPr>
        <w:t>、《全自动连续微</w:t>
      </w:r>
      <w:r w:rsidRPr="00530A11">
        <w:rPr>
          <w:rFonts w:cs="Times New Roman"/>
          <w:kern w:val="44"/>
          <w:szCs w:val="24"/>
        </w:rPr>
        <w:t>/</w:t>
      </w:r>
      <w:r w:rsidRPr="00530A11">
        <w:rPr>
          <w:rFonts w:cs="Times New Roman"/>
          <w:kern w:val="44"/>
          <w:szCs w:val="24"/>
        </w:rPr>
        <w:t>超滤净水装置》</w:t>
      </w:r>
      <w:r w:rsidRPr="00530A11">
        <w:rPr>
          <w:rFonts w:cs="Times New Roman"/>
          <w:kern w:val="44"/>
          <w:szCs w:val="24"/>
        </w:rPr>
        <w:t>HG/T 4111</w:t>
      </w:r>
      <w:r w:rsidRPr="00530A11">
        <w:rPr>
          <w:rFonts w:cs="Times New Roman"/>
          <w:kern w:val="44"/>
          <w:szCs w:val="24"/>
        </w:rPr>
        <w:t>等现行饮用净水相关水质标准和设备标准。</w:t>
      </w:r>
    </w:p>
    <w:p w14:paraId="0871E167" w14:textId="77777777" w:rsidR="0087265D" w:rsidRPr="00530A11" w:rsidRDefault="0087265D" w:rsidP="0087265D">
      <w:pPr>
        <w:ind w:firstLine="420"/>
        <w:rPr>
          <w:rFonts w:cs="Times New Roman"/>
          <w:kern w:val="44"/>
          <w:szCs w:val="24"/>
        </w:rPr>
      </w:pPr>
      <w:r w:rsidRPr="00530A11">
        <w:rPr>
          <w:rFonts w:cs="Times New Roman" w:hint="eastAsia"/>
          <w:kern w:val="44"/>
          <w:szCs w:val="24"/>
        </w:rPr>
        <w:t>集中生活热水系统供水水质应满足现行行业标准《生活热水水质标准》</w:t>
      </w:r>
      <w:r w:rsidRPr="00530A11">
        <w:rPr>
          <w:rFonts w:cs="Times New Roman" w:hint="eastAsia"/>
          <w:kern w:val="44"/>
          <w:szCs w:val="24"/>
        </w:rPr>
        <w:t>CJ/T 521</w:t>
      </w:r>
      <w:r w:rsidRPr="00530A11">
        <w:rPr>
          <w:rFonts w:cs="Times New Roman" w:hint="eastAsia"/>
          <w:kern w:val="44"/>
          <w:szCs w:val="24"/>
        </w:rPr>
        <w:t>的要求。</w:t>
      </w:r>
    </w:p>
    <w:p w14:paraId="13E0DB54" w14:textId="77777777" w:rsidR="0087265D" w:rsidRPr="00530A11" w:rsidRDefault="0087265D" w:rsidP="0087265D">
      <w:pPr>
        <w:ind w:firstLine="420"/>
        <w:rPr>
          <w:rFonts w:cs="Times New Roman"/>
          <w:kern w:val="44"/>
          <w:szCs w:val="24"/>
        </w:rPr>
      </w:pPr>
      <w:r w:rsidRPr="00530A11">
        <w:rPr>
          <w:rFonts w:cs="Times New Roman" w:hint="eastAsia"/>
          <w:kern w:val="44"/>
          <w:szCs w:val="24"/>
        </w:rPr>
        <w:t>采暖空调循环水系统水质应满足现行国家标准《采暖空调系统水质》</w:t>
      </w:r>
      <w:r w:rsidRPr="00530A11">
        <w:rPr>
          <w:rFonts w:cs="Times New Roman" w:hint="eastAsia"/>
          <w:kern w:val="44"/>
          <w:szCs w:val="24"/>
        </w:rPr>
        <w:t>GB/T 29044</w:t>
      </w:r>
      <w:r w:rsidRPr="00530A11">
        <w:rPr>
          <w:rFonts w:cs="Times New Roman" w:hint="eastAsia"/>
          <w:kern w:val="44"/>
          <w:szCs w:val="24"/>
        </w:rPr>
        <w:t>的要求。</w:t>
      </w:r>
    </w:p>
    <w:p w14:paraId="344AE4BF" w14:textId="77777777" w:rsidR="0087265D" w:rsidRPr="00530A11" w:rsidRDefault="0087265D" w:rsidP="0087265D">
      <w:pPr>
        <w:ind w:firstLine="420"/>
        <w:rPr>
          <w:rFonts w:cs="Times New Roman"/>
          <w:kern w:val="44"/>
          <w:szCs w:val="24"/>
        </w:rPr>
      </w:pPr>
      <w:r w:rsidRPr="00530A11">
        <w:rPr>
          <w:rFonts w:cs="Times New Roman" w:hint="eastAsia"/>
          <w:kern w:val="44"/>
          <w:szCs w:val="24"/>
        </w:rPr>
        <w:t>国家标准《民用建筑节水设计标准》</w:t>
      </w:r>
      <w:r w:rsidRPr="00530A11">
        <w:rPr>
          <w:rFonts w:cs="Times New Roman" w:hint="eastAsia"/>
          <w:kern w:val="44"/>
          <w:szCs w:val="24"/>
        </w:rPr>
        <w:t>GB 50555-2010</w:t>
      </w:r>
      <w:r w:rsidRPr="00530A11">
        <w:rPr>
          <w:rFonts w:cs="Times New Roman" w:hint="eastAsia"/>
          <w:kern w:val="44"/>
          <w:szCs w:val="24"/>
        </w:rPr>
        <w:t>规定景观用水水源不得采用市政自来水和地下井水，可采用中水、雨水等非传统水源或地表水。当景观补水采用非传统水源时，水质应满足现行国家标准《城市污水再生利用</w:t>
      </w:r>
      <w:r w:rsidRPr="00530A11">
        <w:rPr>
          <w:rFonts w:cs="Times New Roman" w:hint="eastAsia"/>
          <w:kern w:val="44"/>
          <w:szCs w:val="24"/>
        </w:rPr>
        <w:t xml:space="preserve"> </w:t>
      </w:r>
      <w:r w:rsidRPr="00530A11">
        <w:rPr>
          <w:rFonts w:cs="Times New Roman" w:hint="eastAsia"/>
          <w:kern w:val="44"/>
          <w:szCs w:val="24"/>
        </w:rPr>
        <w:t>景观环境用水》</w:t>
      </w:r>
      <w:r w:rsidRPr="00530A11">
        <w:rPr>
          <w:rFonts w:cs="Times New Roman" w:hint="eastAsia"/>
          <w:kern w:val="44"/>
          <w:szCs w:val="24"/>
        </w:rPr>
        <w:t>GB/T 18921</w:t>
      </w:r>
      <w:r w:rsidRPr="00530A11">
        <w:rPr>
          <w:rFonts w:cs="Times New Roman" w:hint="eastAsia"/>
          <w:kern w:val="44"/>
          <w:szCs w:val="24"/>
        </w:rPr>
        <w:t>的要求。当景观水体用于全身接触、娱乐性用途时，即可能全身浸入水中进行嬉水、游泳等活动，如旱喷泉、嬉水喷泉等，水质应满足现行国家标准《生活饮用水卫生标准》</w:t>
      </w:r>
      <w:r w:rsidRPr="00530A11">
        <w:rPr>
          <w:rFonts w:cs="Times New Roman" w:hint="eastAsia"/>
          <w:kern w:val="44"/>
          <w:szCs w:val="24"/>
        </w:rPr>
        <w:t>GB 5749</w:t>
      </w:r>
      <w:r w:rsidRPr="00530A11">
        <w:rPr>
          <w:rFonts w:cs="Times New Roman" w:hint="eastAsia"/>
          <w:kern w:val="44"/>
          <w:szCs w:val="24"/>
        </w:rPr>
        <w:t>的要求。</w:t>
      </w:r>
    </w:p>
    <w:p w14:paraId="2B8C4FC6"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78EB8B6E" w14:textId="20777546" w:rsidR="001C4871" w:rsidRPr="001C4871" w:rsidRDefault="001C4871" w:rsidP="001C4871">
      <w:pPr>
        <w:ind w:firstLine="420"/>
        <w:rPr>
          <w:b/>
        </w:rPr>
      </w:pPr>
      <w:r w:rsidRPr="0081478A">
        <w:rPr>
          <w:rFonts w:cs="Times New Roman"/>
          <w:bCs/>
          <w:kern w:val="44"/>
          <w:szCs w:val="24"/>
        </w:rPr>
        <w:t>评价查阅</w:t>
      </w:r>
      <w:r w:rsidRPr="001C4871">
        <w:rPr>
          <w:rFonts w:hint="eastAsia"/>
        </w:rPr>
        <w:t>直饮水、集中生活用水、采暖空调系统用水、景观水体等的水质</w:t>
      </w:r>
      <w:r w:rsidRPr="0081478A">
        <w:rPr>
          <w:rFonts w:cs="Times New Roman"/>
          <w:bCs/>
          <w:kern w:val="44"/>
          <w:szCs w:val="24"/>
        </w:rPr>
        <w:t>检测报告（应依据相关国家标准进行检测）</w:t>
      </w:r>
      <w:r>
        <w:rPr>
          <w:rFonts w:cs="Times New Roman" w:hint="eastAsia"/>
          <w:bCs/>
          <w:kern w:val="44"/>
          <w:szCs w:val="24"/>
        </w:rPr>
        <w:t>。</w:t>
      </w:r>
    </w:p>
    <w:p w14:paraId="01EBCE56" w14:textId="256398D9"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lastRenderedPageBreak/>
        <w:t>【评价方法】</w:t>
      </w:r>
    </w:p>
    <w:p w14:paraId="6C74C91A" w14:textId="77777777" w:rsidR="0084444F" w:rsidRPr="00530A11" w:rsidRDefault="0084444F" w:rsidP="0084444F">
      <w:pPr>
        <w:ind w:firstLine="420"/>
        <w:rPr>
          <w:rFonts w:cs="Times New Roman"/>
          <w:kern w:val="44"/>
          <w:szCs w:val="24"/>
        </w:rPr>
      </w:pPr>
      <w:r w:rsidRPr="00530A11">
        <w:rPr>
          <w:rFonts w:cs="Times New Roman"/>
          <w:kern w:val="44"/>
          <w:szCs w:val="24"/>
        </w:rPr>
        <w:t>预评价查阅相关设计文件、水质检测报告；评价查阅相关竣工图、设计说明、水质检测报告，组织现场查勘。</w:t>
      </w:r>
    </w:p>
    <w:p w14:paraId="0C4E70DF" w14:textId="77777777" w:rsidR="00715ABB" w:rsidRPr="0084444F" w:rsidRDefault="00715ABB">
      <w:pPr>
        <w:snapToGrid w:val="0"/>
        <w:ind w:firstLine="420"/>
        <w:jc w:val="left"/>
        <w:rPr>
          <w:rFonts w:cs="Times New Roman"/>
          <w:szCs w:val="24"/>
        </w:rPr>
      </w:pPr>
    </w:p>
    <w:p w14:paraId="41F4021E" w14:textId="77777777" w:rsidR="002C09A7" w:rsidRPr="00530A11" w:rsidRDefault="002C09A7" w:rsidP="002C09A7">
      <w:pPr>
        <w:pStyle w:val="4"/>
        <w:rPr>
          <w:rFonts w:cs="Times New Roman"/>
          <w:bCs w:val="0"/>
        </w:rPr>
      </w:pPr>
      <w:r w:rsidRPr="00530A11">
        <w:rPr>
          <w:rFonts w:cs="Times New Roman"/>
          <w:bCs w:val="0"/>
        </w:rPr>
        <w:t xml:space="preserve">5.2.4 </w:t>
      </w:r>
      <w:r w:rsidRPr="00530A11">
        <w:rPr>
          <w:rFonts w:cs="Times New Roman"/>
          <w:bCs w:val="0"/>
        </w:rPr>
        <w:t>生活饮用水水池、水箱等储水设施采取措施满足卫生要求，评价总分值为</w:t>
      </w:r>
      <w:r w:rsidRPr="00530A11">
        <w:rPr>
          <w:rFonts w:cs="Times New Roman"/>
          <w:bCs w:val="0"/>
        </w:rPr>
        <w:t>9</w:t>
      </w:r>
      <w:r w:rsidRPr="00530A11">
        <w:rPr>
          <w:rFonts w:cs="Times New Roman"/>
          <w:bCs w:val="0"/>
        </w:rPr>
        <w:t>分，并按下列规则分别评分并累计：</w:t>
      </w:r>
    </w:p>
    <w:p w14:paraId="49020960"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1 </w:t>
      </w:r>
      <w:r w:rsidRPr="002C09A7">
        <w:rPr>
          <w:rFonts w:cs="Times New Roman"/>
          <w:b/>
          <w:bCs/>
          <w:szCs w:val="24"/>
        </w:rPr>
        <w:t>使用符合国家现行有关标准要求的成品水箱，得</w:t>
      </w:r>
      <w:r w:rsidRPr="002C09A7">
        <w:rPr>
          <w:rFonts w:cs="Times New Roman"/>
          <w:b/>
          <w:bCs/>
          <w:szCs w:val="24"/>
        </w:rPr>
        <w:t>4</w:t>
      </w:r>
      <w:r w:rsidRPr="002C09A7">
        <w:rPr>
          <w:rFonts w:cs="Times New Roman"/>
          <w:b/>
          <w:bCs/>
          <w:szCs w:val="24"/>
        </w:rPr>
        <w:t>分；</w:t>
      </w:r>
    </w:p>
    <w:p w14:paraId="6E2E7580"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采取保证储水不变质的措施，得</w:t>
      </w:r>
      <w:r w:rsidRPr="002C09A7">
        <w:rPr>
          <w:rFonts w:cs="Times New Roman"/>
          <w:b/>
          <w:bCs/>
          <w:szCs w:val="24"/>
        </w:rPr>
        <w:t>5</w:t>
      </w:r>
      <w:r w:rsidRPr="002C09A7">
        <w:rPr>
          <w:rFonts w:cs="Times New Roman"/>
          <w:b/>
          <w:bCs/>
          <w:szCs w:val="24"/>
        </w:rPr>
        <w:t>分。</w:t>
      </w:r>
    </w:p>
    <w:p w14:paraId="620C895A" w14:textId="77777777" w:rsidR="00715ABB" w:rsidRPr="0081478A" w:rsidRDefault="00F44390">
      <w:pPr>
        <w:ind w:firstLineChars="0" w:firstLine="0"/>
        <w:rPr>
          <w:rFonts w:cs="Times New Roman"/>
          <w:b/>
          <w:szCs w:val="24"/>
        </w:rPr>
      </w:pPr>
      <w:r w:rsidRPr="0081478A">
        <w:rPr>
          <w:rFonts w:cs="Times New Roman"/>
          <w:b/>
          <w:szCs w:val="24"/>
        </w:rPr>
        <w:t>【条文说明】</w:t>
      </w:r>
    </w:p>
    <w:p w14:paraId="50D60E7D" w14:textId="77777777" w:rsidR="0087265D" w:rsidRPr="00530A11" w:rsidRDefault="0087265D" w:rsidP="0087265D">
      <w:pPr>
        <w:ind w:firstLine="420"/>
      </w:pPr>
      <w:r w:rsidRPr="00530A11">
        <w:t>本条适用于各类民用建筑的预评价、评价。如建筑未设置生活饮用水储水设施，本条可直接得分。</w:t>
      </w:r>
    </w:p>
    <w:p w14:paraId="3EF6AD6C" w14:textId="77777777" w:rsidR="0087265D" w:rsidRPr="00530A11" w:rsidRDefault="0087265D" w:rsidP="0087265D">
      <w:pPr>
        <w:ind w:firstLine="420"/>
        <w:rPr>
          <w:rFonts w:cs="Times New Roman"/>
          <w:szCs w:val="24"/>
        </w:rPr>
      </w:pPr>
      <w:r w:rsidRPr="00530A11">
        <w:rPr>
          <w:rFonts w:cs="Times New Roman"/>
          <w:szCs w:val="24"/>
        </w:rPr>
        <w:t>本条沿引国家《绿色建筑评价标准》</w:t>
      </w:r>
      <w:r w:rsidRPr="00530A11">
        <w:rPr>
          <w:rFonts w:cs="Times New Roman"/>
          <w:szCs w:val="24"/>
        </w:rPr>
        <w:t>GB/T 50378-2019</w:t>
      </w:r>
      <w:r w:rsidRPr="00530A11">
        <w:rPr>
          <w:rFonts w:cs="Times New Roman"/>
          <w:szCs w:val="24"/>
        </w:rPr>
        <w:t>。</w:t>
      </w:r>
    </w:p>
    <w:p w14:paraId="1867E42D" w14:textId="77777777" w:rsidR="0087265D" w:rsidRPr="00530A11" w:rsidRDefault="0087265D" w:rsidP="0087265D">
      <w:pPr>
        <w:ind w:firstLine="420"/>
        <w:rPr>
          <w:rFonts w:cs="Times New Roman"/>
          <w:kern w:val="44"/>
          <w:szCs w:val="24"/>
        </w:rPr>
      </w:pPr>
      <w:r w:rsidRPr="00530A11">
        <w:rPr>
          <w:rFonts w:cs="Times New Roman"/>
          <w:kern w:val="44"/>
          <w:szCs w:val="24"/>
        </w:rPr>
        <w:t>二次供水是目前各类民用建筑主要采用的生活饮用水供水方式。储水设施是建筑生活饮用水二次供水设施水质安全保障的关键环节。</w:t>
      </w:r>
    </w:p>
    <w:p w14:paraId="64A940F3" w14:textId="77777777"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1</w:t>
      </w:r>
      <w:r w:rsidRPr="00530A11">
        <w:rPr>
          <w:rFonts w:cs="Times New Roman"/>
          <w:kern w:val="44"/>
          <w:szCs w:val="24"/>
        </w:rPr>
        <w:t>款，现行国家标准《二次供水设施卫生规范》</w:t>
      </w:r>
      <w:r w:rsidRPr="00530A11">
        <w:rPr>
          <w:rFonts w:cs="Times New Roman"/>
          <w:kern w:val="44"/>
          <w:szCs w:val="24"/>
        </w:rPr>
        <w:t>GB 17051</w:t>
      </w:r>
      <w:r w:rsidRPr="00530A11">
        <w:rPr>
          <w:rFonts w:cs="Times New Roman"/>
          <w:kern w:val="44"/>
          <w:szCs w:val="24"/>
        </w:rPr>
        <w:t>和现行行业标准《二次供水工程技术规程》</w:t>
      </w:r>
      <w:r w:rsidRPr="00530A11">
        <w:rPr>
          <w:rFonts w:cs="Times New Roman"/>
          <w:kern w:val="44"/>
          <w:szCs w:val="24"/>
        </w:rPr>
        <w:t>CJJ 140</w:t>
      </w:r>
      <w:r w:rsidRPr="00530A11">
        <w:rPr>
          <w:rFonts w:cs="Times New Roman"/>
          <w:kern w:val="44"/>
          <w:szCs w:val="24"/>
        </w:rPr>
        <w:t>规定了建筑二次供水设施的卫生要求和水质检测方法。使用符合现行国家标准《二次供水设施卫生规范》</w:t>
      </w:r>
      <w:r w:rsidRPr="00530A11">
        <w:rPr>
          <w:rFonts w:cs="Times New Roman"/>
          <w:kern w:val="44"/>
          <w:szCs w:val="24"/>
        </w:rPr>
        <w:t>GB 17051</w:t>
      </w:r>
      <w:r w:rsidRPr="00530A11">
        <w:rPr>
          <w:rFonts w:cs="Times New Roman"/>
          <w:kern w:val="44"/>
          <w:szCs w:val="24"/>
        </w:rPr>
        <w:t>和现行行业标准《二次供水工程技术规程》</w:t>
      </w:r>
      <w:r w:rsidRPr="00530A11">
        <w:rPr>
          <w:rFonts w:cs="Times New Roman"/>
          <w:kern w:val="44"/>
          <w:szCs w:val="24"/>
        </w:rPr>
        <w:t>CJJ 140</w:t>
      </w:r>
      <w:r w:rsidRPr="00530A11">
        <w:rPr>
          <w:rFonts w:cs="Times New Roman"/>
          <w:kern w:val="44"/>
          <w:szCs w:val="24"/>
        </w:rPr>
        <w:t>要求的成品水箱，能够有效避免现场加工过程中的污染问题，且在安全生产、品质控制、减少误差等方面均较现场加工更有优势。</w:t>
      </w:r>
    </w:p>
    <w:p w14:paraId="4C2DA9BB" w14:textId="77777777"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2</w:t>
      </w:r>
      <w:r w:rsidRPr="00530A11">
        <w:rPr>
          <w:rFonts w:cs="Times New Roman"/>
          <w:kern w:val="44"/>
          <w:szCs w:val="24"/>
        </w:rPr>
        <w:t>款，常用的避免储水变质的主要技术措施包括：储水设施分格、保证设施内水流通畅、检查口</w:t>
      </w:r>
      <w:r w:rsidRPr="00530A11">
        <w:rPr>
          <w:rFonts w:cs="Times New Roman"/>
          <w:kern w:val="44"/>
          <w:szCs w:val="24"/>
        </w:rPr>
        <w:t>(</w:t>
      </w:r>
      <w:r w:rsidRPr="00530A11">
        <w:rPr>
          <w:rFonts w:cs="Times New Roman"/>
          <w:kern w:val="44"/>
          <w:szCs w:val="24"/>
        </w:rPr>
        <w:t>人孔</w:t>
      </w:r>
      <w:r w:rsidRPr="00530A11">
        <w:rPr>
          <w:rFonts w:cs="Times New Roman"/>
          <w:kern w:val="44"/>
          <w:szCs w:val="24"/>
        </w:rPr>
        <w:t>)</w:t>
      </w:r>
      <w:r w:rsidRPr="00530A11">
        <w:rPr>
          <w:rFonts w:cs="Times New Roman"/>
          <w:kern w:val="44"/>
          <w:szCs w:val="24"/>
        </w:rPr>
        <w:t>加锁、溢流管及通气管口采取防止生物进入的措施等。</w:t>
      </w:r>
    </w:p>
    <w:p w14:paraId="20B85772"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7E27CB34" w14:textId="4C728048" w:rsidR="003C7C5F" w:rsidRPr="003C7C5F" w:rsidRDefault="00DA6A7E" w:rsidP="001E4FF8">
      <w:pPr>
        <w:ind w:firstLine="420"/>
        <w:rPr>
          <w:rFonts w:cs="Times New Roman"/>
          <w:bCs/>
          <w:kern w:val="44"/>
          <w:szCs w:val="24"/>
        </w:rPr>
      </w:pPr>
      <w:r>
        <w:rPr>
          <w:rFonts w:cs="Times New Roman" w:hint="eastAsia"/>
          <w:bCs/>
          <w:kern w:val="44"/>
          <w:szCs w:val="24"/>
        </w:rPr>
        <w:t>核查</w:t>
      </w:r>
      <w:r w:rsidR="005B05B1" w:rsidRPr="0081478A">
        <w:rPr>
          <w:rFonts w:cs="Times New Roman"/>
          <w:bCs/>
          <w:kern w:val="44"/>
          <w:szCs w:val="24"/>
        </w:rPr>
        <w:t>成品水箱</w:t>
      </w:r>
      <w:r>
        <w:rPr>
          <w:rFonts w:cs="Times New Roman" w:hint="eastAsia"/>
          <w:bCs/>
          <w:kern w:val="44"/>
          <w:szCs w:val="24"/>
        </w:rPr>
        <w:t>的水质</w:t>
      </w:r>
      <w:r w:rsidR="001E4FF8">
        <w:rPr>
          <w:rFonts w:cs="Times New Roman" w:hint="eastAsia"/>
          <w:bCs/>
          <w:kern w:val="44"/>
          <w:szCs w:val="24"/>
        </w:rPr>
        <w:t>及卫生要求</w:t>
      </w:r>
      <w:r>
        <w:rPr>
          <w:rFonts w:cs="Times New Roman" w:hint="eastAsia"/>
          <w:bCs/>
          <w:kern w:val="44"/>
          <w:szCs w:val="24"/>
        </w:rPr>
        <w:t>是否满足国家标准。并且检查</w:t>
      </w:r>
      <w:r w:rsidR="001E4FF8">
        <w:rPr>
          <w:rFonts w:cs="Times New Roman" w:hint="eastAsia"/>
          <w:bCs/>
          <w:kern w:val="44"/>
          <w:szCs w:val="24"/>
        </w:rPr>
        <w:t>水箱避免储水变质的技术措施：</w:t>
      </w:r>
      <w:r w:rsidR="001E4FF8" w:rsidRPr="00530A11">
        <w:rPr>
          <w:rFonts w:cs="Times New Roman"/>
          <w:kern w:val="44"/>
          <w:szCs w:val="24"/>
        </w:rPr>
        <w:t>储水设施分格、保证设施内水流通畅、检查口</w:t>
      </w:r>
      <w:r w:rsidR="001E4FF8" w:rsidRPr="00530A11">
        <w:rPr>
          <w:rFonts w:cs="Times New Roman"/>
          <w:kern w:val="44"/>
          <w:szCs w:val="24"/>
        </w:rPr>
        <w:t>(</w:t>
      </w:r>
      <w:r w:rsidR="001E4FF8" w:rsidRPr="00530A11">
        <w:rPr>
          <w:rFonts w:cs="Times New Roman"/>
          <w:kern w:val="44"/>
          <w:szCs w:val="24"/>
        </w:rPr>
        <w:t>人孔</w:t>
      </w:r>
      <w:r w:rsidR="001E4FF8" w:rsidRPr="00530A11">
        <w:rPr>
          <w:rFonts w:cs="Times New Roman"/>
          <w:kern w:val="44"/>
          <w:szCs w:val="24"/>
        </w:rPr>
        <w:t>)</w:t>
      </w:r>
      <w:r w:rsidR="001E4FF8" w:rsidRPr="00530A11">
        <w:rPr>
          <w:rFonts w:cs="Times New Roman"/>
          <w:kern w:val="44"/>
          <w:szCs w:val="24"/>
        </w:rPr>
        <w:t>加锁、溢流管及通气管口采取防止生物进入的措施等</w:t>
      </w:r>
      <w:r w:rsidR="001E4FF8">
        <w:rPr>
          <w:rFonts w:cs="Times New Roman" w:hint="eastAsia"/>
          <w:kern w:val="44"/>
          <w:szCs w:val="24"/>
        </w:rPr>
        <w:t>。</w:t>
      </w:r>
    </w:p>
    <w:p w14:paraId="131AEE54"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86E41E9" w14:textId="77777777" w:rsidR="0084444F" w:rsidRPr="00530A11" w:rsidRDefault="0084444F" w:rsidP="0084444F">
      <w:pPr>
        <w:ind w:firstLine="420"/>
        <w:rPr>
          <w:rFonts w:cs="Times New Roman"/>
          <w:kern w:val="44"/>
          <w:szCs w:val="24"/>
        </w:rPr>
      </w:pPr>
      <w:bookmarkStart w:id="96" w:name="_Toc22221570"/>
      <w:r w:rsidRPr="00530A11">
        <w:rPr>
          <w:rFonts w:cs="Times New Roman"/>
          <w:kern w:val="44"/>
          <w:szCs w:val="24"/>
        </w:rPr>
        <w:t>预评价查阅相关设计文件</w:t>
      </w:r>
      <w:r w:rsidRPr="00530A11">
        <w:rPr>
          <w:rFonts w:cs="Times New Roman"/>
          <w:kern w:val="44"/>
          <w:szCs w:val="24"/>
        </w:rPr>
        <w:t>(</w:t>
      </w:r>
      <w:r w:rsidRPr="00530A11">
        <w:rPr>
          <w:rFonts w:cs="Times New Roman"/>
          <w:kern w:val="44"/>
          <w:szCs w:val="24"/>
        </w:rPr>
        <w:t>含设计说明、储水设施详图、设备材料表</w:t>
      </w:r>
      <w:r w:rsidRPr="00530A11">
        <w:rPr>
          <w:rFonts w:cs="Times New Roman"/>
          <w:kern w:val="44"/>
          <w:szCs w:val="24"/>
        </w:rPr>
        <w:t>)</w:t>
      </w:r>
      <w:r w:rsidRPr="00530A11">
        <w:rPr>
          <w:rFonts w:cs="Times New Roman"/>
          <w:kern w:val="44"/>
          <w:szCs w:val="24"/>
        </w:rPr>
        <w:t>；评价查阅相关竣工图</w:t>
      </w:r>
      <w:r w:rsidRPr="00530A11">
        <w:rPr>
          <w:rFonts w:cs="Times New Roman"/>
          <w:kern w:val="44"/>
          <w:szCs w:val="24"/>
        </w:rPr>
        <w:t>(</w:t>
      </w:r>
      <w:r w:rsidRPr="00530A11">
        <w:rPr>
          <w:rFonts w:cs="Times New Roman"/>
          <w:kern w:val="44"/>
          <w:szCs w:val="24"/>
        </w:rPr>
        <w:t>含设计说明、储水设施详图、设备材料表</w:t>
      </w:r>
      <w:r w:rsidRPr="00530A11">
        <w:rPr>
          <w:rFonts w:cs="Times New Roman"/>
          <w:kern w:val="44"/>
          <w:szCs w:val="24"/>
        </w:rPr>
        <w:t>)</w:t>
      </w:r>
      <w:r w:rsidRPr="00530A11">
        <w:rPr>
          <w:rFonts w:cs="Times New Roman"/>
          <w:kern w:val="44"/>
          <w:szCs w:val="24"/>
        </w:rPr>
        <w:t>、设备材料采购清单或进场记录、水质检测报告。</w:t>
      </w:r>
    </w:p>
    <w:p w14:paraId="2C0CD72A" w14:textId="77777777" w:rsidR="00715ABB" w:rsidRPr="0081478A" w:rsidRDefault="00F44390" w:rsidP="001A7E3B">
      <w:pPr>
        <w:pStyle w:val="3"/>
      </w:pPr>
      <w:bookmarkStart w:id="97" w:name="_Toc35364737"/>
      <w:r w:rsidRPr="0081478A">
        <w:lastRenderedPageBreak/>
        <w:t xml:space="preserve">Ⅲ </w:t>
      </w:r>
      <w:r w:rsidRPr="0081478A">
        <w:t>声环境与光环境</w:t>
      </w:r>
      <w:bookmarkEnd w:id="96"/>
      <w:bookmarkEnd w:id="97"/>
    </w:p>
    <w:p w14:paraId="3ABA1ED8" w14:textId="77777777" w:rsidR="002C09A7" w:rsidRPr="00530A11" w:rsidRDefault="002C09A7" w:rsidP="002C09A7">
      <w:pPr>
        <w:pStyle w:val="4"/>
        <w:rPr>
          <w:rFonts w:cs="Times New Roman"/>
          <w:bCs w:val="0"/>
        </w:rPr>
      </w:pPr>
      <w:r w:rsidRPr="00530A11">
        <w:rPr>
          <w:rFonts w:cs="Times New Roman"/>
          <w:bCs w:val="0"/>
        </w:rPr>
        <w:t xml:space="preserve">5.2.5 </w:t>
      </w:r>
      <w:r w:rsidRPr="00530A11">
        <w:rPr>
          <w:rFonts w:cs="Times New Roman"/>
          <w:bCs w:val="0"/>
        </w:rPr>
        <w:t>针对各主要房间的使用功能，采取有效措施优化其室内声环境，评价总分值为</w:t>
      </w:r>
      <w:r w:rsidRPr="00530A11">
        <w:rPr>
          <w:rFonts w:cs="Times New Roman"/>
          <w:bCs w:val="0"/>
        </w:rPr>
        <w:t>8</w:t>
      </w:r>
      <w:r w:rsidRPr="00530A11">
        <w:rPr>
          <w:rFonts w:cs="Times New Roman"/>
          <w:bCs w:val="0"/>
        </w:rPr>
        <w:t>分。噪声级达到现行国家标准《民用建筑隔声设计规范》</w:t>
      </w:r>
      <w:r w:rsidRPr="00530A11">
        <w:rPr>
          <w:rFonts w:cs="Times New Roman"/>
          <w:bCs w:val="0"/>
        </w:rPr>
        <w:t>GB 50118</w:t>
      </w:r>
      <w:r w:rsidRPr="00530A11">
        <w:rPr>
          <w:rFonts w:cs="Times New Roman"/>
          <w:bCs w:val="0"/>
        </w:rPr>
        <w:t>中的低限标准限值和高要求标准限值的平均值，得</w:t>
      </w:r>
      <w:r w:rsidRPr="00530A11">
        <w:rPr>
          <w:rFonts w:cs="Times New Roman"/>
          <w:bCs w:val="0"/>
        </w:rPr>
        <w:t>4</w:t>
      </w:r>
      <w:r w:rsidRPr="00530A11">
        <w:rPr>
          <w:rFonts w:cs="Times New Roman"/>
          <w:bCs w:val="0"/>
        </w:rPr>
        <w:t>分；达到高要求标准限值，得</w:t>
      </w:r>
      <w:r w:rsidRPr="00530A11">
        <w:rPr>
          <w:rFonts w:cs="Times New Roman"/>
          <w:bCs w:val="0"/>
        </w:rPr>
        <w:t>8</w:t>
      </w:r>
      <w:r w:rsidRPr="00530A11">
        <w:rPr>
          <w:rFonts w:cs="Times New Roman"/>
          <w:bCs w:val="0"/>
        </w:rPr>
        <w:t>分。</w:t>
      </w:r>
    </w:p>
    <w:p w14:paraId="42195357" w14:textId="77777777" w:rsidR="00715ABB" w:rsidRPr="0081478A" w:rsidRDefault="00F44390">
      <w:pPr>
        <w:ind w:firstLineChars="0" w:firstLine="0"/>
        <w:rPr>
          <w:rFonts w:cs="Times New Roman"/>
          <w:b/>
          <w:szCs w:val="24"/>
        </w:rPr>
      </w:pPr>
      <w:r w:rsidRPr="0081478A">
        <w:rPr>
          <w:rFonts w:cs="Times New Roman"/>
          <w:b/>
          <w:szCs w:val="24"/>
        </w:rPr>
        <w:t>【条文说明】</w:t>
      </w:r>
    </w:p>
    <w:p w14:paraId="332E5D44" w14:textId="77777777" w:rsidR="0087265D" w:rsidRPr="00530A11" w:rsidRDefault="0087265D" w:rsidP="0087265D">
      <w:pPr>
        <w:ind w:firstLine="420"/>
        <w:rPr>
          <w:szCs w:val="24"/>
        </w:rPr>
      </w:pPr>
      <w:r w:rsidRPr="00530A11">
        <w:t>本条适用于各类民用建筑的预评价、评价。</w:t>
      </w:r>
    </w:p>
    <w:p w14:paraId="14BCC9F4" w14:textId="64426800"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8.2.1</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8.2.1</w:t>
      </w:r>
      <w:r w:rsidRPr="00530A11">
        <w:rPr>
          <w:rFonts w:cs="Times New Roman"/>
        </w:rPr>
        <w:t>条的基础上发展而来。</w:t>
      </w:r>
    </w:p>
    <w:p w14:paraId="299C5DB9" w14:textId="77777777" w:rsidR="0087265D" w:rsidRPr="00530A11" w:rsidRDefault="0087265D" w:rsidP="0087265D">
      <w:pPr>
        <w:ind w:firstLine="420"/>
        <w:rPr>
          <w:rFonts w:cs="Times New Roman"/>
        </w:rPr>
      </w:pPr>
      <w:r w:rsidRPr="00530A11">
        <w:rPr>
          <w:rFonts w:cs="Times New Roman"/>
        </w:rPr>
        <w:t>现行国家标准《民用建筑隔声设计规范》</w:t>
      </w:r>
      <w:r w:rsidRPr="00530A11">
        <w:rPr>
          <w:rFonts w:cs="Times New Roman"/>
        </w:rPr>
        <w:t>GB 50118</w:t>
      </w:r>
      <w:r w:rsidRPr="00530A11">
        <w:rPr>
          <w:rFonts w:cs="Times New Roman"/>
        </w:rPr>
        <w:t>规定了建筑主要功能房间的室内允许噪声级。本标准要求根据建筑功能和环境情况因地制宜地采取减少噪声干扰的综合措施，应以</w:t>
      </w:r>
      <w:r w:rsidRPr="00530A11">
        <w:rPr>
          <w:rFonts w:cs="Times New Roman"/>
        </w:rPr>
        <w:t>“</w:t>
      </w:r>
      <w:r w:rsidRPr="00530A11">
        <w:rPr>
          <w:rFonts w:cs="Times New Roman"/>
        </w:rPr>
        <w:t>被动优先、主动优化</w:t>
      </w:r>
      <w:r w:rsidRPr="00530A11">
        <w:rPr>
          <w:rFonts w:cs="Times New Roman"/>
        </w:rPr>
        <w:t>”</w:t>
      </w:r>
      <w:r w:rsidRPr="00530A11">
        <w:rPr>
          <w:rFonts w:cs="Times New Roman"/>
        </w:rPr>
        <w:t>为原则，优化主要功能房间的室内声环境，首先应优化建筑总平面和空间布局，使</w:t>
      </w:r>
      <w:bookmarkStart w:id="98" w:name="_Hlk20034939"/>
      <w:r w:rsidRPr="00530A11">
        <w:rPr>
          <w:rFonts w:cs="Times New Roman"/>
        </w:rPr>
        <w:t>主要功能房间</w:t>
      </w:r>
      <w:bookmarkEnd w:id="98"/>
      <w:r w:rsidRPr="00530A11">
        <w:rPr>
          <w:rFonts w:cs="Times New Roman"/>
        </w:rPr>
        <w:t>没有明显的噪声干扰，同时也不对周边环境造成噪声干扰；其次应优化设备选型，控制设备设施噪声排放值，并对其采取减振、消声措施；对电梯井道、设备机房和主要功能房间围护结构采取针对其噪声特性的减振、隔声和吸声降噪措施；采用同层排水或其他降低排水噪声的有效措施等。需要注意的是采取的优化措施应有针对性，做到统筹兼顾，以经济合理的代价实现室内声环境质量提升。</w:t>
      </w:r>
    </w:p>
    <w:p w14:paraId="6EC45201" w14:textId="77777777" w:rsidR="0087265D" w:rsidRPr="00530A11" w:rsidRDefault="0087265D" w:rsidP="0087265D">
      <w:pPr>
        <w:ind w:firstLine="420"/>
        <w:rPr>
          <w:rFonts w:cs="Times New Roman"/>
        </w:rPr>
      </w:pPr>
      <w:r w:rsidRPr="00530A11">
        <w:rPr>
          <w:rFonts w:cs="Times New Roman"/>
        </w:rPr>
        <w:t>国家标准《民用建筑隔声设计规范》</w:t>
      </w:r>
      <w:r w:rsidRPr="00530A11">
        <w:rPr>
          <w:rFonts w:cs="Times New Roman"/>
        </w:rPr>
        <w:t>GB50118-2010</w:t>
      </w:r>
      <w:r w:rsidRPr="00530A11">
        <w:rPr>
          <w:rFonts w:cs="Times New Roman"/>
        </w:rPr>
        <w:t>将住宅、办公、商业、医院等建筑主要功能房间的室内允许噪声级分</w:t>
      </w:r>
      <w:r w:rsidRPr="00530A11">
        <w:rPr>
          <w:rFonts w:cs="Times New Roman"/>
        </w:rPr>
        <w:t>"</w:t>
      </w:r>
      <w:r w:rsidRPr="00530A11">
        <w:rPr>
          <w:rFonts w:cs="Times New Roman"/>
        </w:rPr>
        <w:t>低限标准</w:t>
      </w:r>
      <w:r w:rsidRPr="00530A11">
        <w:rPr>
          <w:rFonts w:cs="Times New Roman"/>
        </w:rPr>
        <w:t>"</w:t>
      </w:r>
      <w:r w:rsidRPr="00530A11">
        <w:rPr>
          <w:rFonts w:cs="Times New Roman"/>
        </w:rPr>
        <w:t>和</w:t>
      </w:r>
      <w:r w:rsidRPr="00530A11">
        <w:rPr>
          <w:rFonts w:cs="Times New Roman"/>
        </w:rPr>
        <w:t>"</w:t>
      </w:r>
      <w:r w:rsidRPr="00530A11">
        <w:rPr>
          <w:rFonts w:cs="Times New Roman"/>
        </w:rPr>
        <w:t>高要求标准</w:t>
      </w:r>
      <w:r w:rsidRPr="00530A11">
        <w:rPr>
          <w:rFonts w:cs="Times New Roman"/>
        </w:rPr>
        <w:t>"</w:t>
      </w:r>
      <w:r w:rsidRPr="00530A11">
        <w:rPr>
          <w:rFonts w:cs="Times New Roman"/>
        </w:rPr>
        <w:t>两档列出。对于现行国家标准《民用建筑隔声设计规范》</w:t>
      </w:r>
      <w:r w:rsidRPr="00530A11">
        <w:rPr>
          <w:rFonts w:cs="Times New Roman"/>
        </w:rPr>
        <w:t>GB50118</w:t>
      </w:r>
      <w:r w:rsidRPr="00530A11">
        <w:rPr>
          <w:rFonts w:cs="Times New Roman"/>
        </w:rPr>
        <w:t>中包含的一些只有唯一室内噪声级要求的建筑</w:t>
      </w:r>
      <w:r w:rsidRPr="00530A11">
        <w:rPr>
          <w:rFonts w:cs="Times New Roman"/>
        </w:rPr>
        <w:t>(</w:t>
      </w:r>
      <w:r w:rsidRPr="00530A11">
        <w:rPr>
          <w:rFonts w:cs="Times New Roman"/>
        </w:rPr>
        <w:t>如学校</w:t>
      </w:r>
      <w:r w:rsidRPr="00530A11">
        <w:rPr>
          <w:rFonts w:cs="Times New Roman"/>
        </w:rPr>
        <w:t>)</w:t>
      </w:r>
      <w:r w:rsidRPr="00530A11">
        <w:rPr>
          <w:rFonts w:cs="Times New Roman"/>
        </w:rPr>
        <w:t>，本条认定该室内噪声级对应数值为低限标准，而高要求标准则在此基础上降低</w:t>
      </w:r>
      <w:r w:rsidRPr="00530A11">
        <w:rPr>
          <w:rFonts w:cs="Times New Roman"/>
        </w:rPr>
        <w:t>5dB(A)</w:t>
      </w:r>
      <w:r w:rsidRPr="00530A11">
        <w:rPr>
          <w:rFonts w:cs="Times New Roman"/>
        </w:rPr>
        <w:t>。需要指出，对于不同星级的旅馆建筑，其对应的要求不同，需要一一对应。</w:t>
      </w:r>
    </w:p>
    <w:p w14:paraId="069A979A"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73B6A3FE" w14:textId="751D99DE" w:rsidR="002B4D27" w:rsidRPr="0081478A" w:rsidRDefault="002B4D27" w:rsidP="002B4D27">
      <w:pPr>
        <w:ind w:firstLine="420"/>
        <w:rPr>
          <w:rFonts w:cs="Times New Roman"/>
        </w:rPr>
      </w:pPr>
      <w:r w:rsidRPr="0081478A">
        <w:rPr>
          <w:rFonts w:cs="Times New Roman"/>
        </w:rPr>
        <w:t>1</w:t>
      </w:r>
      <w:r w:rsidRPr="0081478A">
        <w:rPr>
          <w:rFonts w:cs="Times New Roman"/>
        </w:rPr>
        <w:t>）</w:t>
      </w:r>
      <w:r w:rsidRPr="0081478A">
        <w:rPr>
          <w:rFonts w:cs="Times New Roman"/>
        </w:rPr>
        <w:t xml:space="preserve"> </w:t>
      </w:r>
      <w:r w:rsidRPr="0081478A">
        <w:rPr>
          <w:rFonts w:cs="Times New Roman"/>
        </w:rPr>
        <w:t>室内背景噪声计算报告应满足本书附录</w:t>
      </w:r>
      <w:r w:rsidRPr="0081478A">
        <w:rPr>
          <w:rFonts w:cs="Times New Roman"/>
        </w:rPr>
        <w:t>B.6</w:t>
      </w:r>
      <w:r w:rsidRPr="0081478A">
        <w:rPr>
          <w:rFonts w:cs="Times New Roman"/>
        </w:rPr>
        <w:t>的要求。</w:t>
      </w:r>
    </w:p>
    <w:p w14:paraId="40BE3831" w14:textId="4E0D9394" w:rsidR="002B4D27" w:rsidRPr="0081478A" w:rsidRDefault="002B4D27" w:rsidP="002B4D27">
      <w:pPr>
        <w:ind w:firstLine="420"/>
        <w:rPr>
          <w:rFonts w:cs="Times New Roman"/>
        </w:rPr>
      </w:pPr>
      <w:r w:rsidRPr="0081478A">
        <w:rPr>
          <w:rFonts w:cs="Times New Roman"/>
        </w:rPr>
        <w:t>2</w:t>
      </w:r>
      <w:r w:rsidRPr="0081478A">
        <w:rPr>
          <w:rFonts w:cs="Times New Roman"/>
        </w:rPr>
        <w:t>）</w:t>
      </w:r>
      <w:r w:rsidRPr="0081478A">
        <w:rPr>
          <w:rFonts w:cs="Times New Roman"/>
        </w:rPr>
        <w:t xml:space="preserve"> </w:t>
      </w:r>
      <w:r w:rsidRPr="0081478A">
        <w:rPr>
          <w:rFonts w:cs="Times New Roman"/>
        </w:rPr>
        <w:t>国家标准《民用建筑隔声设计规范》</w:t>
      </w:r>
      <w:r w:rsidRPr="0081478A">
        <w:rPr>
          <w:rFonts w:cs="Times New Roman"/>
        </w:rPr>
        <w:t>GB 50118</w:t>
      </w:r>
      <w:r w:rsidRPr="0081478A">
        <w:rPr>
          <w:rFonts w:cs="Times New Roman"/>
        </w:rPr>
        <w:t>将住宅、办公、商业、医院等建筑主要功能房间的室内允许噪声级分低限标准和高要求标准两档列出。对于《民用建筑隔声设计规范》</w:t>
      </w:r>
      <w:r w:rsidR="001E4FF8" w:rsidRPr="0081478A">
        <w:rPr>
          <w:rFonts w:cs="Times New Roman"/>
        </w:rPr>
        <w:t>GB 50118</w:t>
      </w:r>
      <w:r w:rsidRPr="0081478A">
        <w:rPr>
          <w:rFonts w:cs="Times New Roman"/>
        </w:rPr>
        <w:t>一些只有唯一室内噪声级要求的建筑（如学校），</w:t>
      </w:r>
      <w:r w:rsidR="001E4FF8">
        <w:rPr>
          <w:rFonts w:cs="Times New Roman" w:hint="eastAsia"/>
        </w:rPr>
        <w:t>则本条</w:t>
      </w:r>
      <w:r w:rsidRPr="0081478A">
        <w:rPr>
          <w:rFonts w:cs="Times New Roman"/>
        </w:rPr>
        <w:t>认定该室内噪声级对应数值为低限标准，而高要求标准则在此基础上降低</w:t>
      </w:r>
      <w:r w:rsidRPr="0081478A">
        <w:rPr>
          <w:rFonts w:cs="Times New Roman"/>
        </w:rPr>
        <w:t>5dB</w:t>
      </w:r>
      <w:r w:rsidRPr="0081478A">
        <w:rPr>
          <w:rFonts w:cs="Times New Roman"/>
        </w:rPr>
        <w:t>（</w:t>
      </w:r>
      <w:r w:rsidRPr="0081478A">
        <w:rPr>
          <w:rFonts w:cs="Times New Roman"/>
        </w:rPr>
        <w:t>A</w:t>
      </w:r>
      <w:r w:rsidRPr="0081478A">
        <w:rPr>
          <w:rFonts w:cs="Times New Roman"/>
        </w:rPr>
        <w:t>）。需要指出，对于不同星级的旅馆建筑，其对应的要求不同，需要一一对应。</w:t>
      </w:r>
    </w:p>
    <w:p w14:paraId="55DDDFA8" w14:textId="2561CA15" w:rsidR="00A40C84" w:rsidRPr="0081478A" w:rsidRDefault="00A40C84" w:rsidP="002B4D27">
      <w:pPr>
        <w:ind w:firstLine="420"/>
        <w:rPr>
          <w:rFonts w:cs="Times New Roman"/>
        </w:rPr>
      </w:pPr>
      <w:r w:rsidRPr="0081478A">
        <w:rPr>
          <w:rFonts w:cs="Times New Roman"/>
        </w:rPr>
        <w:lastRenderedPageBreak/>
        <w:t>3</w:t>
      </w:r>
      <w:r w:rsidRPr="0081478A">
        <w:rPr>
          <w:rFonts w:cs="Times New Roman"/>
        </w:rPr>
        <w:t>）</w:t>
      </w:r>
      <w:r w:rsidRPr="0081478A">
        <w:rPr>
          <w:rFonts w:cs="Times New Roman"/>
        </w:rPr>
        <w:t xml:space="preserve"> </w:t>
      </w:r>
      <w:r w:rsidRPr="0081478A">
        <w:rPr>
          <w:rFonts w:cs="Times New Roman"/>
        </w:rPr>
        <w:t>车库噪声指标应符合现行国家标准《社会生活环境噪声排放标准》</w:t>
      </w:r>
      <w:r w:rsidRPr="0081478A">
        <w:rPr>
          <w:rFonts w:cs="Times New Roman"/>
        </w:rPr>
        <w:t>GB 22337</w:t>
      </w:r>
      <w:r w:rsidRPr="0081478A">
        <w:rPr>
          <w:rFonts w:cs="Times New Roman"/>
        </w:rPr>
        <w:t>规定；车库及其出入口不得布置在教室、病房等区域的直接贴临部位，应避免车辆行驶和噪声对教室、病房等区域的干扰。</w:t>
      </w:r>
    </w:p>
    <w:p w14:paraId="5C7E7F73"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22E3246D" w14:textId="77777777" w:rsidR="0084444F" w:rsidRPr="00530A11" w:rsidRDefault="0084444F" w:rsidP="0084444F">
      <w:pPr>
        <w:ind w:firstLine="420"/>
        <w:rPr>
          <w:rFonts w:cs="Times New Roman"/>
        </w:rPr>
      </w:pPr>
      <w:r w:rsidRPr="00530A11">
        <w:rPr>
          <w:rFonts w:cs="Times New Roman"/>
        </w:rPr>
        <w:t>预评价查阅相关设计文件、噪声分析报告；评价查阅相关竣工图、室内噪声检测报告。</w:t>
      </w:r>
    </w:p>
    <w:p w14:paraId="30C07183" w14:textId="77777777" w:rsidR="002B4D27" w:rsidRPr="0081478A" w:rsidRDefault="002B4D27">
      <w:pPr>
        <w:ind w:firstLine="420"/>
        <w:rPr>
          <w:rFonts w:cs="Times New Roman"/>
        </w:rPr>
      </w:pPr>
    </w:p>
    <w:p w14:paraId="2B2A6DB2" w14:textId="77777777" w:rsidR="002C09A7" w:rsidRPr="00530A11" w:rsidRDefault="002C09A7" w:rsidP="002C09A7">
      <w:pPr>
        <w:pStyle w:val="4"/>
        <w:rPr>
          <w:rFonts w:cs="Times New Roman"/>
          <w:bCs w:val="0"/>
        </w:rPr>
      </w:pPr>
      <w:r w:rsidRPr="00530A11">
        <w:rPr>
          <w:rFonts w:cs="Times New Roman"/>
          <w:bCs w:val="0"/>
        </w:rPr>
        <w:t xml:space="preserve">5.2.6 </w:t>
      </w:r>
      <w:r w:rsidRPr="00530A11">
        <w:rPr>
          <w:rFonts w:cs="Times New Roman"/>
          <w:bCs w:val="0"/>
        </w:rPr>
        <w:t>主要功能房间的隔声性能良好，评价总分值为</w:t>
      </w:r>
      <w:r w:rsidRPr="00530A11">
        <w:rPr>
          <w:rFonts w:cs="Times New Roman"/>
          <w:bCs w:val="0"/>
        </w:rPr>
        <w:t>14</w:t>
      </w:r>
      <w:r w:rsidRPr="00530A11">
        <w:rPr>
          <w:rFonts w:cs="Times New Roman"/>
          <w:bCs w:val="0"/>
        </w:rPr>
        <w:t>分，并按下列规则分别评分并累计：</w:t>
      </w:r>
    </w:p>
    <w:p w14:paraId="15BEFD90"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1 </w:t>
      </w:r>
      <w:r w:rsidRPr="002C09A7">
        <w:rPr>
          <w:rFonts w:cs="Times New Roman"/>
          <w:b/>
          <w:bCs/>
          <w:szCs w:val="24"/>
        </w:rPr>
        <w:t>构件及相邻房间之间的空气声隔声性能达到现行国家标准《民用建筑隔声设计规范》</w:t>
      </w:r>
      <w:r w:rsidRPr="002C09A7">
        <w:rPr>
          <w:rFonts w:cs="Times New Roman"/>
          <w:b/>
          <w:bCs/>
          <w:szCs w:val="24"/>
        </w:rPr>
        <w:t>GB 50118</w:t>
      </w:r>
      <w:r w:rsidRPr="002C09A7">
        <w:rPr>
          <w:rFonts w:cs="Times New Roman"/>
          <w:b/>
          <w:bCs/>
          <w:szCs w:val="24"/>
        </w:rPr>
        <w:t>中的低限标准限值和高要求标准限值的平均值，得</w:t>
      </w:r>
      <w:r w:rsidRPr="002C09A7">
        <w:rPr>
          <w:rFonts w:cs="Times New Roman"/>
          <w:b/>
          <w:bCs/>
          <w:szCs w:val="24"/>
        </w:rPr>
        <w:t>3</w:t>
      </w:r>
      <w:r w:rsidRPr="002C09A7">
        <w:rPr>
          <w:rFonts w:cs="Times New Roman"/>
          <w:b/>
          <w:bCs/>
          <w:szCs w:val="24"/>
        </w:rPr>
        <w:t>分；达到高要求标准限值，得</w:t>
      </w:r>
      <w:r w:rsidRPr="002C09A7">
        <w:rPr>
          <w:rFonts w:cs="Times New Roman"/>
          <w:b/>
          <w:bCs/>
          <w:szCs w:val="24"/>
        </w:rPr>
        <w:t>7</w:t>
      </w:r>
      <w:r w:rsidRPr="002C09A7">
        <w:rPr>
          <w:rFonts w:cs="Times New Roman"/>
          <w:b/>
          <w:bCs/>
          <w:szCs w:val="24"/>
        </w:rPr>
        <w:t>分；</w:t>
      </w:r>
    </w:p>
    <w:p w14:paraId="5B12441E"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楼板的撞击声隔声性能达到现行国家标准《民用建筑隔声设计规范》</w:t>
      </w:r>
      <w:r w:rsidRPr="002C09A7">
        <w:rPr>
          <w:rFonts w:cs="Times New Roman"/>
          <w:b/>
          <w:bCs/>
          <w:szCs w:val="24"/>
        </w:rPr>
        <w:t>GB 50118</w:t>
      </w:r>
      <w:r w:rsidRPr="002C09A7">
        <w:rPr>
          <w:rFonts w:cs="Times New Roman"/>
          <w:b/>
          <w:bCs/>
          <w:szCs w:val="24"/>
        </w:rPr>
        <w:t>中的低限标准限值和高要求标准限值的平均值，得</w:t>
      </w:r>
      <w:r w:rsidRPr="002C09A7">
        <w:rPr>
          <w:rFonts w:cs="Times New Roman"/>
          <w:b/>
          <w:bCs/>
          <w:szCs w:val="24"/>
        </w:rPr>
        <w:t>3</w:t>
      </w:r>
      <w:r w:rsidRPr="002C09A7">
        <w:rPr>
          <w:rFonts w:cs="Times New Roman"/>
          <w:b/>
          <w:bCs/>
          <w:szCs w:val="24"/>
        </w:rPr>
        <w:t>分；达到高要求标准限值，得</w:t>
      </w:r>
      <w:r w:rsidRPr="002C09A7">
        <w:rPr>
          <w:rFonts w:cs="Times New Roman"/>
          <w:b/>
          <w:bCs/>
          <w:szCs w:val="24"/>
        </w:rPr>
        <w:t>7</w:t>
      </w:r>
      <w:r w:rsidRPr="002C09A7">
        <w:rPr>
          <w:rFonts w:cs="Times New Roman"/>
          <w:b/>
          <w:bCs/>
          <w:szCs w:val="24"/>
        </w:rPr>
        <w:t>分。</w:t>
      </w:r>
    </w:p>
    <w:p w14:paraId="567DF488" w14:textId="77777777" w:rsidR="00715ABB" w:rsidRPr="0081478A" w:rsidRDefault="00F44390">
      <w:pPr>
        <w:ind w:firstLineChars="0" w:firstLine="0"/>
        <w:rPr>
          <w:rFonts w:cs="Times New Roman"/>
          <w:b/>
          <w:szCs w:val="24"/>
        </w:rPr>
      </w:pPr>
      <w:r w:rsidRPr="0081478A">
        <w:rPr>
          <w:rFonts w:cs="Times New Roman"/>
          <w:b/>
          <w:szCs w:val="24"/>
        </w:rPr>
        <w:t>【条文说明】</w:t>
      </w:r>
    </w:p>
    <w:p w14:paraId="029861E5" w14:textId="77777777" w:rsidR="0087265D" w:rsidRPr="00530A11" w:rsidRDefault="0087265D" w:rsidP="0087265D">
      <w:pPr>
        <w:ind w:firstLine="420"/>
        <w:rPr>
          <w:szCs w:val="24"/>
        </w:rPr>
      </w:pPr>
      <w:r w:rsidRPr="00530A11">
        <w:t>本条适用于各类民用建筑的预评价、评价。</w:t>
      </w:r>
    </w:p>
    <w:p w14:paraId="2AF04604"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8.2.2</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8.2.2</w:t>
      </w:r>
      <w:r w:rsidRPr="00530A11">
        <w:rPr>
          <w:rFonts w:cs="Times New Roman"/>
        </w:rPr>
        <w:t>条的基础上发展而来。</w:t>
      </w:r>
    </w:p>
    <w:p w14:paraId="5EBAC74B" w14:textId="77777777" w:rsidR="0087265D" w:rsidRPr="00530A11" w:rsidRDefault="0087265D" w:rsidP="0087265D">
      <w:pPr>
        <w:ind w:firstLine="420"/>
        <w:rPr>
          <w:rFonts w:cs="Times New Roman"/>
        </w:rPr>
      </w:pPr>
      <w:r w:rsidRPr="00530A11">
        <w:rPr>
          <w:rFonts w:cs="Times New Roman"/>
        </w:rPr>
        <w:t>国家标准《民用建筑隔声设计规范》</w:t>
      </w:r>
      <w:r w:rsidRPr="00530A11">
        <w:rPr>
          <w:rFonts w:cs="Times New Roman"/>
        </w:rPr>
        <w:t>GB50118-2010</w:t>
      </w:r>
      <w:r w:rsidRPr="00530A11">
        <w:rPr>
          <w:rFonts w:cs="Times New Roman"/>
        </w:rPr>
        <w:t>将住宅、办公、商业、旅馆、医院等类型建筑的墙体、门窗、楼板的空气声隔声性能以及楼板的撞击声隔声性能分为</w:t>
      </w:r>
      <w:r w:rsidRPr="00530A11">
        <w:rPr>
          <w:rFonts w:cs="Times New Roman"/>
        </w:rPr>
        <w:t>“</w:t>
      </w:r>
      <w:r w:rsidRPr="00530A11">
        <w:rPr>
          <w:rFonts w:cs="Times New Roman"/>
        </w:rPr>
        <w:t>低限标准</w:t>
      </w:r>
      <w:r w:rsidRPr="00530A11">
        <w:rPr>
          <w:rFonts w:cs="Times New Roman"/>
        </w:rPr>
        <w:t>”</w:t>
      </w:r>
      <w:r w:rsidRPr="00530A11">
        <w:rPr>
          <w:rFonts w:cs="Times New Roman"/>
        </w:rPr>
        <w:t>和</w:t>
      </w:r>
      <w:r w:rsidRPr="00530A11">
        <w:rPr>
          <w:rFonts w:cs="Times New Roman"/>
        </w:rPr>
        <w:t>“</w:t>
      </w:r>
      <w:r w:rsidRPr="00530A11">
        <w:rPr>
          <w:rFonts w:cs="Times New Roman"/>
        </w:rPr>
        <w:t>高要求标准</w:t>
      </w:r>
      <w:r w:rsidRPr="00530A11">
        <w:rPr>
          <w:rFonts w:cs="Times New Roman"/>
        </w:rPr>
        <w:t>”</w:t>
      </w:r>
      <w:r w:rsidRPr="00530A11">
        <w:rPr>
          <w:rFonts w:cs="Times New Roman"/>
        </w:rPr>
        <w:t>两档列出。</w:t>
      </w:r>
    </w:p>
    <w:p w14:paraId="3E7C6FCC" w14:textId="77777777" w:rsidR="0087265D" w:rsidRPr="00530A11" w:rsidRDefault="0087265D" w:rsidP="0087265D">
      <w:pPr>
        <w:ind w:firstLine="420"/>
        <w:rPr>
          <w:rFonts w:cs="Times New Roman"/>
        </w:rPr>
      </w:pPr>
      <w:r w:rsidRPr="00530A11">
        <w:rPr>
          <w:rFonts w:cs="Times New Roman"/>
        </w:rPr>
        <w:t>第</w:t>
      </w:r>
      <w:r w:rsidRPr="00530A11">
        <w:rPr>
          <w:rFonts w:cs="Times New Roman"/>
        </w:rPr>
        <w:t>l</w:t>
      </w:r>
      <w:r w:rsidRPr="00530A11">
        <w:rPr>
          <w:rFonts w:cs="Times New Roman"/>
        </w:rPr>
        <w:t>款，对于现行国家标准《民用建筑隔声设计规范》</w:t>
      </w:r>
      <w:r w:rsidRPr="00530A11">
        <w:rPr>
          <w:rFonts w:cs="Times New Roman"/>
        </w:rPr>
        <w:t>GB50118</w:t>
      </w:r>
      <w:r w:rsidRPr="00530A11">
        <w:rPr>
          <w:rFonts w:cs="Times New Roman"/>
        </w:rPr>
        <w:t>中只规定了构件的单一空气隔声性能的建筑，本条认定该构件对应的空气隔声性能数值为低限标准限值，而高要求标准限值则在此基础上提高</w:t>
      </w:r>
      <w:r w:rsidRPr="00530A11">
        <w:rPr>
          <w:rFonts w:cs="Times New Roman"/>
        </w:rPr>
        <w:t>5dB</w:t>
      </w:r>
      <w:r w:rsidRPr="00530A11">
        <w:rPr>
          <w:rFonts w:cs="Times New Roman"/>
        </w:rPr>
        <w:t>。</w:t>
      </w:r>
    </w:p>
    <w:p w14:paraId="46D9BFFF" w14:textId="77777777" w:rsidR="0087265D" w:rsidRPr="00530A11" w:rsidRDefault="0087265D" w:rsidP="0087265D">
      <w:pPr>
        <w:ind w:firstLine="420"/>
        <w:rPr>
          <w:rFonts w:cs="Times New Roman"/>
        </w:rPr>
      </w:pPr>
      <w:r w:rsidRPr="00530A11">
        <w:rPr>
          <w:rFonts w:cs="Times New Roman"/>
        </w:rPr>
        <w:t>第</w:t>
      </w:r>
      <w:r w:rsidRPr="00530A11">
        <w:rPr>
          <w:rFonts w:cs="Times New Roman"/>
        </w:rPr>
        <w:t>2</w:t>
      </w:r>
      <w:r w:rsidRPr="00530A11">
        <w:rPr>
          <w:rFonts w:cs="Times New Roman"/>
        </w:rPr>
        <w:t>款，对于现行国家标准《民用建筑隔声设计规范》</w:t>
      </w:r>
      <w:r w:rsidRPr="00530A11">
        <w:rPr>
          <w:rFonts w:cs="Times New Roman"/>
        </w:rPr>
        <w:t>GB50118</w:t>
      </w:r>
      <w:r w:rsidRPr="00530A11">
        <w:rPr>
          <w:rFonts w:cs="Times New Roman"/>
        </w:rPr>
        <w:t>中只有单一楼板撞击声隔声性能的建筑类型，本条认定对应的楼板撞击声隔声性能数值为低限标准限值，高要求标准限值在低限标准限值降低</w:t>
      </w:r>
      <w:r w:rsidRPr="00530A11">
        <w:rPr>
          <w:rFonts w:cs="Times New Roman"/>
        </w:rPr>
        <w:t>10dB</w:t>
      </w:r>
      <w:r w:rsidRPr="00530A11">
        <w:rPr>
          <w:rFonts w:cs="Times New Roman"/>
        </w:rPr>
        <w:t>。</w:t>
      </w:r>
    </w:p>
    <w:p w14:paraId="2AA78024" w14:textId="77777777" w:rsidR="0087265D" w:rsidRPr="00530A11" w:rsidRDefault="0087265D" w:rsidP="0087265D">
      <w:pPr>
        <w:ind w:firstLine="420"/>
        <w:rPr>
          <w:rFonts w:cs="Times New Roman"/>
        </w:rPr>
      </w:pPr>
      <w:r w:rsidRPr="00530A11">
        <w:rPr>
          <w:rFonts w:cs="Times New Roman"/>
        </w:rPr>
        <w:t>对于现行国家标准《民用建筑隔声设计规范》</w:t>
      </w:r>
      <w:r w:rsidRPr="00530A11">
        <w:rPr>
          <w:rFonts w:cs="Times New Roman"/>
        </w:rPr>
        <w:t>GB50118</w:t>
      </w:r>
      <w:r w:rsidRPr="00530A11">
        <w:rPr>
          <w:rFonts w:cs="Times New Roman"/>
        </w:rPr>
        <w:t>没有涉及的类型建筑的围护结构构件隔声性能可对照相似类型建筑的要求评价。</w:t>
      </w:r>
    </w:p>
    <w:p w14:paraId="190C62FA"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0B3DD2C3" w14:textId="198A0DEF" w:rsidR="002B4D27" w:rsidRPr="0081478A" w:rsidRDefault="002B4D27" w:rsidP="002B4D27">
      <w:pPr>
        <w:ind w:firstLine="420"/>
        <w:rPr>
          <w:rFonts w:cs="Times New Roman"/>
        </w:rPr>
      </w:pPr>
      <w:r w:rsidRPr="0081478A">
        <w:rPr>
          <w:rFonts w:cs="Times New Roman"/>
        </w:rPr>
        <w:t>1</w:t>
      </w:r>
      <w:r w:rsidRPr="0081478A">
        <w:rPr>
          <w:rFonts w:cs="Times New Roman"/>
        </w:rPr>
        <w:t>）</w:t>
      </w:r>
      <w:r w:rsidRPr="0081478A">
        <w:rPr>
          <w:rFonts w:cs="Times New Roman"/>
        </w:rPr>
        <w:t xml:space="preserve"> </w:t>
      </w:r>
      <w:r w:rsidRPr="0081478A">
        <w:rPr>
          <w:rFonts w:cs="Times New Roman"/>
        </w:rPr>
        <w:t>建筑构件隔声性能计算报告应满足本书附录</w:t>
      </w:r>
      <w:r w:rsidRPr="0081478A">
        <w:rPr>
          <w:rFonts w:cs="Times New Roman"/>
        </w:rPr>
        <w:t>B.6</w:t>
      </w:r>
      <w:r w:rsidRPr="0081478A">
        <w:rPr>
          <w:rFonts w:cs="Times New Roman"/>
        </w:rPr>
        <w:t>的要求。</w:t>
      </w:r>
    </w:p>
    <w:p w14:paraId="5DCB3052" w14:textId="209EBFA9" w:rsidR="002B4D27" w:rsidRPr="0081478A" w:rsidRDefault="002B4D27" w:rsidP="002B4D27">
      <w:pPr>
        <w:ind w:firstLine="420"/>
        <w:rPr>
          <w:rFonts w:cs="Times New Roman"/>
        </w:rPr>
      </w:pPr>
      <w:r w:rsidRPr="0081478A">
        <w:rPr>
          <w:rFonts w:cs="Times New Roman"/>
        </w:rPr>
        <w:t>2</w:t>
      </w:r>
      <w:r w:rsidRPr="0081478A">
        <w:rPr>
          <w:rFonts w:cs="Times New Roman"/>
        </w:rPr>
        <w:t>）</w:t>
      </w:r>
      <w:r w:rsidRPr="0081478A">
        <w:rPr>
          <w:rFonts w:cs="Times New Roman"/>
        </w:rPr>
        <w:t xml:space="preserve"> </w:t>
      </w:r>
      <w:r w:rsidRPr="0081478A">
        <w:rPr>
          <w:rFonts w:cs="Times New Roman"/>
        </w:rPr>
        <w:t>居住建筑、办公、旅馆、商业、医院等建筑宜满足《民用建筑隔声设计规范》</w:t>
      </w:r>
      <w:r w:rsidRPr="0081478A">
        <w:rPr>
          <w:rFonts w:cs="Times New Roman"/>
        </w:rPr>
        <w:t>GB 50118</w:t>
      </w:r>
      <w:r w:rsidRPr="0081478A">
        <w:rPr>
          <w:rFonts w:cs="Times New Roman"/>
        </w:rPr>
        <w:lastRenderedPageBreak/>
        <w:t>中围护结构隔声标准的低限标准要求，但不包括开放式办公空间。对于《民用建筑隔声设计规范》</w:t>
      </w:r>
      <w:r w:rsidRPr="0081478A">
        <w:rPr>
          <w:rFonts w:cs="Times New Roman"/>
        </w:rPr>
        <w:t>GB 50118</w:t>
      </w:r>
      <w:r w:rsidRPr="0081478A">
        <w:rPr>
          <w:rFonts w:cs="Times New Roman"/>
        </w:rPr>
        <w:t>只规定了构件的单一空气隔声性能的建筑，</w:t>
      </w:r>
      <w:r w:rsidR="001E4FF8">
        <w:rPr>
          <w:rFonts w:cs="Times New Roman" w:hint="eastAsia"/>
        </w:rPr>
        <w:t>本</w:t>
      </w:r>
      <w:r w:rsidRPr="0081478A">
        <w:rPr>
          <w:rFonts w:cs="Times New Roman"/>
        </w:rPr>
        <w:t>条认定该构件对应的空气隔声性能数值为低限标准限值，而高要求标准限值则在此基础上提高</w:t>
      </w:r>
      <w:r w:rsidRPr="0081478A">
        <w:rPr>
          <w:rFonts w:cs="Times New Roman"/>
        </w:rPr>
        <w:t>5dB</w:t>
      </w:r>
      <w:r w:rsidRPr="0081478A">
        <w:rPr>
          <w:rFonts w:cs="Times New Roman"/>
        </w:rPr>
        <w:t>。</w:t>
      </w:r>
    </w:p>
    <w:p w14:paraId="57099D71" w14:textId="629CA356" w:rsidR="002B4D27" w:rsidRPr="0081478A" w:rsidRDefault="002B4D27" w:rsidP="002B4D27">
      <w:pPr>
        <w:ind w:firstLine="420"/>
        <w:rPr>
          <w:rFonts w:cs="Times New Roman"/>
        </w:rPr>
      </w:pPr>
      <w:r w:rsidRPr="0081478A">
        <w:rPr>
          <w:rFonts w:cs="Times New Roman"/>
        </w:rPr>
        <w:t>同样地，</w:t>
      </w:r>
      <w:bookmarkStart w:id="99" w:name="_Hlk34049833"/>
      <w:r w:rsidRPr="0081478A">
        <w:rPr>
          <w:rFonts w:cs="Times New Roman"/>
        </w:rPr>
        <w:t>对于只有单一楼板撞击声隔声性能的建筑类型，并规定高要求标准限值为低限标准限值降低</w:t>
      </w:r>
      <w:r w:rsidR="00A2113B">
        <w:rPr>
          <w:rFonts w:cs="Times New Roman"/>
        </w:rPr>
        <w:t>10</w:t>
      </w:r>
      <w:r w:rsidRPr="0081478A">
        <w:rPr>
          <w:rFonts w:cs="Times New Roman"/>
        </w:rPr>
        <w:t>dB</w:t>
      </w:r>
      <w:bookmarkEnd w:id="99"/>
      <w:r w:rsidRPr="0081478A">
        <w:rPr>
          <w:rFonts w:cs="Times New Roman"/>
        </w:rPr>
        <w:t>。</w:t>
      </w:r>
    </w:p>
    <w:p w14:paraId="26E9E838" w14:textId="72A826B5" w:rsidR="002B4D27" w:rsidRPr="0081478A" w:rsidRDefault="002B4D27" w:rsidP="002B4D27">
      <w:pPr>
        <w:ind w:firstLine="420"/>
        <w:rPr>
          <w:rFonts w:cs="Times New Roman"/>
        </w:rPr>
      </w:pPr>
      <w:r w:rsidRPr="0081478A">
        <w:rPr>
          <w:rFonts w:cs="Times New Roman"/>
        </w:rPr>
        <w:t>对于《民用建筑隔声设计规范》</w:t>
      </w:r>
      <w:r w:rsidRPr="0081478A">
        <w:rPr>
          <w:rFonts w:cs="Times New Roman"/>
        </w:rPr>
        <w:t>GB 50118</w:t>
      </w:r>
      <w:r w:rsidRPr="0081478A">
        <w:rPr>
          <w:rFonts w:cs="Times New Roman"/>
        </w:rPr>
        <w:t>没有涉及的类型建筑的围护结构构件隔声性能可对照相似类型建筑的要求评价。</w:t>
      </w:r>
    </w:p>
    <w:p w14:paraId="767E82F5"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1EBF21C4" w14:textId="77777777" w:rsidR="0084444F" w:rsidRPr="00530A11" w:rsidRDefault="0084444F" w:rsidP="0084444F">
      <w:pPr>
        <w:ind w:firstLineChars="177" w:firstLine="372"/>
        <w:rPr>
          <w:rFonts w:cs="Times New Roman"/>
        </w:rPr>
      </w:pPr>
      <w:r w:rsidRPr="00530A11">
        <w:rPr>
          <w:rFonts w:cs="Times New Roman"/>
        </w:rPr>
        <w:t>预评价查阅相关设计文件、构件隔声性能的实验室检验报告；评价查阅相关竣工图、构件隔声性能的检验报告。</w:t>
      </w:r>
    </w:p>
    <w:p w14:paraId="4A79D18D" w14:textId="77777777" w:rsidR="00715ABB" w:rsidRPr="0084444F" w:rsidRDefault="00715ABB">
      <w:pPr>
        <w:snapToGrid w:val="0"/>
        <w:ind w:firstLine="420"/>
        <w:jc w:val="left"/>
        <w:rPr>
          <w:rFonts w:cs="Times New Roman"/>
          <w:szCs w:val="24"/>
        </w:rPr>
      </w:pPr>
    </w:p>
    <w:p w14:paraId="7D252B38" w14:textId="77777777" w:rsidR="002C09A7" w:rsidRPr="00530A11" w:rsidRDefault="002C09A7" w:rsidP="002C09A7">
      <w:pPr>
        <w:pStyle w:val="4"/>
        <w:rPr>
          <w:rFonts w:cs="Times New Roman"/>
          <w:bCs w:val="0"/>
        </w:rPr>
      </w:pPr>
      <w:r w:rsidRPr="00530A11">
        <w:rPr>
          <w:rFonts w:cs="Times New Roman"/>
          <w:bCs w:val="0"/>
        </w:rPr>
        <w:t xml:space="preserve">5.2.7 </w:t>
      </w:r>
      <w:r w:rsidRPr="00530A11">
        <w:rPr>
          <w:rFonts w:cs="Times New Roman"/>
          <w:bCs w:val="0"/>
        </w:rPr>
        <w:t>充分利用天然光，评价总分值为</w:t>
      </w:r>
      <w:r w:rsidRPr="00530A11">
        <w:rPr>
          <w:rFonts w:cs="Times New Roman"/>
          <w:bCs w:val="0"/>
        </w:rPr>
        <w:t>12</w:t>
      </w:r>
      <w:r w:rsidRPr="00530A11">
        <w:rPr>
          <w:rFonts w:cs="Times New Roman"/>
          <w:bCs w:val="0"/>
        </w:rPr>
        <w:t>分，并按下列规则分别评分并累计：</w:t>
      </w:r>
    </w:p>
    <w:p w14:paraId="15F80FB0" w14:textId="77777777" w:rsidR="002C09A7" w:rsidRPr="002C09A7" w:rsidRDefault="002C09A7" w:rsidP="002C09A7">
      <w:pPr>
        <w:snapToGrid w:val="0"/>
        <w:ind w:leftChars="100" w:left="210" w:firstLineChars="0" w:firstLine="0"/>
        <w:jc w:val="left"/>
        <w:rPr>
          <w:rFonts w:cs="Times New Roman"/>
          <w:b/>
          <w:bCs/>
        </w:rPr>
      </w:pPr>
      <w:r w:rsidRPr="002C09A7">
        <w:rPr>
          <w:rFonts w:cs="Times New Roman"/>
          <w:b/>
          <w:bCs/>
        </w:rPr>
        <w:t xml:space="preserve">1 </w:t>
      </w:r>
      <w:r w:rsidRPr="002C09A7">
        <w:rPr>
          <w:rFonts w:cs="Times New Roman" w:hint="eastAsia"/>
          <w:b/>
          <w:bCs/>
        </w:rPr>
        <w:t>住宅建筑按下列规则分别评分并累计：</w:t>
      </w:r>
    </w:p>
    <w:p w14:paraId="687E8EA7" w14:textId="77777777" w:rsidR="002C09A7" w:rsidRPr="002C09A7" w:rsidRDefault="002C09A7" w:rsidP="002C09A7">
      <w:pPr>
        <w:pStyle w:val="20"/>
        <w:ind w:firstLineChars="200" w:firstLine="422"/>
        <w:rPr>
          <w:rFonts w:ascii="Times New Roman" w:hAnsi="Times New Roman" w:cs="Times New Roman"/>
          <w:bCs/>
          <w:color w:val="auto"/>
        </w:rPr>
      </w:pPr>
      <w:r w:rsidRPr="002C09A7">
        <w:rPr>
          <w:rFonts w:ascii="Times New Roman" w:hAnsi="Times New Roman" w:cs="Times New Roman"/>
          <w:bCs/>
          <w:color w:val="auto"/>
        </w:rPr>
        <w:t>1</w:t>
      </w:r>
      <w:r w:rsidRPr="002C09A7">
        <w:rPr>
          <w:rFonts w:ascii="Times New Roman" w:hAnsi="Times New Roman" w:cs="Times New Roman" w:hint="eastAsia"/>
          <w:bCs/>
          <w:color w:val="auto"/>
        </w:rPr>
        <w:t>）住宅建筑室内主要功能空间至少</w:t>
      </w:r>
      <w:r w:rsidRPr="002C09A7">
        <w:rPr>
          <w:rFonts w:ascii="Times New Roman" w:hAnsi="Times New Roman" w:cs="Times New Roman"/>
          <w:bCs/>
          <w:color w:val="auto"/>
        </w:rPr>
        <w:t>60%</w:t>
      </w:r>
      <w:r w:rsidRPr="002C09A7">
        <w:rPr>
          <w:rFonts w:ascii="Times New Roman" w:hAnsi="Times New Roman" w:cs="Times New Roman" w:hint="eastAsia"/>
          <w:bCs/>
          <w:color w:val="auto"/>
        </w:rPr>
        <w:t>面积比例区域，其采光照度值不低于</w:t>
      </w:r>
      <w:r w:rsidRPr="002C09A7">
        <w:rPr>
          <w:rFonts w:ascii="Times New Roman" w:hAnsi="Times New Roman" w:cs="Times New Roman"/>
          <w:bCs/>
          <w:color w:val="auto"/>
        </w:rPr>
        <w:t>300lx</w:t>
      </w:r>
      <w:r w:rsidRPr="002C09A7">
        <w:rPr>
          <w:rFonts w:ascii="Times New Roman" w:hAnsi="Times New Roman" w:cs="Times New Roman" w:hint="eastAsia"/>
          <w:bCs/>
          <w:color w:val="auto"/>
        </w:rPr>
        <w:t>的小时数平均不少于</w:t>
      </w:r>
      <w:r w:rsidRPr="002C09A7">
        <w:rPr>
          <w:rFonts w:ascii="Times New Roman" w:hAnsi="Times New Roman" w:cs="Times New Roman"/>
          <w:bCs/>
          <w:color w:val="auto"/>
        </w:rPr>
        <w:t>6h/d</w:t>
      </w:r>
      <w:r w:rsidRPr="002C09A7">
        <w:rPr>
          <w:rFonts w:ascii="Times New Roman" w:hAnsi="Times New Roman" w:cs="Times New Roman" w:hint="eastAsia"/>
          <w:bCs/>
          <w:color w:val="auto"/>
        </w:rPr>
        <w:t>，得</w:t>
      </w:r>
      <w:r w:rsidRPr="002C09A7">
        <w:rPr>
          <w:rFonts w:ascii="Times New Roman" w:hAnsi="Times New Roman" w:cs="Times New Roman"/>
          <w:bCs/>
          <w:color w:val="auto"/>
        </w:rPr>
        <w:t>3</w:t>
      </w:r>
      <w:r w:rsidRPr="002C09A7">
        <w:rPr>
          <w:rFonts w:ascii="Times New Roman" w:hAnsi="Times New Roman" w:cs="Times New Roman" w:hint="eastAsia"/>
          <w:bCs/>
          <w:color w:val="auto"/>
        </w:rPr>
        <w:t>分；不少于</w:t>
      </w:r>
      <w:r w:rsidRPr="002C09A7">
        <w:rPr>
          <w:rFonts w:ascii="Times New Roman" w:hAnsi="Times New Roman" w:cs="Times New Roman"/>
          <w:bCs/>
          <w:color w:val="auto"/>
        </w:rPr>
        <w:t>8h/d</w:t>
      </w:r>
      <w:r w:rsidRPr="002C09A7">
        <w:rPr>
          <w:rFonts w:ascii="Times New Roman" w:hAnsi="Times New Roman" w:cs="Times New Roman" w:hint="eastAsia"/>
          <w:bCs/>
          <w:color w:val="auto"/>
        </w:rPr>
        <w:t>，得</w:t>
      </w:r>
      <w:r w:rsidRPr="002C09A7">
        <w:rPr>
          <w:rFonts w:ascii="Times New Roman" w:hAnsi="Times New Roman" w:cs="Times New Roman"/>
          <w:bCs/>
          <w:color w:val="auto"/>
        </w:rPr>
        <w:t>6</w:t>
      </w:r>
      <w:r w:rsidRPr="002C09A7">
        <w:rPr>
          <w:rFonts w:ascii="Times New Roman" w:hAnsi="Times New Roman" w:cs="Times New Roman" w:hint="eastAsia"/>
          <w:bCs/>
          <w:color w:val="auto"/>
        </w:rPr>
        <w:t>分；</w:t>
      </w:r>
    </w:p>
    <w:p w14:paraId="5A3393F4" w14:textId="77777777" w:rsidR="002C09A7" w:rsidRPr="002C09A7" w:rsidRDefault="002C09A7" w:rsidP="002C09A7">
      <w:pPr>
        <w:snapToGrid w:val="0"/>
        <w:ind w:firstLine="422"/>
        <w:jc w:val="left"/>
        <w:rPr>
          <w:rFonts w:cs="Times New Roman"/>
          <w:b/>
          <w:bCs/>
          <w:szCs w:val="24"/>
          <w:shd w:val="clear" w:color="auto" w:fill="FFFF00"/>
        </w:rPr>
      </w:pPr>
      <w:r w:rsidRPr="002C09A7">
        <w:rPr>
          <w:rFonts w:cs="Times New Roman"/>
          <w:b/>
          <w:bCs/>
        </w:rPr>
        <w:t>2</w:t>
      </w:r>
      <w:r w:rsidRPr="002C09A7">
        <w:rPr>
          <w:rFonts w:cs="Times New Roman" w:hint="eastAsia"/>
          <w:b/>
          <w:bCs/>
        </w:rPr>
        <w:t>）当套型内三个及以下卫生间时应采用明卫，当套型内有三个以上的卫生间时，最多只有一个卫生间为非明卫，得</w:t>
      </w:r>
      <w:r w:rsidRPr="002C09A7">
        <w:rPr>
          <w:rFonts w:cs="Times New Roman"/>
          <w:b/>
          <w:bCs/>
        </w:rPr>
        <w:t>3</w:t>
      </w:r>
      <w:r w:rsidRPr="002C09A7">
        <w:rPr>
          <w:rFonts w:cs="Times New Roman" w:hint="eastAsia"/>
          <w:b/>
          <w:bCs/>
        </w:rPr>
        <w:t>分。</w:t>
      </w:r>
    </w:p>
    <w:p w14:paraId="07BFD814" w14:textId="77777777" w:rsidR="002C09A7" w:rsidRPr="002C09A7" w:rsidRDefault="002C09A7" w:rsidP="002C09A7">
      <w:pPr>
        <w:snapToGrid w:val="0"/>
        <w:ind w:leftChars="100" w:left="210" w:firstLineChars="0" w:firstLine="0"/>
        <w:jc w:val="left"/>
        <w:rPr>
          <w:rFonts w:cs="Times New Roman"/>
          <w:b/>
          <w:bCs/>
          <w:szCs w:val="24"/>
        </w:rPr>
      </w:pPr>
      <w:r w:rsidRPr="002C09A7">
        <w:rPr>
          <w:rFonts w:cs="Times New Roman"/>
          <w:b/>
          <w:bCs/>
          <w:szCs w:val="24"/>
        </w:rPr>
        <w:t xml:space="preserve">2 </w:t>
      </w:r>
      <w:r w:rsidRPr="002C09A7">
        <w:rPr>
          <w:rFonts w:cs="Times New Roman"/>
          <w:b/>
          <w:bCs/>
          <w:szCs w:val="24"/>
        </w:rPr>
        <w:t>公共建筑按下列规则分别评分井累计：</w:t>
      </w:r>
    </w:p>
    <w:p w14:paraId="65D121F9" w14:textId="77777777" w:rsidR="002C09A7" w:rsidRPr="002C09A7" w:rsidRDefault="002C09A7" w:rsidP="002C09A7">
      <w:pPr>
        <w:snapToGrid w:val="0"/>
        <w:ind w:leftChars="100" w:left="210" w:firstLineChars="100" w:firstLine="211"/>
        <w:jc w:val="left"/>
        <w:rPr>
          <w:rFonts w:cs="Times New Roman"/>
          <w:b/>
          <w:bCs/>
          <w:szCs w:val="24"/>
        </w:rPr>
      </w:pPr>
      <w:r w:rsidRPr="002C09A7">
        <w:rPr>
          <w:rFonts w:cs="Times New Roman"/>
          <w:b/>
          <w:bCs/>
          <w:szCs w:val="24"/>
        </w:rPr>
        <w:t>1</w:t>
      </w:r>
      <w:r w:rsidRPr="002C09A7">
        <w:rPr>
          <w:rFonts w:cs="Times New Roman"/>
          <w:b/>
          <w:bCs/>
          <w:szCs w:val="24"/>
        </w:rPr>
        <w:t>）</w:t>
      </w:r>
      <w:r w:rsidRPr="002C09A7">
        <w:rPr>
          <w:rFonts w:cs="Times New Roman"/>
          <w:b/>
          <w:bCs/>
          <w:szCs w:val="24"/>
        </w:rPr>
        <w:t xml:space="preserve"> </w:t>
      </w:r>
      <w:r w:rsidRPr="002C09A7">
        <w:rPr>
          <w:rFonts w:cs="Times New Roman"/>
          <w:b/>
          <w:bCs/>
          <w:szCs w:val="24"/>
        </w:rPr>
        <w:t>内区采光系数满足采光要求的面积比例达到</w:t>
      </w:r>
      <w:r w:rsidRPr="002C09A7">
        <w:rPr>
          <w:rFonts w:cs="Times New Roman"/>
          <w:b/>
          <w:bCs/>
          <w:szCs w:val="24"/>
        </w:rPr>
        <w:t>60%</w:t>
      </w:r>
      <w:r w:rsidRPr="002C09A7">
        <w:rPr>
          <w:rFonts w:cs="Times New Roman"/>
          <w:b/>
          <w:bCs/>
          <w:szCs w:val="24"/>
        </w:rPr>
        <w:t>，得</w:t>
      </w:r>
      <w:r w:rsidRPr="002C09A7">
        <w:rPr>
          <w:rFonts w:cs="Times New Roman"/>
          <w:b/>
          <w:bCs/>
          <w:szCs w:val="24"/>
        </w:rPr>
        <w:t>3</w:t>
      </w:r>
      <w:r w:rsidRPr="002C09A7">
        <w:rPr>
          <w:rFonts w:cs="Times New Roman"/>
          <w:b/>
          <w:bCs/>
          <w:szCs w:val="24"/>
        </w:rPr>
        <w:t>分；</w:t>
      </w:r>
    </w:p>
    <w:p w14:paraId="23113BD4" w14:textId="77777777" w:rsidR="002C09A7" w:rsidRPr="002C09A7" w:rsidRDefault="002C09A7" w:rsidP="002C09A7">
      <w:pPr>
        <w:snapToGrid w:val="0"/>
        <w:ind w:firstLine="422"/>
        <w:jc w:val="left"/>
        <w:rPr>
          <w:rFonts w:cs="Times New Roman"/>
          <w:b/>
          <w:bCs/>
          <w:szCs w:val="24"/>
        </w:rPr>
      </w:pPr>
      <w:r w:rsidRPr="002C09A7">
        <w:rPr>
          <w:rFonts w:cs="Times New Roman"/>
          <w:b/>
          <w:bCs/>
          <w:szCs w:val="24"/>
        </w:rPr>
        <w:t>2</w:t>
      </w:r>
      <w:r w:rsidRPr="002C09A7">
        <w:rPr>
          <w:rFonts w:cs="Times New Roman"/>
          <w:b/>
          <w:bCs/>
          <w:szCs w:val="24"/>
        </w:rPr>
        <w:t>）</w:t>
      </w:r>
      <w:r w:rsidRPr="002C09A7">
        <w:rPr>
          <w:rFonts w:cs="Times New Roman"/>
          <w:b/>
          <w:bCs/>
          <w:szCs w:val="24"/>
        </w:rPr>
        <w:t xml:space="preserve"> </w:t>
      </w:r>
      <w:r w:rsidRPr="002C09A7">
        <w:rPr>
          <w:rFonts w:cs="Times New Roman"/>
          <w:b/>
          <w:bCs/>
          <w:szCs w:val="24"/>
        </w:rPr>
        <w:t>地下空间平均采光系数不小于</w:t>
      </w:r>
      <w:r w:rsidRPr="002C09A7">
        <w:rPr>
          <w:rFonts w:cs="Times New Roman"/>
          <w:b/>
          <w:bCs/>
          <w:szCs w:val="24"/>
        </w:rPr>
        <w:t>0.5%</w:t>
      </w:r>
      <w:r w:rsidRPr="002C09A7">
        <w:rPr>
          <w:rFonts w:cs="Times New Roman"/>
          <w:b/>
          <w:bCs/>
          <w:szCs w:val="24"/>
        </w:rPr>
        <w:t>的面积与地下室首层面积的比例达到</w:t>
      </w:r>
      <w:r w:rsidRPr="002C09A7">
        <w:rPr>
          <w:rFonts w:cs="Times New Roman"/>
          <w:b/>
          <w:bCs/>
          <w:szCs w:val="24"/>
        </w:rPr>
        <w:t>10%</w:t>
      </w:r>
      <w:r w:rsidRPr="002C09A7">
        <w:rPr>
          <w:rFonts w:cs="Times New Roman"/>
          <w:b/>
          <w:bCs/>
          <w:szCs w:val="24"/>
        </w:rPr>
        <w:t>以上，得</w:t>
      </w:r>
      <w:r w:rsidRPr="002C09A7">
        <w:rPr>
          <w:rFonts w:cs="Times New Roman"/>
          <w:b/>
          <w:bCs/>
          <w:szCs w:val="24"/>
        </w:rPr>
        <w:t>3</w:t>
      </w:r>
      <w:r w:rsidRPr="002C09A7">
        <w:rPr>
          <w:rFonts w:cs="Times New Roman"/>
          <w:b/>
          <w:bCs/>
          <w:szCs w:val="24"/>
        </w:rPr>
        <w:t>分；</w:t>
      </w:r>
    </w:p>
    <w:p w14:paraId="6730FCD8" w14:textId="77777777" w:rsidR="002C09A7" w:rsidRPr="002C09A7" w:rsidRDefault="002C09A7" w:rsidP="002C09A7">
      <w:pPr>
        <w:snapToGrid w:val="0"/>
        <w:ind w:firstLine="422"/>
        <w:jc w:val="left"/>
        <w:rPr>
          <w:rFonts w:cs="Times New Roman"/>
          <w:b/>
          <w:bCs/>
          <w:szCs w:val="24"/>
        </w:rPr>
      </w:pPr>
      <w:r w:rsidRPr="002C09A7">
        <w:rPr>
          <w:rFonts w:cs="Times New Roman"/>
          <w:b/>
          <w:bCs/>
          <w:szCs w:val="24"/>
        </w:rPr>
        <w:t>3</w:t>
      </w:r>
      <w:r w:rsidRPr="002C09A7">
        <w:rPr>
          <w:rFonts w:cs="Times New Roman"/>
          <w:b/>
          <w:bCs/>
          <w:szCs w:val="24"/>
        </w:rPr>
        <w:t>）</w:t>
      </w:r>
      <w:r w:rsidRPr="002C09A7">
        <w:rPr>
          <w:rFonts w:cs="Times New Roman"/>
          <w:b/>
          <w:bCs/>
          <w:szCs w:val="24"/>
        </w:rPr>
        <w:t xml:space="preserve"> </w:t>
      </w:r>
      <w:r w:rsidRPr="002C09A7">
        <w:rPr>
          <w:rFonts w:cs="Times New Roman"/>
          <w:b/>
          <w:bCs/>
          <w:szCs w:val="24"/>
        </w:rPr>
        <w:t>室内主要功能空间至少</w:t>
      </w:r>
      <w:r w:rsidRPr="002C09A7">
        <w:rPr>
          <w:rFonts w:cs="Times New Roman"/>
          <w:b/>
          <w:bCs/>
          <w:szCs w:val="24"/>
        </w:rPr>
        <w:t>60%</w:t>
      </w:r>
      <w:r w:rsidRPr="002C09A7">
        <w:rPr>
          <w:rFonts w:cs="Times New Roman"/>
          <w:b/>
          <w:bCs/>
          <w:szCs w:val="24"/>
        </w:rPr>
        <w:t>面积比例区域的采光照度值不低于采光要求的小时数平均不少于</w:t>
      </w:r>
      <w:r w:rsidRPr="002C09A7">
        <w:rPr>
          <w:rFonts w:cs="Times New Roman"/>
          <w:b/>
          <w:bCs/>
          <w:szCs w:val="24"/>
        </w:rPr>
        <w:t>4h/d</w:t>
      </w:r>
      <w:r w:rsidRPr="002C09A7">
        <w:rPr>
          <w:rFonts w:cs="Times New Roman"/>
          <w:b/>
          <w:bCs/>
          <w:szCs w:val="24"/>
        </w:rPr>
        <w:t>，得</w:t>
      </w:r>
      <w:r w:rsidRPr="002C09A7">
        <w:rPr>
          <w:rFonts w:cs="Times New Roman"/>
          <w:b/>
          <w:bCs/>
          <w:szCs w:val="24"/>
        </w:rPr>
        <w:t>3</w:t>
      </w:r>
      <w:r w:rsidRPr="002C09A7">
        <w:rPr>
          <w:rFonts w:cs="Times New Roman"/>
          <w:b/>
          <w:bCs/>
          <w:szCs w:val="24"/>
        </w:rPr>
        <w:t>分。</w:t>
      </w:r>
    </w:p>
    <w:p w14:paraId="5D60D996" w14:textId="77777777" w:rsidR="002C09A7" w:rsidRPr="002C09A7" w:rsidRDefault="002C09A7" w:rsidP="002C09A7">
      <w:pPr>
        <w:snapToGrid w:val="0"/>
        <w:ind w:leftChars="100" w:left="210" w:firstLineChars="0" w:firstLine="0"/>
        <w:jc w:val="left"/>
        <w:rPr>
          <w:rFonts w:cs="Times New Roman"/>
          <w:b/>
          <w:bCs/>
          <w:szCs w:val="24"/>
        </w:rPr>
      </w:pPr>
      <w:r w:rsidRPr="002C09A7">
        <w:rPr>
          <w:rFonts w:cs="Times New Roman"/>
          <w:b/>
          <w:bCs/>
          <w:szCs w:val="24"/>
        </w:rPr>
        <w:t xml:space="preserve">3 </w:t>
      </w:r>
      <w:r w:rsidRPr="002C09A7">
        <w:rPr>
          <w:rFonts w:cs="Times New Roman"/>
          <w:b/>
          <w:bCs/>
          <w:szCs w:val="24"/>
        </w:rPr>
        <w:t>主要功能房间有眩光控制措施，得</w:t>
      </w:r>
      <w:r w:rsidRPr="002C09A7">
        <w:rPr>
          <w:rFonts w:cs="Times New Roman"/>
          <w:b/>
          <w:bCs/>
          <w:szCs w:val="24"/>
        </w:rPr>
        <w:t>3</w:t>
      </w:r>
      <w:r w:rsidRPr="002C09A7">
        <w:rPr>
          <w:rFonts w:cs="Times New Roman"/>
          <w:b/>
          <w:bCs/>
          <w:szCs w:val="24"/>
        </w:rPr>
        <w:t>分。</w:t>
      </w:r>
    </w:p>
    <w:p w14:paraId="1B0A4518" w14:textId="77777777" w:rsidR="00715ABB" w:rsidRPr="0081478A" w:rsidRDefault="00F44390">
      <w:pPr>
        <w:ind w:firstLineChars="0" w:firstLine="0"/>
        <w:rPr>
          <w:rFonts w:cs="Times New Roman"/>
          <w:b/>
          <w:szCs w:val="24"/>
        </w:rPr>
      </w:pPr>
      <w:r w:rsidRPr="0081478A">
        <w:rPr>
          <w:rFonts w:cs="Times New Roman"/>
          <w:b/>
          <w:szCs w:val="24"/>
        </w:rPr>
        <w:t>【条文说明】</w:t>
      </w:r>
    </w:p>
    <w:p w14:paraId="1C538DCD" w14:textId="77777777" w:rsidR="0087265D" w:rsidRPr="00530A11" w:rsidRDefault="0087265D" w:rsidP="0087265D">
      <w:pPr>
        <w:ind w:firstLine="420"/>
        <w:rPr>
          <w:szCs w:val="24"/>
        </w:rPr>
      </w:pPr>
      <w:r w:rsidRPr="00530A11">
        <w:t>本条适用于各类民用建筑的预评价、评价。</w:t>
      </w:r>
    </w:p>
    <w:p w14:paraId="4C73A3E6"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8.2.6</w:t>
      </w:r>
      <w:r w:rsidRPr="00530A11">
        <w:rPr>
          <w:rFonts w:cs="Times New Roman"/>
        </w:rPr>
        <w:t>、</w:t>
      </w:r>
      <w:r w:rsidRPr="00530A11">
        <w:rPr>
          <w:rFonts w:cs="Times New Roman"/>
        </w:rPr>
        <w:t>8.2.7</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8.2.6</w:t>
      </w:r>
      <w:r w:rsidRPr="00530A11">
        <w:rPr>
          <w:rFonts w:cs="Times New Roman"/>
        </w:rPr>
        <w:t>、</w:t>
      </w:r>
      <w:r w:rsidRPr="00530A11">
        <w:rPr>
          <w:rFonts w:cs="Times New Roman"/>
        </w:rPr>
        <w:t>8.2.7</w:t>
      </w:r>
      <w:r w:rsidRPr="00530A11">
        <w:rPr>
          <w:rFonts w:cs="Times New Roman"/>
        </w:rPr>
        <w:t>条的基础上发展而来。</w:t>
      </w:r>
    </w:p>
    <w:p w14:paraId="0B6391C3" w14:textId="18D89428" w:rsidR="0087265D" w:rsidRPr="00530A11" w:rsidRDefault="0087265D" w:rsidP="0087265D">
      <w:pPr>
        <w:ind w:firstLine="420"/>
        <w:rPr>
          <w:rFonts w:cs="Times New Roman"/>
        </w:rPr>
      </w:pPr>
      <w:r w:rsidRPr="00530A11">
        <w:rPr>
          <w:rFonts w:cs="Times New Roman"/>
        </w:rPr>
        <w:t>本条对住宅建筑和公共建筑达到采光照度要求的采光区域和采光时间提出了要求，以更为全面地评价室内采光质量。天然采光不仅有利于照明节能，而且有利于增加室内外的自然</w:t>
      </w:r>
      <w:r w:rsidRPr="00530A11">
        <w:rPr>
          <w:rFonts w:cs="Times New Roman"/>
        </w:rPr>
        <w:lastRenderedPageBreak/>
        <w:t>信息交流，改善空间卫生环境，调节空间使用者的心情。对于大进深、地下空间宜优先通过合理的建筑设计（如半地下室、天窗等方式</w:t>
      </w:r>
      <w:r w:rsidR="0014508E">
        <w:rPr>
          <w:rFonts w:cs="Times New Roman" w:hint="eastAsia"/>
        </w:rPr>
        <w:t>）</w:t>
      </w:r>
      <w:r w:rsidRPr="00530A11">
        <w:rPr>
          <w:rFonts w:cs="Times New Roman"/>
        </w:rPr>
        <w:t>改善天然采光条件，且尽可能地避免出现无窗空间。对于无法避免的情况，鼓励通过导光管、棱镜玻璃等合理措施充分利用天然光，促进人们的舒适健康，但此时应对无法避免因素进行解释说明。</w:t>
      </w:r>
    </w:p>
    <w:p w14:paraId="05DBAC34" w14:textId="47B870FD" w:rsidR="0087265D" w:rsidRPr="00530A11" w:rsidRDefault="0087265D" w:rsidP="0087265D">
      <w:pPr>
        <w:ind w:firstLine="420"/>
        <w:rPr>
          <w:rFonts w:cs="Times New Roman"/>
        </w:rPr>
      </w:pPr>
      <w:r w:rsidRPr="00530A11">
        <w:rPr>
          <w:rFonts w:cs="Times New Roman"/>
        </w:rPr>
        <w:t>第</w:t>
      </w:r>
      <w:r w:rsidRPr="00530A11">
        <w:rPr>
          <w:rFonts w:cs="Times New Roman"/>
        </w:rPr>
        <w:t>l</w:t>
      </w:r>
      <w:r w:rsidRPr="00530A11">
        <w:rPr>
          <w:rFonts w:cs="Times New Roman"/>
        </w:rPr>
        <w:t>款和第</w:t>
      </w:r>
      <w:r w:rsidRPr="00530A11">
        <w:rPr>
          <w:rFonts w:cs="Times New Roman"/>
        </w:rPr>
        <w:t>2</w:t>
      </w:r>
      <w:r w:rsidRPr="00530A11">
        <w:rPr>
          <w:rFonts w:cs="Times New Roman"/>
        </w:rPr>
        <w:t>款针对住宅建筑和公共建筑分别提出评价要求。为了更加真实地反映天然光利用的效果，采用基于天然光气候数据的建筑采光全年动态分析的方法对其进行评价。建筑及采光设计时，可通过软件对建筑的动态采光效果进行计算分析，根据计算结构合理进行采光系统设计。采光模拟应符合现行行业标准《民用建筑绿色性能计算标准》</w:t>
      </w:r>
      <w:r w:rsidRPr="00530A11">
        <w:rPr>
          <w:rFonts w:cs="Times New Roman"/>
        </w:rPr>
        <w:t>JGJ/T449</w:t>
      </w:r>
      <w:r w:rsidRPr="00530A11">
        <w:rPr>
          <w:rFonts w:cs="Times New Roman"/>
        </w:rPr>
        <w:t>的相关规定。采光相关指标的计算过程中，相关参数应设定为</w:t>
      </w:r>
      <w:r w:rsidR="0014508E">
        <w:rPr>
          <w:rFonts w:cs="Times New Roman" w:hint="eastAsia"/>
        </w:rPr>
        <w:t>：</w:t>
      </w:r>
      <w:r w:rsidRPr="00530A11">
        <w:rPr>
          <w:rFonts w:cs="Times New Roman"/>
        </w:rPr>
        <w:t>地面反射比</w:t>
      </w:r>
      <w:r w:rsidRPr="00530A11">
        <w:rPr>
          <w:rFonts w:cs="Times New Roman"/>
        </w:rPr>
        <w:t>0.3</w:t>
      </w:r>
      <w:r w:rsidRPr="00530A11">
        <w:rPr>
          <w:rFonts w:cs="Times New Roman"/>
        </w:rPr>
        <w:t>，墙面</w:t>
      </w:r>
      <w:r w:rsidRPr="00530A11">
        <w:rPr>
          <w:rFonts w:cs="Times New Roman"/>
        </w:rPr>
        <w:t>0.6</w:t>
      </w:r>
      <w:r w:rsidRPr="00530A11">
        <w:rPr>
          <w:rFonts w:cs="Times New Roman"/>
        </w:rPr>
        <w:t>，外表面</w:t>
      </w:r>
      <w:r w:rsidRPr="00530A11">
        <w:rPr>
          <w:rFonts w:cs="Times New Roman"/>
        </w:rPr>
        <w:t>0.5</w:t>
      </w:r>
      <w:r w:rsidRPr="00530A11">
        <w:rPr>
          <w:rFonts w:cs="Times New Roman"/>
        </w:rPr>
        <w:t>，顶棚</w:t>
      </w:r>
      <w:r w:rsidRPr="00530A11">
        <w:rPr>
          <w:rFonts w:cs="Times New Roman"/>
        </w:rPr>
        <w:t>0.75</w:t>
      </w:r>
      <w:r w:rsidRPr="00530A11">
        <w:rPr>
          <w:rFonts w:cs="Times New Roman"/>
        </w:rPr>
        <w:t>。外窗的透射比应根据设计图纸确定。如果设计图纸中涉及的相关参数有所不同，需提供材料测试报告。此外，卫生间是住宅内部的一个空气污染源，卫生间开设外窗有利于污浊、潮湿空气的排放，但是套内空间的平面布置常常又很难保证卫生间一定能靠外墙。因此，本条第</w:t>
      </w:r>
      <w:r w:rsidRPr="00530A11">
        <w:rPr>
          <w:rFonts w:cs="Times New Roman"/>
        </w:rPr>
        <w:t>1</w:t>
      </w:r>
      <w:r w:rsidRPr="00530A11">
        <w:rPr>
          <w:rFonts w:cs="Times New Roman"/>
        </w:rPr>
        <w:t>款规定在一套住宅有三个以上卫生间的情况下，最多只能有一个卫生间未开设外窗。</w:t>
      </w:r>
    </w:p>
    <w:p w14:paraId="5769E982" w14:textId="77777777" w:rsidR="0087265D" w:rsidRPr="00530A11" w:rsidRDefault="0087265D" w:rsidP="0087265D">
      <w:pPr>
        <w:ind w:firstLine="420"/>
        <w:rPr>
          <w:rFonts w:cs="Times New Roman"/>
        </w:rPr>
      </w:pPr>
      <w:r w:rsidRPr="00530A11">
        <w:rPr>
          <w:rFonts w:cs="Times New Roman"/>
        </w:rPr>
        <w:t>第</w:t>
      </w:r>
      <w:r w:rsidRPr="00530A11">
        <w:rPr>
          <w:rFonts w:cs="Times New Roman"/>
        </w:rPr>
        <w:t>3</w:t>
      </w:r>
      <w:r w:rsidRPr="00530A11">
        <w:rPr>
          <w:rFonts w:cs="Times New Roman"/>
        </w:rPr>
        <w:t>款，过度阳光进入室内会造成强烈的明暗对比，影响室内人员的视觉舒适度。因此在充分利用天然光资源的同时，还应采取必要的措施控制不舒适眩光，如作业区域减少或避免阳光直射、采用室内外遮挡设施等，并应符合现行国家标准《建筑采光设计标准》</w:t>
      </w:r>
      <w:r w:rsidRPr="00530A11">
        <w:rPr>
          <w:rFonts w:cs="Times New Roman"/>
        </w:rPr>
        <w:t>GB50033</w:t>
      </w:r>
      <w:r w:rsidRPr="00530A11">
        <w:rPr>
          <w:rFonts w:cs="Times New Roman"/>
        </w:rPr>
        <w:t>中控制不舒适眩光的相关规定。</w:t>
      </w:r>
    </w:p>
    <w:p w14:paraId="67C9DA38" w14:textId="0BA4BFC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4A5DFEF2" w14:textId="594B8397" w:rsidR="000012EA" w:rsidRPr="0081478A" w:rsidRDefault="000012EA" w:rsidP="00921836">
      <w:pPr>
        <w:ind w:firstLine="420"/>
        <w:rPr>
          <w:rFonts w:cs="Times New Roman"/>
        </w:rPr>
      </w:pPr>
      <w:r w:rsidRPr="0081478A">
        <w:rPr>
          <w:rFonts w:cs="Times New Roman"/>
        </w:rPr>
        <w:t>1</w:t>
      </w:r>
      <w:r w:rsidRPr="0081478A">
        <w:rPr>
          <w:rFonts w:cs="Times New Roman"/>
        </w:rPr>
        <w:t>）室内采光数值分析报告应参考</w:t>
      </w:r>
      <w:r w:rsidRPr="006C79E9">
        <w:rPr>
          <w:rFonts w:cs="Times New Roman" w:hint="eastAsia"/>
        </w:rPr>
        <w:t>附录</w:t>
      </w:r>
      <w:r w:rsidRPr="006C79E9">
        <w:rPr>
          <w:rFonts w:eastAsia="仿宋" w:cs="Times New Roman"/>
          <w:szCs w:val="21"/>
        </w:rPr>
        <w:t>A.3</w:t>
      </w:r>
      <w:r w:rsidRPr="006C79E9">
        <w:rPr>
          <w:rFonts w:eastAsia="仿宋" w:cs="Times New Roman"/>
          <w:szCs w:val="21"/>
        </w:rPr>
        <w:t>的</w:t>
      </w:r>
      <w:r w:rsidRPr="0081478A">
        <w:rPr>
          <w:rFonts w:eastAsia="仿宋" w:cs="Times New Roman"/>
          <w:szCs w:val="21"/>
        </w:rPr>
        <w:t>要求</w:t>
      </w:r>
    </w:p>
    <w:p w14:paraId="45C5822A" w14:textId="3240F6E4" w:rsidR="002B4D27" w:rsidRPr="0081478A" w:rsidRDefault="000012EA" w:rsidP="002B4D27">
      <w:pPr>
        <w:ind w:firstLine="420"/>
        <w:rPr>
          <w:rFonts w:cs="Times New Roman"/>
        </w:rPr>
      </w:pPr>
      <w:r w:rsidRPr="0081478A">
        <w:rPr>
          <w:rFonts w:cs="Times New Roman"/>
        </w:rPr>
        <w:t>2</w:t>
      </w:r>
      <w:r w:rsidR="002B4D27" w:rsidRPr="0081478A">
        <w:rPr>
          <w:rFonts w:cs="Times New Roman"/>
        </w:rPr>
        <w:t>）第</w:t>
      </w:r>
      <w:r w:rsidR="002B4D27" w:rsidRPr="0081478A">
        <w:rPr>
          <w:rFonts w:cs="Times New Roman"/>
        </w:rPr>
        <w:t>1</w:t>
      </w:r>
      <w:r w:rsidR="002B4D27" w:rsidRPr="0081478A">
        <w:rPr>
          <w:rFonts w:cs="Times New Roman"/>
        </w:rPr>
        <w:t>款第</w:t>
      </w:r>
      <w:r w:rsidR="002B4D27" w:rsidRPr="0081478A">
        <w:rPr>
          <w:rFonts w:cs="Times New Roman"/>
        </w:rPr>
        <w:t>1</w:t>
      </w:r>
      <w:r w:rsidR="002B4D27" w:rsidRPr="0081478A">
        <w:rPr>
          <w:rFonts w:cs="Times New Roman"/>
        </w:rPr>
        <w:t>条和第</w:t>
      </w:r>
      <w:r w:rsidR="002B4D27" w:rsidRPr="0081478A">
        <w:rPr>
          <w:rFonts w:cs="Times New Roman"/>
        </w:rPr>
        <w:t>2</w:t>
      </w:r>
      <w:r w:rsidR="002B4D27" w:rsidRPr="0081478A">
        <w:rPr>
          <w:rFonts w:cs="Times New Roman"/>
        </w:rPr>
        <w:t>款第</w:t>
      </w:r>
      <w:r w:rsidR="002B4D27" w:rsidRPr="0081478A">
        <w:rPr>
          <w:rFonts w:cs="Times New Roman"/>
        </w:rPr>
        <w:t>3</w:t>
      </w:r>
      <w:r w:rsidR="002B4D27" w:rsidRPr="0081478A">
        <w:rPr>
          <w:rFonts w:cs="Times New Roman"/>
        </w:rPr>
        <w:t>条，对于住宅和公共建筑的主要功能房间采用全年中建筑空间各位置满足采光照度要求的时长来进行采光效果评价，也称为动态采光评价，一般采用全年动态采光计算软件进行计算，计算时应采用标准年的光气候数据。对于设计阶段，计算参数按照现行行业标准《民用建筑绿色性能计算标准》</w:t>
      </w:r>
      <w:r w:rsidR="002B4D27" w:rsidRPr="0081478A">
        <w:rPr>
          <w:rFonts w:cs="Times New Roman"/>
        </w:rPr>
        <w:t>JGJ/T</w:t>
      </w:r>
      <w:r w:rsidR="001E4FF8">
        <w:rPr>
          <w:rFonts w:cs="Times New Roman"/>
        </w:rPr>
        <w:t xml:space="preserve"> </w:t>
      </w:r>
      <w:r w:rsidR="002B4D27" w:rsidRPr="0081478A">
        <w:rPr>
          <w:rFonts w:cs="Times New Roman"/>
        </w:rPr>
        <w:t>449</w:t>
      </w:r>
      <w:r w:rsidR="002B4D27" w:rsidRPr="0081478A">
        <w:rPr>
          <w:rFonts w:cs="Times New Roman"/>
        </w:rPr>
        <w:t>执行；对于运行阶段可按照建筑实际参数进行计算，以获得准确的采光效果计算结果。本款所指采光照度值为平均值。</w:t>
      </w:r>
    </w:p>
    <w:p w14:paraId="451F6DB5" w14:textId="77777777" w:rsidR="002B4D27" w:rsidRPr="0081478A" w:rsidRDefault="002B4D27" w:rsidP="002B4D27">
      <w:pPr>
        <w:ind w:firstLine="420"/>
        <w:rPr>
          <w:rFonts w:cs="Times New Roman"/>
        </w:rPr>
      </w:pPr>
      <w:r w:rsidRPr="0081478A">
        <w:rPr>
          <w:rFonts w:cs="Times New Roman"/>
        </w:rPr>
        <w:t>核查计算的模型是否准确，如窗户大小和位置、吊顶、周边遮挡建筑是否有考虑。采光计算参考面、天空模型设置是否准确，室内表面反射比应设定为：地面反射比</w:t>
      </w:r>
      <w:r w:rsidRPr="0081478A">
        <w:rPr>
          <w:rFonts w:cs="Times New Roman"/>
        </w:rPr>
        <w:t>0.3</w:t>
      </w:r>
      <w:r w:rsidRPr="0081478A">
        <w:rPr>
          <w:rFonts w:cs="Times New Roman"/>
        </w:rPr>
        <w:t>，墙面</w:t>
      </w:r>
      <w:r w:rsidRPr="0081478A">
        <w:rPr>
          <w:rFonts w:cs="Times New Roman"/>
        </w:rPr>
        <w:t>0.6</w:t>
      </w:r>
      <w:r w:rsidRPr="0081478A">
        <w:rPr>
          <w:rFonts w:cs="Times New Roman"/>
        </w:rPr>
        <w:t>，外表面</w:t>
      </w:r>
      <w:r w:rsidRPr="0081478A">
        <w:rPr>
          <w:rFonts w:cs="Times New Roman"/>
        </w:rPr>
        <w:t>0.5</w:t>
      </w:r>
      <w:r w:rsidRPr="0081478A">
        <w:rPr>
          <w:rFonts w:cs="Times New Roman"/>
        </w:rPr>
        <w:t>，顶棚</w:t>
      </w:r>
      <w:r w:rsidRPr="0081478A">
        <w:rPr>
          <w:rFonts w:cs="Times New Roman"/>
        </w:rPr>
        <w:t>0.75</w:t>
      </w:r>
      <w:r w:rsidRPr="0081478A">
        <w:rPr>
          <w:rFonts w:cs="Times New Roman"/>
        </w:rPr>
        <w:t>。外窗的透射比应根据设计图纸确定，与节能设计一致（总透射比）。如果设计图纸中涉及的相关参数有所不同，需提供材料测试报告。</w:t>
      </w:r>
    </w:p>
    <w:p w14:paraId="61C09A89" w14:textId="39CF3434" w:rsidR="002B4D27" w:rsidRPr="0081478A" w:rsidRDefault="000012EA" w:rsidP="002B4D27">
      <w:pPr>
        <w:ind w:firstLine="420"/>
        <w:rPr>
          <w:rFonts w:cs="Times New Roman"/>
        </w:rPr>
      </w:pPr>
      <w:r w:rsidRPr="0081478A">
        <w:rPr>
          <w:rFonts w:cs="Times New Roman"/>
        </w:rPr>
        <w:lastRenderedPageBreak/>
        <w:t>3</w:t>
      </w:r>
      <w:r w:rsidR="002B4D27" w:rsidRPr="0081478A">
        <w:rPr>
          <w:rFonts w:cs="Times New Roman"/>
        </w:rPr>
        <w:t>）住宅建筑的主要功能空间包括卧室、起居室（厅）等。宿舍建筑按本款的要求执行。公共建筑主要功能空间为现行国家标准《建筑采光设计标准》</w:t>
      </w:r>
      <w:r w:rsidR="002B4D27" w:rsidRPr="0081478A">
        <w:rPr>
          <w:rFonts w:cs="Times New Roman"/>
        </w:rPr>
        <w:t>GB</w:t>
      </w:r>
      <w:r w:rsidR="00EC1F2D">
        <w:rPr>
          <w:rFonts w:cs="Times New Roman"/>
        </w:rPr>
        <w:t xml:space="preserve"> </w:t>
      </w:r>
      <w:r w:rsidR="002B4D27" w:rsidRPr="0081478A">
        <w:rPr>
          <w:rFonts w:cs="Times New Roman"/>
        </w:rPr>
        <w:t>50033</w:t>
      </w:r>
      <w:r w:rsidR="002B4D27" w:rsidRPr="0081478A">
        <w:rPr>
          <w:rFonts w:cs="Times New Roman"/>
        </w:rPr>
        <w:t>中</w:t>
      </w:r>
      <w:r w:rsidR="002B4D27" w:rsidRPr="0081478A">
        <w:rPr>
          <w:rFonts w:cs="Times New Roman"/>
        </w:rPr>
        <w:t>Ⅱ~Ⅳ</w:t>
      </w:r>
      <w:r w:rsidR="002B4D27" w:rsidRPr="0081478A">
        <w:rPr>
          <w:rFonts w:cs="Times New Roman"/>
        </w:rPr>
        <w:t>级有采光标准值要求的场所，当某场所的视觉活动类型与标准中规定的场所相同或相似且未作规定时，应参照相关场所的采光标准值执行。评价方式为对各主要功能房间的全年采光分别计算并统计达标的面积，再统计总的达标面积并计算其占功能房间总面积的比例，并根据达标比例进行评分。</w:t>
      </w:r>
    </w:p>
    <w:p w14:paraId="34F5552F" w14:textId="634E7221" w:rsidR="002B4D27" w:rsidRPr="0081478A" w:rsidRDefault="000012EA" w:rsidP="002B4D27">
      <w:pPr>
        <w:ind w:firstLine="420"/>
        <w:rPr>
          <w:rFonts w:cs="Times New Roman"/>
        </w:rPr>
      </w:pPr>
      <w:r w:rsidRPr="0081478A">
        <w:rPr>
          <w:rFonts w:cs="Times New Roman"/>
        </w:rPr>
        <w:t>4</w:t>
      </w:r>
      <w:r w:rsidR="002B4D27" w:rsidRPr="0081478A">
        <w:rPr>
          <w:rFonts w:cs="Times New Roman"/>
        </w:rPr>
        <w:t>）第</w:t>
      </w:r>
      <w:r w:rsidR="002B4D27" w:rsidRPr="0081478A">
        <w:rPr>
          <w:rFonts w:cs="Times New Roman"/>
        </w:rPr>
        <w:t>2</w:t>
      </w:r>
      <w:r w:rsidR="002B4D27" w:rsidRPr="0081478A">
        <w:rPr>
          <w:rFonts w:cs="Times New Roman"/>
        </w:rPr>
        <w:t>款中的内区是针对外区而言的，为简化，一般情况下外区的定义为距离建筑外围护结构</w:t>
      </w:r>
      <w:r w:rsidR="002B4D27" w:rsidRPr="0081478A">
        <w:rPr>
          <w:rFonts w:cs="Times New Roman"/>
        </w:rPr>
        <w:t>5m</w:t>
      </w:r>
      <w:r w:rsidR="002B4D27" w:rsidRPr="0081478A">
        <w:rPr>
          <w:rFonts w:cs="Times New Roman"/>
        </w:rPr>
        <w:t>范围内的区域。如果参评建筑无内区，且有控制眩光的措施，第</w:t>
      </w:r>
      <w:r w:rsidR="002B4D27" w:rsidRPr="0081478A">
        <w:rPr>
          <w:rFonts w:cs="Times New Roman"/>
        </w:rPr>
        <w:t>2</w:t>
      </w:r>
      <w:r w:rsidR="002B4D27" w:rsidRPr="0081478A">
        <w:rPr>
          <w:rFonts w:cs="Times New Roman"/>
        </w:rPr>
        <w:t>款第</w:t>
      </w:r>
      <w:r w:rsidR="002B4D27" w:rsidRPr="0081478A">
        <w:rPr>
          <w:rFonts w:cs="Times New Roman"/>
        </w:rPr>
        <w:t>1</w:t>
      </w:r>
      <w:r w:rsidR="002B4D27" w:rsidRPr="0081478A">
        <w:rPr>
          <w:rFonts w:cs="Times New Roman"/>
        </w:rPr>
        <w:t>条直接得</w:t>
      </w:r>
      <w:r w:rsidR="002B4D27" w:rsidRPr="0081478A">
        <w:rPr>
          <w:rFonts w:cs="Times New Roman"/>
        </w:rPr>
        <w:t>3</w:t>
      </w:r>
      <w:r w:rsidR="002B4D27" w:rsidRPr="0081478A">
        <w:rPr>
          <w:rFonts w:cs="Times New Roman"/>
        </w:rPr>
        <w:t>分。如果参评建筑没有地下部分，第</w:t>
      </w:r>
      <w:r w:rsidR="002B4D27" w:rsidRPr="0081478A">
        <w:rPr>
          <w:rFonts w:cs="Times New Roman"/>
        </w:rPr>
        <w:t>2</w:t>
      </w:r>
      <w:r w:rsidR="002B4D27" w:rsidRPr="0081478A">
        <w:rPr>
          <w:rFonts w:cs="Times New Roman"/>
        </w:rPr>
        <w:t>款第</w:t>
      </w:r>
      <w:r w:rsidR="002B4D27" w:rsidRPr="0081478A">
        <w:rPr>
          <w:rFonts w:cs="Times New Roman"/>
        </w:rPr>
        <w:t>2</w:t>
      </w:r>
      <w:r w:rsidR="002B4D27" w:rsidRPr="0081478A">
        <w:rPr>
          <w:rFonts w:cs="Times New Roman"/>
        </w:rPr>
        <w:t>条直接得</w:t>
      </w:r>
      <w:r w:rsidR="002B4D27" w:rsidRPr="0081478A">
        <w:rPr>
          <w:rFonts w:cs="Times New Roman"/>
        </w:rPr>
        <w:t>3</w:t>
      </w:r>
      <w:r w:rsidR="002B4D27" w:rsidRPr="0081478A">
        <w:rPr>
          <w:rFonts w:cs="Times New Roman"/>
        </w:rPr>
        <w:t>分。</w:t>
      </w:r>
    </w:p>
    <w:p w14:paraId="42D1B6A1" w14:textId="537D512D" w:rsidR="002B4D27" w:rsidRPr="0081478A" w:rsidRDefault="000012EA" w:rsidP="002B4D27">
      <w:pPr>
        <w:ind w:firstLine="420"/>
        <w:rPr>
          <w:rFonts w:cs="Times New Roman"/>
        </w:rPr>
      </w:pPr>
      <w:r w:rsidRPr="0081478A">
        <w:rPr>
          <w:rFonts w:cs="Times New Roman"/>
        </w:rPr>
        <w:t>5</w:t>
      </w:r>
      <w:r w:rsidR="002B4D27" w:rsidRPr="0081478A">
        <w:rPr>
          <w:rFonts w:cs="Times New Roman"/>
        </w:rPr>
        <w:t>）第</w:t>
      </w:r>
      <w:r w:rsidR="002B4D27" w:rsidRPr="0081478A">
        <w:rPr>
          <w:rFonts w:cs="Times New Roman"/>
        </w:rPr>
        <w:t>3</w:t>
      </w:r>
      <w:r w:rsidR="002B4D27" w:rsidRPr="0081478A">
        <w:rPr>
          <w:rFonts w:cs="Times New Roman"/>
        </w:rPr>
        <w:t>款，要求符合《建筑采光设计标准》（</w:t>
      </w:r>
      <w:r w:rsidR="002B4D27" w:rsidRPr="0081478A">
        <w:rPr>
          <w:rFonts w:cs="Times New Roman"/>
        </w:rPr>
        <w:t>GB 50033—2013</w:t>
      </w:r>
      <w:r w:rsidR="002B4D27" w:rsidRPr="0081478A">
        <w:rPr>
          <w:rFonts w:cs="Times New Roman"/>
        </w:rPr>
        <w:t>）中控制不舒适眩光的相关规定。在充分利用天然光资源的同时，还应采取必要的措施控制不舒适眩光，包括窗帘、百叶、调光玻璃等。建议眩光控制装置能够根据太阳位置的不同进行自动调整，从而确保在限制眩光的过程中也能充分利用天然光带来的照明增益。本款同时要求主要功能房间的最大采光系数和平均采光系数的比值小于</w:t>
      </w:r>
      <w:r w:rsidR="002B4D27" w:rsidRPr="0081478A">
        <w:rPr>
          <w:rFonts w:cs="Times New Roman"/>
        </w:rPr>
        <w:t>6</w:t>
      </w:r>
      <w:r w:rsidR="002B4D27" w:rsidRPr="0081478A">
        <w:rPr>
          <w:rFonts w:cs="Times New Roman"/>
        </w:rPr>
        <w:t>，改善室内天然采光的均匀度。若无眩光控制措施，或采光均匀度不达标，本款不得分。</w:t>
      </w:r>
    </w:p>
    <w:p w14:paraId="02580E11"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5B8A580B" w14:textId="77777777" w:rsidR="0084444F" w:rsidRPr="00530A11" w:rsidRDefault="0084444F" w:rsidP="0084444F">
      <w:pPr>
        <w:ind w:firstLineChars="177" w:firstLine="372"/>
        <w:rPr>
          <w:rFonts w:cs="Times New Roman"/>
        </w:rPr>
      </w:pPr>
      <w:r w:rsidRPr="00530A11">
        <w:rPr>
          <w:rFonts w:cs="Times New Roman"/>
        </w:rPr>
        <w:t>预评价查阅相关设计文件、计算书；评价查阅相关竣工图、计算书、采光检测报告</w:t>
      </w:r>
      <w:r w:rsidRPr="00530A11">
        <w:rPr>
          <w:rFonts w:cs="Times New Roman"/>
          <w:kern w:val="44"/>
          <w:szCs w:val="24"/>
        </w:rPr>
        <w:t>，组织现场查勘</w:t>
      </w:r>
      <w:r w:rsidRPr="00530A11">
        <w:rPr>
          <w:rFonts w:cs="Times New Roman"/>
        </w:rPr>
        <w:t>。</w:t>
      </w:r>
    </w:p>
    <w:p w14:paraId="7DF2FFCE" w14:textId="77777777" w:rsidR="00715ABB" w:rsidRPr="0084444F" w:rsidRDefault="00715ABB" w:rsidP="00E71ADE">
      <w:pPr>
        <w:snapToGrid w:val="0"/>
        <w:ind w:firstLineChars="0" w:firstLine="0"/>
        <w:jc w:val="left"/>
        <w:rPr>
          <w:rFonts w:cs="Times New Roman"/>
          <w:szCs w:val="24"/>
        </w:rPr>
      </w:pPr>
    </w:p>
    <w:p w14:paraId="6E4C8074" w14:textId="77777777" w:rsidR="00715ABB" w:rsidRPr="0081478A" w:rsidRDefault="00F44390" w:rsidP="001A7E3B">
      <w:pPr>
        <w:pStyle w:val="3"/>
      </w:pPr>
      <w:bookmarkStart w:id="100" w:name="_Toc22221571"/>
      <w:bookmarkStart w:id="101" w:name="_Toc35364738"/>
      <w:r w:rsidRPr="0081478A">
        <w:t xml:space="preserve">Ⅳ </w:t>
      </w:r>
      <w:r w:rsidRPr="0081478A">
        <w:t>室内热湿环境</w:t>
      </w:r>
      <w:bookmarkEnd w:id="100"/>
      <w:bookmarkEnd w:id="101"/>
    </w:p>
    <w:p w14:paraId="65D96FB2" w14:textId="77777777" w:rsidR="002C09A7" w:rsidRPr="00530A11" w:rsidRDefault="002C09A7" w:rsidP="002C09A7">
      <w:pPr>
        <w:pStyle w:val="4"/>
        <w:rPr>
          <w:rFonts w:cs="Times New Roman"/>
          <w:bCs w:val="0"/>
        </w:rPr>
      </w:pPr>
      <w:r w:rsidRPr="00530A11">
        <w:rPr>
          <w:rFonts w:cs="Times New Roman"/>
          <w:bCs w:val="0"/>
        </w:rPr>
        <w:t xml:space="preserve">5.2.8 </w:t>
      </w:r>
      <w:r w:rsidRPr="00530A11">
        <w:rPr>
          <w:rFonts w:cs="Times New Roman"/>
          <w:bCs w:val="0"/>
        </w:rPr>
        <w:t>具有良好的室内热湿环境，评价总分值为</w:t>
      </w:r>
      <w:r w:rsidRPr="00530A11">
        <w:rPr>
          <w:rFonts w:cs="Times New Roman"/>
          <w:bCs w:val="0"/>
        </w:rPr>
        <w:t>8</w:t>
      </w:r>
      <w:r w:rsidRPr="00530A11">
        <w:rPr>
          <w:rFonts w:cs="Times New Roman"/>
          <w:bCs w:val="0"/>
        </w:rPr>
        <w:t>分，并按下列规则评分：</w:t>
      </w:r>
    </w:p>
    <w:p w14:paraId="619EE8F0" w14:textId="77777777" w:rsidR="002C09A7" w:rsidRPr="002C09A7" w:rsidRDefault="002C09A7" w:rsidP="002C09A7">
      <w:pPr>
        <w:pStyle w:val="20"/>
        <w:ind w:firstLineChars="100" w:firstLine="211"/>
        <w:rPr>
          <w:rFonts w:ascii="Times New Roman" w:hAnsi="Times New Roman" w:cs="Times New Roman"/>
          <w:bCs/>
          <w:color w:val="auto"/>
        </w:rPr>
      </w:pPr>
      <w:r w:rsidRPr="002C09A7">
        <w:rPr>
          <w:rFonts w:ascii="Times New Roman" w:hAnsi="Times New Roman" w:cs="Times New Roman"/>
          <w:bCs/>
          <w:color w:val="auto"/>
        </w:rPr>
        <w:t xml:space="preserve">1 </w:t>
      </w:r>
      <w:r w:rsidRPr="002C09A7">
        <w:rPr>
          <w:rFonts w:ascii="Times New Roman" w:hAnsi="Times New Roman" w:cs="Times New Roman"/>
          <w:bCs/>
          <w:color w:val="auto"/>
        </w:rPr>
        <w:t>采用自然通风或复合通风的建筑，</w:t>
      </w:r>
      <w:r w:rsidRPr="002C09A7">
        <w:rPr>
          <w:rFonts w:ascii="Times New Roman" w:hAnsi="Times New Roman" w:cs="Times New Roman" w:hint="eastAsia"/>
          <w:bCs/>
          <w:color w:val="auto"/>
        </w:rPr>
        <w:t>室内气流组织应合理</w:t>
      </w:r>
      <w:r w:rsidRPr="002C09A7">
        <w:rPr>
          <w:rFonts w:ascii="Times New Roman" w:hAnsi="Times New Roman" w:cs="Times New Roman"/>
          <w:bCs/>
          <w:color w:val="auto"/>
        </w:rPr>
        <w:t>，建筑主要功能房间室内热环境参数在适应性热舒适区域的时间比例，达到</w:t>
      </w:r>
      <w:r w:rsidRPr="002C09A7">
        <w:rPr>
          <w:rFonts w:ascii="Times New Roman" w:hAnsi="Times New Roman" w:cs="Times New Roman"/>
          <w:bCs/>
          <w:color w:val="auto"/>
        </w:rPr>
        <w:t>30</w:t>
      </w:r>
      <w:r w:rsidRPr="002C09A7">
        <w:rPr>
          <w:rFonts w:ascii="Times New Roman" w:hAnsi="Times New Roman" w:cs="Times New Roman"/>
          <w:bCs/>
          <w:color w:val="auto"/>
        </w:rPr>
        <w:t>％，得</w:t>
      </w:r>
      <w:r w:rsidRPr="002C09A7">
        <w:rPr>
          <w:rFonts w:ascii="Times New Roman" w:hAnsi="Times New Roman" w:cs="Times New Roman"/>
          <w:bCs/>
          <w:color w:val="auto"/>
        </w:rPr>
        <w:t>2</w:t>
      </w:r>
      <w:r w:rsidRPr="002C09A7">
        <w:rPr>
          <w:rFonts w:ascii="Times New Roman" w:hAnsi="Times New Roman" w:cs="Times New Roman"/>
          <w:bCs/>
          <w:color w:val="auto"/>
        </w:rPr>
        <w:t>分；每再增加</w:t>
      </w:r>
      <w:r w:rsidRPr="002C09A7">
        <w:rPr>
          <w:rFonts w:ascii="Times New Roman" w:hAnsi="Times New Roman" w:cs="Times New Roman"/>
          <w:bCs/>
          <w:color w:val="auto"/>
        </w:rPr>
        <w:t>10</w:t>
      </w:r>
      <w:r w:rsidRPr="002C09A7">
        <w:rPr>
          <w:rFonts w:ascii="Times New Roman" w:hAnsi="Times New Roman" w:cs="Times New Roman"/>
          <w:bCs/>
          <w:color w:val="auto"/>
        </w:rPr>
        <w:t>％，加</w:t>
      </w:r>
      <w:r w:rsidRPr="002C09A7">
        <w:rPr>
          <w:rFonts w:ascii="Times New Roman" w:hAnsi="Times New Roman" w:cs="Times New Roman"/>
          <w:bCs/>
          <w:color w:val="auto"/>
        </w:rPr>
        <w:t>1</w:t>
      </w:r>
      <w:r w:rsidRPr="002C09A7">
        <w:rPr>
          <w:rFonts w:ascii="Times New Roman" w:hAnsi="Times New Roman" w:cs="Times New Roman"/>
          <w:bCs/>
          <w:color w:val="auto"/>
        </w:rPr>
        <w:t>分，最高得</w:t>
      </w:r>
      <w:r w:rsidRPr="002C09A7">
        <w:rPr>
          <w:rFonts w:ascii="Times New Roman" w:hAnsi="Times New Roman" w:cs="Times New Roman"/>
          <w:bCs/>
          <w:color w:val="auto"/>
        </w:rPr>
        <w:t>8</w:t>
      </w:r>
      <w:r w:rsidRPr="002C09A7">
        <w:rPr>
          <w:rFonts w:ascii="Times New Roman" w:hAnsi="Times New Roman" w:cs="Times New Roman"/>
          <w:bCs/>
          <w:color w:val="auto"/>
        </w:rPr>
        <w:t>分。</w:t>
      </w:r>
    </w:p>
    <w:p w14:paraId="285B20E5" w14:textId="77777777" w:rsidR="002C09A7" w:rsidRPr="002C09A7" w:rsidRDefault="002C09A7" w:rsidP="002C09A7">
      <w:pPr>
        <w:snapToGrid w:val="0"/>
        <w:ind w:firstLineChars="100" w:firstLine="211"/>
        <w:jc w:val="left"/>
        <w:rPr>
          <w:rFonts w:cs="Times New Roman"/>
          <w:b/>
          <w:bCs/>
          <w:szCs w:val="24"/>
        </w:rPr>
      </w:pPr>
      <w:r w:rsidRPr="002C09A7">
        <w:rPr>
          <w:rFonts w:cs="Times New Roman"/>
          <w:b/>
          <w:bCs/>
          <w:szCs w:val="24"/>
        </w:rPr>
        <w:t xml:space="preserve">2 </w:t>
      </w:r>
      <w:r w:rsidRPr="002C09A7">
        <w:rPr>
          <w:rFonts w:cs="Times New Roman"/>
          <w:b/>
          <w:bCs/>
          <w:szCs w:val="24"/>
        </w:rPr>
        <w:t>采用人工冷热源的建筑，重要功能区域气流组织满足要求，主要功能房间达到现行国家标准《民用建筑室内热湿环境评价标准》</w:t>
      </w:r>
      <w:r w:rsidRPr="002C09A7">
        <w:rPr>
          <w:rFonts w:cs="Times New Roman"/>
          <w:b/>
          <w:bCs/>
          <w:szCs w:val="24"/>
        </w:rPr>
        <w:t>GB/T 50785</w:t>
      </w:r>
      <w:r w:rsidRPr="002C09A7">
        <w:rPr>
          <w:rFonts w:cs="Times New Roman"/>
          <w:b/>
          <w:bCs/>
          <w:szCs w:val="24"/>
        </w:rPr>
        <w:t>规定的室内人工冷热源热湿环境整体评价</w:t>
      </w:r>
      <w:r w:rsidRPr="002C09A7">
        <w:rPr>
          <w:rFonts w:cs="Times New Roman"/>
          <w:b/>
          <w:bCs/>
          <w:szCs w:val="24"/>
        </w:rPr>
        <w:t>Ⅱ</w:t>
      </w:r>
      <w:r w:rsidRPr="002C09A7">
        <w:rPr>
          <w:rFonts w:cs="Times New Roman"/>
          <w:b/>
          <w:bCs/>
          <w:szCs w:val="24"/>
        </w:rPr>
        <w:t>级的面积比例，达到</w:t>
      </w:r>
      <w:r w:rsidRPr="002C09A7">
        <w:rPr>
          <w:rFonts w:cs="Times New Roman"/>
          <w:b/>
          <w:bCs/>
          <w:szCs w:val="24"/>
        </w:rPr>
        <w:t>60</w:t>
      </w:r>
      <w:r w:rsidRPr="002C09A7">
        <w:rPr>
          <w:rFonts w:cs="Times New Roman"/>
          <w:b/>
          <w:bCs/>
          <w:szCs w:val="24"/>
        </w:rPr>
        <w:t>％，得</w:t>
      </w:r>
      <w:r w:rsidRPr="002C09A7">
        <w:rPr>
          <w:rFonts w:cs="Times New Roman"/>
          <w:b/>
          <w:bCs/>
          <w:szCs w:val="24"/>
        </w:rPr>
        <w:t>5</w:t>
      </w:r>
      <w:r w:rsidRPr="002C09A7">
        <w:rPr>
          <w:rFonts w:cs="Times New Roman"/>
          <w:b/>
          <w:bCs/>
          <w:szCs w:val="24"/>
        </w:rPr>
        <w:t>分；每再增加</w:t>
      </w:r>
      <w:r w:rsidRPr="002C09A7">
        <w:rPr>
          <w:rFonts w:cs="Times New Roman"/>
          <w:b/>
          <w:bCs/>
          <w:szCs w:val="24"/>
        </w:rPr>
        <w:t>10</w:t>
      </w:r>
      <w:r w:rsidRPr="002C09A7">
        <w:rPr>
          <w:rFonts w:cs="Times New Roman"/>
          <w:b/>
          <w:bCs/>
          <w:szCs w:val="24"/>
        </w:rPr>
        <w:t>％，再得</w:t>
      </w:r>
      <w:r w:rsidRPr="002C09A7">
        <w:rPr>
          <w:rFonts w:cs="Times New Roman"/>
          <w:b/>
          <w:bCs/>
          <w:szCs w:val="24"/>
        </w:rPr>
        <w:t>1</w:t>
      </w:r>
      <w:r w:rsidRPr="002C09A7">
        <w:rPr>
          <w:rFonts w:cs="Times New Roman"/>
          <w:b/>
          <w:bCs/>
          <w:szCs w:val="24"/>
        </w:rPr>
        <w:t>分，最高得</w:t>
      </w:r>
      <w:r w:rsidRPr="002C09A7">
        <w:rPr>
          <w:rFonts w:cs="Times New Roman"/>
          <w:b/>
          <w:bCs/>
          <w:szCs w:val="24"/>
        </w:rPr>
        <w:t>8</w:t>
      </w:r>
      <w:r w:rsidRPr="002C09A7">
        <w:rPr>
          <w:rFonts w:cs="Times New Roman"/>
          <w:b/>
          <w:bCs/>
          <w:szCs w:val="24"/>
        </w:rPr>
        <w:t>分。</w:t>
      </w:r>
    </w:p>
    <w:p w14:paraId="42F9256A" w14:textId="77777777" w:rsidR="00715ABB" w:rsidRPr="0081478A" w:rsidRDefault="00F44390">
      <w:pPr>
        <w:ind w:firstLineChars="0" w:firstLine="0"/>
        <w:rPr>
          <w:rFonts w:cs="Times New Roman"/>
          <w:b/>
          <w:szCs w:val="24"/>
        </w:rPr>
      </w:pPr>
      <w:r w:rsidRPr="0081478A">
        <w:rPr>
          <w:rFonts w:cs="Times New Roman"/>
          <w:b/>
          <w:szCs w:val="24"/>
        </w:rPr>
        <w:t>【条文说明】</w:t>
      </w:r>
    </w:p>
    <w:p w14:paraId="0446F085" w14:textId="77777777" w:rsidR="0087265D" w:rsidRPr="00530A11" w:rsidRDefault="0087265D" w:rsidP="0087265D">
      <w:pPr>
        <w:ind w:firstLine="420"/>
      </w:pPr>
      <w:r w:rsidRPr="00530A11">
        <w:t>本条适用于各类民用建筑的预评价、评价。</w:t>
      </w:r>
    </w:p>
    <w:p w14:paraId="3085C6A1" w14:textId="77777777" w:rsidR="0087265D" w:rsidRPr="00530A11" w:rsidRDefault="0087265D" w:rsidP="0087265D">
      <w:pPr>
        <w:ind w:firstLine="420"/>
        <w:rPr>
          <w:rFonts w:cs="Times New Roman"/>
          <w:kern w:val="44"/>
          <w:szCs w:val="24"/>
        </w:rPr>
      </w:pPr>
      <w:r w:rsidRPr="00530A11">
        <w:rPr>
          <w:rFonts w:cs="Times New Roman"/>
        </w:rPr>
        <w:lastRenderedPageBreak/>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p>
    <w:p w14:paraId="1721DDB1" w14:textId="77777777" w:rsidR="0087265D" w:rsidRPr="00530A11" w:rsidRDefault="0087265D" w:rsidP="0087265D">
      <w:pPr>
        <w:ind w:firstLine="420"/>
        <w:rPr>
          <w:rFonts w:cs="Times New Roman"/>
        </w:rPr>
      </w:pPr>
      <w:r w:rsidRPr="00530A11">
        <w:rPr>
          <w:rFonts w:cs="Times New Roman"/>
          <w:kern w:val="44"/>
          <w:szCs w:val="24"/>
        </w:rPr>
        <w:t>第</w:t>
      </w:r>
      <w:r w:rsidRPr="00530A11">
        <w:rPr>
          <w:rFonts w:cs="Times New Roman"/>
          <w:kern w:val="44"/>
          <w:szCs w:val="24"/>
        </w:rPr>
        <w:t>1</w:t>
      </w:r>
      <w:r w:rsidRPr="00530A11">
        <w:rPr>
          <w:rFonts w:cs="Times New Roman"/>
          <w:kern w:val="44"/>
          <w:szCs w:val="24"/>
        </w:rPr>
        <w:t>款，对于采用自然通风或复合通风的建筑，应在建筑设计时对室内气流的通道进行分析，使室内具有良好的自然通风通道。在此基础上，本条款以建筑物内主要功能房间或区域为对象，以全年建筑运行时间为评价时间范围，按主要功能房间或区域的得分的最低分进行评分。该条款关注的是建筑适应性热舒适设计，强调建筑中人不是环境的被动接受者，而是能够进行自我调节的适应者，人们会通过改变着装、行为或逐步调整自己的反应以适应复杂的环境变化，从而接受较大范围的室内温度。此外，营造动态而非恒定不变的室内环境，有利于维持人体对热环境的应激能力，改善使用者舒适感与身体健康。本条款要求从动态热环境和适应性热舒适角度，对室内热湿环境进行设计优化，强化自然通风、复合通风，合理拓宽室内热湿环境设计参数，鼓励设计中允许室内人员对外窗、风扇等装置进行自由调节。</w:t>
      </w:r>
    </w:p>
    <w:p w14:paraId="0942828E" w14:textId="77777777" w:rsidR="0087265D" w:rsidRPr="00530A11" w:rsidRDefault="0087265D" w:rsidP="0087265D">
      <w:pPr>
        <w:ind w:firstLine="420"/>
        <w:rPr>
          <w:rFonts w:cs="Times New Roman"/>
          <w:kern w:val="44"/>
          <w:szCs w:val="24"/>
        </w:rPr>
      </w:pPr>
      <w:r w:rsidRPr="00530A11">
        <w:rPr>
          <w:rFonts w:cs="Times New Roman"/>
          <w:kern w:val="44"/>
          <w:szCs w:val="24"/>
        </w:rPr>
        <w:t>第</w:t>
      </w:r>
      <w:r w:rsidRPr="00530A11">
        <w:rPr>
          <w:rFonts w:cs="Times New Roman"/>
          <w:kern w:val="44"/>
          <w:szCs w:val="24"/>
        </w:rPr>
        <w:t>2</w:t>
      </w:r>
      <w:r w:rsidRPr="00530A11">
        <w:rPr>
          <w:rFonts w:cs="Times New Roman"/>
          <w:kern w:val="44"/>
          <w:szCs w:val="24"/>
        </w:rPr>
        <w:t>款，对于采用人工冷热源的建筑，首先应保证室内重要（主要）的功能区域具有良好的气流组织，气流流场合理，既满足建筑功能需求，又满足室内热环境舒适营造需求，避免吹风感，在此基础上，对人工冷热源热湿环境再进行指标评价。人工冷热源热湿环境整体评价指标应包括预计平均热感觉指标</w:t>
      </w:r>
      <w:r w:rsidRPr="00530A11">
        <w:rPr>
          <w:rFonts w:cs="Times New Roman"/>
          <w:kern w:val="44"/>
          <w:szCs w:val="24"/>
        </w:rPr>
        <w:t>(PMV)</w:t>
      </w:r>
      <w:r w:rsidRPr="00530A11">
        <w:rPr>
          <w:rFonts w:cs="Times New Roman"/>
          <w:kern w:val="44"/>
          <w:szCs w:val="24"/>
        </w:rPr>
        <w:t>和预计不满意者的百分数</w:t>
      </w:r>
      <w:r w:rsidRPr="00530A11">
        <w:rPr>
          <w:rFonts w:cs="Times New Roman"/>
          <w:kern w:val="44"/>
          <w:szCs w:val="24"/>
        </w:rPr>
        <w:t>(PPD)</w:t>
      </w:r>
      <w:r w:rsidRPr="00530A11">
        <w:rPr>
          <w:rFonts w:cs="Times New Roman"/>
          <w:kern w:val="44"/>
          <w:szCs w:val="24"/>
        </w:rPr>
        <w:t>，</w:t>
      </w:r>
      <w:r w:rsidRPr="00530A11">
        <w:rPr>
          <w:rFonts w:cs="Times New Roman"/>
          <w:kern w:val="44"/>
          <w:szCs w:val="24"/>
        </w:rPr>
        <w:t>PMV-PPD</w:t>
      </w:r>
      <w:r w:rsidRPr="00530A11">
        <w:rPr>
          <w:rFonts w:cs="Times New Roman"/>
          <w:kern w:val="44"/>
          <w:szCs w:val="24"/>
        </w:rPr>
        <w:t>的计算程序应按国家标准《民用建筑室内热湿环境评价标准》</w:t>
      </w:r>
      <w:r w:rsidRPr="00530A11">
        <w:rPr>
          <w:rFonts w:cs="Times New Roman"/>
          <w:kern w:val="44"/>
          <w:szCs w:val="24"/>
        </w:rPr>
        <w:t>GB/T 50785-2012</w:t>
      </w:r>
      <w:r w:rsidRPr="00530A11">
        <w:rPr>
          <w:rFonts w:cs="Times New Roman"/>
          <w:kern w:val="44"/>
          <w:szCs w:val="24"/>
        </w:rPr>
        <w:t>附录</w:t>
      </w:r>
      <w:r w:rsidRPr="00530A11">
        <w:rPr>
          <w:rFonts w:cs="Times New Roman"/>
          <w:kern w:val="44"/>
          <w:szCs w:val="24"/>
        </w:rPr>
        <w:t>E</w:t>
      </w:r>
      <w:r w:rsidRPr="00530A11">
        <w:rPr>
          <w:rFonts w:cs="Times New Roman"/>
          <w:kern w:val="44"/>
          <w:szCs w:val="24"/>
        </w:rPr>
        <w:t>的规定执行。本款以建筑物内主要功能房间或区域为对象，以达标面积比例为评价依据。</w:t>
      </w:r>
    </w:p>
    <w:p w14:paraId="57973E5A" w14:textId="77777777" w:rsidR="0087265D" w:rsidRPr="00530A11" w:rsidRDefault="0087265D" w:rsidP="0087265D">
      <w:pPr>
        <w:ind w:firstLine="420"/>
        <w:rPr>
          <w:rFonts w:cs="Times New Roman"/>
          <w:kern w:val="44"/>
          <w:szCs w:val="24"/>
        </w:rPr>
      </w:pPr>
      <w:r w:rsidRPr="00530A11">
        <w:rPr>
          <w:rFonts w:cs="Times New Roman"/>
          <w:kern w:val="44"/>
          <w:szCs w:val="24"/>
        </w:rPr>
        <w:t>对于同时存在自然通风、复合通风和人工冷源的建筑，应分别计算不同功能房间室内热环境对应第</w:t>
      </w:r>
      <w:r w:rsidRPr="00530A11">
        <w:rPr>
          <w:rFonts w:cs="Times New Roman"/>
          <w:kern w:val="44"/>
          <w:szCs w:val="24"/>
        </w:rPr>
        <w:t>1</w:t>
      </w:r>
      <w:r w:rsidRPr="00530A11">
        <w:rPr>
          <w:rFonts w:cs="Times New Roman"/>
          <w:kern w:val="44"/>
          <w:szCs w:val="24"/>
        </w:rPr>
        <w:t>、</w:t>
      </w:r>
      <w:r w:rsidRPr="00530A11">
        <w:rPr>
          <w:rFonts w:cs="Times New Roman"/>
          <w:kern w:val="44"/>
          <w:szCs w:val="24"/>
        </w:rPr>
        <w:t>2</w:t>
      </w:r>
      <w:r w:rsidRPr="00530A11">
        <w:rPr>
          <w:rFonts w:cs="Times New Roman"/>
          <w:kern w:val="44"/>
          <w:szCs w:val="24"/>
        </w:rPr>
        <w:t>款的达标情况，按最低得分进行评分。</w:t>
      </w:r>
    </w:p>
    <w:p w14:paraId="603FE872" w14:textId="77777777" w:rsidR="0087265D" w:rsidRPr="00530A11" w:rsidRDefault="0087265D" w:rsidP="0087265D">
      <w:pPr>
        <w:ind w:firstLine="420"/>
        <w:rPr>
          <w:rFonts w:cs="Times New Roman"/>
        </w:rPr>
      </w:pPr>
      <w:r w:rsidRPr="00530A11">
        <w:rPr>
          <w:rFonts w:cs="Times New Roman"/>
        </w:rPr>
        <w:t>为保证空调通风系统的气流组织实施效果，应进行完整的系统设计和实施，对于未进行完整设计和实施的，本条一律不得分。</w:t>
      </w:r>
    </w:p>
    <w:p w14:paraId="0D6B3374"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025FCF00" w14:textId="77777777" w:rsidR="009D23A9" w:rsidRPr="0081478A" w:rsidRDefault="009D23A9" w:rsidP="009D23A9">
      <w:pPr>
        <w:ind w:firstLine="420"/>
        <w:rPr>
          <w:rFonts w:cs="Times New Roman"/>
        </w:rPr>
      </w:pPr>
      <w:r w:rsidRPr="0081478A">
        <w:rPr>
          <w:rFonts w:cs="Times New Roman"/>
        </w:rPr>
        <w:t>第</w:t>
      </w:r>
      <w:r w:rsidRPr="0081478A">
        <w:rPr>
          <w:rFonts w:cs="Times New Roman"/>
        </w:rPr>
        <w:t>1</w:t>
      </w:r>
      <w:r w:rsidRPr="0081478A">
        <w:rPr>
          <w:rFonts w:cs="Times New Roman"/>
        </w:rPr>
        <w:t>款，对于采用自然通风或复合通风的建筑，其室内热湿环境的评价，应以建筑物内主要功能房间或区域为对象，以全年建筑运行时间为评价范围，按主要功能房间的面积加权计算满足舒适性热舒适区间的时间百分比进行评分。</w:t>
      </w:r>
    </w:p>
    <w:p w14:paraId="3094E401" w14:textId="77777777" w:rsidR="009D23A9" w:rsidRPr="0081478A" w:rsidRDefault="009D23A9" w:rsidP="009D23A9">
      <w:pPr>
        <w:ind w:firstLine="420"/>
        <w:rPr>
          <w:rFonts w:cs="Times New Roman"/>
        </w:rPr>
      </w:pPr>
      <w:r w:rsidRPr="0081478A">
        <w:rPr>
          <w:rFonts w:cs="Times New Roman"/>
        </w:rPr>
        <w:t>建筑主要功能房间室内热环境参数在适应性热舒适区域的时间比例指，主要功能房间室内温度达到适应性舒适温度区间的小时数占建筑全年运行小时数的比例。</w:t>
      </w:r>
    </w:p>
    <w:p w14:paraId="1250A1E8" w14:textId="28319E48" w:rsidR="009D23A9" w:rsidRPr="0081478A" w:rsidRDefault="009D23A9" w:rsidP="009D23A9">
      <w:pPr>
        <w:ind w:firstLine="420"/>
        <w:rPr>
          <w:rFonts w:cs="Times New Roman"/>
        </w:rPr>
      </w:pPr>
      <w:r w:rsidRPr="0081478A">
        <w:rPr>
          <w:rFonts w:cs="Times New Roman"/>
        </w:rPr>
        <w:t>适应性热舒适温度区间可根据室外月平均温度进行计算。当室内平均气流速度</w:t>
      </w:r>
      <w:r w:rsidR="00C41AEB" w:rsidRPr="00812185">
        <w:rPr>
          <w:rFonts w:cs="Times New Roman"/>
          <w:sz w:val="24"/>
          <w:szCs w:val="24"/>
        </w:rPr>
        <w:t>v</w:t>
      </w:r>
      <w:r w:rsidR="00C41AEB" w:rsidRPr="00812185">
        <w:rPr>
          <w:rFonts w:cs="Times New Roman"/>
          <w:sz w:val="24"/>
          <w:szCs w:val="24"/>
          <w:vertAlign w:val="subscript"/>
        </w:rPr>
        <w:t>a</w:t>
      </w:r>
      <w:r w:rsidR="0004349A" w:rsidRPr="00643310">
        <w:rPr>
          <w:rFonts w:ascii="宋体" w:hAnsi="宋体" w:cs="Times New Roman" w:hint="eastAsia"/>
          <w:sz w:val="24"/>
          <w:szCs w:val="24"/>
        </w:rPr>
        <w:t>≤</w:t>
      </w:r>
      <w:r w:rsidR="0004349A" w:rsidRPr="0081478A">
        <w:rPr>
          <w:rFonts w:cs="Times New Roman"/>
        </w:rPr>
        <w:t>0.3m/s</w:t>
      </w:r>
      <w:r w:rsidRPr="0081478A">
        <w:rPr>
          <w:rFonts w:cs="Times New Roman"/>
        </w:rPr>
        <w:t>时，舒适温度为下图中的阴影区间。当室内温度高于</w:t>
      </w:r>
      <w:r w:rsidRPr="0081478A">
        <w:rPr>
          <w:rFonts w:cs="Times New Roman"/>
        </w:rPr>
        <w:t>25℃</w:t>
      </w:r>
      <w:r w:rsidRPr="0081478A">
        <w:rPr>
          <w:rFonts w:cs="Times New Roman"/>
        </w:rPr>
        <w:t>时，允许采用提高气流速度的方式来补偿室内温度的上升，即室内舒适温度上限可进一步提高，提高幅度如下表所示。</w:t>
      </w:r>
      <w:r w:rsidRPr="0081478A">
        <w:rPr>
          <w:rFonts w:cs="Times New Roman"/>
        </w:rPr>
        <w:lastRenderedPageBreak/>
        <w:t>若项目设有风扇等个性化送风装置，室内气流平均速度采用个性化送风装置设计风速进行计算；若没有个性化送风装置，室内气流平均速度采用</w:t>
      </w:r>
      <w:r w:rsidRPr="0081478A">
        <w:rPr>
          <w:rFonts w:cs="Times New Roman"/>
        </w:rPr>
        <w:t>0.3m/s</w:t>
      </w:r>
      <w:r w:rsidRPr="0081478A">
        <w:rPr>
          <w:rFonts w:cs="Times New Roman"/>
        </w:rPr>
        <w:t>以下进行分析计算。</w:t>
      </w:r>
    </w:p>
    <w:p w14:paraId="35E3AD4E" w14:textId="46A78EA2" w:rsidR="009D23A9" w:rsidRPr="0081478A" w:rsidRDefault="009D23A9" w:rsidP="009D23A9">
      <w:pPr>
        <w:ind w:firstLine="420"/>
        <w:jc w:val="center"/>
        <w:rPr>
          <w:rFonts w:cs="Times New Roman"/>
        </w:rPr>
      </w:pPr>
      <w:r w:rsidRPr="0081478A">
        <w:rPr>
          <w:rFonts w:eastAsia="楷体" w:cs="Times New Roman"/>
          <w:noProof/>
          <w:szCs w:val="21"/>
        </w:rPr>
        <w:drawing>
          <wp:inline distT="0" distB="0" distL="0" distR="0" wp14:anchorId="67384B01" wp14:editId="75A24079">
            <wp:extent cx="3434080" cy="206248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34080" cy="2062480"/>
                    </a:xfrm>
                    <a:prstGeom prst="rect">
                      <a:avLst/>
                    </a:prstGeom>
                    <a:noFill/>
                    <a:ln>
                      <a:noFill/>
                    </a:ln>
                  </pic:spPr>
                </pic:pic>
              </a:graphicData>
            </a:graphic>
          </wp:inline>
        </w:drawing>
      </w:r>
    </w:p>
    <w:p w14:paraId="42D85733" w14:textId="77777777" w:rsidR="009D23A9" w:rsidRPr="0081478A" w:rsidRDefault="009D23A9" w:rsidP="009D23A9">
      <w:pPr>
        <w:pStyle w:val="af1"/>
        <w:spacing w:beforeLines="0" w:line="360" w:lineRule="auto"/>
        <w:ind w:firstLine="420"/>
        <w:jc w:val="center"/>
        <w:outlineLvl w:val="9"/>
        <w:rPr>
          <w:sz w:val="21"/>
          <w:szCs w:val="21"/>
        </w:rPr>
      </w:pPr>
      <w:r w:rsidRPr="0081478A">
        <w:rPr>
          <w:sz w:val="21"/>
          <w:szCs w:val="21"/>
        </w:rPr>
        <w:t>图</w:t>
      </w:r>
      <w:r w:rsidRPr="0081478A">
        <w:rPr>
          <w:sz w:val="21"/>
          <w:szCs w:val="21"/>
        </w:rPr>
        <w:t xml:space="preserve">5.1 </w:t>
      </w:r>
      <w:r w:rsidRPr="0081478A">
        <w:rPr>
          <w:sz w:val="21"/>
          <w:szCs w:val="21"/>
        </w:rPr>
        <w:t>自然通风或复合通风建筑室内舒适温度范围</w:t>
      </w:r>
    </w:p>
    <w:p w14:paraId="00960909" w14:textId="77777777" w:rsidR="009D23A9" w:rsidRPr="0081478A" w:rsidRDefault="009D23A9" w:rsidP="00921836">
      <w:pPr>
        <w:pStyle w:val="ae"/>
        <w:rPr>
          <w:rFonts w:cs="Times New Roman"/>
        </w:rPr>
      </w:pPr>
      <w:r w:rsidRPr="0081478A">
        <w:rPr>
          <w:rFonts w:cs="Times New Roman"/>
          <w:b w:val="0"/>
        </w:rPr>
        <w:t>表</w:t>
      </w:r>
      <w:r w:rsidRPr="0081478A">
        <w:rPr>
          <w:rFonts w:cs="Times New Roman"/>
          <w:b w:val="0"/>
        </w:rPr>
        <w:t xml:space="preserve">5.9 </w:t>
      </w:r>
      <w:r w:rsidRPr="0081478A">
        <w:rPr>
          <w:rFonts w:cs="Times New Roman"/>
          <w:b w:val="0"/>
        </w:rPr>
        <w:t>室内平均气流速度对应的室内舒适温度上限值提高幅度</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2"/>
        <w:gridCol w:w="1856"/>
        <w:gridCol w:w="1844"/>
        <w:gridCol w:w="1776"/>
      </w:tblGrid>
      <w:tr w:rsidR="0081478A" w:rsidRPr="0081478A" w14:paraId="3ABA044F" w14:textId="77777777" w:rsidTr="00E31FF0">
        <w:trPr>
          <w:jc w:val="center"/>
        </w:trPr>
        <w:tc>
          <w:tcPr>
            <w:tcW w:w="1789" w:type="pct"/>
            <w:shd w:val="clear" w:color="auto" w:fill="auto"/>
            <w:vAlign w:val="center"/>
          </w:tcPr>
          <w:p w14:paraId="6BD07EC1" w14:textId="77777777" w:rsidR="009D23A9" w:rsidRPr="0081478A" w:rsidRDefault="009D23A9" w:rsidP="00921836">
            <w:pPr>
              <w:pStyle w:val="ae"/>
              <w:rPr>
                <w:rFonts w:cs="Times New Roman"/>
                <w:bCs/>
              </w:rPr>
            </w:pPr>
            <w:r w:rsidRPr="0081478A">
              <w:rPr>
                <w:rFonts w:cs="Times New Roman"/>
                <w:b w:val="0"/>
                <w:bCs/>
              </w:rPr>
              <w:t>室内气流平均速度</w:t>
            </w:r>
            <w:r w:rsidRPr="0081478A">
              <w:rPr>
                <w:rFonts w:cs="Times New Roman"/>
                <w:b w:val="0"/>
                <w:bCs/>
              </w:rPr>
              <w:t>v</w:t>
            </w:r>
            <w:r w:rsidRPr="0081478A">
              <w:rPr>
                <w:rFonts w:cs="Times New Roman"/>
                <w:b w:val="0"/>
                <w:bCs/>
                <w:vertAlign w:val="subscript"/>
              </w:rPr>
              <w:t>a</w:t>
            </w:r>
            <w:r w:rsidRPr="0081478A">
              <w:rPr>
                <w:rFonts w:cs="Times New Roman"/>
                <w:b w:val="0"/>
                <w:bCs/>
              </w:rPr>
              <w:t>（</w:t>
            </w:r>
            <w:r w:rsidRPr="0081478A">
              <w:rPr>
                <w:rFonts w:cs="Times New Roman"/>
                <w:b w:val="0"/>
                <w:bCs/>
              </w:rPr>
              <w:t>m/s</w:t>
            </w:r>
            <w:r w:rsidRPr="0081478A">
              <w:rPr>
                <w:rFonts w:cs="Times New Roman"/>
                <w:b w:val="0"/>
                <w:bCs/>
              </w:rPr>
              <w:t>）</w:t>
            </w:r>
          </w:p>
        </w:tc>
        <w:tc>
          <w:tcPr>
            <w:tcW w:w="1088" w:type="pct"/>
            <w:shd w:val="clear" w:color="auto" w:fill="auto"/>
            <w:vAlign w:val="center"/>
          </w:tcPr>
          <w:p w14:paraId="389B9B2A" w14:textId="77777777" w:rsidR="009D23A9" w:rsidRPr="0081478A" w:rsidRDefault="009D23A9" w:rsidP="00921836">
            <w:pPr>
              <w:pStyle w:val="ae"/>
              <w:rPr>
                <w:rFonts w:cs="Times New Roman"/>
                <w:bCs/>
              </w:rPr>
            </w:pPr>
            <w:r w:rsidRPr="0081478A">
              <w:rPr>
                <w:rFonts w:cs="Times New Roman"/>
                <w:b w:val="0"/>
                <w:bCs/>
              </w:rPr>
              <w:t>0.3</w:t>
            </w:r>
            <w:r w:rsidRPr="0081478A">
              <w:rPr>
                <w:rFonts w:cs="Times New Roman"/>
                <w:b w:val="0"/>
                <w:bCs/>
              </w:rPr>
              <w:t>＜</w:t>
            </w:r>
            <w:r w:rsidRPr="0081478A">
              <w:rPr>
                <w:rFonts w:cs="Times New Roman"/>
                <w:b w:val="0"/>
                <w:bCs/>
              </w:rPr>
              <w:t>v</w:t>
            </w:r>
            <w:r w:rsidRPr="0081478A">
              <w:rPr>
                <w:rFonts w:cs="Times New Roman"/>
                <w:b w:val="0"/>
                <w:bCs/>
                <w:vertAlign w:val="subscript"/>
              </w:rPr>
              <w:t>a</w:t>
            </w:r>
            <w:r w:rsidRPr="0081478A">
              <w:rPr>
                <w:rFonts w:cs="Times New Roman"/>
                <w:b w:val="0"/>
                <w:bCs/>
              </w:rPr>
              <w:t>≤0.6</w:t>
            </w:r>
          </w:p>
        </w:tc>
        <w:tc>
          <w:tcPr>
            <w:tcW w:w="1081" w:type="pct"/>
            <w:shd w:val="clear" w:color="auto" w:fill="auto"/>
            <w:vAlign w:val="center"/>
          </w:tcPr>
          <w:p w14:paraId="449C6736" w14:textId="77777777" w:rsidR="009D23A9" w:rsidRPr="0081478A" w:rsidRDefault="009D23A9" w:rsidP="00921836">
            <w:pPr>
              <w:pStyle w:val="ae"/>
              <w:rPr>
                <w:rFonts w:cs="Times New Roman"/>
                <w:bCs/>
              </w:rPr>
            </w:pPr>
            <w:r w:rsidRPr="0081478A">
              <w:rPr>
                <w:rFonts w:cs="Times New Roman"/>
                <w:b w:val="0"/>
                <w:bCs/>
              </w:rPr>
              <w:t>0.6</w:t>
            </w:r>
            <w:r w:rsidRPr="0081478A">
              <w:rPr>
                <w:rFonts w:cs="Times New Roman"/>
                <w:b w:val="0"/>
                <w:bCs/>
              </w:rPr>
              <w:t>＜</w:t>
            </w:r>
            <w:r w:rsidRPr="0081478A">
              <w:rPr>
                <w:rFonts w:cs="Times New Roman"/>
                <w:b w:val="0"/>
                <w:bCs/>
              </w:rPr>
              <w:t>v</w:t>
            </w:r>
            <w:r w:rsidRPr="0081478A">
              <w:rPr>
                <w:rFonts w:cs="Times New Roman"/>
                <w:b w:val="0"/>
                <w:bCs/>
                <w:vertAlign w:val="subscript"/>
              </w:rPr>
              <w:t>a</w:t>
            </w:r>
            <w:r w:rsidRPr="0081478A">
              <w:rPr>
                <w:rFonts w:cs="Times New Roman"/>
                <w:b w:val="0"/>
                <w:bCs/>
              </w:rPr>
              <w:t>≤0.9</w:t>
            </w:r>
          </w:p>
        </w:tc>
        <w:tc>
          <w:tcPr>
            <w:tcW w:w="1041" w:type="pct"/>
            <w:shd w:val="clear" w:color="auto" w:fill="auto"/>
            <w:vAlign w:val="center"/>
          </w:tcPr>
          <w:p w14:paraId="3F304B00" w14:textId="77777777" w:rsidR="009D23A9" w:rsidRPr="0081478A" w:rsidRDefault="009D23A9" w:rsidP="00921836">
            <w:pPr>
              <w:pStyle w:val="ae"/>
              <w:rPr>
                <w:rFonts w:cs="Times New Roman"/>
                <w:bCs/>
              </w:rPr>
            </w:pPr>
            <w:r w:rsidRPr="0081478A">
              <w:rPr>
                <w:rFonts w:cs="Times New Roman"/>
                <w:b w:val="0"/>
                <w:bCs/>
              </w:rPr>
              <w:t>0.9</w:t>
            </w:r>
            <w:r w:rsidRPr="0081478A">
              <w:rPr>
                <w:rFonts w:cs="Times New Roman"/>
                <w:b w:val="0"/>
                <w:bCs/>
              </w:rPr>
              <w:t>＜</w:t>
            </w:r>
            <w:r w:rsidRPr="0081478A">
              <w:rPr>
                <w:rFonts w:cs="Times New Roman"/>
                <w:b w:val="0"/>
                <w:bCs/>
              </w:rPr>
              <w:t>v</w:t>
            </w:r>
            <w:r w:rsidRPr="0081478A">
              <w:rPr>
                <w:rFonts w:cs="Times New Roman"/>
                <w:b w:val="0"/>
                <w:bCs/>
                <w:vertAlign w:val="subscript"/>
              </w:rPr>
              <w:t>a</w:t>
            </w:r>
            <w:r w:rsidRPr="0081478A">
              <w:rPr>
                <w:rFonts w:cs="Times New Roman"/>
                <w:b w:val="0"/>
                <w:bCs/>
              </w:rPr>
              <w:t>≤1.2</w:t>
            </w:r>
          </w:p>
        </w:tc>
      </w:tr>
      <w:tr w:rsidR="0081478A" w:rsidRPr="0081478A" w14:paraId="1BAB7AEC" w14:textId="77777777" w:rsidTr="00E31FF0">
        <w:trPr>
          <w:jc w:val="center"/>
        </w:trPr>
        <w:tc>
          <w:tcPr>
            <w:tcW w:w="1789" w:type="pct"/>
            <w:shd w:val="clear" w:color="auto" w:fill="auto"/>
            <w:vAlign w:val="center"/>
          </w:tcPr>
          <w:p w14:paraId="0D442537" w14:textId="77777777" w:rsidR="009D23A9" w:rsidRPr="0081478A" w:rsidRDefault="009D23A9" w:rsidP="00921836">
            <w:pPr>
              <w:pStyle w:val="ae"/>
              <w:rPr>
                <w:rFonts w:cs="Times New Roman"/>
                <w:bCs/>
              </w:rPr>
            </w:pPr>
            <w:r w:rsidRPr="0081478A">
              <w:rPr>
                <w:rFonts w:cs="Times New Roman"/>
                <w:b w:val="0"/>
                <w:bCs/>
              </w:rPr>
              <w:t>舒适温度上限提高幅度</w:t>
            </w:r>
            <w:r w:rsidRPr="0081478A">
              <w:rPr>
                <w:rFonts w:cs="Times New Roman"/>
                <w:b w:val="0"/>
                <w:bCs/>
              </w:rPr>
              <w:t>Δt</w:t>
            </w:r>
          </w:p>
          <w:p w14:paraId="0A5472A5" w14:textId="77777777" w:rsidR="009D23A9" w:rsidRPr="0081478A" w:rsidRDefault="009D23A9" w:rsidP="00921836">
            <w:pPr>
              <w:pStyle w:val="ae"/>
              <w:rPr>
                <w:rFonts w:cs="Times New Roman"/>
                <w:bCs/>
              </w:rPr>
            </w:pPr>
            <w:r w:rsidRPr="0081478A">
              <w:rPr>
                <w:rFonts w:cs="Times New Roman"/>
                <w:b w:val="0"/>
                <w:bCs/>
              </w:rPr>
              <w:t>（</w:t>
            </w:r>
            <w:r w:rsidRPr="0081478A">
              <w:rPr>
                <w:rFonts w:cs="Times New Roman"/>
                <w:b w:val="0"/>
                <w:bCs/>
              </w:rPr>
              <w:t>℃</w:t>
            </w:r>
            <w:r w:rsidRPr="0081478A">
              <w:rPr>
                <w:rFonts w:cs="Times New Roman"/>
                <w:b w:val="0"/>
                <w:bCs/>
              </w:rPr>
              <w:t>）</w:t>
            </w:r>
          </w:p>
        </w:tc>
        <w:tc>
          <w:tcPr>
            <w:tcW w:w="1088" w:type="pct"/>
            <w:shd w:val="clear" w:color="auto" w:fill="auto"/>
            <w:vAlign w:val="center"/>
          </w:tcPr>
          <w:p w14:paraId="64BED83D" w14:textId="77777777" w:rsidR="009D23A9" w:rsidRPr="0081478A" w:rsidRDefault="009D23A9" w:rsidP="00921836">
            <w:pPr>
              <w:pStyle w:val="ae"/>
              <w:rPr>
                <w:rFonts w:cs="Times New Roman"/>
                <w:bCs/>
              </w:rPr>
            </w:pPr>
            <w:r w:rsidRPr="0081478A">
              <w:rPr>
                <w:rFonts w:cs="Times New Roman"/>
                <w:b w:val="0"/>
                <w:bCs/>
              </w:rPr>
              <w:t>1.2</w:t>
            </w:r>
          </w:p>
        </w:tc>
        <w:tc>
          <w:tcPr>
            <w:tcW w:w="1081" w:type="pct"/>
            <w:shd w:val="clear" w:color="auto" w:fill="auto"/>
            <w:vAlign w:val="center"/>
          </w:tcPr>
          <w:p w14:paraId="087A9420" w14:textId="77777777" w:rsidR="009D23A9" w:rsidRPr="0081478A" w:rsidRDefault="009D23A9" w:rsidP="00921836">
            <w:pPr>
              <w:pStyle w:val="ae"/>
              <w:rPr>
                <w:rFonts w:cs="Times New Roman"/>
                <w:bCs/>
              </w:rPr>
            </w:pPr>
            <w:r w:rsidRPr="0081478A">
              <w:rPr>
                <w:rFonts w:cs="Times New Roman"/>
                <w:b w:val="0"/>
                <w:bCs/>
              </w:rPr>
              <w:t>1.8</w:t>
            </w:r>
          </w:p>
        </w:tc>
        <w:tc>
          <w:tcPr>
            <w:tcW w:w="1041" w:type="pct"/>
            <w:shd w:val="clear" w:color="auto" w:fill="auto"/>
            <w:vAlign w:val="center"/>
          </w:tcPr>
          <w:p w14:paraId="61913BAE" w14:textId="77777777" w:rsidR="009D23A9" w:rsidRPr="0081478A" w:rsidRDefault="009D23A9" w:rsidP="00921836">
            <w:pPr>
              <w:pStyle w:val="ae"/>
              <w:rPr>
                <w:rFonts w:cs="Times New Roman"/>
                <w:bCs/>
              </w:rPr>
            </w:pPr>
            <w:r w:rsidRPr="0081478A">
              <w:rPr>
                <w:rFonts w:cs="Times New Roman"/>
                <w:b w:val="0"/>
                <w:bCs/>
              </w:rPr>
              <w:t>2.2</w:t>
            </w:r>
          </w:p>
        </w:tc>
      </w:tr>
    </w:tbl>
    <w:p w14:paraId="482E5B6C" w14:textId="77777777" w:rsidR="009D23A9" w:rsidRPr="0081478A" w:rsidRDefault="009D23A9" w:rsidP="00921836">
      <w:pPr>
        <w:ind w:firstLine="420"/>
        <w:rPr>
          <w:rFonts w:cs="Times New Roman"/>
        </w:rPr>
      </w:pPr>
      <w:r w:rsidRPr="0081478A">
        <w:rPr>
          <w:rFonts w:cs="Times New Roman"/>
        </w:rPr>
        <w:t>例如，当室外月平均温度为</w:t>
      </w:r>
      <w:r w:rsidRPr="0081478A">
        <w:rPr>
          <w:rFonts w:cs="Times New Roman"/>
        </w:rPr>
        <w:t>20℃</w:t>
      </w:r>
      <w:r w:rsidRPr="0081478A">
        <w:rPr>
          <w:rFonts w:cs="Times New Roman"/>
        </w:rPr>
        <w:t>，且</w:t>
      </w:r>
      <w:r w:rsidRPr="0081478A">
        <w:rPr>
          <w:rFonts w:cs="Times New Roman"/>
        </w:rPr>
        <w:t>va≤0.3m/s</w:t>
      </w:r>
      <w:r w:rsidRPr="0081478A">
        <w:rPr>
          <w:rFonts w:cs="Times New Roman"/>
        </w:rPr>
        <w:t>时，室内舒适温度区间为</w:t>
      </w:r>
      <w:r w:rsidRPr="0081478A">
        <w:rPr>
          <w:rFonts w:cs="Times New Roman"/>
        </w:rPr>
        <w:t>20.5℃~27.5℃</w:t>
      </w:r>
      <w:r w:rsidRPr="0081478A">
        <w:rPr>
          <w:rFonts w:cs="Times New Roman"/>
        </w:rPr>
        <w:t>，若提高室内气流平均速度，且</w:t>
      </w:r>
      <w:r w:rsidRPr="0081478A">
        <w:rPr>
          <w:rFonts w:cs="Times New Roman"/>
        </w:rPr>
        <w:t>0.3m/s</w:t>
      </w:r>
      <w:r w:rsidRPr="0081478A">
        <w:rPr>
          <w:rFonts w:cs="Times New Roman"/>
        </w:rPr>
        <w:t>＜</w:t>
      </w:r>
      <w:r w:rsidRPr="0081478A">
        <w:rPr>
          <w:rFonts w:cs="Times New Roman"/>
        </w:rPr>
        <w:t>va≤0.6m/s</w:t>
      </w:r>
      <w:r w:rsidRPr="0081478A">
        <w:rPr>
          <w:rFonts w:cs="Times New Roman"/>
        </w:rPr>
        <w:t>时，舒适温度上限可提高</w:t>
      </w:r>
      <w:r w:rsidRPr="0081478A">
        <w:rPr>
          <w:rFonts w:cs="Times New Roman"/>
        </w:rPr>
        <w:t>1.2℃</w:t>
      </w:r>
      <w:r w:rsidRPr="0081478A">
        <w:rPr>
          <w:rFonts w:cs="Times New Roman"/>
        </w:rPr>
        <w:t>，即室内舒适温度区间为</w:t>
      </w:r>
      <w:r w:rsidRPr="0081478A">
        <w:rPr>
          <w:rFonts w:cs="Times New Roman"/>
        </w:rPr>
        <w:t>20.5-28.7℃</w:t>
      </w:r>
      <w:r w:rsidRPr="0081478A">
        <w:rPr>
          <w:rFonts w:cs="Times New Roman"/>
        </w:rPr>
        <w:t>，若进一步提高室内气流平均速度，并且</w:t>
      </w:r>
      <w:r w:rsidRPr="0081478A">
        <w:rPr>
          <w:rFonts w:cs="Times New Roman"/>
        </w:rPr>
        <w:t>0.6m/s</w:t>
      </w:r>
      <w:r w:rsidRPr="0081478A">
        <w:rPr>
          <w:rFonts w:cs="Times New Roman"/>
        </w:rPr>
        <w:t>＜</w:t>
      </w:r>
      <w:r w:rsidRPr="0081478A">
        <w:rPr>
          <w:rFonts w:cs="Times New Roman"/>
        </w:rPr>
        <w:t>va≤0.9m/s</w:t>
      </w:r>
      <w:r w:rsidRPr="0081478A">
        <w:rPr>
          <w:rFonts w:cs="Times New Roman"/>
        </w:rPr>
        <w:t>时，舒适温度上限可提高</w:t>
      </w:r>
      <w:r w:rsidRPr="0081478A">
        <w:rPr>
          <w:rFonts w:cs="Times New Roman"/>
        </w:rPr>
        <w:t>1.8℃</w:t>
      </w:r>
      <w:r w:rsidRPr="0081478A">
        <w:rPr>
          <w:rFonts w:cs="Times New Roman"/>
        </w:rPr>
        <w:t>，即室内舒适温度区间为</w:t>
      </w:r>
      <w:r w:rsidRPr="0081478A">
        <w:rPr>
          <w:rFonts w:cs="Times New Roman"/>
        </w:rPr>
        <w:t>20.5-29.3℃</w:t>
      </w:r>
      <w:r w:rsidRPr="0081478A">
        <w:rPr>
          <w:rFonts w:cs="Times New Roman"/>
        </w:rPr>
        <w:t>，若再提高室内气流平均速度</w:t>
      </w:r>
      <w:r w:rsidRPr="0081478A">
        <w:rPr>
          <w:rFonts w:cs="Times New Roman"/>
        </w:rPr>
        <w:t>va</w:t>
      </w:r>
      <w:r w:rsidRPr="0081478A">
        <w:rPr>
          <w:rFonts w:cs="Times New Roman"/>
        </w:rPr>
        <w:t>，并且</w:t>
      </w:r>
      <w:r w:rsidRPr="0081478A">
        <w:rPr>
          <w:rFonts w:cs="Times New Roman"/>
        </w:rPr>
        <w:t>0.9m/s</w:t>
      </w:r>
      <w:r w:rsidRPr="0081478A">
        <w:rPr>
          <w:rFonts w:cs="Times New Roman"/>
        </w:rPr>
        <w:t>＜</w:t>
      </w:r>
      <w:r w:rsidRPr="0081478A">
        <w:rPr>
          <w:rFonts w:cs="Times New Roman"/>
        </w:rPr>
        <w:t>va≤1.2m/s</w:t>
      </w:r>
      <w:r w:rsidRPr="0081478A">
        <w:rPr>
          <w:rFonts w:cs="Times New Roman"/>
        </w:rPr>
        <w:t>时，舒适温度上限可提高</w:t>
      </w:r>
      <w:r w:rsidRPr="0081478A">
        <w:rPr>
          <w:rFonts w:cs="Times New Roman"/>
        </w:rPr>
        <w:t>2.2℃</w:t>
      </w:r>
      <w:r w:rsidRPr="0081478A">
        <w:rPr>
          <w:rFonts w:cs="Times New Roman"/>
        </w:rPr>
        <w:t>，即室内舒适温度区间为</w:t>
      </w:r>
      <w:r w:rsidRPr="0081478A">
        <w:rPr>
          <w:rFonts w:cs="Times New Roman"/>
        </w:rPr>
        <w:t>20.5-29.3℃</w:t>
      </w:r>
      <w:r w:rsidRPr="0081478A">
        <w:rPr>
          <w:rFonts w:cs="Times New Roman"/>
        </w:rPr>
        <w:t>。</w:t>
      </w:r>
    </w:p>
    <w:p w14:paraId="3576214A" w14:textId="77777777" w:rsidR="009D23A9" w:rsidRPr="0081478A" w:rsidRDefault="009D23A9" w:rsidP="00921836">
      <w:pPr>
        <w:ind w:firstLine="420"/>
        <w:rPr>
          <w:rFonts w:cs="Times New Roman"/>
        </w:rPr>
      </w:pPr>
      <w:r w:rsidRPr="0081478A">
        <w:rPr>
          <w:rFonts w:cs="Times New Roman"/>
        </w:rPr>
        <w:t>第</w:t>
      </w:r>
      <w:r w:rsidRPr="0081478A">
        <w:rPr>
          <w:rFonts w:cs="Times New Roman"/>
        </w:rPr>
        <w:t>2</w:t>
      </w:r>
      <w:r w:rsidRPr="0081478A">
        <w:rPr>
          <w:rFonts w:cs="Times New Roman"/>
        </w:rPr>
        <w:t>款，以建筑物内主要功能房间或区域为对象，以达标面积比例为评价依据。人工冷热源热湿环境整体评价指标应包括预计平均热感觉指标（</w:t>
      </w:r>
      <w:r w:rsidRPr="0081478A">
        <w:rPr>
          <w:rFonts w:cs="Times New Roman"/>
        </w:rPr>
        <w:t>PMV</w:t>
      </w:r>
      <w:r w:rsidRPr="0081478A">
        <w:rPr>
          <w:rFonts w:cs="Times New Roman"/>
        </w:rPr>
        <w:t>）和预计不满意者的百分数（</w:t>
      </w:r>
      <w:r w:rsidRPr="0081478A">
        <w:rPr>
          <w:rFonts w:cs="Times New Roman"/>
        </w:rPr>
        <w:t>PPD</w:t>
      </w:r>
      <w:r w:rsidRPr="0081478A">
        <w:rPr>
          <w:rFonts w:cs="Times New Roman"/>
        </w:rPr>
        <w:t>），其计算、测试方法应按照国家标准《民用建筑室内热湿环境评价标准》</w:t>
      </w:r>
      <w:r w:rsidRPr="0081478A">
        <w:rPr>
          <w:rFonts w:cs="Times New Roman"/>
        </w:rPr>
        <w:t>GB/T 50785-2012</w:t>
      </w:r>
      <w:r w:rsidRPr="0081478A">
        <w:rPr>
          <w:rFonts w:cs="Times New Roman"/>
        </w:rPr>
        <w:t>进行。</w:t>
      </w:r>
    </w:p>
    <w:p w14:paraId="0FE7F2AC" w14:textId="77777777" w:rsidR="009D23A9" w:rsidRPr="0081478A" w:rsidRDefault="009D23A9" w:rsidP="00921836">
      <w:pPr>
        <w:ind w:firstLine="420"/>
        <w:rPr>
          <w:rFonts w:cs="Times New Roman"/>
        </w:rPr>
      </w:pPr>
      <w:r w:rsidRPr="0081478A">
        <w:rPr>
          <w:rFonts w:cs="Times New Roman"/>
        </w:rPr>
        <w:t>对于公共建筑，要求以标准层为基础，标准层各类房间抽样数量不少于该类功能房间总数的</w:t>
      </w:r>
      <w:r w:rsidRPr="0081478A">
        <w:rPr>
          <w:rFonts w:cs="Times New Roman"/>
        </w:rPr>
        <w:t>2%</w:t>
      </w:r>
      <w:r w:rsidRPr="0081478A">
        <w:rPr>
          <w:rFonts w:cs="Times New Roman"/>
        </w:rPr>
        <w:t>，且每类房间抽样数量不少于</w:t>
      </w:r>
      <w:r w:rsidRPr="0081478A">
        <w:rPr>
          <w:rFonts w:cs="Times New Roman"/>
        </w:rPr>
        <w:t>3</w:t>
      </w:r>
      <w:r w:rsidRPr="0081478A">
        <w:rPr>
          <w:rFonts w:cs="Times New Roman"/>
        </w:rPr>
        <w:t>间，前厅、接待台类功能间可不少于</w:t>
      </w:r>
      <w:r w:rsidRPr="0081478A">
        <w:rPr>
          <w:rFonts w:cs="Times New Roman"/>
        </w:rPr>
        <w:t>1</w:t>
      </w:r>
      <w:r w:rsidRPr="0081478A">
        <w:rPr>
          <w:rFonts w:cs="Times New Roman"/>
        </w:rPr>
        <w:t>间。对于住宅建筑，要求抽样户数不少于总户数的</w:t>
      </w:r>
      <w:r w:rsidRPr="0081478A">
        <w:rPr>
          <w:rFonts w:cs="Times New Roman"/>
        </w:rPr>
        <w:t>2%</w:t>
      </w:r>
      <w:r w:rsidRPr="0081478A">
        <w:rPr>
          <w:rFonts w:cs="Times New Roman"/>
        </w:rPr>
        <w:t>，覆盖典型户型，且每个单体建筑不少于</w:t>
      </w:r>
      <w:r w:rsidRPr="0081478A">
        <w:rPr>
          <w:rFonts w:cs="Times New Roman"/>
        </w:rPr>
        <w:t>3</w:t>
      </w:r>
      <w:r w:rsidRPr="0081478A">
        <w:rPr>
          <w:rFonts w:cs="Times New Roman"/>
        </w:rPr>
        <w:t>户；同户型住宅，可抽检</w:t>
      </w:r>
      <w:r w:rsidRPr="0081478A">
        <w:rPr>
          <w:rFonts w:cs="Times New Roman"/>
        </w:rPr>
        <w:t>1</w:t>
      </w:r>
      <w:r w:rsidRPr="0081478A">
        <w:rPr>
          <w:rFonts w:cs="Times New Roman"/>
        </w:rPr>
        <w:t>户。</w:t>
      </w:r>
    </w:p>
    <w:p w14:paraId="30AF6B43" w14:textId="0DD8F7C6" w:rsidR="009D23A9" w:rsidRPr="0081478A" w:rsidRDefault="009D23A9" w:rsidP="009D23A9">
      <w:pPr>
        <w:ind w:firstLine="420"/>
        <w:rPr>
          <w:rFonts w:cs="Times New Roman"/>
        </w:rPr>
      </w:pPr>
      <w:r w:rsidRPr="0081478A">
        <w:rPr>
          <w:rFonts w:cs="Times New Roman"/>
        </w:rPr>
        <w:t>当同一建筑有多种功能房间时，应对各种功能房间分别计算达标百分比，</w:t>
      </w:r>
      <w:r w:rsidR="00DE210B">
        <w:rPr>
          <w:rFonts w:cs="Times New Roman" w:hint="eastAsia"/>
        </w:rPr>
        <w:t>按照最低得分</w:t>
      </w:r>
      <w:r w:rsidRPr="0081478A">
        <w:rPr>
          <w:rFonts w:cs="Times New Roman"/>
        </w:rPr>
        <w:lastRenderedPageBreak/>
        <w:t>计算得分。当建筑部分房间采用自然通风或复合通风，部分房间采用人工冷热源时，按照这两款分别评分后</w:t>
      </w:r>
      <w:r w:rsidR="00894BCD">
        <w:rPr>
          <w:rFonts w:cs="Times New Roman" w:hint="eastAsia"/>
        </w:rPr>
        <w:t>，</w:t>
      </w:r>
      <w:r w:rsidR="00894BCD" w:rsidRPr="00530A11">
        <w:rPr>
          <w:rFonts w:cs="Times New Roman"/>
          <w:kern w:val="44"/>
          <w:szCs w:val="24"/>
        </w:rPr>
        <w:t>按最低得分</w:t>
      </w:r>
      <w:r w:rsidRPr="0081478A">
        <w:rPr>
          <w:rFonts w:cs="Times New Roman"/>
        </w:rPr>
        <w:t>作为本条得分。</w:t>
      </w:r>
    </w:p>
    <w:p w14:paraId="2555DE57"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0A1C59C4" w14:textId="77777777" w:rsidR="004F215F" w:rsidRPr="00530A11" w:rsidRDefault="004F215F" w:rsidP="004F215F">
      <w:pPr>
        <w:ind w:firstLine="420"/>
        <w:rPr>
          <w:rFonts w:cs="Times New Roman"/>
          <w:i/>
        </w:rPr>
      </w:pPr>
      <w:r w:rsidRPr="00530A11">
        <w:rPr>
          <w:rFonts w:cs="Times New Roman"/>
          <w:kern w:val="44"/>
          <w:szCs w:val="24"/>
        </w:rPr>
        <w:t>预评价查阅相关设计文件、</w:t>
      </w:r>
      <w:r w:rsidRPr="00530A11">
        <w:rPr>
          <w:rFonts w:cs="Times New Roman" w:hint="eastAsia"/>
          <w:kern w:val="44"/>
          <w:szCs w:val="24"/>
        </w:rPr>
        <w:t>气流组织分析报告、</w:t>
      </w:r>
      <w:r w:rsidRPr="00530A11">
        <w:rPr>
          <w:rFonts w:cs="Times New Roman"/>
          <w:kern w:val="44"/>
          <w:szCs w:val="24"/>
        </w:rPr>
        <w:t>计算分析报告；评价查阅相关竣工图、</w:t>
      </w:r>
      <w:r w:rsidRPr="00530A11">
        <w:rPr>
          <w:rFonts w:cs="Times New Roman" w:hint="eastAsia"/>
          <w:kern w:val="44"/>
          <w:szCs w:val="24"/>
        </w:rPr>
        <w:t>气流组织分析报告、</w:t>
      </w:r>
      <w:r w:rsidRPr="00530A11">
        <w:rPr>
          <w:rFonts w:cs="Times New Roman"/>
          <w:kern w:val="44"/>
          <w:szCs w:val="24"/>
        </w:rPr>
        <w:t>计算分析报告</w:t>
      </w:r>
      <w:r w:rsidRPr="00530A11">
        <w:rPr>
          <w:rFonts w:cs="Times New Roman" w:hint="eastAsia"/>
          <w:kern w:val="44"/>
          <w:szCs w:val="24"/>
        </w:rPr>
        <w:t>。</w:t>
      </w:r>
    </w:p>
    <w:p w14:paraId="16F1DF96" w14:textId="77777777" w:rsidR="009D23A9" w:rsidRPr="004F215F" w:rsidRDefault="009D23A9">
      <w:pPr>
        <w:snapToGrid w:val="0"/>
        <w:ind w:firstLine="420"/>
        <w:jc w:val="left"/>
        <w:rPr>
          <w:rFonts w:cs="Times New Roman"/>
          <w:szCs w:val="24"/>
        </w:rPr>
      </w:pPr>
    </w:p>
    <w:p w14:paraId="321050E8" w14:textId="77777777" w:rsidR="002C09A7" w:rsidRPr="00530A11" w:rsidRDefault="002C09A7" w:rsidP="002C09A7">
      <w:pPr>
        <w:pStyle w:val="4"/>
        <w:rPr>
          <w:rFonts w:cs="Times New Roman"/>
          <w:bCs w:val="0"/>
        </w:rPr>
      </w:pPr>
      <w:r w:rsidRPr="00530A11">
        <w:rPr>
          <w:rFonts w:cs="Times New Roman"/>
          <w:bCs w:val="0"/>
        </w:rPr>
        <w:t xml:space="preserve">5.2.9 </w:t>
      </w:r>
      <w:r w:rsidRPr="00530A11">
        <w:rPr>
          <w:rFonts w:cs="Times New Roman"/>
          <w:bCs w:val="0"/>
        </w:rPr>
        <w:t>优化建筑空间和平面布局，改善自然通风效果，评价总分值为</w:t>
      </w:r>
      <w:r w:rsidRPr="00530A11">
        <w:rPr>
          <w:rFonts w:cs="Times New Roman"/>
          <w:bCs w:val="0"/>
        </w:rPr>
        <w:t>10</w:t>
      </w:r>
      <w:r w:rsidRPr="00530A11">
        <w:rPr>
          <w:rFonts w:cs="Times New Roman"/>
          <w:bCs w:val="0"/>
        </w:rPr>
        <w:t>分，并按下列规则评分：</w:t>
      </w:r>
    </w:p>
    <w:p w14:paraId="36FCAA99" w14:textId="77777777" w:rsidR="002C09A7" w:rsidRPr="002C09A7" w:rsidRDefault="002C09A7" w:rsidP="002C09A7">
      <w:pPr>
        <w:pStyle w:val="20"/>
        <w:ind w:firstLineChars="100" w:firstLine="211"/>
        <w:rPr>
          <w:rFonts w:ascii="Times New Roman" w:hAnsi="Times New Roman" w:cs="Times New Roman"/>
          <w:bCs/>
          <w:color w:val="auto"/>
        </w:rPr>
      </w:pPr>
      <w:r w:rsidRPr="002C09A7">
        <w:rPr>
          <w:rFonts w:ascii="Times New Roman" w:hAnsi="Times New Roman" w:cs="Times New Roman"/>
          <w:bCs/>
          <w:color w:val="auto"/>
        </w:rPr>
        <w:t xml:space="preserve">1 </w:t>
      </w:r>
      <w:r w:rsidRPr="002C09A7">
        <w:rPr>
          <w:rFonts w:ascii="Times New Roman" w:hAnsi="Times New Roman" w:cs="Times New Roman"/>
          <w:bCs/>
          <w:color w:val="auto"/>
        </w:rPr>
        <w:t>住宅建筑</w:t>
      </w:r>
      <w:r w:rsidRPr="002C09A7">
        <w:rPr>
          <w:rFonts w:ascii="Times New Roman" w:hAnsi="Times New Roman" w:cs="Times New Roman"/>
          <w:bCs/>
          <w:color w:val="auto"/>
        </w:rPr>
        <w:t>:</w:t>
      </w:r>
      <w:r w:rsidRPr="002C09A7">
        <w:rPr>
          <w:rFonts w:ascii="Times New Roman" w:hAnsi="Times New Roman" w:cs="Times New Roman"/>
          <w:bCs/>
          <w:color w:val="auto"/>
        </w:rPr>
        <w:t>通风开口面积与房间地板面积的比例达到</w:t>
      </w:r>
      <w:r w:rsidRPr="002C09A7">
        <w:rPr>
          <w:rFonts w:ascii="Times New Roman" w:hAnsi="Times New Roman" w:cs="Times New Roman"/>
          <w:bCs/>
          <w:color w:val="auto"/>
        </w:rPr>
        <w:t>8%</w:t>
      </w:r>
      <w:r w:rsidRPr="002C09A7">
        <w:rPr>
          <w:rFonts w:ascii="Times New Roman" w:hAnsi="Times New Roman" w:cs="Times New Roman"/>
          <w:bCs/>
          <w:color w:val="auto"/>
        </w:rPr>
        <w:t>，得</w:t>
      </w:r>
      <w:r w:rsidRPr="002C09A7">
        <w:rPr>
          <w:rFonts w:ascii="Times New Roman" w:hAnsi="Times New Roman" w:cs="Times New Roman"/>
          <w:bCs/>
          <w:color w:val="auto"/>
        </w:rPr>
        <w:t>5</w:t>
      </w:r>
      <w:r w:rsidRPr="002C09A7">
        <w:rPr>
          <w:rFonts w:ascii="Times New Roman" w:hAnsi="Times New Roman" w:cs="Times New Roman"/>
          <w:bCs/>
          <w:color w:val="auto"/>
        </w:rPr>
        <w:t>分；每再增加</w:t>
      </w:r>
      <w:r w:rsidRPr="002C09A7">
        <w:rPr>
          <w:rFonts w:ascii="Times New Roman" w:hAnsi="Times New Roman" w:cs="Times New Roman"/>
          <w:bCs/>
          <w:color w:val="auto"/>
        </w:rPr>
        <w:t>2%</w:t>
      </w:r>
      <w:r w:rsidRPr="002C09A7">
        <w:rPr>
          <w:rFonts w:ascii="Times New Roman" w:hAnsi="Times New Roman" w:cs="Times New Roman"/>
          <w:bCs/>
          <w:color w:val="auto"/>
        </w:rPr>
        <w:t>，加</w:t>
      </w:r>
      <w:r w:rsidRPr="002C09A7">
        <w:rPr>
          <w:rFonts w:ascii="Times New Roman" w:hAnsi="Times New Roman" w:cs="Times New Roman"/>
          <w:bCs/>
          <w:color w:val="auto"/>
        </w:rPr>
        <w:t>1</w:t>
      </w:r>
      <w:r w:rsidRPr="002C09A7">
        <w:rPr>
          <w:rFonts w:ascii="Times New Roman" w:hAnsi="Times New Roman" w:cs="Times New Roman"/>
          <w:bCs/>
          <w:color w:val="auto"/>
        </w:rPr>
        <w:t>分，最高得</w:t>
      </w:r>
      <w:r w:rsidRPr="002C09A7">
        <w:rPr>
          <w:rFonts w:ascii="Times New Roman" w:hAnsi="Times New Roman" w:cs="Times New Roman"/>
          <w:bCs/>
          <w:color w:val="auto"/>
        </w:rPr>
        <w:t>8</w:t>
      </w:r>
      <w:r w:rsidRPr="002C09A7">
        <w:rPr>
          <w:rFonts w:ascii="Times New Roman" w:hAnsi="Times New Roman" w:cs="Times New Roman"/>
          <w:bCs/>
          <w:color w:val="auto"/>
        </w:rPr>
        <w:t>分；</w:t>
      </w:r>
    </w:p>
    <w:p w14:paraId="16299304" w14:textId="77777777" w:rsidR="002C09A7" w:rsidRPr="002C09A7" w:rsidRDefault="002C09A7" w:rsidP="002C09A7">
      <w:pPr>
        <w:pStyle w:val="20"/>
        <w:ind w:firstLineChars="100" w:firstLine="211"/>
        <w:rPr>
          <w:rFonts w:ascii="Times New Roman" w:hAnsi="Times New Roman" w:cs="Times New Roman"/>
          <w:bCs/>
          <w:color w:val="auto"/>
        </w:rPr>
      </w:pPr>
      <w:r w:rsidRPr="002C09A7">
        <w:rPr>
          <w:rFonts w:ascii="Times New Roman" w:hAnsi="Times New Roman" w:cs="Times New Roman"/>
          <w:bCs/>
          <w:color w:val="auto"/>
        </w:rPr>
        <w:t xml:space="preserve">2 </w:t>
      </w:r>
      <w:r w:rsidRPr="002C09A7">
        <w:rPr>
          <w:rFonts w:ascii="Times New Roman" w:hAnsi="Times New Roman" w:cs="Times New Roman"/>
          <w:bCs/>
          <w:color w:val="auto"/>
        </w:rPr>
        <w:t>公共建筑</w:t>
      </w:r>
      <w:r w:rsidRPr="002C09A7">
        <w:rPr>
          <w:rFonts w:ascii="Times New Roman" w:hAnsi="Times New Roman" w:cs="Times New Roman"/>
          <w:bCs/>
          <w:color w:val="auto"/>
        </w:rPr>
        <w:t>:</w:t>
      </w:r>
      <w:r w:rsidRPr="002C09A7">
        <w:rPr>
          <w:rFonts w:ascii="Times New Roman" w:hAnsi="Times New Roman" w:cs="Times New Roman"/>
          <w:bCs/>
          <w:color w:val="auto"/>
        </w:rPr>
        <w:t>过渡季典型工况下主要功能房间平均自然通风换气次数不小于</w:t>
      </w:r>
      <w:r w:rsidRPr="002C09A7">
        <w:rPr>
          <w:rFonts w:ascii="Times New Roman" w:hAnsi="Times New Roman" w:cs="Times New Roman"/>
          <w:bCs/>
          <w:color w:val="auto"/>
        </w:rPr>
        <w:t>2</w:t>
      </w:r>
      <w:r w:rsidRPr="002C09A7">
        <w:rPr>
          <w:rFonts w:ascii="Times New Roman" w:hAnsi="Times New Roman" w:cs="Times New Roman"/>
          <w:bCs/>
          <w:color w:val="auto"/>
        </w:rPr>
        <w:t>次</w:t>
      </w:r>
      <w:r w:rsidRPr="002C09A7">
        <w:rPr>
          <w:rFonts w:ascii="Times New Roman" w:hAnsi="Times New Roman" w:cs="Times New Roman"/>
          <w:bCs/>
          <w:color w:val="auto"/>
        </w:rPr>
        <w:t>/h</w:t>
      </w:r>
      <w:r w:rsidRPr="002C09A7">
        <w:rPr>
          <w:rFonts w:ascii="Times New Roman" w:hAnsi="Times New Roman" w:cs="Times New Roman"/>
          <w:bCs/>
          <w:color w:val="auto"/>
        </w:rPr>
        <w:t>的面积比例达到</w:t>
      </w:r>
      <w:r w:rsidRPr="002C09A7">
        <w:rPr>
          <w:rFonts w:ascii="Times New Roman" w:hAnsi="Times New Roman" w:cs="Times New Roman"/>
          <w:bCs/>
          <w:color w:val="auto"/>
        </w:rPr>
        <w:t>70%</w:t>
      </w:r>
      <w:r w:rsidRPr="002C09A7">
        <w:rPr>
          <w:rFonts w:ascii="Times New Roman" w:hAnsi="Times New Roman" w:cs="Times New Roman"/>
          <w:bCs/>
          <w:color w:val="auto"/>
        </w:rPr>
        <w:t>，得</w:t>
      </w:r>
      <w:r w:rsidRPr="002C09A7">
        <w:rPr>
          <w:rFonts w:ascii="Times New Roman" w:hAnsi="Times New Roman" w:cs="Times New Roman"/>
          <w:bCs/>
          <w:color w:val="auto"/>
        </w:rPr>
        <w:t>5</w:t>
      </w:r>
      <w:r w:rsidRPr="002C09A7">
        <w:rPr>
          <w:rFonts w:ascii="Times New Roman" w:hAnsi="Times New Roman" w:cs="Times New Roman"/>
          <w:bCs/>
          <w:color w:val="auto"/>
        </w:rPr>
        <w:t>分；每再增加</w:t>
      </w:r>
      <w:r w:rsidRPr="002C09A7">
        <w:rPr>
          <w:rFonts w:ascii="Times New Roman" w:hAnsi="Times New Roman" w:cs="Times New Roman"/>
          <w:bCs/>
          <w:color w:val="auto"/>
        </w:rPr>
        <w:t>10%</w:t>
      </w:r>
      <w:r w:rsidRPr="002C09A7">
        <w:rPr>
          <w:rFonts w:ascii="Times New Roman" w:hAnsi="Times New Roman" w:cs="Times New Roman"/>
          <w:bCs/>
          <w:color w:val="auto"/>
        </w:rPr>
        <w:t>，加</w:t>
      </w:r>
      <w:r w:rsidRPr="002C09A7">
        <w:rPr>
          <w:rFonts w:ascii="Times New Roman" w:hAnsi="Times New Roman" w:cs="Times New Roman"/>
          <w:bCs/>
          <w:color w:val="auto"/>
        </w:rPr>
        <w:t>1</w:t>
      </w:r>
      <w:r w:rsidRPr="002C09A7">
        <w:rPr>
          <w:rFonts w:ascii="Times New Roman" w:hAnsi="Times New Roman" w:cs="Times New Roman"/>
          <w:bCs/>
          <w:color w:val="auto"/>
        </w:rPr>
        <w:t>分，最高得</w:t>
      </w:r>
      <w:r w:rsidRPr="002C09A7">
        <w:rPr>
          <w:rFonts w:ascii="Times New Roman" w:hAnsi="Times New Roman" w:cs="Times New Roman"/>
          <w:bCs/>
          <w:color w:val="auto"/>
        </w:rPr>
        <w:t>8</w:t>
      </w:r>
      <w:r w:rsidRPr="002C09A7">
        <w:rPr>
          <w:rFonts w:ascii="Times New Roman" w:hAnsi="Times New Roman" w:cs="Times New Roman"/>
          <w:bCs/>
          <w:color w:val="auto"/>
        </w:rPr>
        <w:t>分。</w:t>
      </w:r>
    </w:p>
    <w:p w14:paraId="53F9B55A" w14:textId="77777777" w:rsidR="002C09A7" w:rsidRPr="002C09A7" w:rsidRDefault="002C09A7" w:rsidP="002C09A7">
      <w:pPr>
        <w:ind w:firstLineChars="100" w:firstLine="211"/>
        <w:rPr>
          <w:rFonts w:cs="Times New Roman"/>
          <w:b/>
          <w:bCs/>
        </w:rPr>
      </w:pPr>
      <w:r w:rsidRPr="002C09A7">
        <w:rPr>
          <w:rFonts w:cs="Times New Roman"/>
          <w:b/>
          <w:bCs/>
        </w:rPr>
        <w:t xml:space="preserve">3 </w:t>
      </w:r>
      <w:r w:rsidRPr="002C09A7">
        <w:rPr>
          <w:rFonts w:cs="Times New Roman" w:hint="eastAsia"/>
          <w:b/>
          <w:bCs/>
        </w:rPr>
        <w:t>首层地下车库的通风开口面积与其地板轴线面积的比例达到</w:t>
      </w:r>
      <w:r w:rsidRPr="002C09A7">
        <w:rPr>
          <w:rFonts w:cs="Times New Roman"/>
          <w:b/>
          <w:bCs/>
        </w:rPr>
        <w:t>2%</w:t>
      </w:r>
      <w:r w:rsidRPr="002C09A7">
        <w:rPr>
          <w:rFonts w:cs="Times New Roman" w:hint="eastAsia"/>
          <w:b/>
          <w:bCs/>
        </w:rPr>
        <w:t>，得</w:t>
      </w:r>
      <w:r w:rsidRPr="002C09A7">
        <w:rPr>
          <w:rFonts w:cs="Times New Roman"/>
          <w:b/>
          <w:bCs/>
        </w:rPr>
        <w:t>2</w:t>
      </w:r>
      <w:r w:rsidRPr="002C09A7">
        <w:rPr>
          <w:rFonts w:cs="Times New Roman" w:hint="eastAsia"/>
          <w:b/>
          <w:bCs/>
        </w:rPr>
        <w:t>分。</w:t>
      </w:r>
    </w:p>
    <w:p w14:paraId="7AAFD3FD" w14:textId="77777777" w:rsidR="00715ABB" w:rsidRPr="0081478A" w:rsidRDefault="00F44390">
      <w:pPr>
        <w:ind w:firstLineChars="0" w:firstLine="0"/>
        <w:rPr>
          <w:rFonts w:cs="Times New Roman"/>
          <w:b/>
          <w:szCs w:val="24"/>
        </w:rPr>
      </w:pPr>
      <w:r w:rsidRPr="0081478A">
        <w:rPr>
          <w:rFonts w:cs="Times New Roman"/>
          <w:b/>
          <w:szCs w:val="24"/>
        </w:rPr>
        <w:t>【条文说明】</w:t>
      </w:r>
    </w:p>
    <w:p w14:paraId="4877F26B" w14:textId="77777777" w:rsidR="0087265D" w:rsidRPr="00530A11" w:rsidRDefault="0087265D" w:rsidP="0087265D">
      <w:pPr>
        <w:ind w:firstLine="420"/>
        <w:rPr>
          <w:szCs w:val="24"/>
        </w:rPr>
      </w:pPr>
      <w:r w:rsidRPr="00530A11">
        <w:t>本条适用于各类民用建筑的预评价、评价。</w:t>
      </w:r>
    </w:p>
    <w:p w14:paraId="3C9BC871"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8.2.10</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8.2.10</w:t>
      </w:r>
      <w:r w:rsidRPr="00530A11">
        <w:rPr>
          <w:rFonts w:cs="Times New Roman"/>
        </w:rPr>
        <w:t>条的基础上发展而来。</w:t>
      </w:r>
    </w:p>
    <w:p w14:paraId="3F655B29" w14:textId="77777777" w:rsidR="0087265D" w:rsidRPr="00530A11" w:rsidRDefault="0087265D" w:rsidP="0087265D">
      <w:pPr>
        <w:ind w:firstLine="420"/>
        <w:rPr>
          <w:rFonts w:cs="Times New Roman"/>
        </w:rPr>
      </w:pPr>
      <w:r w:rsidRPr="00530A11">
        <w:rPr>
          <w:rFonts w:cs="Times New Roman"/>
        </w:rPr>
        <w:t>良好的自然通风设计，如果用中庭、天井、通风塔、导风墙、外廊、可开启外墙或屋顶、地道风等，可以有效改善室内热湿环境和空气品质，提高人体舒适性。已有研究表明，在自然通风条件下，人们感觉热舒适和可接受的环境温度要远比空调采暖室内环境设计标准限定的热舒适温度范围来得宽泛。当室外温湿度适宜时，良好的通风效果还能够减少空调的使用。</w:t>
      </w:r>
    </w:p>
    <w:p w14:paraId="2E671202" w14:textId="5C210CA0" w:rsidR="0087265D" w:rsidRPr="00530A11" w:rsidRDefault="0087265D" w:rsidP="0087265D">
      <w:pPr>
        <w:ind w:firstLine="420"/>
        <w:rPr>
          <w:rFonts w:cs="Times New Roman"/>
        </w:rPr>
      </w:pPr>
      <w:r w:rsidRPr="00530A11">
        <w:rPr>
          <w:rFonts w:cs="Times New Roman"/>
        </w:rPr>
        <w:t>首层地下车库可以利用开侧窗、顶板上的洞口、天井等开口部位作为自然通风口，宜兼顾自然排烟和天然采光需求统筹考虑，当车库通风开口兼作自然排烟口时，应满足国家标准《汽车库、修车库、停车场设计防火规范》</w:t>
      </w:r>
      <w:r w:rsidRPr="00530A11">
        <w:rPr>
          <w:rFonts w:cs="Times New Roman"/>
        </w:rPr>
        <w:t>GB 50067</w:t>
      </w:r>
      <w:r w:rsidRPr="00530A11">
        <w:rPr>
          <w:rFonts w:cs="Times New Roman"/>
        </w:rPr>
        <w:t>中对车库自然排烟设计的相关规定。手动排烟窗、自动排烟窗、空洞等均可作为自然排烟口。如首层车库含人防区域</w:t>
      </w:r>
      <w:r w:rsidR="00401AE6">
        <w:rPr>
          <w:rFonts w:cs="Times New Roman" w:hint="eastAsia"/>
        </w:rPr>
        <w:t>和设备用房</w:t>
      </w:r>
      <w:r w:rsidRPr="00530A11">
        <w:rPr>
          <w:rFonts w:cs="Times New Roman"/>
        </w:rPr>
        <w:t>，应去掉人防车库</w:t>
      </w:r>
      <w:r w:rsidR="00401AE6">
        <w:rPr>
          <w:rFonts w:cs="Times New Roman" w:hint="eastAsia"/>
        </w:rPr>
        <w:t>和设备用房</w:t>
      </w:r>
      <w:r w:rsidRPr="00530A11">
        <w:rPr>
          <w:rFonts w:cs="Times New Roman"/>
        </w:rPr>
        <w:t>面积。</w:t>
      </w:r>
    </w:p>
    <w:p w14:paraId="4EF03630" w14:textId="4A7E99DD" w:rsidR="002B4D27"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705BA860" w14:textId="2983D056" w:rsidR="002B4D27" w:rsidRPr="0081478A" w:rsidRDefault="00EC1F2D" w:rsidP="002B4D27">
      <w:pPr>
        <w:ind w:firstLine="420"/>
        <w:rPr>
          <w:rFonts w:cs="Times New Roman"/>
        </w:rPr>
      </w:pPr>
      <w:r>
        <w:rPr>
          <w:rFonts w:cs="Times New Roman"/>
        </w:rPr>
        <w:t>1.</w:t>
      </w:r>
      <w:r w:rsidR="002B4D27" w:rsidRPr="0081478A">
        <w:rPr>
          <w:rFonts w:cs="Times New Roman"/>
        </w:rPr>
        <w:t>对住宅建筑的每个户型主要功能房间的通风开口面积与该房间地板面积的比值进行简化判断。通风开口面积强调门窗用于通风的开启功能。宿舍建筑按本款的要求执行。</w:t>
      </w:r>
    </w:p>
    <w:p w14:paraId="3D71EA15" w14:textId="2C2F2CF1" w:rsidR="002B4D27" w:rsidRPr="0081478A" w:rsidRDefault="00EC1F2D" w:rsidP="002B4D27">
      <w:pPr>
        <w:ind w:firstLine="420"/>
        <w:rPr>
          <w:rFonts w:cs="Times New Roman"/>
        </w:rPr>
      </w:pPr>
      <w:r>
        <w:rPr>
          <w:rFonts w:cs="Times New Roman" w:hint="eastAsia"/>
        </w:rPr>
        <w:lastRenderedPageBreak/>
        <w:t>2</w:t>
      </w:r>
      <w:r>
        <w:rPr>
          <w:rFonts w:cs="Times New Roman"/>
        </w:rPr>
        <w:t>.</w:t>
      </w:r>
      <w:r w:rsidR="002B4D27" w:rsidRPr="0081478A">
        <w:rPr>
          <w:rFonts w:cs="Times New Roman"/>
        </w:rPr>
        <w:t>若公共建筑有大进深内区，或者由于别的原因不能保证开窗通风面积，使得单纯依靠自然风压与热压不足以实现自然通风，需要进行自然通风优化设计或创新设计，以保证建筑在过渡季典型工况下平均自然通风换气次数大于</w:t>
      </w:r>
      <w:r w:rsidR="002B4D27" w:rsidRPr="0081478A">
        <w:rPr>
          <w:rFonts w:cs="Times New Roman"/>
        </w:rPr>
        <w:t>2</w:t>
      </w:r>
      <w:r w:rsidR="002B4D27" w:rsidRPr="0081478A">
        <w:rPr>
          <w:rFonts w:cs="Times New Roman"/>
        </w:rPr>
        <w:t>次</w:t>
      </w:r>
      <w:r w:rsidR="002B4D27" w:rsidRPr="0081478A">
        <w:rPr>
          <w:rFonts w:cs="Times New Roman"/>
        </w:rPr>
        <w:t>/h</w:t>
      </w:r>
      <w:r w:rsidR="002B4D27" w:rsidRPr="0081478A">
        <w:rPr>
          <w:rFonts w:cs="Times New Roman"/>
        </w:rPr>
        <w:t>。可通过以下两种方式进行判断：</w:t>
      </w:r>
    </w:p>
    <w:p w14:paraId="562DFF4B" w14:textId="77777777" w:rsidR="002B4D27" w:rsidRPr="0081478A" w:rsidRDefault="002B4D27" w:rsidP="002B4D27">
      <w:pPr>
        <w:ind w:firstLine="420"/>
        <w:rPr>
          <w:rFonts w:cs="Times New Roman"/>
        </w:rPr>
      </w:pPr>
      <w:r w:rsidRPr="0081478A">
        <w:rPr>
          <w:rFonts w:ascii="宋体" w:hAnsi="宋体" w:cs="宋体" w:hint="eastAsia"/>
        </w:rPr>
        <w:t>①</w:t>
      </w:r>
      <w:r w:rsidRPr="0081478A">
        <w:rPr>
          <w:rFonts w:cs="Times New Roman"/>
        </w:rPr>
        <w:t>在过渡季节典型工况下，自然通风房间可开启外窗净面积不得小于房间地板面积的</w:t>
      </w:r>
      <w:r w:rsidRPr="0081478A">
        <w:rPr>
          <w:rFonts w:cs="Times New Roman"/>
        </w:rPr>
        <w:t>4%</w:t>
      </w:r>
      <w:r w:rsidRPr="0081478A">
        <w:rPr>
          <w:rFonts w:cs="Times New Roman"/>
        </w:rPr>
        <w:t>，建筑内区房间若通过邻接房间进行自然通风，其通风开口面积应大于该房间净面积的</w:t>
      </w:r>
      <w:r w:rsidRPr="0081478A">
        <w:rPr>
          <w:rFonts w:cs="Times New Roman"/>
        </w:rPr>
        <w:t>8%</w:t>
      </w:r>
      <w:r w:rsidRPr="0081478A">
        <w:rPr>
          <w:rFonts w:cs="Times New Roman"/>
        </w:rPr>
        <w:t>，且不应小于</w:t>
      </w:r>
      <w:r w:rsidRPr="0081478A">
        <w:rPr>
          <w:rFonts w:cs="Times New Roman"/>
        </w:rPr>
        <w:t>2.3m</w:t>
      </w:r>
      <w:r w:rsidRPr="0081478A">
        <w:rPr>
          <w:rFonts w:cs="Times New Roman"/>
          <w:vertAlign w:val="superscript"/>
        </w:rPr>
        <w:t>2</w:t>
      </w:r>
      <w:r w:rsidRPr="0081478A">
        <w:rPr>
          <w:rFonts w:cs="Times New Roman"/>
        </w:rPr>
        <w:t>（数据源自美国</w:t>
      </w:r>
      <w:r w:rsidRPr="0081478A">
        <w:rPr>
          <w:rFonts w:cs="Times New Roman"/>
        </w:rPr>
        <w:t>ASHRAE</w:t>
      </w:r>
      <w:r w:rsidRPr="0081478A">
        <w:rPr>
          <w:rFonts w:cs="Times New Roman"/>
        </w:rPr>
        <w:t>标准</w:t>
      </w:r>
      <w:r w:rsidRPr="0081478A">
        <w:rPr>
          <w:rFonts w:cs="Times New Roman"/>
        </w:rPr>
        <w:t>62.1</w:t>
      </w:r>
      <w:r w:rsidRPr="0081478A">
        <w:rPr>
          <w:rFonts w:cs="Times New Roman"/>
        </w:rPr>
        <w:t>）。</w:t>
      </w:r>
    </w:p>
    <w:p w14:paraId="3DA7CE04" w14:textId="0CF9FECF" w:rsidR="002B4D27" w:rsidRDefault="002B4D27" w:rsidP="002B4D27">
      <w:pPr>
        <w:ind w:firstLine="420"/>
        <w:rPr>
          <w:rFonts w:cs="Times New Roman"/>
        </w:rPr>
      </w:pPr>
      <w:r w:rsidRPr="0081478A">
        <w:rPr>
          <w:rFonts w:ascii="宋体" w:hAnsi="宋体" w:cs="宋体" w:hint="eastAsia"/>
        </w:rPr>
        <w:t>②</w:t>
      </w:r>
      <w:r w:rsidRPr="0081478A">
        <w:rPr>
          <w:rFonts w:cs="Times New Roman"/>
        </w:rPr>
        <w:t>对于复杂建筑，模拟计算公共建筑过渡季典型工况下主要功能房间平均自然通风换气次数，可采用区域网络模拟法或基于</w:t>
      </w:r>
      <w:r w:rsidRPr="0081478A">
        <w:rPr>
          <w:rFonts w:cs="Times New Roman"/>
        </w:rPr>
        <w:t>CFD</w:t>
      </w:r>
      <w:r w:rsidRPr="0081478A">
        <w:rPr>
          <w:rFonts w:cs="Times New Roman"/>
        </w:rPr>
        <w:t>的分布参数计算方法，具体计算过程应符合《民用建筑绿色性能计算标准》</w:t>
      </w:r>
      <w:r w:rsidRPr="0081478A">
        <w:rPr>
          <w:rFonts w:cs="Times New Roman"/>
        </w:rPr>
        <w:t>JGJ/T 449-2018</w:t>
      </w:r>
      <w:r w:rsidRPr="0081478A">
        <w:rPr>
          <w:rFonts w:cs="Times New Roman"/>
        </w:rPr>
        <w:t>规定。自然通风换气次数模拟报告内容要求详见《民用建筑绿色性能计算标准》</w:t>
      </w:r>
      <w:r w:rsidRPr="0081478A">
        <w:rPr>
          <w:rFonts w:cs="Times New Roman"/>
        </w:rPr>
        <w:t>JGJ/T 449-2018</w:t>
      </w:r>
      <w:r w:rsidRPr="0081478A">
        <w:rPr>
          <w:rFonts w:cs="Times New Roman"/>
        </w:rPr>
        <w:t>附录</w:t>
      </w:r>
      <w:r w:rsidRPr="0081478A">
        <w:rPr>
          <w:rFonts w:cs="Times New Roman"/>
        </w:rPr>
        <w:t>A.0.5</w:t>
      </w:r>
      <w:r w:rsidRPr="0081478A">
        <w:rPr>
          <w:rFonts w:cs="Times New Roman"/>
        </w:rPr>
        <w:t>。</w:t>
      </w:r>
    </w:p>
    <w:p w14:paraId="7856C50B" w14:textId="58911835" w:rsidR="00EC1F2D" w:rsidRPr="0081478A" w:rsidRDefault="00EC1F2D" w:rsidP="00EC1F2D">
      <w:pPr>
        <w:ind w:firstLine="420"/>
        <w:rPr>
          <w:rFonts w:cs="Times New Roman"/>
        </w:rPr>
      </w:pPr>
      <w:r>
        <w:rPr>
          <w:rFonts w:cs="Times New Roman"/>
        </w:rPr>
        <w:t>3.</w:t>
      </w:r>
      <w:r w:rsidRPr="0081478A">
        <w:rPr>
          <w:rFonts w:cs="Times New Roman"/>
        </w:rPr>
        <w:t>在计算通风开口面积占比时，首层车库含人防区域，首层车库总面积应扣除人防车库面积。车库应合理优化建筑空间、平面布局和构造设计，改善自然通风效果。在过渡季典型工况下，对于满足自然通风的区域，实现</w:t>
      </w:r>
      <w:r w:rsidRPr="0081478A">
        <w:rPr>
          <w:rFonts w:cs="Times New Roman"/>
        </w:rPr>
        <w:t>70%</w:t>
      </w:r>
      <w:r w:rsidRPr="0081478A">
        <w:rPr>
          <w:rFonts w:cs="Times New Roman"/>
        </w:rPr>
        <w:t>以上平均自然通风换气次数不小于</w:t>
      </w:r>
      <w:r w:rsidRPr="0081478A">
        <w:rPr>
          <w:rFonts w:cs="Times New Roman"/>
        </w:rPr>
        <w:t>2</w:t>
      </w:r>
      <w:r w:rsidRPr="0081478A">
        <w:rPr>
          <w:rFonts w:cs="Times New Roman"/>
        </w:rPr>
        <w:t>次</w:t>
      </w:r>
      <w:r w:rsidRPr="0081478A">
        <w:rPr>
          <w:rFonts w:cs="Times New Roman"/>
        </w:rPr>
        <w:t>/h</w:t>
      </w:r>
      <w:r w:rsidRPr="0081478A">
        <w:rPr>
          <w:rFonts w:cs="Times New Roman"/>
        </w:rPr>
        <w:t>。</w:t>
      </w:r>
    </w:p>
    <w:p w14:paraId="4A9CD437" w14:textId="62578B24" w:rsidR="00EC1F2D" w:rsidRPr="0081478A" w:rsidRDefault="00EC1F2D" w:rsidP="00EC1F2D">
      <w:pPr>
        <w:ind w:firstLine="420"/>
        <w:rPr>
          <w:rFonts w:cs="Times New Roman"/>
        </w:rPr>
      </w:pPr>
      <w:r>
        <w:rPr>
          <w:rFonts w:cs="Times New Roman" w:hint="eastAsia"/>
        </w:rPr>
        <w:t>其中，</w:t>
      </w:r>
      <w:r w:rsidRPr="0081478A">
        <w:rPr>
          <w:rFonts w:cs="Times New Roman"/>
        </w:rPr>
        <w:t>外窗可开启面积计算按以下规则执行：</w:t>
      </w:r>
    </w:p>
    <w:p w14:paraId="7D860D6E" w14:textId="77777777" w:rsidR="00EC1F2D" w:rsidRPr="0081478A" w:rsidRDefault="00EC1F2D" w:rsidP="00EC1F2D">
      <w:pPr>
        <w:ind w:firstLine="420"/>
        <w:rPr>
          <w:rFonts w:cs="Times New Roman"/>
        </w:rPr>
      </w:pPr>
      <w:r w:rsidRPr="0081478A">
        <w:rPr>
          <w:rFonts w:ascii="宋体" w:hAnsi="宋体" w:cs="宋体" w:hint="eastAsia"/>
        </w:rPr>
        <w:t>①</w:t>
      </w:r>
      <w:r w:rsidRPr="0081478A">
        <w:rPr>
          <w:rFonts w:cs="Times New Roman"/>
        </w:rPr>
        <w:t xml:space="preserve"> </w:t>
      </w:r>
      <w:r w:rsidRPr="0081478A">
        <w:rPr>
          <w:rFonts w:cs="Times New Roman"/>
        </w:rPr>
        <w:t>平开窗、推拉窗自然通风的有效开启面积按实际可开启面积计算。</w:t>
      </w:r>
    </w:p>
    <w:p w14:paraId="1ABE31CB" w14:textId="77777777" w:rsidR="00EC1F2D" w:rsidRPr="0081478A" w:rsidRDefault="00EC1F2D" w:rsidP="00EC1F2D">
      <w:pPr>
        <w:ind w:firstLine="420"/>
        <w:rPr>
          <w:rFonts w:cs="Times New Roman"/>
        </w:rPr>
      </w:pPr>
      <w:r w:rsidRPr="0081478A">
        <w:rPr>
          <w:rFonts w:ascii="宋体" w:hAnsi="宋体" w:cs="宋体" w:hint="eastAsia"/>
        </w:rPr>
        <w:t>②</w:t>
      </w:r>
      <w:r w:rsidRPr="0081478A">
        <w:rPr>
          <w:rFonts w:cs="Times New Roman"/>
        </w:rPr>
        <w:t xml:space="preserve"> </w:t>
      </w:r>
      <w:r w:rsidRPr="0081478A">
        <w:rPr>
          <w:rFonts w:cs="Times New Roman"/>
        </w:rPr>
        <w:t>上悬窗、中悬窗、下悬窗自然通风的有效开启面积按外窗开启扇面积</w:t>
      </w:r>
      <w:r w:rsidRPr="0081478A">
        <w:rPr>
          <w:rFonts w:cs="Times New Roman"/>
        </w:rPr>
        <w:t>×</w:t>
      </w:r>
      <w:r w:rsidRPr="0081478A">
        <w:rPr>
          <w:rFonts w:cs="Times New Roman"/>
        </w:rPr>
        <w:t>开启角度的</w:t>
      </w:r>
      <w:r w:rsidRPr="0081478A">
        <w:rPr>
          <w:rFonts w:cs="Times New Roman"/>
        </w:rPr>
        <w:t>sin</w:t>
      </w:r>
      <w:r w:rsidRPr="0081478A">
        <w:rPr>
          <w:rFonts w:cs="Times New Roman"/>
        </w:rPr>
        <w:t>值计算；当开启角度大于</w:t>
      </w:r>
      <w:r w:rsidRPr="0081478A">
        <w:rPr>
          <w:rFonts w:cs="Times New Roman"/>
        </w:rPr>
        <w:t>70°</w:t>
      </w:r>
      <w:r w:rsidRPr="0081478A">
        <w:rPr>
          <w:rFonts w:cs="Times New Roman"/>
        </w:rPr>
        <w:t>时，有效开启面积按</w:t>
      </w:r>
      <w:r w:rsidRPr="0081478A">
        <w:rPr>
          <w:rFonts w:cs="Times New Roman"/>
        </w:rPr>
        <w:t>100%</w:t>
      </w:r>
      <w:r w:rsidRPr="0081478A">
        <w:rPr>
          <w:rFonts w:cs="Times New Roman"/>
        </w:rPr>
        <w:t>计算。</w:t>
      </w:r>
    </w:p>
    <w:p w14:paraId="0D8903E7" w14:textId="77777777" w:rsidR="00EC1F2D" w:rsidRPr="0081478A" w:rsidRDefault="00EC1F2D" w:rsidP="00EC1F2D">
      <w:pPr>
        <w:ind w:firstLine="420"/>
        <w:rPr>
          <w:rFonts w:cs="Times New Roman"/>
        </w:rPr>
      </w:pPr>
      <w:r w:rsidRPr="0081478A">
        <w:rPr>
          <w:rFonts w:ascii="宋体" w:hAnsi="宋体" w:cs="宋体" w:hint="eastAsia"/>
        </w:rPr>
        <w:t>③</w:t>
      </w:r>
      <w:r w:rsidRPr="0081478A">
        <w:rPr>
          <w:rFonts w:cs="Times New Roman"/>
        </w:rPr>
        <w:t xml:space="preserve"> </w:t>
      </w:r>
      <w:r w:rsidRPr="0081478A">
        <w:rPr>
          <w:rFonts w:cs="Times New Roman"/>
        </w:rPr>
        <w:t>玻璃幕墙自然通风的有效开启面积均按可开启扇面积计算。</w:t>
      </w:r>
    </w:p>
    <w:p w14:paraId="5C676F83" w14:textId="77777777" w:rsidR="00EC1F2D" w:rsidRPr="0081478A" w:rsidRDefault="00EC1F2D" w:rsidP="00EC1F2D">
      <w:pPr>
        <w:ind w:firstLine="420"/>
        <w:rPr>
          <w:rFonts w:cs="Times New Roman"/>
        </w:rPr>
      </w:pPr>
      <w:r w:rsidRPr="0081478A">
        <w:rPr>
          <w:rFonts w:ascii="宋体" w:hAnsi="宋体" w:cs="宋体" w:hint="eastAsia"/>
        </w:rPr>
        <w:t>④</w:t>
      </w:r>
      <w:r w:rsidRPr="0081478A">
        <w:rPr>
          <w:rFonts w:cs="Times New Roman"/>
        </w:rPr>
        <w:t xml:space="preserve"> </w:t>
      </w:r>
      <w:r w:rsidRPr="0081478A">
        <w:rPr>
          <w:rFonts w:cs="Times New Roman"/>
        </w:rPr>
        <w:t>外门可开启面积可纳入外窗可开启面积计算。</w:t>
      </w:r>
    </w:p>
    <w:p w14:paraId="072DD015" w14:textId="77777777" w:rsidR="00EC1F2D" w:rsidRPr="0081478A" w:rsidRDefault="00EC1F2D" w:rsidP="00EC1F2D">
      <w:pPr>
        <w:ind w:firstLine="420"/>
        <w:rPr>
          <w:rFonts w:cs="Times New Roman"/>
        </w:rPr>
      </w:pPr>
      <w:r w:rsidRPr="0081478A">
        <w:rPr>
          <w:rFonts w:cs="Times New Roman"/>
        </w:rPr>
        <w:t>无论玻璃幕墙采用何种开启方式（上悬式或下悬式开启最为常见），活动扇都可认定为可开启面积，不再计算实际的或当量的可开启面积。玻璃幕墙系指透明的幕墙，背后有非透明实体墙的纯装饰性玻璃幕墙不在此列。</w:t>
      </w:r>
    </w:p>
    <w:p w14:paraId="6DB0F588" w14:textId="6E51F0D5" w:rsidR="00EC1F2D" w:rsidRPr="00EC1F2D" w:rsidRDefault="00EC1F2D" w:rsidP="00EC1F2D">
      <w:pPr>
        <w:ind w:firstLine="420"/>
        <w:rPr>
          <w:rFonts w:cs="Times New Roman"/>
        </w:rPr>
      </w:pPr>
      <w:r w:rsidRPr="0081478A">
        <w:rPr>
          <w:rFonts w:cs="Times New Roman"/>
        </w:rPr>
        <w:t>对于高层和超高层建筑，由于高处风力过大以及安全方面的原因，自然通风不再是外窗和玻璃幕墙是否能开启主要考虑因素，故仅评判第</w:t>
      </w:r>
      <w:r w:rsidRPr="0081478A">
        <w:rPr>
          <w:rFonts w:cs="Times New Roman"/>
        </w:rPr>
        <w:t>18</w:t>
      </w:r>
      <w:r w:rsidRPr="0081478A">
        <w:rPr>
          <w:rFonts w:cs="Times New Roman"/>
        </w:rPr>
        <w:t>层及其以下各层的外窗和玻璃幕墙，</w:t>
      </w:r>
      <w:r w:rsidRPr="0081478A">
        <w:rPr>
          <w:rFonts w:cs="Times New Roman"/>
        </w:rPr>
        <w:t>18</w:t>
      </w:r>
      <w:r w:rsidRPr="0081478A">
        <w:rPr>
          <w:rFonts w:cs="Times New Roman"/>
        </w:rPr>
        <w:t>层以上部分不参评。</w:t>
      </w:r>
    </w:p>
    <w:p w14:paraId="28223DB1"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4236CBFE" w14:textId="77777777" w:rsidR="004F215F" w:rsidRPr="00530A11" w:rsidRDefault="004F215F" w:rsidP="004F215F">
      <w:pPr>
        <w:ind w:firstLine="420"/>
        <w:rPr>
          <w:rFonts w:cs="Times New Roman"/>
        </w:rPr>
      </w:pPr>
      <w:r w:rsidRPr="00530A11">
        <w:rPr>
          <w:rFonts w:cs="Times New Roman"/>
        </w:rPr>
        <w:t>预评价查阅相关设计文件，计算分析报告；评价查阅相关竣工图、计算分析报告</w:t>
      </w:r>
      <w:r w:rsidRPr="00530A11">
        <w:rPr>
          <w:rFonts w:cs="Times New Roman"/>
          <w:kern w:val="44"/>
          <w:szCs w:val="24"/>
        </w:rPr>
        <w:t>，组织现场查勘</w:t>
      </w:r>
      <w:r w:rsidRPr="00530A11">
        <w:rPr>
          <w:rFonts w:cs="Times New Roman"/>
        </w:rPr>
        <w:t>。</w:t>
      </w:r>
    </w:p>
    <w:p w14:paraId="1B911284" w14:textId="77777777" w:rsidR="00715ABB" w:rsidRPr="004F215F" w:rsidRDefault="00715ABB">
      <w:pPr>
        <w:snapToGrid w:val="0"/>
        <w:ind w:firstLine="420"/>
        <w:jc w:val="left"/>
        <w:rPr>
          <w:rFonts w:cs="Times New Roman"/>
          <w:szCs w:val="24"/>
        </w:rPr>
      </w:pPr>
    </w:p>
    <w:p w14:paraId="3FE192A5" w14:textId="51428666" w:rsidR="002C09A7" w:rsidRPr="00530A11" w:rsidRDefault="002C09A7" w:rsidP="002C09A7">
      <w:pPr>
        <w:pStyle w:val="4"/>
        <w:rPr>
          <w:rFonts w:cs="Times New Roman"/>
          <w:bCs w:val="0"/>
        </w:rPr>
      </w:pPr>
      <w:r w:rsidRPr="00530A11">
        <w:rPr>
          <w:rFonts w:cs="Times New Roman"/>
          <w:bCs w:val="0"/>
        </w:rPr>
        <w:lastRenderedPageBreak/>
        <w:t xml:space="preserve">5.2.10 </w:t>
      </w:r>
      <w:r w:rsidRPr="00530A11">
        <w:rPr>
          <w:rFonts w:cs="Times New Roman"/>
          <w:bCs w:val="0"/>
        </w:rPr>
        <w:t>设置可调节遮阳设施，改善室内热舒适，评价总分值为</w:t>
      </w:r>
      <w:r w:rsidRPr="00530A11">
        <w:rPr>
          <w:rFonts w:cs="Times New Roman"/>
          <w:bCs w:val="0"/>
        </w:rPr>
        <w:t>9</w:t>
      </w:r>
      <w:r w:rsidRPr="00530A11">
        <w:rPr>
          <w:rFonts w:cs="Times New Roman"/>
          <w:bCs w:val="0"/>
        </w:rPr>
        <w:t>分，根据可调节遮阳设施的面积占外窗透明部分的比例按表</w:t>
      </w:r>
      <w:r w:rsidR="00EC1F2D" w:rsidRPr="00530A11">
        <w:rPr>
          <w:rFonts w:cs="Times New Roman"/>
          <w:bCs w:val="0"/>
        </w:rPr>
        <w:t>5.2.10</w:t>
      </w:r>
      <w:r w:rsidRPr="00530A11">
        <w:rPr>
          <w:rFonts w:cs="Times New Roman"/>
          <w:bCs w:val="0"/>
        </w:rPr>
        <w:t>的规则评分。</w:t>
      </w:r>
    </w:p>
    <w:p w14:paraId="4BC3A353"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 xml:space="preserve">5.2.10 </w:t>
      </w:r>
      <w:r w:rsidRPr="00530A11">
        <w:rPr>
          <w:rFonts w:cs="Times New Roman"/>
          <w:b w:val="0"/>
        </w:rPr>
        <w:t>可调节遮阳设施的面积占外窗透明部分比例评分规则</w:t>
      </w:r>
    </w:p>
    <w:tbl>
      <w:tblPr>
        <w:tblW w:w="8292" w:type="dxa"/>
        <w:tblLayout w:type="fixed"/>
        <w:tblLook w:val="04A0" w:firstRow="1" w:lastRow="0" w:firstColumn="1" w:lastColumn="0" w:noHBand="0" w:noVBand="1"/>
      </w:tblPr>
      <w:tblGrid>
        <w:gridCol w:w="3961"/>
        <w:gridCol w:w="4331"/>
      </w:tblGrid>
      <w:tr w:rsidR="002C09A7" w:rsidRPr="00530A11" w14:paraId="042ABF84" w14:textId="77777777" w:rsidTr="00C060F4">
        <w:trPr>
          <w:trHeight w:val="660"/>
        </w:trPr>
        <w:tc>
          <w:tcPr>
            <w:tcW w:w="3961" w:type="dxa"/>
            <w:tcBorders>
              <w:top w:val="single" w:sz="8" w:space="0" w:color="1C1C1C"/>
              <w:left w:val="single" w:sz="8" w:space="0" w:color="2B2B2B"/>
              <w:bottom w:val="single" w:sz="8" w:space="0" w:color="282828"/>
              <w:right w:val="single" w:sz="8" w:space="0" w:color="2B2B2B"/>
            </w:tcBorders>
            <w:shd w:val="clear" w:color="auto" w:fill="auto"/>
            <w:vAlign w:val="center"/>
          </w:tcPr>
          <w:p w14:paraId="2B5D89C2" w14:textId="77777777" w:rsidR="002C09A7" w:rsidRPr="00530A11" w:rsidRDefault="002C09A7" w:rsidP="00C060F4">
            <w:pPr>
              <w:pStyle w:val="ae"/>
              <w:rPr>
                <w:rFonts w:cs="Times New Roman"/>
                <w:b w:val="0"/>
              </w:rPr>
            </w:pPr>
            <w:r w:rsidRPr="00530A11">
              <w:rPr>
                <w:rFonts w:cs="Times New Roman"/>
                <w:b w:val="0"/>
              </w:rPr>
              <w:t>可调节遮阳设施的面积占外窗透明部分比例</w:t>
            </w:r>
            <w:r w:rsidRPr="00530A11">
              <w:rPr>
                <w:rFonts w:cs="Times New Roman"/>
                <w:b w:val="0"/>
              </w:rPr>
              <w:t>Sz</w:t>
            </w:r>
          </w:p>
        </w:tc>
        <w:tc>
          <w:tcPr>
            <w:tcW w:w="4331" w:type="dxa"/>
            <w:tcBorders>
              <w:top w:val="single" w:sz="8" w:space="0" w:color="1C1C1C"/>
              <w:left w:val="single" w:sz="8" w:space="0" w:color="2B2B2B"/>
              <w:bottom w:val="single" w:sz="8" w:space="0" w:color="282828"/>
              <w:right w:val="single" w:sz="8" w:space="0" w:color="1C1C1C"/>
            </w:tcBorders>
            <w:shd w:val="clear" w:color="auto" w:fill="auto"/>
            <w:vAlign w:val="center"/>
          </w:tcPr>
          <w:p w14:paraId="3E7AB2D1" w14:textId="77777777" w:rsidR="002C09A7" w:rsidRPr="00530A11" w:rsidRDefault="002C09A7" w:rsidP="00C060F4">
            <w:pPr>
              <w:pStyle w:val="ae"/>
              <w:rPr>
                <w:rFonts w:cs="Times New Roman"/>
                <w:b w:val="0"/>
              </w:rPr>
            </w:pPr>
            <w:r w:rsidRPr="00530A11">
              <w:rPr>
                <w:rFonts w:cs="Times New Roman"/>
                <w:b w:val="0"/>
              </w:rPr>
              <w:t>得分</w:t>
            </w:r>
          </w:p>
        </w:tc>
      </w:tr>
      <w:tr w:rsidR="002C09A7" w:rsidRPr="00530A11" w14:paraId="6F077C34" w14:textId="77777777" w:rsidTr="00C060F4">
        <w:tc>
          <w:tcPr>
            <w:tcW w:w="3961" w:type="dxa"/>
            <w:tcBorders>
              <w:top w:val="single" w:sz="8" w:space="0" w:color="282828"/>
              <w:left w:val="single" w:sz="8" w:space="0" w:color="2B2B2B"/>
              <w:bottom w:val="single" w:sz="8" w:space="0" w:color="808080"/>
              <w:right w:val="single" w:sz="8" w:space="0" w:color="2B2B2B"/>
            </w:tcBorders>
            <w:shd w:val="clear" w:color="auto" w:fill="auto"/>
            <w:vAlign w:val="center"/>
          </w:tcPr>
          <w:p w14:paraId="7701D848" w14:textId="77777777" w:rsidR="002C09A7" w:rsidRPr="00530A11" w:rsidRDefault="002C09A7" w:rsidP="00C060F4">
            <w:pPr>
              <w:pStyle w:val="ae"/>
              <w:rPr>
                <w:rFonts w:cs="Times New Roman"/>
                <w:b w:val="0"/>
              </w:rPr>
            </w:pPr>
            <w:r w:rsidRPr="00530A11">
              <w:rPr>
                <w:rFonts w:cs="Times New Roman"/>
                <w:b w:val="0"/>
              </w:rPr>
              <w:t>25%≤Sz</w:t>
            </w:r>
            <w:r w:rsidRPr="00530A11">
              <w:rPr>
                <w:rFonts w:cs="Times New Roman"/>
                <w:b w:val="0"/>
              </w:rPr>
              <w:t>＜</w:t>
            </w:r>
            <w:r w:rsidRPr="00530A11">
              <w:rPr>
                <w:rFonts w:cs="Times New Roman"/>
                <w:b w:val="0"/>
              </w:rPr>
              <w:t>35%</w:t>
            </w:r>
          </w:p>
        </w:tc>
        <w:tc>
          <w:tcPr>
            <w:tcW w:w="4331" w:type="dxa"/>
            <w:tcBorders>
              <w:top w:val="single" w:sz="8" w:space="0" w:color="282828"/>
              <w:left w:val="single" w:sz="8" w:space="0" w:color="2B2B2B"/>
              <w:bottom w:val="single" w:sz="8" w:space="0" w:color="808080"/>
              <w:right w:val="single" w:sz="8" w:space="0" w:color="1C1C1C"/>
            </w:tcBorders>
            <w:shd w:val="clear" w:color="auto" w:fill="auto"/>
            <w:vAlign w:val="center"/>
          </w:tcPr>
          <w:p w14:paraId="1CD33E3D" w14:textId="77777777" w:rsidR="002C09A7" w:rsidRPr="00530A11" w:rsidRDefault="002C09A7" w:rsidP="00C060F4">
            <w:pPr>
              <w:pStyle w:val="ae"/>
              <w:rPr>
                <w:rFonts w:cs="Times New Roman"/>
                <w:b w:val="0"/>
              </w:rPr>
            </w:pPr>
            <w:r w:rsidRPr="00530A11">
              <w:rPr>
                <w:rFonts w:cs="Times New Roman"/>
                <w:b w:val="0"/>
              </w:rPr>
              <w:t>3</w:t>
            </w:r>
          </w:p>
        </w:tc>
      </w:tr>
      <w:tr w:rsidR="002C09A7" w:rsidRPr="00530A11" w14:paraId="5577FA41" w14:textId="77777777" w:rsidTr="00C060F4">
        <w:tc>
          <w:tcPr>
            <w:tcW w:w="3961" w:type="dxa"/>
            <w:tcBorders>
              <w:top w:val="single" w:sz="8" w:space="0" w:color="808080"/>
              <w:left w:val="single" w:sz="8" w:space="0" w:color="2B2B2B"/>
              <w:bottom w:val="single" w:sz="8" w:space="0" w:color="383838"/>
              <w:right w:val="single" w:sz="8" w:space="0" w:color="2B2B2B"/>
            </w:tcBorders>
            <w:shd w:val="clear" w:color="auto" w:fill="auto"/>
            <w:vAlign w:val="center"/>
          </w:tcPr>
          <w:p w14:paraId="0D34D320" w14:textId="77777777" w:rsidR="002C09A7" w:rsidRPr="00530A11" w:rsidRDefault="002C09A7" w:rsidP="00C060F4">
            <w:pPr>
              <w:pStyle w:val="ae"/>
              <w:rPr>
                <w:rFonts w:cs="Times New Roman"/>
                <w:b w:val="0"/>
              </w:rPr>
            </w:pPr>
            <w:r w:rsidRPr="00530A11">
              <w:rPr>
                <w:rFonts w:cs="Times New Roman"/>
                <w:b w:val="0"/>
              </w:rPr>
              <w:t>35%≤Sz</w:t>
            </w:r>
            <w:r w:rsidRPr="00530A11">
              <w:rPr>
                <w:rFonts w:cs="Times New Roman"/>
                <w:b w:val="0"/>
              </w:rPr>
              <w:t>＜</w:t>
            </w:r>
            <w:r w:rsidRPr="00530A11">
              <w:rPr>
                <w:rFonts w:cs="Times New Roman"/>
                <w:b w:val="0"/>
              </w:rPr>
              <w:t>45%</w:t>
            </w:r>
          </w:p>
        </w:tc>
        <w:tc>
          <w:tcPr>
            <w:tcW w:w="4331" w:type="dxa"/>
            <w:tcBorders>
              <w:top w:val="single" w:sz="8" w:space="0" w:color="808080"/>
              <w:left w:val="single" w:sz="8" w:space="0" w:color="2B2B2B"/>
              <w:bottom w:val="single" w:sz="8" w:space="0" w:color="383838"/>
              <w:right w:val="single" w:sz="8" w:space="0" w:color="1C1C1C"/>
            </w:tcBorders>
            <w:shd w:val="clear" w:color="auto" w:fill="auto"/>
            <w:vAlign w:val="center"/>
          </w:tcPr>
          <w:p w14:paraId="3E942C65" w14:textId="77777777" w:rsidR="002C09A7" w:rsidRPr="00530A11" w:rsidRDefault="002C09A7" w:rsidP="00C060F4">
            <w:pPr>
              <w:pStyle w:val="ae"/>
              <w:rPr>
                <w:rFonts w:cs="Times New Roman"/>
                <w:b w:val="0"/>
              </w:rPr>
            </w:pPr>
            <w:r w:rsidRPr="00530A11">
              <w:rPr>
                <w:rFonts w:cs="Times New Roman"/>
                <w:b w:val="0"/>
              </w:rPr>
              <w:t>5</w:t>
            </w:r>
          </w:p>
        </w:tc>
      </w:tr>
      <w:tr w:rsidR="002C09A7" w:rsidRPr="00530A11" w14:paraId="3FA28AEC" w14:textId="77777777" w:rsidTr="00C060F4">
        <w:tc>
          <w:tcPr>
            <w:tcW w:w="3961" w:type="dxa"/>
            <w:tcBorders>
              <w:top w:val="single" w:sz="8" w:space="0" w:color="383838"/>
              <w:left w:val="single" w:sz="8" w:space="0" w:color="2B2B2B"/>
              <w:bottom w:val="single" w:sz="8" w:space="0" w:color="383838"/>
              <w:right w:val="single" w:sz="8" w:space="0" w:color="2B2B2B"/>
            </w:tcBorders>
            <w:shd w:val="clear" w:color="auto" w:fill="auto"/>
            <w:vAlign w:val="center"/>
          </w:tcPr>
          <w:p w14:paraId="76C8681A" w14:textId="77777777" w:rsidR="002C09A7" w:rsidRPr="00530A11" w:rsidRDefault="002C09A7" w:rsidP="00C060F4">
            <w:pPr>
              <w:pStyle w:val="ae"/>
              <w:rPr>
                <w:rFonts w:cs="Times New Roman"/>
                <w:b w:val="0"/>
              </w:rPr>
            </w:pPr>
            <w:r w:rsidRPr="00530A11">
              <w:rPr>
                <w:rFonts w:cs="Times New Roman"/>
                <w:b w:val="0"/>
              </w:rPr>
              <w:t>45%≤Sz</w:t>
            </w:r>
            <w:r w:rsidRPr="00530A11">
              <w:rPr>
                <w:rFonts w:cs="Times New Roman"/>
                <w:b w:val="0"/>
              </w:rPr>
              <w:t>＜</w:t>
            </w:r>
            <w:r w:rsidRPr="00530A11">
              <w:rPr>
                <w:rFonts w:cs="Times New Roman"/>
                <w:b w:val="0"/>
              </w:rPr>
              <w:t>55 %</w:t>
            </w:r>
          </w:p>
        </w:tc>
        <w:tc>
          <w:tcPr>
            <w:tcW w:w="4331" w:type="dxa"/>
            <w:tcBorders>
              <w:top w:val="single" w:sz="8" w:space="0" w:color="383838"/>
              <w:left w:val="single" w:sz="8" w:space="0" w:color="2B2B2B"/>
              <w:bottom w:val="single" w:sz="8" w:space="0" w:color="383838"/>
              <w:right w:val="single" w:sz="8" w:space="0" w:color="1C1C1C"/>
            </w:tcBorders>
            <w:shd w:val="clear" w:color="auto" w:fill="auto"/>
            <w:vAlign w:val="center"/>
          </w:tcPr>
          <w:p w14:paraId="014E9B25" w14:textId="77777777" w:rsidR="002C09A7" w:rsidRPr="00530A11" w:rsidRDefault="002C09A7" w:rsidP="00C060F4">
            <w:pPr>
              <w:pStyle w:val="ae"/>
              <w:rPr>
                <w:rFonts w:cs="Times New Roman"/>
                <w:b w:val="0"/>
              </w:rPr>
            </w:pPr>
            <w:r w:rsidRPr="00530A11">
              <w:rPr>
                <w:rFonts w:cs="Times New Roman"/>
                <w:b w:val="0"/>
              </w:rPr>
              <w:t>7</w:t>
            </w:r>
          </w:p>
        </w:tc>
      </w:tr>
      <w:tr w:rsidR="002C09A7" w:rsidRPr="00530A11" w14:paraId="0DB5DD4C" w14:textId="77777777" w:rsidTr="00C060F4">
        <w:tc>
          <w:tcPr>
            <w:tcW w:w="3961" w:type="dxa"/>
            <w:tcBorders>
              <w:top w:val="single" w:sz="8" w:space="0" w:color="383838"/>
              <w:left w:val="single" w:sz="8" w:space="0" w:color="2B2B2B"/>
              <w:bottom w:val="single" w:sz="8" w:space="0" w:color="2F2F2F"/>
              <w:right w:val="single" w:sz="8" w:space="0" w:color="2B2B2B"/>
            </w:tcBorders>
            <w:shd w:val="clear" w:color="auto" w:fill="auto"/>
            <w:vAlign w:val="center"/>
          </w:tcPr>
          <w:p w14:paraId="59B84737" w14:textId="77777777" w:rsidR="002C09A7" w:rsidRPr="00530A11" w:rsidRDefault="002C09A7" w:rsidP="00C060F4">
            <w:pPr>
              <w:pStyle w:val="ae"/>
              <w:rPr>
                <w:rFonts w:cs="Times New Roman"/>
                <w:b w:val="0"/>
              </w:rPr>
            </w:pPr>
            <w:r w:rsidRPr="00530A11">
              <w:rPr>
                <w:rFonts w:cs="Times New Roman"/>
                <w:b w:val="0"/>
              </w:rPr>
              <w:t>Sz≥ 55%</w:t>
            </w:r>
          </w:p>
        </w:tc>
        <w:tc>
          <w:tcPr>
            <w:tcW w:w="4331" w:type="dxa"/>
            <w:tcBorders>
              <w:top w:val="single" w:sz="8" w:space="0" w:color="383838"/>
              <w:left w:val="single" w:sz="8" w:space="0" w:color="2B2B2B"/>
              <w:bottom w:val="single" w:sz="8" w:space="0" w:color="2F2F2F"/>
              <w:right w:val="single" w:sz="8" w:space="0" w:color="1C1C1C"/>
            </w:tcBorders>
            <w:shd w:val="clear" w:color="auto" w:fill="auto"/>
            <w:vAlign w:val="center"/>
          </w:tcPr>
          <w:p w14:paraId="0D90F93A" w14:textId="77777777" w:rsidR="002C09A7" w:rsidRPr="00530A11" w:rsidRDefault="002C09A7" w:rsidP="00C060F4">
            <w:pPr>
              <w:pStyle w:val="ae"/>
              <w:rPr>
                <w:rFonts w:cs="Times New Roman"/>
                <w:b w:val="0"/>
              </w:rPr>
            </w:pPr>
            <w:r w:rsidRPr="00530A11">
              <w:rPr>
                <w:rFonts w:cs="Times New Roman"/>
                <w:b w:val="0"/>
              </w:rPr>
              <w:t>9</w:t>
            </w:r>
          </w:p>
        </w:tc>
      </w:tr>
    </w:tbl>
    <w:p w14:paraId="649ED708" w14:textId="77777777" w:rsidR="00715ABB" w:rsidRPr="0081478A" w:rsidRDefault="00F44390">
      <w:pPr>
        <w:ind w:firstLineChars="0" w:firstLine="0"/>
        <w:rPr>
          <w:rFonts w:cs="Times New Roman"/>
          <w:b/>
          <w:szCs w:val="24"/>
        </w:rPr>
      </w:pPr>
      <w:r w:rsidRPr="0081478A">
        <w:rPr>
          <w:rFonts w:cs="Times New Roman"/>
          <w:b/>
          <w:szCs w:val="24"/>
        </w:rPr>
        <w:t>【条文说明】</w:t>
      </w:r>
    </w:p>
    <w:p w14:paraId="0B965E9C" w14:textId="77777777" w:rsidR="0087265D" w:rsidRPr="00530A11" w:rsidRDefault="0087265D" w:rsidP="0087265D">
      <w:pPr>
        <w:ind w:firstLine="420"/>
        <w:rPr>
          <w:szCs w:val="24"/>
        </w:rPr>
      </w:pPr>
      <w:r w:rsidRPr="00530A11">
        <w:t>本条适用于各类民用建筑的预评价、评价。</w:t>
      </w:r>
    </w:p>
    <w:p w14:paraId="22B847C9" w14:textId="77777777" w:rsidR="0087265D" w:rsidRPr="00530A11" w:rsidRDefault="0087265D" w:rsidP="0087265D">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8.2.8</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8.2.8</w:t>
      </w:r>
      <w:r w:rsidRPr="00530A11">
        <w:rPr>
          <w:rFonts w:cs="Times New Roman"/>
        </w:rPr>
        <w:t>条的基础上发展而来。</w:t>
      </w:r>
    </w:p>
    <w:p w14:paraId="12A6BDF1" w14:textId="77777777" w:rsidR="0087265D" w:rsidRPr="00530A11" w:rsidRDefault="0087265D" w:rsidP="0087265D">
      <w:pPr>
        <w:ind w:firstLine="420"/>
        <w:rPr>
          <w:rFonts w:cs="Times New Roman"/>
        </w:rPr>
      </w:pPr>
      <w:r w:rsidRPr="00530A11">
        <w:rPr>
          <w:rFonts w:cs="Times New Roman"/>
        </w:rPr>
        <w:t>本条所述的可调节遮阳设施包括活动外遮阳设施</w:t>
      </w:r>
      <w:r w:rsidRPr="00530A11">
        <w:rPr>
          <w:rFonts w:cs="Times New Roman"/>
        </w:rPr>
        <w:t>(</w:t>
      </w:r>
      <w:r w:rsidRPr="00530A11">
        <w:rPr>
          <w:rFonts w:cs="Times New Roman"/>
        </w:rPr>
        <w:t>含</w:t>
      </w:r>
      <w:r w:rsidRPr="00530A11">
        <w:rPr>
          <w:rFonts w:cs="Times New Roman" w:hint="eastAsia"/>
        </w:rPr>
        <w:t>变色玻璃</w:t>
      </w:r>
      <w:r w:rsidRPr="00530A11">
        <w:rPr>
          <w:rFonts w:cs="Times New Roman"/>
        </w:rPr>
        <w:t>)</w:t>
      </w:r>
      <w:r w:rsidRPr="00530A11">
        <w:rPr>
          <w:rFonts w:cs="Times New Roman"/>
        </w:rPr>
        <w:t>、中置可调遮阳设施（中空玻璃夹层可调内遮阳</w:t>
      </w:r>
      <w:r w:rsidRPr="00530A11">
        <w:rPr>
          <w:rFonts w:cs="Times New Roman"/>
        </w:rPr>
        <w:t>)</w:t>
      </w:r>
      <w:r w:rsidRPr="00530A11">
        <w:rPr>
          <w:rFonts w:cs="Times New Roman"/>
        </w:rPr>
        <w:t>、固定外遮阳</w:t>
      </w:r>
      <w:r w:rsidRPr="00530A11">
        <w:rPr>
          <w:rFonts w:cs="Times New Roman"/>
        </w:rPr>
        <w:t>(</w:t>
      </w:r>
      <w:r w:rsidRPr="00530A11">
        <w:rPr>
          <w:rFonts w:cs="Times New Roman"/>
        </w:rPr>
        <w:t>含建筑自遮阳</w:t>
      </w:r>
      <w:r w:rsidRPr="00530A11">
        <w:rPr>
          <w:rFonts w:cs="Times New Roman"/>
        </w:rPr>
        <w:t>)</w:t>
      </w:r>
      <w:r w:rsidRPr="00530A11">
        <w:rPr>
          <w:rFonts w:cs="Times New Roman"/>
        </w:rPr>
        <w:t>加高反射率</w:t>
      </w:r>
      <w:r w:rsidRPr="00530A11">
        <w:rPr>
          <w:rFonts w:cs="Times New Roman"/>
        </w:rPr>
        <w:t>(</w:t>
      </w:r>
      <w:r w:rsidRPr="00530A11">
        <w:rPr>
          <w:rFonts w:cs="Times New Roman"/>
        </w:rPr>
        <w:t>全波段太阳辐射反射率大于</w:t>
      </w:r>
      <w:r w:rsidRPr="00530A11">
        <w:rPr>
          <w:rFonts w:cs="Times New Roman"/>
        </w:rPr>
        <w:t>0.50)</w:t>
      </w:r>
      <w:r w:rsidRPr="00530A11">
        <w:rPr>
          <w:rFonts w:cs="Times New Roman"/>
        </w:rPr>
        <w:t>可调节遮阳设施等。</w:t>
      </w:r>
    </w:p>
    <w:p w14:paraId="21D18AD0" w14:textId="77777777" w:rsidR="0087265D" w:rsidRPr="00530A11" w:rsidRDefault="0087265D" w:rsidP="0087265D">
      <w:pPr>
        <w:ind w:firstLine="420"/>
        <w:rPr>
          <w:rFonts w:cs="Times New Roman"/>
        </w:rPr>
      </w:pPr>
      <w:r w:rsidRPr="00530A11">
        <w:rPr>
          <w:rFonts w:cs="Times New Roman"/>
        </w:rPr>
        <w:t>遮阳设施的面积占外窗透明部分比例</w:t>
      </w:r>
      <w:r w:rsidRPr="00530A11">
        <w:rPr>
          <w:rFonts w:cs="Times New Roman"/>
        </w:rPr>
        <w:t>S</w:t>
      </w:r>
      <w:r w:rsidRPr="00530A11">
        <w:rPr>
          <w:rFonts w:cs="Times New Roman"/>
          <w:vertAlign w:val="subscript"/>
        </w:rPr>
        <w:t>z</w:t>
      </w:r>
      <w:r w:rsidRPr="00530A11">
        <w:rPr>
          <w:rFonts w:cs="Times New Roman"/>
        </w:rPr>
        <w:t>按下式计算</w:t>
      </w:r>
      <w:r w:rsidRPr="00530A11">
        <w:rPr>
          <w:rFonts w:cs="Times New Roman"/>
        </w:rPr>
        <w:t>:</w:t>
      </w:r>
    </w:p>
    <w:p w14:paraId="7EC7133E" w14:textId="77777777" w:rsidR="0087265D" w:rsidRPr="00530A11" w:rsidRDefault="0087265D" w:rsidP="0087265D">
      <w:pPr>
        <w:ind w:firstLine="420"/>
        <w:jc w:val="center"/>
        <w:rPr>
          <w:rFonts w:cs="Times New Roman"/>
        </w:rPr>
      </w:pPr>
      <w:r w:rsidRPr="00530A11">
        <w:rPr>
          <w:rFonts w:cs="Times New Roman"/>
        </w:rPr>
        <w:t>S</w:t>
      </w:r>
      <w:r w:rsidRPr="00530A11">
        <w:rPr>
          <w:rFonts w:cs="Times New Roman"/>
          <w:vertAlign w:val="subscript"/>
        </w:rPr>
        <w:t>z</w:t>
      </w:r>
      <w:r w:rsidRPr="00530A11">
        <w:rPr>
          <w:rFonts w:cs="Times New Roman"/>
        </w:rPr>
        <w:t>=S</w:t>
      </w:r>
      <w:r w:rsidRPr="00530A11">
        <w:rPr>
          <w:rFonts w:cs="Times New Roman"/>
          <w:vertAlign w:val="subscript"/>
        </w:rPr>
        <w:t>z0</w:t>
      </w:r>
      <w:r w:rsidRPr="00530A11">
        <w:rPr>
          <w:rFonts w:cs="Times New Roman"/>
        </w:rPr>
        <w:t>*η</w:t>
      </w:r>
    </w:p>
    <w:p w14:paraId="363A2EE1" w14:textId="77777777" w:rsidR="0087265D" w:rsidRPr="00530A11" w:rsidRDefault="0087265D" w:rsidP="0087265D">
      <w:pPr>
        <w:ind w:firstLine="420"/>
        <w:rPr>
          <w:rFonts w:cs="Times New Roman"/>
        </w:rPr>
      </w:pPr>
      <w:r w:rsidRPr="00530A11">
        <w:rPr>
          <w:rFonts w:cs="Times New Roman"/>
        </w:rPr>
        <w:t>式中</w:t>
      </w:r>
      <w:r w:rsidRPr="00530A11">
        <w:rPr>
          <w:rFonts w:cs="Times New Roman"/>
        </w:rPr>
        <w:t>:η—</w:t>
      </w:r>
      <w:r w:rsidRPr="00530A11">
        <w:rPr>
          <w:rFonts w:cs="Times New Roman"/>
        </w:rPr>
        <w:t>遮阳方式修正系数，对于活动外遮阳设施，</w:t>
      </w:r>
      <w:r w:rsidRPr="00530A11">
        <w:rPr>
          <w:rFonts w:cs="Times New Roman"/>
        </w:rPr>
        <w:t>η</w:t>
      </w:r>
      <w:r w:rsidRPr="00530A11">
        <w:rPr>
          <w:rFonts w:cs="Times New Roman"/>
        </w:rPr>
        <w:t>为</w:t>
      </w:r>
      <w:r w:rsidRPr="00530A11">
        <w:rPr>
          <w:rFonts w:cs="Times New Roman"/>
        </w:rPr>
        <w:t>1.2</w:t>
      </w:r>
      <w:r w:rsidRPr="00530A11">
        <w:rPr>
          <w:rFonts w:cs="Times New Roman"/>
        </w:rPr>
        <w:t>；对于中置可调遮阳设施，</w:t>
      </w:r>
      <w:r w:rsidRPr="00530A11">
        <w:rPr>
          <w:rFonts w:cs="Times New Roman"/>
        </w:rPr>
        <w:t>η</w:t>
      </w:r>
      <w:r w:rsidRPr="00530A11">
        <w:rPr>
          <w:rFonts w:cs="Times New Roman"/>
        </w:rPr>
        <w:t>为</w:t>
      </w:r>
      <w:r w:rsidRPr="00530A11">
        <w:rPr>
          <w:rFonts w:cs="Times New Roman"/>
        </w:rPr>
        <w:t>1</w:t>
      </w:r>
      <w:r w:rsidRPr="00530A11">
        <w:rPr>
          <w:rFonts w:cs="Times New Roman"/>
        </w:rPr>
        <w:t>；对于固定外遮阳加内部高反射率可调节遮阳设施，</w:t>
      </w:r>
      <w:r w:rsidRPr="00530A11">
        <w:rPr>
          <w:rFonts w:cs="Times New Roman"/>
        </w:rPr>
        <w:t>η</w:t>
      </w:r>
      <w:r w:rsidRPr="00530A11">
        <w:rPr>
          <w:rFonts w:cs="Times New Roman"/>
        </w:rPr>
        <w:t>为</w:t>
      </w:r>
      <w:r w:rsidRPr="00530A11">
        <w:rPr>
          <w:rFonts w:cs="Times New Roman"/>
        </w:rPr>
        <w:t>0.8</w:t>
      </w:r>
      <w:r w:rsidRPr="00530A11">
        <w:rPr>
          <w:rFonts w:cs="Times New Roman"/>
        </w:rPr>
        <w:t>；</w:t>
      </w:r>
      <w:r w:rsidRPr="00530A11">
        <w:rPr>
          <w:rFonts w:cs="Times New Roman"/>
        </w:rPr>
        <w:t xml:space="preserve"> </w:t>
      </w:r>
    </w:p>
    <w:p w14:paraId="7125433B" w14:textId="77777777" w:rsidR="0087265D" w:rsidRPr="00530A11" w:rsidRDefault="0087265D" w:rsidP="0087265D">
      <w:pPr>
        <w:ind w:firstLine="420"/>
        <w:rPr>
          <w:rFonts w:cs="Times New Roman"/>
        </w:rPr>
      </w:pPr>
      <w:r w:rsidRPr="00530A11">
        <w:rPr>
          <w:rFonts w:cs="Times New Roman"/>
        </w:rPr>
        <w:t>S</w:t>
      </w:r>
      <w:r w:rsidRPr="00530A11">
        <w:rPr>
          <w:rFonts w:cs="Times New Roman"/>
          <w:vertAlign w:val="subscript"/>
        </w:rPr>
        <w:t>z0</w:t>
      </w:r>
      <w:r w:rsidRPr="00530A11">
        <w:rPr>
          <w:rFonts w:cs="Times New Roman"/>
        </w:rPr>
        <w:t>—</w:t>
      </w:r>
      <w:r w:rsidRPr="00530A11">
        <w:rPr>
          <w:rFonts w:cs="Times New Roman"/>
        </w:rPr>
        <w:t>遮阳设施应用面积比例。活动外遮阳设施和中置可调遮阳设施，可直接取其应用外窗的比例，即装置遮阳设施外窗面积占所有外窗面积的比例；对于固定外遮阳加内部高反射率可调节遮阳设施，按大暑日</w:t>
      </w:r>
      <w:r w:rsidRPr="00530A11">
        <w:rPr>
          <w:rFonts w:cs="Times New Roman"/>
        </w:rPr>
        <w:t>9:00-17:00</w:t>
      </w:r>
      <w:r w:rsidRPr="00530A11">
        <w:rPr>
          <w:rFonts w:cs="Times New Roman"/>
        </w:rPr>
        <w:t>之间所有整点时刻其有效遮阳面积比例平均值进行计算，即该期间所有整点时刻其在所有外窗的投影面积占所有外窗面积比例的平均值。</w:t>
      </w:r>
    </w:p>
    <w:p w14:paraId="3D9111F0" w14:textId="77777777" w:rsidR="0087265D" w:rsidRPr="00530A11" w:rsidRDefault="0087265D" w:rsidP="0087265D">
      <w:pPr>
        <w:ind w:firstLine="420"/>
        <w:rPr>
          <w:rFonts w:cs="Times New Roman"/>
        </w:rPr>
      </w:pPr>
      <w:r w:rsidRPr="00530A11">
        <w:rPr>
          <w:rFonts w:cs="Times New Roman"/>
        </w:rPr>
        <w:t>对于按照大暑日</w:t>
      </w:r>
      <w:r w:rsidRPr="00530A11">
        <w:rPr>
          <w:rFonts w:cs="Times New Roman"/>
        </w:rPr>
        <w:t>9:00-17:00</w:t>
      </w:r>
      <w:r w:rsidRPr="00530A11">
        <w:rPr>
          <w:rFonts w:cs="Times New Roman"/>
        </w:rPr>
        <w:t>之间整点时刻没有阳光直射的透明围护结构，不计入计算。</w:t>
      </w:r>
    </w:p>
    <w:p w14:paraId="03D05CF3" w14:textId="77777777" w:rsidR="002B4D27" w:rsidRPr="0081478A" w:rsidRDefault="002B4D27" w:rsidP="002B4D27">
      <w:pPr>
        <w:pStyle w:val="20"/>
        <w:rPr>
          <w:rFonts w:ascii="Times New Roman" w:hAnsi="Times New Roman" w:cs="Times New Roman"/>
          <w:color w:val="auto"/>
        </w:rPr>
      </w:pPr>
      <w:r w:rsidRPr="0081478A">
        <w:rPr>
          <w:rFonts w:ascii="Times New Roman" w:hAnsi="Times New Roman" w:cs="Times New Roman"/>
          <w:color w:val="auto"/>
        </w:rPr>
        <w:t>【评价要点】</w:t>
      </w:r>
    </w:p>
    <w:p w14:paraId="6B8A8435" w14:textId="04971EA3" w:rsidR="002B4D27" w:rsidRPr="0081478A" w:rsidRDefault="00EC1F2D" w:rsidP="002B4D27">
      <w:pPr>
        <w:ind w:firstLine="420"/>
        <w:rPr>
          <w:rFonts w:cs="Times New Roman"/>
        </w:rPr>
      </w:pPr>
      <w:r>
        <w:rPr>
          <w:rFonts w:cs="Times New Roman" w:hint="eastAsia"/>
        </w:rPr>
        <w:t>本</w:t>
      </w:r>
      <w:r w:rsidR="002B4D27" w:rsidRPr="0081478A">
        <w:rPr>
          <w:rFonts w:cs="Times New Roman"/>
        </w:rPr>
        <w:t>条所指的外窗、幕墙包括各个朝向以及透明天窗等。对于东西向和屋顶部分，可调遮阳允许</w:t>
      </w:r>
      <w:r w:rsidR="002B4D27" w:rsidRPr="0081478A">
        <w:rPr>
          <w:rFonts w:cs="Times New Roman"/>
        </w:rPr>
        <w:t>1.1</w:t>
      </w:r>
      <w:r w:rsidR="002B4D27" w:rsidRPr="0081478A">
        <w:rPr>
          <w:rFonts w:cs="Times New Roman"/>
        </w:rPr>
        <w:t>的权重系数。可调遮阳措施包括活动外遮阳设施、永久设施（中空玻璃夹层智能内遮阳）、固定外遮阳加内部高反射率可调节遮阳等措施。对没有阳光直射的透明围护结构，</w:t>
      </w:r>
      <w:r w:rsidR="002B4D27" w:rsidRPr="0081478A">
        <w:rPr>
          <w:rFonts w:cs="Times New Roman"/>
        </w:rPr>
        <w:lastRenderedPageBreak/>
        <w:t>不计入分母总面积计算。</w:t>
      </w:r>
    </w:p>
    <w:p w14:paraId="3BFECC5B"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51D2B7B1" w14:textId="77777777" w:rsidR="004F215F" w:rsidRPr="00530A11" w:rsidRDefault="004F215F" w:rsidP="004F215F">
      <w:pPr>
        <w:ind w:firstLine="420"/>
        <w:rPr>
          <w:rFonts w:cs="Times New Roman"/>
        </w:rPr>
      </w:pPr>
      <w:r w:rsidRPr="00530A11">
        <w:rPr>
          <w:rFonts w:cs="Times New Roman"/>
        </w:rPr>
        <w:t>预评价查阅相关设计文件、产品说明书、计算书；评价查阅相关竣工图、产品说明书、计算书</w:t>
      </w:r>
      <w:r w:rsidRPr="00530A11">
        <w:rPr>
          <w:rFonts w:cs="Times New Roman"/>
          <w:kern w:val="44"/>
          <w:szCs w:val="24"/>
        </w:rPr>
        <w:t>，组织现场查勘</w:t>
      </w:r>
      <w:r w:rsidRPr="00530A11">
        <w:rPr>
          <w:rFonts w:cs="Times New Roman"/>
        </w:rPr>
        <w:t>。</w:t>
      </w:r>
    </w:p>
    <w:p w14:paraId="4D84855D" w14:textId="77777777" w:rsidR="00715ABB" w:rsidRPr="004F215F" w:rsidRDefault="00715ABB">
      <w:pPr>
        <w:snapToGrid w:val="0"/>
        <w:ind w:firstLine="420"/>
        <w:jc w:val="center"/>
        <w:rPr>
          <w:rFonts w:cs="Times New Roman"/>
          <w:szCs w:val="24"/>
        </w:rPr>
      </w:pPr>
    </w:p>
    <w:p w14:paraId="6FFD2AF5" w14:textId="77777777" w:rsidR="00715ABB" w:rsidRPr="0081478A" w:rsidRDefault="00F44390" w:rsidP="001A7E3B">
      <w:pPr>
        <w:pStyle w:val="3"/>
      </w:pPr>
      <w:bookmarkStart w:id="102" w:name="_Toc22221572"/>
      <w:bookmarkStart w:id="103" w:name="_Toc35364739"/>
      <w:r w:rsidRPr="0081478A">
        <w:t xml:space="preserve">Ⅴ </w:t>
      </w:r>
      <w:r w:rsidRPr="0081478A">
        <w:t>室内综合环境</w:t>
      </w:r>
      <w:bookmarkEnd w:id="102"/>
      <w:bookmarkEnd w:id="103"/>
    </w:p>
    <w:p w14:paraId="43888E83" w14:textId="77777777" w:rsidR="002C09A7" w:rsidRPr="00530A11" w:rsidRDefault="002C09A7" w:rsidP="002C09A7">
      <w:pPr>
        <w:pStyle w:val="4"/>
        <w:ind w:leftChars="-64" w:left="1" w:hangingChars="64" w:hanging="135"/>
        <w:rPr>
          <w:rFonts w:cs="Times New Roman"/>
          <w:bCs w:val="0"/>
        </w:rPr>
      </w:pPr>
      <w:r w:rsidRPr="00530A11">
        <w:rPr>
          <w:rFonts w:cs="Times New Roman"/>
          <w:bCs w:val="0"/>
        </w:rPr>
        <w:t xml:space="preserve">5.2.11 </w:t>
      </w:r>
      <w:bookmarkStart w:id="104" w:name="_Hlk25521130"/>
      <w:r w:rsidRPr="00530A11">
        <w:rPr>
          <w:rFonts w:cs="Times New Roman"/>
          <w:bCs w:val="0"/>
        </w:rPr>
        <w:t>综合考虑室内环境整体质量</w:t>
      </w:r>
      <w:bookmarkEnd w:id="104"/>
      <w:r w:rsidRPr="00530A11">
        <w:rPr>
          <w:rFonts w:cs="Times New Roman"/>
          <w:bCs w:val="0"/>
        </w:rPr>
        <w:t>，综合质量达到下列要求可得分，总分值</w:t>
      </w:r>
      <w:r w:rsidRPr="00530A11">
        <w:rPr>
          <w:rFonts w:cs="Times New Roman"/>
          <w:bCs w:val="0"/>
        </w:rPr>
        <w:t>5</w:t>
      </w:r>
      <w:r w:rsidRPr="00530A11">
        <w:rPr>
          <w:rFonts w:cs="Times New Roman"/>
          <w:bCs w:val="0"/>
        </w:rPr>
        <w:t>分。达到下列各表中的较高要求得</w:t>
      </w:r>
      <w:r w:rsidRPr="00530A11">
        <w:rPr>
          <w:rFonts w:cs="Times New Roman"/>
          <w:bCs w:val="0"/>
        </w:rPr>
        <w:t>3</w:t>
      </w:r>
      <w:r w:rsidRPr="00530A11">
        <w:rPr>
          <w:rFonts w:cs="Times New Roman"/>
          <w:bCs w:val="0"/>
        </w:rPr>
        <w:t>分，达到更高要求得</w:t>
      </w:r>
      <w:r w:rsidRPr="00530A11">
        <w:rPr>
          <w:rFonts w:cs="Times New Roman"/>
          <w:bCs w:val="0"/>
        </w:rPr>
        <w:t>5</w:t>
      </w:r>
      <w:r w:rsidRPr="00530A11">
        <w:rPr>
          <w:rFonts w:cs="Times New Roman"/>
          <w:bCs w:val="0"/>
        </w:rPr>
        <w:t>分。</w:t>
      </w:r>
    </w:p>
    <w:p w14:paraId="68D006C9"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 xml:space="preserve">5.2.11-1 </w:t>
      </w:r>
      <w:r w:rsidRPr="00530A11">
        <w:rPr>
          <w:rFonts w:cs="Times New Roman"/>
          <w:b w:val="0"/>
        </w:rPr>
        <w:t>室内噪声级等级判定</w:t>
      </w:r>
    </w:p>
    <w:tbl>
      <w:tblPr>
        <w:tblW w:w="6594" w:type="dxa"/>
        <w:jc w:val="center"/>
        <w:tblLayout w:type="fixed"/>
        <w:tblCellMar>
          <w:left w:w="28" w:type="dxa"/>
          <w:right w:w="28" w:type="dxa"/>
        </w:tblCellMar>
        <w:tblLook w:val="04A0" w:firstRow="1" w:lastRow="0" w:firstColumn="1" w:lastColumn="0" w:noHBand="0" w:noVBand="1"/>
      </w:tblPr>
      <w:tblGrid>
        <w:gridCol w:w="3112"/>
        <w:gridCol w:w="864"/>
        <w:gridCol w:w="839"/>
        <w:gridCol w:w="25"/>
        <w:gridCol w:w="864"/>
        <w:gridCol w:w="864"/>
        <w:gridCol w:w="26"/>
      </w:tblGrid>
      <w:tr w:rsidR="002C09A7" w:rsidRPr="00530A11" w14:paraId="70BE551A" w14:textId="77777777" w:rsidTr="00F83296">
        <w:trPr>
          <w:trHeight w:val="283"/>
          <w:jc w:val="center"/>
        </w:trPr>
        <w:tc>
          <w:tcPr>
            <w:tcW w:w="3112" w:type="dxa"/>
            <w:vMerge w:val="restart"/>
            <w:tcBorders>
              <w:top w:val="single" w:sz="4" w:space="0" w:color="auto"/>
              <w:left w:val="single" w:sz="4" w:space="0" w:color="auto"/>
              <w:bottom w:val="single" w:sz="4" w:space="0" w:color="auto"/>
              <w:right w:val="single" w:sz="4" w:space="0" w:color="auto"/>
            </w:tcBorders>
            <w:vAlign w:val="center"/>
          </w:tcPr>
          <w:p w14:paraId="0FA14D00" w14:textId="77777777" w:rsidR="002C09A7" w:rsidRPr="00530A11" w:rsidRDefault="002C09A7" w:rsidP="00C060F4">
            <w:pPr>
              <w:pStyle w:val="ae"/>
              <w:snapToGrid w:val="0"/>
              <w:ind w:firstLine="480"/>
              <w:rPr>
                <w:rFonts w:cs="Times New Roman"/>
              </w:rPr>
            </w:pPr>
            <w:r w:rsidRPr="00530A11">
              <w:rPr>
                <w:rFonts w:cs="Times New Roman" w:hint="eastAsia"/>
              </w:rPr>
              <w:t>房间类型</w:t>
            </w:r>
          </w:p>
        </w:tc>
        <w:tc>
          <w:tcPr>
            <w:tcW w:w="1703" w:type="dxa"/>
            <w:gridSpan w:val="2"/>
            <w:tcBorders>
              <w:top w:val="single" w:sz="4" w:space="0" w:color="auto"/>
              <w:left w:val="single" w:sz="4" w:space="0" w:color="auto"/>
              <w:bottom w:val="single" w:sz="4" w:space="0" w:color="auto"/>
              <w:right w:val="single" w:sz="4" w:space="0" w:color="auto"/>
            </w:tcBorders>
            <w:vAlign w:val="center"/>
          </w:tcPr>
          <w:p w14:paraId="3A13B5C4" w14:textId="77777777" w:rsidR="002C09A7" w:rsidRPr="00530A11" w:rsidRDefault="002C09A7" w:rsidP="00C060F4">
            <w:pPr>
              <w:pStyle w:val="ae"/>
              <w:snapToGrid w:val="0"/>
              <w:rPr>
                <w:rFonts w:cs="Times New Roman"/>
              </w:rPr>
            </w:pPr>
            <w:r w:rsidRPr="00530A11">
              <w:rPr>
                <w:rFonts w:cs="Times New Roman" w:hint="eastAsia"/>
              </w:rPr>
              <w:t>较高要求</w:t>
            </w:r>
          </w:p>
        </w:tc>
        <w:tc>
          <w:tcPr>
            <w:tcW w:w="1779" w:type="dxa"/>
            <w:gridSpan w:val="4"/>
            <w:tcBorders>
              <w:top w:val="single" w:sz="4" w:space="0" w:color="auto"/>
              <w:left w:val="single" w:sz="4" w:space="0" w:color="auto"/>
              <w:bottom w:val="single" w:sz="4" w:space="0" w:color="auto"/>
              <w:right w:val="single" w:sz="4" w:space="0" w:color="auto"/>
            </w:tcBorders>
            <w:vAlign w:val="center"/>
          </w:tcPr>
          <w:p w14:paraId="213105F5" w14:textId="77777777" w:rsidR="002C09A7" w:rsidRPr="00530A11" w:rsidRDefault="002C09A7" w:rsidP="00C060F4">
            <w:pPr>
              <w:pStyle w:val="ae"/>
              <w:snapToGrid w:val="0"/>
              <w:rPr>
                <w:rFonts w:cs="Times New Roman"/>
              </w:rPr>
            </w:pPr>
            <w:r w:rsidRPr="00530A11">
              <w:rPr>
                <w:rFonts w:cs="Times New Roman" w:hint="eastAsia"/>
              </w:rPr>
              <w:t>更高要求</w:t>
            </w:r>
          </w:p>
        </w:tc>
      </w:tr>
      <w:tr w:rsidR="002C09A7" w:rsidRPr="00530A11" w14:paraId="175A7C16" w14:textId="77777777" w:rsidTr="00F83296">
        <w:trPr>
          <w:gridAfter w:val="1"/>
          <w:wAfter w:w="26" w:type="dxa"/>
          <w:trHeight w:val="283"/>
          <w:jc w:val="center"/>
        </w:trPr>
        <w:tc>
          <w:tcPr>
            <w:tcW w:w="3112" w:type="dxa"/>
            <w:vMerge/>
            <w:tcBorders>
              <w:top w:val="single" w:sz="4" w:space="0" w:color="auto"/>
              <w:left w:val="single" w:sz="4" w:space="0" w:color="auto"/>
              <w:bottom w:val="single" w:sz="4" w:space="0" w:color="auto"/>
              <w:right w:val="single" w:sz="4" w:space="0" w:color="auto"/>
            </w:tcBorders>
            <w:vAlign w:val="center"/>
          </w:tcPr>
          <w:p w14:paraId="50D3C320" w14:textId="77777777" w:rsidR="002C09A7" w:rsidRPr="00530A11" w:rsidRDefault="002C09A7" w:rsidP="00C060F4">
            <w:pPr>
              <w:pStyle w:val="ae"/>
              <w:snapToGrid w:val="0"/>
              <w:ind w:firstLine="480"/>
              <w:rPr>
                <w:rFonts w:cs="Times New Roman"/>
              </w:rPr>
            </w:pPr>
          </w:p>
        </w:tc>
        <w:tc>
          <w:tcPr>
            <w:tcW w:w="864" w:type="dxa"/>
            <w:tcBorders>
              <w:top w:val="single" w:sz="4" w:space="0" w:color="auto"/>
              <w:left w:val="single" w:sz="4" w:space="0" w:color="auto"/>
              <w:bottom w:val="single" w:sz="4" w:space="0" w:color="auto"/>
              <w:right w:val="single" w:sz="4" w:space="0" w:color="auto"/>
            </w:tcBorders>
            <w:vAlign w:val="center"/>
          </w:tcPr>
          <w:p w14:paraId="66F1860E" w14:textId="77777777" w:rsidR="002C09A7" w:rsidRPr="00530A11" w:rsidRDefault="002C09A7" w:rsidP="00C060F4">
            <w:pPr>
              <w:pStyle w:val="ae"/>
              <w:snapToGrid w:val="0"/>
              <w:rPr>
                <w:rFonts w:cs="Times New Roman"/>
              </w:rPr>
            </w:pPr>
            <w:r w:rsidRPr="00530A11">
              <w:rPr>
                <w:rFonts w:cs="Times New Roman" w:hint="eastAsia"/>
              </w:rPr>
              <w:t>昼间</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5AB0A259" w14:textId="77777777" w:rsidR="002C09A7" w:rsidRPr="00530A11" w:rsidRDefault="002C09A7" w:rsidP="00C060F4">
            <w:pPr>
              <w:pStyle w:val="ae"/>
              <w:snapToGrid w:val="0"/>
              <w:rPr>
                <w:rFonts w:cs="Times New Roman"/>
              </w:rPr>
            </w:pPr>
            <w:r w:rsidRPr="00530A11">
              <w:rPr>
                <w:rFonts w:cs="Times New Roman" w:hint="eastAsia"/>
              </w:rPr>
              <w:t>夜间</w:t>
            </w:r>
          </w:p>
        </w:tc>
        <w:tc>
          <w:tcPr>
            <w:tcW w:w="864" w:type="dxa"/>
            <w:tcBorders>
              <w:top w:val="single" w:sz="4" w:space="0" w:color="auto"/>
              <w:left w:val="single" w:sz="4" w:space="0" w:color="auto"/>
              <w:bottom w:val="single" w:sz="4" w:space="0" w:color="auto"/>
              <w:right w:val="single" w:sz="4" w:space="0" w:color="auto"/>
            </w:tcBorders>
            <w:vAlign w:val="center"/>
          </w:tcPr>
          <w:p w14:paraId="45511350" w14:textId="77777777" w:rsidR="002C09A7" w:rsidRPr="00530A11" w:rsidRDefault="002C09A7" w:rsidP="00C060F4">
            <w:pPr>
              <w:pStyle w:val="ae"/>
              <w:snapToGrid w:val="0"/>
              <w:rPr>
                <w:rFonts w:cs="Times New Roman"/>
              </w:rPr>
            </w:pPr>
            <w:r w:rsidRPr="00530A11">
              <w:rPr>
                <w:rFonts w:cs="Times New Roman" w:hint="eastAsia"/>
              </w:rPr>
              <w:t>昼间</w:t>
            </w:r>
          </w:p>
        </w:tc>
        <w:tc>
          <w:tcPr>
            <w:tcW w:w="864" w:type="dxa"/>
            <w:tcBorders>
              <w:top w:val="single" w:sz="4" w:space="0" w:color="auto"/>
              <w:left w:val="single" w:sz="4" w:space="0" w:color="auto"/>
              <w:bottom w:val="single" w:sz="4" w:space="0" w:color="auto"/>
              <w:right w:val="single" w:sz="4" w:space="0" w:color="auto"/>
            </w:tcBorders>
            <w:vAlign w:val="center"/>
          </w:tcPr>
          <w:p w14:paraId="525EBBE1" w14:textId="77777777" w:rsidR="002C09A7" w:rsidRPr="00530A11" w:rsidRDefault="002C09A7" w:rsidP="00C060F4">
            <w:pPr>
              <w:pStyle w:val="ae"/>
              <w:snapToGrid w:val="0"/>
              <w:rPr>
                <w:rFonts w:cs="Times New Roman"/>
              </w:rPr>
            </w:pPr>
            <w:r w:rsidRPr="00530A11">
              <w:rPr>
                <w:rFonts w:cs="Times New Roman" w:hint="eastAsia"/>
              </w:rPr>
              <w:t>夜间</w:t>
            </w:r>
          </w:p>
        </w:tc>
      </w:tr>
      <w:tr w:rsidR="002C09A7" w:rsidRPr="00530A11" w14:paraId="6028CD6E" w14:textId="77777777" w:rsidTr="00F83296">
        <w:trPr>
          <w:gridAfter w:val="1"/>
          <w:wAfter w:w="26" w:type="dxa"/>
          <w:trHeight w:val="524"/>
          <w:jc w:val="center"/>
        </w:trPr>
        <w:tc>
          <w:tcPr>
            <w:tcW w:w="3112" w:type="dxa"/>
            <w:tcBorders>
              <w:top w:val="single" w:sz="4" w:space="0" w:color="auto"/>
              <w:left w:val="single" w:sz="4" w:space="0" w:color="auto"/>
              <w:bottom w:val="single" w:sz="4" w:space="0" w:color="auto"/>
              <w:right w:val="single" w:sz="4" w:space="0" w:color="auto"/>
            </w:tcBorders>
            <w:vAlign w:val="center"/>
          </w:tcPr>
          <w:p w14:paraId="05570733" w14:textId="77777777" w:rsidR="002C09A7" w:rsidRPr="00530A11" w:rsidRDefault="002C09A7" w:rsidP="00C060F4">
            <w:pPr>
              <w:pStyle w:val="ae"/>
              <w:snapToGrid w:val="0"/>
              <w:rPr>
                <w:rFonts w:cs="Times New Roman"/>
              </w:rPr>
            </w:pPr>
            <w:r w:rsidRPr="00530A11">
              <w:rPr>
                <w:rFonts w:cs="Times New Roman" w:hint="eastAsia"/>
              </w:rPr>
              <w:t>有睡眠要求的主要功能房间</w:t>
            </w:r>
          </w:p>
        </w:tc>
        <w:tc>
          <w:tcPr>
            <w:tcW w:w="864" w:type="dxa"/>
            <w:tcBorders>
              <w:top w:val="single" w:sz="4" w:space="0" w:color="auto"/>
              <w:left w:val="single" w:sz="4" w:space="0" w:color="auto"/>
              <w:bottom w:val="single" w:sz="4" w:space="0" w:color="auto"/>
              <w:right w:val="single" w:sz="4" w:space="0" w:color="auto"/>
            </w:tcBorders>
            <w:vAlign w:val="center"/>
          </w:tcPr>
          <w:p w14:paraId="76BBF3A2"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40dB</w:t>
            </w:r>
          </w:p>
        </w:tc>
        <w:tc>
          <w:tcPr>
            <w:tcW w:w="864" w:type="dxa"/>
            <w:gridSpan w:val="2"/>
            <w:tcBorders>
              <w:top w:val="single" w:sz="4" w:space="0" w:color="auto"/>
              <w:left w:val="single" w:sz="4" w:space="0" w:color="auto"/>
              <w:bottom w:val="single" w:sz="4" w:space="0" w:color="auto"/>
              <w:right w:val="single" w:sz="4" w:space="0" w:color="auto"/>
            </w:tcBorders>
            <w:vAlign w:val="center"/>
          </w:tcPr>
          <w:p w14:paraId="237E9254"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33dB</w:t>
            </w:r>
          </w:p>
        </w:tc>
        <w:tc>
          <w:tcPr>
            <w:tcW w:w="864" w:type="dxa"/>
            <w:tcBorders>
              <w:top w:val="single" w:sz="4" w:space="0" w:color="auto"/>
              <w:left w:val="single" w:sz="4" w:space="0" w:color="auto"/>
              <w:bottom w:val="single" w:sz="4" w:space="0" w:color="auto"/>
              <w:right w:val="single" w:sz="4" w:space="0" w:color="auto"/>
            </w:tcBorders>
            <w:vAlign w:val="center"/>
          </w:tcPr>
          <w:p w14:paraId="49C05963"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35dB</w:t>
            </w:r>
          </w:p>
        </w:tc>
        <w:tc>
          <w:tcPr>
            <w:tcW w:w="864" w:type="dxa"/>
            <w:tcBorders>
              <w:top w:val="single" w:sz="4" w:space="0" w:color="auto"/>
              <w:left w:val="single" w:sz="4" w:space="0" w:color="auto"/>
              <w:bottom w:val="single" w:sz="4" w:space="0" w:color="auto"/>
              <w:right w:val="single" w:sz="4" w:space="0" w:color="auto"/>
            </w:tcBorders>
            <w:vAlign w:val="center"/>
          </w:tcPr>
          <w:p w14:paraId="7331FFA2"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30dB</w:t>
            </w:r>
          </w:p>
        </w:tc>
      </w:tr>
      <w:tr w:rsidR="002C09A7" w:rsidRPr="00530A11" w14:paraId="4FF1F760" w14:textId="77777777" w:rsidTr="00F83296">
        <w:trPr>
          <w:gridAfter w:val="1"/>
          <w:wAfter w:w="26" w:type="dxa"/>
          <w:trHeight w:val="283"/>
          <w:jc w:val="center"/>
        </w:trPr>
        <w:tc>
          <w:tcPr>
            <w:tcW w:w="3112" w:type="dxa"/>
            <w:tcBorders>
              <w:top w:val="single" w:sz="4" w:space="0" w:color="auto"/>
              <w:left w:val="single" w:sz="4" w:space="0" w:color="auto"/>
              <w:bottom w:val="single" w:sz="4" w:space="0" w:color="auto"/>
              <w:right w:val="single" w:sz="4" w:space="0" w:color="auto"/>
            </w:tcBorders>
            <w:vAlign w:val="center"/>
          </w:tcPr>
          <w:p w14:paraId="185DDE3D" w14:textId="77777777" w:rsidR="002C09A7" w:rsidRPr="00530A11" w:rsidRDefault="002C09A7" w:rsidP="00C060F4">
            <w:pPr>
              <w:pStyle w:val="ae"/>
              <w:snapToGrid w:val="0"/>
              <w:rPr>
                <w:rFonts w:cs="Times New Roman"/>
              </w:rPr>
            </w:pPr>
            <w:r w:rsidRPr="00530A11">
              <w:rPr>
                <w:rFonts w:cs="Times New Roman" w:hint="eastAsia"/>
              </w:rPr>
              <w:t>需要集中精力、提高学习和工作效率的功能房间</w:t>
            </w:r>
          </w:p>
        </w:tc>
        <w:tc>
          <w:tcPr>
            <w:tcW w:w="1728" w:type="dxa"/>
            <w:gridSpan w:val="3"/>
            <w:tcBorders>
              <w:top w:val="single" w:sz="4" w:space="0" w:color="auto"/>
              <w:left w:val="single" w:sz="4" w:space="0" w:color="auto"/>
              <w:bottom w:val="single" w:sz="4" w:space="0" w:color="auto"/>
              <w:right w:val="single" w:sz="4" w:space="0" w:color="auto"/>
            </w:tcBorders>
            <w:vAlign w:val="center"/>
          </w:tcPr>
          <w:p w14:paraId="64238580"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40dB</w:t>
            </w:r>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41C57A4F"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35dB</w:t>
            </w:r>
          </w:p>
        </w:tc>
      </w:tr>
      <w:tr w:rsidR="002C09A7" w:rsidRPr="00530A11" w14:paraId="6E908D61" w14:textId="77777777" w:rsidTr="00F83296">
        <w:trPr>
          <w:gridAfter w:val="1"/>
          <w:wAfter w:w="26" w:type="dxa"/>
          <w:trHeight w:val="283"/>
          <w:jc w:val="center"/>
        </w:trPr>
        <w:tc>
          <w:tcPr>
            <w:tcW w:w="3112" w:type="dxa"/>
            <w:tcBorders>
              <w:top w:val="single" w:sz="4" w:space="0" w:color="auto"/>
              <w:left w:val="single" w:sz="4" w:space="0" w:color="auto"/>
              <w:bottom w:val="single" w:sz="4" w:space="0" w:color="auto"/>
              <w:right w:val="single" w:sz="4" w:space="0" w:color="auto"/>
            </w:tcBorders>
            <w:vAlign w:val="center"/>
          </w:tcPr>
          <w:p w14:paraId="10ABED14" w14:textId="77777777" w:rsidR="002C09A7" w:rsidRPr="00530A11" w:rsidRDefault="002C09A7" w:rsidP="00C060F4">
            <w:pPr>
              <w:pStyle w:val="ae"/>
              <w:snapToGrid w:val="0"/>
              <w:rPr>
                <w:rFonts w:cs="Times New Roman"/>
              </w:rPr>
            </w:pPr>
            <w:r w:rsidRPr="00530A11">
              <w:rPr>
                <w:rFonts w:cs="Times New Roman" w:hint="eastAsia"/>
              </w:rPr>
              <w:t>需保证人通过自然声进行语言交流的场所</w:t>
            </w:r>
          </w:p>
        </w:tc>
        <w:tc>
          <w:tcPr>
            <w:tcW w:w="1728" w:type="dxa"/>
            <w:gridSpan w:val="3"/>
            <w:tcBorders>
              <w:top w:val="single" w:sz="4" w:space="0" w:color="auto"/>
              <w:left w:val="single" w:sz="4" w:space="0" w:color="auto"/>
              <w:bottom w:val="single" w:sz="4" w:space="0" w:color="auto"/>
              <w:right w:val="single" w:sz="4" w:space="0" w:color="auto"/>
            </w:tcBorders>
            <w:vAlign w:val="center"/>
          </w:tcPr>
          <w:p w14:paraId="2EB2CB85"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42dB</w:t>
            </w:r>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1C366A16"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40dB</w:t>
            </w:r>
          </w:p>
        </w:tc>
      </w:tr>
      <w:tr w:rsidR="002C09A7" w:rsidRPr="00530A11" w14:paraId="3F91773A" w14:textId="77777777" w:rsidTr="00F83296">
        <w:trPr>
          <w:gridAfter w:val="1"/>
          <w:wAfter w:w="26" w:type="dxa"/>
          <w:trHeight w:val="283"/>
          <w:jc w:val="center"/>
        </w:trPr>
        <w:tc>
          <w:tcPr>
            <w:tcW w:w="3112" w:type="dxa"/>
            <w:tcBorders>
              <w:top w:val="single" w:sz="4" w:space="0" w:color="auto"/>
              <w:left w:val="single" w:sz="4" w:space="0" w:color="auto"/>
              <w:bottom w:val="single" w:sz="4" w:space="0" w:color="auto"/>
              <w:right w:val="single" w:sz="4" w:space="0" w:color="auto"/>
            </w:tcBorders>
            <w:vAlign w:val="center"/>
          </w:tcPr>
          <w:p w14:paraId="3A8CB5B4" w14:textId="77777777" w:rsidR="002C09A7" w:rsidRPr="00530A11" w:rsidRDefault="002C09A7" w:rsidP="00C060F4">
            <w:pPr>
              <w:pStyle w:val="ae"/>
              <w:snapToGrid w:val="0"/>
              <w:rPr>
                <w:rFonts w:cs="Times New Roman"/>
              </w:rPr>
            </w:pPr>
            <w:r w:rsidRPr="00530A11">
              <w:rPr>
                <w:rFonts w:cs="Times New Roman" w:hint="eastAsia"/>
              </w:rPr>
              <w:t>需保证通过扩声系统传输语言信息的大空间人员密集场所</w:t>
            </w:r>
          </w:p>
        </w:tc>
        <w:tc>
          <w:tcPr>
            <w:tcW w:w="1728" w:type="dxa"/>
            <w:gridSpan w:val="3"/>
            <w:tcBorders>
              <w:top w:val="single" w:sz="4" w:space="0" w:color="auto"/>
              <w:left w:val="single" w:sz="4" w:space="0" w:color="auto"/>
              <w:bottom w:val="single" w:sz="4" w:space="0" w:color="auto"/>
              <w:right w:val="single" w:sz="4" w:space="0" w:color="auto"/>
            </w:tcBorders>
            <w:vAlign w:val="center"/>
          </w:tcPr>
          <w:p w14:paraId="432390C8"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50dB</w:t>
            </w:r>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4676330E"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45dB</w:t>
            </w:r>
          </w:p>
        </w:tc>
      </w:tr>
      <w:tr w:rsidR="002C09A7" w:rsidRPr="00530A11" w14:paraId="0BA8EAE8" w14:textId="77777777" w:rsidTr="00F83296">
        <w:trPr>
          <w:gridAfter w:val="1"/>
          <w:wAfter w:w="26" w:type="dxa"/>
          <w:trHeight w:val="283"/>
          <w:jc w:val="center"/>
        </w:trPr>
        <w:tc>
          <w:tcPr>
            <w:tcW w:w="3112" w:type="dxa"/>
            <w:tcBorders>
              <w:top w:val="single" w:sz="4" w:space="0" w:color="auto"/>
              <w:left w:val="single" w:sz="4" w:space="0" w:color="auto"/>
              <w:bottom w:val="single" w:sz="4" w:space="0" w:color="auto"/>
              <w:right w:val="single" w:sz="4" w:space="0" w:color="auto"/>
            </w:tcBorders>
            <w:vAlign w:val="center"/>
          </w:tcPr>
          <w:p w14:paraId="4A97CF6D" w14:textId="77777777" w:rsidR="002C09A7" w:rsidRPr="00530A11" w:rsidRDefault="002C09A7" w:rsidP="00C060F4">
            <w:pPr>
              <w:pStyle w:val="ae"/>
              <w:rPr>
                <w:rFonts w:cs="Times New Roman"/>
              </w:rPr>
            </w:pPr>
            <w:r w:rsidRPr="00530A11">
              <w:rPr>
                <w:rFonts w:cs="Times New Roman" w:hint="eastAsia"/>
              </w:rPr>
              <w:t>需保证通过扩声系统传输音乐信息的重要演绎空间</w:t>
            </w:r>
          </w:p>
        </w:tc>
        <w:tc>
          <w:tcPr>
            <w:tcW w:w="1728" w:type="dxa"/>
            <w:gridSpan w:val="3"/>
            <w:tcBorders>
              <w:top w:val="single" w:sz="4" w:space="0" w:color="auto"/>
              <w:left w:val="single" w:sz="4" w:space="0" w:color="auto"/>
              <w:bottom w:val="single" w:sz="4" w:space="0" w:color="auto"/>
              <w:right w:val="single" w:sz="4" w:space="0" w:color="auto"/>
            </w:tcBorders>
            <w:vAlign w:val="center"/>
          </w:tcPr>
          <w:p w14:paraId="3CFD5CE4"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35dB</w:t>
            </w:r>
          </w:p>
        </w:tc>
        <w:tc>
          <w:tcPr>
            <w:tcW w:w="1728" w:type="dxa"/>
            <w:gridSpan w:val="2"/>
            <w:tcBorders>
              <w:top w:val="single" w:sz="4" w:space="0" w:color="auto"/>
              <w:left w:val="single" w:sz="4" w:space="0" w:color="auto"/>
              <w:bottom w:val="single" w:sz="4" w:space="0" w:color="auto"/>
              <w:right w:val="single" w:sz="4" w:space="0" w:color="auto"/>
            </w:tcBorders>
            <w:vAlign w:val="center"/>
          </w:tcPr>
          <w:p w14:paraId="5EE17DEE" w14:textId="77777777" w:rsidR="002C09A7" w:rsidRPr="00530A11" w:rsidRDefault="002C09A7" w:rsidP="00C060F4">
            <w:pPr>
              <w:pStyle w:val="ae"/>
              <w:snapToGrid w:val="0"/>
              <w:rPr>
                <w:rFonts w:cs="Times New Roman"/>
              </w:rPr>
            </w:pPr>
            <w:r w:rsidRPr="00530A11">
              <w:rPr>
                <w:rFonts w:cs="Times New Roman" w:hint="eastAsia"/>
              </w:rPr>
              <w:t>≤</w:t>
            </w:r>
            <w:r w:rsidRPr="00530A11">
              <w:rPr>
                <w:rFonts w:cs="Times New Roman" w:hint="eastAsia"/>
              </w:rPr>
              <w:t>30dB</w:t>
            </w:r>
          </w:p>
        </w:tc>
      </w:tr>
    </w:tbl>
    <w:p w14:paraId="6A4878C8" w14:textId="77777777" w:rsidR="002C09A7" w:rsidRPr="00530A11" w:rsidRDefault="002C09A7" w:rsidP="002C09A7">
      <w:pPr>
        <w:pStyle w:val="ae"/>
        <w:rPr>
          <w:rFonts w:cs="Times New Roman"/>
          <w:b w:val="0"/>
        </w:rPr>
      </w:pPr>
    </w:p>
    <w:p w14:paraId="794E7AD4"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 xml:space="preserve">5.2.11-2 </w:t>
      </w:r>
      <w:r w:rsidRPr="00530A11">
        <w:rPr>
          <w:rFonts w:cs="Times New Roman"/>
          <w:b w:val="0"/>
        </w:rPr>
        <w:t>隔声性能等级判定</w:t>
      </w:r>
    </w:p>
    <w:tbl>
      <w:tblPr>
        <w:tblW w:w="6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3112"/>
        <w:gridCol w:w="1703"/>
        <w:gridCol w:w="1779"/>
      </w:tblGrid>
      <w:tr w:rsidR="002C09A7" w:rsidRPr="00530A11" w14:paraId="5289BFD2" w14:textId="77777777" w:rsidTr="00F83296">
        <w:trPr>
          <w:trHeight w:val="283"/>
          <w:jc w:val="center"/>
        </w:trPr>
        <w:tc>
          <w:tcPr>
            <w:tcW w:w="3112" w:type="dxa"/>
            <w:vAlign w:val="center"/>
          </w:tcPr>
          <w:p w14:paraId="52CAFF9D" w14:textId="77777777" w:rsidR="002C09A7" w:rsidRPr="00530A11" w:rsidRDefault="002C09A7" w:rsidP="00C060F4">
            <w:pPr>
              <w:pStyle w:val="ae"/>
              <w:snapToGrid w:val="0"/>
              <w:ind w:firstLine="480"/>
              <w:rPr>
                <w:rFonts w:cs="Times New Roman"/>
              </w:rPr>
            </w:pPr>
            <w:r w:rsidRPr="00530A11">
              <w:rPr>
                <w:rFonts w:cs="Times New Roman" w:hint="eastAsia"/>
              </w:rPr>
              <w:t>房间类型</w:t>
            </w:r>
          </w:p>
        </w:tc>
        <w:tc>
          <w:tcPr>
            <w:tcW w:w="1703" w:type="dxa"/>
            <w:vAlign w:val="center"/>
          </w:tcPr>
          <w:p w14:paraId="50BD19C1" w14:textId="77777777" w:rsidR="002C09A7" w:rsidRPr="00530A11" w:rsidRDefault="002C09A7" w:rsidP="00C060F4">
            <w:pPr>
              <w:pStyle w:val="ae"/>
              <w:snapToGrid w:val="0"/>
              <w:rPr>
                <w:rFonts w:cs="Times New Roman"/>
              </w:rPr>
            </w:pPr>
            <w:r w:rsidRPr="00530A11">
              <w:rPr>
                <w:rFonts w:cs="Times New Roman" w:hint="eastAsia"/>
              </w:rPr>
              <w:t>较高要求</w:t>
            </w:r>
          </w:p>
        </w:tc>
        <w:tc>
          <w:tcPr>
            <w:tcW w:w="1779" w:type="dxa"/>
            <w:vAlign w:val="center"/>
          </w:tcPr>
          <w:p w14:paraId="0191D44A" w14:textId="77777777" w:rsidR="002C09A7" w:rsidRPr="00530A11" w:rsidRDefault="002C09A7" w:rsidP="00C060F4">
            <w:pPr>
              <w:pStyle w:val="ae"/>
              <w:snapToGrid w:val="0"/>
              <w:rPr>
                <w:rFonts w:cs="Times New Roman"/>
              </w:rPr>
            </w:pPr>
            <w:r w:rsidRPr="00530A11">
              <w:rPr>
                <w:rFonts w:cs="Times New Roman" w:hint="eastAsia"/>
              </w:rPr>
              <w:t>更高要求</w:t>
            </w:r>
          </w:p>
        </w:tc>
      </w:tr>
      <w:tr w:rsidR="002C09A7" w:rsidRPr="00530A11" w14:paraId="708EDF7E" w14:textId="77777777" w:rsidTr="00F83296">
        <w:trPr>
          <w:trHeight w:val="524"/>
          <w:jc w:val="center"/>
        </w:trPr>
        <w:tc>
          <w:tcPr>
            <w:tcW w:w="3112" w:type="dxa"/>
            <w:vAlign w:val="center"/>
          </w:tcPr>
          <w:p w14:paraId="0990CA30" w14:textId="77777777" w:rsidR="002C09A7" w:rsidRPr="00530A11" w:rsidRDefault="002C09A7" w:rsidP="00C060F4">
            <w:pPr>
              <w:pStyle w:val="ae"/>
              <w:snapToGrid w:val="0"/>
              <w:rPr>
                <w:rFonts w:cs="Times New Roman"/>
              </w:rPr>
            </w:pPr>
            <w:r w:rsidRPr="00530A11">
              <w:rPr>
                <w:rFonts w:cs="Times New Roman" w:hint="eastAsia"/>
              </w:rPr>
              <w:t>噪声敏感房间与产生噪声房间之间的空气声隔声性能</w:t>
            </w:r>
          </w:p>
        </w:tc>
        <w:tc>
          <w:tcPr>
            <w:tcW w:w="1703" w:type="dxa"/>
            <w:vAlign w:val="center"/>
          </w:tcPr>
          <w:p w14:paraId="12A94BC9" w14:textId="77777777" w:rsidR="002C09A7" w:rsidRPr="00530A11" w:rsidRDefault="002C09A7" w:rsidP="00C060F4">
            <w:pPr>
              <w:pStyle w:val="ae"/>
              <w:snapToGrid w:val="0"/>
              <w:rPr>
                <w:rFonts w:cs="Times New Roman"/>
              </w:rPr>
            </w:pPr>
            <w:r w:rsidRPr="00530A11">
              <w:rPr>
                <w:rFonts w:cs="Times New Roman"/>
                <w:i/>
              </w:rPr>
              <w:t>D</w:t>
            </w:r>
            <w:r w:rsidRPr="00530A11">
              <w:rPr>
                <w:rFonts w:cs="Times New Roman"/>
                <w:vertAlign w:val="subscript"/>
              </w:rPr>
              <w:t>nT,w</w:t>
            </w:r>
            <w:r w:rsidRPr="00530A11">
              <w:rPr>
                <w:rFonts w:cs="Times New Roman"/>
              </w:rPr>
              <w:t>+</w:t>
            </w:r>
            <w:r w:rsidRPr="00530A11">
              <w:rPr>
                <w:rFonts w:cs="Times New Roman"/>
                <w:i/>
              </w:rPr>
              <w:t>C</w:t>
            </w:r>
            <w:r w:rsidRPr="00530A11">
              <w:rPr>
                <w:rFonts w:cs="Times New Roman"/>
                <w:vertAlign w:val="subscript"/>
              </w:rPr>
              <w:t>tr</w:t>
            </w:r>
            <w:r w:rsidRPr="00530A11">
              <w:rPr>
                <w:rFonts w:cs="Times New Roman" w:hint="eastAsia"/>
              </w:rPr>
              <w:t>≥</w:t>
            </w:r>
            <w:r w:rsidRPr="00530A11">
              <w:rPr>
                <w:rFonts w:cs="Times New Roman" w:hint="eastAsia"/>
              </w:rPr>
              <w:t>50dB</w:t>
            </w:r>
          </w:p>
        </w:tc>
        <w:tc>
          <w:tcPr>
            <w:tcW w:w="1779" w:type="dxa"/>
            <w:vAlign w:val="center"/>
          </w:tcPr>
          <w:p w14:paraId="03CD2847" w14:textId="77777777" w:rsidR="002C09A7" w:rsidRPr="00530A11" w:rsidRDefault="002C09A7" w:rsidP="00C060F4">
            <w:pPr>
              <w:pStyle w:val="ae"/>
              <w:snapToGrid w:val="0"/>
              <w:rPr>
                <w:rFonts w:cs="Times New Roman"/>
              </w:rPr>
            </w:pPr>
            <w:r w:rsidRPr="00530A11">
              <w:rPr>
                <w:rFonts w:cs="Times New Roman"/>
                <w:i/>
              </w:rPr>
              <w:t>D</w:t>
            </w:r>
            <w:r w:rsidRPr="00530A11">
              <w:rPr>
                <w:rFonts w:cs="Times New Roman"/>
                <w:vertAlign w:val="subscript"/>
              </w:rPr>
              <w:t>nT,w</w:t>
            </w:r>
            <w:r w:rsidRPr="00530A11">
              <w:rPr>
                <w:rFonts w:cs="Times New Roman"/>
              </w:rPr>
              <w:t>+</w:t>
            </w:r>
            <w:r w:rsidRPr="00530A11">
              <w:rPr>
                <w:rFonts w:cs="Times New Roman"/>
                <w:i/>
              </w:rPr>
              <w:t>C</w:t>
            </w:r>
            <w:r w:rsidRPr="00530A11">
              <w:rPr>
                <w:rFonts w:cs="Times New Roman"/>
                <w:vertAlign w:val="subscript"/>
              </w:rPr>
              <w:t>tr</w:t>
            </w:r>
            <w:r w:rsidRPr="00530A11">
              <w:rPr>
                <w:rFonts w:cs="Times New Roman" w:hint="eastAsia"/>
              </w:rPr>
              <w:t>≥</w:t>
            </w:r>
            <w:r w:rsidRPr="00530A11">
              <w:rPr>
                <w:rFonts w:cs="Times New Roman" w:hint="eastAsia"/>
              </w:rPr>
              <w:t>55</w:t>
            </w:r>
            <w:r w:rsidRPr="00530A11">
              <w:rPr>
                <w:rFonts w:cs="Times New Roman"/>
              </w:rPr>
              <w:t xml:space="preserve"> dB</w:t>
            </w:r>
          </w:p>
        </w:tc>
      </w:tr>
      <w:tr w:rsidR="002C09A7" w:rsidRPr="00530A11" w14:paraId="06164908" w14:textId="77777777" w:rsidTr="00F83296">
        <w:trPr>
          <w:trHeight w:val="283"/>
          <w:jc w:val="center"/>
        </w:trPr>
        <w:tc>
          <w:tcPr>
            <w:tcW w:w="3112" w:type="dxa"/>
            <w:vAlign w:val="center"/>
          </w:tcPr>
          <w:p w14:paraId="3420CB5A" w14:textId="77777777" w:rsidR="002C09A7" w:rsidRPr="00530A11" w:rsidRDefault="002C09A7" w:rsidP="00C060F4">
            <w:pPr>
              <w:pStyle w:val="ae"/>
              <w:snapToGrid w:val="0"/>
              <w:rPr>
                <w:rFonts w:cs="Times New Roman"/>
              </w:rPr>
            </w:pPr>
            <w:r w:rsidRPr="00530A11">
              <w:rPr>
                <w:rFonts w:cs="Times New Roman" w:hint="eastAsia"/>
              </w:rPr>
              <w:t>噪声敏感房间与普通房间之间的空气声隔声性能</w:t>
            </w:r>
          </w:p>
        </w:tc>
        <w:tc>
          <w:tcPr>
            <w:tcW w:w="1703" w:type="dxa"/>
            <w:vAlign w:val="center"/>
          </w:tcPr>
          <w:p w14:paraId="692608CB" w14:textId="77777777" w:rsidR="002C09A7" w:rsidRPr="00530A11" w:rsidRDefault="002C09A7" w:rsidP="00C060F4">
            <w:pPr>
              <w:pStyle w:val="ae"/>
              <w:snapToGrid w:val="0"/>
              <w:rPr>
                <w:rFonts w:cs="Times New Roman"/>
                <w:vertAlign w:val="superscript"/>
              </w:rPr>
            </w:pPr>
            <w:r w:rsidRPr="00530A11">
              <w:rPr>
                <w:rFonts w:cs="Times New Roman"/>
                <w:i/>
              </w:rPr>
              <w:t>D</w:t>
            </w:r>
            <w:r w:rsidRPr="00530A11">
              <w:rPr>
                <w:rFonts w:cs="Times New Roman"/>
                <w:vertAlign w:val="subscript"/>
              </w:rPr>
              <w:t>nT,w</w:t>
            </w:r>
            <w:r w:rsidRPr="00530A11">
              <w:rPr>
                <w:rFonts w:cs="Times New Roman"/>
              </w:rPr>
              <w:t>+</w:t>
            </w:r>
            <w:r w:rsidRPr="00530A11">
              <w:rPr>
                <w:rFonts w:cs="Times New Roman"/>
                <w:i/>
              </w:rPr>
              <w:t>C</w:t>
            </w:r>
            <w:r w:rsidRPr="00530A11">
              <w:rPr>
                <w:rFonts w:cs="Times New Roman" w:hint="eastAsia"/>
              </w:rPr>
              <w:t>≥</w:t>
            </w:r>
            <w:r w:rsidRPr="00530A11">
              <w:rPr>
                <w:rFonts w:cs="Times New Roman" w:hint="eastAsia"/>
              </w:rPr>
              <w:t>45dB</w:t>
            </w:r>
          </w:p>
        </w:tc>
        <w:tc>
          <w:tcPr>
            <w:tcW w:w="1779" w:type="dxa"/>
            <w:vAlign w:val="center"/>
          </w:tcPr>
          <w:p w14:paraId="732C506D" w14:textId="77777777" w:rsidR="002C09A7" w:rsidRPr="00530A11" w:rsidRDefault="002C09A7" w:rsidP="00C060F4">
            <w:pPr>
              <w:pStyle w:val="ae"/>
              <w:snapToGrid w:val="0"/>
              <w:rPr>
                <w:rFonts w:cs="Times New Roman"/>
              </w:rPr>
            </w:pPr>
            <w:r w:rsidRPr="00530A11">
              <w:rPr>
                <w:rFonts w:cs="Times New Roman"/>
                <w:i/>
              </w:rPr>
              <w:t>D</w:t>
            </w:r>
            <w:r w:rsidRPr="00530A11">
              <w:rPr>
                <w:rFonts w:cs="Times New Roman"/>
                <w:vertAlign w:val="subscript"/>
              </w:rPr>
              <w:t>nT,w</w:t>
            </w:r>
            <w:r w:rsidRPr="00530A11">
              <w:rPr>
                <w:rFonts w:cs="Times New Roman"/>
              </w:rPr>
              <w:t>+</w:t>
            </w:r>
            <w:r w:rsidRPr="00530A11">
              <w:rPr>
                <w:rFonts w:cs="Times New Roman"/>
                <w:i/>
              </w:rPr>
              <w:t>C</w:t>
            </w:r>
            <w:r w:rsidRPr="00530A11">
              <w:rPr>
                <w:rFonts w:cs="Times New Roman" w:hint="eastAsia"/>
              </w:rPr>
              <w:t>≥</w:t>
            </w:r>
            <w:r w:rsidRPr="00530A11">
              <w:rPr>
                <w:rFonts w:cs="Times New Roman" w:hint="eastAsia"/>
              </w:rPr>
              <w:t>50dB</w:t>
            </w:r>
          </w:p>
        </w:tc>
      </w:tr>
      <w:tr w:rsidR="002C09A7" w:rsidRPr="00530A11" w14:paraId="05BC2893" w14:textId="77777777" w:rsidTr="00F83296">
        <w:trPr>
          <w:trHeight w:val="283"/>
          <w:jc w:val="center"/>
        </w:trPr>
        <w:tc>
          <w:tcPr>
            <w:tcW w:w="3112" w:type="dxa"/>
            <w:vAlign w:val="center"/>
          </w:tcPr>
          <w:p w14:paraId="1FFC6CE2" w14:textId="77777777" w:rsidR="002C09A7" w:rsidRPr="00530A11" w:rsidRDefault="002C09A7" w:rsidP="00C060F4">
            <w:pPr>
              <w:pStyle w:val="ae"/>
              <w:snapToGrid w:val="0"/>
              <w:rPr>
                <w:rFonts w:cs="Times New Roman"/>
              </w:rPr>
            </w:pPr>
            <w:r w:rsidRPr="00530A11">
              <w:rPr>
                <w:rFonts w:cs="Times New Roman" w:hint="eastAsia"/>
              </w:rPr>
              <w:t>室外与噪声敏感房间之间的空气声隔声性能</w:t>
            </w:r>
          </w:p>
        </w:tc>
        <w:tc>
          <w:tcPr>
            <w:tcW w:w="1703" w:type="dxa"/>
            <w:vAlign w:val="center"/>
          </w:tcPr>
          <w:p w14:paraId="31E9DDB0" w14:textId="77777777" w:rsidR="002C09A7" w:rsidRPr="00530A11" w:rsidRDefault="002C09A7" w:rsidP="00C060F4">
            <w:pPr>
              <w:pStyle w:val="ae"/>
              <w:snapToGrid w:val="0"/>
              <w:rPr>
                <w:rFonts w:cs="Times New Roman"/>
              </w:rPr>
            </w:pPr>
            <w:r w:rsidRPr="00530A11">
              <w:rPr>
                <w:rFonts w:cs="Times New Roman"/>
                <w:i/>
              </w:rPr>
              <w:t>D</w:t>
            </w:r>
            <w:r w:rsidRPr="00530A11">
              <w:rPr>
                <w:rFonts w:cs="Times New Roman"/>
                <w:vertAlign w:val="subscript"/>
              </w:rPr>
              <w:t>2m,nT,w</w:t>
            </w:r>
            <w:r w:rsidRPr="00530A11">
              <w:rPr>
                <w:rFonts w:cs="Times New Roman"/>
              </w:rPr>
              <w:t>+</w:t>
            </w:r>
            <w:r w:rsidRPr="00530A11">
              <w:rPr>
                <w:rFonts w:cs="Times New Roman"/>
                <w:i/>
              </w:rPr>
              <w:t>C</w:t>
            </w:r>
            <w:r w:rsidRPr="00530A11">
              <w:rPr>
                <w:rFonts w:cs="Times New Roman"/>
                <w:vertAlign w:val="subscript"/>
              </w:rPr>
              <w:t>tr</w:t>
            </w:r>
            <w:r w:rsidRPr="00530A11">
              <w:rPr>
                <w:rFonts w:cs="Times New Roman" w:hint="eastAsia"/>
              </w:rPr>
              <w:t>≥</w:t>
            </w:r>
            <w:r w:rsidRPr="00530A11">
              <w:rPr>
                <w:rFonts w:cs="Times New Roman" w:hint="eastAsia"/>
              </w:rPr>
              <w:t>40dB</w:t>
            </w:r>
          </w:p>
        </w:tc>
        <w:tc>
          <w:tcPr>
            <w:tcW w:w="1779" w:type="dxa"/>
            <w:vAlign w:val="center"/>
          </w:tcPr>
          <w:p w14:paraId="73EA7CA1" w14:textId="77777777" w:rsidR="002C09A7" w:rsidRPr="00530A11" w:rsidRDefault="002C09A7" w:rsidP="00C060F4">
            <w:pPr>
              <w:pStyle w:val="ae"/>
              <w:snapToGrid w:val="0"/>
              <w:rPr>
                <w:rFonts w:cs="Times New Roman"/>
              </w:rPr>
            </w:pPr>
            <w:r w:rsidRPr="00530A11">
              <w:rPr>
                <w:rFonts w:cs="Times New Roman"/>
                <w:i/>
              </w:rPr>
              <w:t>D</w:t>
            </w:r>
            <w:r w:rsidRPr="00530A11">
              <w:rPr>
                <w:rFonts w:cs="Times New Roman"/>
                <w:vertAlign w:val="subscript"/>
              </w:rPr>
              <w:t>2m,nT,w</w:t>
            </w:r>
            <w:r w:rsidRPr="00530A11">
              <w:rPr>
                <w:rFonts w:cs="Times New Roman"/>
              </w:rPr>
              <w:t>+</w:t>
            </w:r>
            <w:r w:rsidRPr="00530A11">
              <w:rPr>
                <w:rFonts w:cs="Times New Roman"/>
                <w:i/>
              </w:rPr>
              <w:t>C</w:t>
            </w:r>
            <w:r w:rsidRPr="00530A11">
              <w:rPr>
                <w:rFonts w:cs="Times New Roman"/>
                <w:vertAlign w:val="subscript"/>
              </w:rPr>
              <w:t>tr</w:t>
            </w:r>
            <w:r w:rsidRPr="00530A11">
              <w:rPr>
                <w:rFonts w:cs="Times New Roman" w:hint="eastAsia"/>
              </w:rPr>
              <w:t>≥</w:t>
            </w:r>
            <w:r w:rsidRPr="00530A11">
              <w:rPr>
                <w:rFonts w:cs="Times New Roman" w:hint="eastAsia"/>
              </w:rPr>
              <w:t>45dB</w:t>
            </w:r>
          </w:p>
        </w:tc>
      </w:tr>
      <w:tr w:rsidR="002C09A7" w:rsidRPr="00530A11" w14:paraId="1F01BCE9" w14:textId="77777777" w:rsidTr="00F83296">
        <w:trPr>
          <w:trHeight w:val="283"/>
          <w:jc w:val="center"/>
        </w:trPr>
        <w:tc>
          <w:tcPr>
            <w:tcW w:w="3112" w:type="dxa"/>
            <w:vAlign w:val="center"/>
          </w:tcPr>
          <w:p w14:paraId="1E6D3B17" w14:textId="77777777" w:rsidR="002C09A7" w:rsidRPr="00530A11" w:rsidRDefault="002C09A7" w:rsidP="00C060F4">
            <w:pPr>
              <w:pStyle w:val="ae"/>
              <w:snapToGrid w:val="0"/>
              <w:rPr>
                <w:rFonts w:cs="Times New Roman"/>
              </w:rPr>
            </w:pPr>
            <w:r w:rsidRPr="00530A11">
              <w:rPr>
                <w:rFonts w:cs="Times New Roman" w:hint="eastAsia"/>
              </w:rPr>
              <w:t>噪声敏感房间顶部楼板的撞击声</w:t>
            </w:r>
            <w:r w:rsidRPr="00530A11">
              <w:rPr>
                <w:rFonts w:cs="Times New Roman" w:hint="eastAsia"/>
              </w:rPr>
              <w:lastRenderedPageBreak/>
              <w:t>隔声性能</w:t>
            </w:r>
          </w:p>
        </w:tc>
        <w:tc>
          <w:tcPr>
            <w:tcW w:w="1703" w:type="dxa"/>
            <w:vAlign w:val="center"/>
          </w:tcPr>
          <w:p w14:paraId="5F8090DC" w14:textId="77777777" w:rsidR="002C09A7" w:rsidRPr="00530A11" w:rsidRDefault="002C09A7" w:rsidP="00C060F4">
            <w:pPr>
              <w:pStyle w:val="ae"/>
              <w:snapToGrid w:val="0"/>
              <w:rPr>
                <w:rFonts w:cs="Times New Roman"/>
              </w:rPr>
            </w:pPr>
            <w:r w:rsidRPr="00530A11">
              <w:rPr>
                <w:rFonts w:cs="Times New Roman"/>
                <w:i/>
              </w:rPr>
              <w:lastRenderedPageBreak/>
              <w:t>L</w:t>
            </w:r>
            <w:r w:rsidRPr="00530A11">
              <w:rPr>
                <w:rFonts w:cs="Times New Roman"/>
              </w:rPr>
              <w:t>’</w:t>
            </w:r>
            <w:r w:rsidRPr="00530A11">
              <w:rPr>
                <w:rFonts w:cs="Times New Roman"/>
                <w:vertAlign w:val="subscript"/>
              </w:rPr>
              <w:t>nT,w</w:t>
            </w:r>
            <w:r w:rsidRPr="00530A11">
              <w:rPr>
                <w:rFonts w:cs="Times New Roman" w:hint="eastAsia"/>
              </w:rPr>
              <w:t>≤</w:t>
            </w:r>
            <w:r w:rsidRPr="00530A11">
              <w:rPr>
                <w:rFonts w:cs="Times New Roman" w:hint="eastAsia"/>
              </w:rPr>
              <w:t>70dB</w:t>
            </w:r>
          </w:p>
        </w:tc>
        <w:tc>
          <w:tcPr>
            <w:tcW w:w="1779" w:type="dxa"/>
            <w:vAlign w:val="center"/>
          </w:tcPr>
          <w:p w14:paraId="624227E7" w14:textId="77777777" w:rsidR="002C09A7" w:rsidRPr="00530A11" w:rsidRDefault="002C09A7" w:rsidP="00C060F4">
            <w:pPr>
              <w:pStyle w:val="ae"/>
              <w:snapToGrid w:val="0"/>
              <w:rPr>
                <w:rFonts w:cs="Times New Roman"/>
              </w:rPr>
            </w:pPr>
            <w:r w:rsidRPr="00530A11">
              <w:rPr>
                <w:rFonts w:cs="Times New Roman"/>
                <w:i/>
              </w:rPr>
              <w:t>L</w:t>
            </w:r>
            <w:r w:rsidRPr="00530A11">
              <w:rPr>
                <w:rFonts w:cs="Times New Roman"/>
              </w:rPr>
              <w:t>’</w:t>
            </w:r>
            <w:r w:rsidRPr="00530A11">
              <w:rPr>
                <w:rFonts w:cs="Times New Roman"/>
                <w:vertAlign w:val="subscript"/>
              </w:rPr>
              <w:t>nT,w</w:t>
            </w:r>
            <w:r w:rsidRPr="00530A11">
              <w:rPr>
                <w:rFonts w:cs="Times New Roman" w:hint="eastAsia"/>
              </w:rPr>
              <w:t>≤</w:t>
            </w:r>
            <w:r w:rsidRPr="00530A11">
              <w:rPr>
                <w:rFonts w:cs="Times New Roman" w:hint="eastAsia"/>
              </w:rPr>
              <w:t>65dB</w:t>
            </w:r>
          </w:p>
        </w:tc>
      </w:tr>
    </w:tbl>
    <w:p w14:paraId="20B8F104" w14:textId="77777777" w:rsidR="002C09A7" w:rsidRPr="00530A11" w:rsidRDefault="002C09A7" w:rsidP="002C09A7">
      <w:pPr>
        <w:pStyle w:val="ae"/>
        <w:spacing w:line="240" w:lineRule="auto"/>
        <w:rPr>
          <w:rFonts w:cs="Times New Roman"/>
          <w:b w:val="0"/>
        </w:rPr>
      </w:pPr>
    </w:p>
    <w:p w14:paraId="7202ED08" w14:textId="77777777" w:rsidR="002C09A7" w:rsidRPr="00530A11" w:rsidRDefault="002C09A7" w:rsidP="002C09A7">
      <w:pPr>
        <w:pStyle w:val="ae"/>
        <w:spacing w:line="240" w:lineRule="auto"/>
        <w:rPr>
          <w:rFonts w:cs="Times New Roman"/>
          <w:b w:val="0"/>
        </w:rPr>
      </w:pPr>
      <w:r w:rsidRPr="00530A11">
        <w:rPr>
          <w:rFonts w:cs="Times New Roman"/>
          <w:b w:val="0"/>
        </w:rPr>
        <w:t>表</w:t>
      </w:r>
      <w:r w:rsidRPr="00530A11">
        <w:rPr>
          <w:rFonts w:cs="Times New Roman"/>
          <w:b w:val="0"/>
        </w:rPr>
        <w:t xml:space="preserve">5.2.11-3 </w:t>
      </w:r>
      <w:r w:rsidRPr="00530A11">
        <w:rPr>
          <w:rFonts w:cs="Times New Roman"/>
          <w:b w:val="0"/>
        </w:rPr>
        <w:t>光环境等级判定</w:t>
      </w:r>
    </w:p>
    <w:tbl>
      <w:tblPr>
        <w:tblW w:w="46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
        <w:gridCol w:w="719"/>
        <w:gridCol w:w="6725"/>
      </w:tblGrid>
      <w:tr w:rsidR="002C09A7" w:rsidRPr="00530A11" w14:paraId="6796CCDB" w14:textId="77777777" w:rsidTr="00C060F4">
        <w:tc>
          <w:tcPr>
            <w:tcW w:w="307" w:type="pct"/>
            <w:tcBorders>
              <w:top w:val="single" w:sz="4" w:space="0" w:color="auto"/>
              <w:left w:val="single" w:sz="4" w:space="0" w:color="auto"/>
              <w:bottom w:val="single" w:sz="4" w:space="0" w:color="auto"/>
              <w:right w:val="single" w:sz="4" w:space="0" w:color="auto"/>
            </w:tcBorders>
            <w:hideMark/>
          </w:tcPr>
          <w:p w14:paraId="754C5027" w14:textId="77777777" w:rsidR="002C09A7" w:rsidRPr="00530A11" w:rsidRDefault="002C09A7" w:rsidP="00C060F4">
            <w:pPr>
              <w:spacing w:beforeLines="50" w:before="156" w:line="240" w:lineRule="auto"/>
              <w:ind w:firstLineChars="0" w:firstLine="0"/>
              <w:jc w:val="center"/>
              <w:rPr>
                <w:rFonts w:eastAsia="黑体" w:cs="Times New Roman"/>
                <w:szCs w:val="21"/>
              </w:rPr>
            </w:pPr>
            <w:r w:rsidRPr="00530A11">
              <w:rPr>
                <w:rFonts w:eastAsiaTheme="minorEastAsia" w:cs="Times New Roman" w:hint="eastAsia"/>
                <w:szCs w:val="21"/>
              </w:rPr>
              <w:t>等级</w:t>
            </w:r>
          </w:p>
        </w:tc>
        <w:tc>
          <w:tcPr>
            <w:tcW w:w="453" w:type="pct"/>
            <w:tcBorders>
              <w:top w:val="single" w:sz="4" w:space="0" w:color="auto"/>
              <w:left w:val="single" w:sz="4" w:space="0" w:color="auto"/>
              <w:bottom w:val="single" w:sz="4" w:space="0" w:color="auto"/>
              <w:right w:val="single" w:sz="4" w:space="0" w:color="auto"/>
            </w:tcBorders>
            <w:hideMark/>
          </w:tcPr>
          <w:p w14:paraId="0BABD8F0" w14:textId="77777777" w:rsidR="002C09A7" w:rsidRPr="00530A11" w:rsidRDefault="002C09A7" w:rsidP="00C060F4">
            <w:pPr>
              <w:spacing w:beforeLines="50" w:before="156" w:line="240" w:lineRule="auto"/>
              <w:ind w:firstLineChars="0" w:firstLine="0"/>
              <w:jc w:val="center"/>
              <w:rPr>
                <w:rFonts w:eastAsia="黑体" w:cs="Times New Roman"/>
                <w:szCs w:val="21"/>
              </w:rPr>
            </w:pPr>
            <w:r w:rsidRPr="00530A11">
              <w:rPr>
                <w:rFonts w:eastAsiaTheme="minorEastAsia" w:cs="Times New Roman" w:hint="eastAsia"/>
                <w:szCs w:val="21"/>
              </w:rPr>
              <w:t>较高要求</w:t>
            </w:r>
          </w:p>
        </w:tc>
        <w:tc>
          <w:tcPr>
            <w:tcW w:w="4238" w:type="pct"/>
            <w:tcBorders>
              <w:top w:val="single" w:sz="4" w:space="0" w:color="auto"/>
              <w:left w:val="single" w:sz="4" w:space="0" w:color="auto"/>
              <w:bottom w:val="single" w:sz="4" w:space="0" w:color="auto"/>
              <w:right w:val="single" w:sz="4" w:space="0" w:color="auto"/>
            </w:tcBorders>
            <w:hideMark/>
          </w:tcPr>
          <w:p w14:paraId="5AAE30E6" w14:textId="77777777" w:rsidR="002C09A7" w:rsidRPr="00530A11" w:rsidRDefault="002C09A7" w:rsidP="00C060F4">
            <w:pPr>
              <w:spacing w:beforeLines="50" w:before="156" w:line="240" w:lineRule="auto"/>
              <w:ind w:firstLineChars="0" w:firstLine="0"/>
              <w:jc w:val="center"/>
              <w:rPr>
                <w:rFonts w:eastAsia="黑体" w:cs="Times New Roman"/>
                <w:szCs w:val="21"/>
              </w:rPr>
            </w:pPr>
            <w:r w:rsidRPr="00530A11">
              <w:rPr>
                <w:rFonts w:eastAsiaTheme="minorEastAsia" w:cs="Times New Roman" w:hint="eastAsia"/>
                <w:szCs w:val="21"/>
              </w:rPr>
              <w:t>更高要求</w:t>
            </w:r>
          </w:p>
        </w:tc>
      </w:tr>
      <w:tr w:rsidR="002C09A7" w:rsidRPr="00530A11" w14:paraId="1ADA8EEE" w14:textId="77777777" w:rsidTr="00C060F4">
        <w:trPr>
          <w:trHeight w:val="2614"/>
        </w:trPr>
        <w:tc>
          <w:tcPr>
            <w:tcW w:w="307" w:type="pct"/>
            <w:vMerge w:val="restart"/>
            <w:tcBorders>
              <w:top w:val="single" w:sz="4" w:space="0" w:color="auto"/>
              <w:left w:val="single" w:sz="4" w:space="0" w:color="auto"/>
              <w:bottom w:val="single" w:sz="4" w:space="0" w:color="auto"/>
              <w:right w:val="single" w:sz="4" w:space="0" w:color="auto"/>
            </w:tcBorders>
            <w:vAlign w:val="center"/>
            <w:hideMark/>
          </w:tcPr>
          <w:p w14:paraId="1F3DDD94" w14:textId="77777777" w:rsidR="002C09A7" w:rsidRPr="00530A11" w:rsidRDefault="002C09A7" w:rsidP="00C060F4">
            <w:pPr>
              <w:spacing w:beforeLines="50" w:before="156" w:line="240" w:lineRule="auto"/>
              <w:ind w:firstLineChars="0" w:firstLine="0"/>
              <w:jc w:val="center"/>
              <w:rPr>
                <w:rFonts w:cs="Times New Roman"/>
              </w:rPr>
            </w:pPr>
            <w:r w:rsidRPr="00530A11">
              <w:rPr>
                <w:rFonts w:cs="Times New Roman" w:hint="eastAsia"/>
              </w:rPr>
              <w:t>等级判定规则</w:t>
            </w:r>
          </w:p>
        </w:tc>
        <w:tc>
          <w:tcPr>
            <w:tcW w:w="4692" w:type="pct"/>
            <w:gridSpan w:val="2"/>
            <w:tcBorders>
              <w:top w:val="single" w:sz="4" w:space="0" w:color="auto"/>
              <w:left w:val="single" w:sz="4" w:space="0" w:color="auto"/>
              <w:bottom w:val="single" w:sz="4" w:space="0" w:color="auto"/>
              <w:right w:val="single" w:sz="4" w:space="0" w:color="auto"/>
            </w:tcBorders>
            <w:vAlign w:val="center"/>
            <w:hideMark/>
          </w:tcPr>
          <w:p w14:paraId="236A3F73" w14:textId="77777777" w:rsidR="002C09A7" w:rsidRPr="00530A11" w:rsidRDefault="002C09A7" w:rsidP="00C060F4">
            <w:pPr>
              <w:spacing w:line="240" w:lineRule="auto"/>
              <w:ind w:firstLine="420"/>
              <w:jc w:val="left"/>
              <w:rPr>
                <w:rFonts w:eastAsiaTheme="minorEastAsia" w:cs="Times New Roman"/>
                <w:szCs w:val="21"/>
              </w:rPr>
            </w:pPr>
            <w:r w:rsidRPr="00530A11">
              <w:rPr>
                <w:rFonts w:eastAsiaTheme="minorEastAsia" w:cs="Times New Roman" w:hint="eastAsia"/>
                <w:szCs w:val="21"/>
              </w:rPr>
              <w:t>照度、照度均匀度、统一眩光值、眩光值、一般显色指数、色温、频闪满足《建筑照明设计标准》</w:t>
            </w:r>
            <w:r w:rsidRPr="00530A11">
              <w:rPr>
                <w:rFonts w:eastAsiaTheme="minorEastAsia" w:cs="Times New Roman"/>
                <w:szCs w:val="21"/>
              </w:rPr>
              <w:t>GB 50034</w:t>
            </w:r>
            <w:r w:rsidRPr="00530A11">
              <w:rPr>
                <w:rFonts w:eastAsiaTheme="minorEastAsia" w:cs="Times New Roman" w:hint="eastAsia"/>
                <w:szCs w:val="21"/>
              </w:rPr>
              <w:t>的要求。</w:t>
            </w:r>
          </w:p>
          <w:p w14:paraId="3E10D999" w14:textId="77777777" w:rsidR="002C09A7" w:rsidRPr="00530A11" w:rsidRDefault="002C09A7" w:rsidP="00C060F4">
            <w:pPr>
              <w:spacing w:line="240" w:lineRule="auto"/>
              <w:ind w:firstLine="420"/>
              <w:jc w:val="left"/>
              <w:rPr>
                <w:rFonts w:eastAsiaTheme="minorEastAsia" w:cs="Times New Roman"/>
                <w:szCs w:val="21"/>
              </w:rPr>
            </w:pPr>
            <w:r w:rsidRPr="00530A11">
              <w:rPr>
                <w:rFonts w:eastAsiaTheme="minorEastAsia" w:cs="Times New Roman" w:hint="eastAsia"/>
                <w:szCs w:val="21"/>
              </w:rPr>
              <w:t>一般类建筑</w:t>
            </w:r>
            <w:r w:rsidRPr="00530A11">
              <w:rPr>
                <w:rFonts w:eastAsiaTheme="minorEastAsia" w:cs="Times New Roman"/>
                <w:szCs w:val="21"/>
                <w:vertAlign w:val="superscript"/>
              </w:rPr>
              <w:t>1</w:t>
            </w:r>
            <w:r w:rsidRPr="00530A11">
              <w:rPr>
                <w:rFonts w:eastAsiaTheme="minorEastAsia" w:cs="Times New Roman" w:hint="eastAsia"/>
                <w:szCs w:val="21"/>
              </w:rPr>
              <w:t>常用房间或场所在照明功率密度满足《建筑照明设计标准》</w:t>
            </w:r>
            <w:r w:rsidRPr="00530A11">
              <w:rPr>
                <w:rFonts w:eastAsiaTheme="minorEastAsia" w:cs="Times New Roman"/>
                <w:szCs w:val="21"/>
              </w:rPr>
              <w:t>GB 50034</w:t>
            </w:r>
            <w:r w:rsidRPr="00530A11">
              <w:rPr>
                <w:rFonts w:eastAsiaTheme="minorEastAsia" w:cs="Times New Roman" w:hint="eastAsia"/>
                <w:szCs w:val="21"/>
              </w:rPr>
              <w:t>的基础上，一般显色指数</w:t>
            </w:r>
            <w:r w:rsidRPr="00530A11">
              <w:rPr>
                <w:rFonts w:eastAsiaTheme="minorEastAsia" w:cs="Times New Roman"/>
                <w:szCs w:val="21"/>
              </w:rPr>
              <w:t>R</w:t>
            </w:r>
            <w:r w:rsidRPr="00530A11">
              <w:rPr>
                <w:rFonts w:eastAsiaTheme="minorEastAsia" w:cs="Times New Roman"/>
                <w:szCs w:val="21"/>
                <w:vertAlign w:val="subscript"/>
              </w:rPr>
              <w:t>a</w:t>
            </w:r>
            <w:r w:rsidRPr="00530A11">
              <w:rPr>
                <w:rFonts w:eastAsiaTheme="minorEastAsia" w:cs="Times New Roman" w:hint="eastAsia"/>
                <w:szCs w:val="21"/>
              </w:rPr>
              <w:t>不提升，照度标准值按</w:t>
            </w:r>
            <w:r w:rsidRPr="00530A11">
              <w:rPr>
                <w:rFonts w:eastAsiaTheme="minorEastAsia" w:cs="Times New Roman"/>
                <w:szCs w:val="21"/>
              </w:rPr>
              <w:t>GB50034-4.1.1</w:t>
            </w:r>
            <w:r w:rsidRPr="00530A11">
              <w:rPr>
                <w:rFonts w:eastAsiaTheme="minorEastAsia" w:cs="Times New Roman" w:hint="eastAsia"/>
                <w:szCs w:val="21"/>
              </w:rPr>
              <w:t>条分级提高一级</w:t>
            </w:r>
          </w:p>
          <w:p w14:paraId="27788C9D" w14:textId="77777777" w:rsidR="002C09A7" w:rsidRPr="00530A11" w:rsidRDefault="002C09A7" w:rsidP="00C060F4">
            <w:pPr>
              <w:spacing w:line="240" w:lineRule="auto"/>
              <w:ind w:firstLine="420"/>
              <w:jc w:val="left"/>
              <w:rPr>
                <w:rFonts w:eastAsiaTheme="minorEastAsia" w:cs="Times New Roman"/>
                <w:szCs w:val="21"/>
              </w:rPr>
            </w:pPr>
            <w:r w:rsidRPr="00530A11">
              <w:rPr>
                <w:rFonts w:eastAsiaTheme="minorEastAsia" w:cs="Times New Roman" w:hint="eastAsia"/>
                <w:szCs w:val="21"/>
              </w:rPr>
              <w:t>重要类建筑</w:t>
            </w:r>
            <w:r w:rsidRPr="00530A11">
              <w:rPr>
                <w:rFonts w:eastAsiaTheme="minorEastAsia" w:cs="Times New Roman"/>
                <w:szCs w:val="21"/>
                <w:vertAlign w:val="superscript"/>
              </w:rPr>
              <w:t>1</w:t>
            </w:r>
            <w:r w:rsidRPr="00530A11">
              <w:rPr>
                <w:rFonts w:eastAsiaTheme="minorEastAsia" w:cs="Times New Roman" w:hint="eastAsia"/>
                <w:szCs w:val="21"/>
              </w:rPr>
              <w:t>常用房间或场所在照明功率密度满足《建筑照明设计标准》</w:t>
            </w:r>
            <w:r w:rsidRPr="00530A11">
              <w:rPr>
                <w:rFonts w:eastAsiaTheme="minorEastAsia" w:cs="Times New Roman"/>
                <w:szCs w:val="21"/>
              </w:rPr>
              <w:t>GB 50034</w:t>
            </w:r>
            <w:r w:rsidRPr="00530A11">
              <w:rPr>
                <w:rFonts w:eastAsiaTheme="minorEastAsia" w:cs="Times New Roman" w:hint="eastAsia"/>
                <w:szCs w:val="21"/>
              </w:rPr>
              <w:t>的基础上，一般显色指数</w:t>
            </w:r>
            <w:r w:rsidRPr="00530A11">
              <w:rPr>
                <w:rFonts w:eastAsiaTheme="minorEastAsia" w:cs="Times New Roman"/>
                <w:szCs w:val="21"/>
              </w:rPr>
              <w:t>R</w:t>
            </w:r>
            <w:r w:rsidRPr="00530A11">
              <w:rPr>
                <w:rFonts w:eastAsiaTheme="minorEastAsia" w:cs="Times New Roman"/>
                <w:szCs w:val="21"/>
                <w:vertAlign w:val="subscript"/>
              </w:rPr>
              <w:t>a</w:t>
            </w:r>
            <w:r w:rsidRPr="00530A11">
              <w:rPr>
                <w:rFonts w:eastAsiaTheme="minorEastAsia" w:cs="Times New Roman" w:hint="eastAsia"/>
                <w:szCs w:val="21"/>
              </w:rPr>
              <w:t>提升</w:t>
            </w:r>
            <w:r w:rsidRPr="00530A11">
              <w:rPr>
                <w:rFonts w:eastAsiaTheme="minorEastAsia" w:cs="Times New Roman"/>
                <w:szCs w:val="21"/>
              </w:rPr>
              <w:t>10</w:t>
            </w:r>
            <w:r w:rsidRPr="00530A11">
              <w:rPr>
                <w:rFonts w:eastAsiaTheme="minorEastAsia" w:cs="Times New Roman" w:hint="eastAsia"/>
                <w:szCs w:val="21"/>
              </w:rPr>
              <w:t>，照度标准值不提升。</w:t>
            </w:r>
          </w:p>
          <w:p w14:paraId="56B72831" w14:textId="77777777" w:rsidR="002C09A7" w:rsidRPr="00530A11" w:rsidRDefault="002C09A7" w:rsidP="00C060F4">
            <w:pPr>
              <w:spacing w:line="240" w:lineRule="auto"/>
              <w:ind w:firstLine="420"/>
              <w:jc w:val="left"/>
              <w:rPr>
                <w:rFonts w:eastAsiaTheme="minorEastAsia" w:cs="Times New Roman"/>
                <w:szCs w:val="21"/>
              </w:rPr>
            </w:pPr>
            <w:r w:rsidRPr="00530A11">
              <w:rPr>
                <w:rFonts w:eastAsiaTheme="minorEastAsia" w:cs="Times New Roman" w:hint="eastAsia"/>
                <w:szCs w:val="21"/>
              </w:rPr>
              <w:t>特殊类建筑</w:t>
            </w:r>
            <w:r w:rsidRPr="00530A11">
              <w:rPr>
                <w:rFonts w:eastAsiaTheme="minorEastAsia" w:cs="Times New Roman"/>
                <w:szCs w:val="21"/>
                <w:vertAlign w:val="superscript"/>
              </w:rPr>
              <w:t>1</w:t>
            </w:r>
            <w:r w:rsidRPr="00530A11">
              <w:rPr>
                <w:rFonts w:eastAsiaTheme="minorEastAsia" w:cs="Times New Roman" w:hint="eastAsia"/>
                <w:szCs w:val="21"/>
              </w:rPr>
              <w:t>常用房间或场所在照明功率密度满足《建筑照明设计标准》</w:t>
            </w:r>
            <w:r w:rsidRPr="00530A11">
              <w:rPr>
                <w:rFonts w:eastAsiaTheme="minorEastAsia" w:cs="Times New Roman"/>
                <w:szCs w:val="21"/>
              </w:rPr>
              <w:t>GB 50034</w:t>
            </w:r>
            <w:r w:rsidRPr="00530A11">
              <w:rPr>
                <w:rFonts w:eastAsiaTheme="minorEastAsia" w:cs="Times New Roman" w:hint="eastAsia"/>
                <w:szCs w:val="21"/>
              </w:rPr>
              <w:t>的基础上，一般显色指数</w:t>
            </w:r>
            <w:r w:rsidRPr="00530A11">
              <w:rPr>
                <w:rFonts w:eastAsiaTheme="minorEastAsia" w:cs="Times New Roman"/>
                <w:szCs w:val="21"/>
              </w:rPr>
              <w:t>R</w:t>
            </w:r>
            <w:r w:rsidRPr="00530A11">
              <w:rPr>
                <w:rFonts w:eastAsiaTheme="minorEastAsia" w:cs="Times New Roman"/>
                <w:szCs w:val="21"/>
                <w:vertAlign w:val="subscript"/>
              </w:rPr>
              <w:t>a</w:t>
            </w:r>
            <w:r w:rsidRPr="00530A11">
              <w:rPr>
                <w:rFonts w:eastAsiaTheme="minorEastAsia" w:cs="Times New Roman" w:hint="eastAsia"/>
                <w:szCs w:val="21"/>
              </w:rPr>
              <w:t>提升</w:t>
            </w:r>
            <w:r w:rsidRPr="00530A11">
              <w:rPr>
                <w:rFonts w:eastAsiaTheme="minorEastAsia" w:cs="Times New Roman"/>
                <w:szCs w:val="21"/>
              </w:rPr>
              <w:t>10</w:t>
            </w:r>
            <w:r w:rsidRPr="00530A11">
              <w:rPr>
                <w:rFonts w:eastAsiaTheme="minorEastAsia" w:cs="Times New Roman" w:hint="eastAsia"/>
                <w:szCs w:val="21"/>
              </w:rPr>
              <w:t>；无电视转播的体育建筑和有电视转播的体育建筑照度标准值不提升，眩光值降低</w:t>
            </w:r>
            <w:r w:rsidRPr="00530A11">
              <w:rPr>
                <w:rFonts w:eastAsiaTheme="minorEastAsia" w:cs="Times New Roman"/>
                <w:szCs w:val="21"/>
              </w:rPr>
              <w:t>3</w:t>
            </w:r>
            <w:r w:rsidRPr="00530A11">
              <w:rPr>
                <w:rFonts w:eastAsiaTheme="minorEastAsia" w:cs="Times New Roman" w:hint="eastAsia"/>
                <w:szCs w:val="21"/>
              </w:rPr>
              <w:t>；教育建筑照度标准值不提升，统一眩光值降低</w:t>
            </w:r>
            <w:r w:rsidRPr="00530A11">
              <w:rPr>
                <w:rFonts w:eastAsiaTheme="minorEastAsia" w:cs="Times New Roman"/>
                <w:szCs w:val="21"/>
              </w:rPr>
              <w:t>2</w:t>
            </w:r>
            <w:r w:rsidRPr="00530A11">
              <w:rPr>
                <w:rFonts w:eastAsiaTheme="minorEastAsia" w:cs="Times New Roman" w:hint="eastAsia"/>
                <w:szCs w:val="21"/>
              </w:rPr>
              <w:t>，一般照明照度均匀度提升</w:t>
            </w:r>
            <w:r w:rsidRPr="00530A11">
              <w:rPr>
                <w:rFonts w:eastAsiaTheme="minorEastAsia" w:cs="Times New Roman"/>
                <w:szCs w:val="21"/>
              </w:rPr>
              <w:t>0.10</w:t>
            </w:r>
            <w:r w:rsidRPr="00530A11">
              <w:rPr>
                <w:rFonts w:eastAsiaTheme="minorEastAsia" w:cs="Times New Roman" w:hint="eastAsia"/>
                <w:szCs w:val="21"/>
              </w:rPr>
              <w:t>。</w:t>
            </w:r>
          </w:p>
          <w:p w14:paraId="4B8DD2BE" w14:textId="77777777" w:rsidR="002C09A7" w:rsidRPr="00530A11" w:rsidRDefault="002C09A7" w:rsidP="00C060F4">
            <w:pPr>
              <w:spacing w:beforeLines="50" w:before="156" w:line="240" w:lineRule="auto"/>
              <w:ind w:firstLineChars="0" w:firstLine="0"/>
              <w:jc w:val="center"/>
              <w:rPr>
                <w:rFonts w:eastAsiaTheme="minorEastAsia" w:cs="Times New Roman"/>
                <w:szCs w:val="21"/>
              </w:rPr>
            </w:pPr>
            <w:r w:rsidRPr="00530A11">
              <w:rPr>
                <w:rFonts w:eastAsiaTheme="minorEastAsia" w:cs="Times New Roman" w:hint="eastAsia"/>
                <w:szCs w:val="21"/>
              </w:rPr>
              <w:t>一般类建筑、重要类建筑中除有特殊照度需求的房间或场所</w:t>
            </w:r>
            <w:r w:rsidRPr="00530A11">
              <w:rPr>
                <w:rFonts w:eastAsiaTheme="minorEastAsia" w:cs="Times New Roman"/>
                <w:szCs w:val="21"/>
                <w:vertAlign w:val="superscript"/>
              </w:rPr>
              <w:t>2</w:t>
            </w:r>
            <w:r w:rsidRPr="00530A11">
              <w:rPr>
                <w:rFonts w:eastAsiaTheme="minorEastAsia" w:cs="Times New Roman" w:hint="eastAsia"/>
                <w:szCs w:val="21"/>
              </w:rPr>
              <w:t>，从绿色节能的角度考虑照度宜限制在</w:t>
            </w:r>
            <w:r w:rsidRPr="00530A11">
              <w:rPr>
                <w:rFonts w:eastAsiaTheme="minorEastAsia" w:cs="Times New Roman"/>
                <w:szCs w:val="21"/>
              </w:rPr>
              <w:t>750lx</w:t>
            </w:r>
            <w:r w:rsidRPr="00530A11">
              <w:rPr>
                <w:rFonts w:eastAsiaTheme="minorEastAsia" w:cs="Times New Roman" w:hint="eastAsia"/>
                <w:szCs w:val="21"/>
              </w:rPr>
              <w:t>以下，有特殊照度需求的房间或场所和特殊类建筑在二星级基础上根据需求进行合理设定。</w:t>
            </w:r>
          </w:p>
        </w:tc>
      </w:tr>
      <w:tr w:rsidR="002C09A7" w:rsidRPr="00530A11" w14:paraId="4E639AD6" w14:textId="77777777" w:rsidTr="00C060F4">
        <w:trPr>
          <w:trHeight w:val="2614"/>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DA9F403" w14:textId="77777777" w:rsidR="002C09A7" w:rsidRPr="00530A11" w:rsidRDefault="002C09A7" w:rsidP="00C060F4">
            <w:pPr>
              <w:widowControl/>
              <w:spacing w:line="240" w:lineRule="auto"/>
              <w:ind w:firstLineChars="0" w:firstLine="0"/>
              <w:jc w:val="left"/>
              <w:rPr>
                <w:rFonts w:cs="Times New Roman"/>
              </w:rPr>
            </w:pPr>
          </w:p>
        </w:tc>
        <w:tc>
          <w:tcPr>
            <w:tcW w:w="453" w:type="pct"/>
            <w:tcBorders>
              <w:top w:val="single" w:sz="4" w:space="0" w:color="auto"/>
              <w:left w:val="single" w:sz="4" w:space="0" w:color="auto"/>
              <w:bottom w:val="single" w:sz="4" w:space="0" w:color="auto"/>
              <w:right w:val="single" w:sz="4" w:space="0" w:color="auto"/>
            </w:tcBorders>
            <w:vAlign w:val="center"/>
          </w:tcPr>
          <w:p w14:paraId="0C02EFBC" w14:textId="77777777" w:rsidR="002C09A7" w:rsidRPr="00530A11" w:rsidRDefault="002C09A7" w:rsidP="00C060F4">
            <w:pPr>
              <w:spacing w:beforeLines="50" w:before="156" w:line="240" w:lineRule="auto"/>
              <w:ind w:firstLineChars="0" w:firstLine="0"/>
              <w:jc w:val="center"/>
              <w:rPr>
                <w:rFonts w:eastAsiaTheme="minorEastAsia" w:cs="Times New Roman"/>
                <w:szCs w:val="21"/>
              </w:rPr>
            </w:pPr>
          </w:p>
        </w:tc>
        <w:tc>
          <w:tcPr>
            <w:tcW w:w="4238" w:type="pct"/>
            <w:tcBorders>
              <w:top w:val="single" w:sz="4" w:space="0" w:color="auto"/>
              <w:left w:val="single" w:sz="4" w:space="0" w:color="auto"/>
              <w:bottom w:val="single" w:sz="4" w:space="0" w:color="auto"/>
              <w:right w:val="single" w:sz="4" w:space="0" w:color="auto"/>
            </w:tcBorders>
            <w:hideMark/>
          </w:tcPr>
          <w:p w14:paraId="67B3AE33" w14:textId="77777777" w:rsidR="002C09A7" w:rsidRPr="00530A11" w:rsidRDefault="002C09A7" w:rsidP="00C060F4">
            <w:pPr>
              <w:spacing w:line="240" w:lineRule="auto"/>
              <w:ind w:firstLine="420"/>
              <w:rPr>
                <w:rFonts w:eastAsiaTheme="minorEastAsia" w:cs="Times New Roman"/>
                <w:szCs w:val="21"/>
              </w:rPr>
            </w:pPr>
            <w:r w:rsidRPr="00530A11">
              <w:rPr>
                <w:rFonts w:eastAsiaTheme="minorEastAsia" w:cs="Times New Roman" w:hint="eastAsia"/>
                <w:szCs w:val="21"/>
              </w:rPr>
              <w:t>一般类建筑常用房间或场所在照明功率密度满足《建筑照明设计标准》</w:t>
            </w:r>
            <w:r w:rsidRPr="00530A11">
              <w:rPr>
                <w:rFonts w:eastAsiaTheme="minorEastAsia" w:cs="Times New Roman"/>
                <w:szCs w:val="21"/>
              </w:rPr>
              <w:t>GB 50034</w:t>
            </w:r>
            <w:r w:rsidRPr="00530A11">
              <w:rPr>
                <w:rFonts w:eastAsiaTheme="minorEastAsia" w:cs="Times New Roman" w:hint="eastAsia"/>
                <w:szCs w:val="21"/>
              </w:rPr>
              <w:t>的基础上，一般显色指数</w:t>
            </w:r>
            <w:r w:rsidRPr="00530A11">
              <w:rPr>
                <w:rFonts w:eastAsiaTheme="minorEastAsia" w:cs="Times New Roman"/>
                <w:szCs w:val="21"/>
              </w:rPr>
              <w:t>R</w:t>
            </w:r>
            <w:r w:rsidRPr="00530A11">
              <w:rPr>
                <w:rFonts w:eastAsiaTheme="minorEastAsia" w:cs="Times New Roman"/>
                <w:szCs w:val="21"/>
                <w:vertAlign w:val="subscript"/>
              </w:rPr>
              <w:t>a</w:t>
            </w:r>
            <w:r w:rsidRPr="00530A11">
              <w:rPr>
                <w:rFonts w:eastAsiaTheme="minorEastAsia" w:cs="Times New Roman" w:hint="eastAsia"/>
                <w:szCs w:val="21"/>
              </w:rPr>
              <w:t>提升</w:t>
            </w:r>
            <w:r w:rsidRPr="00530A11">
              <w:rPr>
                <w:rFonts w:eastAsiaTheme="minorEastAsia" w:cs="Times New Roman"/>
                <w:szCs w:val="21"/>
              </w:rPr>
              <w:t>10</w:t>
            </w:r>
            <w:r w:rsidRPr="00530A11">
              <w:rPr>
                <w:rFonts w:eastAsiaTheme="minorEastAsia" w:cs="Times New Roman" w:hint="eastAsia"/>
                <w:szCs w:val="21"/>
              </w:rPr>
              <w:t>，照度标准值不提升。</w:t>
            </w:r>
          </w:p>
          <w:p w14:paraId="732ECF7D" w14:textId="77777777" w:rsidR="002C09A7" w:rsidRPr="00530A11" w:rsidRDefault="002C09A7" w:rsidP="00C060F4">
            <w:pPr>
              <w:spacing w:line="240" w:lineRule="auto"/>
              <w:ind w:firstLine="420"/>
              <w:rPr>
                <w:rFonts w:eastAsiaTheme="minorEastAsia" w:cs="Times New Roman"/>
                <w:szCs w:val="21"/>
              </w:rPr>
            </w:pPr>
            <w:r w:rsidRPr="00530A11">
              <w:rPr>
                <w:rFonts w:eastAsiaTheme="minorEastAsia" w:cs="Times New Roman" w:hint="eastAsia"/>
                <w:szCs w:val="21"/>
              </w:rPr>
              <w:t>重要类建筑常用房间或场所在照明功率密度满足《建筑照明设计标准》</w:t>
            </w:r>
            <w:r w:rsidRPr="00530A11">
              <w:rPr>
                <w:rFonts w:eastAsiaTheme="minorEastAsia" w:cs="Times New Roman"/>
                <w:szCs w:val="21"/>
              </w:rPr>
              <w:t>GB 50034</w:t>
            </w:r>
            <w:r w:rsidRPr="00530A11">
              <w:rPr>
                <w:rFonts w:eastAsiaTheme="minorEastAsia" w:cs="Times New Roman" w:hint="eastAsia"/>
                <w:szCs w:val="21"/>
              </w:rPr>
              <w:t>的基础上，一般显色指数</w:t>
            </w:r>
            <w:r w:rsidRPr="00530A11">
              <w:rPr>
                <w:rFonts w:eastAsiaTheme="minorEastAsia" w:cs="Times New Roman"/>
                <w:szCs w:val="21"/>
              </w:rPr>
              <w:t>R</w:t>
            </w:r>
            <w:r w:rsidRPr="00530A11">
              <w:rPr>
                <w:rFonts w:eastAsiaTheme="minorEastAsia" w:cs="Times New Roman"/>
                <w:szCs w:val="21"/>
                <w:vertAlign w:val="subscript"/>
              </w:rPr>
              <w:t>a</w:t>
            </w:r>
            <w:r w:rsidRPr="00530A11">
              <w:rPr>
                <w:rFonts w:eastAsiaTheme="minorEastAsia" w:cs="Times New Roman" w:hint="eastAsia"/>
                <w:szCs w:val="21"/>
              </w:rPr>
              <w:t>不提升，照度标准值按</w:t>
            </w:r>
            <w:r w:rsidRPr="00530A11">
              <w:rPr>
                <w:rFonts w:eastAsiaTheme="minorEastAsia" w:cs="Times New Roman"/>
                <w:szCs w:val="21"/>
              </w:rPr>
              <w:t>GB50034-4.1.1</w:t>
            </w:r>
            <w:r w:rsidRPr="00530A11">
              <w:rPr>
                <w:rFonts w:eastAsiaTheme="minorEastAsia" w:cs="Times New Roman" w:hint="eastAsia"/>
                <w:szCs w:val="21"/>
              </w:rPr>
              <w:t>条分级提高一级。</w:t>
            </w:r>
          </w:p>
          <w:p w14:paraId="65DADD01" w14:textId="77777777" w:rsidR="002C09A7" w:rsidRPr="00530A11" w:rsidRDefault="002C09A7" w:rsidP="00C060F4">
            <w:pPr>
              <w:spacing w:line="240" w:lineRule="auto"/>
              <w:ind w:firstLine="420"/>
              <w:rPr>
                <w:rFonts w:eastAsiaTheme="minorEastAsia" w:cs="Times New Roman"/>
                <w:szCs w:val="21"/>
              </w:rPr>
            </w:pPr>
            <w:r w:rsidRPr="00530A11">
              <w:rPr>
                <w:rFonts w:eastAsiaTheme="minorEastAsia" w:cs="Times New Roman" w:hint="eastAsia"/>
                <w:szCs w:val="21"/>
              </w:rPr>
              <w:t>特殊类建筑常用房间或场所在照明功率密度满足《建筑照明设计标准》</w:t>
            </w:r>
            <w:r w:rsidRPr="00530A11">
              <w:rPr>
                <w:rFonts w:eastAsiaTheme="minorEastAsia" w:cs="Times New Roman"/>
                <w:szCs w:val="21"/>
              </w:rPr>
              <w:t>GB 50034</w:t>
            </w:r>
            <w:r w:rsidRPr="00530A11">
              <w:rPr>
                <w:rFonts w:eastAsiaTheme="minorEastAsia" w:cs="Times New Roman" w:hint="eastAsia"/>
                <w:szCs w:val="21"/>
              </w:rPr>
              <w:t>的基础上，一般显色指数</w:t>
            </w:r>
            <w:r w:rsidRPr="00530A11">
              <w:rPr>
                <w:rFonts w:eastAsiaTheme="minorEastAsia" w:cs="Times New Roman"/>
                <w:szCs w:val="21"/>
              </w:rPr>
              <w:t>R</w:t>
            </w:r>
            <w:r w:rsidRPr="00530A11">
              <w:rPr>
                <w:rFonts w:eastAsiaTheme="minorEastAsia" w:cs="Times New Roman"/>
                <w:szCs w:val="21"/>
                <w:vertAlign w:val="subscript"/>
              </w:rPr>
              <w:t>a</w:t>
            </w:r>
            <w:r w:rsidRPr="00530A11">
              <w:rPr>
                <w:rFonts w:eastAsiaTheme="minorEastAsia" w:cs="Times New Roman" w:hint="eastAsia"/>
                <w:szCs w:val="21"/>
              </w:rPr>
              <w:t>不提升，特殊显色指数</w:t>
            </w:r>
            <w:r w:rsidRPr="00530A11">
              <w:rPr>
                <w:rFonts w:eastAsiaTheme="minorEastAsia" w:cs="Times New Roman"/>
                <w:szCs w:val="21"/>
              </w:rPr>
              <w:t>R</w:t>
            </w:r>
            <w:r w:rsidRPr="00530A11">
              <w:rPr>
                <w:rFonts w:eastAsiaTheme="minorEastAsia" w:cs="Times New Roman"/>
                <w:szCs w:val="21"/>
                <w:vertAlign w:val="subscript"/>
              </w:rPr>
              <w:t>9</w:t>
            </w:r>
            <w:r w:rsidRPr="00530A11">
              <w:rPr>
                <w:rFonts w:eastAsiaTheme="minorEastAsia" w:cs="Times New Roman" w:hint="eastAsia"/>
                <w:szCs w:val="21"/>
              </w:rPr>
              <w:t>大于</w:t>
            </w:r>
            <w:r w:rsidRPr="00530A11">
              <w:rPr>
                <w:rFonts w:eastAsiaTheme="minorEastAsia" w:cs="Times New Roman"/>
                <w:szCs w:val="21"/>
              </w:rPr>
              <w:t>50</w:t>
            </w:r>
            <w:r w:rsidRPr="00530A11">
              <w:rPr>
                <w:rFonts w:eastAsiaTheme="minorEastAsia" w:cs="Times New Roman" w:hint="eastAsia"/>
                <w:szCs w:val="21"/>
              </w:rPr>
              <w:t>；无电视转播的体育建筑照度标准值按</w:t>
            </w:r>
            <w:r w:rsidRPr="00530A11">
              <w:rPr>
                <w:rFonts w:eastAsiaTheme="minorEastAsia" w:cs="Times New Roman"/>
                <w:szCs w:val="21"/>
              </w:rPr>
              <w:t>GB50034-4.1.1</w:t>
            </w:r>
            <w:r w:rsidRPr="00530A11">
              <w:rPr>
                <w:rFonts w:eastAsiaTheme="minorEastAsia" w:cs="Times New Roman" w:hint="eastAsia"/>
                <w:szCs w:val="21"/>
              </w:rPr>
              <w:t>条分级提高一级，眩光值降低</w:t>
            </w:r>
            <w:r w:rsidRPr="00530A11">
              <w:rPr>
                <w:rFonts w:eastAsiaTheme="minorEastAsia" w:cs="Times New Roman"/>
                <w:szCs w:val="21"/>
              </w:rPr>
              <w:t>4</w:t>
            </w:r>
            <w:r w:rsidRPr="00530A11">
              <w:rPr>
                <w:rFonts w:eastAsiaTheme="minorEastAsia" w:cs="Times New Roman" w:hint="eastAsia"/>
                <w:szCs w:val="21"/>
              </w:rPr>
              <w:t>；有电视转播的体育建筑照度标准值按</w:t>
            </w:r>
            <w:r w:rsidRPr="00530A11">
              <w:rPr>
                <w:rFonts w:eastAsiaTheme="minorEastAsia" w:cs="Times New Roman"/>
                <w:szCs w:val="21"/>
              </w:rPr>
              <w:t>GB50034-4.1.1</w:t>
            </w:r>
            <w:r w:rsidRPr="00530A11">
              <w:rPr>
                <w:rFonts w:eastAsiaTheme="minorEastAsia" w:cs="Times New Roman" w:hint="eastAsia"/>
                <w:szCs w:val="21"/>
              </w:rPr>
              <w:t>条分级提高一级，眩光值降低</w:t>
            </w:r>
            <w:r w:rsidRPr="00530A11">
              <w:rPr>
                <w:rFonts w:eastAsiaTheme="minorEastAsia" w:cs="Times New Roman"/>
                <w:szCs w:val="21"/>
              </w:rPr>
              <w:t>8</w:t>
            </w:r>
            <w:r w:rsidRPr="00530A11">
              <w:rPr>
                <w:rFonts w:eastAsiaTheme="minorEastAsia" w:cs="Times New Roman" w:hint="eastAsia"/>
                <w:szCs w:val="21"/>
              </w:rPr>
              <w:t>；教育建筑照度标准值按</w:t>
            </w:r>
            <w:r w:rsidRPr="00530A11">
              <w:rPr>
                <w:rFonts w:eastAsiaTheme="minorEastAsia" w:cs="Times New Roman"/>
                <w:szCs w:val="21"/>
              </w:rPr>
              <w:t>GB50034-4.1.1</w:t>
            </w:r>
            <w:r w:rsidRPr="00530A11">
              <w:rPr>
                <w:rFonts w:eastAsiaTheme="minorEastAsia" w:cs="Times New Roman" w:hint="eastAsia"/>
                <w:szCs w:val="21"/>
              </w:rPr>
              <w:t>条分级提高一级，统一眩光值降低</w:t>
            </w:r>
            <w:r w:rsidRPr="00530A11">
              <w:rPr>
                <w:rFonts w:eastAsiaTheme="minorEastAsia" w:cs="Times New Roman"/>
                <w:szCs w:val="21"/>
              </w:rPr>
              <w:t>6</w:t>
            </w:r>
            <w:r w:rsidRPr="00530A11">
              <w:rPr>
                <w:rFonts w:eastAsiaTheme="minorEastAsia" w:cs="Times New Roman" w:hint="eastAsia"/>
                <w:szCs w:val="21"/>
              </w:rPr>
              <w:t>，一般照明照度均匀度提升</w:t>
            </w:r>
            <w:r w:rsidRPr="00530A11">
              <w:rPr>
                <w:rFonts w:eastAsiaTheme="minorEastAsia" w:cs="Times New Roman"/>
                <w:szCs w:val="21"/>
              </w:rPr>
              <w:t>0.20</w:t>
            </w:r>
            <w:r w:rsidRPr="00530A11">
              <w:rPr>
                <w:rFonts w:eastAsiaTheme="minorEastAsia" w:cs="Times New Roman" w:hint="eastAsia"/>
                <w:szCs w:val="21"/>
              </w:rPr>
              <w:t>。</w:t>
            </w:r>
          </w:p>
          <w:p w14:paraId="185D4D1A" w14:textId="77777777" w:rsidR="002C09A7" w:rsidRPr="00530A11" w:rsidRDefault="002C09A7" w:rsidP="00C060F4">
            <w:pPr>
              <w:spacing w:beforeLines="50" w:before="156" w:line="240" w:lineRule="auto"/>
              <w:ind w:firstLineChars="0" w:firstLine="0"/>
              <w:jc w:val="center"/>
              <w:rPr>
                <w:rFonts w:eastAsiaTheme="minorEastAsia" w:cs="Times New Roman"/>
                <w:szCs w:val="21"/>
              </w:rPr>
            </w:pPr>
            <w:r w:rsidRPr="00530A11">
              <w:rPr>
                <w:rFonts w:eastAsiaTheme="minorEastAsia" w:cs="Times New Roman" w:hint="eastAsia"/>
                <w:szCs w:val="21"/>
              </w:rPr>
              <w:t>一般类建筑、重要类建筑中除有特殊照度需求的房间或场所</w:t>
            </w:r>
            <w:r w:rsidRPr="00530A11">
              <w:rPr>
                <w:rFonts w:eastAsiaTheme="minorEastAsia" w:cs="Times New Roman"/>
                <w:szCs w:val="21"/>
                <w:vertAlign w:val="superscript"/>
              </w:rPr>
              <w:t>2</w:t>
            </w:r>
            <w:r w:rsidRPr="00530A11">
              <w:rPr>
                <w:rFonts w:eastAsiaTheme="minorEastAsia" w:cs="Times New Roman" w:hint="eastAsia"/>
                <w:szCs w:val="21"/>
              </w:rPr>
              <w:t>，从绿色节能的角度考虑照度应限制在</w:t>
            </w:r>
            <w:r w:rsidRPr="00530A11">
              <w:rPr>
                <w:rFonts w:eastAsiaTheme="minorEastAsia" w:cs="Times New Roman"/>
                <w:szCs w:val="21"/>
              </w:rPr>
              <w:t>750lx</w:t>
            </w:r>
            <w:r w:rsidRPr="00530A11">
              <w:rPr>
                <w:rFonts w:eastAsiaTheme="minorEastAsia" w:cs="Times New Roman" w:hint="eastAsia"/>
                <w:szCs w:val="21"/>
              </w:rPr>
              <w:t>以下，有特殊照度需求的房间或场所和特殊类建筑在三星级基础上根据需求进行合理设定。</w:t>
            </w:r>
          </w:p>
        </w:tc>
      </w:tr>
    </w:tbl>
    <w:p w14:paraId="5E37ED04" w14:textId="77777777" w:rsidR="002C09A7" w:rsidRPr="00530A11" w:rsidRDefault="002C09A7" w:rsidP="002C09A7">
      <w:pPr>
        <w:spacing w:line="400" w:lineRule="exact"/>
        <w:ind w:firstLineChars="0" w:firstLine="0"/>
        <w:jc w:val="left"/>
        <w:rPr>
          <w:rFonts w:eastAsiaTheme="minorEastAsia" w:cs="Times New Roman"/>
          <w:sz w:val="18"/>
          <w:szCs w:val="18"/>
        </w:rPr>
      </w:pPr>
      <w:r w:rsidRPr="00530A11">
        <w:rPr>
          <w:rFonts w:eastAsiaTheme="minorEastAsia" w:cs="Times New Roman" w:hint="eastAsia"/>
          <w:sz w:val="18"/>
          <w:szCs w:val="18"/>
        </w:rPr>
        <w:t>注：</w:t>
      </w:r>
      <w:r w:rsidRPr="00530A11">
        <w:rPr>
          <w:rFonts w:eastAsiaTheme="minorEastAsia" w:cs="Times New Roman"/>
          <w:sz w:val="18"/>
          <w:szCs w:val="18"/>
        </w:rPr>
        <w:t>1</w:t>
      </w:r>
      <w:r w:rsidRPr="00530A11">
        <w:rPr>
          <w:rFonts w:eastAsiaTheme="minorEastAsia" w:cs="Times New Roman" w:hint="eastAsia"/>
          <w:sz w:val="18"/>
          <w:szCs w:val="18"/>
        </w:rPr>
        <w:t>、根据视看功能重要性及有无特殊需求，将建筑光环境划分为以下三大类：</w:t>
      </w:r>
    </w:p>
    <w:p w14:paraId="228C9429" w14:textId="77777777" w:rsidR="002C09A7" w:rsidRPr="00530A11" w:rsidRDefault="002C09A7" w:rsidP="002C09A7">
      <w:pPr>
        <w:spacing w:line="400" w:lineRule="exact"/>
        <w:ind w:firstLine="360"/>
        <w:jc w:val="left"/>
        <w:rPr>
          <w:rFonts w:eastAsiaTheme="minorEastAsia" w:cs="Times New Roman"/>
          <w:sz w:val="18"/>
          <w:szCs w:val="18"/>
        </w:rPr>
      </w:pPr>
      <w:r w:rsidRPr="00530A11">
        <w:rPr>
          <w:rFonts w:ascii="宋体" w:hAnsi="宋体" w:cs="宋体" w:hint="eastAsia"/>
          <w:sz w:val="18"/>
          <w:szCs w:val="18"/>
        </w:rPr>
        <w:t>①</w:t>
      </w:r>
      <w:r w:rsidRPr="00530A11">
        <w:rPr>
          <w:rFonts w:eastAsiaTheme="minorEastAsia" w:cs="Times New Roman" w:hint="eastAsia"/>
          <w:sz w:val="18"/>
          <w:szCs w:val="18"/>
        </w:rPr>
        <w:t>一般类建筑：包括观演建筑、交通建筑、商店建筑、旅馆建筑、科技馆建筑、会展建筑、金融建筑、博物馆建筑（除陈列室外）；</w:t>
      </w:r>
    </w:p>
    <w:p w14:paraId="061CBD58" w14:textId="77777777" w:rsidR="002C09A7" w:rsidRPr="00530A11" w:rsidRDefault="002C09A7" w:rsidP="002C09A7">
      <w:pPr>
        <w:spacing w:line="400" w:lineRule="exact"/>
        <w:ind w:firstLine="360"/>
        <w:jc w:val="left"/>
        <w:rPr>
          <w:rFonts w:eastAsiaTheme="minorEastAsia" w:cs="Times New Roman"/>
          <w:sz w:val="18"/>
          <w:szCs w:val="18"/>
        </w:rPr>
      </w:pPr>
      <w:r w:rsidRPr="00530A11">
        <w:rPr>
          <w:rFonts w:ascii="宋体" w:hAnsi="宋体" w:cs="宋体" w:hint="eastAsia"/>
          <w:sz w:val="18"/>
          <w:szCs w:val="18"/>
        </w:rPr>
        <w:t>②</w:t>
      </w:r>
      <w:r w:rsidRPr="00530A11">
        <w:rPr>
          <w:rFonts w:eastAsiaTheme="minorEastAsia" w:cs="Times New Roman"/>
          <w:sz w:val="18"/>
          <w:szCs w:val="18"/>
        </w:rPr>
        <w:t xml:space="preserve"> </w:t>
      </w:r>
      <w:r w:rsidRPr="00530A11">
        <w:rPr>
          <w:rFonts w:eastAsiaTheme="minorEastAsia" w:cs="Times New Roman" w:hint="eastAsia"/>
          <w:sz w:val="18"/>
          <w:szCs w:val="18"/>
        </w:rPr>
        <w:t>重要类建筑：包括图书馆建筑、办公建筑、医疗建筑、美术馆建筑；</w:t>
      </w:r>
    </w:p>
    <w:p w14:paraId="17988148" w14:textId="77777777" w:rsidR="002C09A7" w:rsidRPr="00530A11" w:rsidRDefault="002C09A7" w:rsidP="002C09A7">
      <w:pPr>
        <w:spacing w:line="400" w:lineRule="exact"/>
        <w:ind w:firstLine="360"/>
        <w:jc w:val="left"/>
        <w:rPr>
          <w:rFonts w:eastAsiaTheme="minorEastAsia" w:cs="Times New Roman"/>
          <w:sz w:val="18"/>
          <w:szCs w:val="18"/>
        </w:rPr>
      </w:pPr>
      <w:r w:rsidRPr="00530A11">
        <w:rPr>
          <w:rFonts w:ascii="宋体" w:hAnsi="宋体" w:cs="宋体" w:hint="eastAsia"/>
          <w:sz w:val="18"/>
          <w:szCs w:val="18"/>
        </w:rPr>
        <w:t>③</w:t>
      </w:r>
      <w:r w:rsidRPr="00530A11">
        <w:rPr>
          <w:rFonts w:eastAsiaTheme="minorEastAsia" w:cs="Times New Roman"/>
          <w:sz w:val="18"/>
          <w:szCs w:val="18"/>
        </w:rPr>
        <w:t xml:space="preserve"> </w:t>
      </w:r>
      <w:r w:rsidRPr="00530A11">
        <w:rPr>
          <w:rFonts w:eastAsiaTheme="minorEastAsia" w:cs="Times New Roman" w:hint="eastAsia"/>
          <w:sz w:val="18"/>
          <w:szCs w:val="18"/>
        </w:rPr>
        <w:t>特殊类建筑：博物馆建筑陈列室、教育建筑、无电视转播的体育建筑和有电视转播的体育建筑。</w:t>
      </w:r>
    </w:p>
    <w:p w14:paraId="50A4765B" w14:textId="77777777" w:rsidR="002C09A7" w:rsidRPr="00530A11" w:rsidRDefault="002C09A7" w:rsidP="002C09A7">
      <w:pPr>
        <w:pStyle w:val="ae"/>
        <w:ind w:firstLine="360"/>
        <w:jc w:val="left"/>
        <w:rPr>
          <w:rFonts w:eastAsiaTheme="minorEastAsia" w:cs="Times New Roman"/>
          <w:b w:val="0"/>
          <w:sz w:val="18"/>
          <w:szCs w:val="18"/>
        </w:rPr>
      </w:pPr>
      <w:r w:rsidRPr="00530A11">
        <w:rPr>
          <w:rFonts w:eastAsiaTheme="minorEastAsia" w:cs="Times New Roman"/>
          <w:b w:val="0"/>
          <w:sz w:val="18"/>
          <w:szCs w:val="18"/>
        </w:rPr>
        <w:t>2</w:t>
      </w:r>
      <w:r w:rsidRPr="00530A11">
        <w:rPr>
          <w:rFonts w:eastAsiaTheme="minorEastAsia" w:cs="Times New Roman" w:hint="eastAsia"/>
          <w:b w:val="0"/>
          <w:sz w:val="18"/>
          <w:szCs w:val="18"/>
        </w:rPr>
        <w:t>、一般类建筑、重要类建筑有特殊照度需求的房间或场所指：博物馆建筑中的美术制作室、保护修复室、文物复制室、标本制作室，商店建筑中高档商店营业厅、高档超市营业厅、收款台，旅馆建筑中厨房，</w:t>
      </w:r>
      <w:r w:rsidRPr="00530A11">
        <w:rPr>
          <w:rFonts w:eastAsiaTheme="minorEastAsia" w:cs="Times New Roman" w:hint="eastAsia"/>
          <w:b w:val="0"/>
          <w:sz w:val="18"/>
          <w:szCs w:val="18"/>
        </w:rPr>
        <w:lastRenderedPageBreak/>
        <w:t>交通建筑中收款台、海关护照检查，办公建筑中视频会议室，医疗建筑中化验室、手术室、药房等，美术馆中的藏画修理室等。</w:t>
      </w:r>
    </w:p>
    <w:p w14:paraId="505D5AAC" w14:textId="77777777" w:rsidR="002C09A7" w:rsidRPr="00530A11" w:rsidRDefault="002C09A7" w:rsidP="002C09A7">
      <w:pPr>
        <w:pStyle w:val="ae"/>
        <w:spacing w:line="240" w:lineRule="auto"/>
        <w:rPr>
          <w:rFonts w:cs="Times New Roman"/>
          <w:b w:val="0"/>
        </w:rPr>
      </w:pPr>
    </w:p>
    <w:p w14:paraId="286C5B9E"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5.2.11-4</w:t>
      </w:r>
      <w:r w:rsidRPr="00530A11">
        <w:rPr>
          <w:rFonts w:cs="Times New Roman"/>
          <w:b w:val="0"/>
        </w:rPr>
        <w:t>人工冷热源热环境等级判定</w:t>
      </w:r>
    </w:p>
    <w:tbl>
      <w:tblPr>
        <w:tblStyle w:val="41"/>
        <w:tblW w:w="8295" w:type="dxa"/>
        <w:jc w:val="center"/>
        <w:tblLayout w:type="fixed"/>
        <w:tblLook w:val="04A0" w:firstRow="1" w:lastRow="0" w:firstColumn="1" w:lastColumn="0" w:noHBand="0" w:noVBand="1"/>
      </w:tblPr>
      <w:tblGrid>
        <w:gridCol w:w="846"/>
        <w:gridCol w:w="1216"/>
        <w:gridCol w:w="1731"/>
        <w:gridCol w:w="1400"/>
        <w:gridCol w:w="1581"/>
        <w:gridCol w:w="1521"/>
      </w:tblGrid>
      <w:tr w:rsidR="002C09A7" w:rsidRPr="00530A11" w14:paraId="27AB3B38" w14:textId="77777777" w:rsidTr="00C060F4">
        <w:trPr>
          <w:trHeight w:val="454"/>
          <w:jc w:val="center"/>
        </w:trPr>
        <w:tc>
          <w:tcPr>
            <w:tcW w:w="847" w:type="dxa"/>
            <w:vMerge w:val="restart"/>
            <w:tcBorders>
              <w:top w:val="single" w:sz="4" w:space="0" w:color="auto"/>
              <w:left w:val="single" w:sz="4" w:space="0" w:color="auto"/>
              <w:bottom w:val="single" w:sz="4" w:space="0" w:color="auto"/>
              <w:right w:val="single" w:sz="4" w:space="0" w:color="auto"/>
            </w:tcBorders>
            <w:vAlign w:val="center"/>
            <w:hideMark/>
          </w:tcPr>
          <w:p w14:paraId="60037BC9" w14:textId="77777777" w:rsidR="002C09A7" w:rsidRPr="00530A11" w:rsidRDefault="002C09A7" w:rsidP="00C060F4">
            <w:pPr>
              <w:pStyle w:val="ae"/>
              <w:jc w:val="both"/>
              <w:rPr>
                <w:rFonts w:cs="Times New Roman"/>
                <w:b w:val="0"/>
              </w:rPr>
            </w:pPr>
            <w:r w:rsidRPr="00530A11">
              <w:rPr>
                <w:rFonts w:cs="Times New Roman" w:hint="eastAsia"/>
                <w:b w:val="0"/>
              </w:rPr>
              <w:t>等级</w:t>
            </w:r>
          </w:p>
        </w:tc>
        <w:tc>
          <w:tcPr>
            <w:tcW w:w="2947"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00B0C17D" w14:textId="77777777" w:rsidR="002C09A7" w:rsidRPr="00530A11" w:rsidRDefault="002C09A7" w:rsidP="00C060F4">
            <w:pPr>
              <w:pStyle w:val="ae"/>
              <w:ind w:firstLine="422"/>
              <w:rPr>
                <w:rFonts w:cs="Times New Roman"/>
                <w:b w:val="0"/>
              </w:rPr>
            </w:pPr>
            <w:r w:rsidRPr="00530A11">
              <w:rPr>
                <w:rFonts w:cs="Times New Roman" w:hint="eastAsia"/>
                <w:b w:val="0"/>
              </w:rPr>
              <w:t>整体评价指标（</w:t>
            </w:r>
            <w:r w:rsidRPr="00530A11">
              <w:rPr>
                <w:rFonts w:cs="Times New Roman"/>
                <w:b w:val="0"/>
              </w:rPr>
              <w:t>PMV</w:t>
            </w:r>
            <w:r w:rsidRPr="00530A11">
              <w:rPr>
                <w:rFonts w:cs="Times New Roman" w:hint="eastAsia"/>
                <w:b w:val="0"/>
              </w:rPr>
              <w:t>）</w:t>
            </w:r>
          </w:p>
        </w:tc>
        <w:tc>
          <w:tcPr>
            <w:tcW w:w="4502" w:type="dxa"/>
            <w:gridSpan w:val="3"/>
            <w:tcBorders>
              <w:top w:val="single" w:sz="4" w:space="0" w:color="auto"/>
              <w:left w:val="single" w:sz="4" w:space="0" w:color="auto"/>
              <w:bottom w:val="single" w:sz="4" w:space="0" w:color="auto"/>
              <w:right w:val="single" w:sz="4" w:space="0" w:color="auto"/>
            </w:tcBorders>
            <w:vAlign w:val="center"/>
            <w:hideMark/>
          </w:tcPr>
          <w:p w14:paraId="17FB885E" w14:textId="77777777" w:rsidR="002C09A7" w:rsidRPr="00530A11" w:rsidRDefault="002C09A7" w:rsidP="00C060F4">
            <w:pPr>
              <w:pStyle w:val="ae"/>
              <w:ind w:firstLine="422"/>
              <w:rPr>
                <w:rFonts w:cs="Times New Roman"/>
                <w:b w:val="0"/>
              </w:rPr>
            </w:pPr>
            <w:r w:rsidRPr="00530A11">
              <w:rPr>
                <w:rFonts w:cs="Times New Roman" w:hint="eastAsia"/>
                <w:b w:val="0"/>
              </w:rPr>
              <w:t>局部评价指标</w:t>
            </w:r>
          </w:p>
        </w:tc>
      </w:tr>
      <w:tr w:rsidR="002C09A7" w:rsidRPr="00530A11" w14:paraId="24A08B29" w14:textId="77777777" w:rsidTr="00C060F4">
        <w:trPr>
          <w:trHeight w:val="454"/>
          <w:jc w:val="center"/>
        </w:trPr>
        <w:tc>
          <w:tcPr>
            <w:tcW w:w="847" w:type="dxa"/>
            <w:vMerge/>
            <w:tcBorders>
              <w:top w:val="single" w:sz="4" w:space="0" w:color="auto"/>
              <w:left w:val="single" w:sz="4" w:space="0" w:color="auto"/>
              <w:bottom w:val="single" w:sz="4" w:space="0" w:color="auto"/>
              <w:right w:val="single" w:sz="4" w:space="0" w:color="auto"/>
            </w:tcBorders>
            <w:vAlign w:val="center"/>
            <w:hideMark/>
          </w:tcPr>
          <w:p w14:paraId="6F0B93BE" w14:textId="77777777" w:rsidR="002C09A7" w:rsidRPr="00530A11" w:rsidRDefault="002C09A7" w:rsidP="00C060F4">
            <w:pPr>
              <w:widowControl/>
              <w:spacing w:line="240" w:lineRule="auto"/>
              <w:ind w:firstLineChars="0" w:firstLine="0"/>
              <w:jc w:val="left"/>
              <w:rPr>
                <w:rFonts w:cs="Times New Roman"/>
              </w:rPr>
            </w:pPr>
          </w:p>
        </w:tc>
        <w:tc>
          <w:tcPr>
            <w:tcW w:w="4678" w:type="dxa"/>
            <w:gridSpan w:val="2"/>
            <w:vMerge/>
            <w:tcBorders>
              <w:top w:val="single" w:sz="4" w:space="0" w:color="auto"/>
              <w:left w:val="single" w:sz="4" w:space="0" w:color="auto"/>
              <w:bottom w:val="single" w:sz="4" w:space="0" w:color="auto"/>
              <w:right w:val="single" w:sz="4" w:space="0" w:color="auto"/>
            </w:tcBorders>
            <w:vAlign w:val="center"/>
            <w:hideMark/>
          </w:tcPr>
          <w:p w14:paraId="2A2FD1A7" w14:textId="77777777" w:rsidR="002C09A7" w:rsidRPr="00530A11" w:rsidRDefault="002C09A7" w:rsidP="00C060F4">
            <w:pPr>
              <w:widowControl/>
              <w:spacing w:line="240" w:lineRule="auto"/>
              <w:ind w:firstLineChars="0" w:firstLine="0"/>
              <w:jc w:val="left"/>
              <w:rPr>
                <w:rFonts w:cs="Times New Roman"/>
              </w:rPr>
            </w:pPr>
          </w:p>
        </w:tc>
        <w:tc>
          <w:tcPr>
            <w:tcW w:w="1400" w:type="dxa"/>
            <w:tcBorders>
              <w:top w:val="single" w:sz="4" w:space="0" w:color="auto"/>
              <w:left w:val="single" w:sz="4" w:space="0" w:color="auto"/>
              <w:bottom w:val="single" w:sz="4" w:space="0" w:color="auto"/>
              <w:right w:val="single" w:sz="4" w:space="0" w:color="auto"/>
            </w:tcBorders>
            <w:vAlign w:val="center"/>
            <w:hideMark/>
          </w:tcPr>
          <w:p w14:paraId="078ACC03" w14:textId="77777777" w:rsidR="002C09A7" w:rsidRPr="00530A11" w:rsidRDefault="002C09A7" w:rsidP="00C060F4">
            <w:pPr>
              <w:pStyle w:val="ae"/>
              <w:jc w:val="both"/>
              <w:rPr>
                <w:rFonts w:cs="Times New Roman"/>
                <w:b w:val="0"/>
              </w:rPr>
            </w:pPr>
            <w:r w:rsidRPr="00530A11">
              <w:rPr>
                <w:rFonts w:cs="Times New Roman" w:hint="eastAsia"/>
                <w:b w:val="0"/>
              </w:rPr>
              <w:t>冷吹风感（</w:t>
            </w:r>
            <w:r w:rsidRPr="00530A11">
              <w:rPr>
                <w:rFonts w:cs="Times New Roman"/>
                <w:b w:val="0"/>
              </w:rPr>
              <w:t>LPD</w:t>
            </w:r>
            <w:r w:rsidRPr="00530A11">
              <w:rPr>
                <w:rFonts w:cs="Times New Roman"/>
                <w:b w:val="0"/>
                <w:vertAlign w:val="subscript"/>
              </w:rPr>
              <w:t>1</w:t>
            </w:r>
            <w:r w:rsidRPr="00530A11">
              <w:rPr>
                <w:rFonts w:cs="Times New Roman" w:hint="eastAsia"/>
                <w:b w:val="0"/>
              </w:rPr>
              <w:t>）不满意度</w:t>
            </w:r>
          </w:p>
        </w:tc>
        <w:tc>
          <w:tcPr>
            <w:tcW w:w="1581" w:type="dxa"/>
            <w:tcBorders>
              <w:top w:val="single" w:sz="4" w:space="0" w:color="auto"/>
              <w:left w:val="single" w:sz="4" w:space="0" w:color="auto"/>
              <w:bottom w:val="single" w:sz="4" w:space="0" w:color="auto"/>
              <w:right w:val="single" w:sz="4" w:space="0" w:color="auto"/>
            </w:tcBorders>
            <w:vAlign w:val="center"/>
            <w:hideMark/>
          </w:tcPr>
          <w:p w14:paraId="72C1487B" w14:textId="77777777" w:rsidR="002C09A7" w:rsidRPr="00530A11" w:rsidRDefault="002C09A7" w:rsidP="00C060F4">
            <w:pPr>
              <w:pStyle w:val="ae"/>
              <w:jc w:val="both"/>
              <w:rPr>
                <w:rFonts w:cs="Times New Roman"/>
                <w:b w:val="0"/>
              </w:rPr>
            </w:pPr>
            <w:r w:rsidRPr="00530A11">
              <w:rPr>
                <w:rFonts w:cs="Times New Roman" w:hint="eastAsia"/>
                <w:b w:val="0"/>
              </w:rPr>
              <w:t>垂直空气温度差（</w:t>
            </w:r>
            <w:r w:rsidRPr="00530A11">
              <w:rPr>
                <w:rFonts w:cs="Times New Roman"/>
                <w:b w:val="0"/>
              </w:rPr>
              <w:t>LPD</w:t>
            </w:r>
            <w:r w:rsidRPr="00530A11">
              <w:rPr>
                <w:rFonts w:cs="Times New Roman"/>
                <w:b w:val="0"/>
                <w:vertAlign w:val="subscript"/>
              </w:rPr>
              <w:t>2</w:t>
            </w:r>
            <w:r w:rsidRPr="00530A11">
              <w:rPr>
                <w:rFonts w:cs="Times New Roman" w:hint="eastAsia"/>
                <w:b w:val="0"/>
              </w:rPr>
              <w:t>）不满意度</w:t>
            </w:r>
          </w:p>
        </w:tc>
        <w:tc>
          <w:tcPr>
            <w:tcW w:w="1521" w:type="dxa"/>
            <w:tcBorders>
              <w:top w:val="single" w:sz="4" w:space="0" w:color="auto"/>
              <w:left w:val="single" w:sz="4" w:space="0" w:color="auto"/>
              <w:bottom w:val="single" w:sz="4" w:space="0" w:color="auto"/>
              <w:right w:val="single" w:sz="4" w:space="0" w:color="auto"/>
            </w:tcBorders>
            <w:vAlign w:val="center"/>
            <w:hideMark/>
          </w:tcPr>
          <w:p w14:paraId="7C069C21" w14:textId="77777777" w:rsidR="002C09A7" w:rsidRPr="00530A11" w:rsidRDefault="002C09A7" w:rsidP="00C060F4">
            <w:pPr>
              <w:pStyle w:val="ae"/>
              <w:jc w:val="both"/>
              <w:rPr>
                <w:rFonts w:cs="Times New Roman"/>
                <w:b w:val="0"/>
              </w:rPr>
            </w:pPr>
            <w:r w:rsidRPr="00530A11">
              <w:rPr>
                <w:rFonts w:cs="Times New Roman" w:hint="eastAsia"/>
                <w:b w:val="0"/>
              </w:rPr>
              <w:t>地板表面温度（</w:t>
            </w:r>
            <w:r w:rsidRPr="00530A11">
              <w:rPr>
                <w:rFonts w:cs="Times New Roman"/>
                <w:b w:val="0"/>
              </w:rPr>
              <w:t>LPD</w:t>
            </w:r>
            <w:r w:rsidRPr="00530A11">
              <w:rPr>
                <w:rFonts w:cs="Times New Roman"/>
                <w:b w:val="0"/>
                <w:vertAlign w:val="subscript"/>
              </w:rPr>
              <w:t>3</w:t>
            </w:r>
            <w:r w:rsidRPr="00530A11">
              <w:rPr>
                <w:rFonts w:cs="Times New Roman" w:hint="eastAsia"/>
                <w:b w:val="0"/>
              </w:rPr>
              <w:t>）不满意度</w:t>
            </w:r>
          </w:p>
        </w:tc>
      </w:tr>
      <w:tr w:rsidR="002C09A7" w:rsidRPr="00530A11" w14:paraId="5EF5741C" w14:textId="77777777" w:rsidTr="00C060F4">
        <w:trPr>
          <w:trHeight w:val="454"/>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3E077066" w14:textId="77777777" w:rsidR="002C09A7" w:rsidRPr="00530A11" w:rsidRDefault="002C09A7" w:rsidP="00C060F4">
            <w:pPr>
              <w:pStyle w:val="ae"/>
              <w:jc w:val="both"/>
              <w:rPr>
                <w:rFonts w:cs="Times New Roman"/>
                <w:b w:val="0"/>
              </w:rPr>
            </w:pPr>
            <w:r w:rsidRPr="00530A11">
              <w:rPr>
                <w:rFonts w:cs="Times New Roman" w:hint="eastAsia"/>
                <w:b w:val="0"/>
              </w:rPr>
              <w:t>较高要求</w:t>
            </w:r>
          </w:p>
        </w:tc>
        <w:tc>
          <w:tcPr>
            <w:tcW w:w="1216" w:type="dxa"/>
            <w:tcBorders>
              <w:top w:val="single" w:sz="4" w:space="0" w:color="auto"/>
              <w:left w:val="single" w:sz="4" w:space="0" w:color="auto"/>
              <w:bottom w:val="single" w:sz="4" w:space="0" w:color="auto"/>
              <w:right w:val="single" w:sz="4" w:space="0" w:color="auto"/>
            </w:tcBorders>
            <w:vAlign w:val="center"/>
            <w:hideMark/>
          </w:tcPr>
          <w:p w14:paraId="3E6FBDFD" w14:textId="77777777" w:rsidR="002C09A7" w:rsidRPr="00530A11" w:rsidRDefault="002C09A7" w:rsidP="00C060F4">
            <w:pPr>
              <w:pStyle w:val="ae"/>
              <w:ind w:firstLine="422"/>
              <w:rPr>
                <w:rFonts w:cs="Times New Roman"/>
                <w:b w:val="0"/>
              </w:rPr>
            </w:pPr>
            <w:r w:rsidRPr="00530A11">
              <w:rPr>
                <w:rFonts w:cs="Times New Roman"/>
                <w:b w:val="0"/>
              </w:rPr>
              <w:t>10%</w:t>
            </w:r>
            <w:r w:rsidRPr="00530A11">
              <w:rPr>
                <w:rFonts w:cs="Times New Roman" w:hint="eastAsia"/>
                <w:b w:val="0"/>
              </w:rPr>
              <w:t>＜</w:t>
            </w:r>
            <w:r w:rsidRPr="00530A11">
              <w:rPr>
                <w:rFonts w:cs="Times New Roman" w:hint="eastAsia"/>
                <w:b w:val="0"/>
              </w:rPr>
              <w:t>PPD</w:t>
            </w:r>
            <w:r w:rsidRPr="00530A11">
              <w:rPr>
                <w:rFonts w:cs="Times New Roman" w:hint="eastAsia"/>
                <w:b w:val="0"/>
              </w:rPr>
              <w:t>≤</w:t>
            </w:r>
            <w:r w:rsidRPr="00530A11">
              <w:rPr>
                <w:rFonts w:cs="Times New Roman" w:hint="eastAsia"/>
                <w:b w:val="0"/>
              </w:rPr>
              <w:t>15%</w:t>
            </w:r>
          </w:p>
        </w:tc>
        <w:tc>
          <w:tcPr>
            <w:tcW w:w="1731" w:type="dxa"/>
            <w:tcBorders>
              <w:top w:val="single" w:sz="4" w:space="0" w:color="auto"/>
              <w:left w:val="single" w:sz="4" w:space="0" w:color="auto"/>
              <w:bottom w:val="single" w:sz="4" w:space="0" w:color="auto"/>
              <w:right w:val="single" w:sz="4" w:space="0" w:color="auto"/>
            </w:tcBorders>
            <w:vAlign w:val="center"/>
            <w:hideMark/>
          </w:tcPr>
          <w:p w14:paraId="5FD870F2" w14:textId="77777777" w:rsidR="002C09A7" w:rsidRPr="00530A11" w:rsidRDefault="002C09A7" w:rsidP="00C060F4">
            <w:pPr>
              <w:pStyle w:val="ae"/>
              <w:ind w:firstLine="422"/>
              <w:rPr>
                <w:rFonts w:cs="Times New Roman"/>
                <w:b w:val="0"/>
              </w:rPr>
            </w:pPr>
            <w:r w:rsidRPr="00530A11">
              <w:rPr>
                <w:rFonts w:cs="Times New Roman" w:hint="eastAsia"/>
                <w:b w:val="0"/>
              </w:rPr>
              <w:t>-0.7</w:t>
            </w:r>
            <w:r w:rsidRPr="00530A11">
              <w:rPr>
                <w:rFonts w:cs="Times New Roman" w:hint="eastAsia"/>
                <w:b w:val="0"/>
              </w:rPr>
              <w:t>≤</w:t>
            </w:r>
            <w:r w:rsidRPr="00530A11">
              <w:rPr>
                <w:rFonts w:cs="Times New Roman" w:hint="eastAsia"/>
                <w:b w:val="0"/>
              </w:rPr>
              <w:t>PMV</w:t>
            </w:r>
            <w:r w:rsidRPr="00530A11">
              <w:rPr>
                <w:rFonts w:cs="Times New Roman" w:hint="eastAsia"/>
                <w:b w:val="0"/>
              </w:rPr>
              <w:t>＜</w:t>
            </w:r>
            <w:r w:rsidRPr="00530A11">
              <w:rPr>
                <w:rFonts w:cs="Times New Roman"/>
                <w:b w:val="0"/>
              </w:rPr>
              <w:t>-0.5</w:t>
            </w:r>
            <w:r w:rsidRPr="00530A11">
              <w:rPr>
                <w:rFonts w:cs="Times New Roman" w:hint="eastAsia"/>
                <w:b w:val="0"/>
              </w:rPr>
              <w:t>或</w:t>
            </w:r>
            <w:r w:rsidRPr="00530A11">
              <w:rPr>
                <w:rFonts w:cs="Times New Roman"/>
                <w:b w:val="0"/>
              </w:rPr>
              <w:t>+0.5</w:t>
            </w:r>
            <w:r w:rsidRPr="00530A11">
              <w:rPr>
                <w:rFonts w:cs="Times New Roman" w:hint="eastAsia"/>
                <w:b w:val="0"/>
              </w:rPr>
              <w:t>＜</w:t>
            </w:r>
            <w:r w:rsidRPr="00530A11">
              <w:rPr>
                <w:rFonts w:cs="Times New Roman" w:hint="eastAsia"/>
                <w:b w:val="0"/>
              </w:rPr>
              <w:t>PMV</w:t>
            </w:r>
            <w:r w:rsidRPr="00530A11">
              <w:rPr>
                <w:rFonts w:cs="Times New Roman" w:hint="eastAsia"/>
                <w:b w:val="0"/>
              </w:rPr>
              <w:t>≤</w:t>
            </w:r>
            <w:r w:rsidRPr="00530A11">
              <w:rPr>
                <w:rFonts w:cs="Times New Roman" w:hint="eastAsia"/>
                <w:b w:val="0"/>
              </w:rPr>
              <w:t>0.7</w:t>
            </w:r>
          </w:p>
        </w:tc>
        <w:tc>
          <w:tcPr>
            <w:tcW w:w="1400" w:type="dxa"/>
            <w:tcBorders>
              <w:top w:val="single" w:sz="4" w:space="0" w:color="auto"/>
              <w:left w:val="single" w:sz="4" w:space="0" w:color="auto"/>
              <w:bottom w:val="single" w:sz="4" w:space="0" w:color="auto"/>
              <w:right w:val="single" w:sz="4" w:space="0" w:color="auto"/>
            </w:tcBorders>
            <w:vAlign w:val="center"/>
            <w:hideMark/>
          </w:tcPr>
          <w:p w14:paraId="0D71CC2F" w14:textId="77777777" w:rsidR="002C09A7" w:rsidRPr="00530A11" w:rsidRDefault="002C09A7" w:rsidP="00C060F4">
            <w:pPr>
              <w:pStyle w:val="ae"/>
              <w:ind w:firstLine="422"/>
              <w:rPr>
                <w:rFonts w:cs="Times New Roman"/>
                <w:b w:val="0"/>
              </w:rPr>
            </w:pPr>
            <w:r w:rsidRPr="00530A11">
              <w:rPr>
                <w:rFonts w:cs="Times New Roman" w:hint="eastAsia"/>
                <w:b w:val="0"/>
              </w:rPr>
              <w:t>20%</w:t>
            </w:r>
            <w:r w:rsidRPr="00530A11">
              <w:rPr>
                <w:rFonts w:cs="Times New Roman" w:hint="eastAsia"/>
                <w:b w:val="0"/>
              </w:rPr>
              <w:t>≤</w:t>
            </w:r>
            <w:r w:rsidRPr="00530A11">
              <w:rPr>
                <w:rFonts w:cs="Times New Roman" w:hint="eastAsia"/>
                <w:b w:val="0"/>
              </w:rPr>
              <w:t>LPD1</w:t>
            </w:r>
            <w:r w:rsidRPr="00530A11">
              <w:rPr>
                <w:rFonts w:cs="Times New Roman" w:hint="eastAsia"/>
                <w:b w:val="0"/>
              </w:rPr>
              <w:t>＜</w:t>
            </w:r>
            <w:r w:rsidRPr="00530A11">
              <w:rPr>
                <w:rFonts w:cs="Times New Roman"/>
                <w:b w:val="0"/>
              </w:rPr>
              <w:t>30%</w:t>
            </w:r>
          </w:p>
        </w:tc>
        <w:tc>
          <w:tcPr>
            <w:tcW w:w="1581" w:type="dxa"/>
            <w:tcBorders>
              <w:top w:val="single" w:sz="4" w:space="0" w:color="auto"/>
              <w:left w:val="single" w:sz="4" w:space="0" w:color="auto"/>
              <w:bottom w:val="single" w:sz="4" w:space="0" w:color="auto"/>
              <w:right w:val="single" w:sz="4" w:space="0" w:color="auto"/>
            </w:tcBorders>
            <w:vAlign w:val="center"/>
            <w:hideMark/>
          </w:tcPr>
          <w:p w14:paraId="61B2D980" w14:textId="77777777" w:rsidR="002C09A7" w:rsidRPr="00530A11" w:rsidRDefault="002C09A7" w:rsidP="00C060F4">
            <w:pPr>
              <w:pStyle w:val="ae"/>
              <w:ind w:firstLine="422"/>
              <w:rPr>
                <w:rFonts w:cs="Times New Roman"/>
                <w:b w:val="0"/>
              </w:rPr>
            </w:pPr>
            <w:r w:rsidRPr="00530A11">
              <w:rPr>
                <w:rFonts w:cs="Times New Roman" w:hint="eastAsia"/>
                <w:b w:val="0"/>
              </w:rPr>
              <w:t>10%</w:t>
            </w:r>
            <w:r w:rsidRPr="00530A11">
              <w:rPr>
                <w:rFonts w:cs="Times New Roman" w:hint="eastAsia"/>
                <w:b w:val="0"/>
              </w:rPr>
              <w:t>≤</w:t>
            </w:r>
            <w:r w:rsidRPr="00530A11">
              <w:rPr>
                <w:rFonts w:cs="Times New Roman" w:hint="eastAsia"/>
                <w:b w:val="0"/>
              </w:rPr>
              <w:t>LPD2</w:t>
            </w:r>
            <w:r w:rsidRPr="00530A11">
              <w:rPr>
                <w:rFonts w:cs="Times New Roman" w:hint="eastAsia"/>
                <w:b w:val="0"/>
              </w:rPr>
              <w:t>＜</w:t>
            </w:r>
            <w:r w:rsidRPr="00530A11">
              <w:rPr>
                <w:rFonts w:cs="Times New Roman"/>
                <w:b w:val="0"/>
              </w:rPr>
              <w:t>20%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254EE6B5" w14:textId="77777777" w:rsidR="002C09A7" w:rsidRPr="00530A11" w:rsidRDefault="002C09A7" w:rsidP="00C060F4">
            <w:pPr>
              <w:pStyle w:val="ae"/>
              <w:ind w:firstLine="422"/>
              <w:rPr>
                <w:rFonts w:cs="Times New Roman"/>
                <w:b w:val="0"/>
              </w:rPr>
            </w:pPr>
            <w:r w:rsidRPr="00530A11">
              <w:rPr>
                <w:rFonts w:cs="Times New Roman" w:hint="eastAsia"/>
                <w:b w:val="0"/>
              </w:rPr>
              <w:t>10%</w:t>
            </w:r>
            <w:r w:rsidRPr="00530A11">
              <w:rPr>
                <w:rFonts w:cs="Times New Roman" w:hint="eastAsia"/>
                <w:b w:val="0"/>
              </w:rPr>
              <w:t>≤</w:t>
            </w:r>
            <w:r w:rsidRPr="00530A11">
              <w:rPr>
                <w:rFonts w:cs="Times New Roman" w:hint="eastAsia"/>
                <w:b w:val="0"/>
              </w:rPr>
              <w:t>LPD2</w:t>
            </w:r>
            <w:r w:rsidRPr="00530A11">
              <w:rPr>
                <w:rFonts w:cs="Times New Roman" w:hint="eastAsia"/>
                <w:b w:val="0"/>
              </w:rPr>
              <w:t>＜</w:t>
            </w:r>
            <w:r w:rsidRPr="00530A11">
              <w:rPr>
                <w:rFonts w:cs="Times New Roman"/>
                <w:b w:val="0"/>
              </w:rPr>
              <w:t>15%</w:t>
            </w:r>
          </w:p>
        </w:tc>
      </w:tr>
      <w:tr w:rsidR="002C09A7" w:rsidRPr="00530A11" w14:paraId="510094DE" w14:textId="77777777" w:rsidTr="00C060F4">
        <w:trPr>
          <w:trHeight w:val="454"/>
          <w:jc w:val="center"/>
        </w:trPr>
        <w:tc>
          <w:tcPr>
            <w:tcW w:w="847" w:type="dxa"/>
            <w:tcBorders>
              <w:top w:val="single" w:sz="4" w:space="0" w:color="auto"/>
              <w:left w:val="single" w:sz="4" w:space="0" w:color="auto"/>
              <w:bottom w:val="single" w:sz="4" w:space="0" w:color="auto"/>
              <w:right w:val="single" w:sz="4" w:space="0" w:color="auto"/>
            </w:tcBorders>
            <w:vAlign w:val="center"/>
            <w:hideMark/>
          </w:tcPr>
          <w:p w14:paraId="09744585" w14:textId="77777777" w:rsidR="002C09A7" w:rsidRPr="00530A11" w:rsidRDefault="002C09A7" w:rsidP="00C060F4">
            <w:pPr>
              <w:pStyle w:val="ae"/>
              <w:jc w:val="both"/>
              <w:rPr>
                <w:rFonts w:cs="Times New Roman"/>
                <w:b w:val="0"/>
              </w:rPr>
            </w:pPr>
            <w:r w:rsidRPr="00530A11">
              <w:rPr>
                <w:rFonts w:cs="Times New Roman" w:hint="eastAsia"/>
                <w:b w:val="0"/>
                <w:kern w:val="0"/>
              </w:rPr>
              <w:t>更高要求</w:t>
            </w:r>
          </w:p>
        </w:tc>
        <w:tc>
          <w:tcPr>
            <w:tcW w:w="1216" w:type="dxa"/>
            <w:tcBorders>
              <w:top w:val="single" w:sz="4" w:space="0" w:color="auto"/>
              <w:left w:val="single" w:sz="4" w:space="0" w:color="auto"/>
              <w:bottom w:val="single" w:sz="4" w:space="0" w:color="auto"/>
              <w:right w:val="single" w:sz="4" w:space="0" w:color="auto"/>
            </w:tcBorders>
            <w:vAlign w:val="center"/>
            <w:hideMark/>
          </w:tcPr>
          <w:p w14:paraId="4C9BAFA5" w14:textId="77777777" w:rsidR="002C09A7" w:rsidRPr="00530A11" w:rsidRDefault="002C09A7" w:rsidP="00C060F4">
            <w:pPr>
              <w:pStyle w:val="ae"/>
              <w:ind w:firstLine="422"/>
              <w:rPr>
                <w:rFonts w:cs="Times New Roman"/>
                <w:b w:val="0"/>
              </w:rPr>
            </w:pPr>
            <w:r w:rsidRPr="00530A11">
              <w:rPr>
                <w:rFonts w:cs="Times New Roman" w:hint="eastAsia"/>
                <w:b w:val="0"/>
              </w:rPr>
              <w:t>PPD</w:t>
            </w:r>
            <w:r w:rsidRPr="00530A11">
              <w:rPr>
                <w:rFonts w:cs="Times New Roman" w:hint="eastAsia"/>
                <w:b w:val="0"/>
              </w:rPr>
              <w:t>≤</w:t>
            </w:r>
            <w:r w:rsidRPr="00530A11">
              <w:rPr>
                <w:rFonts w:cs="Times New Roman" w:hint="eastAsia"/>
                <w:b w:val="0"/>
              </w:rPr>
              <w:t>10%</w:t>
            </w:r>
          </w:p>
        </w:tc>
        <w:tc>
          <w:tcPr>
            <w:tcW w:w="1731" w:type="dxa"/>
            <w:tcBorders>
              <w:top w:val="single" w:sz="4" w:space="0" w:color="auto"/>
              <w:left w:val="single" w:sz="4" w:space="0" w:color="auto"/>
              <w:bottom w:val="single" w:sz="4" w:space="0" w:color="auto"/>
              <w:right w:val="single" w:sz="4" w:space="0" w:color="auto"/>
            </w:tcBorders>
            <w:vAlign w:val="center"/>
            <w:hideMark/>
          </w:tcPr>
          <w:p w14:paraId="0BAE2CDA" w14:textId="77777777" w:rsidR="002C09A7" w:rsidRPr="00530A11" w:rsidRDefault="002C09A7" w:rsidP="00C060F4">
            <w:pPr>
              <w:pStyle w:val="ae"/>
              <w:ind w:firstLine="422"/>
              <w:rPr>
                <w:rFonts w:cs="Times New Roman"/>
                <w:b w:val="0"/>
              </w:rPr>
            </w:pPr>
            <w:r w:rsidRPr="00530A11">
              <w:rPr>
                <w:rFonts w:cs="Times New Roman" w:hint="eastAsia"/>
                <w:b w:val="0"/>
              </w:rPr>
              <w:t>-0.5</w:t>
            </w:r>
            <w:r w:rsidRPr="00530A11">
              <w:rPr>
                <w:rFonts w:cs="Times New Roman" w:hint="eastAsia"/>
                <w:b w:val="0"/>
              </w:rPr>
              <w:t>≤</w:t>
            </w:r>
            <w:r w:rsidRPr="00530A11">
              <w:rPr>
                <w:rFonts w:cs="Times New Roman" w:hint="eastAsia"/>
                <w:b w:val="0"/>
              </w:rPr>
              <w:t>PMV</w:t>
            </w:r>
            <w:r w:rsidRPr="00530A11">
              <w:rPr>
                <w:rFonts w:cs="Times New Roman" w:hint="eastAsia"/>
                <w:b w:val="0"/>
              </w:rPr>
              <w:t>≤</w:t>
            </w:r>
            <w:r w:rsidRPr="00530A11">
              <w:rPr>
                <w:rFonts w:cs="Times New Roman" w:hint="eastAsia"/>
                <w:b w:val="0"/>
              </w:rPr>
              <w:t>+0.5</w:t>
            </w:r>
          </w:p>
        </w:tc>
        <w:tc>
          <w:tcPr>
            <w:tcW w:w="1400" w:type="dxa"/>
            <w:tcBorders>
              <w:top w:val="single" w:sz="4" w:space="0" w:color="auto"/>
              <w:left w:val="single" w:sz="4" w:space="0" w:color="auto"/>
              <w:bottom w:val="single" w:sz="4" w:space="0" w:color="auto"/>
              <w:right w:val="single" w:sz="4" w:space="0" w:color="auto"/>
            </w:tcBorders>
            <w:vAlign w:val="center"/>
            <w:hideMark/>
          </w:tcPr>
          <w:p w14:paraId="33FB6DDB" w14:textId="77777777" w:rsidR="002C09A7" w:rsidRPr="00530A11" w:rsidRDefault="002C09A7" w:rsidP="00C060F4">
            <w:pPr>
              <w:pStyle w:val="ae"/>
              <w:ind w:firstLine="422"/>
              <w:rPr>
                <w:rFonts w:cs="Times New Roman"/>
                <w:b w:val="0"/>
              </w:rPr>
            </w:pPr>
            <w:r w:rsidRPr="00530A11">
              <w:rPr>
                <w:rFonts w:cs="Times New Roman"/>
                <w:b w:val="0"/>
              </w:rPr>
              <w:t>LPD1</w:t>
            </w:r>
            <w:r w:rsidRPr="00530A11">
              <w:rPr>
                <w:rFonts w:cs="Times New Roman" w:hint="eastAsia"/>
                <w:b w:val="0"/>
              </w:rPr>
              <w:t>＜</w:t>
            </w:r>
            <w:r w:rsidRPr="00530A11">
              <w:rPr>
                <w:rFonts w:cs="Times New Roman"/>
                <w:b w:val="0"/>
              </w:rPr>
              <w:t>20%</w:t>
            </w:r>
          </w:p>
        </w:tc>
        <w:tc>
          <w:tcPr>
            <w:tcW w:w="1581" w:type="dxa"/>
            <w:tcBorders>
              <w:top w:val="single" w:sz="4" w:space="0" w:color="auto"/>
              <w:left w:val="single" w:sz="4" w:space="0" w:color="auto"/>
              <w:bottom w:val="single" w:sz="4" w:space="0" w:color="auto"/>
              <w:right w:val="single" w:sz="4" w:space="0" w:color="auto"/>
            </w:tcBorders>
            <w:vAlign w:val="center"/>
            <w:hideMark/>
          </w:tcPr>
          <w:p w14:paraId="4FB2290C" w14:textId="77777777" w:rsidR="002C09A7" w:rsidRPr="00530A11" w:rsidRDefault="002C09A7" w:rsidP="00C060F4">
            <w:pPr>
              <w:pStyle w:val="ae"/>
              <w:ind w:firstLine="422"/>
              <w:rPr>
                <w:rFonts w:cs="Times New Roman"/>
                <w:b w:val="0"/>
              </w:rPr>
            </w:pPr>
            <w:r w:rsidRPr="00530A11">
              <w:rPr>
                <w:rFonts w:cs="Times New Roman"/>
                <w:b w:val="0"/>
              </w:rPr>
              <w:t>LPD2</w:t>
            </w:r>
            <w:r w:rsidRPr="00530A11">
              <w:rPr>
                <w:rFonts w:cs="Times New Roman" w:hint="eastAsia"/>
                <w:b w:val="0"/>
              </w:rPr>
              <w:t>＜</w:t>
            </w:r>
            <w:r w:rsidRPr="00530A11">
              <w:rPr>
                <w:rFonts w:cs="Times New Roman"/>
                <w:b w:val="0"/>
              </w:rPr>
              <w:t>10%</w:t>
            </w:r>
          </w:p>
        </w:tc>
        <w:tc>
          <w:tcPr>
            <w:tcW w:w="1521" w:type="dxa"/>
            <w:tcBorders>
              <w:top w:val="single" w:sz="4" w:space="0" w:color="auto"/>
              <w:left w:val="single" w:sz="4" w:space="0" w:color="auto"/>
              <w:bottom w:val="single" w:sz="4" w:space="0" w:color="auto"/>
              <w:right w:val="single" w:sz="4" w:space="0" w:color="auto"/>
            </w:tcBorders>
            <w:vAlign w:val="center"/>
            <w:hideMark/>
          </w:tcPr>
          <w:p w14:paraId="00DD9DEF" w14:textId="77777777" w:rsidR="002C09A7" w:rsidRPr="00530A11" w:rsidRDefault="002C09A7" w:rsidP="00C060F4">
            <w:pPr>
              <w:pStyle w:val="ae"/>
              <w:ind w:firstLine="422"/>
              <w:rPr>
                <w:rFonts w:cs="Times New Roman"/>
                <w:b w:val="0"/>
              </w:rPr>
            </w:pPr>
            <w:r w:rsidRPr="00530A11">
              <w:rPr>
                <w:rFonts w:cs="Times New Roman"/>
                <w:b w:val="0"/>
              </w:rPr>
              <w:t>LPD3</w:t>
            </w:r>
            <w:r w:rsidRPr="00530A11">
              <w:rPr>
                <w:rFonts w:cs="Times New Roman" w:hint="eastAsia"/>
                <w:b w:val="0"/>
              </w:rPr>
              <w:t>＜</w:t>
            </w:r>
            <w:r w:rsidRPr="00530A11">
              <w:rPr>
                <w:rFonts w:cs="Times New Roman"/>
                <w:b w:val="0"/>
              </w:rPr>
              <w:t>10%</w:t>
            </w:r>
          </w:p>
        </w:tc>
      </w:tr>
    </w:tbl>
    <w:p w14:paraId="1E5BE796" w14:textId="77777777" w:rsidR="002C09A7" w:rsidRPr="001E1164" w:rsidRDefault="002C09A7" w:rsidP="002C09A7">
      <w:pPr>
        <w:pStyle w:val="ae"/>
        <w:jc w:val="left"/>
        <w:rPr>
          <w:rFonts w:cs="Times New Roman"/>
          <w:b w:val="0"/>
        </w:rPr>
      </w:pPr>
      <w:r w:rsidRPr="001E1164">
        <w:rPr>
          <w:rFonts w:cs="Times New Roman" w:hint="eastAsia"/>
          <w:b w:val="0"/>
        </w:rPr>
        <w:t>表中：预计平均热感觉指标（</w:t>
      </w:r>
      <w:r w:rsidRPr="001E1164">
        <w:rPr>
          <w:rFonts w:cs="Times New Roman"/>
          <w:b w:val="0"/>
        </w:rPr>
        <w:t>PMV</w:t>
      </w:r>
      <w:r w:rsidRPr="001E1164">
        <w:rPr>
          <w:rFonts w:cs="Times New Roman" w:hint="eastAsia"/>
          <w:b w:val="0"/>
        </w:rPr>
        <w:t>）和预计不满意者的百分数（</w:t>
      </w:r>
      <w:r w:rsidRPr="001E1164">
        <w:rPr>
          <w:rFonts w:cs="Times New Roman"/>
          <w:b w:val="0"/>
        </w:rPr>
        <w:t>PPD</w:t>
      </w:r>
      <w:r w:rsidRPr="001E1164">
        <w:rPr>
          <w:rFonts w:cs="Times New Roman" w:hint="eastAsia"/>
          <w:b w:val="0"/>
        </w:rPr>
        <w:t>），其计算按国家标准《民用建筑室内热湿环境评价标准》</w:t>
      </w:r>
      <w:r w:rsidRPr="001E1164">
        <w:rPr>
          <w:rFonts w:cs="Times New Roman"/>
          <w:b w:val="0"/>
        </w:rPr>
        <w:t>GB/T 50785</w:t>
      </w:r>
      <w:r w:rsidRPr="001E1164">
        <w:rPr>
          <w:rFonts w:cs="Times New Roman" w:hint="eastAsia"/>
          <w:b w:val="0"/>
        </w:rPr>
        <w:t>附录的规定执行。</w:t>
      </w:r>
    </w:p>
    <w:p w14:paraId="46D029C0"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5.2.11-5</w:t>
      </w:r>
      <w:r w:rsidRPr="00530A11">
        <w:rPr>
          <w:rFonts w:cs="Times New Roman"/>
          <w:b w:val="0"/>
        </w:rPr>
        <w:t>非人工冷热源热环境等级判定</w:t>
      </w:r>
    </w:p>
    <w:tbl>
      <w:tblPr>
        <w:tblStyle w:val="11"/>
        <w:tblW w:w="8296" w:type="dxa"/>
        <w:tblLayout w:type="fixed"/>
        <w:tblLook w:val="04A0" w:firstRow="1" w:lastRow="0" w:firstColumn="1" w:lastColumn="0" w:noHBand="0" w:noVBand="1"/>
      </w:tblPr>
      <w:tblGrid>
        <w:gridCol w:w="2972"/>
        <w:gridCol w:w="5324"/>
      </w:tblGrid>
      <w:tr w:rsidR="002C09A7" w:rsidRPr="00530A11" w14:paraId="62EDA5DD" w14:textId="77777777" w:rsidTr="00C060F4">
        <w:trPr>
          <w:trHeight w:val="454"/>
        </w:trPr>
        <w:tc>
          <w:tcPr>
            <w:tcW w:w="2972" w:type="dxa"/>
            <w:vAlign w:val="center"/>
          </w:tcPr>
          <w:p w14:paraId="3ADE96CC" w14:textId="77777777" w:rsidR="002C09A7" w:rsidRPr="00530A11" w:rsidRDefault="002C09A7" w:rsidP="00C060F4">
            <w:pPr>
              <w:pStyle w:val="ae"/>
              <w:rPr>
                <w:rFonts w:cs="Times New Roman"/>
                <w:b w:val="0"/>
              </w:rPr>
            </w:pPr>
            <w:r w:rsidRPr="00530A11">
              <w:rPr>
                <w:rFonts w:cs="Times New Roman" w:hint="eastAsia"/>
                <w:b w:val="0"/>
              </w:rPr>
              <w:t>等级</w:t>
            </w:r>
          </w:p>
        </w:tc>
        <w:tc>
          <w:tcPr>
            <w:tcW w:w="5324" w:type="dxa"/>
            <w:vAlign w:val="center"/>
          </w:tcPr>
          <w:p w14:paraId="084BE71B" w14:textId="77777777" w:rsidR="002C09A7" w:rsidRPr="00530A11" w:rsidRDefault="002C09A7" w:rsidP="00C060F4">
            <w:pPr>
              <w:pStyle w:val="ae"/>
              <w:rPr>
                <w:rFonts w:cs="Times New Roman"/>
                <w:b w:val="0"/>
              </w:rPr>
            </w:pPr>
            <w:r w:rsidRPr="00530A11">
              <w:rPr>
                <w:rFonts w:cs="Times New Roman" w:hint="eastAsia"/>
                <w:b w:val="0"/>
              </w:rPr>
              <w:t>指标（</w:t>
            </w:r>
            <w:r w:rsidRPr="00530A11">
              <w:rPr>
                <w:rFonts w:cs="Times New Roman"/>
                <w:b w:val="0"/>
              </w:rPr>
              <w:t>APMV</w:t>
            </w:r>
            <w:r w:rsidRPr="00530A11">
              <w:rPr>
                <w:rFonts w:cs="Times New Roman" w:hint="eastAsia"/>
                <w:b w:val="0"/>
              </w:rPr>
              <w:t>）</w:t>
            </w:r>
          </w:p>
        </w:tc>
      </w:tr>
      <w:tr w:rsidR="002C09A7" w:rsidRPr="00530A11" w14:paraId="756F1B0F" w14:textId="77777777" w:rsidTr="00C060F4">
        <w:trPr>
          <w:trHeight w:val="454"/>
        </w:trPr>
        <w:tc>
          <w:tcPr>
            <w:tcW w:w="2972" w:type="dxa"/>
            <w:vAlign w:val="center"/>
          </w:tcPr>
          <w:p w14:paraId="5200EBD2" w14:textId="77777777" w:rsidR="002C09A7" w:rsidRPr="00530A11" w:rsidRDefault="002C09A7" w:rsidP="00C060F4">
            <w:pPr>
              <w:pStyle w:val="ae"/>
              <w:rPr>
                <w:rFonts w:cs="Times New Roman"/>
                <w:b w:val="0"/>
              </w:rPr>
            </w:pPr>
            <w:r w:rsidRPr="00530A11">
              <w:rPr>
                <w:rFonts w:cs="Times New Roman" w:hint="eastAsia"/>
                <w:b w:val="0"/>
              </w:rPr>
              <w:t>较高要求</w:t>
            </w:r>
          </w:p>
        </w:tc>
        <w:tc>
          <w:tcPr>
            <w:tcW w:w="5324" w:type="dxa"/>
            <w:vAlign w:val="center"/>
          </w:tcPr>
          <w:p w14:paraId="0863BDA5" w14:textId="77777777" w:rsidR="002C09A7" w:rsidRPr="00530A11" w:rsidRDefault="002C09A7" w:rsidP="00C060F4">
            <w:pPr>
              <w:pStyle w:val="ae"/>
              <w:rPr>
                <w:rFonts w:cs="Times New Roman"/>
                <w:b w:val="0"/>
              </w:rPr>
            </w:pPr>
            <w:r w:rsidRPr="00530A11">
              <w:rPr>
                <w:rFonts w:cs="Times New Roman" w:hint="eastAsia"/>
                <w:b w:val="0"/>
              </w:rPr>
              <w:t>-0.7</w:t>
            </w:r>
            <w:r w:rsidRPr="00530A11">
              <w:rPr>
                <w:rFonts w:cs="Times New Roman" w:hint="eastAsia"/>
                <w:b w:val="0"/>
              </w:rPr>
              <w:t>≤</w:t>
            </w:r>
            <w:r w:rsidRPr="00530A11">
              <w:rPr>
                <w:rFonts w:cs="Times New Roman" w:hint="eastAsia"/>
                <w:b w:val="0"/>
              </w:rPr>
              <w:t>APMV</w:t>
            </w:r>
            <w:r w:rsidRPr="00530A11">
              <w:rPr>
                <w:rFonts w:cs="Times New Roman" w:hint="eastAsia"/>
                <w:b w:val="0"/>
              </w:rPr>
              <w:t>＜</w:t>
            </w:r>
            <w:r w:rsidRPr="00530A11">
              <w:rPr>
                <w:rFonts w:cs="Times New Roman"/>
                <w:b w:val="0"/>
              </w:rPr>
              <w:t>-0.5</w:t>
            </w:r>
            <w:r w:rsidRPr="00530A11">
              <w:rPr>
                <w:rFonts w:cs="Times New Roman" w:hint="eastAsia"/>
                <w:b w:val="0"/>
              </w:rPr>
              <w:t>或</w:t>
            </w:r>
            <w:r w:rsidRPr="00530A11">
              <w:rPr>
                <w:rFonts w:cs="Times New Roman"/>
                <w:b w:val="0"/>
              </w:rPr>
              <w:t>+0.5</w:t>
            </w:r>
            <w:r w:rsidRPr="00530A11">
              <w:rPr>
                <w:rFonts w:cs="Times New Roman" w:hint="eastAsia"/>
                <w:b w:val="0"/>
              </w:rPr>
              <w:t>＜</w:t>
            </w:r>
            <w:r w:rsidRPr="00530A11">
              <w:rPr>
                <w:rFonts w:cs="Times New Roman" w:hint="eastAsia"/>
                <w:b w:val="0"/>
              </w:rPr>
              <w:t>APMV</w:t>
            </w:r>
            <w:r w:rsidRPr="00530A11">
              <w:rPr>
                <w:rFonts w:cs="Times New Roman" w:hint="eastAsia"/>
                <w:b w:val="0"/>
              </w:rPr>
              <w:t>≤</w:t>
            </w:r>
            <w:r w:rsidRPr="00530A11">
              <w:rPr>
                <w:rFonts w:cs="Times New Roman" w:hint="eastAsia"/>
                <w:b w:val="0"/>
              </w:rPr>
              <w:t>0.7</w:t>
            </w:r>
          </w:p>
        </w:tc>
      </w:tr>
      <w:tr w:rsidR="002C09A7" w:rsidRPr="00530A11" w14:paraId="3588B043" w14:textId="77777777" w:rsidTr="00C060F4">
        <w:trPr>
          <w:trHeight w:val="454"/>
        </w:trPr>
        <w:tc>
          <w:tcPr>
            <w:tcW w:w="2972" w:type="dxa"/>
            <w:vAlign w:val="center"/>
          </w:tcPr>
          <w:p w14:paraId="426E1086" w14:textId="77777777" w:rsidR="002C09A7" w:rsidRPr="00530A11" w:rsidRDefault="002C09A7" w:rsidP="00C060F4">
            <w:pPr>
              <w:pStyle w:val="ae"/>
              <w:rPr>
                <w:rFonts w:cs="Times New Roman"/>
                <w:b w:val="0"/>
              </w:rPr>
            </w:pPr>
            <w:r w:rsidRPr="00530A11">
              <w:rPr>
                <w:rFonts w:cs="Times New Roman" w:hint="eastAsia"/>
                <w:b w:val="0"/>
                <w:kern w:val="0"/>
              </w:rPr>
              <w:t>更高要求</w:t>
            </w:r>
          </w:p>
        </w:tc>
        <w:tc>
          <w:tcPr>
            <w:tcW w:w="5324" w:type="dxa"/>
            <w:vAlign w:val="center"/>
          </w:tcPr>
          <w:p w14:paraId="137CCB1C" w14:textId="77777777" w:rsidR="002C09A7" w:rsidRPr="00530A11" w:rsidRDefault="002C09A7" w:rsidP="00C060F4">
            <w:pPr>
              <w:pStyle w:val="ae"/>
              <w:rPr>
                <w:rFonts w:cs="Times New Roman"/>
                <w:b w:val="0"/>
              </w:rPr>
            </w:pPr>
            <w:r w:rsidRPr="00530A11">
              <w:rPr>
                <w:rFonts w:cs="Times New Roman" w:hint="eastAsia"/>
                <w:b w:val="0"/>
              </w:rPr>
              <w:t>-0.5</w:t>
            </w:r>
            <w:r w:rsidRPr="00530A11">
              <w:rPr>
                <w:rFonts w:cs="Times New Roman" w:hint="eastAsia"/>
                <w:b w:val="0"/>
              </w:rPr>
              <w:t>≤</w:t>
            </w:r>
            <w:r w:rsidRPr="00530A11">
              <w:rPr>
                <w:rFonts w:cs="Times New Roman" w:hint="eastAsia"/>
                <w:b w:val="0"/>
              </w:rPr>
              <w:t>APMV</w:t>
            </w:r>
            <w:r w:rsidRPr="00530A11">
              <w:rPr>
                <w:rFonts w:cs="Times New Roman" w:hint="eastAsia"/>
                <w:b w:val="0"/>
              </w:rPr>
              <w:t>≤</w:t>
            </w:r>
            <w:r w:rsidRPr="00530A11">
              <w:rPr>
                <w:rFonts w:cs="Times New Roman" w:hint="eastAsia"/>
                <w:b w:val="0"/>
              </w:rPr>
              <w:t>+0.5</w:t>
            </w:r>
          </w:p>
        </w:tc>
      </w:tr>
    </w:tbl>
    <w:p w14:paraId="57DED1EE" w14:textId="77777777" w:rsidR="002C09A7" w:rsidRPr="00530A11" w:rsidRDefault="002C09A7" w:rsidP="002C09A7">
      <w:pPr>
        <w:pStyle w:val="ae"/>
        <w:jc w:val="left"/>
        <w:rPr>
          <w:rFonts w:cs="Times New Roman"/>
          <w:b w:val="0"/>
        </w:rPr>
      </w:pPr>
      <w:r w:rsidRPr="00530A11">
        <w:rPr>
          <w:rFonts w:cs="Times New Roman" w:hint="eastAsia"/>
          <w:b w:val="0"/>
        </w:rPr>
        <w:t>表中：</w:t>
      </w:r>
      <w:r w:rsidRPr="00530A11">
        <w:rPr>
          <w:rFonts w:cs="Times New Roman"/>
          <w:b w:val="0"/>
        </w:rPr>
        <w:t>APMV</w:t>
      </w:r>
      <w:r w:rsidRPr="00530A11">
        <w:rPr>
          <w:rFonts w:cs="Times New Roman" w:hint="eastAsia"/>
          <w:b w:val="0"/>
        </w:rPr>
        <w:t>为预计适应性平均热感觉指标，为</w:t>
      </w:r>
      <w:r w:rsidRPr="00530A11">
        <w:rPr>
          <w:rFonts w:cs="Times New Roman"/>
          <w:b w:val="0"/>
        </w:rPr>
        <w:t>PMV</w:t>
      </w:r>
      <w:r w:rsidRPr="00530A11">
        <w:rPr>
          <w:rFonts w:cs="Times New Roman" w:hint="eastAsia"/>
          <w:b w:val="0"/>
        </w:rPr>
        <w:t>非空调环境下的修正模型，其计算按国家标准《民用建筑室内热湿环境评价标准》</w:t>
      </w:r>
      <w:r w:rsidRPr="00530A11">
        <w:rPr>
          <w:rFonts w:cs="Times New Roman"/>
          <w:b w:val="0"/>
        </w:rPr>
        <w:t>GB/T 50785</w:t>
      </w:r>
      <w:r w:rsidRPr="00530A11">
        <w:rPr>
          <w:rFonts w:cs="Times New Roman" w:hint="eastAsia"/>
          <w:b w:val="0"/>
        </w:rPr>
        <w:t>执行。</w:t>
      </w:r>
    </w:p>
    <w:p w14:paraId="1A287E44" w14:textId="77777777" w:rsidR="002C09A7" w:rsidRPr="00530A11" w:rsidRDefault="002C09A7" w:rsidP="002C09A7">
      <w:pPr>
        <w:pStyle w:val="ae"/>
        <w:rPr>
          <w:rFonts w:cs="Times New Roman"/>
          <w:b w:val="0"/>
        </w:rPr>
      </w:pPr>
      <w:r w:rsidRPr="00530A11">
        <w:rPr>
          <w:rFonts w:cs="Times New Roman"/>
          <w:b w:val="0"/>
        </w:rPr>
        <w:t>表</w:t>
      </w:r>
      <w:r w:rsidRPr="00530A11">
        <w:rPr>
          <w:rFonts w:cs="Times New Roman"/>
          <w:b w:val="0"/>
        </w:rPr>
        <w:t xml:space="preserve">5.2.11-6 </w:t>
      </w:r>
      <w:r w:rsidRPr="00530A11">
        <w:rPr>
          <w:rFonts w:cs="Times New Roman"/>
          <w:b w:val="0"/>
        </w:rPr>
        <w:t>室内空气品质等级划分及限值要求</w:t>
      </w:r>
    </w:p>
    <w:tbl>
      <w:tblPr>
        <w:tblStyle w:val="21"/>
        <w:tblW w:w="7162" w:type="dxa"/>
        <w:jc w:val="center"/>
        <w:tblLayout w:type="fixed"/>
        <w:tblLook w:val="04A0" w:firstRow="1" w:lastRow="0" w:firstColumn="1" w:lastColumn="0" w:noHBand="0" w:noVBand="1"/>
      </w:tblPr>
      <w:tblGrid>
        <w:gridCol w:w="1773"/>
        <w:gridCol w:w="1259"/>
        <w:gridCol w:w="1499"/>
        <w:gridCol w:w="1136"/>
        <w:gridCol w:w="1474"/>
        <w:gridCol w:w="21"/>
      </w:tblGrid>
      <w:tr w:rsidR="002C09A7" w:rsidRPr="00530A11" w14:paraId="44729C1B" w14:textId="77777777" w:rsidTr="00C060F4">
        <w:trPr>
          <w:trHeight w:val="454"/>
          <w:jc w:val="center"/>
        </w:trPr>
        <w:tc>
          <w:tcPr>
            <w:tcW w:w="1773" w:type="dxa"/>
            <w:vMerge w:val="restart"/>
            <w:vAlign w:val="center"/>
          </w:tcPr>
          <w:p w14:paraId="1E80B246" w14:textId="77777777" w:rsidR="002C09A7" w:rsidRPr="00530A11" w:rsidRDefault="002C09A7" w:rsidP="00C060F4">
            <w:pPr>
              <w:pStyle w:val="ae"/>
              <w:rPr>
                <w:rFonts w:cs="Times New Roman"/>
                <w:b w:val="0"/>
              </w:rPr>
            </w:pPr>
            <w:bookmarkStart w:id="105" w:name="_Hlk25519167"/>
            <w:r w:rsidRPr="00530A11">
              <w:rPr>
                <w:rFonts w:cs="Times New Roman" w:hint="eastAsia"/>
                <w:b w:val="0"/>
              </w:rPr>
              <w:t>指标</w:t>
            </w:r>
          </w:p>
        </w:tc>
        <w:tc>
          <w:tcPr>
            <w:tcW w:w="1259" w:type="dxa"/>
            <w:vMerge w:val="restart"/>
            <w:vAlign w:val="center"/>
          </w:tcPr>
          <w:p w14:paraId="4A43EA6A" w14:textId="77777777" w:rsidR="002C09A7" w:rsidRPr="00530A11" w:rsidRDefault="002C09A7" w:rsidP="00C060F4">
            <w:pPr>
              <w:pStyle w:val="ae"/>
              <w:rPr>
                <w:rFonts w:cs="Times New Roman"/>
                <w:b w:val="0"/>
              </w:rPr>
            </w:pPr>
            <w:r w:rsidRPr="00530A11">
              <w:rPr>
                <w:rFonts w:cs="Times New Roman" w:hint="eastAsia"/>
                <w:b w:val="0"/>
              </w:rPr>
              <w:t>单位</w:t>
            </w:r>
          </w:p>
        </w:tc>
        <w:tc>
          <w:tcPr>
            <w:tcW w:w="1499" w:type="dxa"/>
            <w:vMerge w:val="restart"/>
            <w:vAlign w:val="center"/>
          </w:tcPr>
          <w:p w14:paraId="2A84CD2F" w14:textId="77777777" w:rsidR="002C09A7" w:rsidRPr="00530A11" w:rsidRDefault="002C09A7" w:rsidP="00C060F4">
            <w:pPr>
              <w:pStyle w:val="ae"/>
              <w:rPr>
                <w:rFonts w:cs="Times New Roman"/>
                <w:b w:val="0"/>
              </w:rPr>
            </w:pPr>
            <w:r w:rsidRPr="00530A11">
              <w:rPr>
                <w:rFonts w:cs="Times New Roman" w:hint="eastAsia"/>
                <w:b w:val="0"/>
              </w:rPr>
              <w:t>指标类型</w:t>
            </w:r>
          </w:p>
        </w:tc>
        <w:tc>
          <w:tcPr>
            <w:tcW w:w="2631" w:type="dxa"/>
            <w:gridSpan w:val="3"/>
            <w:vAlign w:val="center"/>
          </w:tcPr>
          <w:p w14:paraId="43C05466" w14:textId="77777777" w:rsidR="002C09A7" w:rsidRPr="00530A11" w:rsidRDefault="002C09A7" w:rsidP="00C060F4">
            <w:pPr>
              <w:pStyle w:val="ae"/>
              <w:rPr>
                <w:rFonts w:cs="Times New Roman"/>
                <w:b w:val="0"/>
              </w:rPr>
            </w:pPr>
            <w:r w:rsidRPr="00530A11">
              <w:rPr>
                <w:rFonts w:cs="Times New Roman" w:hint="eastAsia"/>
                <w:b w:val="0"/>
              </w:rPr>
              <w:t>浓度限值</w:t>
            </w:r>
          </w:p>
        </w:tc>
      </w:tr>
      <w:tr w:rsidR="002C09A7" w:rsidRPr="00530A11" w14:paraId="7B389E91" w14:textId="77777777" w:rsidTr="00C060F4">
        <w:trPr>
          <w:gridAfter w:val="1"/>
          <w:wAfter w:w="21" w:type="dxa"/>
          <w:trHeight w:val="454"/>
          <w:jc w:val="center"/>
        </w:trPr>
        <w:tc>
          <w:tcPr>
            <w:tcW w:w="1773" w:type="dxa"/>
            <w:vMerge/>
            <w:vAlign w:val="center"/>
          </w:tcPr>
          <w:p w14:paraId="7BDB837C" w14:textId="77777777" w:rsidR="002C09A7" w:rsidRPr="00530A11" w:rsidRDefault="002C09A7" w:rsidP="00C060F4">
            <w:pPr>
              <w:pStyle w:val="ae"/>
              <w:rPr>
                <w:rFonts w:cs="Times New Roman"/>
                <w:b w:val="0"/>
              </w:rPr>
            </w:pPr>
          </w:p>
        </w:tc>
        <w:tc>
          <w:tcPr>
            <w:tcW w:w="1259" w:type="dxa"/>
            <w:vMerge/>
            <w:vAlign w:val="center"/>
          </w:tcPr>
          <w:p w14:paraId="2F50176C" w14:textId="77777777" w:rsidR="002C09A7" w:rsidRPr="00530A11" w:rsidRDefault="002C09A7" w:rsidP="00C060F4">
            <w:pPr>
              <w:pStyle w:val="ae"/>
              <w:rPr>
                <w:rFonts w:cs="Times New Roman"/>
                <w:b w:val="0"/>
              </w:rPr>
            </w:pPr>
          </w:p>
        </w:tc>
        <w:tc>
          <w:tcPr>
            <w:tcW w:w="1499" w:type="dxa"/>
            <w:vMerge/>
            <w:vAlign w:val="center"/>
          </w:tcPr>
          <w:p w14:paraId="2E9F48F3" w14:textId="77777777" w:rsidR="002C09A7" w:rsidRPr="00530A11" w:rsidRDefault="002C09A7" w:rsidP="00C060F4">
            <w:pPr>
              <w:pStyle w:val="ae"/>
              <w:rPr>
                <w:rFonts w:cs="Times New Roman"/>
                <w:b w:val="0"/>
              </w:rPr>
            </w:pPr>
          </w:p>
        </w:tc>
        <w:tc>
          <w:tcPr>
            <w:tcW w:w="1136" w:type="dxa"/>
            <w:vAlign w:val="center"/>
          </w:tcPr>
          <w:p w14:paraId="2FBE6D64" w14:textId="77777777" w:rsidR="002C09A7" w:rsidRPr="00530A11" w:rsidRDefault="002C09A7" w:rsidP="00C060F4">
            <w:pPr>
              <w:pStyle w:val="ae"/>
              <w:rPr>
                <w:rFonts w:cs="Times New Roman"/>
                <w:b w:val="0"/>
              </w:rPr>
            </w:pPr>
            <w:r w:rsidRPr="00530A11">
              <w:rPr>
                <w:rFonts w:cs="Times New Roman" w:hint="eastAsia"/>
                <w:b w:val="0"/>
              </w:rPr>
              <w:t>较高要求</w:t>
            </w:r>
          </w:p>
        </w:tc>
        <w:tc>
          <w:tcPr>
            <w:tcW w:w="1474" w:type="dxa"/>
            <w:vAlign w:val="center"/>
          </w:tcPr>
          <w:p w14:paraId="37776A5F" w14:textId="77777777" w:rsidR="002C09A7" w:rsidRPr="00530A11" w:rsidRDefault="002C09A7" w:rsidP="00C060F4">
            <w:pPr>
              <w:pStyle w:val="ae"/>
              <w:rPr>
                <w:rFonts w:cs="Times New Roman"/>
                <w:b w:val="0"/>
              </w:rPr>
            </w:pPr>
            <w:r w:rsidRPr="00530A11">
              <w:rPr>
                <w:rFonts w:cs="Times New Roman" w:hint="eastAsia"/>
                <w:b w:val="0"/>
              </w:rPr>
              <w:t>更高要求</w:t>
            </w:r>
          </w:p>
        </w:tc>
      </w:tr>
      <w:tr w:rsidR="002C09A7" w:rsidRPr="00530A11" w14:paraId="7D402D38" w14:textId="77777777" w:rsidTr="00C060F4">
        <w:trPr>
          <w:gridAfter w:val="1"/>
          <w:wAfter w:w="21" w:type="dxa"/>
          <w:trHeight w:val="454"/>
          <w:jc w:val="center"/>
        </w:trPr>
        <w:tc>
          <w:tcPr>
            <w:tcW w:w="1773" w:type="dxa"/>
            <w:vAlign w:val="center"/>
          </w:tcPr>
          <w:p w14:paraId="46281BA2" w14:textId="77777777" w:rsidR="002C09A7" w:rsidRPr="00530A11" w:rsidRDefault="002C09A7" w:rsidP="00C060F4">
            <w:pPr>
              <w:pStyle w:val="ae"/>
              <w:rPr>
                <w:rFonts w:cs="Times New Roman"/>
                <w:b w:val="0"/>
              </w:rPr>
            </w:pPr>
            <w:r w:rsidRPr="00530A11">
              <w:rPr>
                <w:rFonts w:cs="Times New Roman" w:hint="eastAsia"/>
                <w:b w:val="0"/>
              </w:rPr>
              <w:t>甲醛（</w:t>
            </w:r>
            <w:r w:rsidRPr="00530A11">
              <w:rPr>
                <w:rFonts w:cs="Times New Roman"/>
                <w:b w:val="0"/>
              </w:rPr>
              <w:t>HCHO</w:t>
            </w:r>
            <w:r w:rsidRPr="00530A11">
              <w:rPr>
                <w:rFonts w:cs="Times New Roman" w:hint="eastAsia"/>
                <w:b w:val="0"/>
              </w:rPr>
              <w:t>）</w:t>
            </w:r>
          </w:p>
        </w:tc>
        <w:tc>
          <w:tcPr>
            <w:tcW w:w="1259" w:type="dxa"/>
            <w:vAlign w:val="center"/>
          </w:tcPr>
          <w:p w14:paraId="0BB8F28B" w14:textId="77777777" w:rsidR="002C09A7" w:rsidRPr="00530A11" w:rsidRDefault="002C09A7" w:rsidP="00C060F4">
            <w:pPr>
              <w:pStyle w:val="ae"/>
              <w:rPr>
                <w:rFonts w:cs="Times New Roman"/>
                <w:b w:val="0"/>
              </w:rPr>
            </w:pPr>
            <w:r w:rsidRPr="00530A11">
              <w:rPr>
                <w:rFonts w:cs="Times New Roman"/>
                <w:b w:val="0"/>
              </w:rPr>
              <w:t>mg/m</w:t>
            </w:r>
            <w:r w:rsidRPr="00530A11">
              <w:rPr>
                <w:rFonts w:cs="Times New Roman"/>
                <w:b w:val="0"/>
                <w:vertAlign w:val="superscript"/>
              </w:rPr>
              <w:t>3</w:t>
            </w:r>
          </w:p>
        </w:tc>
        <w:tc>
          <w:tcPr>
            <w:tcW w:w="1499" w:type="dxa"/>
            <w:vAlign w:val="center"/>
          </w:tcPr>
          <w:p w14:paraId="513D660F" w14:textId="77777777" w:rsidR="002C09A7" w:rsidRPr="00530A11" w:rsidRDefault="002C09A7" w:rsidP="00C060F4">
            <w:pPr>
              <w:pStyle w:val="ae"/>
              <w:rPr>
                <w:rFonts w:cs="Times New Roman"/>
                <w:b w:val="0"/>
              </w:rPr>
            </w:pPr>
            <w:r w:rsidRPr="00530A11">
              <w:rPr>
                <w:rFonts w:cs="Times New Roman"/>
                <w:b w:val="0"/>
              </w:rPr>
              <w:t>1h</w:t>
            </w:r>
            <w:r w:rsidRPr="00530A11">
              <w:rPr>
                <w:rFonts w:cs="Times New Roman" w:hint="eastAsia"/>
                <w:b w:val="0"/>
              </w:rPr>
              <w:t>均值</w:t>
            </w:r>
          </w:p>
        </w:tc>
        <w:tc>
          <w:tcPr>
            <w:tcW w:w="1136" w:type="dxa"/>
            <w:vAlign w:val="center"/>
          </w:tcPr>
          <w:p w14:paraId="3B8123B1" w14:textId="77777777" w:rsidR="002C09A7" w:rsidRPr="00530A11" w:rsidRDefault="002C09A7" w:rsidP="00C060F4">
            <w:pPr>
              <w:pStyle w:val="ae"/>
              <w:rPr>
                <w:rFonts w:cs="Times New Roman"/>
                <w:b w:val="0"/>
              </w:rPr>
            </w:pPr>
            <w:r w:rsidRPr="00530A11">
              <w:rPr>
                <w:rFonts w:cs="Times New Roman"/>
                <w:b w:val="0"/>
              </w:rPr>
              <w:t>0.07</w:t>
            </w:r>
          </w:p>
        </w:tc>
        <w:tc>
          <w:tcPr>
            <w:tcW w:w="1474" w:type="dxa"/>
            <w:vAlign w:val="center"/>
          </w:tcPr>
          <w:p w14:paraId="644319C3" w14:textId="77777777" w:rsidR="002C09A7" w:rsidRPr="00530A11" w:rsidRDefault="002C09A7" w:rsidP="00C060F4">
            <w:pPr>
              <w:pStyle w:val="ae"/>
              <w:rPr>
                <w:rFonts w:cs="Times New Roman"/>
                <w:b w:val="0"/>
              </w:rPr>
            </w:pPr>
            <w:r w:rsidRPr="00530A11">
              <w:rPr>
                <w:rFonts w:cs="Times New Roman"/>
                <w:b w:val="0"/>
              </w:rPr>
              <w:t>0.03</w:t>
            </w:r>
          </w:p>
        </w:tc>
      </w:tr>
      <w:tr w:rsidR="002C09A7" w:rsidRPr="00530A11" w14:paraId="3D46A773" w14:textId="77777777" w:rsidTr="00C060F4">
        <w:trPr>
          <w:gridAfter w:val="1"/>
          <w:wAfter w:w="21" w:type="dxa"/>
          <w:trHeight w:val="454"/>
          <w:jc w:val="center"/>
        </w:trPr>
        <w:tc>
          <w:tcPr>
            <w:tcW w:w="1773" w:type="dxa"/>
            <w:vAlign w:val="center"/>
          </w:tcPr>
          <w:p w14:paraId="2213C651" w14:textId="77777777" w:rsidR="002C09A7" w:rsidRPr="00530A11" w:rsidRDefault="002C09A7" w:rsidP="00C060F4">
            <w:pPr>
              <w:pStyle w:val="ae"/>
              <w:rPr>
                <w:rFonts w:cs="Times New Roman"/>
                <w:b w:val="0"/>
              </w:rPr>
            </w:pPr>
            <w:r w:rsidRPr="00530A11">
              <w:rPr>
                <w:rFonts w:cs="Times New Roman" w:hint="eastAsia"/>
                <w:b w:val="0"/>
              </w:rPr>
              <w:t>臭氧（</w:t>
            </w:r>
            <w:r w:rsidRPr="00530A11">
              <w:rPr>
                <w:rFonts w:cs="Times New Roman"/>
                <w:b w:val="0"/>
              </w:rPr>
              <w:t>O</w:t>
            </w:r>
            <w:r w:rsidRPr="00530A11">
              <w:rPr>
                <w:rFonts w:cs="Times New Roman"/>
                <w:b w:val="0"/>
                <w:vertAlign w:val="subscript"/>
              </w:rPr>
              <w:t>3</w:t>
            </w:r>
            <w:r w:rsidRPr="00530A11">
              <w:rPr>
                <w:rFonts w:cs="Times New Roman" w:hint="eastAsia"/>
                <w:b w:val="0"/>
              </w:rPr>
              <w:t>）</w:t>
            </w:r>
          </w:p>
        </w:tc>
        <w:tc>
          <w:tcPr>
            <w:tcW w:w="1259" w:type="dxa"/>
            <w:vAlign w:val="center"/>
          </w:tcPr>
          <w:p w14:paraId="6BABC666" w14:textId="77777777" w:rsidR="002C09A7" w:rsidRPr="00530A11" w:rsidRDefault="002C09A7" w:rsidP="00C060F4">
            <w:pPr>
              <w:pStyle w:val="ae"/>
              <w:rPr>
                <w:rFonts w:cs="Times New Roman"/>
                <w:b w:val="0"/>
              </w:rPr>
            </w:pPr>
            <w:r w:rsidRPr="00530A11">
              <w:rPr>
                <w:rFonts w:cs="Times New Roman"/>
                <w:b w:val="0"/>
              </w:rPr>
              <w:t>mg/m</w:t>
            </w:r>
            <w:r w:rsidRPr="00530A11">
              <w:rPr>
                <w:rFonts w:cs="Times New Roman"/>
                <w:b w:val="0"/>
                <w:vertAlign w:val="superscript"/>
              </w:rPr>
              <w:t>3</w:t>
            </w:r>
          </w:p>
        </w:tc>
        <w:tc>
          <w:tcPr>
            <w:tcW w:w="1499" w:type="dxa"/>
            <w:vAlign w:val="center"/>
          </w:tcPr>
          <w:p w14:paraId="37E72101" w14:textId="77777777" w:rsidR="002C09A7" w:rsidRPr="00530A11" w:rsidRDefault="002C09A7" w:rsidP="00C060F4">
            <w:pPr>
              <w:pStyle w:val="ae"/>
              <w:rPr>
                <w:rFonts w:cs="Times New Roman"/>
                <w:b w:val="0"/>
              </w:rPr>
            </w:pPr>
            <w:r w:rsidRPr="00530A11">
              <w:rPr>
                <w:rFonts w:cs="Times New Roman"/>
                <w:b w:val="0"/>
              </w:rPr>
              <w:t>1h</w:t>
            </w:r>
            <w:r w:rsidRPr="00530A11">
              <w:rPr>
                <w:rFonts w:cs="Times New Roman" w:hint="eastAsia"/>
                <w:b w:val="0"/>
              </w:rPr>
              <w:t>均值</w:t>
            </w:r>
          </w:p>
        </w:tc>
        <w:tc>
          <w:tcPr>
            <w:tcW w:w="1136" w:type="dxa"/>
            <w:vAlign w:val="center"/>
          </w:tcPr>
          <w:p w14:paraId="38E9F735" w14:textId="77777777" w:rsidR="002C09A7" w:rsidRPr="00530A11" w:rsidRDefault="002C09A7" w:rsidP="00C060F4">
            <w:pPr>
              <w:pStyle w:val="ae"/>
              <w:rPr>
                <w:rFonts w:cs="Times New Roman"/>
                <w:b w:val="0"/>
              </w:rPr>
            </w:pPr>
            <w:r w:rsidRPr="00530A11">
              <w:rPr>
                <w:rFonts w:cs="Times New Roman"/>
                <w:b w:val="0"/>
              </w:rPr>
              <w:t>0.10</w:t>
            </w:r>
          </w:p>
        </w:tc>
        <w:tc>
          <w:tcPr>
            <w:tcW w:w="1474" w:type="dxa"/>
            <w:vAlign w:val="center"/>
          </w:tcPr>
          <w:p w14:paraId="02BD8FEA" w14:textId="77777777" w:rsidR="002C09A7" w:rsidRPr="00530A11" w:rsidRDefault="002C09A7" w:rsidP="00C060F4">
            <w:pPr>
              <w:pStyle w:val="ae"/>
              <w:rPr>
                <w:rFonts w:cs="Times New Roman"/>
                <w:b w:val="0"/>
              </w:rPr>
            </w:pPr>
            <w:r w:rsidRPr="00530A11">
              <w:rPr>
                <w:rFonts w:cs="Times New Roman"/>
                <w:b w:val="0"/>
              </w:rPr>
              <w:t>0.05</w:t>
            </w:r>
          </w:p>
        </w:tc>
      </w:tr>
      <w:tr w:rsidR="002C09A7" w:rsidRPr="00530A11" w14:paraId="4FC55895" w14:textId="77777777" w:rsidTr="00C060F4">
        <w:trPr>
          <w:gridAfter w:val="1"/>
          <w:wAfter w:w="21" w:type="dxa"/>
          <w:trHeight w:val="454"/>
          <w:jc w:val="center"/>
        </w:trPr>
        <w:tc>
          <w:tcPr>
            <w:tcW w:w="1773" w:type="dxa"/>
            <w:vAlign w:val="center"/>
          </w:tcPr>
          <w:p w14:paraId="5A92BD65" w14:textId="77777777" w:rsidR="002C09A7" w:rsidRPr="00530A11" w:rsidRDefault="002C09A7" w:rsidP="00C060F4">
            <w:pPr>
              <w:pStyle w:val="ae"/>
              <w:rPr>
                <w:rFonts w:cs="Times New Roman"/>
                <w:b w:val="0"/>
              </w:rPr>
            </w:pPr>
            <w:r w:rsidRPr="00530A11">
              <w:rPr>
                <w:rFonts w:cs="Times New Roman" w:hint="eastAsia"/>
                <w:b w:val="0"/>
              </w:rPr>
              <w:t>可吸入颗粒物（</w:t>
            </w:r>
            <w:r w:rsidRPr="00530A11">
              <w:rPr>
                <w:rFonts w:cs="Times New Roman"/>
                <w:b w:val="0"/>
              </w:rPr>
              <w:t>PM</w:t>
            </w:r>
            <w:r w:rsidRPr="00530A11">
              <w:rPr>
                <w:rFonts w:cs="Times New Roman"/>
                <w:b w:val="0"/>
                <w:vertAlign w:val="subscript"/>
              </w:rPr>
              <w:t>10</w:t>
            </w:r>
            <w:r w:rsidRPr="00530A11">
              <w:rPr>
                <w:rFonts w:cs="Times New Roman" w:hint="eastAsia"/>
                <w:b w:val="0"/>
              </w:rPr>
              <w:t>）</w:t>
            </w:r>
          </w:p>
        </w:tc>
        <w:tc>
          <w:tcPr>
            <w:tcW w:w="1259" w:type="dxa"/>
            <w:vAlign w:val="center"/>
          </w:tcPr>
          <w:p w14:paraId="4A78BBA2" w14:textId="77777777" w:rsidR="002C09A7" w:rsidRPr="00530A11" w:rsidRDefault="002C09A7" w:rsidP="00C060F4">
            <w:pPr>
              <w:pStyle w:val="ae"/>
              <w:rPr>
                <w:rFonts w:cs="Times New Roman"/>
                <w:b w:val="0"/>
              </w:rPr>
            </w:pPr>
            <w:r w:rsidRPr="00530A11">
              <w:rPr>
                <w:rFonts w:cs="Times New Roman"/>
                <w:b w:val="0"/>
              </w:rPr>
              <w:t>ug/ m</w:t>
            </w:r>
            <w:r w:rsidRPr="00530A11">
              <w:rPr>
                <w:rFonts w:cs="Times New Roman"/>
                <w:b w:val="0"/>
                <w:vertAlign w:val="superscript"/>
              </w:rPr>
              <w:t>3</w:t>
            </w:r>
          </w:p>
        </w:tc>
        <w:tc>
          <w:tcPr>
            <w:tcW w:w="1499" w:type="dxa"/>
            <w:vAlign w:val="center"/>
          </w:tcPr>
          <w:p w14:paraId="14C31DEE" w14:textId="77777777" w:rsidR="002C09A7" w:rsidRPr="00530A11" w:rsidRDefault="002C09A7" w:rsidP="00C060F4">
            <w:pPr>
              <w:pStyle w:val="ae"/>
              <w:rPr>
                <w:rFonts w:cs="Times New Roman"/>
                <w:b w:val="0"/>
              </w:rPr>
            </w:pPr>
            <w:r w:rsidRPr="00530A11">
              <w:rPr>
                <w:rFonts w:cs="Times New Roman"/>
                <w:b w:val="0"/>
              </w:rPr>
              <w:t>24h</w:t>
            </w:r>
            <w:r w:rsidRPr="00530A11">
              <w:rPr>
                <w:rFonts w:cs="Times New Roman" w:hint="eastAsia"/>
                <w:b w:val="0"/>
              </w:rPr>
              <w:t>均值</w:t>
            </w:r>
          </w:p>
        </w:tc>
        <w:tc>
          <w:tcPr>
            <w:tcW w:w="1136" w:type="dxa"/>
            <w:vAlign w:val="center"/>
          </w:tcPr>
          <w:p w14:paraId="1C5FF267" w14:textId="77777777" w:rsidR="002C09A7" w:rsidRPr="00530A11" w:rsidRDefault="002C09A7" w:rsidP="00C060F4">
            <w:pPr>
              <w:pStyle w:val="ae"/>
              <w:rPr>
                <w:rFonts w:cs="Times New Roman"/>
                <w:b w:val="0"/>
              </w:rPr>
            </w:pPr>
            <w:r w:rsidRPr="00530A11">
              <w:rPr>
                <w:rFonts w:cs="Times New Roman"/>
                <w:b w:val="0"/>
              </w:rPr>
              <w:t>100</w:t>
            </w:r>
          </w:p>
        </w:tc>
        <w:tc>
          <w:tcPr>
            <w:tcW w:w="1474" w:type="dxa"/>
            <w:vAlign w:val="center"/>
          </w:tcPr>
          <w:p w14:paraId="27E32313" w14:textId="77777777" w:rsidR="002C09A7" w:rsidRPr="00530A11" w:rsidRDefault="002C09A7" w:rsidP="00C060F4">
            <w:pPr>
              <w:pStyle w:val="ae"/>
              <w:rPr>
                <w:rFonts w:cs="Times New Roman"/>
                <w:b w:val="0"/>
              </w:rPr>
            </w:pPr>
            <w:r w:rsidRPr="00530A11">
              <w:rPr>
                <w:rFonts w:cs="Times New Roman"/>
                <w:b w:val="0"/>
              </w:rPr>
              <w:t>50</w:t>
            </w:r>
          </w:p>
        </w:tc>
      </w:tr>
      <w:tr w:rsidR="002C09A7" w:rsidRPr="00530A11" w14:paraId="1A2AD86F" w14:textId="77777777" w:rsidTr="00C060F4">
        <w:trPr>
          <w:gridAfter w:val="1"/>
          <w:wAfter w:w="21" w:type="dxa"/>
          <w:trHeight w:val="454"/>
          <w:jc w:val="center"/>
        </w:trPr>
        <w:tc>
          <w:tcPr>
            <w:tcW w:w="1773" w:type="dxa"/>
            <w:vAlign w:val="center"/>
          </w:tcPr>
          <w:p w14:paraId="60E42D4F" w14:textId="77777777" w:rsidR="002C09A7" w:rsidRPr="00530A11" w:rsidRDefault="002C09A7" w:rsidP="00C060F4">
            <w:pPr>
              <w:pStyle w:val="ae"/>
              <w:rPr>
                <w:rFonts w:cs="Times New Roman"/>
                <w:b w:val="0"/>
              </w:rPr>
            </w:pPr>
            <w:r w:rsidRPr="00530A11">
              <w:rPr>
                <w:rFonts w:cs="Times New Roman" w:hint="eastAsia"/>
                <w:b w:val="0"/>
              </w:rPr>
              <w:t>细颗粒物（</w:t>
            </w:r>
            <w:r w:rsidRPr="00530A11">
              <w:rPr>
                <w:rFonts w:cs="Times New Roman"/>
                <w:b w:val="0"/>
              </w:rPr>
              <w:t>PM</w:t>
            </w:r>
            <w:r w:rsidRPr="00530A11">
              <w:rPr>
                <w:rFonts w:cs="Times New Roman"/>
                <w:b w:val="0"/>
                <w:vertAlign w:val="subscript"/>
              </w:rPr>
              <w:t>2.5</w:t>
            </w:r>
            <w:r w:rsidRPr="00530A11">
              <w:rPr>
                <w:rFonts w:cs="Times New Roman" w:hint="eastAsia"/>
                <w:b w:val="0"/>
              </w:rPr>
              <w:t>）</w:t>
            </w:r>
          </w:p>
        </w:tc>
        <w:tc>
          <w:tcPr>
            <w:tcW w:w="1259" w:type="dxa"/>
            <w:vAlign w:val="center"/>
          </w:tcPr>
          <w:p w14:paraId="2CAB2018" w14:textId="77777777" w:rsidR="002C09A7" w:rsidRPr="00530A11" w:rsidRDefault="002C09A7" w:rsidP="00C060F4">
            <w:pPr>
              <w:pStyle w:val="ae"/>
              <w:rPr>
                <w:rFonts w:cs="Times New Roman"/>
                <w:b w:val="0"/>
              </w:rPr>
            </w:pPr>
            <w:r w:rsidRPr="00530A11">
              <w:rPr>
                <w:rFonts w:cs="Times New Roman"/>
                <w:b w:val="0"/>
              </w:rPr>
              <w:t>ug/ m</w:t>
            </w:r>
            <w:r w:rsidRPr="00530A11">
              <w:rPr>
                <w:rFonts w:cs="Times New Roman"/>
                <w:b w:val="0"/>
                <w:vertAlign w:val="superscript"/>
              </w:rPr>
              <w:t>3</w:t>
            </w:r>
          </w:p>
        </w:tc>
        <w:tc>
          <w:tcPr>
            <w:tcW w:w="1499" w:type="dxa"/>
            <w:vAlign w:val="center"/>
          </w:tcPr>
          <w:p w14:paraId="3BFAFDE1" w14:textId="77777777" w:rsidR="002C09A7" w:rsidRPr="00530A11" w:rsidRDefault="002C09A7" w:rsidP="00C060F4">
            <w:pPr>
              <w:pStyle w:val="ae"/>
              <w:rPr>
                <w:rFonts w:cs="Times New Roman"/>
                <w:b w:val="0"/>
              </w:rPr>
            </w:pPr>
            <w:r w:rsidRPr="00530A11">
              <w:rPr>
                <w:rFonts w:cs="Times New Roman"/>
                <w:b w:val="0"/>
              </w:rPr>
              <w:t>24h</w:t>
            </w:r>
            <w:r w:rsidRPr="00530A11">
              <w:rPr>
                <w:rFonts w:cs="Times New Roman" w:hint="eastAsia"/>
                <w:b w:val="0"/>
              </w:rPr>
              <w:t>均值</w:t>
            </w:r>
          </w:p>
        </w:tc>
        <w:tc>
          <w:tcPr>
            <w:tcW w:w="1136" w:type="dxa"/>
            <w:vAlign w:val="center"/>
          </w:tcPr>
          <w:p w14:paraId="26EA6D51" w14:textId="77777777" w:rsidR="002C09A7" w:rsidRPr="00530A11" w:rsidRDefault="002C09A7" w:rsidP="00C060F4">
            <w:pPr>
              <w:pStyle w:val="ae"/>
              <w:rPr>
                <w:rFonts w:cs="Times New Roman"/>
                <w:b w:val="0"/>
              </w:rPr>
            </w:pPr>
            <w:r w:rsidRPr="00530A11">
              <w:rPr>
                <w:rFonts w:cs="Times New Roman"/>
                <w:b w:val="0"/>
              </w:rPr>
              <w:t>35</w:t>
            </w:r>
          </w:p>
        </w:tc>
        <w:tc>
          <w:tcPr>
            <w:tcW w:w="1474" w:type="dxa"/>
            <w:vAlign w:val="center"/>
          </w:tcPr>
          <w:p w14:paraId="0A708855" w14:textId="77777777" w:rsidR="002C09A7" w:rsidRPr="00530A11" w:rsidRDefault="002C09A7" w:rsidP="00C060F4">
            <w:pPr>
              <w:pStyle w:val="ae"/>
              <w:rPr>
                <w:rFonts w:cs="Times New Roman"/>
                <w:b w:val="0"/>
              </w:rPr>
            </w:pPr>
            <w:r w:rsidRPr="00530A11">
              <w:rPr>
                <w:rFonts w:cs="Times New Roman"/>
                <w:b w:val="0"/>
              </w:rPr>
              <w:t>25</w:t>
            </w:r>
          </w:p>
        </w:tc>
      </w:tr>
      <w:tr w:rsidR="002C09A7" w:rsidRPr="00530A11" w14:paraId="5BB62C16" w14:textId="77777777" w:rsidTr="00C060F4">
        <w:trPr>
          <w:gridAfter w:val="1"/>
          <w:wAfter w:w="21" w:type="dxa"/>
          <w:trHeight w:val="454"/>
          <w:jc w:val="center"/>
        </w:trPr>
        <w:tc>
          <w:tcPr>
            <w:tcW w:w="1773" w:type="dxa"/>
            <w:vAlign w:val="center"/>
          </w:tcPr>
          <w:p w14:paraId="78BDCC99" w14:textId="77777777" w:rsidR="002C09A7" w:rsidRPr="00530A11" w:rsidRDefault="002C09A7" w:rsidP="00C060F4">
            <w:pPr>
              <w:pStyle w:val="ae"/>
              <w:rPr>
                <w:rFonts w:cs="Times New Roman"/>
                <w:b w:val="0"/>
              </w:rPr>
            </w:pPr>
            <w:r w:rsidRPr="00530A11">
              <w:rPr>
                <w:rFonts w:cs="Times New Roman" w:hint="eastAsia"/>
                <w:b w:val="0"/>
              </w:rPr>
              <w:lastRenderedPageBreak/>
              <w:t>总挥发性有机化合物</w:t>
            </w:r>
            <w:r w:rsidRPr="00530A11">
              <w:rPr>
                <w:rFonts w:cs="Times New Roman"/>
                <w:b w:val="0"/>
              </w:rPr>
              <w:t>(TVOC)</w:t>
            </w:r>
          </w:p>
        </w:tc>
        <w:tc>
          <w:tcPr>
            <w:tcW w:w="1259" w:type="dxa"/>
            <w:vAlign w:val="center"/>
          </w:tcPr>
          <w:p w14:paraId="245F0537" w14:textId="77777777" w:rsidR="002C09A7" w:rsidRPr="00530A11" w:rsidRDefault="002C09A7" w:rsidP="00C060F4">
            <w:pPr>
              <w:pStyle w:val="ae"/>
              <w:rPr>
                <w:rFonts w:cs="Times New Roman"/>
                <w:b w:val="0"/>
              </w:rPr>
            </w:pPr>
            <w:r w:rsidRPr="00530A11">
              <w:rPr>
                <w:rFonts w:cs="Times New Roman"/>
                <w:b w:val="0"/>
              </w:rPr>
              <w:t>mg/m</w:t>
            </w:r>
            <w:r w:rsidRPr="00530A11">
              <w:rPr>
                <w:rFonts w:cs="Times New Roman"/>
                <w:b w:val="0"/>
                <w:vertAlign w:val="superscript"/>
              </w:rPr>
              <w:t>3</w:t>
            </w:r>
          </w:p>
        </w:tc>
        <w:tc>
          <w:tcPr>
            <w:tcW w:w="1499" w:type="dxa"/>
            <w:vAlign w:val="center"/>
          </w:tcPr>
          <w:p w14:paraId="6C57DDBA" w14:textId="77777777" w:rsidR="002C09A7" w:rsidRPr="00530A11" w:rsidRDefault="002C09A7" w:rsidP="00C060F4">
            <w:pPr>
              <w:pStyle w:val="ae"/>
              <w:rPr>
                <w:rFonts w:cs="Times New Roman"/>
                <w:b w:val="0"/>
              </w:rPr>
            </w:pPr>
            <w:r w:rsidRPr="00530A11">
              <w:rPr>
                <w:rFonts w:cs="Times New Roman"/>
                <w:b w:val="0"/>
              </w:rPr>
              <w:t>1h</w:t>
            </w:r>
            <w:r w:rsidRPr="00530A11">
              <w:rPr>
                <w:rFonts w:cs="Times New Roman" w:hint="eastAsia"/>
                <w:b w:val="0"/>
              </w:rPr>
              <w:t>均值</w:t>
            </w:r>
          </w:p>
        </w:tc>
        <w:tc>
          <w:tcPr>
            <w:tcW w:w="2610" w:type="dxa"/>
            <w:gridSpan w:val="2"/>
            <w:vAlign w:val="center"/>
          </w:tcPr>
          <w:p w14:paraId="01E2251B" w14:textId="77777777" w:rsidR="002C09A7" w:rsidRPr="00530A11" w:rsidRDefault="002C09A7" w:rsidP="00C060F4">
            <w:pPr>
              <w:pStyle w:val="ae"/>
              <w:rPr>
                <w:rFonts w:cs="Times New Roman"/>
                <w:b w:val="0"/>
              </w:rPr>
            </w:pPr>
            <w:r w:rsidRPr="00530A11">
              <w:rPr>
                <w:rFonts w:cs="Times New Roman"/>
                <w:b w:val="0"/>
              </w:rPr>
              <w:t>0.45</w:t>
            </w:r>
          </w:p>
        </w:tc>
      </w:tr>
      <w:tr w:rsidR="002C09A7" w:rsidRPr="00530A11" w14:paraId="093FD03B" w14:textId="77777777" w:rsidTr="00C060F4">
        <w:trPr>
          <w:gridAfter w:val="1"/>
          <w:wAfter w:w="21" w:type="dxa"/>
          <w:trHeight w:val="454"/>
          <w:jc w:val="center"/>
        </w:trPr>
        <w:tc>
          <w:tcPr>
            <w:tcW w:w="1773" w:type="dxa"/>
            <w:vAlign w:val="center"/>
          </w:tcPr>
          <w:p w14:paraId="76C6396F" w14:textId="77777777" w:rsidR="002C09A7" w:rsidRPr="00530A11" w:rsidRDefault="002C09A7" w:rsidP="00C060F4">
            <w:pPr>
              <w:pStyle w:val="ae"/>
              <w:rPr>
                <w:rFonts w:cs="Times New Roman"/>
                <w:b w:val="0"/>
              </w:rPr>
            </w:pPr>
            <w:r w:rsidRPr="00530A11">
              <w:rPr>
                <w:rFonts w:cs="Times New Roman" w:hint="eastAsia"/>
                <w:b w:val="0"/>
              </w:rPr>
              <w:t>苯（</w:t>
            </w:r>
            <w:r w:rsidRPr="00530A11">
              <w:rPr>
                <w:rFonts w:cs="Times New Roman"/>
                <w:b w:val="0"/>
              </w:rPr>
              <w:t>C</w:t>
            </w:r>
            <w:r w:rsidRPr="00530A11">
              <w:rPr>
                <w:rFonts w:cs="Times New Roman"/>
                <w:b w:val="0"/>
                <w:vertAlign w:val="subscript"/>
              </w:rPr>
              <w:t>6</w:t>
            </w:r>
            <w:r w:rsidRPr="00530A11">
              <w:rPr>
                <w:rFonts w:cs="Times New Roman"/>
                <w:b w:val="0"/>
              </w:rPr>
              <w:t>H</w:t>
            </w:r>
            <w:r w:rsidRPr="00530A11">
              <w:rPr>
                <w:rFonts w:cs="Times New Roman"/>
                <w:b w:val="0"/>
                <w:vertAlign w:val="subscript"/>
              </w:rPr>
              <w:t>6</w:t>
            </w:r>
            <w:r w:rsidRPr="00530A11">
              <w:rPr>
                <w:rFonts w:cs="Times New Roman" w:hint="eastAsia"/>
                <w:b w:val="0"/>
              </w:rPr>
              <w:t>）</w:t>
            </w:r>
          </w:p>
        </w:tc>
        <w:tc>
          <w:tcPr>
            <w:tcW w:w="1259" w:type="dxa"/>
            <w:vAlign w:val="center"/>
          </w:tcPr>
          <w:p w14:paraId="2D964851" w14:textId="77777777" w:rsidR="002C09A7" w:rsidRPr="00530A11" w:rsidRDefault="002C09A7" w:rsidP="00C060F4">
            <w:pPr>
              <w:pStyle w:val="ae"/>
              <w:rPr>
                <w:rFonts w:cs="Times New Roman"/>
                <w:b w:val="0"/>
              </w:rPr>
            </w:pPr>
            <w:r w:rsidRPr="00530A11">
              <w:rPr>
                <w:rFonts w:cs="Times New Roman"/>
                <w:b w:val="0"/>
              </w:rPr>
              <w:t>mg/m</w:t>
            </w:r>
            <w:r w:rsidRPr="00530A11">
              <w:rPr>
                <w:rFonts w:cs="Times New Roman"/>
                <w:b w:val="0"/>
                <w:vertAlign w:val="superscript"/>
              </w:rPr>
              <w:t>3</w:t>
            </w:r>
          </w:p>
        </w:tc>
        <w:tc>
          <w:tcPr>
            <w:tcW w:w="1499" w:type="dxa"/>
            <w:vAlign w:val="center"/>
          </w:tcPr>
          <w:p w14:paraId="796121F7" w14:textId="77777777" w:rsidR="002C09A7" w:rsidRPr="00530A11" w:rsidRDefault="002C09A7" w:rsidP="00C060F4">
            <w:pPr>
              <w:pStyle w:val="ae"/>
              <w:rPr>
                <w:rFonts w:cs="Times New Roman"/>
                <w:b w:val="0"/>
              </w:rPr>
            </w:pPr>
            <w:r w:rsidRPr="00530A11">
              <w:rPr>
                <w:rFonts w:cs="Times New Roman"/>
                <w:b w:val="0"/>
              </w:rPr>
              <w:t>1h</w:t>
            </w:r>
            <w:r w:rsidRPr="00530A11">
              <w:rPr>
                <w:rFonts w:cs="Times New Roman" w:hint="eastAsia"/>
                <w:b w:val="0"/>
              </w:rPr>
              <w:t>均值</w:t>
            </w:r>
          </w:p>
        </w:tc>
        <w:tc>
          <w:tcPr>
            <w:tcW w:w="2610" w:type="dxa"/>
            <w:gridSpan w:val="2"/>
            <w:vAlign w:val="center"/>
          </w:tcPr>
          <w:p w14:paraId="1E60F911" w14:textId="77777777" w:rsidR="002C09A7" w:rsidRPr="00530A11" w:rsidRDefault="002C09A7" w:rsidP="00C060F4">
            <w:pPr>
              <w:pStyle w:val="ae"/>
              <w:rPr>
                <w:rFonts w:cs="Times New Roman"/>
                <w:b w:val="0"/>
              </w:rPr>
            </w:pPr>
            <w:r w:rsidRPr="00530A11">
              <w:rPr>
                <w:rFonts w:cs="Times New Roman"/>
                <w:b w:val="0"/>
              </w:rPr>
              <w:t>0.07</w:t>
            </w:r>
          </w:p>
        </w:tc>
      </w:tr>
      <w:tr w:rsidR="002C09A7" w:rsidRPr="00530A11" w14:paraId="35B6E599" w14:textId="77777777" w:rsidTr="00C060F4">
        <w:trPr>
          <w:gridAfter w:val="1"/>
          <w:wAfter w:w="21" w:type="dxa"/>
          <w:trHeight w:val="454"/>
          <w:jc w:val="center"/>
        </w:trPr>
        <w:tc>
          <w:tcPr>
            <w:tcW w:w="1773" w:type="dxa"/>
            <w:vAlign w:val="center"/>
          </w:tcPr>
          <w:p w14:paraId="70240CBF" w14:textId="77777777" w:rsidR="002C09A7" w:rsidRPr="00530A11" w:rsidRDefault="002C09A7" w:rsidP="00C060F4">
            <w:pPr>
              <w:pStyle w:val="ae"/>
              <w:rPr>
                <w:rFonts w:cs="Times New Roman"/>
                <w:b w:val="0"/>
              </w:rPr>
            </w:pPr>
            <w:r w:rsidRPr="00530A11">
              <w:rPr>
                <w:rFonts w:cs="Times New Roman" w:hint="eastAsia"/>
                <w:b w:val="0"/>
              </w:rPr>
              <w:t>二氧化碳（</w:t>
            </w:r>
            <w:r w:rsidRPr="00530A11">
              <w:rPr>
                <w:rFonts w:cs="Times New Roman"/>
                <w:b w:val="0"/>
              </w:rPr>
              <w:t>CO</w:t>
            </w:r>
            <w:r w:rsidRPr="00530A11">
              <w:rPr>
                <w:rFonts w:cs="Times New Roman"/>
                <w:b w:val="0"/>
                <w:vertAlign w:val="subscript"/>
              </w:rPr>
              <w:t>2</w:t>
            </w:r>
            <w:r w:rsidRPr="00530A11">
              <w:rPr>
                <w:rFonts w:cs="Times New Roman" w:hint="eastAsia"/>
                <w:b w:val="0"/>
              </w:rPr>
              <w:t>）</w:t>
            </w:r>
          </w:p>
        </w:tc>
        <w:tc>
          <w:tcPr>
            <w:tcW w:w="1259" w:type="dxa"/>
            <w:vAlign w:val="center"/>
          </w:tcPr>
          <w:p w14:paraId="3209E6C3" w14:textId="77777777" w:rsidR="002C09A7" w:rsidRPr="00530A11" w:rsidRDefault="002C09A7" w:rsidP="00C060F4">
            <w:pPr>
              <w:pStyle w:val="ae"/>
              <w:rPr>
                <w:rFonts w:cs="Times New Roman"/>
                <w:b w:val="0"/>
              </w:rPr>
            </w:pPr>
            <w:r w:rsidRPr="00530A11">
              <w:rPr>
                <w:rFonts w:cs="Times New Roman"/>
                <w:b w:val="0"/>
              </w:rPr>
              <w:t>%</w:t>
            </w:r>
          </w:p>
        </w:tc>
        <w:tc>
          <w:tcPr>
            <w:tcW w:w="1499" w:type="dxa"/>
            <w:vAlign w:val="center"/>
          </w:tcPr>
          <w:p w14:paraId="40E6858E" w14:textId="77777777" w:rsidR="002C09A7" w:rsidRPr="00530A11" w:rsidRDefault="002C09A7" w:rsidP="00C060F4">
            <w:pPr>
              <w:pStyle w:val="ae"/>
              <w:rPr>
                <w:rFonts w:cs="Times New Roman"/>
                <w:b w:val="0"/>
              </w:rPr>
            </w:pPr>
            <w:r w:rsidRPr="00530A11">
              <w:rPr>
                <w:rFonts w:cs="Times New Roman"/>
                <w:b w:val="0"/>
              </w:rPr>
              <w:t>24h</w:t>
            </w:r>
            <w:r w:rsidRPr="00530A11">
              <w:rPr>
                <w:rFonts w:cs="Times New Roman" w:hint="eastAsia"/>
                <w:b w:val="0"/>
              </w:rPr>
              <w:t>均值</w:t>
            </w:r>
          </w:p>
        </w:tc>
        <w:tc>
          <w:tcPr>
            <w:tcW w:w="1136" w:type="dxa"/>
            <w:vAlign w:val="center"/>
          </w:tcPr>
          <w:p w14:paraId="669E73B2" w14:textId="77777777" w:rsidR="002C09A7" w:rsidRPr="00530A11" w:rsidRDefault="002C09A7" w:rsidP="00C060F4">
            <w:pPr>
              <w:pStyle w:val="ae"/>
              <w:rPr>
                <w:rFonts w:cs="Times New Roman"/>
                <w:b w:val="0"/>
              </w:rPr>
            </w:pPr>
            <w:r w:rsidRPr="00530A11">
              <w:rPr>
                <w:rFonts w:cs="Times New Roman"/>
                <w:b w:val="0"/>
              </w:rPr>
              <w:t>0.09</w:t>
            </w:r>
          </w:p>
        </w:tc>
        <w:tc>
          <w:tcPr>
            <w:tcW w:w="1474" w:type="dxa"/>
            <w:vAlign w:val="center"/>
          </w:tcPr>
          <w:p w14:paraId="67C96F12" w14:textId="77777777" w:rsidR="002C09A7" w:rsidRPr="00530A11" w:rsidRDefault="002C09A7" w:rsidP="00C060F4">
            <w:pPr>
              <w:pStyle w:val="ae"/>
              <w:rPr>
                <w:rFonts w:cs="Times New Roman"/>
                <w:b w:val="0"/>
              </w:rPr>
            </w:pPr>
            <w:r w:rsidRPr="00530A11">
              <w:rPr>
                <w:rFonts w:cs="Times New Roman"/>
                <w:b w:val="0"/>
              </w:rPr>
              <w:t>0.08</w:t>
            </w:r>
          </w:p>
        </w:tc>
      </w:tr>
      <w:tr w:rsidR="002C09A7" w:rsidRPr="00530A11" w14:paraId="51C9AF30" w14:textId="77777777" w:rsidTr="00C060F4">
        <w:trPr>
          <w:gridAfter w:val="1"/>
          <w:wAfter w:w="21" w:type="dxa"/>
          <w:trHeight w:val="454"/>
          <w:jc w:val="center"/>
        </w:trPr>
        <w:tc>
          <w:tcPr>
            <w:tcW w:w="1773" w:type="dxa"/>
            <w:vAlign w:val="center"/>
          </w:tcPr>
          <w:p w14:paraId="4492F32D" w14:textId="77777777" w:rsidR="002C09A7" w:rsidRPr="00530A11" w:rsidRDefault="002C09A7" w:rsidP="00C060F4">
            <w:pPr>
              <w:pStyle w:val="ae"/>
              <w:rPr>
                <w:rFonts w:cs="Times New Roman"/>
                <w:b w:val="0"/>
              </w:rPr>
            </w:pPr>
            <w:r w:rsidRPr="00530A11">
              <w:rPr>
                <w:rFonts w:cs="Times New Roman" w:hint="eastAsia"/>
                <w:b w:val="0"/>
              </w:rPr>
              <w:t>氨</w:t>
            </w:r>
          </w:p>
        </w:tc>
        <w:tc>
          <w:tcPr>
            <w:tcW w:w="1259" w:type="dxa"/>
            <w:vAlign w:val="center"/>
          </w:tcPr>
          <w:p w14:paraId="5487E1F5" w14:textId="77777777" w:rsidR="002C09A7" w:rsidRPr="00530A11" w:rsidRDefault="002C09A7" w:rsidP="00C060F4">
            <w:pPr>
              <w:pStyle w:val="ae"/>
              <w:rPr>
                <w:rFonts w:cs="Times New Roman"/>
                <w:b w:val="0"/>
              </w:rPr>
            </w:pPr>
            <w:r w:rsidRPr="00530A11">
              <w:rPr>
                <w:rFonts w:cs="Times New Roman"/>
                <w:b w:val="0"/>
              </w:rPr>
              <w:t>mg/m</w:t>
            </w:r>
          </w:p>
        </w:tc>
        <w:tc>
          <w:tcPr>
            <w:tcW w:w="1499" w:type="dxa"/>
            <w:vAlign w:val="center"/>
          </w:tcPr>
          <w:p w14:paraId="7BF46152" w14:textId="77777777" w:rsidR="002C09A7" w:rsidRPr="00530A11" w:rsidRDefault="002C09A7" w:rsidP="00C060F4">
            <w:pPr>
              <w:pStyle w:val="ae"/>
              <w:rPr>
                <w:rFonts w:cs="Times New Roman"/>
                <w:b w:val="0"/>
              </w:rPr>
            </w:pPr>
            <w:r w:rsidRPr="00530A11">
              <w:rPr>
                <w:rFonts w:cs="Times New Roman"/>
                <w:b w:val="0"/>
              </w:rPr>
              <w:t>1h</w:t>
            </w:r>
            <w:r w:rsidRPr="00530A11">
              <w:rPr>
                <w:rFonts w:cs="Times New Roman" w:hint="eastAsia"/>
                <w:b w:val="0"/>
              </w:rPr>
              <w:t>均值</w:t>
            </w:r>
          </w:p>
        </w:tc>
        <w:tc>
          <w:tcPr>
            <w:tcW w:w="2610" w:type="dxa"/>
            <w:gridSpan w:val="2"/>
            <w:vAlign w:val="center"/>
          </w:tcPr>
          <w:p w14:paraId="69468784" w14:textId="77777777" w:rsidR="002C09A7" w:rsidRPr="00530A11" w:rsidRDefault="002C09A7" w:rsidP="00C060F4">
            <w:pPr>
              <w:pStyle w:val="ae"/>
              <w:rPr>
                <w:rFonts w:cs="Times New Roman"/>
                <w:b w:val="0"/>
              </w:rPr>
            </w:pPr>
            <w:r w:rsidRPr="00530A11">
              <w:rPr>
                <w:rFonts w:cs="Times New Roman"/>
                <w:b w:val="0"/>
              </w:rPr>
              <w:t>0.15</w:t>
            </w:r>
          </w:p>
        </w:tc>
      </w:tr>
    </w:tbl>
    <w:bookmarkEnd w:id="105"/>
    <w:p w14:paraId="2E3AB5F9" w14:textId="77777777" w:rsidR="00715ABB" w:rsidRPr="0081478A" w:rsidRDefault="00F44390" w:rsidP="00081822">
      <w:pPr>
        <w:pStyle w:val="20"/>
        <w:rPr>
          <w:rFonts w:ascii="Times New Roman" w:hAnsi="Times New Roman" w:cs="Times New Roman"/>
          <w:color w:val="auto"/>
        </w:rPr>
      </w:pPr>
      <w:r w:rsidRPr="0081478A">
        <w:rPr>
          <w:rFonts w:ascii="Times New Roman" w:hAnsi="Times New Roman" w:cs="Times New Roman"/>
          <w:color w:val="auto"/>
        </w:rPr>
        <w:t>【条文说明】</w:t>
      </w:r>
    </w:p>
    <w:p w14:paraId="079DD448" w14:textId="77777777" w:rsidR="0087265D" w:rsidRPr="00530A11" w:rsidRDefault="0087265D" w:rsidP="0087265D">
      <w:pPr>
        <w:ind w:firstLine="420"/>
      </w:pPr>
      <w:bookmarkStart w:id="106" w:name="_Hlk25521154"/>
      <w:r w:rsidRPr="00530A11">
        <w:rPr>
          <w:rFonts w:hint="eastAsia"/>
        </w:rPr>
        <w:t>本条为地标新增条文。</w:t>
      </w:r>
    </w:p>
    <w:p w14:paraId="4CE58740" w14:textId="77777777" w:rsidR="0087265D" w:rsidRDefault="0087265D" w:rsidP="0087265D">
      <w:pPr>
        <w:ind w:firstLine="420"/>
        <w:rPr>
          <w:rFonts w:cs="Times New Roman"/>
        </w:rPr>
      </w:pPr>
      <w:r w:rsidRPr="00530A11">
        <w:rPr>
          <w:rFonts w:cs="Times New Roman"/>
        </w:rPr>
        <w:t>根据国家科技重点研发计划课题</w:t>
      </w:r>
      <w:r w:rsidRPr="00530A11">
        <w:rPr>
          <w:rFonts w:cs="Times New Roman"/>
        </w:rPr>
        <w:t>“</w:t>
      </w:r>
      <w:r w:rsidRPr="00530A11">
        <w:rPr>
          <w:rFonts w:cs="Times New Roman"/>
        </w:rPr>
        <w:t>既有公共建筑室内物理环境改善关键技术研究与示范</w:t>
      </w:r>
      <w:r w:rsidRPr="00530A11">
        <w:rPr>
          <w:rFonts w:cs="Times New Roman"/>
        </w:rPr>
        <w:t>”</w:t>
      </w:r>
      <w:r w:rsidRPr="00530A11">
        <w:rPr>
          <w:rFonts w:cs="Times New Roman"/>
        </w:rPr>
        <w:t>的研究成果</w:t>
      </w:r>
      <w:bookmarkEnd w:id="106"/>
      <w:r w:rsidRPr="00530A11">
        <w:rPr>
          <w:rFonts w:cs="Times New Roman"/>
        </w:rPr>
        <w:t>，</w:t>
      </w:r>
      <w:bookmarkStart w:id="107" w:name="_Hlk25521184"/>
      <w:r w:rsidRPr="00530A11">
        <w:rPr>
          <w:rFonts w:cs="Times New Roman"/>
        </w:rPr>
        <w:t>对于建筑室内物理环境的综合质量，受到声、光、热和空气品质的综合影响，对环境要求分为基本要求、较高要求和最高要求，并对具体各个级别的指标限值进行了如上表所示的设定。</w:t>
      </w:r>
      <w:bookmarkEnd w:id="107"/>
      <w:r w:rsidRPr="00530A11">
        <w:rPr>
          <w:rFonts w:cs="Times New Roman"/>
        </w:rPr>
        <w:t>本条参考课题研究成果，室内环境品质（表中所列全部参数）达到较高要求，得</w:t>
      </w:r>
      <w:r w:rsidRPr="00530A11">
        <w:rPr>
          <w:rFonts w:cs="Times New Roman"/>
        </w:rPr>
        <w:t>3</w:t>
      </w:r>
      <w:r w:rsidRPr="00530A11">
        <w:rPr>
          <w:rFonts w:cs="Times New Roman"/>
        </w:rPr>
        <w:t>分，达到</w:t>
      </w:r>
      <w:r w:rsidRPr="00530A11">
        <w:rPr>
          <w:rFonts w:cs="Times New Roman" w:hint="eastAsia"/>
        </w:rPr>
        <w:t>更</w:t>
      </w:r>
      <w:r w:rsidRPr="00530A11">
        <w:rPr>
          <w:rFonts w:cs="Times New Roman"/>
        </w:rPr>
        <w:t>高要求，得</w:t>
      </w:r>
      <w:r w:rsidRPr="00530A11">
        <w:rPr>
          <w:rFonts w:cs="Times New Roman"/>
        </w:rPr>
        <w:t>5</w:t>
      </w:r>
      <w:r w:rsidRPr="00530A11">
        <w:rPr>
          <w:rFonts w:cs="Times New Roman"/>
        </w:rPr>
        <w:t>分。</w:t>
      </w:r>
    </w:p>
    <w:p w14:paraId="1C828BD4" w14:textId="77777777" w:rsidR="0087265D" w:rsidRPr="0066761A" w:rsidRDefault="0087265D" w:rsidP="0087265D">
      <w:pPr>
        <w:ind w:firstLine="420"/>
      </w:pPr>
      <w:r>
        <w:rPr>
          <w:rFonts w:hint="eastAsia"/>
        </w:rPr>
        <w:t>对于室内噪声级和隔声性能，参考了</w:t>
      </w:r>
      <w:r w:rsidRPr="0066761A">
        <w:rPr>
          <w:rFonts w:hint="eastAsia"/>
        </w:rPr>
        <w:t>各国声环境相关标准中涉及</w:t>
      </w:r>
      <w:r>
        <w:rPr>
          <w:rFonts w:hint="eastAsia"/>
        </w:rPr>
        <w:t>的</w:t>
      </w:r>
      <w:r w:rsidRPr="0066761A">
        <w:rPr>
          <w:rFonts w:hint="eastAsia"/>
        </w:rPr>
        <w:t>参数，参照《民用建筑隔声设计规范》</w:t>
      </w:r>
      <w:r w:rsidRPr="0066761A">
        <w:rPr>
          <w:rFonts w:hint="eastAsia"/>
        </w:rPr>
        <w:t>GB 50118</w:t>
      </w:r>
      <w:r>
        <w:rPr>
          <w:rFonts w:hint="eastAsia"/>
        </w:rPr>
        <w:t>进行了设定。对于光环境，</w:t>
      </w:r>
      <w:r w:rsidRPr="0066761A">
        <w:rPr>
          <w:rFonts w:hint="eastAsia"/>
        </w:rPr>
        <w:t>建筑照明评价指标的测试评估按现行国家标准《建筑照明设计标准》</w:t>
      </w:r>
      <w:r w:rsidRPr="0066761A">
        <w:rPr>
          <w:rFonts w:hint="eastAsia"/>
        </w:rPr>
        <w:t>GB 50034-2013</w:t>
      </w:r>
      <w:r w:rsidRPr="0066761A">
        <w:rPr>
          <w:rFonts w:hint="eastAsia"/>
        </w:rPr>
        <w:t>中的规定进行，采光等级的确定按现行国家标准《建筑采光设计标准》</w:t>
      </w:r>
      <w:r w:rsidRPr="0066761A">
        <w:rPr>
          <w:rFonts w:hint="eastAsia"/>
        </w:rPr>
        <w:t>GB 50033-2013</w:t>
      </w:r>
      <w:r w:rsidRPr="0066761A">
        <w:rPr>
          <w:rFonts w:hint="eastAsia"/>
        </w:rPr>
        <w:t>中的规定进行，建筑室内光环境的评估等级根据各指标的测试评估确定。</w:t>
      </w:r>
      <w:r>
        <w:rPr>
          <w:rFonts w:hint="eastAsia"/>
        </w:rPr>
        <w:t>对于</w:t>
      </w:r>
      <w:r w:rsidRPr="0066761A">
        <w:rPr>
          <w:rFonts w:hint="eastAsia"/>
        </w:rPr>
        <w:t>热环境</w:t>
      </w:r>
      <w:r>
        <w:rPr>
          <w:rFonts w:hint="eastAsia"/>
        </w:rPr>
        <w:t>，</w:t>
      </w:r>
      <w:r w:rsidRPr="0066761A">
        <w:rPr>
          <w:rFonts w:hint="eastAsia"/>
        </w:rPr>
        <w:t>预计适应性平均热感觉指标（</w:t>
      </w:r>
      <w:r w:rsidRPr="0066761A">
        <w:rPr>
          <w:rFonts w:hint="eastAsia"/>
        </w:rPr>
        <w:t>APMV</w:t>
      </w:r>
      <w:r w:rsidRPr="0066761A">
        <w:rPr>
          <w:rFonts w:hint="eastAsia"/>
        </w:rPr>
        <w:t>）的计算参考《民用建筑室内热湿环境评价标准》</w:t>
      </w:r>
      <w:r w:rsidRPr="0066761A">
        <w:rPr>
          <w:rFonts w:hint="eastAsia"/>
        </w:rPr>
        <w:t>5.2</w:t>
      </w:r>
      <w:r w:rsidRPr="0066761A">
        <w:rPr>
          <w:rFonts w:hint="eastAsia"/>
        </w:rPr>
        <w:t>评价方法。对非人工冷热源热环境进行评估时，以预计适应性平均热感觉指标（</w:t>
      </w:r>
      <w:r w:rsidRPr="0066761A">
        <w:rPr>
          <w:rFonts w:hint="eastAsia"/>
        </w:rPr>
        <w:t>APMV</w:t>
      </w:r>
      <w:r w:rsidRPr="0066761A">
        <w:rPr>
          <w:rFonts w:hint="eastAsia"/>
        </w:rPr>
        <w:t>）作为评估依据进行热环境的评估</w:t>
      </w:r>
      <w:r>
        <w:rPr>
          <w:rFonts w:hint="eastAsia"/>
        </w:rPr>
        <w:t>。对于室内空气品质，</w:t>
      </w:r>
      <w:r w:rsidRPr="00B75064">
        <w:rPr>
          <w:rFonts w:hint="eastAsia"/>
        </w:rPr>
        <w:t>各项基本参数的测定分析，</w:t>
      </w:r>
      <w:r>
        <w:rPr>
          <w:rFonts w:hint="eastAsia"/>
        </w:rPr>
        <w:t>应遵守国家标准</w:t>
      </w:r>
      <w:r w:rsidRPr="00B75064">
        <w:rPr>
          <w:rFonts w:hint="eastAsia"/>
        </w:rPr>
        <w:t>《公共场所卫生检验方法</w:t>
      </w:r>
      <w:r w:rsidRPr="00B75064">
        <w:rPr>
          <w:rFonts w:hint="eastAsia"/>
        </w:rPr>
        <w:t xml:space="preserve"> </w:t>
      </w:r>
      <w:r w:rsidRPr="00B75064">
        <w:rPr>
          <w:rFonts w:hint="eastAsia"/>
        </w:rPr>
        <w:t>第</w:t>
      </w:r>
      <w:r w:rsidRPr="00B75064">
        <w:rPr>
          <w:rFonts w:hint="eastAsia"/>
        </w:rPr>
        <w:t>2</w:t>
      </w:r>
      <w:r w:rsidRPr="00B75064">
        <w:rPr>
          <w:rFonts w:hint="eastAsia"/>
        </w:rPr>
        <w:t>部分：化学污染物》</w:t>
      </w:r>
      <w:r w:rsidRPr="00B75064">
        <w:t>GB/T18204.2</w:t>
      </w:r>
      <w:r>
        <w:rPr>
          <w:rFonts w:hint="eastAsia"/>
        </w:rPr>
        <w:t>、</w:t>
      </w:r>
      <w:r w:rsidRPr="00B75064">
        <w:rPr>
          <w:rFonts w:hint="eastAsia"/>
        </w:rPr>
        <w:t>《室内空气质量标准》</w:t>
      </w:r>
      <w:r w:rsidRPr="00B75064">
        <w:rPr>
          <w:rFonts w:hint="eastAsia"/>
        </w:rPr>
        <w:t>GB/T18883</w:t>
      </w:r>
      <w:r>
        <w:rPr>
          <w:rFonts w:hint="eastAsia"/>
        </w:rPr>
        <w:t>等的有关规定。</w:t>
      </w:r>
    </w:p>
    <w:p w14:paraId="1DB3CF5F" w14:textId="77777777" w:rsidR="005042D9" w:rsidRPr="006C79E9" w:rsidRDefault="005042D9" w:rsidP="006C79E9">
      <w:pPr>
        <w:pStyle w:val="20"/>
      </w:pPr>
      <w:r w:rsidRPr="0081478A">
        <w:t>【评价要点】</w:t>
      </w:r>
    </w:p>
    <w:p w14:paraId="5F456164" w14:textId="57A61C0D" w:rsidR="00163687" w:rsidRPr="00E72E32" w:rsidRDefault="00E72E32">
      <w:pPr>
        <w:ind w:firstLine="420"/>
        <w:rPr>
          <w:rFonts w:cs="Times New Roman"/>
        </w:rPr>
      </w:pPr>
      <w:r>
        <w:rPr>
          <w:rFonts w:cs="Times New Roman" w:hint="eastAsia"/>
        </w:rPr>
        <w:t>室内环境质量各项指标（声、光、热、室内空气品质）均</w:t>
      </w:r>
      <w:r w:rsidRPr="00E72E32">
        <w:rPr>
          <w:rFonts w:cs="Times New Roman" w:hint="eastAsia"/>
        </w:rPr>
        <w:t>达到</w:t>
      </w:r>
      <w:r w:rsidR="00843E55">
        <w:rPr>
          <w:rFonts w:cs="Times New Roman" w:hint="eastAsia"/>
        </w:rPr>
        <w:t>上述</w:t>
      </w:r>
      <w:r w:rsidRPr="00E72E32">
        <w:rPr>
          <w:rFonts w:cs="Times New Roman" w:hint="eastAsia"/>
        </w:rPr>
        <w:t>各表中的较高要求得</w:t>
      </w:r>
      <w:r w:rsidRPr="00E72E32">
        <w:rPr>
          <w:rFonts w:cs="Times New Roman" w:hint="eastAsia"/>
        </w:rPr>
        <w:t>3</w:t>
      </w:r>
      <w:r w:rsidRPr="00E72E32">
        <w:rPr>
          <w:rFonts w:cs="Times New Roman" w:hint="eastAsia"/>
        </w:rPr>
        <w:t>分，达到更高要求得</w:t>
      </w:r>
      <w:r w:rsidRPr="00E72E32">
        <w:rPr>
          <w:rFonts w:cs="Times New Roman" w:hint="eastAsia"/>
        </w:rPr>
        <w:t>5</w:t>
      </w:r>
      <w:r w:rsidRPr="00E72E32">
        <w:rPr>
          <w:rFonts w:cs="Times New Roman" w:hint="eastAsia"/>
        </w:rPr>
        <w:t>分。</w:t>
      </w:r>
      <w:r w:rsidR="00843E55">
        <w:rPr>
          <w:rFonts w:cs="Times New Roman" w:hint="eastAsia"/>
        </w:rPr>
        <w:t>预评价时各部分计算方法参见前述条款各指标计算要求。</w:t>
      </w:r>
    </w:p>
    <w:p w14:paraId="75EC1BC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7DF2F3C3" w14:textId="1A8F169C" w:rsidR="00882AF4" w:rsidRPr="0081478A" w:rsidRDefault="004F215F" w:rsidP="00921836">
      <w:pPr>
        <w:ind w:firstLine="420"/>
        <w:rPr>
          <w:rFonts w:cs="Times New Roman"/>
          <w:szCs w:val="24"/>
        </w:rPr>
      </w:pPr>
      <w:r w:rsidRPr="00530A11">
        <w:t>预评价查阅相关设计文件</w:t>
      </w:r>
      <w:r w:rsidRPr="00530A11">
        <w:rPr>
          <w:rFonts w:hint="eastAsia"/>
        </w:rPr>
        <w:t>、建筑室内</w:t>
      </w:r>
      <w:r w:rsidR="00843E55">
        <w:rPr>
          <w:rFonts w:hint="eastAsia"/>
        </w:rPr>
        <w:t>声、光、热、空气品质</w:t>
      </w:r>
      <w:r w:rsidRPr="00530A11">
        <w:rPr>
          <w:rFonts w:hint="eastAsia"/>
        </w:rPr>
        <w:t>分析计算报告书</w:t>
      </w:r>
      <w:r w:rsidRPr="00530A11">
        <w:t>；评价查阅计算分析报告，检测报告。</w:t>
      </w:r>
      <w:r w:rsidR="00882AF4" w:rsidRPr="0081478A">
        <w:rPr>
          <w:rFonts w:cs="Times New Roman"/>
          <w:szCs w:val="24"/>
        </w:rPr>
        <w:br w:type="page"/>
      </w:r>
    </w:p>
    <w:p w14:paraId="6C7E88E2" w14:textId="6B8637E0" w:rsidR="00715ABB" w:rsidRPr="0081478A" w:rsidRDefault="00F44390" w:rsidP="003C1556">
      <w:pPr>
        <w:pStyle w:val="1"/>
      </w:pPr>
      <w:bookmarkStart w:id="108" w:name="_Toc22221573"/>
      <w:bookmarkStart w:id="109" w:name="_Toc35364740"/>
      <w:r w:rsidRPr="0081478A">
        <w:lastRenderedPageBreak/>
        <w:t xml:space="preserve">6  </w:t>
      </w:r>
      <w:r w:rsidRPr="0081478A">
        <w:t>生活便利</w:t>
      </w:r>
      <w:bookmarkEnd w:id="108"/>
      <w:bookmarkEnd w:id="109"/>
    </w:p>
    <w:p w14:paraId="4D56287B" w14:textId="77777777" w:rsidR="00715ABB" w:rsidRPr="0081478A" w:rsidRDefault="00F44390" w:rsidP="001A7E3B">
      <w:pPr>
        <w:pStyle w:val="2"/>
      </w:pPr>
      <w:bookmarkStart w:id="110" w:name="_Toc22221574"/>
      <w:bookmarkStart w:id="111" w:name="_Toc35364741"/>
      <w:r w:rsidRPr="0081478A">
        <w:t xml:space="preserve">6.1 </w:t>
      </w:r>
      <w:r w:rsidRPr="0081478A">
        <w:t>控</w:t>
      </w:r>
      <w:r w:rsidRPr="0081478A">
        <w:t xml:space="preserve"> </w:t>
      </w:r>
      <w:r w:rsidRPr="0081478A">
        <w:t>制</w:t>
      </w:r>
      <w:r w:rsidRPr="0081478A">
        <w:t xml:space="preserve"> </w:t>
      </w:r>
      <w:r w:rsidRPr="0081478A">
        <w:t>项</w:t>
      </w:r>
      <w:bookmarkEnd w:id="110"/>
      <w:bookmarkEnd w:id="111"/>
    </w:p>
    <w:p w14:paraId="24F6764E" w14:textId="77777777" w:rsidR="001C05E4" w:rsidRPr="00530A11" w:rsidRDefault="001C05E4" w:rsidP="001C05E4">
      <w:pPr>
        <w:pStyle w:val="4"/>
        <w:rPr>
          <w:rFonts w:cs="Times New Roman"/>
          <w:bCs w:val="0"/>
        </w:rPr>
      </w:pPr>
      <w:r w:rsidRPr="00530A11">
        <w:rPr>
          <w:rFonts w:cs="Times New Roman"/>
          <w:bCs w:val="0"/>
        </w:rPr>
        <w:t xml:space="preserve">6.1.1 </w:t>
      </w:r>
      <w:r w:rsidRPr="00530A11">
        <w:rPr>
          <w:rFonts w:cs="Times New Roman"/>
          <w:bCs w:val="0"/>
        </w:rPr>
        <w:t>建筑、</w:t>
      </w:r>
      <w:r w:rsidRPr="00530A11">
        <w:rPr>
          <w:rFonts w:cs="Times New Roman" w:hint="eastAsia"/>
          <w:bCs w:val="0"/>
        </w:rPr>
        <w:t>停车场</w:t>
      </w:r>
      <w:r w:rsidRPr="00530A11">
        <w:rPr>
          <w:rFonts w:cs="Times New Roman"/>
          <w:bCs w:val="0"/>
        </w:rPr>
        <w:t>(</w:t>
      </w:r>
      <w:r w:rsidRPr="00530A11">
        <w:rPr>
          <w:rFonts w:cs="Times New Roman" w:hint="eastAsia"/>
          <w:bCs w:val="0"/>
        </w:rPr>
        <w:t>库</w:t>
      </w:r>
      <w:r w:rsidRPr="00530A11">
        <w:rPr>
          <w:rFonts w:cs="Times New Roman"/>
          <w:bCs w:val="0"/>
        </w:rPr>
        <w:t>)</w:t>
      </w:r>
      <w:r w:rsidRPr="00530A11">
        <w:rPr>
          <w:rFonts w:cs="Times New Roman"/>
          <w:bCs w:val="0"/>
        </w:rPr>
        <w:t>、室外场地、公共绿地、城市道路相互之间应设置连贯的无障碍步行系统。</w:t>
      </w:r>
    </w:p>
    <w:p w14:paraId="49359581" w14:textId="77777777" w:rsidR="00715ABB" w:rsidRPr="0081478A" w:rsidRDefault="00F44390">
      <w:pPr>
        <w:ind w:firstLineChars="0" w:firstLine="0"/>
        <w:rPr>
          <w:rFonts w:cs="Times New Roman"/>
          <w:b/>
          <w:szCs w:val="24"/>
        </w:rPr>
      </w:pPr>
      <w:r w:rsidRPr="0081478A">
        <w:rPr>
          <w:rFonts w:cs="Times New Roman"/>
          <w:b/>
          <w:szCs w:val="24"/>
        </w:rPr>
        <w:t>【条文说明】</w:t>
      </w:r>
    </w:p>
    <w:p w14:paraId="4B0A658D" w14:textId="77777777" w:rsidR="001C05E4" w:rsidRPr="00530A11" w:rsidRDefault="001C05E4" w:rsidP="001C05E4">
      <w:pPr>
        <w:ind w:firstLine="420"/>
        <w:rPr>
          <w:szCs w:val="24"/>
        </w:rPr>
      </w:pPr>
      <w:r w:rsidRPr="00530A11">
        <w:t>本条沿引国家《绿色建筑评价标准》</w:t>
      </w:r>
      <w:r w:rsidRPr="00530A11">
        <w:t>GB/T 50378-2019</w:t>
      </w:r>
      <w:r w:rsidRPr="00530A11">
        <w:t>，</w:t>
      </w:r>
      <w:r w:rsidRPr="00530A11">
        <w:rPr>
          <w:rFonts w:hint="eastAsia"/>
        </w:rPr>
        <w:t>并对条文说明进行了局部修改和补充</w:t>
      </w:r>
      <w:r w:rsidRPr="00530A11">
        <w:t>。本条在国家标准</w:t>
      </w:r>
      <w:r w:rsidRPr="00530A11">
        <w:t>2014</w:t>
      </w:r>
      <w:r w:rsidRPr="00530A11">
        <w:t>年版第</w:t>
      </w:r>
      <w:r w:rsidRPr="00530A11">
        <w:t>4.2.9</w:t>
      </w:r>
      <w:r w:rsidRPr="00530A11">
        <w:t>条，地方标准</w:t>
      </w:r>
      <w:r w:rsidRPr="00530A11">
        <w:t>2014</w:t>
      </w:r>
      <w:r w:rsidRPr="00530A11">
        <w:t>版</w:t>
      </w:r>
      <w:r w:rsidRPr="00530A11">
        <w:t>4.2.9</w:t>
      </w:r>
      <w:r w:rsidRPr="00530A11">
        <w:t>条的基础上发展而来。</w:t>
      </w:r>
    </w:p>
    <w:p w14:paraId="68E69F52" w14:textId="2BAA9C40" w:rsidR="001C05E4" w:rsidRPr="00530A11" w:rsidRDefault="001C05E4" w:rsidP="001C05E4">
      <w:pPr>
        <w:ind w:firstLine="420"/>
        <w:rPr>
          <w:rFonts w:cs="Times New Roman"/>
        </w:rPr>
      </w:pPr>
      <w:r w:rsidRPr="00530A11">
        <w:rPr>
          <w:rFonts w:cs="Times New Roman"/>
        </w:rPr>
        <w:t>无障碍设计是充分体现和保障不同需求使用者人身安全和心理健康的重要的设计内容，是提高人民生活质量，确保不同需求的人能够出行便利、安全地使用各种设施的基本保障。本条在满足现行国家标准《无障碍设计规范》</w:t>
      </w:r>
      <w:r w:rsidRPr="00530A11">
        <w:rPr>
          <w:rFonts w:cs="Times New Roman"/>
        </w:rPr>
        <w:t>GB 50763</w:t>
      </w:r>
      <w:r w:rsidRPr="00530A11">
        <w:rPr>
          <w:rFonts w:cs="Times New Roman"/>
        </w:rPr>
        <w:t>的基本要求要求在室外场地设计中，应保证无障碍步行系统连贯性设计，场地范围内的人行通道应与城市道路、场地内道路、建筑主要出入口、公共绿地和公共空间等相连通、连续。其中公共绿地是指为各级生活圈居住区配建的公园绿地及街头小广场。对应城市用地分类</w:t>
      </w:r>
      <w:r w:rsidRPr="00530A11">
        <w:rPr>
          <w:rFonts w:cs="Times New Roman"/>
        </w:rPr>
        <w:t>G</w:t>
      </w:r>
      <w:r w:rsidRPr="00530A11">
        <w:rPr>
          <w:rFonts w:cs="Times New Roman"/>
        </w:rPr>
        <w:t>类用地</w:t>
      </w:r>
      <w:r w:rsidRPr="00530A11">
        <w:rPr>
          <w:rFonts w:cs="Times New Roman"/>
        </w:rPr>
        <w:t>(</w:t>
      </w:r>
      <w:r w:rsidRPr="00530A11">
        <w:rPr>
          <w:rFonts w:cs="Times New Roman"/>
        </w:rPr>
        <w:t>绿地与广场用地</w:t>
      </w:r>
      <w:r w:rsidRPr="00530A11">
        <w:rPr>
          <w:rFonts w:cs="Times New Roman"/>
        </w:rPr>
        <w:t>)</w:t>
      </w:r>
      <w:r w:rsidRPr="00530A11">
        <w:rPr>
          <w:rFonts w:cs="Times New Roman"/>
        </w:rPr>
        <w:t>中的公园绿地</w:t>
      </w:r>
      <w:r w:rsidRPr="00530A11">
        <w:rPr>
          <w:rFonts w:cs="Times New Roman"/>
        </w:rPr>
        <w:t>(G1)</w:t>
      </w:r>
      <w:r w:rsidRPr="00530A11">
        <w:rPr>
          <w:rFonts w:cs="Times New Roman"/>
        </w:rPr>
        <w:t>及广场用地</w:t>
      </w:r>
      <w:r w:rsidRPr="00530A11">
        <w:rPr>
          <w:rFonts w:cs="Times New Roman"/>
        </w:rPr>
        <w:t>(G3)</w:t>
      </w:r>
      <w:r w:rsidRPr="00530A11">
        <w:rPr>
          <w:rFonts w:cs="Times New Roman"/>
        </w:rPr>
        <w:t>，不包括城市级的大型公园绿地及广场用地。当场地存在高差时，应以无障碍坡道</w:t>
      </w:r>
      <w:r w:rsidRPr="00530A11">
        <w:rPr>
          <w:rFonts w:cs="Times New Roman"/>
          <w:kern w:val="44"/>
          <w:szCs w:val="24"/>
        </w:rPr>
        <w:t>或采用垂直升降设备来解决。</w:t>
      </w:r>
    </w:p>
    <w:p w14:paraId="608525D2" w14:textId="77777777"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185F71CA" w14:textId="77777777" w:rsidR="004C499D" w:rsidRPr="0081478A" w:rsidRDefault="004C499D" w:rsidP="004C499D">
      <w:pPr>
        <w:ind w:firstLine="420"/>
        <w:rPr>
          <w:rFonts w:cs="Times New Roman"/>
        </w:rPr>
      </w:pPr>
      <w:r>
        <w:rPr>
          <w:rFonts w:cs="Times New Roman" w:hint="eastAsia"/>
        </w:rPr>
        <w:t>检查</w:t>
      </w:r>
      <w:r w:rsidRPr="0081478A">
        <w:rPr>
          <w:rFonts w:cs="Times New Roman"/>
        </w:rPr>
        <w:t>场地内的无障碍通道</w:t>
      </w:r>
      <w:r>
        <w:rPr>
          <w:rFonts w:cs="Times New Roman" w:hint="eastAsia"/>
        </w:rPr>
        <w:t>的设计路线和做法；检查其是否与</w:t>
      </w:r>
      <w:r w:rsidRPr="0081478A">
        <w:rPr>
          <w:rFonts w:cs="Times New Roman"/>
        </w:rPr>
        <w:t>场地外已有</w:t>
      </w:r>
      <w:r>
        <w:rPr>
          <w:rFonts w:cs="Times New Roman" w:hint="eastAsia"/>
        </w:rPr>
        <w:t>的</w:t>
      </w:r>
      <w:r w:rsidRPr="0081478A">
        <w:rPr>
          <w:rFonts w:cs="Times New Roman"/>
        </w:rPr>
        <w:t>无障碍人行通道</w:t>
      </w:r>
      <w:r>
        <w:rPr>
          <w:rFonts w:cs="Times New Roman" w:hint="eastAsia"/>
        </w:rPr>
        <w:t>相连通</w:t>
      </w:r>
      <w:r w:rsidRPr="0081478A">
        <w:rPr>
          <w:rFonts w:cs="Times New Roman"/>
        </w:rPr>
        <w:t>。</w:t>
      </w:r>
    </w:p>
    <w:p w14:paraId="3F6ECC6F"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1996FE26" w14:textId="77777777" w:rsidR="004F215F" w:rsidRPr="00530A11" w:rsidRDefault="004F215F" w:rsidP="004F215F">
      <w:pPr>
        <w:ind w:firstLine="420"/>
        <w:rPr>
          <w:rFonts w:cs="Times New Roman"/>
        </w:rPr>
      </w:pPr>
      <w:r w:rsidRPr="00530A11">
        <w:rPr>
          <w:rFonts w:cs="Times New Roman"/>
        </w:rPr>
        <w:t>预评价查阅相关设计文件；评价查阅相关竣工图，查看施工过程影像资料，组织现场查勘。</w:t>
      </w:r>
    </w:p>
    <w:p w14:paraId="24C8498D" w14:textId="77777777" w:rsidR="00715ABB" w:rsidRPr="004F215F" w:rsidRDefault="00715ABB">
      <w:pPr>
        <w:snapToGrid w:val="0"/>
        <w:ind w:firstLine="420"/>
        <w:jc w:val="left"/>
        <w:rPr>
          <w:rFonts w:cs="Times New Roman"/>
          <w:szCs w:val="24"/>
        </w:rPr>
      </w:pPr>
    </w:p>
    <w:p w14:paraId="027F0B3B" w14:textId="77777777" w:rsidR="001C05E4" w:rsidRPr="00530A11" w:rsidRDefault="001C05E4" w:rsidP="001C05E4">
      <w:pPr>
        <w:pStyle w:val="4"/>
        <w:rPr>
          <w:rFonts w:cs="Times New Roman"/>
          <w:bCs w:val="0"/>
        </w:rPr>
      </w:pPr>
      <w:r w:rsidRPr="00530A11">
        <w:rPr>
          <w:rFonts w:cs="Times New Roman"/>
          <w:bCs w:val="0"/>
        </w:rPr>
        <w:t xml:space="preserve">6.1.2 </w:t>
      </w:r>
      <w:r w:rsidRPr="00530A11">
        <w:rPr>
          <w:rFonts w:cs="Times New Roman"/>
          <w:bCs w:val="0"/>
        </w:rPr>
        <w:t>场地人行出入口</w:t>
      </w:r>
      <w:r w:rsidRPr="00530A11">
        <w:rPr>
          <w:rFonts w:cs="Times New Roman"/>
          <w:bCs w:val="0"/>
        </w:rPr>
        <w:t>500m</w:t>
      </w:r>
      <w:r w:rsidRPr="00530A11">
        <w:rPr>
          <w:rFonts w:cs="Times New Roman"/>
          <w:bCs w:val="0"/>
        </w:rPr>
        <w:t>内应设有公共交通站点或配备有</w:t>
      </w:r>
      <w:r w:rsidRPr="00530A11">
        <w:rPr>
          <w:rFonts w:cs="Times New Roman" w:hint="eastAsia"/>
          <w:bCs w:val="0"/>
        </w:rPr>
        <w:t>定时定点</w:t>
      </w:r>
      <w:r w:rsidRPr="00530A11">
        <w:rPr>
          <w:rFonts w:cs="Times New Roman"/>
          <w:bCs w:val="0"/>
        </w:rPr>
        <w:t>与公共交通站点联系的专用接驳车。</w:t>
      </w:r>
    </w:p>
    <w:p w14:paraId="35239644" w14:textId="77777777" w:rsidR="00715ABB" w:rsidRPr="0081478A" w:rsidRDefault="00F44390">
      <w:pPr>
        <w:ind w:firstLineChars="0" w:firstLine="0"/>
        <w:rPr>
          <w:rFonts w:cs="Times New Roman"/>
          <w:b/>
          <w:szCs w:val="24"/>
        </w:rPr>
      </w:pPr>
      <w:r w:rsidRPr="0081478A">
        <w:rPr>
          <w:rFonts w:cs="Times New Roman"/>
          <w:b/>
          <w:szCs w:val="24"/>
        </w:rPr>
        <w:t>【条文说明】</w:t>
      </w:r>
    </w:p>
    <w:p w14:paraId="45CCB20D" w14:textId="77777777" w:rsidR="001C05E4" w:rsidRPr="00530A11" w:rsidRDefault="001C05E4" w:rsidP="001C05E4">
      <w:pPr>
        <w:ind w:firstLine="420"/>
      </w:pPr>
      <w:r w:rsidRPr="00530A11">
        <w:t>本条适用于各类民用建筑的预评价、评价。</w:t>
      </w:r>
    </w:p>
    <w:p w14:paraId="58D7748A" w14:textId="77777777" w:rsidR="001C05E4" w:rsidRPr="00530A11" w:rsidRDefault="001C05E4" w:rsidP="001C05E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4.2.8</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4.2.8</w:t>
      </w:r>
      <w:r w:rsidRPr="00530A11">
        <w:rPr>
          <w:rFonts w:cs="Times New Roman"/>
        </w:rPr>
        <w:t>条的基础上发展而来。</w:t>
      </w:r>
    </w:p>
    <w:p w14:paraId="5C9EA77A" w14:textId="77777777" w:rsidR="001C05E4" w:rsidRPr="00530A11" w:rsidRDefault="001C05E4" w:rsidP="001C05E4">
      <w:pPr>
        <w:ind w:firstLine="420"/>
        <w:rPr>
          <w:rFonts w:cs="Times New Roman"/>
        </w:rPr>
      </w:pPr>
      <w:r w:rsidRPr="00530A11">
        <w:rPr>
          <w:rFonts w:cs="Times New Roman"/>
        </w:rPr>
        <w:lastRenderedPageBreak/>
        <w:t>绿色建筑应首先满足使用者绿色出行的基本要求。本条以人步行到达公共交通站点</w:t>
      </w:r>
      <w:r w:rsidRPr="00530A11">
        <w:rPr>
          <w:rFonts w:cs="Times New Roman"/>
        </w:rPr>
        <w:t>(</w:t>
      </w:r>
      <w:r w:rsidRPr="00530A11">
        <w:rPr>
          <w:rFonts w:cs="Times New Roman"/>
        </w:rPr>
        <w:t>含轨道交通站点</w:t>
      </w:r>
      <w:r w:rsidRPr="00530A11">
        <w:rPr>
          <w:rFonts w:cs="Times New Roman"/>
        </w:rPr>
        <w:t>)</w:t>
      </w:r>
      <w:r w:rsidRPr="00530A11">
        <w:rPr>
          <w:rFonts w:cs="Times New Roman"/>
        </w:rPr>
        <w:t>的适宜时间</w:t>
      </w:r>
      <w:r w:rsidRPr="00530A11">
        <w:rPr>
          <w:rFonts w:cs="Times New Roman"/>
        </w:rPr>
        <w:t>10</w:t>
      </w:r>
      <w:r w:rsidRPr="00530A11">
        <w:rPr>
          <w:rFonts w:cs="Times New Roman"/>
        </w:rPr>
        <w:t>分钟作为公共交通站点设置的合理距离，强调了建筑</w:t>
      </w:r>
      <w:r w:rsidRPr="00530A11">
        <w:rPr>
          <w:rFonts w:cs="Times New Roman"/>
        </w:rPr>
        <w:t>500m</w:t>
      </w:r>
      <w:r w:rsidRPr="00530A11">
        <w:rPr>
          <w:rFonts w:cs="Times New Roman"/>
        </w:rPr>
        <w:t>范围内应设置公共交通站点，这也是促进公共交通出行的先决条件。有些项目因地处新建区，暂时未开通公交达不到本条要求的，应配备专用接驳车联系公共交通站点，以保障公交出行的便捷性，并在场地内设置定时定点的车站和站牌。</w:t>
      </w:r>
    </w:p>
    <w:p w14:paraId="15DE1016" w14:textId="77777777"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031BE50D" w14:textId="1D8BC839" w:rsidR="00932578" w:rsidRPr="0081478A" w:rsidRDefault="00D12CC4" w:rsidP="00D12CC4">
      <w:pPr>
        <w:ind w:firstLine="420"/>
      </w:pPr>
      <w:r>
        <w:rPr>
          <w:rFonts w:hint="eastAsia"/>
        </w:rPr>
        <w:t>重点</w:t>
      </w:r>
      <w:r w:rsidRPr="00530A11">
        <w:t>查阅相关设计文件、交通站点标识图</w:t>
      </w:r>
      <w:r>
        <w:rPr>
          <w:rFonts w:hint="eastAsia"/>
        </w:rPr>
        <w:t>，判断</w:t>
      </w:r>
      <w:r w:rsidRPr="00530A11">
        <w:t>建筑</w:t>
      </w:r>
      <w:r w:rsidRPr="00530A11">
        <w:t>500m</w:t>
      </w:r>
      <w:r w:rsidRPr="00530A11">
        <w:t>范围内</w:t>
      </w:r>
      <w:r>
        <w:rPr>
          <w:rFonts w:hint="eastAsia"/>
        </w:rPr>
        <w:t>是否</w:t>
      </w:r>
      <w:r w:rsidRPr="00530A11">
        <w:t>设置公共交通站点</w:t>
      </w:r>
      <w:r w:rsidRPr="00530A11">
        <w:rPr>
          <w:bCs/>
        </w:rPr>
        <w:t>或配备有</w:t>
      </w:r>
      <w:r w:rsidRPr="00530A11">
        <w:rPr>
          <w:rFonts w:hint="eastAsia"/>
          <w:bCs/>
        </w:rPr>
        <w:t>定时定点</w:t>
      </w:r>
      <w:r w:rsidRPr="00530A11">
        <w:rPr>
          <w:bCs/>
        </w:rPr>
        <w:t>与公共交通站点联系的专用接驳车</w:t>
      </w:r>
      <w:r>
        <w:rPr>
          <w:rFonts w:hint="eastAsia"/>
          <w:bCs/>
        </w:rPr>
        <w:t>。</w:t>
      </w:r>
    </w:p>
    <w:p w14:paraId="602EDB05"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75905A57" w14:textId="736BAE31" w:rsidR="00715ABB" w:rsidRDefault="004F215F" w:rsidP="004F215F">
      <w:pPr>
        <w:ind w:firstLine="420"/>
      </w:pPr>
      <w:r w:rsidRPr="00530A11">
        <w:t>预评价查阅相关设计文件、交通站点标识图；评价查阅相关竣工图，现场站牌和车辆等影像资料。</w:t>
      </w:r>
    </w:p>
    <w:p w14:paraId="05068C35" w14:textId="77777777" w:rsidR="004F215F" w:rsidRPr="0081478A" w:rsidRDefault="004F215F">
      <w:pPr>
        <w:snapToGrid w:val="0"/>
        <w:ind w:firstLine="420"/>
        <w:jc w:val="left"/>
        <w:rPr>
          <w:rFonts w:cs="Times New Roman"/>
          <w:szCs w:val="24"/>
        </w:rPr>
      </w:pPr>
    </w:p>
    <w:p w14:paraId="170F4D02" w14:textId="77777777" w:rsidR="001C05E4" w:rsidRPr="00530A11" w:rsidRDefault="001C05E4" w:rsidP="001C05E4">
      <w:pPr>
        <w:pStyle w:val="4"/>
        <w:rPr>
          <w:rFonts w:cs="Times New Roman"/>
          <w:bCs w:val="0"/>
        </w:rPr>
      </w:pPr>
      <w:r w:rsidRPr="00530A11">
        <w:rPr>
          <w:rFonts w:cs="Times New Roman"/>
          <w:bCs w:val="0"/>
        </w:rPr>
        <w:t xml:space="preserve">6.1.3 </w:t>
      </w:r>
      <w:r w:rsidRPr="00530A11">
        <w:rPr>
          <w:rFonts w:cs="Times New Roman"/>
          <w:bCs w:val="0"/>
        </w:rPr>
        <w:t>停车场应具有电动汽车充电设施或具备充电设施的安装条件，并应合理设置电动汽车和无障碍汽车停车位。</w:t>
      </w:r>
    </w:p>
    <w:p w14:paraId="57837420" w14:textId="77777777" w:rsidR="00715ABB" w:rsidRPr="0081478A" w:rsidRDefault="00F44390">
      <w:pPr>
        <w:ind w:firstLineChars="0" w:firstLine="0"/>
        <w:rPr>
          <w:rFonts w:cs="Times New Roman"/>
          <w:b/>
          <w:szCs w:val="24"/>
        </w:rPr>
      </w:pPr>
      <w:r w:rsidRPr="0081478A">
        <w:rPr>
          <w:rFonts w:cs="Times New Roman"/>
          <w:b/>
          <w:szCs w:val="24"/>
        </w:rPr>
        <w:t>【条文说明】</w:t>
      </w:r>
    </w:p>
    <w:p w14:paraId="668E8FD0" w14:textId="77777777" w:rsidR="001C05E4" w:rsidRPr="00530A11" w:rsidRDefault="001C05E4" w:rsidP="001C05E4">
      <w:pPr>
        <w:ind w:firstLine="420"/>
        <w:rPr>
          <w:szCs w:val="24"/>
        </w:rPr>
      </w:pPr>
      <w:r w:rsidRPr="00530A11">
        <w:t>本条适用于各类民用建筑的预评价、评价。</w:t>
      </w:r>
    </w:p>
    <w:p w14:paraId="063011E2" w14:textId="77777777" w:rsidR="001C05E4" w:rsidRPr="00530A11" w:rsidRDefault="001C05E4" w:rsidP="001C05E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p>
    <w:p w14:paraId="7D2AAD1E" w14:textId="77777777" w:rsidR="001C05E4" w:rsidRPr="00530A11" w:rsidRDefault="001C05E4" w:rsidP="001C05E4">
      <w:pPr>
        <w:ind w:firstLine="420"/>
        <w:rPr>
          <w:rFonts w:cs="Times New Roman"/>
        </w:rPr>
      </w:pPr>
      <w:r w:rsidRPr="00530A11">
        <w:rPr>
          <w:rFonts w:cs="Times New Roman"/>
        </w:rPr>
        <w:t>为贯彻落实国家发展改革委、国家能源局、工业与信息化部、住房城乡建设部《电动汽车充电基础设施和发展指南</w:t>
      </w:r>
      <w:r w:rsidRPr="00530A11">
        <w:rPr>
          <w:rFonts w:cs="Times New Roman"/>
        </w:rPr>
        <w:t>(2015</w:t>
      </w:r>
      <w:r w:rsidRPr="00530A11">
        <w:rPr>
          <w:rFonts w:cs="Times New Roman"/>
        </w:rPr>
        <w:t>～</w:t>
      </w:r>
      <w:r w:rsidRPr="00530A11">
        <w:rPr>
          <w:rFonts w:cs="Times New Roman"/>
        </w:rPr>
        <w:t>2020)</w:t>
      </w:r>
      <w:r w:rsidRPr="00530A11">
        <w:rPr>
          <w:rFonts w:cs="Times New Roman"/>
        </w:rPr>
        <w:t>》的要求，满足电动汽车发展的需求，本条明确了绿色建筑配建停车场</w:t>
      </w:r>
      <w:r w:rsidRPr="00530A11">
        <w:rPr>
          <w:rFonts w:cs="Times New Roman"/>
        </w:rPr>
        <w:t>(</w:t>
      </w:r>
      <w:r w:rsidRPr="00530A11">
        <w:rPr>
          <w:rFonts w:cs="Times New Roman"/>
        </w:rPr>
        <w:t>库</w:t>
      </w:r>
      <w:r w:rsidRPr="00530A11">
        <w:rPr>
          <w:rFonts w:cs="Times New Roman"/>
        </w:rPr>
        <w:t>)</w:t>
      </w:r>
      <w:r w:rsidRPr="00530A11">
        <w:rPr>
          <w:rFonts w:cs="Times New Roman"/>
        </w:rPr>
        <w:t>应具备电动汽车充电设施或安装条件。电动汽车充电基础设施建设，应纳入工程建设预算范围、随工程统一设计与施工完成直接建设或做好预留。一次性建成的电动汽车停车位数量应达到国家和重庆市的相关规定要求（如《重庆市支持新能源汽车推广应用政策措施（</w:t>
      </w:r>
      <w:r w:rsidRPr="00530A11">
        <w:rPr>
          <w:rFonts w:cs="Times New Roman"/>
        </w:rPr>
        <w:t>2018—2022</w:t>
      </w:r>
      <w:r w:rsidRPr="00530A11">
        <w:rPr>
          <w:rFonts w:cs="Times New Roman"/>
        </w:rPr>
        <w:t>年）的通知》（渝府办发〔</w:t>
      </w:r>
      <w:r w:rsidRPr="00530A11">
        <w:rPr>
          <w:rFonts w:cs="Times New Roman"/>
        </w:rPr>
        <w:t>2018</w:t>
      </w:r>
      <w:r w:rsidRPr="00530A11">
        <w:rPr>
          <w:rFonts w:cs="Times New Roman"/>
        </w:rPr>
        <w:t>〕</w:t>
      </w:r>
      <w:r w:rsidRPr="00530A11">
        <w:rPr>
          <w:rFonts w:cs="Times New Roman"/>
        </w:rPr>
        <w:t>184</w:t>
      </w:r>
      <w:r w:rsidRPr="00530A11">
        <w:rPr>
          <w:rFonts w:cs="Times New Roman"/>
        </w:rPr>
        <w:t>号）），其余车位应预留建设安装条件，方便各种充电设施</w:t>
      </w:r>
      <w:r w:rsidRPr="00530A11">
        <w:rPr>
          <w:rFonts w:cs="Times New Roman"/>
        </w:rPr>
        <w:t>(</w:t>
      </w:r>
      <w:r w:rsidRPr="00530A11">
        <w:rPr>
          <w:rFonts w:cs="Times New Roman"/>
        </w:rPr>
        <w:t>充电桩、充电站等</w:t>
      </w:r>
      <w:r w:rsidRPr="00530A11">
        <w:rPr>
          <w:rFonts w:cs="Times New Roman"/>
        </w:rPr>
        <w:t>)</w:t>
      </w:r>
      <w:r w:rsidRPr="00530A11">
        <w:rPr>
          <w:rFonts w:cs="Times New Roman"/>
        </w:rPr>
        <w:t>随时接入。预留条件的充电车位，至少应预留外电源管线、变压器容量、一级配电应预留低压柜安装空间、干线电缆敷设条件，第二级配电应预留区域总箱的安装空间与接入系统位置和配电支路电缆敷设条件，以便按需建设充电设施。</w:t>
      </w:r>
    </w:p>
    <w:p w14:paraId="69404391" w14:textId="77777777" w:rsidR="001C05E4" w:rsidRPr="00530A11" w:rsidRDefault="001C05E4" w:rsidP="001C05E4">
      <w:pPr>
        <w:ind w:firstLine="420"/>
        <w:rPr>
          <w:rFonts w:cs="Times New Roman"/>
        </w:rPr>
      </w:pPr>
      <w:r w:rsidRPr="00530A11">
        <w:rPr>
          <w:rFonts w:cs="Times New Roman"/>
        </w:rPr>
        <w:t>同时，根据现行国家标准《无障碍设计规范》</w:t>
      </w:r>
      <w:r w:rsidRPr="00530A11">
        <w:rPr>
          <w:rFonts w:cs="Times New Roman"/>
        </w:rPr>
        <w:t>GB 50763</w:t>
      </w:r>
      <w:r w:rsidRPr="00530A11">
        <w:rPr>
          <w:rFonts w:cs="Times New Roman"/>
        </w:rPr>
        <w:t>对不同场所无障碍停车的要求，对于居住区停车场和车库的总停车位应设置不少于</w:t>
      </w:r>
      <w:r w:rsidRPr="00530A11">
        <w:rPr>
          <w:rFonts w:cs="Times New Roman"/>
        </w:rPr>
        <w:t>0.5</w:t>
      </w:r>
      <w:r w:rsidRPr="00530A11">
        <w:rPr>
          <w:rFonts w:cs="Times New Roman"/>
        </w:rPr>
        <w:t>％的无障碍机动车停车位，若设有多个停车场和车库，宜每处设置不少于</w:t>
      </w:r>
      <w:r w:rsidRPr="00530A11">
        <w:rPr>
          <w:rFonts w:cs="Times New Roman"/>
        </w:rPr>
        <w:t>1</w:t>
      </w:r>
      <w:r w:rsidRPr="00530A11">
        <w:rPr>
          <w:rFonts w:cs="Times New Roman"/>
        </w:rPr>
        <w:t>个无障碍机动车停车位；对于公共建筑，基地内总停</w:t>
      </w:r>
      <w:r w:rsidRPr="00530A11">
        <w:rPr>
          <w:rFonts w:cs="Times New Roman"/>
        </w:rPr>
        <w:lastRenderedPageBreak/>
        <w:t>车数在</w:t>
      </w:r>
      <w:r w:rsidRPr="00530A11">
        <w:rPr>
          <w:rFonts w:cs="Times New Roman"/>
        </w:rPr>
        <w:t>100</w:t>
      </w:r>
      <w:r w:rsidRPr="00530A11">
        <w:rPr>
          <w:rFonts w:cs="Times New Roman"/>
        </w:rPr>
        <w:t>辆以下时应设置不少于</w:t>
      </w:r>
      <w:r w:rsidRPr="00530A11">
        <w:rPr>
          <w:rFonts w:cs="Times New Roman"/>
        </w:rPr>
        <w:t>1</w:t>
      </w:r>
      <w:r w:rsidRPr="00530A11">
        <w:rPr>
          <w:rFonts w:cs="Times New Roman"/>
        </w:rPr>
        <w:t>个无障碍机动车停车位，</w:t>
      </w:r>
      <w:r w:rsidRPr="00530A11">
        <w:rPr>
          <w:rFonts w:cs="Times New Roman"/>
        </w:rPr>
        <w:t>100</w:t>
      </w:r>
      <w:r w:rsidRPr="00530A11">
        <w:rPr>
          <w:rFonts w:cs="Times New Roman"/>
        </w:rPr>
        <w:t>辆以上时应设置不少于总停车数</w:t>
      </w:r>
      <w:r w:rsidRPr="00530A11">
        <w:rPr>
          <w:rFonts w:cs="Times New Roman"/>
        </w:rPr>
        <w:t>1</w:t>
      </w:r>
      <w:r w:rsidRPr="00530A11">
        <w:rPr>
          <w:rFonts w:cs="Times New Roman"/>
        </w:rPr>
        <w:t>％的无障碍机动车停车位。本条要求停车场应合理设置电动汽车和无障碍汽车停车位，并满足防火分区和使用便捷的要求。</w:t>
      </w:r>
    </w:p>
    <w:p w14:paraId="2B4F0BCF" w14:textId="77777777"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1284DECA" w14:textId="168CECC8" w:rsidR="00932578" w:rsidRPr="0081478A" w:rsidRDefault="00007CD5" w:rsidP="00932578">
      <w:pPr>
        <w:ind w:firstLine="420"/>
        <w:rPr>
          <w:rFonts w:cs="Times New Roman"/>
        </w:rPr>
      </w:pPr>
      <w:r>
        <w:rPr>
          <w:rFonts w:cs="Times New Roman"/>
        </w:rPr>
        <w:t>1.</w:t>
      </w:r>
      <w:r w:rsidR="00932578" w:rsidRPr="0081478A">
        <w:rPr>
          <w:rFonts w:cs="Times New Roman"/>
        </w:rPr>
        <w:t>充电车位数量应达到国家和当地政府的相关规定要求，</w:t>
      </w:r>
      <w:r w:rsidR="004C499D">
        <w:rPr>
          <w:rFonts w:cs="Times New Roman" w:hint="eastAsia"/>
        </w:rPr>
        <w:t>应</w:t>
      </w:r>
      <w:r w:rsidR="00932578" w:rsidRPr="0081478A">
        <w:rPr>
          <w:rFonts w:cs="Times New Roman"/>
        </w:rPr>
        <w:t>集中设置</w:t>
      </w:r>
      <w:r w:rsidR="004C499D">
        <w:rPr>
          <w:rFonts w:cs="Times New Roman" w:hint="eastAsia"/>
        </w:rPr>
        <w:t>，且</w:t>
      </w:r>
      <w:r w:rsidR="00932578" w:rsidRPr="0081478A">
        <w:rPr>
          <w:rFonts w:cs="Times New Roman"/>
        </w:rPr>
        <w:t>满足建筑设计防火规范的相关要求。</w:t>
      </w:r>
    </w:p>
    <w:p w14:paraId="0E63B604" w14:textId="07133DC7" w:rsidR="00932578" w:rsidRPr="0081478A" w:rsidRDefault="00007CD5" w:rsidP="00932578">
      <w:pPr>
        <w:ind w:firstLine="420"/>
        <w:rPr>
          <w:rFonts w:cs="Times New Roman"/>
        </w:rPr>
      </w:pPr>
      <w:r>
        <w:rPr>
          <w:rFonts w:cs="Times New Roman"/>
        </w:rPr>
        <w:t>2.</w:t>
      </w:r>
      <w:r w:rsidR="00932578" w:rsidRPr="0081478A">
        <w:rPr>
          <w:rFonts w:cs="Times New Roman"/>
        </w:rPr>
        <w:t>其余车位均应预留充电负荷容量，并预留相应的场地面积。</w:t>
      </w:r>
    </w:p>
    <w:p w14:paraId="224A67A2" w14:textId="4468411A" w:rsidR="00932578" w:rsidRPr="0081478A" w:rsidRDefault="00007CD5" w:rsidP="00932578">
      <w:pPr>
        <w:ind w:firstLine="420"/>
        <w:rPr>
          <w:rFonts w:cs="Times New Roman"/>
        </w:rPr>
      </w:pPr>
      <w:r>
        <w:rPr>
          <w:rFonts w:cs="Times New Roman" w:hint="eastAsia"/>
        </w:rPr>
        <w:t>3</w:t>
      </w:r>
      <w:r>
        <w:rPr>
          <w:rFonts w:cs="Times New Roman"/>
        </w:rPr>
        <w:t>.</w:t>
      </w:r>
      <w:r w:rsidR="00932578" w:rsidRPr="0081478A">
        <w:rPr>
          <w:rFonts w:cs="Times New Roman"/>
        </w:rPr>
        <w:t>无障碍车位数量应满足国家无障碍设计规范要求，并且位置设置合理。</w:t>
      </w:r>
    </w:p>
    <w:p w14:paraId="1B7683D3"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0BFE3B0F" w14:textId="77777777" w:rsidR="00DF6527" w:rsidRPr="00530A11" w:rsidRDefault="00DF6527" w:rsidP="00DF6527">
      <w:pPr>
        <w:ind w:firstLine="420"/>
        <w:rPr>
          <w:rFonts w:cs="Times New Roman"/>
        </w:rPr>
      </w:pPr>
      <w:r w:rsidRPr="00530A11">
        <w:rPr>
          <w:rFonts w:cs="Times New Roman"/>
        </w:rPr>
        <w:t>预评价查阅建筑</w:t>
      </w:r>
      <w:r>
        <w:rPr>
          <w:rFonts w:cs="Times New Roman" w:hint="eastAsia"/>
        </w:rPr>
        <w:t>平面</w:t>
      </w:r>
      <w:r w:rsidRPr="00530A11">
        <w:rPr>
          <w:rFonts w:cs="Times New Roman"/>
        </w:rPr>
        <w:t>图和建筑总平面施工图中电动汽车停车位和无障碍停车位设计内容</w:t>
      </w:r>
      <w:r>
        <w:rPr>
          <w:rFonts w:cs="Times New Roman" w:hint="eastAsia"/>
        </w:rPr>
        <w:t>；</w:t>
      </w:r>
      <w:r w:rsidRPr="00530A11">
        <w:rPr>
          <w:rFonts w:cs="Times New Roman"/>
        </w:rPr>
        <w:t>电气施工图中充电设施条件</w:t>
      </w:r>
      <w:r>
        <w:rPr>
          <w:rFonts w:cs="Times New Roman" w:hint="eastAsia"/>
        </w:rPr>
        <w:t>，</w:t>
      </w:r>
      <w:r w:rsidRPr="00530A11">
        <w:rPr>
          <w:rFonts w:cs="Times New Roman"/>
        </w:rPr>
        <w:t>配电系统</w:t>
      </w:r>
      <w:r>
        <w:rPr>
          <w:rFonts w:cs="Times New Roman" w:hint="eastAsia"/>
        </w:rPr>
        <w:t>，</w:t>
      </w:r>
      <w:r w:rsidRPr="00530A11">
        <w:rPr>
          <w:rFonts w:cs="Times New Roman"/>
        </w:rPr>
        <w:t>布线系统</w:t>
      </w:r>
      <w:r>
        <w:rPr>
          <w:rFonts w:cs="Times New Roman" w:hint="eastAsia"/>
        </w:rPr>
        <w:t>及</w:t>
      </w:r>
      <w:r w:rsidRPr="00530A11">
        <w:rPr>
          <w:rFonts w:cs="Times New Roman"/>
        </w:rPr>
        <w:t>计量要求等设计内容。</w:t>
      </w:r>
    </w:p>
    <w:p w14:paraId="55E00DD2" w14:textId="77777777" w:rsidR="00DF6527" w:rsidRPr="00530A11" w:rsidRDefault="00DF6527" w:rsidP="00DF6527">
      <w:pPr>
        <w:ind w:firstLine="420"/>
        <w:rPr>
          <w:rFonts w:cs="Times New Roman"/>
        </w:rPr>
      </w:pPr>
      <w:r w:rsidRPr="00530A11">
        <w:rPr>
          <w:rFonts w:cs="Times New Roman"/>
        </w:rPr>
        <w:t>评价查阅相关竣工文件</w:t>
      </w:r>
      <w:r>
        <w:rPr>
          <w:rFonts w:cs="Times New Roman" w:hint="eastAsia"/>
        </w:rPr>
        <w:t>、</w:t>
      </w:r>
      <w:r w:rsidRPr="00530A11">
        <w:rPr>
          <w:rFonts w:cs="Times New Roman"/>
        </w:rPr>
        <w:t>实景影像资料</w:t>
      </w:r>
      <w:r>
        <w:rPr>
          <w:rFonts w:hint="eastAsia"/>
        </w:rPr>
        <w:t>，并现场查勘</w:t>
      </w:r>
      <w:r w:rsidRPr="00530A11">
        <w:rPr>
          <w:rFonts w:cs="Times New Roman"/>
        </w:rPr>
        <w:t>。</w:t>
      </w:r>
    </w:p>
    <w:p w14:paraId="764F812D" w14:textId="77777777" w:rsidR="004F215F" w:rsidRPr="0081478A" w:rsidRDefault="004F215F" w:rsidP="004F215F">
      <w:pPr>
        <w:ind w:firstLine="420"/>
      </w:pPr>
    </w:p>
    <w:p w14:paraId="630BBBB1" w14:textId="77777777" w:rsidR="001C05E4" w:rsidRPr="00530A11" w:rsidRDefault="001C05E4" w:rsidP="001C05E4">
      <w:pPr>
        <w:pStyle w:val="4"/>
        <w:rPr>
          <w:rFonts w:cs="Times New Roman"/>
          <w:bCs w:val="0"/>
        </w:rPr>
      </w:pPr>
      <w:bookmarkStart w:id="112" w:name="_Hlk33025169"/>
      <w:r w:rsidRPr="00530A11">
        <w:rPr>
          <w:rFonts w:cs="Times New Roman"/>
          <w:bCs w:val="0"/>
        </w:rPr>
        <w:t xml:space="preserve">6.1.4 </w:t>
      </w:r>
      <w:bookmarkStart w:id="113" w:name="_Hlk25678944"/>
      <w:r w:rsidRPr="00530A11">
        <w:rPr>
          <w:rFonts w:cs="Times New Roman" w:hint="eastAsia"/>
          <w:bCs w:val="0"/>
        </w:rPr>
        <w:t>非机动车</w:t>
      </w:r>
      <w:r w:rsidRPr="00530A11">
        <w:rPr>
          <w:rFonts w:cs="Times New Roman"/>
          <w:bCs w:val="0"/>
        </w:rPr>
        <w:t>停车位数量、位置合理，方便出入。</w:t>
      </w:r>
      <w:bookmarkEnd w:id="113"/>
    </w:p>
    <w:bookmarkEnd w:id="112"/>
    <w:p w14:paraId="0A0DD2B2" w14:textId="77777777" w:rsidR="00715ABB" w:rsidRPr="0081478A" w:rsidRDefault="00F44390">
      <w:pPr>
        <w:ind w:firstLineChars="0" w:firstLine="0"/>
        <w:rPr>
          <w:rFonts w:cs="Times New Roman"/>
          <w:b/>
          <w:szCs w:val="24"/>
        </w:rPr>
      </w:pPr>
      <w:r w:rsidRPr="0081478A">
        <w:rPr>
          <w:rFonts w:cs="Times New Roman"/>
          <w:b/>
          <w:szCs w:val="24"/>
        </w:rPr>
        <w:t>【条文说明】</w:t>
      </w:r>
    </w:p>
    <w:p w14:paraId="2FFEA44B" w14:textId="77777777" w:rsidR="001C05E4" w:rsidRPr="00530A11" w:rsidRDefault="001C05E4" w:rsidP="001C05E4">
      <w:pPr>
        <w:ind w:firstLine="420"/>
        <w:rPr>
          <w:szCs w:val="24"/>
        </w:rPr>
      </w:pPr>
      <w:r w:rsidRPr="00530A11">
        <w:t>本条适用于各类民用建筑的预评价、评价。</w:t>
      </w:r>
    </w:p>
    <w:p w14:paraId="56F1AD2F" w14:textId="77777777" w:rsidR="001C05E4" w:rsidRPr="00530A11" w:rsidRDefault="001C05E4" w:rsidP="001C05E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4.2.10</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4.2.10</w:t>
      </w:r>
      <w:r w:rsidRPr="00530A11">
        <w:rPr>
          <w:rFonts w:cs="Times New Roman"/>
        </w:rPr>
        <w:t>条的基础上发展而来。</w:t>
      </w:r>
    </w:p>
    <w:p w14:paraId="108DB90C" w14:textId="1F2E8E20" w:rsidR="001C05E4" w:rsidRPr="00530A11" w:rsidRDefault="001C05E4" w:rsidP="001C05E4">
      <w:pPr>
        <w:ind w:firstLine="420"/>
        <w:rPr>
          <w:rFonts w:cs="Times New Roman"/>
        </w:rPr>
      </w:pPr>
      <w:bookmarkStart w:id="114" w:name="_Hlk34050027"/>
      <w:r w:rsidRPr="00530A11">
        <w:rPr>
          <w:rFonts w:cs="Times New Roman"/>
        </w:rPr>
        <w:t>根据《车库建筑设计规范》</w:t>
      </w:r>
      <w:r w:rsidRPr="00530A11">
        <w:rPr>
          <w:rFonts w:cs="Times New Roman"/>
        </w:rPr>
        <w:t>JGJ100</w:t>
      </w:r>
      <w:r w:rsidRPr="00530A11">
        <w:rPr>
          <w:rFonts w:cs="Times New Roman"/>
        </w:rPr>
        <w:t>定义：</w:t>
      </w:r>
      <w:r w:rsidRPr="00530A11">
        <w:rPr>
          <w:rFonts w:cs="Times New Roman"/>
        </w:rPr>
        <w:t>“</w:t>
      </w:r>
      <w:r w:rsidRPr="00530A11">
        <w:rPr>
          <w:rFonts w:cs="Times New Roman"/>
        </w:rPr>
        <w:t>非机动车是指以人力驱动，在道路上行驶的交通工具以及虽有动力装置驱动但设计最高时速、空车质量、外形尺寸符合国家有关标准的电动自行车、残疾人机动轮椅车等交通工具</w:t>
      </w:r>
      <w:r w:rsidRPr="00530A11">
        <w:rPr>
          <w:rFonts w:cs="Times New Roman"/>
        </w:rPr>
        <w:t>”</w:t>
      </w:r>
      <w:bookmarkEnd w:id="114"/>
      <w:r w:rsidR="0083414A" w:rsidRPr="00530A11">
        <w:rPr>
          <w:rFonts w:cs="Times New Roman"/>
        </w:rPr>
        <w:t>。</w:t>
      </w:r>
      <w:r w:rsidRPr="00530A11">
        <w:rPr>
          <w:rFonts w:cs="Times New Roman"/>
        </w:rPr>
        <w:t>本条为使用非机动车出行的人提供方便的停车场所，以此鼓励绿色出行。《城市综合交通体系规划标准》</w:t>
      </w:r>
      <w:r w:rsidRPr="00530A11">
        <w:rPr>
          <w:rFonts w:cs="Times New Roman"/>
        </w:rPr>
        <w:t>GB/T 51328</w:t>
      </w:r>
      <w:r w:rsidRPr="00530A11">
        <w:rPr>
          <w:rFonts w:cs="Times New Roman"/>
        </w:rPr>
        <w:t>规定：</w:t>
      </w:r>
      <w:r w:rsidRPr="00530A11">
        <w:rPr>
          <w:rFonts w:cs="Times New Roman"/>
        </w:rPr>
        <w:t>“</w:t>
      </w:r>
      <w:r w:rsidRPr="00530A11">
        <w:rPr>
          <w:rFonts w:cs="Times New Roman"/>
        </w:rPr>
        <w:t>非机动车停车场应满足非机动车的各类停放需求，宜在地面设置，并与非机动车交通网络相衔接。非机动车停车场可与机动车停车场结合设置，但进出通道应分开布设</w:t>
      </w:r>
      <w:r w:rsidRPr="00530A11">
        <w:rPr>
          <w:rFonts w:cs="Times New Roman"/>
        </w:rPr>
        <w:t>”</w:t>
      </w:r>
      <w:r w:rsidR="00987432" w:rsidRPr="00530A11">
        <w:rPr>
          <w:rFonts w:cs="Times New Roman"/>
        </w:rPr>
        <w:t>。</w:t>
      </w:r>
    </w:p>
    <w:p w14:paraId="2800B416" w14:textId="77777777" w:rsidR="001C05E4" w:rsidRPr="00530A11" w:rsidRDefault="001C05E4" w:rsidP="001C05E4">
      <w:pPr>
        <w:ind w:firstLine="420"/>
        <w:rPr>
          <w:rFonts w:cs="Times New Roman"/>
        </w:rPr>
      </w:pPr>
      <w:bookmarkStart w:id="115" w:name="_Hlk25678913"/>
      <w:r w:rsidRPr="00530A11">
        <w:rPr>
          <w:rFonts w:cs="Times New Roman"/>
        </w:rPr>
        <w:t>非机动车停车位配建要求：对于居住建筑，按照《城市居住区规划设计标准》</w:t>
      </w:r>
      <w:r w:rsidRPr="00530A11">
        <w:rPr>
          <w:rFonts w:cs="Times New Roman"/>
        </w:rPr>
        <w:t>GB50180</w:t>
      </w:r>
      <w:r w:rsidRPr="00530A11">
        <w:rPr>
          <w:rFonts w:cs="Times New Roman"/>
        </w:rPr>
        <w:t>的要求是应按每套住宅</w:t>
      </w:r>
      <w:r w:rsidRPr="00530A11">
        <w:rPr>
          <w:rFonts w:cs="Times New Roman"/>
        </w:rPr>
        <w:t>1~2</w:t>
      </w:r>
      <w:r w:rsidRPr="00530A11">
        <w:rPr>
          <w:rFonts w:cs="Times New Roman"/>
        </w:rPr>
        <w:t>辆设置，考虑到重庆山地城市的实际，本标准中非机动车停车位数量按该项目机动车停车位数量的</w:t>
      </w:r>
      <w:r w:rsidRPr="00530A11">
        <w:rPr>
          <w:rFonts w:cs="Times New Roman"/>
        </w:rPr>
        <w:t>5%</w:t>
      </w:r>
      <w:r w:rsidRPr="00530A11">
        <w:rPr>
          <w:rFonts w:cs="Times New Roman"/>
        </w:rPr>
        <w:t>计算，非机动车停车场面积按地面</w:t>
      </w:r>
      <w:r w:rsidRPr="00530A11">
        <w:rPr>
          <w:rFonts w:cs="Times New Roman"/>
        </w:rPr>
        <w:t>0.8~1.2m</w:t>
      </w:r>
      <w:r w:rsidRPr="00530A11">
        <w:rPr>
          <w:rFonts w:cs="Times New Roman"/>
          <w:vertAlign w:val="superscript"/>
        </w:rPr>
        <w:t>2</w:t>
      </w:r>
      <w:r w:rsidRPr="00530A11">
        <w:rPr>
          <w:rFonts w:cs="Times New Roman"/>
        </w:rPr>
        <w:t>/</w:t>
      </w:r>
      <w:r w:rsidRPr="00530A11">
        <w:rPr>
          <w:rFonts w:cs="Times New Roman"/>
        </w:rPr>
        <w:t>辆配置，停车库按</w:t>
      </w:r>
      <w:r w:rsidRPr="00530A11">
        <w:rPr>
          <w:rFonts w:cs="Times New Roman"/>
        </w:rPr>
        <w:t>1.5~1.8m</w:t>
      </w:r>
      <w:r w:rsidRPr="00530A11">
        <w:rPr>
          <w:rFonts w:cs="Times New Roman"/>
          <w:vertAlign w:val="superscript"/>
        </w:rPr>
        <w:t>2</w:t>
      </w:r>
      <w:r w:rsidRPr="00530A11">
        <w:rPr>
          <w:rFonts w:cs="Times New Roman"/>
        </w:rPr>
        <w:t>/</w:t>
      </w:r>
      <w:r w:rsidRPr="00530A11">
        <w:rPr>
          <w:rFonts w:cs="Times New Roman"/>
        </w:rPr>
        <w:t>辆配置，但最小不应小于</w:t>
      </w:r>
      <w:r w:rsidRPr="00530A11">
        <w:rPr>
          <w:rFonts w:cs="Times New Roman"/>
        </w:rPr>
        <w:t>20m</w:t>
      </w:r>
      <w:r w:rsidRPr="00530A11">
        <w:rPr>
          <w:rFonts w:cs="Times New Roman"/>
          <w:vertAlign w:val="superscript"/>
        </w:rPr>
        <w:t>2</w:t>
      </w:r>
      <w:r w:rsidRPr="00530A11">
        <w:rPr>
          <w:rFonts w:cs="Times New Roman"/>
        </w:rPr>
        <w:t>，并在该场地设置非机动车充电设施。对于公共建筑，非机动车停车位配建要求同居住建筑。</w:t>
      </w:r>
      <w:bookmarkEnd w:id="115"/>
      <w:r w:rsidRPr="00530A11">
        <w:rPr>
          <w:rFonts w:cs="Times New Roman"/>
        </w:rPr>
        <w:t>非机动车停车场优先设置于地面，并配</w:t>
      </w:r>
      <w:r w:rsidRPr="00530A11">
        <w:rPr>
          <w:rFonts w:cs="Times New Roman"/>
        </w:rPr>
        <w:lastRenderedPageBreak/>
        <w:t>建遮阳防雨措施；设置于地下车库内时，其出入口等要求应满足《车库建筑设计规范》</w:t>
      </w:r>
      <w:r w:rsidRPr="00530A11">
        <w:rPr>
          <w:rFonts w:cs="Times New Roman"/>
        </w:rPr>
        <w:t>JGJ100</w:t>
      </w:r>
      <w:r w:rsidRPr="00530A11">
        <w:rPr>
          <w:rFonts w:cs="Times New Roman"/>
        </w:rPr>
        <w:t>等现行相关规范要求，并符合使用者出行习惯。</w:t>
      </w:r>
    </w:p>
    <w:p w14:paraId="3E0988B5" w14:textId="77777777" w:rsidR="001C05E4" w:rsidRPr="00530A11" w:rsidRDefault="001C05E4" w:rsidP="001C05E4">
      <w:pPr>
        <w:ind w:firstLine="420"/>
        <w:rPr>
          <w:rFonts w:cs="Times New Roman"/>
        </w:rPr>
      </w:pPr>
      <w:r w:rsidRPr="00530A11">
        <w:rPr>
          <w:rFonts w:cs="Times New Roman"/>
        </w:rPr>
        <w:t>对于不适宜使用非机动车作为交通工具的项目，应提供专项说明材料，经论证确实不适宜使用非机动车作为交通工具的视为本条通过。</w:t>
      </w:r>
    </w:p>
    <w:p w14:paraId="33D7BF9A" w14:textId="77777777"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4551D522" w14:textId="308B36DF" w:rsidR="00B33FF3" w:rsidRPr="0081478A" w:rsidRDefault="00007CD5" w:rsidP="00B33FF3">
      <w:pPr>
        <w:ind w:firstLine="420"/>
        <w:rPr>
          <w:rFonts w:cs="Times New Roman"/>
        </w:rPr>
      </w:pPr>
      <w:r>
        <w:rPr>
          <w:rFonts w:cs="Times New Roman"/>
        </w:rPr>
        <w:t>1.</w:t>
      </w:r>
      <w:r w:rsidR="00B33FF3" w:rsidRPr="0081478A">
        <w:rPr>
          <w:rFonts w:cs="Times New Roman"/>
        </w:rPr>
        <w:t>非机动车位如在地面设置应位置合理，并配建遮阳</w:t>
      </w:r>
      <w:r w:rsidR="004C499D">
        <w:rPr>
          <w:rFonts w:cs="Times New Roman" w:hint="eastAsia"/>
        </w:rPr>
        <w:t>、</w:t>
      </w:r>
      <w:r w:rsidR="00B33FF3" w:rsidRPr="0081478A">
        <w:rPr>
          <w:rFonts w:cs="Times New Roman"/>
        </w:rPr>
        <w:t>防雨</w:t>
      </w:r>
      <w:r w:rsidR="004C499D">
        <w:rPr>
          <w:rFonts w:cs="Times New Roman" w:hint="eastAsia"/>
        </w:rPr>
        <w:t>、防盗</w:t>
      </w:r>
      <w:r w:rsidR="00B33FF3" w:rsidRPr="0081478A">
        <w:rPr>
          <w:rFonts w:cs="Times New Roman"/>
        </w:rPr>
        <w:t>措施。</w:t>
      </w:r>
    </w:p>
    <w:p w14:paraId="6F6A5C67" w14:textId="19E4B803" w:rsidR="00B33FF3" w:rsidRPr="0081478A" w:rsidRDefault="00007CD5" w:rsidP="00B33FF3">
      <w:pPr>
        <w:ind w:firstLine="420"/>
        <w:rPr>
          <w:rFonts w:cs="Times New Roman"/>
        </w:rPr>
      </w:pPr>
      <w:r>
        <w:rPr>
          <w:rFonts w:cs="Times New Roman"/>
        </w:rPr>
        <w:t>2.</w:t>
      </w:r>
      <w:r w:rsidR="00B33FF3" w:rsidRPr="0081478A">
        <w:rPr>
          <w:rFonts w:cs="Times New Roman"/>
        </w:rPr>
        <w:t>非机动车位如设在地下车库应集中布置，其出入通道应与机动车道分开。</w:t>
      </w:r>
    </w:p>
    <w:p w14:paraId="32F00070" w14:textId="5DD91362" w:rsidR="00375A92" w:rsidRDefault="00007CD5" w:rsidP="00375A92">
      <w:pPr>
        <w:ind w:firstLine="420"/>
      </w:pPr>
      <w:r>
        <w:t>3.</w:t>
      </w:r>
      <w:r w:rsidR="00B33FF3" w:rsidRPr="0081478A">
        <w:t>非机动车位停车位数量应达到机动车停车位数量的</w:t>
      </w:r>
      <w:r w:rsidR="00B33FF3" w:rsidRPr="0081478A">
        <w:t>5%</w:t>
      </w:r>
      <w:r w:rsidR="00B33FF3" w:rsidRPr="0081478A">
        <w:t>。</w:t>
      </w:r>
    </w:p>
    <w:p w14:paraId="48D3EBF1" w14:textId="1E2CACDB" w:rsidR="00715ABB" w:rsidRPr="0081478A" w:rsidRDefault="00F44390" w:rsidP="00932578">
      <w:pPr>
        <w:pStyle w:val="20"/>
        <w:rPr>
          <w:rFonts w:ascii="Times New Roman" w:hAnsi="Times New Roman" w:cs="Times New Roman"/>
          <w:color w:val="auto"/>
        </w:rPr>
      </w:pPr>
      <w:r w:rsidRPr="0081478A">
        <w:rPr>
          <w:rFonts w:ascii="Times New Roman" w:hAnsi="Times New Roman" w:cs="Times New Roman"/>
          <w:color w:val="auto"/>
        </w:rPr>
        <w:t>【评价方法】</w:t>
      </w:r>
    </w:p>
    <w:p w14:paraId="282F117F" w14:textId="1A6B0192" w:rsidR="004F215F" w:rsidRPr="00530A11" w:rsidRDefault="004F215F" w:rsidP="004F215F">
      <w:pPr>
        <w:ind w:firstLine="420"/>
        <w:rPr>
          <w:rFonts w:cs="Times New Roman"/>
        </w:rPr>
      </w:pPr>
      <w:r w:rsidRPr="00530A11">
        <w:rPr>
          <w:rFonts w:cs="Times New Roman"/>
        </w:rPr>
        <w:t>预评价查阅相关设计文件，评价查阅相关竣工图</w:t>
      </w:r>
      <w:r w:rsidR="004C499D">
        <w:rPr>
          <w:rFonts w:cs="Times New Roman" w:hint="eastAsia"/>
        </w:rPr>
        <w:t>、</w:t>
      </w:r>
      <w:r w:rsidRPr="00530A11">
        <w:rPr>
          <w:rFonts w:cs="Times New Roman"/>
        </w:rPr>
        <w:t>实景影像资料</w:t>
      </w:r>
      <w:r w:rsidR="004C499D">
        <w:rPr>
          <w:rFonts w:cs="Times New Roman" w:hint="eastAsia"/>
        </w:rPr>
        <w:t>，并现场查勘</w:t>
      </w:r>
      <w:r w:rsidRPr="00530A11">
        <w:rPr>
          <w:rFonts w:cs="Times New Roman"/>
        </w:rPr>
        <w:t>。</w:t>
      </w:r>
    </w:p>
    <w:p w14:paraId="050F6348" w14:textId="28F05D11" w:rsidR="00715ABB" w:rsidRPr="004F215F" w:rsidRDefault="00715ABB">
      <w:pPr>
        <w:ind w:firstLine="420"/>
        <w:rPr>
          <w:rFonts w:cs="Times New Roman"/>
        </w:rPr>
      </w:pPr>
    </w:p>
    <w:p w14:paraId="336CB934" w14:textId="77777777" w:rsidR="001C05E4" w:rsidRPr="00530A11" w:rsidRDefault="001C05E4" w:rsidP="001C05E4">
      <w:pPr>
        <w:pStyle w:val="4"/>
        <w:rPr>
          <w:rFonts w:cs="Times New Roman"/>
          <w:bCs w:val="0"/>
        </w:rPr>
      </w:pPr>
      <w:r w:rsidRPr="00530A11">
        <w:rPr>
          <w:rFonts w:cs="Times New Roman"/>
          <w:bCs w:val="0"/>
        </w:rPr>
        <w:t xml:space="preserve">6.1.5 </w:t>
      </w:r>
      <w:r w:rsidRPr="00530A11">
        <w:rPr>
          <w:rFonts w:cs="Times New Roman"/>
          <w:bCs w:val="0"/>
        </w:rPr>
        <w:t>建筑设备管理系统应具有自动监控管理功能。</w:t>
      </w:r>
    </w:p>
    <w:p w14:paraId="06A9EE6F" w14:textId="77777777" w:rsidR="00715ABB" w:rsidRPr="0081478A" w:rsidRDefault="00F44390">
      <w:pPr>
        <w:ind w:firstLineChars="0" w:firstLine="0"/>
        <w:rPr>
          <w:rFonts w:cs="Times New Roman"/>
          <w:b/>
          <w:szCs w:val="24"/>
        </w:rPr>
      </w:pPr>
      <w:r w:rsidRPr="0081478A">
        <w:rPr>
          <w:rFonts w:cs="Times New Roman"/>
          <w:b/>
          <w:szCs w:val="24"/>
        </w:rPr>
        <w:t>【条文说明】</w:t>
      </w:r>
    </w:p>
    <w:p w14:paraId="03D61509" w14:textId="77777777" w:rsidR="001C05E4" w:rsidRPr="00530A11" w:rsidRDefault="001C05E4" w:rsidP="001C05E4">
      <w:pPr>
        <w:ind w:firstLine="420"/>
        <w:rPr>
          <w:szCs w:val="24"/>
        </w:rPr>
      </w:pPr>
      <w:r w:rsidRPr="00530A11">
        <w:t>本条适用于各类民用建筑的预评价、评价。</w:t>
      </w:r>
    </w:p>
    <w:p w14:paraId="46F1B46A" w14:textId="77777777" w:rsidR="001C05E4" w:rsidRPr="00530A11" w:rsidRDefault="001C05E4" w:rsidP="001C05E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imes New Roman" w:cs="Times New Roman"/>
        </w:rPr>
        <w:t>10</w:t>
      </w:r>
      <w:r w:rsidRPr="00530A11">
        <w:rPr>
          <w:rFonts w:cs="Times New Roman"/>
        </w:rPr>
        <w:t>.</w:t>
      </w:r>
      <w:r w:rsidRPr="00530A11">
        <w:rPr>
          <w:rFonts w:eastAsia="Times New Roman" w:cs="Times New Roman"/>
        </w:rPr>
        <w:t>1</w:t>
      </w:r>
      <w:r w:rsidRPr="00530A11">
        <w:rPr>
          <w:rFonts w:cs="Times New Roman"/>
        </w:rPr>
        <w:t>.</w:t>
      </w:r>
      <w:r w:rsidRPr="00530A11">
        <w:rPr>
          <w:rFonts w:eastAsia="Times New Roman" w:cs="Times New Roman"/>
        </w:rPr>
        <w:t>5</w:t>
      </w:r>
      <w:r w:rsidRPr="00530A11">
        <w:rPr>
          <w:rFonts w:cs="Times New Roman"/>
        </w:rPr>
        <w:t>条，地方标准</w:t>
      </w:r>
      <w:r w:rsidRPr="00530A11">
        <w:rPr>
          <w:rFonts w:cs="Times New Roman"/>
        </w:rPr>
        <w:t>2014</w:t>
      </w:r>
      <w:r w:rsidRPr="00530A11">
        <w:rPr>
          <w:rFonts w:cs="Times New Roman"/>
        </w:rPr>
        <w:t>版</w:t>
      </w:r>
      <w:r w:rsidRPr="00530A11">
        <w:rPr>
          <w:rFonts w:eastAsia="Times New Roman" w:cs="Times New Roman"/>
        </w:rPr>
        <w:t>10</w:t>
      </w:r>
      <w:r w:rsidRPr="00530A11">
        <w:rPr>
          <w:rFonts w:cs="Times New Roman"/>
        </w:rPr>
        <w:t>.</w:t>
      </w:r>
      <w:r w:rsidRPr="00530A11">
        <w:rPr>
          <w:rFonts w:eastAsia="Times New Roman" w:cs="Times New Roman"/>
        </w:rPr>
        <w:t>1</w:t>
      </w:r>
      <w:r w:rsidRPr="00530A11">
        <w:rPr>
          <w:rFonts w:cs="Times New Roman"/>
        </w:rPr>
        <w:t>.</w:t>
      </w:r>
      <w:r w:rsidRPr="00530A11">
        <w:rPr>
          <w:rFonts w:eastAsia="Times New Roman" w:cs="Times New Roman"/>
        </w:rPr>
        <w:t>5</w:t>
      </w:r>
      <w:r w:rsidRPr="00530A11">
        <w:rPr>
          <w:rFonts w:cs="Times New Roman"/>
        </w:rPr>
        <w:t>条的基础上发展而来。</w:t>
      </w:r>
    </w:p>
    <w:p w14:paraId="41A31E8C" w14:textId="77777777" w:rsidR="001C05E4" w:rsidRPr="00530A11" w:rsidRDefault="001C05E4" w:rsidP="001C05E4">
      <w:pPr>
        <w:ind w:firstLine="420"/>
        <w:rPr>
          <w:rFonts w:eastAsia="Times New Roman" w:cs="Times New Roman"/>
        </w:rPr>
      </w:pPr>
      <w:r w:rsidRPr="00530A11">
        <w:rPr>
          <w:rFonts w:cs="Times New Roman"/>
        </w:rPr>
        <w:t>本条旨在通过完善和落实建筑设备管理系统的自动监控管理功能，确保建筑物的高效运营管理。但不同规模、不同功能的建筑项目是否需要设置以及需设置的系统大小应根据实际情况合理确定，规范设置。比如当公共建筑的面积不大于</w:t>
      </w:r>
      <w:r w:rsidRPr="00530A11">
        <w:rPr>
          <w:rFonts w:eastAsia="Times New Roman" w:cs="Times New Roman"/>
        </w:rPr>
        <w:t>2</w:t>
      </w:r>
      <w:r w:rsidRPr="00530A11">
        <w:rPr>
          <w:rFonts w:cs="Times New Roman"/>
        </w:rPr>
        <w:t>万</w:t>
      </w:r>
      <w:r w:rsidRPr="00530A11">
        <w:rPr>
          <w:rFonts w:eastAsia="Times New Roman" w:cs="Times New Roman"/>
        </w:rPr>
        <w:t>m</w:t>
      </w:r>
      <w:r w:rsidRPr="00530A11">
        <w:rPr>
          <w:rFonts w:eastAsia="Times New Roman" w:cs="Times New Roman"/>
          <w:vertAlign w:val="superscript"/>
        </w:rPr>
        <w:t>2</w:t>
      </w:r>
      <w:r w:rsidRPr="00530A11">
        <w:rPr>
          <w:rFonts w:cs="Times New Roman"/>
        </w:rPr>
        <w:t>或住宅建筑面积不大于</w:t>
      </w:r>
      <w:r w:rsidRPr="00530A11">
        <w:rPr>
          <w:rFonts w:eastAsia="Times New Roman" w:cs="Times New Roman"/>
        </w:rPr>
        <w:t>10</w:t>
      </w:r>
      <w:r w:rsidRPr="00530A11">
        <w:rPr>
          <w:rFonts w:cs="Times New Roman"/>
        </w:rPr>
        <w:t>万</w:t>
      </w:r>
      <w:r w:rsidRPr="00530A11">
        <w:rPr>
          <w:rFonts w:eastAsia="Times New Roman" w:cs="Times New Roman"/>
        </w:rPr>
        <w:t>m</w:t>
      </w:r>
      <w:r w:rsidRPr="00530A11">
        <w:rPr>
          <w:rFonts w:eastAsia="Times New Roman" w:cs="Times New Roman"/>
          <w:vertAlign w:val="superscript"/>
        </w:rPr>
        <w:t>2</w:t>
      </w:r>
      <w:r w:rsidRPr="00530A11">
        <w:rPr>
          <w:rFonts w:cs="Times New Roman"/>
        </w:rPr>
        <w:t>时，对于其公共设施的监控可以不设建筑设备自动监控系统，但应设置简易的节能控制措施，如对风机水泵的变频控制、不联网的就地控制器、简单的单回路反馈控制等，也都能取得良好的效果。</w:t>
      </w:r>
    </w:p>
    <w:p w14:paraId="29D7CB1C" w14:textId="77777777" w:rsidR="001C05E4" w:rsidRPr="00530A11" w:rsidRDefault="001C05E4" w:rsidP="001C05E4">
      <w:pPr>
        <w:ind w:firstLine="420"/>
        <w:rPr>
          <w:rFonts w:cs="Times New Roman"/>
        </w:rPr>
      </w:pPr>
      <w:r w:rsidRPr="00530A11">
        <w:rPr>
          <w:rFonts w:cs="Times New Roman"/>
        </w:rPr>
        <w:t>为确保建筑高效运营管理，建筑设备管理系统的自动监控管理功能应能实现对主要设备的有效监控。</w:t>
      </w:r>
    </w:p>
    <w:p w14:paraId="10C2DE8B" w14:textId="6740D6A0"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1EE04547" w14:textId="3377BABC" w:rsidR="00932578" w:rsidRDefault="00932578" w:rsidP="00932578">
      <w:pPr>
        <w:ind w:firstLine="420"/>
        <w:rPr>
          <w:rFonts w:cs="Times New Roman"/>
        </w:rPr>
      </w:pPr>
      <w:r w:rsidRPr="0081478A">
        <w:rPr>
          <w:rFonts w:cs="Times New Roman"/>
        </w:rPr>
        <w:t>重点审阅建筑设备自控系统的竣工图纸（设计说明、点位表、平面图、原理图等）、运行记录，并现场核查设备与系统的工作情况，尤其要核对监控点数表的内容是否与现场设备系统一致和节能优化的控制策略是否得到实施。</w:t>
      </w:r>
    </w:p>
    <w:p w14:paraId="13438628" w14:textId="23C4860D" w:rsidR="00987432" w:rsidRPr="0081478A" w:rsidRDefault="00987432" w:rsidP="00932578">
      <w:pPr>
        <w:ind w:firstLine="420"/>
        <w:rPr>
          <w:rFonts w:cs="Times New Roman"/>
        </w:rPr>
      </w:pPr>
      <w:r>
        <w:rPr>
          <w:rFonts w:cs="Times New Roman" w:hint="eastAsia"/>
        </w:rPr>
        <w:t>满足行业标准《建筑设备监控系统工程技术规范》（</w:t>
      </w:r>
      <w:r>
        <w:rPr>
          <w:rFonts w:cs="Times New Roman" w:hint="eastAsia"/>
        </w:rPr>
        <w:t>J</w:t>
      </w:r>
      <w:r>
        <w:rPr>
          <w:rFonts w:cs="Times New Roman"/>
        </w:rPr>
        <w:t>GJ/T 334-2014</w:t>
      </w:r>
      <w:r>
        <w:rPr>
          <w:rFonts w:cs="Times New Roman" w:hint="eastAsia"/>
        </w:rPr>
        <w:t>）相关要求。</w:t>
      </w:r>
    </w:p>
    <w:p w14:paraId="1CCE72E9" w14:textId="4CE2A22C" w:rsidR="00932578" w:rsidRPr="0081478A" w:rsidRDefault="00932578" w:rsidP="00932578">
      <w:pPr>
        <w:ind w:firstLine="420"/>
        <w:rPr>
          <w:rFonts w:cs="Times New Roman"/>
        </w:rPr>
      </w:pPr>
      <w:r w:rsidRPr="0081478A">
        <w:rPr>
          <w:rFonts w:cs="Times New Roman"/>
        </w:rPr>
        <w:t>对于建筑面积</w:t>
      </w:r>
      <w:r w:rsidRPr="0081478A">
        <w:rPr>
          <w:rFonts w:cs="Times New Roman"/>
        </w:rPr>
        <w:t>2</w:t>
      </w:r>
      <w:r w:rsidRPr="0081478A">
        <w:rPr>
          <w:rFonts w:cs="Times New Roman"/>
        </w:rPr>
        <w:t>万</w:t>
      </w:r>
      <w:r w:rsidRPr="0081478A">
        <w:rPr>
          <w:rFonts w:cs="Times New Roman"/>
        </w:rPr>
        <w:t>m</w:t>
      </w:r>
      <w:r w:rsidRPr="0081478A">
        <w:rPr>
          <w:rFonts w:cs="Times New Roman"/>
          <w:vertAlign w:val="superscript"/>
        </w:rPr>
        <w:t>2</w:t>
      </w:r>
      <w:r w:rsidRPr="0081478A">
        <w:rPr>
          <w:rFonts w:cs="Times New Roman"/>
        </w:rPr>
        <w:t>以下的公共建筑和建筑面积</w:t>
      </w:r>
      <w:r w:rsidRPr="0081478A">
        <w:rPr>
          <w:rFonts w:cs="Times New Roman"/>
        </w:rPr>
        <w:t>10</w:t>
      </w:r>
      <w:r w:rsidRPr="0081478A">
        <w:rPr>
          <w:rFonts w:cs="Times New Roman"/>
        </w:rPr>
        <w:t>万</w:t>
      </w:r>
      <w:r w:rsidRPr="0081478A">
        <w:rPr>
          <w:rFonts w:cs="Times New Roman"/>
        </w:rPr>
        <w:t>m</w:t>
      </w:r>
      <w:r w:rsidRPr="0081478A">
        <w:rPr>
          <w:rFonts w:cs="Times New Roman"/>
          <w:vertAlign w:val="superscript"/>
        </w:rPr>
        <w:t>2</w:t>
      </w:r>
      <w:r w:rsidRPr="0081478A">
        <w:rPr>
          <w:rFonts w:cs="Times New Roman"/>
        </w:rPr>
        <w:t>以下的住宅</w:t>
      </w:r>
      <w:r w:rsidR="004C499D">
        <w:rPr>
          <w:rFonts w:cs="Times New Roman" w:hint="eastAsia"/>
        </w:rPr>
        <w:t>小</w:t>
      </w:r>
      <w:r w:rsidRPr="0081478A">
        <w:rPr>
          <w:rFonts w:cs="Times New Roman"/>
        </w:rPr>
        <w:t>区</w:t>
      </w:r>
      <w:r w:rsidR="004C499D">
        <w:rPr>
          <w:rFonts w:cs="Times New Roman" w:hint="eastAsia"/>
        </w:rPr>
        <w:t>，其</w:t>
      </w:r>
      <w:r w:rsidRPr="0081478A">
        <w:rPr>
          <w:rFonts w:cs="Times New Roman"/>
        </w:rPr>
        <w:t>公共设</w:t>
      </w:r>
      <w:r w:rsidRPr="0081478A">
        <w:rPr>
          <w:rFonts w:cs="Times New Roman"/>
        </w:rPr>
        <w:lastRenderedPageBreak/>
        <w:t>施的监控，可以不设建筑设备自动监控系统，但应设简易有效的控制措施。</w:t>
      </w:r>
    </w:p>
    <w:p w14:paraId="371B1E60"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79B8D593" w14:textId="77777777" w:rsidR="004F215F" w:rsidRPr="00530A11" w:rsidRDefault="004F215F" w:rsidP="004F215F">
      <w:pPr>
        <w:ind w:firstLine="420"/>
        <w:rPr>
          <w:rFonts w:cs="Times New Roman"/>
        </w:rPr>
      </w:pPr>
      <w:r w:rsidRPr="00530A11">
        <w:rPr>
          <w:rFonts w:cs="Times New Roman"/>
        </w:rPr>
        <w:t>预评价查阅相关设计文件</w:t>
      </w:r>
      <w:r w:rsidRPr="00530A11">
        <w:rPr>
          <w:rFonts w:eastAsia="Times New Roman" w:cs="Times New Roman"/>
        </w:rPr>
        <w:t>(</w:t>
      </w:r>
      <w:r w:rsidRPr="00530A11">
        <w:rPr>
          <w:rFonts w:cs="Times New Roman"/>
        </w:rPr>
        <w:t>智能化设计图纸、装修图纸</w:t>
      </w:r>
      <w:r w:rsidRPr="00530A11">
        <w:rPr>
          <w:rFonts w:eastAsia="Times New Roman" w:cs="Times New Roman"/>
        </w:rPr>
        <w:t>)</w:t>
      </w:r>
      <w:r w:rsidRPr="00530A11">
        <w:rPr>
          <w:rFonts w:cs="Times New Roman"/>
        </w:rPr>
        <w:t>；评价查阅相关竣工图和现场实景影像资料，组织现场查勘。</w:t>
      </w:r>
    </w:p>
    <w:p w14:paraId="0122A86E" w14:textId="77777777" w:rsidR="00715ABB" w:rsidRPr="004F215F" w:rsidRDefault="00715ABB">
      <w:pPr>
        <w:snapToGrid w:val="0"/>
        <w:ind w:firstLine="420"/>
        <w:jc w:val="left"/>
        <w:rPr>
          <w:rFonts w:cs="Times New Roman"/>
          <w:szCs w:val="24"/>
        </w:rPr>
      </w:pPr>
    </w:p>
    <w:p w14:paraId="0EE82F3E" w14:textId="77777777" w:rsidR="001C05E4" w:rsidRPr="00530A11" w:rsidRDefault="001C05E4" w:rsidP="001C05E4">
      <w:pPr>
        <w:pStyle w:val="4"/>
        <w:rPr>
          <w:rFonts w:cs="Times New Roman"/>
          <w:bCs w:val="0"/>
        </w:rPr>
      </w:pPr>
      <w:bookmarkStart w:id="116" w:name="_Hlk22059096"/>
      <w:r w:rsidRPr="00530A11">
        <w:rPr>
          <w:rFonts w:cs="Times New Roman"/>
          <w:bCs w:val="0"/>
        </w:rPr>
        <w:t xml:space="preserve">6.1.6 </w:t>
      </w:r>
      <w:r w:rsidRPr="00530A11">
        <w:rPr>
          <w:rFonts w:cs="Times New Roman"/>
          <w:bCs w:val="0"/>
        </w:rPr>
        <w:t>建筑应设置信息网络系统。</w:t>
      </w:r>
    </w:p>
    <w:bookmarkEnd w:id="116"/>
    <w:p w14:paraId="1E0EDCEC" w14:textId="77777777" w:rsidR="00715ABB" w:rsidRPr="0081478A" w:rsidRDefault="00F44390">
      <w:pPr>
        <w:ind w:firstLineChars="0" w:firstLine="0"/>
        <w:rPr>
          <w:rFonts w:cs="Times New Roman"/>
          <w:b/>
          <w:szCs w:val="24"/>
        </w:rPr>
      </w:pPr>
      <w:r w:rsidRPr="0081478A">
        <w:rPr>
          <w:rFonts w:cs="Times New Roman"/>
          <w:b/>
          <w:szCs w:val="24"/>
        </w:rPr>
        <w:t>【条文说明】</w:t>
      </w:r>
    </w:p>
    <w:p w14:paraId="3F9A1DB1" w14:textId="77777777" w:rsidR="00C53017" w:rsidRPr="00530A11" w:rsidRDefault="00C53017" w:rsidP="00C53017">
      <w:pPr>
        <w:ind w:firstLine="420"/>
        <w:rPr>
          <w:szCs w:val="24"/>
        </w:rPr>
      </w:pPr>
      <w:r w:rsidRPr="00530A11">
        <w:t>本条适用于各类民用建筑的预评价、评价。</w:t>
      </w:r>
    </w:p>
    <w:p w14:paraId="1671E28D" w14:textId="77777777" w:rsidR="00C53017" w:rsidRPr="00530A11" w:rsidRDefault="00C53017" w:rsidP="00C53017">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imes New Roman" w:cs="Times New Roman"/>
        </w:rPr>
        <w:t>10</w:t>
      </w:r>
      <w:r w:rsidRPr="00530A11">
        <w:rPr>
          <w:rFonts w:cs="Times New Roman"/>
        </w:rPr>
        <w:t>.</w:t>
      </w:r>
      <w:r w:rsidRPr="00530A11">
        <w:rPr>
          <w:rFonts w:eastAsiaTheme="minorEastAsia" w:cs="Times New Roman"/>
        </w:rPr>
        <w:t>2.8</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10.2.9</w:t>
      </w:r>
      <w:r w:rsidRPr="00530A11">
        <w:rPr>
          <w:rFonts w:cs="Times New Roman"/>
        </w:rPr>
        <w:t>条的基础上发展而来。</w:t>
      </w:r>
    </w:p>
    <w:p w14:paraId="2A0CE722" w14:textId="77777777" w:rsidR="00C53017" w:rsidRPr="00530A11" w:rsidRDefault="00C53017" w:rsidP="00C53017">
      <w:pPr>
        <w:ind w:firstLine="420"/>
        <w:rPr>
          <w:rFonts w:cs="Times New Roman"/>
        </w:rPr>
      </w:pPr>
      <w:r w:rsidRPr="00530A11">
        <w:rPr>
          <w:rFonts w:cs="Times New Roman"/>
        </w:rPr>
        <w:t>本条旨在通过信息网络系统为建筑使用者提供高效便捷的服务功能。为保证建筑的安全、高效运营，应根据现行国家标准《智能建筑设计标准》</w:t>
      </w:r>
      <w:r w:rsidRPr="00530A11">
        <w:rPr>
          <w:rFonts w:cs="Times New Roman"/>
        </w:rPr>
        <w:t>GB 50314</w:t>
      </w:r>
      <w:r w:rsidRPr="00530A11">
        <w:rPr>
          <w:rFonts w:cs="Times New Roman"/>
        </w:rPr>
        <w:t>和现行行业标准《居住区智能化系统配置与技术要求》</w:t>
      </w:r>
      <w:r w:rsidRPr="00530A11">
        <w:rPr>
          <w:rFonts w:cs="Times New Roman"/>
        </w:rPr>
        <w:t>CJ/T 174</w:t>
      </w:r>
      <w:r w:rsidRPr="00530A11">
        <w:rPr>
          <w:rFonts w:cs="Times New Roman"/>
        </w:rPr>
        <w:t>，设置合理、完善的信息网络系统。建筑内的信息网络系统一般分为业务信息网和智能化设施信息网，包括物理线缆层、网络交换层、安全及安全管理系统、运行维护管理系统五部分，支持建筑内语音、数据、图像等多种类信息的传输。系统和信息的安全，是系统正常运行的前提，一定要保证。建筑内信息网络系统与建筑物外其他信息网互联时，必须采取信息安全防范措施，确保信息网络系统安全、稳定和可靠。</w:t>
      </w:r>
    </w:p>
    <w:p w14:paraId="4EFC7412" w14:textId="6B4AD029" w:rsidR="002F31C2" w:rsidRPr="0081478A" w:rsidRDefault="002F31C2" w:rsidP="002F31C2">
      <w:pPr>
        <w:pStyle w:val="20"/>
        <w:rPr>
          <w:rFonts w:ascii="Times New Roman" w:hAnsi="Times New Roman" w:cs="Times New Roman"/>
          <w:color w:val="auto"/>
        </w:rPr>
      </w:pPr>
      <w:r w:rsidRPr="0081478A">
        <w:rPr>
          <w:rFonts w:ascii="Times New Roman" w:hAnsi="Times New Roman" w:cs="Times New Roman"/>
          <w:color w:val="auto"/>
        </w:rPr>
        <w:t>【评价要点】</w:t>
      </w:r>
    </w:p>
    <w:p w14:paraId="1E6333F0" w14:textId="74DC1209" w:rsidR="006B6E47" w:rsidRPr="0081478A" w:rsidRDefault="00007CD5" w:rsidP="00CA3B0F">
      <w:pPr>
        <w:ind w:firstLine="420"/>
        <w:rPr>
          <w:rFonts w:cs="Times New Roman"/>
        </w:rPr>
      </w:pPr>
      <w:r>
        <w:rPr>
          <w:rFonts w:cs="Times New Roman"/>
        </w:rPr>
        <w:t>1.</w:t>
      </w:r>
      <w:r w:rsidR="006B6E47" w:rsidRPr="0081478A">
        <w:rPr>
          <w:rFonts w:cs="Times New Roman"/>
        </w:rPr>
        <w:t>车库</w:t>
      </w:r>
      <w:r w:rsidR="00DD3FE4" w:rsidRPr="0081478A">
        <w:rPr>
          <w:rFonts w:cs="Times New Roman"/>
        </w:rPr>
        <w:t>安全措施的</w:t>
      </w:r>
      <w:r w:rsidR="006B6E47" w:rsidRPr="0081478A">
        <w:rPr>
          <w:rFonts w:cs="Times New Roman"/>
        </w:rPr>
        <w:t>信息网络系统也应当按照下列要求设置：</w:t>
      </w:r>
    </w:p>
    <w:p w14:paraId="59B53555" w14:textId="2FCEF12C" w:rsidR="00CA3B0F" w:rsidRPr="0081478A" w:rsidRDefault="006B6E47" w:rsidP="00CA3B0F">
      <w:pPr>
        <w:ind w:firstLine="420"/>
        <w:rPr>
          <w:rFonts w:cs="Times New Roman"/>
        </w:rPr>
      </w:pPr>
      <w:r w:rsidRPr="0081478A">
        <w:rPr>
          <w:rFonts w:cs="Times New Roman"/>
        </w:rPr>
        <w:t>1</w:t>
      </w:r>
      <w:r w:rsidRPr="0081478A">
        <w:rPr>
          <w:rFonts w:cs="Times New Roman"/>
        </w:rPr>
        <w:t>）</w:t>
      </w:r>
      <w:r w:rsidRPr="0081478A">
        <w:rPr>
          <w:rFonts w:cs="Times New Roman"/>
        </w:rPr>
        <w:t xml:space="preserve"> </w:t>
      </w:r>
      <w:r w:rsidR="00CA3B0F" w:rsidRPr="0081478A">
        <w:rPr>
          <w:rFonts w:cs="Times New Roman"/>
        </w:rPr>
        <w:t>车库内的主要通道、车库电梯出入口等部位应按照《居住区智能化系统配置与技术要求》（</w:t>
      </w:r>
      <w:r w:rsidR="00CA3B0F" w:rsidRPr="0081478A">
        <w:rPr>
          <w:rFonts w:cs="Times New Roman"/>
        </w:rPr>
        <w:t>CJ/T 174—2003</w:t>
      </w:r>
      <w:r w:rsidR="00CA3B0F" w:rsidRPr="0081478A">
        <w:rPr>
          <w:rFonts w:cs="Times New Roman"/>
        </w:rPr>
        <w:t>）的规定设置摄像装置。</w:t>
      </w:r>
    </w:p>
    <w:p w14:paraId="17CBE522" w14:textId="0E9E1CB3" w:rsidR="00CA3B0F" w:rsidRPr="0081478A" w:rsidRDefault="006B6E47" w:rsidP="00CA3B0F">
      <w:pPr>
        <w:ind w:firstLine="420"/>
        <w:rPr>
          <w:rFonts w:cs="Times New Roman"/>
        </w:rPr>
      </w:pPr>
      <w:r w:rsidRPr="0081478A">
        <w:rPr>
          <w:rFonts w:cs="Times New Roman"/>
        </w:rPr>
        <w:t>2</w:t>
      </w:r>
      <w:r w:rsidRPr="0081478A">
        <w:rPr>
          <w:rFonts w:cs="Times New Roman"/>
        </w:rPr>
        <w:t>）</w:t>
      </w:r>
      <w:r w:rsidR="00CA3B0F" w:rsidRPr="0081478A">
        <w:rPr>
          <w:rFonts w:cs="Times New Roman"/>
        </w:rPr>
        <w:t xml:space="preserve"> </w:t>
      </w:r>
      <w:r w:rsidR="00CA3B0F" w:rsidRPr="0081478A">
        <w:rPr>
          <w:rFonts w:cs="Times New Roman"/>
        </w:rPr>
        <w:t>车库应按照《居住区智能化系统配置与技术要求》（</w:t>
      </w:r>
      <w:r w:rsidR="00CA3B0F" w:rsidRPr="0081478A">
        <w:rPr>
          <w:rFonts w:cs="Times New Roman"/>
        </w:rPr>
        <w:t>CJ/T 174—2003</w:t>
      </w:r>
      <w:r w:rsidR="00CA3B0F" w:rsidRPr="0081478A">
        <w:rPr>
          <w:rFonts w:cs="Times New Roman"/>
        </w:rPr>
        <w:t>）的规定，在车辆出入口设置智能化措施进行管理或计费，实现车辆出入及存放时间记录、查询、区内车辆存放管理等。</w:t>
      </w:r>
    </w:p>
    <w:p w14:paraId="302096E7" w14:textId="07E8391A" w:rsidR="00CA3B0F" w:rsidRPr="0081478A" w:rsidRDefault="006B6E47" w:rsidP="00CA3B0F">
      <w:pPr>
        <w:ind w:firstLine="420"/>
        <w:rPr>
          <w:rFonts w:cs="Times New Roman"/>
        </w:rPr>
      </w:pPr>
      <w:r w:rsidRPr="0081478A">
        <w:rPr>
          <w:rFonts w:cs="Times New Roman"/>
        </w:rPr>
        <w:t>3</w:t>
      </w:r>
      <w:r w:rsidRPr="0081478A">
        <w:rPr>
          <w:rFonts w:cs="Times New Roman"/>
        </w:rPr>
        <w:t>）</w:t>
      </w:r>
      <w:r w:rsidR="00CA3B0F" w:rsidRPr="0081478A">
        <w:rPr>
          <w:rFonts w:cs="Times New Roman"/>
        </w:rPr>
        <w:t xml:space="preserve"> </w:t>
      </w:r>
      <w:r w:rsidR="00CA3B0F" w:rsidRPr="0081478A">
        <w:rPr>
          <w:rFonts w:cs="Times New Roman"/>
        </w:rPr>
        <w:t>车库应按照《居住区智能化系统配置与技术要求》（</w:t>
      </w:r>
      <w:r w:rsidR="00CA3B0F" w:rsidRPr="0081478A">
        <w:rPr>
          <w:rFonts w:cs="Times New Roman"/>
        </w:rPr>
        <w:t>CJ/T 174—2003</w:t>
      </w:r>
      <w:r w:rsidR="00CA3B0F" w:rsidRPr="0081478A">
        <w:rPr>
          <w:rFonts w:cs="Times New Roman"/>
        </w:rPr>
        <w:t>）的规定，对停车出入口车辆管理装置与居住区物业管理中心计算机实行联网使用，并宜对出入车辆进行自动引导、自动识别及特殊车辆位置识别。</w:t>
      </w:r>
    </w:p>
    <w:p w14:paraId="4E05A802" w14:textId="3FD8AE01" w:rsidR="00A40C84" w:rsidRPr="0081478A" w:rsidRDefault="00007CD5" w:rsidP="00A40C84">
      <w:pPr>
        <w:ind w:firstLine="420"/>
        <w:rPr>
          <w:rFonts w:cs="Times New Roman"/>
        </w:rPr>
      </w:pPr>
      <w:r>
        <w:rPr>
          <w:rFonts w:cs="Times New Roman"/>
        </w:rPr>
        <w:t>2.</w:t>
      </w:r>
      <w:r w:rsidR="00A40C84" w:rsidRPr="0081478A">
        <w:rPr>
          <w:rFonts w:cs="Times New Roman"/>
        </w:rPr>
        <w:t>车库应按《智能建筑设计标准》（</w:t>
      </w:r>
      <w:r w:rsidR="00A40C84" w:rsidRPr="0081478A">
        <w:rPr>
          <w:rFonts w:cs="Times New Roman"/>
        </w:rPr>
        <w:t>GB 50314—2015</w:t>
      </w:r>
      <w:r w:rsidR="00A40C84" w:rsidRPr="0081478A">
        <w:rPr>
          <w:rFonts w:cs="Times New Roman"/>
        </w:rPr>
        <w:t>）及《车库建筑设计规范》（</w:t>
      </w:r>
      <w:r w:rsidR="00A40C84" w:rsidRPr="0081478A">
        <w:rPr>
          <w:rFonts w:cs="Times New Roman"/>
        </w:rPr>
        <w:t>JGJ 100—2015</w:t>
      </w:r>
      <w:r w:rsidR="00A40C84" w:rsidRPr="0081478A">
        <w:rPr>
          <w:rFonts w:cs="Times New Roman"/>
        </w:rPr>
        <w:t>）中的相关规定，设有车位信息系统和自动报警系统，并设置如下智能化管理系统：</w:t>
      </w:r>
    </w:p>
    <w:p w14:paraId="4A0B2892" w14:textId="3193AE51" w:rsidR="00A40C84" w:rsidRPr="0081478A" w:rsidRDefault="00DD3FE4" w:rsidP="00A40C84">
      <w:pPr>
        <w:ind w:firstLine="420"/>
        <w:rPr>
          <w:rFonts w:cs="Times New Roman"/>
        </w:rPr>
      </w:pPr>
      <w:r w:rsidRPr="0081478A">
        <w:rPr>
          <w:rFonts w:cs="Times New Roman"/>
        </w:rPr>
        <w:lastRenderedPageBreak/>
        <w:t>1</w:t>
      </w:r>
      <w:r w:rsidRPr="0081478A">
        <w:rPr>
          <w:rFonts w:cs="Times New Roman"/>
        </w:rPr>
        <w:t>）</w:t>
      </w:r>
      <w:r w:rsidRPr="0081478A">
        <w:rPr>
          <w:rFonts w:cs="Times New Roman"/>
        </w:rPr>
        <w:t xml:space="preserve"> </w:t>
      </w:r>
      <w:r w:rsidR="00A40C84" w:rsidRPr="0081478A">
        <w:rPr>
          <w:rFonts w:cs="Times New Roman"/>
        </w:rPr>
        <w:t>设有出入口控制系统、智能化电子计费系统、广播系统。</w:t>
      </w:r>
    </w:p>
    <w:p w14:paraId="29204CB2" w14:textId="09933A50" w:rsidR="00A40C84" w:rsidRPr="0081478A" w:rsidRDefault="00DD3FE4" w:rsidP="00A40C84">
      <w:pPr>
        <w:ind w:firstLine="420"/>
        <w:rPr>
          <w:rFonts w:cs="Times New Roman"/>
        </w:rPr>
      </w:pPr>
      <w:r w:rsidRPr="0081478A">
        <w:rPr>
          <w:rFonts w:cs="Times New Roman"/>
        </w:rPr>
        <w:t>2</w:t>
      </w:r>
      <w:r w:rsidRPr="0081478A">
        <w:rPr>
          <w:rFonts w:cs="Times New Roman"/>
        </w:rPr>
        <w:t>）</w:t>
      </w:r>
      <w:r w:rsidRPr="0081478A">
        <w:rPr>
          <w:rFonts w:cs="Times New Roman"/>
        </w:rPr>
        <w:t xml:space="preserve"> </w:t>
      </w:r>
      <w:r w:rsidR="00A40C84" w:rsidRPr="0081478A">
        <w:rPr>
          <w:rFonts w:cs="Times New Roman"/>
        </w:rPr>
        <w:t>应至少被一种无线通信信号覆盖。</w:t>
      </w:r>
    </w:p>
    <w:p w14:paraId="572B1278" w14:textId="7030BD37" w:rsidR="00A40C84" w:rsidRPr="0081478A" w:rsidRDefault="00DD3FE4" w:rsidP="00A40C84">
      <w:pPr>
        <w:ind w:firstLine="420"/>
        <w:rPr>
          <w:rFonts w:cs="Times New Roman"/>
        </w:rPr>
      </w:pPr>
      <w:r w:rsidRPr="0081478A">
        <w:rPr>
          <w:rFonts w:cs="Times New Roman"/>
        </w:rPr>
        <w:t>3</w:t>
      </w:r>
      <w:r w:rsidRPr="0081478A">
        <w:rPr>
          <w:rFonts w:cs="Times New Roman"/>
        </w:rPr>
        <w:t>）</w:t>
      </w:r>
      <w:r w:rsidRPr="0081478A">
        <w:rPr>
          <w:rFonts w:cs="Times New Roman"/>
        </w:rPr>
        <w:t xml:space="preserve"> </w:t>
      </w:r>
      <w:r w:rsidR="00A40C84" w:rsidRPr="0081478A">
        <w:rPr>
          <w:rFonts w:cs="Times New Roman"/>
        </w:rPr>
        <w:t>停车库出入口控制系统应与火灾自动报警系统联动。</w:t>
      </w:r>
    </w:p>
    <w:p w14:paraId="72E34FDE" w14:textId="23F2B843" w:rsidR="00A40C84" w:rsidRPr="0081478A" w:rsidRDefault="00DD3FE4" w:rsidP="00921836">
      <w:pPr>
        <w:ind w:firstLine="420"/>
        <w:rPr>
          <w:rFonts w:cs="Times New Roman"/>
        </w:rPr>
      </w:pPr>
      <w:r w:rsidRPr="0081478A">
        <w:rPr>
          <w:rFonts w:cs="Times New Roman"/>
        </w:rPr>
        <w:t>4</w:t>
      </w:r>
      <w:r w:rsidRPr="0081478A">
        <w:rPr>
          <w:rFonts w:cs="Times New Roman"/>
        </w:rPr>
        <w:t>）</w:t>
      </w:r>
      <w:r w:rsidRPr="0081478A">
        <w:rPr>
          <w:rFonts w:cs="Times New Roman"/>
        </w:rPr>
        <w:t xml:space="preserve"> </w:t>
      </w:r>
      <w:r w:rsidR="00A40C84" w:rsidRPr="0081478A">
        <w:rPr>
          <w:rFonts w:cs="Times New Roman"/>
        </w:rPr>
        <w:t>公共建筑室内大型和特大型车库应设置停车诱导系统、反向寻车诱导系统、电子标签系统、车辆以及驾驶人高清图像比对系统、视频监控系统。</w:t>
      </w:r>
    </w:p>
    <w:p w14:paraId="45FDA776" w14:textId="441B7D5C" w:rsidR="002F31C2" w:rsidRPr="0081478A" w:rsidRDefault="00007CD5" w:rsidP="002F31C2">
      <w:pPr>
        <w:ind w:firstLine="420"/>
        <w:rPr>
          <w:rFonts w:cs="Times New Roman"/>
        </w:rPr>
      </w:pPr>
      <w:r>
        <w:rPr>
          <w:rFonts w:cs="Times New Roman"/>
        </w:rPr>
        <w:t>3.</w:t>
      </w:r>
      <w:r w:rsidR="002F31C2" w:rsidRPr="0081478A">
        <w:rPr>
          <w:rFonts w:cs="Times New Roman"/>
        </w:rPr>
        <w:t>重点关注智能化系统的配置方案及运行可靠性。</w:t>
      </w:r>
    </w:p>
    <w:p w14:paraId="2F0E3A4D" w14:textId="77777777" w:rsidR="002F31C2" w:rsidRPr="0081478A" w:rsidRDefault="002F31C2" w:rsidP="002F31C2">
      <w:pPr>
        <w:ind w:firstLine="420"/>
        <w:rPr>
          <w:rFonts w:cs="Times New Roman"/>
        </w:rPr>
      </w:pPr>
      <w:r w:rsidRPr="0081478A">
        <w:rPr>
          <w:rFonts w:cs="Times New Roman"/>
        </w:rPr>
        <w:t>重点审查智能化系统工程专项深化设计竣工图纸（非建筑设计院的电气施工图）、施工变更文件、验收报告及运行记录。</w:t>
      </w:r>
    </w:p>
    <w:p w14:paraId="4FDF6D0B" w14:textId="77777777" w:rsidR="002F31C2" w:rsidRPr="0081478A" w:rsidRDefault="002F31C2" w:rsidP="002F31C2">
      <w:pPr>
        <w:ind w:firstLine="420"/>
        <w:rPr>
          <w:rFonts w:cs="Times New Roman"/>
        </w:rPr>
      </w:pPr>
      <w:r w:rsidRPr="0081478A">
        <w:rPr>
          <w:rFonts w:cs="Times New Roman"/>
        </w:rPr>
        <w:t>现场检查安全防范系统、设备监控管理系统和信息网络系统的工程质量和运行情况时，应检查各系统的运行记录，在控制中心巡视各系统的工作状态，不应有长期故障停运的情况。</w:t>
      </w:r>
    </w:p>
    <w:p w14:paraId="49672D5D"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58CD0998" w14:textId="77777777" w:rsidR="004F215F" w:rsidRPr="00530A11" w:rsidRDefault="004F215F" w:rsidP="004F215F">
      <w:pPr>
        <w:ind w:firstLine="420"/>
        <w:rPr>
          <w:rFonts w:cs="Times New Roman"/>
        </w:rPr>
      </w:pPr>
      <w:r w:rsidRPr="00530A11">
        <w:rPr>
          <w:rFonts w:cs="Times New Roman"/>
        </w:rPr>
        <w:t>预评价查阅相关设计文件</w:t>
      </w:r>
      <w:r w:rsidRPr="00530A11">
        <w:rPr>
          <w:rFonts w:cs="Times New Roman"/>
        </w:rPr>
        <w:t>(</w:t>
      </w:r>
      <w:r w:rsidRPr="00530A11">
        <w:rPr>
          <w:rFonts w:cs="Times New Roman"/>
        </w:rPr>
        <w:t>智能化、装修专业</w:t>
      </w:r>
      <w:r w:rsidRPr="00530A11">
        <w:rPr>
          <w:rFonts w:cs="Times New Roman"/>
        </w:rPr>
        <w:t>)</w:t>
      </w:r>
      <w:r w:rsidRPr="00530A11">
        <w:rPr>
          <w:rFonts w:cs="Times New Roman"/>
        </w:rPr>
        <w:t>；评价查阅相关竣工图，组织现场查勘。</w:t>
      </w:r>
    </w:p>
    <w:p w14:paraId="58A7BF56" w14:textId="77777777" w:rsidR="00715ABB" w:rsidRPr="004F215F" w:rsidRDefault="00715ABB">
      <w:pPr>
        <w:snapToGrid w:val="0"/>
        <w:ind w:firstLine="420"/>
        <w:jc w:val="left"/>
        <w:rPr>
          <w:rFonts w:cs="Times New Roman"/>
          <w:szCs w:val="24"/>
        </w:rPr>
      </w:pPr>
    </w:p>
    <w:p w14:paraId="4225CEB8" w14:textId="77777777" w:rsidR="001C05E4" w:rsidRPr="00530A11" w:rsidRDefault="001C05E4" w:rsidP="001C05E4">
      <w:pPr>
        <w:pStyle w:val="4"/>
        <w:rPr>
          <w:rFonts w:cs="Times New Roman"/>
          <w:bCs w:val="0"/>
        </w:rPr>
      </w:pPr>
      <w:r w:rsidRPr="00530A11">
        <w:rPr>
          <w:rFonts w:cs="Times New Roman"/>
          <w:bCs w:val="0"/>
        </w:rPr>
        <w:t xml:space="preserve">6.1.7 </w:t>
      </w:r>
      <w:r w:rsidRPr="00530A11">
        <w:rPr>
          <w:rFonts w:cs="Times New Roman"/>
          <w:bCs w:val="0"/>
        </w:rPr>
        <w:t>建筑内外均应设置便于识别和使用、与环境相协调的标识系统。</w:t>
      </w:r>
    </w:p>
    <w:p w14:paraId="3CF2B77D" w14:textId="77777777" w:rsidR="00715ABB" w:rsidRPr="0081478A" w:rsidRDefault="00F44390">
      <w:pPr>
        <w:ind w:firstLineChars="0" w:firstLine="0"/>
        <w:rPr>
          <w:rFonts w:cs="Times New Roman"/>
          <w:b/>
          <w:szCs w:val="24"/>
        </w:rPr>
      </w:pPr>
      <w:r w:rsidRPr="0081478A">
        <w:rPr>
          <w:rFonts w:cs="Times New Roman"/>
          <w:b/>
          <w:szCs w:val="24"/>
        </w:rPr>
        <w:t>【条文说明】</w:t>
      </w:r>
    </w:p>
    <w:p w14:paraId="18EC0DFE" w14:textId="77777777" w:rsidR="00C53017" w:rsidRPr="00530A11" w:rsidRDefault="00C53017" w:rsidP="00C53017">
      <w:pPr>
        <w:ind w:firstLine="420"/>
        <w:rPr>
          <w:szCs w:val="24"/>
        </w:rPr>
      </w:pPr>
      <w:r w:rsidRPr="00530A11">
        <w:t>本条适用于各类民用建筑的预评价、评价。</w:t>
      </w:r>
    </w:p>
    <w:p w14:paraId="32E19B79" w14:textId="77777777" w:rsidR="00C53017" w:rsidRPr="00530A11" w:rsidRDefault="00C53017" w:rsidP="00C53017">
      <w:pPr>
        <w:ind w:firstLine="420"/>
        <w:rPr>
          <w:rFonts w:cs="Times New Roman"/>
        </w:rPr>
      </w:pPr>
      <w:r w:rsidRPr="00530A11">
        <w:rPr>
          <w:rFonts w:cs="Times New Roman"/>
        </w:rPr>
        <w:t>本条为地标新增条文。</w:t>
      </w:r>
    </w:p>
    <w:p w14:paraId="14162E67" w14:textId="77777777" w:rsidR="00C53017" w:rsidRPr="00530A11" w:rsidRDefault="00C53017" w:rsidP="00C53017">
      <w:pPr>
        <w:ind w:firstLine="420"/>
        <w:rPr>
          <w:rFonts w:cs="Times New Roman"/>
        </w:rPr>
      </w:pPr>
      <w:r w:rsidRPr="00530A11">
        <w:rPr>
          <w:rFonts w:cs="Times New Roman"/>
        </w:rPr>
        <w:t>建筑内外的标识系统应包括通行导向标识系统（人行导向标识系统和车行导向标识系统）、服务导向标识系统及应急导向标识系统。人行导向标识系统应包括无障碍标识系统；车行导向系统应包括人车分流、公交接驳、车库交通、楼栋及设施定位等；服务导向系统应包括商业、社区、养老院、幼儿活动场地、健身、公共卫生间、绿植等；应急导向系统应包括避难、消防等。</w:t>
      </w:r>
    </w:p>
    <w:p w14:paraId="31FED6CC" w14:textId="77777777" w:rsidR="00C53017" w:rsidRPr="00530A11" w:rsidRDefault="00C53017" w:rsidP="00C53017">
      <w:pPr>
        <w:ind w:firstLine="420"/>
        <w:rPr>
          <w:rFonts w:cs="Times New Roman"/>
        </w:rPr>
      </w:pPr>
      <w:r w:rsidRPr="00530A11">
        <w:rPr>
          <w:rFonts w:cs="Times New Roman"/>
        </w:rPr>
        <w:t>设置便于识别和使用的标识系统，包括导向标识和定位标识等，能够为建筑使用者带来便捷的使用体验。标识一般有人车分流标识、公共交通接驳引导标识、易于老年人识别的标识、满足儿童使用需求与身高匹配的标识、无障碍标识、楼座及配套设施定位标识、健身慢行道导向标识、健身楼梯间导向标识、公共卫生间导向标识，以及其他促进建筑便捷使用的导向标识等。公共建筑的标识系统应当执行现行国家标准《公共建筑标识系统技术规范》</w:t>
      </w:r>
      <w:r w:rsidRPr="00530A11">
        <w:rPr>
          <w:rFonts w:cs="Times New Roman"/>
        </w:rPr>
        <w:t>GB/T 51223</w:t>
      </w:r>
      <w:r w:rsidRPr="00530A11">
        <w:rPr>
          <w:rFonts w:cs="Times New Roman"/>
        </w:rPr>
        <w:t>，住宅建筑可以参照执行。</w:t>
      </w:r>
    </w:p>
    <w:p w14:paraId="18831E7D" w14:textId="580F11BA" w:rsidR="00C53017" w:rsidRPr="00530A11" w:rsidRDefault="00C53017" w:rsidP="00C53017">
      <w:pPr>
        <w:ind w:firstLine="420"/>
        <w:rPr>
          <w:rFonts w:cs="Times New Roman"/>
        </w:rPr>
      </w:pPr>
      <w:r w:rsidRPr="00530A11">
        <w:rPr>
          <w:rFonts w:cs="Times New Roman"/>
        </w:rPr>
        <w:t>在标识系统设计和设置时，应考虑建筑使用者的识别习惯，通过色彩、形式、字体、符号等整体进行设计，形成统一性和可辨识度</w:t>
      </w:r>
      <w:r w:rsidR="00063D10">
        <w:rPr>
          <w:rFonts w:cs="Times New Roman" w:hint="eastAsia"/>
        </w:rPr>
        <w:t>。</w:t>
      </w:r>
      <w:r w:rsidR="00063D10" w:rsidRPr="00063D10">
        <w:rPr>
          <w:rFonts w:cs="Times New Roman" w:hint="eastAsia"/>
        </w:rPr>
        <w:t>标识系统中各类标识应符合现行国家标准《标</w:t>
      </w:r>
      <w:r w:rsidR="00063D10" w:rsidRPr="00063D10">
        <w:rPr>
          <w:rFonts w:cs="Times New Roman" w:hint="eastAsia"/>
        </w:rPr>
        <w:lastRenderedPageBreak/>
        <w:t>志用公共信息图形符号》（</w:t>
      </w:r>
      <w:r w:rsidR="00063D10" w:rsidRPr="00063D10">
        <w:rPr>
          <w:rFonts w:cs="Times New Roman" w:hint="eastAsia"/>
        </w:rPr>
        <w:t>GB/T 10001.2~6</w:t>
      </w:r>
      <w:r w:rsidR="00063D10" w:rsidRPr="00063D10">
        <w:rPr>
          <w:rFonts w:cs="Times New Roman" w:hint="eastAsia"/>
        </w:rPr>
        <w:t>、</w:t>
      </w:r>
      <w:r w:rsidR="00063D10" w:rsidRPr="00063D10">
        <w:rPr>
          <w:rFonts w:cs="Times New Roman" w:hint="eastAsia"/>
        </w:rPr>
        <w:t>9</w:t>
      </w:r>
      <w:r w:rsidR="00063D10" w:rsidRPr="00063D10">
        <w:rPr>
          <w:rFonts w:cs="Times New Roman" w:hint="eastAsia"/>
        </w:rPr>
        <w:t>）和《公共信息导向系统</w:t>
      </w:r>
      <w:r w:rsidR="00063D10" w:rsidRPr="00063D10">
        <w:rPr>
          <w:rFonts w:cs="Times New Roman" w:hint="eastAsia"/>
        </w:rPr>
        <w:t xml:space="preserve"> </w:t>
      </w:r>
      <w:r w:rsidR="00063D10" w:rsidRPr="00063D10">
        <w:rPr>
          <w:rFonts w:cs="Times New Roman" w:hint="eastAsia"/>
        </w:rPr>
        <w:t>导向要素的设计原则与要求》（</w:t>
      </w:r>
      <w:r w:rsidR="00063D10" w:rsidRPr="00063D10">
        <w:rPr>
          <w:rFonts w:cs="Times New Roman" w:hint="eastAsia"/>
        </w:rPr>
        <w:t>GB/T 20501.1</w:t>
      </w:r>
      <w:r w:rsidR="00063D10" w:rsidRPr="00063D10">
        <w:rPr>
          <w:rFonts w:cs="Times New Roman" w:hint="eastAsia"/>
        </w:rPr>
        <w:t>、</w:t>
      </w:r>
      <w:r w:rsidR="00063D10" w:rsidRPr="00063D10">
        <w:rPr>
          <w:rFonts w:cs="Times New Roman" w:hint="eastAsia"/>
        </w:rPr>
        <w:t>2</w:t>
      </w:r>
      <w:r w:rsidR="00063D10" w:rsidRPr="00063D10">
        <w:rPr>
          <w:rFonts w:cs="Times New Roman" w:hint="eastAsia"/>
        </w:rPr>
        <w:t>）的相关要求</w:t>
      </w:r>
      <w:r w:rsidR="00063D10">
        <w:rPr>
          <w:rFonts w:cs="Times New Roman" w:hint="eastAsia"/>
        </w:rPr>
        <w:t>，</w:t>
      </w:r>
      <w:r w:rsidRPr="00530A11">
        <w:rPr>
          <w:rFonts w:cs="Times New Roman"/>
        </w:rPr>
        <w:t>并考虑老年人、残障人士、儿童等不同人群对于标识的识别和感知的方式，体现出对不同人群的关爱。</w:t>
      </w:r>
      <w:r w:rsidRPr="00530A11">
        <w:rPr>
          <w:rFonts w:ascii="宋体" w:hAnsi="宋体" w:cs="宋体" w:hint="eastAsia"/>
        </w:rPr>
        <w:t>①</w:t>
      </w:r>
      <w:r w:rsidRPr="00530A11">
        <w:rPr>
          <w:rFonts w:cs="Times New Roman"/>
        </w:rPr>
        <w:t>老年服务活动导引应注重细节，针对视力水平下降的老年人和残障人士，考虑专门措施进行加强，有条件的项目可适当增加声音及触觉感应的辅助，如声音提示及盲文、浮雕图案触摸式等，以弥补他们视力的不足。</w:t>
      </w:r>
      <w:r w:rsidRPr="00530A11">
        <w:rPr>
          <w:rFonts w:ascii="宋体" w:hAnsi="宋体" w:cs="宋体" w:hint="eastAsia"/>
        </w:rPr>
        <w:t>②</w:t>
      </w:r>
      <w:r w:rsidRPr="00530A11">
        <w:rPr>
          <w:rFonts w:cs="Times New Roman"/>
        </w:rPr>
        <w:t>有意识降低导向牌的高度，以方便儿童观看，可采用色彩与图形化结合的标识方式。</w:t>
      </w:r>
      <w:r w:rsidRPr="00530A11">
        <w:rPr>
          <w:rFonts w:ascii="宋体" w:hAnsi="宋体" w:cs="宋体" w:hint="eastAsia"/>
        </w:rPr>
        <w:t>③</w:t>
      </w:r>
      <w:r w:rsidRPr="00530A11">
        <w:rPr>
          <w:rFonts w:cs="Times New Roman"/>
        </w:rPr>
        <w:t>标识牌的表面宜采用漫反射材质，避免产生反射光线对人眼产生眩光刺激，使标识内容难以辨识。</w:t>
      </w:r>
      <w:r w:rsidRPr="00530A11">
        <w:rPr>
          <w:rFonts w:cs="Times New Roman"/>
        </w:rPr>
        <w:t> </w:t>
      </w:r>
      <w:r w:rsidRPr="00530A11">
        <w:rPr>
          <w:rFonts w:ascii="宋体" w:hAnsi="宋体" w:cs="宋体" w:hint="eastAsia"/>
        </w:rPr>
        <w:t>④</w:t>
      </w:r>
      <w:r w:rsidRPr="00530A11">
        <w:rPr>
          <w:rFonts w:cs="Times New Roman"/>
        </w:rPr>
        <w:t>在导向的同时增强信息、科技、知识方面的内容的传播，使人们在在游玩的同时增长知识。比各种植物的名称、科目、原产地、经济或科学价值等。</w:t>
      </w:r>
    </w:p>
    <w:p w14:paraId="793554BC" w14:textId="77777777" w:rsidR="00C53017" w:rsidRPr="00530A11" w:rsidRDefault="00C53017" w:rsidP="00C53017">
      <w:pPr>
        <w:ind w:firstLine="420"/>
        <w:rPr>
          <w:rFonts w:cs="Times New Roman"/>
        </w:rPr>
      </w:pPr>
      <w:r w:rsidRPr="00530A11">
        <w:rPr>
          <w:rFonts w:cs="Times New Roman"/>
        </w:rPr>
        <w:t>同时，为便于标识识别，应在场地内显著位置上设置标识，标识应反映一定区域范围内的建筑与设施分布情况，并提示当前位置等。建筑及场地的标识应沿通行路径布置，构成完整和连续的引导系统。</w:t>
      </w:r>
    </w:p>
    <w:p w14:paraId="0E009A66" w14:textId="77777777" w:rsidR="00C53017" w:rsidRPr="00530A11" w:rsidRDefault="00C53017" w:rsidP="00C53017">
      <w:pPr>
        <w:ind w:firstLine="420"/>
        <w:rPr>
          <w:rFonts w:cs="Times New Roman"/>
        </w:rPr>
      </w:pPr>
      <w:r w:rsidRPr="00530A11">
        <w:rPr>
          <w:rFonts w:cs="Times New Roman"/>
        </w:rPr>
        <w:t>为了方便车辆的司乘人员能快速准确地停放和找寻车辆，并方便到达目标出入口，保证车库内环境良好、管理有序，车库内外禁鸣、禁停、限速、限高标牌、车辆进出口、人行出入口、各楼栋指引牌、公共卫生间指引牌、停车区位标志及车位号牌应符合《车库建筑设计规范》</w:t>
      </w:r>
      <w:r w:rsidRPr="00530A11">
        <w:rPr>
          <w:rFonts w:cs="Times New Roman"/>
        </w:rPr>
        <w:t>JGJ100-2015</w:t>
      </w:r>
      <w:r w:rsidRPr="00530A11">
        <w:rPr>
          <w:rFonts w:cs="Times New Roman"/>
        </w:rPr>
        <w:t>、《公共建筑标识系统技术规范》</w:t>
      </w:r>
      <w:r w:rsidRPr="00530A11">
        <w:rPr>
          <w:rFonts w:cs="Times New Roman"/>
        </w:rPr>
        <w:t>GBT51223-2017</w:t>
      </w:r>
      <w:r w:rsidRPr="00530A11">
        <w:rPr>
          <w:rFonts w:cs="Times New Roman"/>
        </w:rPr>
        <w:t>中的相关规定，标识应清晰。在每层出入口的显著部位设置应标明楼层和行驶方向的标志，且应在出入口设置车辆管理规定牌和管理员监督栏等设施。</w:t>
      </w:r>
    </w:p>
    <w:p w14:paraId="39A95BC5" w14:textId="77777777" w:rsidR="00745401" w:rsidRPr="0081478A" w:rsidRDefault="00745401" w:rsidP="006C79E9">
      <w:pPr>
        <w:pStyle w:val="20"/>
      </w:pPr>
      <w:r w:rsidRPr="0081478A">
        <w:t>【评价要点】</w:t>
      </w:r>
    </w:p>
    <w:p w14:paraId="01B4C728" w14:textId="77777777" w:rsidR="00375A92" w:rsidRDefault="00745401" w:rsidP="00375A92">
      <w:pPr>
        <w:ind w:firstLine="420"/>
      </w:pPr>
      <w:r w:rsidRPr="0081478A">
        <w:t>在建筑平面、建筑标识系统、车库导示图明确相关的标识的设置位置、安装高度等，并满足相关标准要求。</w:t>
      </w:r>
    </w:p>
    <w:p w14:paraId="77B6B275" w14:textId="058CB2D2"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10C36DE6" w14:textId="16280E11" w:rsidR="004F215F" w:rsidRPr="00530A11" w:rsidRDefault="004F215F" w:rsidP="004F215F">
      <w:pPr>
        <w:ind w:firstLine="420"/>
        <w:rPr>
          <w:rFonts w:cs="Times New Roman"/>
        </w:rPr>
      </w:pPr>
      <w:r w:rsidRPr="00530A11">
        <w:rPr>
          <w:rFonts w:cs="Times New Roman"/>
        </w:rPr>
        <w:t>预评价查阅相关设计文件</w:t>
      </w:r>
      <w:r w:rsidRPr="00530A11">
        <w:rPr>
          <w:rFonts w:cs="Times New Roman"/>
        </w:rPr>
        <w:t>(</w:t>
      </w:r>
      <w:r w:rsidRPr="00530A11">
        <w:rPr>
          <w:rFonts w:cs="Times New Roman"/>
        </w:rPr>
        <w:t>含设计说明、车库划线图、建筑与环境标识系统图等</w:t>
      </w:r>
      <w:r w:rsidRPr="00530A11">
        <w:rPr>
          <w:rFonts w:cs="Times New Roman"/>
        </w:rPr>
        <w:t>)</w:t>
      </w:r>
      <w:r w:rsidRPr="00530A11">
        <w:rPr>
          <w:rFonts w:cs="Times New Roman"/>
        </w:rPr>
        <w:t>；评价时查阅相关竣工图</w:t>
      </w:r>
      <w:r w:rsidRPr="00530A11">
        <w:rPr>
          <w:rFonts w:cs="Times New Roman"/>
        </w:rPr>
        <w:t>(</w:t>
      </w:r>
      <w:r w:rsidRPr="00530A11">
        <w:rPr>
          <w:rFonts w:cs="Times New Roman"/>
        </w:rPr>
        <w:t>含设计说明、车库划线图、建筑与环境标识系统图等</w:t>
      </w:r>
      <w:r w:rsidRPr="00530A11">
        <w:rPr>
          <w:rFonts w:cs="Times New Roman"/>
        </w:rPr>
        <w:t>)</w:t>
      </w:r>
      <w:r w:rsidR="004C499D">
        <w:rPr>
          <w:rFonts w:cs="Times New Roman" w:hint="eastAsia"/>
        </w:rPr>
        <w:t>、</w:t>
      </w:r>
      <w:r w:rsidRPr="00530A11">
        <w:rPr>
          <w:rFonts w:cs="Times New Roman"/>
        </w:rPr>
        <w:t>现场实景影像资料</w:t>
      </w:r>
      <w:r w:rsidR="004C499D">
        <w:rPr>
          <w:rFonts w:cs="Times New Roman" w:hint="eastAsia"/>
        </w:rPr>
        <w:t>，并现场查勘</w:t>
      </w:r>
      <w:r w:rsidRPr="00530A11">
        <w:rPr>
          <w:rFonts w:cs="Times New Roman"/>
        </w:rPr>
        <w:t>。</w:t>
      </w:r>
    </w:p>
    <w:p w14:paraId="2A794505" w14:textId="77777777" w:rsidR="00715ABB" w:rsidRPr="004F215F" w:rsidRDefault="00715ABB">
      <w:pPr>
        <w:ind w:firstLine="420"/>
        <w:rPr>
          <w:rFonts w:cs="Times New Roman"/>
        </w:rPr>
      </w:pPr>
    </w:p>
    <w:p w14:paraId="09598BB7" w14:textId="77777777" w:rsidR="00715ABB" w:rsidRPr="001A7E3B" w:rsidRDefault="00F44390" w:rsidP="001A7E3B">
      <w:pPr>
        <w:pStyle w:val="2"/>
      </w:pPr>
      <w:bookmarkStart w:id="117" w:name="_Toc22221575"/>
      <w:bookmarkStart w:id="118" w:name="_Toc35364742"/>
      <w:r w:rsidRPr="0081478A">
        <w:lastRenderedPageBreak/>
        <w:t xml:space="preserve">6.2 </w:t>
      </w:r>
      <w:r w:rsidRPr="0081478A">
        <w:t>评分项</w:t>
      </w:r>
      <w:bookmarkEnd w:id="117"/>
      <w:bookmarkEnd w:id="118"/>
    </w:p>
    <w:p w14:paraId="4B51961D" w14:textId="77777777" w:rsidR="00715ABB" w:rsidRPr="0081478A" w:rsidRDefault="00F44390" w:rsidP="001A7E3B">
      <w:pPr>
        <w:pStyle w:val="3"/>
      </w:pPr>
      <w:bookmarkStart w:id="119" w:name="_Toc22221576"/>
      <w:bookmarkStart w:id="120" w:name="_Toc35364743"/>
      <w:r w:rsidRPr="0081478A">
        <w:t xml:space="preserve">I </w:t>
      </w:r>
      <w:r w:rsidRPr="0081478A">
        <w:t>出行与无障碍</w:t>
      </w:r>
      <w:bookmarkEnd w:id="119"/>
      <w:bookmarkEnd w:id="120"/>
    </w:p>
    <w:p w14:paraId="7B175C24" w14:textId="77777777" w:rsidR="001C05E4" w:rsidRDefault="001C05E4" w:rsidP="001C05E4">
      <w:pPr>
        <w:pStyle w:val="4"/>
        <w:rPr>
          <w:rFonts w:cs="Times New Roman"/>
          <w:bCs w:val="0"/>
        </w:rPr>
      </w:pPr>
      <w:r w:rsidRPr="00530A11">
        <w:rPr>
          <w:rFonts w:cs="Times New Roman"/>
          <w:bCs w:val="0"/>
        </w:rPr>
        <w:t xml:space="preserve">6.2.1 </w:t>
      </w:r>
      <w:r w:rsidRPr="00530A11">
        <w:rPr>
          <w:rFonts w:cs="Times New Roman"/>
          <w:bCs w:val="0"/>
        </w:rPr>
        <w:t>场地与公共交通站点联系便捷，评价总分值为</w:t>
      </w:r>
      <w:r w:rsidRPr="00530A11">
        <w:rPr>
          <w:rFonts w:cs="Times New Roman"/>
          <w:bCs w:val="0"/>
        </w:rPr>
        <w:t>8</w:t>
      </w:r>
      <w:r w:rsidRPr="00530A11">
        <w:rPr>
          <w:rFonts w:cs="Times New Roman"/>
          <w:bCs w:val="0"/>
        </w:rPr>
        <w:t>分，并按下列规则分别评分并累计：</w:t>
      </w:r>
    </w:p>
    <w:p w14:paraId="4A36CA29" w14:textId="77777777" w:rsidR="001C05E4" w:rsidRPr="001C05E4" w:rsidRDefault="001C05E4" w:rsidP="001C05E4">
      <w:pPr>
        <w:ind w:firstLineChars="100" w:firstLine="211"/>
        <w:rPr>
          <w:b/>
          <w:bCs/>
        </w:rPr>
      </w:pPr>
      <w:r w:rsidRPr="001C05E4">
        <w:rPr>
          <w:rFonts w:hint="eastAsia"/>
          <w:b/>
          <w:bCs/>
        </w:rPr>
        <w:t xml:space="preserve">1 </w:t>
      </w:r>
      <w:r w:rsidRPr="001C05E4">
        <w:rPr>
          <w:rFonts w:hint="eastAsia"/>
          <w:b/>
          <w:bCs/>
        </w:rPr>
        <w:t>场地出入口到达公共交通站点的步行距离不超过</w:t>
      </w:r>
      <w:r w:rsidRPr="001C05E4">
        <w:rPr>
          <w:rFonts w:hint="eastAsia"/>
          <w:b/>
          <w:bCs/>
        </w:rPr>
        <w:t>500m</w:t>
      </w:r>
      <w:r w:rsidRPr="001C05E4">
        <w:rPr>
          <w:rFonts w:hint="eastAsia"/>
          <w:b/>
          <w:bCs/>
        </w:rPr>
        <w:t>，或到达轨道交通站的步行距离不大于</w:t>
      </w:r>
      <w:r w:rsidRPr="001C05E4">
        <w:rPr>
          <w:rFonts w:hint="eastAsia"/>
          <w:b/>
          <w:bCs/>
        </w:rPr>
        <w:t>800m</w:t>
      </w:r>
      <w:r w:rsidRPr="001C05E4">
        <w:rPr>
          <w:rFonts w:hint="eastAsia"/>
          <w:b/>
          <w:bCs/>
        </w:rPr>
        <w:t>，得</w:t>
      </w:r>
      <w:r w:rsidRPr="001C05E4">
        <w:rPr>
          <w:rFonts w:hint="eastAsia"/>
          <w:b/>
          <w:bCs/>
        </w:rPr>
        <w:t>2</w:t>
      </w:r>
      <w:r w:rsidRPr="001C05E4">
        <w:rPr>
          <w:rFonts w:hint="eastAsia"/>
          <w:b/>
          <w:bCs/>
        </w:rPr>
        <w:t>分；场地出入口到达公共交通站点的步行距离不超过</w:t>
      </w:r>
      <w:r w:rsidRPr="001C05E4">
        <w:rPr>
          <w:rFonts w:hint="eastAsia"/>
          <w:b/>
          <w:bCs/>
        </w:rPr>
        <w:t>300m</w:t>
      </w:r>
      <w:r w:rsidRPr="001C05E4">
        <w:rPr>
          <w:rFonts w:hint="eastAsia"/>
          <w:b/>
          <w:bCs/>
        </w:rPr>
        <w:t>，或到达轨道交通站的步行距离不大于</w:t>
      </w:r>
      <w:r w:rsidRPr="001C05E4">
        <w:rPr>
          <w:rFonts w:hint="eastAsia"/>
          <w:b/>
          <w:bCs/>
        </w:rPr>
        <w:t>500m</w:t>
      </w:r>
      <w:r w:rsidRPr="001C05E4">
        <w:rPr>
          <w:rFonts w:hint="eastAsia"/>
          <w:b/>
          <w:bCs/>
        </w:rPr>
        <w:t>，得</w:t>
      </w:r>
      <w:r w:rsidRPr="001C05E4">
        <w:rPr>
          <w:rFonts w:hint="eastAsia"/>
          <w:b/>
          <w:bCs/>
        </w:rPr>
        <w:t>4</w:t>
      </w:r>
      <w:r w:rsidRPr="001C05E4">
        <w:rPr>
          <w:rFonts w:hint="eastAsia"/>
          <w:b/>
          <w:bCs/>
        </w:rPr>
        <w:t>分；</w:t>
      </w:r>
    </w:p>
    <w:p w14:paraId="7CC9C08C" w14:textId="77777777" w:rsidR="001C05E4" w:rsidRPr="001C05E4" w:rsidRDefault="001C05E4" w:rsidP="001C05E4">
      <w:pPr>
        <w:ind w:firstLineChars="100" w:firstLine="211"/>
        <w:rPr>
          <w:b/>
          <w:bCs/>
        </w:rPr>
      </w:pPr>
      <w:r w:rsidRPr="001C05E4">
        <w:rPr>
          <w:rFonts w:hint="eastAsia"/>
          <w:b/>
          <w:bCs/>
        </w:rPr>
        <w:t xml:space="preserve">2 </w:t>
      </w:r>
      <w:r w:rsidRPr="001C05E4">
        <w:rPr>
          <w:rFonts w:hint="eastAsia"/>
          <w:b/>
          <w:bCs/>
        </w:rPr>
        <w:t>场地出入口步行距离</w:t>
      </w:r>
      <w:r w:rsidRPr="001C05E4">
        <w:rPr>
          <w:rFonts w:hint="eastAsia"/>
          <w:b/>
          <w:bCs/>
        </w:rPr>
        <w:t>800m</w:t>
      </w:r>
      <w:r w:rsidRPr="001C05E4">
        <w:rPr>
          <w:rFonts w:hint="eastAsia"/>
          <w:b/>
          <w:bCs/>
        </w:rPr>
        <w:t>范围内设有不少于</w:t>
      </w:r>
      <w:r w:rsidRPr="001C05E4">
        <w:rPr>
          <w:rFonts w:hint="eastAsia"/>
          <w:b/>
          <w:bCs/>
        </w:rPr>
        <w:t>2</w:t>
      </w:r>
      <w:r w:rsidRPr="001C05E4">
        <w:rPr>
          <w:rFonts w:hint="eastAsia"/>
          <w:b/>
          <w:bCs/>
        </w:rPr>
        <w:t>条线路的公共交通站点，得</w:t>
      </w:r>
      <w:r w:rsidRPr="001C05E4">
        <w:rPr>
          <w:rFonts w:hint="eastAsia"/>
          <w:b/>
          <w:bCs/>
        </w:rPr>
        <w:t>4</w:t>
      </w:r>
      <w:r w:rsidRPr="001C05E4">
        <w:rPr>
          <w:rFonts w:hint="eastAsia"/>
          <w:b/>
          <w:bCs/>
        </w:rPr>
        <w:t>分。</w:t>
      </w:r>
    </w:p>
    <w:p w14:paraId="37E8622D" w14:textId="5C99366C" w:rsidR="00715ABB" w:rsidRPr="0081478A" w:rsidRDefault="00F44390" w:rsidP="001C05E4">
      <w:pPr>
        <w:ind w:firstLineChars="0" w:firstLine="0"/>
        <w:rPr>
          <w:rFonts w:cs="Times New Roman"/>
          <w:b/>
          <w:szCs w:val="24"/>
        </w:rPr>
      </w:pPr>
      <w:r w:rsidRPr="0081478A">
        <w:rPr>
          <w:rFonts w:cs="Times New Roman"/>
          <w:b/>
          <w:szCs w:val="24"/>
        </w:rPr>
        <w:t>【条文说明】</w:t>
      </w:r>
    </w:p>
    <w:p w14:paraId="65294112" w14:textId="77777777" w:rsidR="00C53017" w:rsidRPr="00530A11" w:rsidRDefault="00C53017" w:rsidP="00C53017">
      <w:pPr>
        <w:ind w:firstLine="420"/>
        <w:rPr>
          <w:szCs w:val="24"/>
        </w:rPr>
      </w:pPr>
      <w:r w:rsidRPr="00530A11">
        <w:t>本条适用于各类民用建筑的预评价、评价。</w:t>
      </w:r>
    </w:p>
    <w:p w14:paraId="7AB24ACB" w14:textId="77777777" w:rsidR="00C53017" w:rsidRPr="00530A11" w:rsidRDefault="00C53017" w:rsidP="00C53017">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heme="minorEastAsia" w:cs="Times New Roman"/>
        </w:rPr>
        <w:t>4.2.8</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4.2.8</w:t>
      </w:r>
      <w:r w:rsidRPr="00530A11">
        <w:rPr>
          <w:rFonts w:cs="Times New Roman"/>
        </w:rPr>
        <w:t>条的基础上发展而来。</w:t>
      </w:r>
    </w:p>
    <w:p w14:paraId="24EC463C" w14:textId="77777777" w:rsidR="00C53017" w:rsidRPr="00530A11" w:rsidRDefault="00C53017" w:rsidP="00C53017">
      <w:pPr>
        <w:ind w:firstLine="420"/>
        <w:rPr>
          <w:rFonts w:cs="Times New Roman"/>
        </w:rPr>
      </w:pPr>
      <w:r w:rsidRPr="00530A11">
        <w:rPr>
          <w:rFonts w:cs="Times New Roman"/>
        </w:rPr>
        <w:t>优先发展公共交通是缓解城市交通拥堵问题的重要措施，因此建筑与公共交通联系的便捷程度很重要。本条所指公共交通站点包括公共汽车站和轨道交通站。为便于选择公共交通出行，在选址与场地规划中应重视建筑场地与公共交通站点的便捷联系，合理设置出入口。</w:t>
      </w:r>
    </w:p>
    <w:p w14:paraId="5DD98883" w14:textId="77777777"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7D56E9F2" w14:textId="77777777" w:rsidR="00932578" w:rsidRPr="0081478A" w:rsidRDefault="00932578" w:rsidP="00932578">
      <w:pPr>
        <w:ind w:firstLine="420"/>
        <w:rPr>
          <w:rFonts w:cs="Times New Roman"/>
        </w:rPr>
      </w:pPr>
      <w:r w:rsidRPr="0081478A">
        <w:rPr>
          <w:rFonts w:cs="Times New Roman"/>
        </w:rPr>
        <w:t>有便捷的人行通道联系公共交通站点，包括：建筑外的平台直接通过天桥与公交站点相连，建筑的部分空间与地面轨道交通站点出入口直接连通；为减少到达公共交通站点的绕行距离，设置专用人行通道或地下空间与地铁站或公交站点直接相连，步行路与城市道路的步行系统便捷相连等。</w:t>
      </w:r>
    </w:p>
    <w:p w14:paraId="0A59D963" w14:textId="3B340533" w:rsidR="00932578" w:rsidRDefault="00932578" w:rsidP="00932578">
      <w:pPr>
        <w:ind w:firstLine="420"/>
        <w:rPr>
          <w:rFonts w:cs="Times New Roman"/>
        </w:rPr>
      </w:pPr>
      <w:r w:rsidRPr="0081478A">
        <w:rPr>
          <w:rFonts w:cs="Times New Roman"/>
        </w:rPr>
        <w:t>如果参评项目为单体建筑，则</w:t>
      </w:r>
      <w:r w:rsidRPr="0081478A">
        <w:rPr>
          <w:rFonts w:cs="Times New Roman"/>
        </w:rPr>
        <w:t>“</w:t>
      </w:r>
      <w:r w:rsidRPr="0081478A">
        <w:rPr>
          <w:rFonts w:cs="Times New Roman"/>
        </w:rPr>
        <w:t>场地出入口</w:t>
      </w:r>
      <w:r w:rsidRPr="0081478A">
        <w:rPr>
          <w:rFonts w:cs="Times New Roman"/>
        </w:rPr>
        <w:t>”</w:t>
      </w:r>
      <w:r w:rsidRPr="0081478A">
        <w:rPr>
          <w:rFonts w:cs="Times New Roman"/>
        </w:rPr>
        <w:t>用</w:t>
      </w:r>
      <w:r w:rsidRPr="0081478A">
        <w:rPr>
          <w:rFonts w:cs="Times New Roman"/>
        </w:rPr>
        <w:t>“</w:t>
      </w:r>
      <w:r w:rsidRPr="0081478A">
        <w:rPr>
          <w:rFonts w:cs="Times New Roman"/>
        </w:rPr>
        <w:t>建筑</w:t>
      </w:r>
      <w:r w:rsidR="004C499D">
        <w:rPr>
          <w:rFonts w:cs="Times New Roman" w:hint="eastAsia"/>
        </w:rPr>
        <w:t>主要</w:t>
      </w:r>
      <w:r w:rsidRPr="0081478A">
        <w:rPr>
          <w:rFonts w:cs="Times New Roman"/>
        </w:rPr>
        <w:t>出入口</w:t>
      </w:r>
      <w:r w:rsidRPr="0081478A">
        <w:rPr>
          <w:rFonts w:cs="Times New Roman"/>
        </w:rPr>
        <w:t>”</w:t>
      </w:r>
      <w:r w:rsidRPr="0081478A">
        <w:rPr>
          <w:rFonts w:cs="Times New Roman"/>
        </w:rPr>
        <w:t>替代。</w:t>
      </w:r>
    </w:p>
    <w:p w14:paraId="55B84FBD" w14:textId="66A1E94D" w:rsidR="00737545" w:rsidRPr="0081478A" w:rsidRDefault="00737545" w:rsidP="00932578">
      <w:pPr>
        <w:ind w:firstLine="420"/>
        <w:rPr>
          <w:rFonts w:cs="Times New Roman"/>
        </w:rPr>
      </w:pPr>
      <w:r>
        <w:rPr>
          <w:rFonts w:cs="Times New Roman" w:hint="eastAsia"/>
        </w:rPr>
        <w:t>如项目进行评价时，周边配套设施尚未建设或投入使用，应提供具有确定性的建设规划资料证明周边的相关配套设施，并应在项目投入使用时建成或</w:t>
      </w:r>
      <w:r>
        <w:rPr>
          <w:rFonts w:cs="Times New Roman"/>
        </w:rPr>
        <w:t>1</w:t>
      </w:r>
      <w:r>
        <w:rPr>
          <w:rFonts w:cs="Times New Roman" w:hint="eastAsia"/>
        </w:rPr>
        <w:t>年内建成，否则本条不予得分。</w:t>
      </w:r>
    </w:p>
    <w:p w14:paraId="33F550CE"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1AE441F4" w14:textId="790CCC65" w:rsidR="004F215F" w:rsidRPr="00530A11" w:rsidRDefault="004F215F" w:rsidP="004F215F">
      <w:pPr>
        <w:ind w:firstLine="420"/>
        <w:rPr>
          <w:rFonts w:cs="Times New Roman"/>
        </w:rPr>
      </w:pPr>
      <w:r w:rsidRPr="00530A11">
        <w:rPr>
          <w:rFonts w:cs="Times New Roman"/>
        </w:rPr>
        <w:t>预评价查阅相关设计文件；评价查阅相关竣工图、位置距离的标识地图和现场影像资料</w:t>
      </w:r>
      <w:r w:rsidR="004C499D">
        <w:rPr>
          <w:rFonts w:cs="Times New Roman" w:hint="eastAsia"/>
        </w:rPr>
        <w:t>，并现场查勘</w:t>
      </w:r>
      <w:r w:rsidRPr="00530A11">
        <w:rPr>
          <w:rFonts w:cs="Times New Roman"/>
        </w:rPr>
        <w:t>。</w:t>
      </w:r>
    </w:p>
    <w:p w14:paraId="0D74D880" w14:textId="77777777" w:rsidR="00715ABB" w:rsidRPr="004F215F" w:rsidRDefault="00715ABB">
      <w:pPr>
        <w:ind w:firstLine="420"/>
        <w:rPr>
          <w:rFonts w:cs="Times New Roman"/>
        </w:rPr>
      </w:pPr>
    </w:p>
    <w:p w14:paraId="2727FA23" w14:textId="77777777" w:rsidR="001C05E4" w:rsidRPr="00530A11" w:rsidRDefault="001C05E4" w:rsidP="001C05E4">
      <w:pPr>
        <w:pStyle w:val="4"/>
        <w:rPr>
          <w:rFonts w:cs="Times New Roman"/>
          <w:bCs w:val="0"/>
        </w:rPr>
      </w:pPr>
      <w:r w:rsidRPr="00530A11">
        <w:rPr>
          <w:rFonts w:cs="Times New Roman"/>
          <w:bCs w:val="0"/>
        </w:rPr>
        <w:lastRenderedPageBreak/>
        <w:t xml:space="preserve">6.2.2 </w:t>
      </w:r>
      <w:r w:rsidRPr="00530A11">
        <w:rPr>
          <w:rFonts w:cs="Times New Roman"/>
          <w:bCs w:val="0"/>
        </w:rPr>
        <w:t>建筑室内外公共区域满足全龄化设计要求，评价总分值为</w:t>
      </w:r>
      <w:r w:rsidRPr="00530A11">
        <w:rPr>
          <w:rFonts w:cs="Times New Roman"/>
          <w:bCs w:val="0"/>
        </w:rPr>
        <w:t>8</w:t>
      </w:r>
      <w:r w:rsidRPr="00530A11">
        <w:rPr>
          <w:rFonts w:cs="Times New Roman"/>
          <w:bCs w:val="0"/>
        </w:rPr>
        <w:t>分，并按下列规则分别评分并累计：</w:t>
      </w:r>
    </w:p>
    <w:p w14:paraId="43B3CF18"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1 </w:t>
      </w:r>
      <w:r w:rsidRPr="001C05E4">
        <w:rPr>
          <w:rFonts w:cs="Times New Roman"/>
          <w:b/>
          <w:bCs/>
          <w:szCs w:val="24"/>
        </w:rPr>
        <w:t>建筑室内公共区域、室外公共活动场地及道路均满足无障碍设计要求，得</w:t>
      </w:r>
      <w:r w:rsidRPr="001C05E4">
        <w:rPr>
          <w:rFonts w:cs="Times New Roman"/>
          <w:b/>
          <w:bCs/>
          <w:szCs w:val="24"/>
        </w:rPr>
        <w:t>3</w:t>
      </w:r>
      <w:r w:rsidRPr="001C05E4">
        <w:rPr>
          <w:rFonts w:cs="Times New Roman"/>
          <w:b/>
          <w:bCs/>
          <w:szCs w:val="24"/>
        </w:rPr>
        <w:t>分；</w:t>
      </w:r>
    </w:p>
    <w:p w14:paraId="641C9AA7"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2 </w:t>
      </w:r>
      <w:r w:rsidRPr="001C05E4">
        <w:rPr>
          <w:rFonts w:cs="Times New Roman"/>
          <w:b/>
          <w:bCs/>
          <w:szCs w:val="24"/>
        </w:rPr>
        <w:t>建筑室内公共区域的墙、柱等处的阳角均为圆角，并设有安全抓杆或扶手，得</w:t>
      </w:r>
      <w:r w:rsidRPr="001C05E4">
        <w:rPr>
          <w:rFonts w:cs="Times New Roman"/>
          <w:b/>
          <w:bCs/>
          <w:szCs w:val="24"/>
        </w:rPr>
        <w:t>3</w:t>
      </w:r>
      <w:r w:rsidRPr="001C05E4">
        <w:rPr>
          <w:rFonts w:cs="Times New Roman"/>
          <w:b/>
          <w:bCs/>
          <w:szCs w:val="24"/>
        </w:rPr>
        <w:t>分；</w:t>
      </w:r>
    </w:p>
    <w:p w14:paraId="3865F367"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3 </w:t>
      </w:r>
      <w:r w:rsidRPr="001C05E4">
        <w:rPr>
          <w:rFonts w:cs="Times New Roman"/>
          <w:b/>
          <w:bCs/>
          <w:szCs w:val="24"/>
        </w:rPr>
        <w:t>设有可容纳担架的无障碍电梯，得</w:t>
      </w:r>
      <w:r w:rsidRPr="001C05E4">
        <w:rPr>
          <w:rFonts w:cs="Times New Roman"/>
          <w:b/>
          <w:bCs/>
          <w:szCs w:val="24"/>
        </w:rPr>
        <w:t>2</w:t>
      </w:r>
      <w:r w:rsidRPr="001C05E4">
        <w:rPr>
          <w:rFonts w:cs="Times New Roman"/>
          <w:b/>
          <w:bCs/>
          <w:szCs w:val="24"/>
        </w:rPr>
        <w:t>分。</w:t>
      </w:r>
    </w:p>
    <w:p w14:paraId="4990DBAC" w14:textId="77777777" w:rsidR="00715ABB" w:rsidRPr="0081478A" w:rsidRDefault="00F44390">
      <w:pPr>
        <w:ind w:firstLineChars="0" w:firstLine="0"/>
        <w:rPr>
          <w:rFonts w:cs="Times New Roman"/>
          <w:b/>
          <w:szCs w:val="24"/>
        </w:rPr>
      </w:pPr>
      <w:r w:rsidRPr="0081478A">
        <w:rPr>
          <w:rFonts w:cs="Times New Roman"/>
          <w:b/>
          <w:szCs w:val="24"/>
        </w:rPr>
        <w:t>【条文说明】</w:t>
      </w:r>
    </w:p>
    <w:p w14:paraId="010A675D" w14:textId="77777777" w:rsidR="00C53017" w:rsidRPr="00530A11" w:rsidRDefault="00C53017" w:rsidP="00C53017">
      <w:pPr>
        <w:ind w:firstLine="420"/>
        <w:rPr>
          <w:szCs w:val="24"/>
        </w:rPr>
      </w:pPr>
      <w:r w:rsidRPr="00530A11">
        <w:t>本条适用于各类民用建筑的预评价、评价。</w:t>
      </w:r>
    </w:p>
    <w:p w14:paraId="072C1CE0" w14:textId="77777777" w:rsidR="00C53017" w:rsidRPr="00530A11" w:rsidRDefault="00C53017" w:rsidP="00C53017">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heme="minorEastAsia" w:cs="Times New Roman"/>
        </w:rPr>
        <w:t>4.2.9</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4.2.9</w:t>
      </w:r>
      <w:r w:rsidRPr="00530A11">
        <w:rPr>
          <w:rFonts w:cs="Times New Roman"/>
        </w:rPr>
        <w:t>条的基础上发展而来。</w:t>
      </w:r>
    </w:p>
    <w:p w14:paraId="425C78CB" w14:textId="77777777" w:rsidR="00C53017" w:rsidRPr="00530A11" w:rsidRDefault="00C53017" w:rsidP="00C53017">
      <w:pPr>
        <w:ind w:firstLine="420"/>
        <w:rPr>
          <w:rFonts w:cs="Times New Roman"/>
        </w:rPr>
      </w:pPr>
      <w:r w:rsidRPr="00530A11">
        <w:rPr>
          <w:rFonts w:cs="Times New Roman"/>
        </w:rPr>
        <w:t>为老年人、行动不便者提供活动场地及相应的服务设施和方便、安全的无障碍的出行环境，营造全龄友好的生活居住环境是城市建设不容忽略的重要问题。</w:t>
      </w:r>
    </w:p>
    <w:p w14:paraId="7092EAA8" w14:textId="77777777" w:rsidR="00C53017" w:rsidRPr="00530A11" w:rsidRDefault="00C53017" w:rsidP="00C53017">
      <w:pPr>
        <w:ind w:firstLine="420"/>
        <w:rPr>
          <w:rFonts w:cs="Times New Roman"/>
        </w:rPr>
      </w:pPr>
      <w:r w:rsidRPr="00530A11">
        <w:rPr>
          <w:rFonts w:cs="Times New Roman"/>
        </w:rPr>
        <w:t>第</w:t>
      </w:r>
      <w:r w:rsidRPr="00530A11">
        <w:rPr>
          <w:rFonts w:cs="Times New Roman"/>
        </w:rPr>
        <w:t>1</w:t>
      </w:r>
      <w:r w:rsidRPr="00530A11">
        <w:rPr>
          <w:rFonts w:cs="Times New Roman"/>
        </w:rPr>
        <w:t>款，建筑内公共空间形成连续的无障碍通道，不仅能满足老人的使用需求，同时为行为障碍者、推婴儿车、搬运行李的正常人也能从中得到方便。建筑内的公共空间包括出入口、门厅、走廊、楼梯、电梯等，这些公共空间的无障碍设计符合现行国家标准《无障碍设计规范》</w:t>
      </w:r>
      <w:r w:rsidRPr="00530A11">
        <w:rPr>
          <w:rFonts w:cs="Times New Roman"/>
        </w:rPr>
        <w:t>GB 50763</w:t>
      </w:r>
      <w:r w:rsidRPr="00530A11">
        <w:rPr>
          <w:rFonts w:cs="Times New Roman"/>
        </w:rPr>
        <w:t>中的相关规定，并尽可能实现场内的城市街道、室外活动场地、室内外停车场、各类建筑出入口和公共交通站点之间等步行系统的无障碍联通。</w:t>
      </w:r>
    </w:p>
    <w:p w14:paraId="4F412E8F" w14:textId="77777777" w:rsidR="00C53017" w:rsidRPr="00530A11" w:rsidRDefault="00C53017" w:rsidP="00C53017">
      <w:pPr>
        <w:ind w:firstLine="420"/>
        <w:rPr>
          <w:rFonts w:cs="Times New Roman"/>
        </w:rPr>
      </w:pPr>
      <w:r w:rsidRPr="00530A11">
        <w:rPr>
          <w:rFonts w:cs="Times New Roman"/>
        </w:rPr>
        <w:t>第</w:t>
      </w:r>
      <w:r w:rsidRPr="00530A11">
        <w:rPr>
          <w:rFonts w:cs="Times New Roman"/>
        </w:rPr>
        <w:t>2</w:t>
      </w:r>
      <w:r w:rsidRPr="00530A11">
        <w:rPr>
          <w:rFonts w:cs="Times New Roman"/>
        </w:rPr>
        <w:t>款，建筑的公共区域充分考虑墙面或者易接触面不应有明显棱角或尖锐突出物，保证使用者，特别是行动不便的老人、残疾人、儿童行走安全。</w:t>
      </w:r>
    </w:p>
    <w:p w14:paraId="12A403C9" w14:textId="77777777" w:rsidR="00C53017" w:rsidRPr="00530A11" w:rsidRDefault="00C53017" w:rsidP="00C53017">
      <w:pPr>
        <w:ind w:firstLine="420"/>
        <w:rPr>
          <w:rFonts w:cs="Times New Roman"/>
        </w:rPr>
      </w:pPr>
      <w:r w:rsidRPr="00530A11">
        <w:rPr>
          <w:rFonts w:cs="Times New Roman"/>
        </w:rPr>
        <w:t>第</w:t>
      </w:r>
      <w:r w:rsidRPr="00530A11">
        <w:rPr>
          <w:rFonts w:cs="Times New Roman"/>
        </w:rPr>
        <w:t>3</w:t>
      </w:r>
      <w:r w:rsidRPr="00530A11">
        <w:rPr>
          <w:rFonts w:cs="Times New Roman"/>
        </w:rPr>
        <w:t>款，在电梯的设计中，可容纳担架的电梯能保证建筑使用者出现突发病症时，更方便地利用垂直交通。</w:t>
      </w:r>
    </w:p>
    <w:p w14:paraId="38577C7A" w14:textId="62977BCB" w:rsidR="00932578"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6874FC3A" w14:textId="1CC739DC" w:rsidR="00007CD5" w:rsidRPr="0081478A" w:rsidRDefault="00007CD5" w:rsidP="004C499D">
      <w:pPr>
        <w:ind w:firstLine="420"/>
      </w:pPr>
      <w:r w:rsidRPr="00530A11">
        <w:t>建筑内公共空间</w:t>
      </w:r>
      <w:r w:rsidR="004C499D" w:rsidRPr="004C499D">
        <w:rPr>
          <w:rFonts w:hint="eastAsia"/>
        </w:rPr>
        <w:t>、室外公共活动场地及道路能</w:t>
      </w:r>
      <w:r w:rsidRPr="00530A11">
        <w:t>形成连续的无障碍通道</w:t>
      </w:r>
      <w:r w:rsidR="004C499D">
        <w:rPr>
          <w:rFonts w:hint="eastAsia"/>
        </w:rPr>
        <w:t>；</w:t>
      </w:r>
      <w:r w:rsidR="00EF245F">
        <w:rPr>
          <w:rFonts w:hint="eastAsia"/>
        </w:rPr>
        <w:t>公共区域</w:t>
      </w:r>
      <w:r w:rsidR="00EF245F" w:rsidRPr="00530A11">
        <w:t>墙面或者易接触面不应有明显棱角或尖锐突出物，</w:t>
      </w:r>
      <w:r w:rsidR="004C499D" w:rsidRPr="004C499D">
        <w:rPr>
          <w:rFonts w:hint="eastAsia"/>
        </w:rPr>
        <w:t>并设有安全抓杆或扶手；</w:t>
      </w:r>
      <w:r w:rsidR="004C499D">
        <w:rPr>
          <w:rFonts w:hint="eastAsia"/>
        </w:rPr>
        <w:t>有能</w:t>
      </w:r>
      <w:r w:rsidR="00EF245F">
        <w:rPr>
          <w:rFonts w:hint="eastAsia"/>
        </w:rPr>
        <w:t>容纳担架</w:t>
      </w:r>
      <w:r w:rsidR="004C499D">
        <w:rPr>
          <w:rFonts w:hint="eastAsia"/>
        </w:rPr>
        <w:t>的无障碍电梯</w:t>
      </w:r>
      <w:r w:rsidR="00EF245F">
        <w:rPr>
          <w:rFonts w:hint="eastAsia"/>
        </w:rPr>
        <w:t>。</w:t>
      </w:r>
    </w:p>
    <w:p w14:paraId="6A155ECD"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0694DE25" w14:textId="33C1BAAE" w:rsidR="00715ABB" w:rsidRPr="0081478A" w:rsidRDefault="004F215F">
      <w:pPr>
        <w:ind w:firstLine="420"/>
        <w:rPr>
          <w:rFonts w:cs="Times New Roman"/>
        </w:rPr>
      </w:pPr>
      <w:r w:rsidRPr="00530A11">
        <w:rPr>
          <w:rFonts w:cs="Times New Roman"/>
        </w:rPr>
        <w:t>预评价查阅相关</w:t>
      </w:r>
      <w:r w:rsidR="004C499D">
        <w:rPr>
          <w:rFonts w:cs="Times New Roman" w:hint="eastAsia"/>
        </w:rPr>
        <w:t>专业</w:t>
      </w:r>
      <w:r w:rsidRPr="00530A11">
        <w:rPr>
          <w:rFonts w:cs="Times New Roman"/>
        </w:rPr>
        <w:t>设计文件</w:t>
      </w:r>
      <w:r w:rsidRPr="00530A11">
        <w:rPr>
          <w:rFonts w:cs="Times New Roman"/>
        </w:rPr>
        <w:t>(</w:t>
      </w:r>
      <w:r w:rsidRPr="00530A11">
        <w:rPr>
          <w:rFonts w:cs="Times New Roman"/>
        </w:rPr>
        <w:t>建筑专业、景观专业</w:t>
      </w:r>
      <w:r w:rsidRPr="00530A11">
        <w:rPr>
          <w:rFonts w:cs="Times New Roman"/>
        </w:rPr>
        <w:t>)</w:t>
      </w:r>
      <w:r w:rsidRPr="00530A11">
        <w:rPr>
          <w:rFonts w:cs="Times New Roman"/>
        </w:rPr>
        <w:t>；评价查阅相关竣工图和现场实景影像，组织现场查勘。</w:t>
      </w:r>
    </w:p>
    <w:p w14:paraId="181AF328" w14:textId="77777777" w:rsidR="00715ABB" w:rsidRPr="0081478A" w:rsidRDefault="00715ABB">
      <w:pPr>
        <w:ind w:firstLine="420"/>
        <w:rPr>
          <w:rFonts w:cs="Times New Roman"/>
        </w:rPr>
      </w:pPr>
    </w:p>
    <w:p w14:paraId="5CEF0478" w14:textId="77777777" w:rsidR="00715ABB" w:rsidRPr="0081478A" w:rsidRDefault="00F44390" w:rsidP="001A7E3B">
      <w:pPr>
        <w:pStyle w:val="3"/>
      </w:pPr>
      <w:bookmarkStart w:id="121" w:name="_Toc22221577"/>
      <w:bookmarkStart w:id="122" w:name="_Toc35364744"/>
      <w:r w:rsidRPr="0081478A">
        <w:lastRenderedPageBreak/>
        <w:t xml:space="preserve">Ⅱ </w:t>
      </w:r>
      <w:r w:rsidRPr="0081478A">
        <w:t>服务设施</w:t>
      </w:r>
      <w:bookmarkEnd w:id="121"/>
      <w:bookmarkEnd w:id="122"/>
    </w:p>
    <w:p w14:paraId="52876358" w14:textId="77777777" w:rsidR="001C05E4" w:rsidRPr="00530A11" w:rsidRDefault="001C05E4" w:rsidP="001C05E4">
      <w:pPr>
        <w:pStyle w:val="4"/>
        <w:rPr>
          <w:rFonts w:cs="Times New Roman"/>
          <w:bCs w:val="0"/>
        </w:rPr>
      </w:pPr>
      <w:r w:rsidRPr="00530A11">
        <w:rPr>
          <w:rFonts w:cs="Times New Roman"/>
          <w:bCs w:val="0"/>
        </w:rPr>
        <w:t xml:space="preserve">6.2.3 </w:t>
      </w:r>
      <w:r w:rsidRPr="00530A11">
        <w:rPr>
          <w:rFonts w:cs="Times New Roman"/>
          <w:bCs w:val="0"/>
        </w:rPr>
        <w:t>提供便利的公共服务，评价总分值为</w:t>
      </w:r>
      <w:r w:rsidRPr="00530A11">
        <w:rPr>
          <w:rFonts w:cs="Times New Roman"/>
          <w:bCs w:val="0"/>
        </w:rPr>
        <w:t>10</w:t>
      </w:r>
      <w:r w:rsidRPr="00530A11">
        <w:rPr>
          <w:rFonts w:cs="Times New Roman"/>
          <w:bCs w:val="0"/>
        </w:rPr>
        <w:t>分，按下列规则评分：</w:t>
      </w:r>
    </w:p>
    <w:p w14:paraId="2EFB0C20"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1 </w:t>
      </w:r>
      <w:r w:rsidRPr="001C05E4">
        <w:rPr>
          <w:rFonts w:cs="Times New Roman"/>
          <w:b/>
          <w:bCs/>
          <w:szCs w:val="24"/>
        </w:rPr>
        <w:t>住宅建筑，满足下列要求中的</w:t>
      </w:r>
      <w:r w:rsidRPr="001C05E4">
        <w:rPr>
          <w:rFonts w:cs="Times New Roman"/>
          <w:b/>
          <w:bCs/>
          <w:szCs w:val="24"/>
        </w:rPr>
        <w:t>4</w:t>
      </w:r>
      <w:r w:rsidRPr="001C05E4">
        <w:rPr>
          <w:rFonts w:cs="Times New Roman"/>
          <w:b/>
          <w:bCs/>
          <w:szCs w:val="24"/>
        </w:rPr>
        <w:t>项，得</w:t>
      </w:r>
      <w:r w:rsidRPr="001C05E4">
        <w:rPr>
          <w:rFonts w:cs="Times New Roman"/>
          <w:b/>
          <w:bCs/>
          <w:szCs w:val="24"/>
        </w:rPr>
        <w:t>5</w:t>
      </w:r>
      <w:r w:rsidRPr="001C05E4">
        <w:rPr>
          <w:rFonts w:cs="Times New Roman"/>
          <w:b/>
          <w:bCs/>
          <w:szCs w:val="24"/>
        </w:rPr>
        <w:t>分；满足</w:t>
      </w:r>
      <w:r w:rsidRPr="001C05E4">
        <w:rPr>
          <w:rFonts w:cs="Times New Roman"/>
          <w:b/>
          <w:bCs/>
          <w:szCs w:val="24"/>
        </w:rPr>
        <w:t>6</w:t>
      </w:r>
      <w:r w:rsidRPr="001C05E4">
        <w:rPr>
          <w:rFonts w:cs="Times New Roman"/>
          <w:b/>
          <w:bCs/>
          <w:szCs w:val="24"/>
        </w:rPr>
        <w:t>项及以上，得</w:t>
      </w:r>
      <w:r w:rsidRPr="001C05E4">
        <w:rPr>
          <w:rFonts w:cs="Times New Roman"/>
          <w:b/>
          <w:bCs/>
          <w:szCs w:val="24"/>
        </w:rPr>
        <w:t>10</w:t>
      </w:r>
      <w:r w:rsidRPr="001C05E4">
        <w:rPr>
          <w:rFonts w:cs="Times New Roman"/>
          <w:b/>
          <w:bCs/>
          <w:szCs w:val="24"/>
        </w:rPr>
        <w:t>分。</w:t>
      </w:r>
    </w:p>
    <w:p w14:paraId="700CE357"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1</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场地人行出入口到达幼儿园的步行距离不大于</w:t>
      </w:r>
      <w:r w:rsidRPr="001C05E4">
        <w:rPr>
          <w:rFonts w:ascii="Times New Roman" w:hAnsi="Times New Roman" w:cs="Times New Roman"/>
          <w:bCs/>
          <w:color w:val="auto"/>
        </w:rPr>
        <w:t>300m</w:t>
      </w:r>
      <w:r w:rsidRPr="001C05E4">
        <w:rPr>
          <w:rFonts w:ascii="Times New Roman" w:hAnsi="Times New Roman" w:cs="Times New Roman"/>
          <w:bCs/>
          <w:color w:val="auto"/>
        </w:rPr>
        <w:t>；</w:t>
      </w:r>
    </w:p>
    <w:p w14:paraId="397A77E4"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2</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场地人行出入口到达小学的步行距离不大于</w:t>
      </w:r>
      <w:r w:rsidRPr="001C05E4">
        <w:rPr>
          <w:rFonts w:ascii="Times New Roman" w:hAnsi="Times New Roman" w:cs="Times New Roman"/>
          <w:bCs/>
          <w:color w:val="auto"/>
        </w:rPr>
        <w:t>500m</w:t>
      </w:r>
      <w:r w:rsidRPr="001C05E4">
        <w:rPr>
          <w:rFonts w:ascii="Times New Roman" w:hAnsi="Times New Roman" w:cs="Times New Roman"/>
          <w:bCs/>
          <w:color w:val="auto"/>
        </w:rPr>
        <w:t>；</w:t>
      </w:r>
    </w:p>
    <w:p w14:paraId="2A564643"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3</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场地人行出入口到达中学的步行距离不大于</w:t>
      </w:r>
      <w:r w:rsidRPr="001C05E4">
        <w:rPr>
          <w:rFonts w:ascii="Times New Roman" w:hAnsi="Times New Roman" w:cs="Times New Roman"/>
          <w:bCs/>
          <w:color w:val="auto"/>
        </w:rPr>
        <w:t>1000m</w:t>
      </w:r>
      <w:r w:rsidRPr="001C05E4">
        <w:rPr>
          <w:rFonts w:ascii="Times New Roman" w:hAnsi="Times New Roman" w:cs="Times New Roman"/>
          <w:bCs/>
          <w:color w:val="auto"/>
        </w:rPr>
        <w:t>；</w:t>
      </w:r>
    </w:p>
    <w:p w14:paraId="4AD24969"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4</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场地人行出入口到达医院的步行距离不大于</w:t>
      </w:r>
      <w:r w:rsidRPr="001C05E4">
        <w:rPr>
          <w:rFonts w:ascii="Times New Roman" w:hAnsi="Times New Roman" w:cs="Times New Roman"/>
          <w:bCs/>
          <w:color w:val="auto"/>
        </w:rPr>
        <w:t>1000m</w:t>
      </w:r>
      <w:r w:rsidRPr="001C05E4">
        <w:rPr>
          <w:rFonts w:ascii="Times New Roman" w:hAnsi="Times New Roman" w:cs="Times New Roman"/>
          <w:bCs/>
          <w:color w:val="auto"/>
        </w:rPr>
        <w:t>；</w:t>
      </w:r>
    </w:p>
    <w:p w14:paraId="00572F85"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5</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场地人行出入口到达群众文化活动设施的步行距离不大于</w:t>
      </w:r>
      <w:r w:rsidRPr="001C05E4">
        <w:rPr>
          <w:rFonts w:ascii="Times New Roman" w:hAnsi="Times New Roman" w:cs="Times New Roman"/>
          <w:bCs/>
          <w:color w:val="auto"/>
        </w:rPr>
        <w:t>800m</w:t>
      </w:r>
      <w:r w:rsidRPr="001C05E4">
        <w:rPr>
          <w:rFonts w:ascii="Times New Roman" w:hAnsi="Times New Roman" w:cs="Times New Roman"/>
          <w:bCs/>
          <w:color w:val="auto"/>
        </w:rPr>
        <w:t>；</w:t>
      </w:r>
    </w:p>
    <w:p w14:paraId="2BC6A3C9"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6</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场地人行出入口到达老年人日间照料设施的步行距离不大于</w:t>
      </w:r>
      <w:r w:rsidRPr="001C05E4">
        <w:rPr>
          <w:rFonts w:ascii="Times New Roman" w:hAnsi="Times New Roman" w:cs="Times New Roman"/>
          <w:bCs/>
          <w:color w:val="auto"/>
        </w:rPr>
        <w:t>500m</w:t>
      </w:r>
      <w:r w:rsidRPr="001C05E4">
        <w:rPr>
          <w:rFonts w:ascii="Times New Roman" w:hAnsi="Times New Roman" w:cs="Times New Roman"/>
          <w:bCs/>
          <w:color w:val="auto"/>
        </w:rPr>
        <w:t>；</w:t>
      </w:r>
    </w:p>
    <w:p w14:paraId="7E861EC6"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7</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场地周边</w:t>
      </w:r>
      <w:r w:rsidRPr="001C05E4">
        <w:rPr>
          <w:rFonts w:ascii="Times New Roman" w:hAnsi="Times New Roman" w:cs="Times New Roman"/>
          <w:bCs/>
          <w:color w:val="auto"/>
        </w:rPr>
        <w:t>500m</w:t>
      </w:r>
      <w:r w:rsidRPr="001C05E4">
        <w:rPr>
          <w:rFonts w:ascii="Times New Roman" w:hAnsi="Times New Roman" w:cs="Times New Roman"/>
          <w:bCs/>
          <w:color w:val="auto"/>
        </w:rPr>
        <w:t>范围内具有不少于</w:t>
      </w:r>
      <w:r w:rsidRPr="001C05E4">
        <w:rPr>
          <w:rFonts w:ascii="Times New Roman" w:hAnsi="Times New Roman" w:cs="Times New Roman"/>
          <w:bCs/>
          <w:color w:val="auto"/>
        </w:rPr>
        <w:t>3</w:t>
      </w:r>
      <w:r w:rsidRPr="001C05E4">
        <w:rPr>
          <w:rFonts w:ascii="Times New Roman" w:hAnsi="Times New Roman" w:cs="Times New Roman"/>
          <w:bCs/>
          <w:color w:val="auto"/>
        </w:rPr>
        <w:t>种商业服务设施。</w:t>
      </w:r>
    </w:p>
    <w:p w14:paraId="7A578877"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bCs/>
          <w:color w:val="auto"/>
        </w:rPr>
        <w:t>公共建筑，满足下列要求中的</w:t>
      </w:r>
      <w:r w:rsidRPr="001C05E4">
        <w:rPr>
          <w:rFonts w:ascii="Times New Roman" w:hAnsi="Times New Roman" w:cs="Times New Roman"/>
          <w:bCs/>
          <w:color w:val="auto"/>
        </w:rPr>
        <w:t>3</w:t>
      </w:r>
      <w:r w:rsidRPr="001C05E4">
        <w:rPr>
          <w:rFonts w:ascii="Times New Roman" w:hAnsi="Times New Roman" w:cs="Times New Roman"/>
          <w:bCs/>
          <w:color w:val="auto"/>
        </w:rPr>
        <w:t>项，得</w:t>
      </w:r>
      <w:r w:rsidRPr="001C05E4">
        <w:rPr>
          <w:rFonts w:ascii="Times New Roman" w:hAnsi="Times New Roman" w:cs="Times New Roman"/>
          <w:bCs/>
          <w:color w:val="auto"/>
        </w:rPr>
        <w:t>5</w:t>
      </w:r>
      <w:r w:rsidRPr="001C05E4">
        <w:rPr>
          <w:rFonts w:ascii="Times New Roman" w:hAnsi="Times New Roman" w:cs="Times New Roman"/>
          <w:bCs/>
          <w:color w:val="auto"/>
        </w:rPr>
        <w:t>分；满足</w:t>
      </w:r>
      <w:r w:rsidRPr="001C05E4">
        <w:rPr>
          <w:rFonts w:ascii="Times New Roman" w:hAnsi="Times New Roman" w:cs="Times New Roman"/>
          <w:bCs/>
          <w:color w:val="auto"/>
        </w:rPr>
        <w:t>5</w:t>
      </w:r>
      <w:r w:rsidRPr="001C05E4">
        <w:rPr>
          <w:rFonts w:ascii="Times New Roman" w:hAnsi="Times New Roman" w:cs="Times New Roman"/>
          <w:bCs/>
          <w:color w:val="auto"/>
        </w:rPr>
        <w:t>项，得</w:t>
      </w:r>
      <w:r w:rsidRPr="001C05E4">
        <w:rPr>
          <w:rFonts w:ascii="Times New Roman" w:hAnsi="Times New Roman" w:cs="Times New Roman"/>
          <w:bCs/>
          <w:color w:val="auto"/>
        </w:rPr>
        <w:t>10</w:t>
      </w:r>
      <w:r w:rsidRPr="001C05E4">
        <w:rPr>
          <w:rFonts w:ascii="Times New Roman" w:hAnsi="Times New Roman" w:cs="Times New Roman"/>
          <w:bCs/>
          <w:color w:val="auto"/>
        </w:rPr>
        <w:t>分。</w:t>
      </w:r>
    </w:p>
    <w:p w14:paraId="0B1B24DC"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1</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建筑内至少兼容</w:t>
      </w:r>
      <w:r w:rsidRPr="001C05E4">
        <w:rPr>
          <w:rFonts w:ascii="Times New Roman" w:hAnsi="Times New Roman" w:cs="Times New Roman"/>
          <w:bCs/>
          <w:color w:val="auto"/>
        </w:rPr>
        <w:t>2</w:t>
      </w:r>
      <w:r w:rsidRPr="001C05E4">
        <w:rPr>
          <w:rFonts w:ascii="Times New Roman" w:hAnsi="Times New Roman" w:cs="Times New Roman"/>
          <w:bCs/>
          <w:color w:val="auto"/>
        </w:rPr>
        <w:t>种面向社会的公共服务功能；</w:t>
      </w:r>
    </w:p>
    <w:p w14:paraId="2B61C77E"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2</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建筑向社会公众提供一定面积的、开放的公共活动空间；</w:t>
      </w:r>
    </w:p>
    <w:p w14:paraId="612EEFC2"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3</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场地周边</w:t>
      </w:r>
      <w:r w:rsidRPr="001C05E4">
        <w:rPr>
          <w:rFonts w:ascii="Times New Roman" w:hAnsi="Times New Roman" w:cs="Times New Roman"/>
          <w:bCs/>
          <w:color w:val="auto"/>
        </w:rPr>
        <w:t>500m</w:t>
      </w:r>
      <w:r w:rsidRPr="001C05E4">
        <w:rPr>
          <w:rFonts w:ascii="Times New Roman" w:hAnsi="Times New Roman" w:cs="Times New Roman"/>
          <w:bCs/>
          <w:color w:val="auto"/>
        </w:rPr>
        <w:t>范围内设有社会公共停车场</w:t>
      </w:r>
      <w:r w:rsidRPr="001C05E4">
        <w:rPr>
          <w:rFonts w:ascii="Times New Roman" w:hAnsi="Times New Roman" w:cs="Times New Roman"/>
          <w:bCs/>
          <w:color w:val="auto"/>
        </w:rPr>
        <w:t>(</w:t>
      </w:r>
      <w:r w:rsidRPr="001C05E4">
        <w:rPr>
          <w:rFonts w:ascii="Times New Roman" w:hAnsi="Times New Roman" w:cs="Times New Roman"/>
          <w:bCs/>
          <w:color w:val="auto"/>
        </w:rPr>
        <w:t>库</w:t>
      </w:r>
      <w:r w:rsidRPr="001C05E4">
        <w:rPr>
          <w:rFonts w:ascii="Times New Roman" w:hAnsi="Times New Roman" w:cs="Times New Roman"/>
          <w:bCs/>
          <w:color w:val="auto"/>
        </w:rPr>
        <w:t>)</w:t>
      </w:r>
      <w:r w:rsidRPr="001C05E4">
        <w:rPr>
          <w:rFonts w:ascii="Times New Roman" w:hAnsi="Times New Roman" w:cs="Times New Roman"/>
          <w:bCs/>
          <w:color w:val="auto"/>
        </w:rPr>
        <w:t>；</w:t>
      </w:r>
    </w:p>
    <w:p w14:paraId="60B0CE26"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4</w:t>
      </w:r>
      <w:r w:rsidRPr="001C05E4">
        <w:rPr>
          <w:rFonts w:ascii="Times New Roman" w:hAnsi="Times New Roman" w:cs="Times New Roman"/>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bCs/>
          <w:color w:val="auto"/>
        </w:rPr>
        <w:t>场地不封闭或场地内步行公共通道向社会开放。</w:t>
      </w:r>
    </w:p>
    <w:p w14:paraId="79E17E7D" w14:textId="77777777" w:rsidR="001C05E4" w:rsidRPr="001C05E4" w:rsidRDefault="001C05E4" w:rsidP="001C05E4">
      <w:pPr>
        <w:pStyle w:val="20"/>
        <w:ind w:firstLineChars="200" w:firstLine="422"/>
        <w:rPr>
          <w:rFonts w:ascii="Times New Roman" w:hAnsi="Times New Roman" w:cs="Times New Roman"/>
          <w:bCs/>
          <w:color w:val="auto"/>
        </w:rPr>
      </w:pPr>
      <w:r w:rsidRPr="001C05E4">
        <w:rPr>
          <w:rFonts w:ascii="Times New Roman" w:hAnsi="Times New Roman" w:cs="Times New Roman"/>
          <w:bCs/>
          <w:color w:val="auto"/>
        </w:rPr>
        <w:t>5</w:t>
      </w:r>
      <w:r w:rsidRPr="001C05E4">
        <w:rPr>
          <w:rFonts w:ascii="Times New Roman" w:hAnsi="Times New Roman" w:cs="Times New Roman" w:hint="eastAsia"/>
          <w:bCs/>
          <w:color w:val="auto"/>
        </w:rPr>
        <w:t>）</w:t>
      </w:r>
      <w:r w:rsidRPr="001C05E4">
        <w:rPr>
          <w:rFonts w:ascii="Times New Roman" w:hAnsi="Times New Roman" w:cs="Times New Roman"/>
          <w:bCs/>
          <w:color w:val="auto"/>
        </w:rPr>
        <w:t xml:space="preserve"> </w:t>
      </w:r>
      <w:r w:rsidRPr="001C05E4">
        <w:rPr>
          <w:rFonts w:ascii="Times New Roman" w:hAnsi="Times New Roman" w:cs="Times New Roman" w:hint="eastAsia"/>
          <w:bCs/>
          <w:color w:val="auto"/>
        </w:rPr>
        <w:t>电动汽车充电车位建成数量占总车位数的比例在国家和当地规定的最低要求的基础上至少提升</w:t>
      </w:r>
      <w:r w:rsidRPr="001C05E4">
        <w:rPr>
          <w:rFonts w:ascii="Times New Roman" w:hAnsi="Times New Roman" w:cs="Times New Roman"/>
          <w:bCs/>
          <w:color w:val="auto"/>
        </w:rPr>
        <w:t>5</w:t>
      </w:r>
      <w:r w:rsidRPr="001C05E4">
        <w:rPr>
          <w:rFonts w:ascii="Times New Roman" w:hAnsi="Times New Roman" w:cs="Times New Roman" w:hint="eastAsia"/>
          <w:bCs/>
          <w:color w:val="auto"/>
        </w:rPr>
        <w:t>个百分点。</w:t>
      </w:r>
    </w:p>
    <w:p w14:paraId="7B1A82F0" w14:textId="77777777" w:rsidR="00715ABB" w:rsidRPr="0081478A" w:rsidRDefault="00F44390">
      <w:pPr>
        <w:ind w:firstLineChars="0" w:firstLine="0"/>
        <w:rPr>
          <w:rFonts w:cs="Times New Roman"/>
          <w:b/>
          <w:szCs w:val="24"/>
        </w:rPr>
      </w:pPr>
      <w:r w:rsidRPr="0081478A">
        <w:rPr>
          <w:rFonts w:cs="Times New Roman"/>
          <w:b/>
          <w:szCs w:val="24"/>
        </w:rPr>
        <w:t>【条文说明】</w:t>
      </w:r>
    </w:p>
    <w:p w14:paraId="2161FF28" w14:textId="77777777" w:rsidR="00A432D3" w:rsidRPr="00530A11" w:rsidRDefault="00A432D3" w:rsidP="00A432D3">
      <w:pPr>
        <w:ind w:firstLine="420"/>
        <w:rPr>
          <w:szCs w:val="24"/>
        </w:rPr>
      </w:pPr>
      <w:r w:rsidRPr="00530A11">
        <w:t>本条适用于各类民用建筑的预评价、评价。</w:t>
      </w:r>
    </w:p>
    <w:p w14:paraId="47865335" w14:textId="77777777" w:rsidR="00A432D3" w:rsidRPr="00530A11" w:rsidRDefault="00A432D3" w:rsidP="00A432D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eastAsiaTheme="minorEastAsia" w:cs="Times New Roman"/>
        </w:rPr>
        <w:t>4.2.11</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4.2.11</w:t>
      </w:r>
      <w:r w:rsidRPr="00530A11">
        <w:rPr>
          <w:rFonts w:cs="Times New Roman"/>
        </w:rPr>
        <w:t>条的基础上发展而来。</w:t>
      </w:r>
    </w:p>
    <w:p w14:paraId="07330282" w14:textId="2203706F" w:rsidR="00A432D3" w:rsidRPr="00530A11" w:rsidRDefault="00A432D3" w:rsidP="00A432D3">
      <w:pPr>
        <w:ind w:firstLine="420"/>
        <w:rPr>
          <w:rFonts w:cs="Times New Roman"/>
        </w:rPr>
      </w:pPr>
      <w:r w:rsidRPr="00530A11">
        <w:rPr>
          <w:rFonts w:cs="Times New Roman"/>
        </w:rPr>
        <w:t>第</w:t>
      </w:r>
      <w:r w:rsidRPr="00530A11">
        <w:rPr>
          <w:rFonts w:cs="Times New Roman"/>
        </w:rPr>
        <w:t>1</w:t>
      </w:r>
      <w:r w:rsidRPr="00530A11">
        <w:rPr>
          <w:rFonts w:cs="Times New Roman"/>
        </w:rPr>
        <w:t>款针对住宅建筑。本款与国家标准《城市居住区规划设计标准》</w:t>
      </w:r>
      <w:r w:rsidRPr="00530A11">
        <w:rPr>
          <w:rFonts w:cs="Times New Roman"/>
        </w:rPr>
        <w:t>GB 50180-2018</w:t>
      </w:r>
      <w:r w:rsidRPr="00530A11">
        <w:rPr>
          <w:rFonts w:cs="Times New Roman"/>
        </w:rPr>
        <w:t>进行了对接，居住区的配套设施是指对应居住区分级配套规划建设，并与居住人口规模或住宅建筑面积规模相匹配的生活服务设施；主要包括公共管理与公共服务设施、商业服务业设施、市政公用设施、交通场站及社区服务设施、便民服务设施。本款选取了居民使用频率较高或对便利性要求较高的配套设施进行评价，突出步行可达的便利性设计原则。本次修订特别增加了医院、各类群众文化活动设施、老年人日间照料中心等公共服务设施的评价内容，强化了对公共服务水平的评价。其中医院含卫生服务中心、社区医院，群众文化活动设施含文化</w:t>
      </w:r>
      <w:r w:rsidRPr="00530A11">
        <w:rPr>
          <w:rFonts w:cs="Times New Roman"/>
        </w:rPr>
        <w:lastRenderedPageBreak/>
        <w:t>馆、文化宫、文化活动中心、老年人或儿童活动中心等。对于本款第</w:t>
      </w:r>
      <w:r w:rsidRPr="00530A11">
        <w:rPr>
          <w:rFonts w:cs="Times New Roman"/>
        </w:rPr>
        <w:t>7</w:t>
      </w:r>
      <w:r w:rsidRPr="00530A11">
        <w:rPr>
          <w:rFonts w:cs="Times New Roman"/>
        </w:rPr>
        <w:t>项的商业服务设施，《城市居住区规划设计标准》</w:t>
      </w:r>
      <w:r w:rsidRPr="00530A11">
        <w:rPr>
          <w:rFonts w:cs="Times New Roman"/>
        </w:rPr>
        <w:t>GB 50180-2018</w:t>
      </w:r>
      <w:r w:rsidRPr="00530A11">
        <w:rPr>
          <w:rFonts w:cs="Times New Roman"/>
        </w:rPr>
        <w:t>附录</w:t>
      </w:r>
      <w:r w:rsidRPr="00530A11">
        <w:rPr>
          <w:rFonts w:cs="Times New Roman"/>
        </w:rPr>
        <w:t>B</w:t>
      </w:r>
      <w:r w:rsidRPr="00530A11">
        <w:rPr>
          <w:rFonts w:cs="Times New Roman"/>
        </w:rPr>
        <w:t>给出了商场、菜市场或生鲜超市、健身房、餐饮设施、银行营业网点、电信营业网点、邮政营业场所等</w:t>
      </w:r>
      <w:r w:rsidRPr="00530A11">
        <w:rPr>
          <w:rFonts w:cs="Times New Roman"/>
        </w:rPr>
        <w:t>8</w:t>
      </w:r>
      <w:r w:rsidRPr="00530A11">
        <w:rPr>
          <w:rFonts w:cs="Times New Roman"/>
        </w:rPr>
        <w:t>项。</w:t>
      </w:r>
    </w:p>
    <w:p w14:paraId="4AF3D811" w14:textId="77777777" w:rsidR="00A432D3" w:rsidRPr="00530A11" w:rsidRDefault="00A432D3" w:rsidP="00A432D3">
      <w:pPr>
        <w:ind w:firstLine="420"/>
        <w:rPr>
          <w:rFonts w:cs="Times New Roman"/>
        </w:rPr>
      </w:pPr>
      <w:r w:rsidRPr="00530A11">
        <w:rPr>
          <w:rFonts w:cs="Times New Roman"/>
        </w:rPr>
        <w:t>第</w:t>
      </w:r>
      <w:r w:rsidRPr="00530A11">
        <w:rPr>
          <w:rFonts w:cs="Times New Roman"/>
        </w:rPr>
        <w:t>2</w:t>
      </w:r>
      <w:r w:rsidRPr="00530A11">
        <w:rPr>
          <w:rFonts w:cs="Times New Roman"/>
        </w:rPr>
        <w:t>款针对公共建筑。公共建筑兼容</w:t>
      </w:r>
      <w:r w:rsidRPr="00530A11">
        <w:rPr>
          <w:rFonts w:cs="Times New Roman"/>
        </w:rPr>
        <w:t>2</w:t>
      </w:r>
      <w:r w:rsidRPr="00530A11">
        <w:rPr>
          <w:rFonts w:cs="Times New Roman"/>
        </w:rPr>
        <w:t>种及以上主要公共服务功能是指主要服务功能在建筑内部混合布局，部分空间共享使用，如建筑中设有共用的会议设施、展览设施、健身设施、餐饮设施等以及交往空间、休息空间等，提供休息座位、家属室、母婴室、活动室等人员停留、沟通交流、聚集活动等与建筑主要使用功能相适应的公共空间。</w:t>
      </w:r>
    </w:p>
    <w:p w14:paraId="07B4EFC7" w14:textId="78FD1F0C" w:rsidR="00A432D3" w:rsidRPr="00530A11" w:rsidRDefault="00A432D3" w:rsidP="00A432D3">
      <w:pPr>
        <w:ind w:firstLine="420"/>
        <w:rPr>
          <w:rFonts w:cs="Times New Roman"/>
        </w:rPr>
      </w:pPr>
      <w:r w:rsidRPr="00530A11">
        <w:rPr>
          <w:rFonts w:cs="Times New Roman"/>
        </w:rPr>
        <w:t>公共服务设施向社会开放共享的方式也具有多种形式，可以全时开放，也可根据自身使用情况错时开放。建筑向社会提供开放的公共空间和室外场地，既可增加公共活动空间提高各类设施和场地的使用效率，又可陶冶情操、增进社会交往。例如文化活动中心、图书馆、体育运动场、体育馆</w:t>
      </w:r>
      <w:bookmarkStart w:id="123" w:name="_Hlk25525139"/>
      <w:r w:rsidRPr="00530A11">
        <w:rPr>
          <w:rFonts w:cs="Times New Roman"/>
        </w:rPr>
        <w:t>、行政服务中心</w:t>
      </w:r>
      <w:bookmarkEnd w:id="123"/>
      <w:r w:rsidRPr="00530A11">
        <w:rPr>
          <w:rFonts w:cs="Times New Roman"/>
        </w:rPr>
        <w:t>等，通过科学管理错时向社会公众开放；办公建筑的室外场地、或公共绿地、停车库等在非办公时间向周边居民开放，会议室等向社会开放，商业建筑的屋顶绿化或室外绿地在非营业时间提供给公众休憩等，鼓励或倡导公共建筑附属的开敞空间错时共享，尽可能提高使用效率，提高这些公共空间的社会贡献率。本款对于中小学、幼儿园、社会福利等公共服务设施，因建筑使用功能的</w:t>
      </w:r>
      <w:r w:rsidR="004C499D">
        <w:rPr>
          <w:rFonts w:cs="Times New Roman" w:hint="eastAsia"/>
        </w:rPr>
        <w:t>特</w:t>
      </w:r>
      <w:r w:rsidRPr="00530A11">
        <w:rPr>
          <w:rFonts w:cs="Times New Roman"/>
        </w:rPr>
        <w:t>殊性，第</w:t>
      </w:r>
      <w:r w:rsidRPr="00530A11">
        <w:rPr>
          <w:rFonts w:cs="Times New Roman"/>
        </w:rPr>
        <w:t>1</w:t>
      </w:r>
      <w:r w:rsidRPr="00530A11">
        <w:rPr>
          <w:rFonts w:cs="Times New Roman"/>
        </w:rPr>
        <w:t>、</w:t>
      </w:r>
      <w:r w:rsidRPr="00530A11">
        <w:rPr>
          <w:rFonts w:cs="Times New Roman"/>
        </w:rPr>
        <w:t>2</w:t>
      </w:r>
      <w:r w:rsidRPr="00530A11">
        <w:rPr>
          <w:rFonts w:cs="Times New Roman"/>
        </w:rPr>
        <w:t>、</w:t>
      </w:r>
      <w:r w:rsidRPr="00530A11">
        <w:rPr>
          <w:rFonts w:cs="Times New Roman"/>
        </w:rPr>
        <w:t>4</w:t>
      </w:r>
      <w:r w:rsidRPr="00530A11">
        <w:rPr>
          <w:rFonts w:cs="Times New Roman"/>
        </w:rPr>
        <w:t>项可按照满足要求直接得分。</w:t>
      </w:r>
    </w:p>
    <w:p w14:paraId="435F527A" w14:textId="77777777" w:rsidR="00A432D3" w:rsidRPr="00530A11" w:rsidRDefault="00A432D3" w:rsidP="00A432D3">
      <w:pPr>
        <w:ind w:firstLine="420"/>
        <w:rPr>
          <w:rFonts w:cs="Times New Roman"/>
        </w:rPr>
      </w:pPr>
      <w:r w:rsidRPr="00530A11">
        <w:rPr>
          <w:rFonts w:cs="Times New Roman"/>
        </w:rPr>
        <w:t>宿舍建筑按本条按第</w:t>
      </w:r>
      <w:r w:rsidRPr="00530A11">
        <w:rPr>
          <w:rFonts w:cs="Times New Roman"/>
        </w:rPr>
        <w:t>2</w:t>
      </w:r>
      <w:r w:rsidRPr="00530A11">
        <w:rPr>
          <w:rFonts w:cs="Times New Roman"/>
        </w:rPr>
        <w:t>款公建评价。</w:t>
      </w:r>
    </w:p>
    <w:p w14:paraId="6809737B" w14:textId="77777777" w:rsidR="00932578" w:rsidRPr="006C79E9" w:rsidRDefault="00932578" w:rsidP="006C79E9">
      <w:pPr>
        <w:pStyle w:val="20"/>
      </w:pPr>
      <w:r w:rsidRPr="0081478A">
        <w:t>【评价要点】</w:t>
      </w:r>
    </w:p>
    <w:p w14:paraId="0995157A" w14:textId="49C00CD2" w:rsidR="00582175" w:rsidRPr="00C50D3E" w:rsidRDefault="00582175" w:rsidP="00EF245F">
      <w:pPr>
        <w:ind w:firstLine="420"/>
        <w:rPr>
          <w:rFonts w:asciiTheme="majorHAnsi" w:eastAsia="黑体" w:hAnsiTheme="majorHAnsi" w:cstheme="majorBidi"/>
          <w:b/>
          <w:bCs/>
          <w:kern w:val="0"/>
          <w:szCs w:val="32"/>
        </w:rPr>
      </w:pPr>
      <w:r w:rsidRPr="00C50D3E">
        <w:rPr>
          <w:rFonts w:hint="eastAsia"/>
        </w:rPr>
        <w:t>第</w:t>
      </w:r>
      <w:r w:rsidRPr="00C50D3E">
        <w:rPr>
          <w:rFonts w:hint="eastAsia"/>
        </w:rPr>
        <w:t>1</w:t>
      </w:r>
      <w:r w:rsidRPr="00C50D3E">
        <w:rPr>
          <w:rFonts w:hint="eastAsia"/>
        </w:rPr>
        <w:t>款中，如果参评项目为建筑单体，则“</w:t>
      </w:r>
      <w:r w:rsidRPr="0081478A">
        <w:t>场地人行出入口</w:t>
      </w:r>
      <w:r w:rsidRPr="00C50D3E">
        <w:rPr>
          <w:rFonts w:hint="eastAsia"/>
        </w:rPr>
        <w:t>”用“建筑主要出入口”替代。</w:t>
      </w:r>
    </w:p>
    <w:p w14:paraId="14182FF8" w14:textId="77777777" w:rsidR="00715ABB" w:rsidRPr="006C79E9" w:rsidRDefault="00F44390" w:rsidP="006C79E9">
      <w:pPr>
        <w:pStyle w:val="20"/>
      </w:pPr>
      <w:r w:rsidRPr="0081478A">
        <w:t>【评价方法】</w:t>
      </w:r>
    </w:p>
    <w:p w14:paraId="41B27B89" w14:textId="77777777" w:rsidR="004F215F" w:rsidRPr="00530A11" w:rsidRDefault="004F215F" w:rsidP="004F215F">
      <w:pPr>
        <w:ind w:firstLine="420"/>
        <w:rPr>
          <w:rFonts w:cs="Times New Roman"/>
        </w:rPr>
      </w:pPr>
      <w:r w:rsidRPr="00530A11">
        <w:rPr>
          <w:rFonts w:cs="Times New Roman"/>
        </w:rPr>
        <w:t>预评价查阅建筑总平面施工图、公共服务设施布局图、位置标识图等规划设计文件。</w:t>
      </w:r>
    </w:p>
    <w:p w14:paraId="773A0D62" w14:textId="216AD910" w:rsidR="004F215F" w:rsidRPr="00530A11" w:rsidRDefault="004F215F" w:rsidP="004F215F">
      <w:pPr>
        <w:ind w:firstLine="420"/>
        <w:rPr>
          <w:rFonts w:cs="Times New Roman"/>
        </w:rPr>
      </w:pPr>
      <w:r w:rsidRPr="00530A11">
        <w:rPr>
          <w:rFonts w:cs="Times New Roman"/>
        </w:rPr>
        <w:t>评价查阅</w:t>
      </w:r>
      <w:r w:rsidR="004C499D">
        <w:rPr>
          <w:rFonts w:cs="Times New Roman" w:hint="eastAsia"/>
        </w:rPr>
        <w:t>相关</w:t>
      </w:r>
      <w:r w:rsidRPr="00530A11">
        <w:rPr>
          <w:rFonts w:cs="Times New Roman"/>
        </w:rPr>
        <w:t>内容的竣工文件</w:t>
      </w:r>
      <w:r w:rsidR="004C499D">
        <w:rPr>
          <w:rFonts w:cs="Times New Roman" w:hint="eastAsia"/>
        </w:rPr>
        <w:t>，</w:t>
      </w:r>
      <w:r w:rsidRPr="00530A11">
        <w:rPr>
          <w:rFonts w:cs="Times New Roman"/>
        </w:rPr>
        <w:t>投入使用的项目，尚应查阅设施向社会共享的管理办法、实施方案、使用说明、工作记录和现场实景影像等，</w:t>
      </w:r>
      <w:r w:rsidR="004C499D">
        <w:rPr>
          <w:rFonts w:cs="Times New Roman" w:hint="eastAsia"/>
        </w:rPr>
        <w:t>并</w:t>
      </w:r>
      <w:r w:rsidRPr="00530A11">
        <w:rPr>
          <w:rFonts w:cs="Times New Roman"/>
        </w:rPr>
        <w:t>组织现场查勘。</w:t>
      </w:r>
    </w:p>
    <w:p w14:paraId="730D1B2C" w14:textId="77777777" w:rsidR="00715ABB" w:rsidRPr="004F215F" w:rsidRDefault="00715ABB">
      <w:pPr>
        <w:ind w:firstLine="420"/>
        <w:rPr>
          <w:rFonts w:cs="Times New Roman"/>
        </w:rPr>
      </w:pPr>
    </w:p>
    <w:p w14:paraId="7630DAA3" w14:textId="77777777" w:rsidR="001C05E4" w:rsidRPr="00530A11" w:rsidRDefault="001C05E4" w:rsidP="001C05E4">
      <w:pPr>
        <w:pStyle w:val="4"/>
        <w:rPr>
          <w:rFonts w:cs="Times New Roman"/>
          <w:bCs w:val="0"/>
        </w:rPr>
      </w:pPr>
      <w:r w:rsidRPr="00530A11">
        <w:rPr>
          <w:rFonts w:cs="Times New Roman"/>
          <w:bCs w:val="0"/>
        </w:rPr>
        <w:t xml:space="preserve">6.2.4 </w:t>
      </w:r>
      <w:r w:rsidRPr="00530A11">
        <w:rPr>
          <w:rFonts w:cs="Times New Roman"/>
          <w:bCs w:val="0"/>
        </w:rPr>
        <w:t>城市绿地、广场及公共运动场地等开敞空间，步行可达，评价总分值为</w:t>
      </w:r>
      <w:r w:rsidRPr="00530A11">
        <w:rPr>
          <w:rFonts w:cs="Times New Roman"/>
          <w:bCs w:val="0"/>
        </w:rPr>
        <w:t>5</w:t>
      </w:r>
      <w:r w:rsidRPr="00530A11">
        <w:rPr>
          <w:rFonts w:cs="Times New Roman"/>
          <w:bCs w:val="0"/>
        </w:rPr>
        <w:t>分，按下列规则分别评分并累计：</w:t>
      </w:r>
    </w:p>
    <w:p w14:paraId="4B40942D"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1 </w:t>
      </w:r>
      <w:r w:rsidRPr="001C05E4">
        <w:rPr>
          <w:rFonts w:cs="Times New Roman"/>
          <w:b/>
          <w:bCs/>
          <w:szCs w:val="24"/>
        </w:rPr>
        <w:t>场地出入口到达城市公园绿地、居住区公园、广场的步行距离不大于</w:t>
      </w:r>
      <w:r w:rsidRPr="001C05E4">
        <w:rPr>
          <w:rFonts w:cs="Times New Roman"/>
          <w:b/>
          <w:bCs/>
          <w:szCs w:val="24"/>
        </w:rPr>
        <w:t>300m</w:t>
      </w:r>
      <w:r w:rsidRPr="001C05E4">
        <w:rPr>
          <w:rFonts w:cs="Times New Roman"/>
          <w:b/>
          <w:bCs/>
          <w:szCs w:val="24"/>
        </w:rPr>
        <w:t>，得</w:t>
      </w:r>
      <w:r w:rsidRPr="001C05E4">
        <w:rPr>
          <w:rFonts w:cs="Times New Roman"/>
          <w:b/>
          <w:bCs/>
          <w:szCs w:val="24"/>
        </w:rPr>
        <w:t>3</w:t>
      </w:r>
      <w:r w:rsidRPr="001C05E4">
        <w:rPr>
          <w:rFonts w:cs="Times New Roman"/>
          <w:b/>
          <w:bCs/>
          <w:szCs w:val="24"/>
        </w:rPr>
        <w:t>分；</w:t>
      </w:r>
    </w:p>
    <w:p w14:paraId="07817105"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2 </w:t>
      </w:r>
      <w:r w:rsidRPr="001C05E4">
        <w:rPr>
          <w:rFonts w:cs="Times New Roman"/>
          <w:b/>
          <w:bCs/>
          <w:szCs w:val="24"/>
        </w:rPr>
        <w:t>到达中型多功能运动场地的步行距离不大于</w:t>
      </w:r>
      <w:r w:rsidRPr="001C05E4">
        <w:rPr>
          <w:rFonts w:cs="Times New Roman"/>
          <w:b/>
          <w:bCs/>
          <w:szCs w:val="24"/>
        </w:rPr>
        <w:t>500m</w:t>
      </w:r>
      <w:r w:rsidRPr="001C05E4">
        <w:rPr>
          <w:rFonts w:cs="Times New Roman"/>
          <w:b/>
          <w:bCs/>
          <w:szCs w:val="24"/>
        </w:rPr>
        <w:t>，得</w:t>
      </w:r>
      <w:r w:rsidRPr="001C05E4">
        <w:rPr>
          <w:rFonts w:cs="Times New Roman"/>
          <w:b/>
          <w:bCs/>
          <w:szCs w:val="24"/>
        </w:rPr>
        <w:t>2</w:t>
      </w:r>
      <w:r w:rsidRPr="001C05E4">
        <w:rPr>
          <w:rFonts w:cs="Times New Roman"/>
          <w:b/>
          <w:bCs/>
          <w:szCs w:val="24"/>
        </w:rPr>
        <w:t>分。</w:t>
      </w:r>
    </w:p>
    <w:p w14:paraId="3D0FAAEF" w14:textId="77777777" w:rsidR="00715ABB" w:rsidRPr="0081478A" w:rsidRDefault="00F44390" w:rsidP="006C79E9">
      <w:pPr>
        <w:pStyle w:val="20"/>
      </w:pPr>
      <w:r w:rsidRPr="0081478A">
        <w:t>【条文说明】</w:t>
      </w:r>
    </w:p>
    <w:p w14:paraId="09C8ECEB" w14:textId="77777777" w:rsidR="00A432D3" w:rsidRPr="00530A11" w:rsidRDefault="00A432D3" w:rsidP="00A432D3">
      <w:pPr>
        <w:ind w:firstLine="420"/>
      </w:pPr>
      <w:r w:rsidRPr="00530A11">
        <w:lastRenderedPageBreak/>
        <w:t>本条适用于各类民用建筑的预评价、评价。</w:t>
      </w:r>
    </w:p>
    <w:p w14:paraId="7C35B993" w14:textId="77777777" w:rsidR="00A432D3" w:rsidRPr="00530A11" w:rsidRDefault="00A432D3" w:rsidP="00A432D3">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kern w:val="44"/>
          <w:szCs w:val="24"/>
        </w:rPr>
        <w:t>强调了城市公共开敞空间、运动场所的便捷性、可达性。</w:t>
      </w:r>
    </w:p>
    <w:p w14:paraId="341D442C" w14:textId="77777777" w:rsidR="00A432D3" w:rsidRPr="00530A11" w:rsidRDefault="00A432D3" w:rsidP="00A432D3">
      <w:pPr>
        <w:ind w:firstLine="420"/>
        <w:rPr>
          <w:rFonts w:cs="Times New Roman"/>
          <w:szCs w:val="24"/>
        </w:rPr>
      </w:pPr>
      <w:r w:rsidRPr="00530A11">
        <w:rPr>
          <w:rFonts w:cs="Times New Roman"/>
          <w:kern w:val="44"/>
          <w:szCs w:val="24"/>
        </w:rPr>
        <w:t>第</w:t>
      </w:r>
      <w:r w:rsidRPr="00530A11">
        <w:rPr>
          <w:rFonts w:cs="Times New Roman"/>
          <w:kern w:val="44"/>
          <w:szCs w:val="24"/>
        </w:rPr>
        <w:t>1</w:t>
      </w:r>
      <w:r w:rsidRPr="00530A11">
        <w:rPr>
          <w:rFonts w:cs="Times New Roman"/>
          <w:kern w:val="44"/>
          <w:szCs w:val="24"/>
        </w:rPr>
        <w:t>款，建筑以主要出入口步行</w:t>
      </w:r>
      <w:r w:rsidRPr="00530A11">
        <w:rPr>
          <w:rFonts w:cs="Times New Roman"/>
          <w:kern w:val="44"/>
          <w:szCs w:val="24"/>
        </w:rPr>
        <w:t>300m</w:t>
      </w:r>
      <w:r w:rsidRPr="00530A11">
        <w:rPr>
          <w:rFonts w:cs="Times New Roman"/>
          <w:kern w:val="44"/>
          <w:szCs w:val="24"/>
        </w:rPr>
        <w:t>即可到达任何</w:t>
      </w:r>
      <w:r w:rsidRPr="00530A11">
        <w:rPr>
          <w:rFonts w:cs="Times New Roman"/>
          <w:kern w:val="44"/>
          <w:szCs w:val="24"/>
        </w:rPr>
        <w:t>1</w:t>
      </w:r>
      <w:r w:rsidRPr="00530A11">
        <w:rPr>
          <w:rFonts w:cs="Times New Roman"/>
          <w:kern w:val="44"/>
          <w:szCs w:val="24"/>
        </w:rPr>
        <w:t>个城市公园绿地、城市广场进行得分评价，其中住宅建筑还包括居住区公园；</w:t>
      </w:r>
      <w:r w:rsidRPr="00530A11">
        <w:rPr>
          <w:rFonts w:cs="Times New Roman"/>
          <w:szCs w:val="24"/>
        </w:rPr>
        <w:t>居住区公园在国家标准《城市居住区规划设计标准》</w:t>
      </w:r>
      <w:r w:rsidRPr="00530A11">
        <w:rPr>
          <w:rFonts w:cs="Times New Roman"/>
          <w:szCs w:val="24"/>
        </w:rPr>
        <w:t>GB 50180-2018</w:t>
      </w:r>
      <w:r w:rsidRPr="00530A11">
        <w:rPr>
          <w:rFonts w:cs="Times New Roman"/>
          <w:szCs w:val="24"/>
        </w:rPr>
        <w:t>中有相应的要求，其应满足</w:t>
      </w:r>
      <w:r w:rsidRPr="00530A11">
        <w:rPr>
          <w:rFonts w:cs="Times New Roman"/>
          <w:szCs w:val="24"/>
        </w:rPr>
        <w:t>“</w:t>
      </w:r>
      <w:r w:rsidRPr="00530A11">
        <w:rPr>
          <w:rFonts w:cs="Times New Roman"/>
          <w:szCs w:val="24"/>
        </w:rPr>
        <w:t>各级居住区公园绿地应构成便于居民使用的小游园和小广场，作为居民集中开展各种户外活动的公共空间，并宜动静分区设置。动区供居民开展丰富多彩的健身和文化活动，宜设置在居住区边缘地带或住宅楼栋的山墙侧边。静区供居民进行低强度、较安静的社交和休息活动，宜设置在居住区内靠近住宅楼栋的位置，并和动区保持一定距离。通过动静分区，各场地之间互不干扰，塑造和谐的交往空间，使居民既有足够的活动空间，又有安静的休闲环境</w:t>
      </w:r>
      <w:r w:rsidRPr="00530A11">
        <w:rPr>
          <w:rFonts w:cs="Times New Roman"/>
          <w:szCs w:val="24"/>
        </w:rPr>
        <w:t>”</w:t>
      </w:r>
      <w:r w:rsidRPr="00530A11">
        <w:rPr>
          <w:rFonts w:cs="Times New Roman"/>
          <w:szCs w:val="24"/>
        </w:rPr>
        <w:t>。并应符合《中共中央国务院关于进一步加强城市规划建设管理工作的若干意见》提出的</w:t>
      </w:r>
      <w:r w:rsidRPr="00530A11">
        <w:rPr>
          <w:rFonts w:cs="Times New Roman"/>
          <w:szCs w:val="24"/>
        </w:rPr>
        <w:t>“</w:t>
      </w:r>
      <w:r w:rsidRPr="00530A11">
        <w:rPr>
          <w:rFonts w:cs="Times New Roman"/>
          <w:szCs w:val="24"/>
        </w:rPr>
        <w:t>合理规划建设广场、公园、步行道等公共活动空间，方便居民文体活动，促进居民交流。强化绿地服务群众日常活动的功能，使市民在居家和工作附近能够见到绿地、亲近绿地</w:t>
      </w:r>
      <w:r w:rsidRPr="00530A11">
        <w:rPr>
          <w:rFonts w:cs="Times New Roman"/>
          <w:szCs w:val="24"/>
        </w:rPr>
        <w:t>”</w:t>
      </w:r>
      <w:r w:rsidRPr="00530A11">
        <w:rPr>
          <w:rFonts w:cs="Times New Roman"/>
          <w:szCs w:val="24"/>
        </w:rPr>
        <w:t>的要求。</w:t>
      </w:r>
    </w:p>
    <w:p w14:paraId="61CD2AEB" w14:textId="77777777" w:rsidR="00A432D3" w:rsidRPr="00530A11" w:rsidRDefault="00A432D3" w:rsidP="00A432D3">
      <w:pPr>
        <w:ind w:firstLine="420"/>
        <w:rPr>
          <w:rFonts w:cs="Times New Roman"/>
          <w:kern w:val="44"/>
          <w:szCs w:val="24"/>
        </w:rPr>
      </w:pPr>
      <w:r w:rsidRPr="00530A11">
        <w:rPr>
          <w:rFonts w:cs="Times New Roman"/>
          <w:kern w:val="44"/>
          <w:szCs w:val="24"/>
        </w:rPr>
        <w:t>第</w:t>
      </w:r>
      <w:r w:rsidRPr="00530A11">
        <w:rPr>
          <w:rFonts w:cs="Times New Roman"/>
          <w:kern w:val="44"/>
          <w:szCs w:val="24"/>
        </w:rPr>
        <w:t>2</w:t>
      </w:r>
      <w:r w:rsidRPr="00530A11">
        <w:rPr>
          <w:rFonts w:cs="Times New Roman"/>
          <w:kern w:val="44"/>
          <w:szCs w:val="24"/>
        </w:rPr>
        <w:t>款，提出步行</w:t>
      </w:r>
      <w:r w:rsidRPr="00530A11">
        <w:rPr>
          <w:rFonts w:cs="Times New Roman"/>
          <w:kern w:val="44"/>
          <w:szCs w:val="24"/>
        </w:rPr>
        <w:t>500m</w:t>
      </w:r>
      <w:r w:rsidRPr="00530A11">
        <w:rPr>
          <w:rFonts w:cs="Times New Roman"/>
          <w:kern w:val="44"/>
          <w:szCs w:val="24"/>
        </w:rPr>
        <w:t>应能够到达</w:t>
      </w:r>
      <w:r w:rsidRPr="00530A11">
        <w:rPr>
          <w:rFonts w:cs="Times New Roman"/>
          <w:kern w:val="44"/>
          <w:szCs w:val="24"/>
        </w:rPr>
        <w:t>1</w:t>
      </w:r>
      <w:r w:rsidRPr="00530A11">
        <w:rPr>
          <w:rFonts w:cs="Times New Roman"/>
          <w:kern w:val="44"/>
          <w:szCs w:val="24"/>
        </w:rPr>
        <w:t>处中型多功能运动场地</w:t>
      </w:r>
      <w:r w:rsidRPr="00530A11">
        <w:rPr>
          <w:rFonts w:cs="Times New Roman"/>
          <w:kern w:val="44"/>
          <w:szCs w:val="24"/>
        </w:rPr>
        <w:t>(</w:t>
      </w:r>
      <w:r w:rsidRPr="00530A11">
        <w:rPr>
          <w:rFonts w:cs="Times New Roman"/>
          <w:kern w:val="44"/>
          <w:szCs w:val="24"/>
        </w:rPr>
        <w:t>大约</w:t>
      </w:r>
      <w:r w:rsidRPr="00530A11">
        <w:rPr>
          <w:rFonts w:cs="Times New Roman"/>
          <w:kern w:val="44"/>
          <w:szCs w:val="24"/>
        </w:rPr>
        <w:t>1300m</w:t>
      </w:r>
      <w:r w:rsidRPr="004E2990">
        <w:rPr>
          <w:rFonts w:cs="Times New Roman"/>
          <w:kern w:val="44"/>
          <w:szCs w:val="24"/>
          <w:vertAlign w:val="superscript"/>
        </w:rPr>
        <w:t>2</w:t>
      </w:r>
      <w:r w:rsidRPr="00530A11">
        <w:rPr>
          <w:rFonts w:cs="Times New Roman"/>
          <w:kern w:val="44"/>
          <w:szCs w:val="24"/>
        </w:rPr>
        <w:t>～</w:t>
      </w:r>
      <w:r w:rsidRPr="00530A11">
        <w:rPr>
          <w:rFonts w:cs="Times New Roman"/>
          <w:kern w:val="44"/>
          <w:szCs w:val="24"/>
        </w:rPr>
        <w:t>2500m</w:t>
      </w:r>
      <w:r w:rsidRPr="004E2990">
        <w:rPr>
          <w:rFonts w:cs="Times New Roman"/>
          <w:kern w:val="44"/>
          <w:szCs w:val="24"/>
          <w:vertAlign w:val="superscript"/>
        </w:rPr>
        <w:t>2</w:t>
      </w:r>
      <w:r w:rsidRPr="00530A11">
        <w:rPr>
          <w:rFonts w:cs="Times New Roman"/>
          <w:kern w:val="44"/>
          <w:szCs w:val="24"/>
        </w:rPr>
        <w:t>，集中设置了篮球、排球、</w:t>
      </w:r>
      <w:r w:rsidRPr="00530A11">
        <w:rPr>
          <w:rFonts w:cs="Times New Roman"/>
          <w:kern w:val="44"/>
          <w:szCs w:val="24"/>
        </w:rPr>
        <w:t>5</w:t>
      </w:r>
      <w:r w:rsidRPr="00530A11">
        <w:rPr>
          <w:rFonts w:cs="Times New Roman"/>
          <w:kern w:val="44"/>
          <w:szCs w:val="24"/>
        </w:rPr>
        <w:t>人足球的运动场地</w:t>
      </w:r>
      <w:r w:rsidRPr="00530A11">
        <w:rPr>
          <w:rFonts w:cs="Times New Roman"/>
          <w:kern w:val="44"/>
          <w:szCs w:val="24"/>
        </w:rPr>
        <w:t>)</w:t>
      </w:r>
      <w:r w:rsidRPr="00530A11">
        <w:rPr>
          <w:rFonts w:cs="Times New Roman"/>
          <w:kern w:val="44"/>
          <w:szCs w:val="24"/>
        </w:rPr>
        <w:t>，或是其他对外开放的专用运动场，如学校对外开放的运动场。符合《中共中央国务院关于进一步加强城市规划建设管理工作的若干意见》提出的</w:t>
      </w:r>
      <w:r w:rsidRPr="00530A11">
        <w:rPr>
          <w:rFonts w:cs="Times New Roman"/>
          <w:kern w:val="44"/>
          <w:szCs w:val="24"/>
        </w:rPr>
        <w:t>“</w:t>
      </w:r>
      <w:r w:rsidRPr="00530A11">
        <w:rPr>
          <w:rFonts w:cs="Times New Roman"/>
          <w:kern w:val="44"/>
          <w:szCs w:val="24"/>
        </w:rPr>
        <w:t>合理规划建设广场、公园、步行道等公共活动空间，方便居民文体活动，促进居民交流。强化绿地服务群众日常活动的功能，使市民在居家和工作附近能够见到绿地、亲近绿地</w:t>
      </w:r>
      <w:r w:rsidRPr="00530A11">
        <w:rPr>
          <w:rFonts w:cs="Times New Roman"/>
          <w:kern w:val="44"/>
          <w:szCs w:val="24"/>
        </w:rPr>
        <w:t>”</w:t>
      </w:r>
      <w:r w:rsidRPr="00530A11">
        <w:rPr>
          <w:rFonts w:cs="Times New Roman"/>
          <w:kern w:val="44"/>
          <w:szCs w:val="24"/>
        </w:rPr>
        <w:t>的要求。</w:t>
      </w:r>
    </w:p>
    <w:p w14:paraId="37E76BCF" w14:textId="77777777" w:rsidR="00932578" w:rsidRPr="0081478A" w:rsidRDefault="00932578" w:rsidP="00932578">
      <w:pPr>
        <w:pStyle w:val="20"/>
        <w:rPr>
          <w:rFonts w:ascii="Times New Roman" w:hAnsi="Times New Roman" w:cs="Times New Roman"/>
          <w:color w:val="auto"/>
        </w:rPr>
      </w:pPr>
      <w:r w:rsidRPr="0081478A">
        <w:rPr>
          <w:rFonts w:ascii="Times New Roman" w:hAnsi="Times New Roman" w:cs="Times New Roman"/>
          <w:color w:val="auto"/>
        </w:rPr>
        <w:t>【评价要点】</w:t>
      </w:r>
    </w:p>
    <w:p w14:paraId="441FBD5D" w14:textId="77777777" w:rsidR="00932578" w:rsidRPr="0081478A" w:rsidRDefault="00932578" w:rsidP="00932578">
      <w:pPr>
        <w:ind w:firstLine="420"/>
        <w:rPr>
          <w:rFonts w:cs="Times New Roman"/>
          <w:bCs/>
          <w:kern w:val="44"/>
          <w:szCs w:val="24"/>
        </w:rPr>
      </w:pPr>
      <w:r w:rsidRPr="0081478A">
        <w:rPr>
          <w:rFonts w:cs="Times New Roman"/>
          <w:bCs/>
          <w:kern w:val="44"/>
          <w:szCs w:val="24"/>
        </w:rPr>
        <w:t>该距离是指场地（建筑）出入口到达城市公园绿地、居住区公园、广场、中型多功能运动场地的步行距离，步行路线图中如有人行天桥、下穿道等，应将该部分高程距离一并纳入计算。</w:t>
      </w:r>
    </w:p>
    <w:p w14:paraId="10B0787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2276F8BB" w14:textId="77777777" w:rsidR="004F215F" w:rsidRPr="00530A11" w:rsidRDefault="004F215F" w:rsidP="004F215F">
      <w:pPr>
        <w:ind w:firstLine="420"/>
        <w:rPr>
          <w:rFonts w:cs="Times New Roman"/>
          <w:szCs w:val="24"/>
        </w:rPr>
      </w:pPr>
      <w:r w:rsidRPr="00530A11">
        <w:rPr>
          <w:rFonts w:cs="Times New Roman"/>
          <w:szCs w:val="24"/>
        </w:rPr>
        <w:t>预评价查阅建筑总平面施工图、场地周边公共设施布局图</w:t>
      </w:r>
      <w:r w:rsidRPr="00530A11">
        <w:rPr>
          <w:rFonts w:cs="Times New Roman"/>
          <w:szCs w:val="24"/>
        </w:rPr>
        <w:t>/</w:t>
      </w:r>
      <w:r w:rsidRPr="00530A11">
        <w:rPr>
          <w:rFonts w:cs="Times New Roman"/>
          <w:szCs w:val="24"/>
        </w:rPr>
        <w:t>规划图、步行路线图、位置标识图等规划设计文件。</w:t>
      </w:r>
    </w:p>
    <w:p w14:paraId="4930D814" w14:textId="001D4378" w:rsidR="004F215F" w:rsidRPr="00530A11" w:rsidRDefault="004F215F" w:rsidP="004F215F">
      <w:pPr>
        <w:ind w:firstLine="420"/>
        <w:rPr>
          <w:rFonts w:cs="Times New Roman"/>
          <w:szCs w:val="24"/>
        </w:rPr>
      </w:pPr>
      <w:r w:rsidRPr="00530A11">
        <w:rPr>
          <w:rFonts w:cs="Times New Roman"/>
          <w:szCs w:val="24"/>
        </w:rPr>
        <w:t>评价查阅</w:t>
      </w:r>
      <w:r w:rsidR="0034616A">
        <w:rPr>
          <w:rFonts w:cs="Times New Roman" w:hint="eastAsia"/>
          <w:szCs w:val="24"/>
        </w:rPr>
        <w:t>相关</w:t>
      </w:r>
      <w:r w:rsidRPr="00530A11">
        <w:rPr>
          <w:rFonts w:cs="Times New Roman"/>
          <w:szCs w:val="24"/>
        </w:rPr>
        <w:t>内容的竣工文件</w:t>
      </w:r>
      <w:r w:rsidR="0034616A">
        <w:rPr>
          <w:rFonts w:cs="Times New Roman" w:hint="eastAsia"/>
          <w:szCs w:val="24"/>
        </w:rPr>
        <w:t>、</w:t>
      </w:r>
      <w:r w:rsidRPr="00530A11">
        <w:rPr>
          <w:rFonts w:cs="Times New Roman"/>
          <w:szCs w:val="24"/>
        </w:rPr>
        <w:t>步行路线图及开敞空间出入口影像资料，或进行现场实地</w:t>
      </w:r>
      <w:r w:rsidR="0034616A">
        <w:rPr>
          <w:rFonts w:cs="Times New Roman" w:hint="eastAsia"/>
          <w:szCs w:val="24"/>
        </w:rPr>
        <w:t>查勘</w:t>
      </w:r>
      <w:r w:rsidRPr="00530A11">
        <w:rPr>
          <w:rFonts w:cs="Times New Roman"/>
          <w:szCs w:val="24"/>
        </w:rPr>
        <w:t>。</w:t>
      </w:r>
    </w:p>
    <w:p w14:paraId="7E4CE88A" w14:textId="77777777" w:rsidR="00715ABB" w:rsidRPr="004F215F" w:rsidRDefault="00715ABB">
      <w:pPr>
        <w:ind w:firstLine="420"/>
        <w:rPr>
          <w:rFonts w:cs="Times New Roman"/>
        </w:rPr>
      </w:pPr>
    </w:p>
    <w:p w14:paraId="1DBFCA69" w14:textId="77777777" w:rsidR="001C05E4" w:rsidRPr="00530A11" w:rsidRDefault="001C05E4" w:rsidP="001C05E4">
      <w:pPr>
        <w:pStyle w:val="4"/>
        <w:rPr>
          <w:rFonts w:cs="Times New Roman"/>
          <w:bCs w:val="0"/>
        </w:rPr>
      </w:pPr>
      <w:r w:rsidRPr="00530A11">
        <w:rPr>
          <w:rFonts w:cs="Times New Roman"/>
          <w:bCs w:val="0"/>
        </w:rPr>
        <w:lastRenderedPageBreak/>
        <w:t xml:space="preserve">6.2.5 </w:t>
      </w:r>
      <w:bookmarkStart w:id="124" w:name="_Hlk25521667"/>
      <w:r w:rsidRPr="00530A11">
        <w:rPr>
          <w:rFonts w:cs="Times New Roman"/>
          <w:bCs w:val="0"/>
        </w:rPr>
        <w:t>合理设置健身场地和空间</w:t>
      </w:r>
      <w:bookmarkEnd w:id="124"/>
      <w:r w:rsidRPr="00530A11">
        <w:rPr>
          <w:rFonts w:cs="Times New Roman"/>
          <w:bCs w:val="0"/>
        </w:rPr>
        <w:t>，</w:t>
      </w:r>
      <w:bookmarkStart w:id="125" w:name="_Hlk25521654"/>
      <w:r w:rsidRPr="00530A11">
        <w:rPr>
          <w:rFonts w:cs="Times New Roman" w:hint="eastAsia"/>
          <w:bCs w:val="0"/>
        </w:rPr>
        <w:t>设置必要的运动设施</w:t>
      </w:r>
      <w:bookmarkEnd w:id="125"/>
      <w:r w:rsidRPr="00530A11">
        <w:rPr>
          <w:rFonts w:cs="Times New Roman"/>
          <w:bCs w:val="0"/>
        </w:rPr>
        <w:t>，评价总分值为</w:t>
      </w:r>
      <w:r w:rsidRPr="00530A11">
        <w:rPr>
          <w:rFonts w:cs="Times New Roman"/>
          <w:bCs w:val="0"/>
        </w:rPr>
        <w:t>10</w:t>
      </w:r>
      <w:r w:rsidRPr="00530A11">
        <w:rPr>
          <w:rFonts w:cs="Times New Roman"/>
          <w:bCs w:val="0"/>
        </w:rPr>
        <w:t>分，按下列规则分别评分并累计：</w:t>
      </w:r>
    </w:p>
    <w:p w14:paraId="61C4E447"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1 </w:t>
      </w:r>
      <w:r w:rsidRPr="001C05E4">
        <w:rPr>
          <w:rFonts w:ascii="Times New Roman" w:hAnsi="Times New Roman" w:cs="Times New Roman"/>
          <w:bCs/>
          <w:color w:val="auto"/>
        </w:rPr>
        <w:t>场地内室外健身场地面积不少于总用地面积的</w:t>
      </w:r>
      <w:r w:rsidRPr="001C05E4">
        <w:rPr>
          <w:rFonts w:ascii="Times New Roman" w:hAnsi="Times New Roman" w:cs="Times New Roman"/>
          <w:bCs/>
          <w:color w:val="auto"/>
        </w:rPr>
        <w:t>0.5</w:t>
      </w:r>
      <w:r w:rsidRPr="001C05E4">
        <w:rPr>
          <w:rFonts w:ascii="Times New Roman" w:hAnsi="Times New Roman" w:cs="Times New Roman"/>
          <w:bCs/>
          <w:color w:val="auto"/>
        </w:rPr>
        <w:t>％，得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5976523B"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bCs/>
          <w:color w:val="auto"/>
        </w:rPr>
        <w:t>场地内设置宽度不少于</w:t>
      </w:r>
      <w:r w:rsidRPr="001C05E4">
        <w:rPr>
          <w:rFonts w:ascii="Times New Roman" w:hAnsi="Times New Roman" w:cs="Times New Roman"/>
          <w:bCs/>
          <w:color w:val="auto"/>
        </w:rPr>
        <w:t>1.25m</w:t>
      </w:r>
      <w:r w:rsidRPr="001C05E4">
        <w:rPr>
          <w:rFonts w:ascii="Times New Roman" w:hAnsi="Times New Roman" w:cs="Times New Roman"/>
          <w:bCs/>
          <w:color w:val="auto"/>
        </w:rPr>
        <w:t>的专用健身慢行道，健身慢行道长度不少于用地红线周长的</w:t>
      </w:r>
      <w:r w:rsidRPr="001C05E4">
        <w:rPr>
          <w:rFonts w:ascii="Times New Roman" w:hAnsi="Times New Roman" w:cs="Times New Roman"/>
          <w:bCs/>
          <w:color w:val="auto"/>
        </w:rPr>
        <w:t>1/4</w:t>
      </w:r>
      <w:r w:rsidRPr="001C05E4">
        <w:rPr>
          <w:rFonts w:ascii="Times New Roman" w:hAnsi="Times New Roman" w:cs="Times New Roman"/>
          <w:bCs/>
          <w:color w:val="auto"/>
        </w:rPr>
        <w:t>且不少于</w:t>
      </w:r>
      <w:r w:rsidRPr="001C05E4">
        <w:rPr>
          <w:rFonts w:ascii="Times New Roman" w:hAnsi="Times New Roman" w:cs="Times New Roman"/>
          <w:bCs/>
          <w:color w:val="auto"/>
        </w:rPr>
        <w:t>100m</w:t>
      </w:r>
      <w:r w:rsidRPr="001C05E4">
        <w:rPr>
          <w:rFonts w:ascii="Times New Roman" w:hAnsi="Times New Roman" w:cs="Times New Roman"/>
          <w:bCs/>
          <w:color w:val="auto"/>
        </w:rPr>
        <w:t>，得</w:t>
      </w:r>
      <w:r w:rsidRPr="001C05E4">
        <w:rPr>
          <w:rFonts w:ascii="Times New Roman" w:hAnsi="Times New Roman" w:cs="Times New Roman"/>
          <w:bCs/>
          <w:color w:val="auto"/>
        </w:rPr>
        <w:t>2</w:t>
      </w:r>
      <w:r w:rsidRPr="001C05E4">
        <w:rPr>
          <w:rFonts w:ascii="Times New Roman" w:hAnsi="Times New Roman" w:cs="Times New Roman"/>
          <w:bCs/>
          <w:color w:val="auto"/>
        </w:rPr>
        <w:t>分；</w:t>
      </w:r>
    </w:p>
    <w:p w14:paraId="2B3D847E"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3 </w:t>
      </w:r>
      <w:r w:rsidRPr="001C05E4">
        <w:rPr>
          <w:rFonts w:ascii="Times New Roman" w:hAnsi="Times New Roman" w:cs="Times New Roman"/>
          <w:bCs/>
          <w:color w:val="auto"/>
        </w:rPr>
        <w:t>场地内室内健身空间的面积不少于地上建筑面积的</w:t>
      </w:r>
      <w:r w:rsidRPr="001C05E4">
        <w:rPr>
          <w:rFonts w:ascii="Times New Roman" w:hAnsi="Times New Roman" w:cs="Times New Roman"/>
          <w:bCs/>
          <w:color w:val="auto"/>
        </w:rPr>
        <w:t>0.3</w:t>
      </w:r>
      <w:r w:rsidRPr="001C05E4">
        <w:rPr>
          <w:rFonts w:ascii="Times New Roman" w:hAnsi="Times New Roman" w:cs="Times New Roman"/>
          <w:bCs/>
          <w:color w:val="auto"/>
        </w:rPr>
        <w:t>％且不少于</w:t>
      </w:r>
      <w:r w:rsidRPr="001C05E4">
        <w:rPr>
          <w:rFonts w:ascii="Times New Roman" w:hAnsi="Times New Roman" w:cs="Times New Roman"/>
          <w:bCs/>
          <w:color w:val="auto"/>
        </w:rPr>
        <w:t>60m</w:t>
      </w:r>
      <w:r w:rsidRPr="001C05E4">
        <w:rPr>
          <w:rFonts w:ascii="Times New Roman" w:hAnsi="Times New Roman" w:cs="Times New Roman"/>
          <w:bCs/>
          <w:color w:val="auto"/>
          <w:sz w:val="23"/>
          <w:szCs w:val="23"/>
          <w:vertAlign w:val="superscript"/>
        </w:rPr>
        <w:t>2</w:t>
      </w:r>
      <w:r w:rsidRPr="001C05E4">
        <w:rPr>
          <w:rFonts w:ascii="Times New Roman" w:hAnsi="Times New Roman" w:cs="Times New Roman"/>
          <w:bCs/>
          <w:color w:val="auto"/>
        </w:rPr>
        <w:t>，得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72108E31"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4 </w:t>
      </w:r>
      <w:r w:rsidRPr="001C05E4">
        <w:rPr>
          <w:rFonts w:cs="Times New Roman"/>
          <w:b/>
          <w:bCs/>
          <w:szCs w:val="24"/>
        </w:rPr>
        <w:t>建筑内楼梯间具有天然采光和良好的视野，且距离主入口的距离不大于</w:t>
      </w:r>
      <w:r w:rsidRPr="001C05E4">
        <w:rPr>
          <w:rFonts w:cs="Times New Roman"/>
          <w:b/>
          <w:bCs/>
          <w:szCs w:val="24"/>
        </w:rPr>
        <w:t>15m</w:t>
      </w:r>
      <w:r w:rsidRPr="001C05E4">
        <w:rPr>
          <w:rFonts w:cs="Times New Roman"/>
          <w:b/>
          <w:bCs/>
          <w:szCs w:val="24"/>
        </w:rPr>
        <w:t>，得</w:t>
      </w:r>
      <w:r w:rsidRPr="001C05E4">
        <w:rPr>
          <w:rFonts w:cs="Times New Roman"/>
          <w:b/>
          <w:bCs/>
          <w:szCs w:val="24"/>
        </w:rPr>
        <w:t>2</w:t>
      </w:r>
      <w:r w:rsidRPr="001C05E4">
        <w:rPr>
          <w:rFonts w:cs="Times New Roman"/>
          <w:b/>
          <w:bCs/>
          <w:szCs w:val="24"/>
        </w:rPr>
        <w:t>分。</w:t>
      </w:r>
    </w:p>
    <w:p w14:paraId="7E27CAFE" w14:textId="77777777" w:rsidR="00715ABB" w:rsidRPr="0081478A" w:rsidRDefault="00F44390" w:rsidP="006C79E9">
      <w:pPr>
        <w:pStyle w:val="20"/>
      </w:pPr>
      <w:r w:rsidRPr="0081478A">
        <w:t>【条文说明】</w:t>
      </w:r>
    </w:p>
    <w:p w14:paraId="3100FEB4" w14:textId="77777777" w:rsidR="00A432D3" w:rsidRPr="00530A11" w:rsidRDefault="00A432D3" w:rsidP="00A432D3">
      <w:pPr>
        <w:ind w:firstLine="420"/>
        <w:rPr>
          <w:szCs w:val="24"/>
        </w:rPr>
      </w:pPr>
      <w:r w:rsidRPr="00530A11">
        <w:t>本条适用于各类民用建筑的预评价、评价。</w:t>
      </w:r>
    </w:p>
    <w:p w14:paraId="0E381D94" w14:textId="77777777" w:rsidR="00A432D3" w:rsidRPr="00530A11" w:rsidRDefault="00A432D3" w:rsidP="00A432D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并对条文说明进行了局部修改和补充。</w:t>
      </w:r>
      <w:r w:rsidRPr="00530A11">
        <w:rPr>
          <w:rFonts w:cs="Times New Roman"/>
          <w:kern w:val="44"/>
          <w:szCs w:val="24"/>
        </w:rPr>
        <w:t>随着人们对健康生活的重视，人们对健身活动越来越热衷。健身活动有利于人体骨骼、肌肉的生长，增强心肺功能，改善血液循环系统、呼吸系统、消化系统的机能状况，有利于人体的生长发育，提高抗病能力，增强有机体的适应能力。室外健身可以促进人们更多的接触自然，提高对环境的适应能力，也有益于心理健康，对保障人体健康具有重要意义。本条除要求设置建设场地和空间外，还要求配备有一定的、必要的、简单的运行健身设施。</w:t>
      </w:r>
    </w:p>
    <w:p w14:paraId="19D3769B" w14:textId="77777777" w:rsidR="00A432D3" w:rsidRPr="00530A11" w:rsidRDefault="00A432D3" w:rsidP="00A432D3">
      <w:pPr>
        <w:ind w:firstLine="420"/>
        <w:rPr>
          <w:rFonts w:cs="Times New Roman"/>
          <w:kern w:val="44"/>
          <w:szCs w:val="24"/>
        </w:rPr>
      </w:pPr>
      <w:r w:rsidRPr="00530A11">
        <w:rPr>
          <w:rFonts w:cs="Times New Roman"/>
          <w:szCs w:val="24"/>
        </w:rPr>
        <w:t>第</w:t>
      </w:r>
      <w:r w:rsidRPr="00530A11">
        <w:rPr>
          <w:rFonts w:cs="Times New Roman"/>
          <w:szCs w:val="24"/>
        </w:rPr>
        <w:t>1</w:t>
      </w:r>
      <w:r w:rsidRPr="00530A11">
        <w:rPr>
          <w:rFonts w:cs="Times New Roman"/>
          <w:szCs w:val="24"/>
        </w:rPr>
        <w:t>款，《城市社区多功能公共运动场配置要求》</w:t>
      </w:r>
      <w:r w:rsidRPr="00530A11">
        <w:rPr>
          <w:rFonts w:cs="Times New Roman"/>
          <w:szCs w:val="24"/>
        </w:rPr>
        <w:t>GB/T 34419-2017</w:t>
      </w:r>
      <w:r w:rsidRPr="00530A11">
        <w:rPr>
          <w:rFonts w:cs="Times New Roman"/>
          <w:szCs w:val="24"/>
        </w:rPr>
        <w:t>提出充分考虑社区所在地的气候、人文和民族特点，选择设置当地群众喜爱的体育项目。《城市居住区规划设计标准》</w:t>
      </w:r>
      <w:r w:rsidRPr="00530A11">
        <w:rPr>
          <w:rFonts w:cs="Times New Roman"/>
          <w:szCs w:val="24"/>
        </w:rPr>
        <w:t>GB 50180-2018</w:t>
      </w:r>
      <w:r w:rsidRPr="00530A11">
        <w:rPr>
          <w:rFonts w:cs="Times New Roman"/>
          <w:szCs w:val="24"/>
        </w:rPr>
        <w:t>提出室外综合健身场地（含老年户外活动场地和儿童活动场地）的服务半径不宜大于</w:t>
      </w:r>
      <w:r w:rsidRPr="00530A11">
        <w:rPr>
          <w:rFonts w:cs="Times New Roman"/>
          <w:szCs w:val="24"/>
        </w:rPr>
        <w:t>300m</w:t>
      </w:r>
      <w:r w:rsidRPr="00530A11">
        <w:rPr>
          <w:rFonts w:cs="Times New Roman"/>
          <w:szCs w:val="24"/>
        </w:rPr>
        <w:t>。</w:t>
      </w:r>
      <w:r w:rsidRPr="00530A11">
        <w:rPr>
          <w:rFonts w:cs="Times New Roman"/>
          <w:kern w:val="44"/>
          <w:szCs w:val="24"/>
        </w:rPr>
        <w:t>健身场地的设置位置应避免噪声扰民，并根据运动类型设置适当的隔声措施；健身场地设置应进行全龄化的设计，满足各年龄段人群的室外活动要求。</w:t>
      </w:r>
      <w:r w:rsidRPr="00530A11">
        <w:rPr>
          <w:rFonts w:cs="Times New Roman" w:hint="eastAsia"/>
        </w:rPr>
        <w:t>如设置室外小型篮球场、小型羽毛球场、旱冰场，利用首层架空设置乒乓球台等措施，满足青少年的成长运动需求。针对老年人的建设需求，可设置太空漫步机、健骑机、单人腹肌板、跑步机、转腰器、太极推盘等设施，</w:t>
      </w:r>
      <w:r w:rsidRPr="00530A11">
        <w:rPr>
          <w:rFonts w:cs="Times New Roman"/>
        </w:rPr>
        <w:t>且宜结合绿地集中设置，用地面积不宜小于</w:t>
      </w:r>
      <w:r w:rsidRPr="00530A11">
        <w:rPr>
          <w:rFonts w:cs="Times New Roman"/>
        </w:rPr>
        <w:t>170m</w:t>
      </w:r>
      <w:r w:rsidRPr="00530A11">
        <w:rPr>
          <w:rFonts w:cs="Times New Roman"/>
          <w:vertAlign w:val="superscript"/>
        </w:rPr>
        <w:t>2</w:t>
      </w:r>
      <w:r w:rsidRPr="00530A11">
        <w:rPr>
          <w:rFonts w:cs="Times New Roman"/>
        </w:rPr>
        <w:t>。</w:t>
      </w:r>
      <w:r w:rsidRPr="00530A11">
        <w:rPr>
          <w:rFonts w:cs="Times New Roman"/>
          <w:kern w:val="44"/>
          <w:szCs w:val="24"/>
        </w:rPr>
        <w:t xml:space="preserve">   </w:t>
      </w:r>
    </w:p>
    <w:p w14:paraId="6079E8DB" w14:textId="77777777" w:rsidR="00A432D3" w:rsidRPr="00530A11" w:rsidRDefault="00A432D3" w:rsidP="00A432D3">
      <w:pPr>
        <w:ind w:firstLine="420"/>
        <w:rPr>
          <w:rFonts w:cs="Times New Roman"/>
          <w:szCs w:val="24"/>
        </w:rPr>
      </w:pPr>
      <w:r w:rsidRPr="00530A11">
        <w:rPr>
          <w:rFonts w:cs="Times New Roman"/>
          <w:szCs w:val="24"/>
        </w:rPr>
        <w:t>如项目本身无室外健身场地，本款不得分。</w:t>
      </w:r>
    </w:p>
    <w:p w14:paraId="3FE6FD83" w14:textId="49C36A31" w:rsidR="00A432D3" w:rsidRPr="00304458" w:rsidRDefault="00A432D3" w:rsidP="00A432D3">
      <w:pPr>
        <w:ind w:firstLine="420"/>
        <w:rPr>
          <w:rFonts w:cs="Times New Roman"/>
          <w:szCs w:val="24"/>
        </w:rPr>
      </w:pPr>
      <w:r w:rsidRPr="00530A11">
        <w:rPr>
          <w:rFonts w:cs="Times New Roman"/>
          <w:szCs w:val="24"/>
        </w:rPr>
        <w:t>第</w:t>
      </w:r>
      <w:r w:rsidRPr="00530A11">
        <w:rPr>
          <w:rFonts w:cs="Times New Roman"/>
          <w:szCs w:val="24"/>
        </w:rPr>
        <w:t>2</w:t>
      </w:r>
      <w:r w:rsidRPr="00530A11">
        <w:rPr>
          <w:rFonts w:cs="Times New Roman"/>
          <w:szCs w:val="24"/>
        </w:rPr>
        <w:t>款，健身慢行道是指在场地内设置的供人们进行行走、慢跑的专门道路。健身慢行道应避免与场地内车行道交叉，步道宜采用弹性减振、防滑和环保的材料（如塑胶、彩色陶粒等），以减少对人体关节的冲击和损伤。步道宽度不少于</w:t>
      </w:r>
      <w:r w:rsidRPr="00530A11">
        <w:rPr>
          <w:rFonts w:cs="Times New Roman"/>
          <w:szCs w:val="24"/>
        </w:rPr>
        <w:t>1.25m</w:t>
      </w:r>
      <w:r w:rsidRPr="00530A11">
        <w:rPr>
          <w:rFonts w:cs="Times New Roman"/>
          <w:szCs w:val="24"/>
        </w:rPr>
        <w:t>，源自我国住房和城乡建设部以及国土资源部联合发布的《城市社区体育设施建设用地指标》的要求。</w:t>
      </w:r>
    </w:p>
    <w:p w14:paraId="1B987045" w14:textId="77777777" w:rsidR="00A432D3" w:rsidRPr="00530A11" w:rsidRDefault="00A432D3" w:rsidP="00A432D3">
      <w:pPr>
        <w:ind w:firstLine="420"/>
        <w:rPr>
          <w:rFonts w:cs="Times New Roman"/>
          <w:szCs w:val="24"/>
        </w:rPr>
      </w:pPr>
      <w:r w:rsidRPr="00530A11">
        <w:rPr>
          <w:rFonts w:cs="Times New Roman"/>
          <w:szCs w:val="24"/>
        </w:rPr>
        <w:t>第</w:t>
      </w:r>
      <w:r w:rsidRPr="00530A11">
        <w:rPr>
          <w:rFonts w:cs="Times New Roman"/>
          <w:szCs w:val="24"/>
        </w:rPr>
        <w:t>3</w:t>
      </w:r>
      <w:r w:rsidRPr="00530A11">
        <w:rPr>
          <w:rFonts w:cs="Times New Roman"/>
          <w:szCs w:val="24"/>
        </w:rPr>
        <w:t>款，鼓励建筑或社区中合理设置健身空间，若健身房设置在地下，其室内照明、排风、新风、空调等应满足使用要求。除专门的健身空间外，也可利用公共空间（如小区会所、</w:t>
      </w:r>
      <w:r w:rsidRPr="00530A11">
        <w:rPr>
          <w:rFonts w:cs="Times New Roman"/>
          <w:szCs w:val="24"/>
        </w:rPr>
        <w:lastRenderedPageBreak/>
        <w:t>入口大堂、休闲平台、共享空间等），在不影响正常原有功能使用的前提下，合理设置健身区，此处所指的公共空间内设置的健身区应是在满足正常使用功能的前提下，通过空间合理布局，形成固定的、具有一定规模的健身区域方可计入面积。健康空间内宜配置健身器材，提供给人们全天候进行健身活动的条件，鼓励积极健康的生活方式。健身空间还包括开放共享的羽毛球室、乒乓球室。如项目内设置收费健身房并可向业主提供优惠使用条件，本款也可得分。</w:t>
      </w:r>
    </w:p>
    <w:p w14:paraId="4217CD33" w14:textId="77777777" w:rsidR="00A432D3" w:rsidRPr="00530A11" w:rsidRDefault="00A432D3" w:rsidP="00A432D3">
      <w:pPr>
        <w:ind w:firstLine="420"/>
        <w:rPr>
          <w:rFonts w:cs="Times New Roman"/>
        </w:rPr>
      </w:pPr>
      <w:r w:rsidRPr="00530A11">
        <w:rPr>
          <w:rFonts w:cs="Times New Roman"/>
        </w:rPr>
        <w:t>第</w:t>
      </w:r>
      <w:r w:rsidRPr="00530A11">
        <w:rPr>
          <w:rFonts w:cs="Times New Roman"/>
        </w:rPr>
        <w:t>4</w:t>
      </w:r>
      <w:r w:rsidRPr="00530A11">
        <w:rPr>
          <w:rFonts w:cs="Times New Roman"/>
        </w:rPr>
        <w:t>款，楼梯间作为日常使用和应急疏散等多功能场所，应尽量采用自然通风，以提高排除进入楼梯间内烟气的可靠性，确保楼梯间的安全；且楼梯间靠外墙设置，也有利于天然采光，本款要求每单体建筑中至少有一处楼梯间具有天然采光、良好的视野、充足的照明和人体感应装置，方便人员行走和锻炼。距离主入口的距离不大于</w:t>
      </w:r>
      <w:r w:rsidRPr="00530A11">
        <w:rPr>
          <w:rFonts w:cs="Times New Roman"/>
        </w:rPr>
        <w:t>15m</w:t>
      </w:r>
      <w:r w:rsidRPr="00530A11">
        <w:rPr>
          <w:rFonts w:cs="Times New Roman"/>
        </w:rPr>
        <w:t>是为吸引人们主动选择走楼梯的健康的出行方式。</w:t>
      </w:r>
    </w:p>
    <w:p w14:paraId="5A7004DC" w14:textId="77777777" w:rsidR="00932578" w:rsidRPr="006C79E9" w:rsidRDefault="00932578" w:rsidP="006C79E9">
      <w:pPr>
        <w:pStyle w:val="20"/>
      </w:pPr>
      <w:r w:rsidRPr="0081478A">
        <w:t>【评价要点】</w:t>
      </w:r>
    </w:p>
    <w:p w14:paraId="16774C0F" w14:textId="68CDBD14" w:rsidR="00932578" w:rsidRDefault="00932578" w:rsidP="00932578">
      <w:pPr>
        <w:ind w:firstLine="420"/>
        <w:rPr>
          <w:rFonts w:cs="Times New Roman"/>
        </w:rPr>
      </w:pPr>
      <w:r w:rsidRPr="0081478A">
        <w:rPr>
          <w:rFonts w:cs="Times New Roman"/>
        </w:rPr>
        <w:t>本条中的健身场地和设施，应严格按照标准规范进行设置，其长度、面积、规模及安全措施应完整配置，不得随意缩减配置。</w:t>
      </w:r>
    </w:p>
    <w:p w14:paraId="37DB9BF5" w14:textId="7EFACADC" w:rsidR="00304458" w:rsidRPr="0081478A" w:rsidRDefault="00304458" w:rsidP="00932578">
      <w:pPr>
        <w:ind w:firstLine="420"/>
        <w:rPr>
          <w:rFonts w:cs="Times New Roman"/>
        </w:rPr>
      </w:pPr>
      <w:r>
        <w:rPr>
          <w:rFonts w:cs="Times New Roman" w:hint="eastAsia"/>
          <w:szCs w:val="24"/>
        </w:rPr>
        <w:t>健身慢行道应符合</w:t>
      </w:r>
      <w:r w:rsidRPr="00304458">
        <w:rPr>
          <w:rFonts w:cs="Times New Roman" w:hint="eastAsia"/>
          <w:szCs w:val="24"/>
        </w:rPr>
        <w:t>国家体育总局发布的《健走步道配置要求（标准）》</w:t>
      </w:r>
      <w:r>
        <w:rPr>
          <w:rFonts w:cs="Times New Roman" w:hint="eastAsia"/>
          <w:szCs w:val="24"/>
        </w:rPr>
        <w:t>要求。</w:t>
      </w:r>
    </w:p>
    <w:p w14:paraId="79AD90A5" w14:textId="77777777" w:rsidR="00715ABB" w:rsidRPr="006C79E9" w:rsidRDefault="00F44390" w:rsidP="006C79E9">
      <w:pPr>
        <w:pStyle w:val="20"/>
      </w:pPr>
      <w:r w:rsidRPr="0081478A">
        <w:t>【评价方法】</w:t>
      </w:r>
    </w:p>
    <w:p w14:paraId="7FD1E589" w14:textId="77777777" w:rsidR="004F215F" w:rsidRPr="00530A11" w:rsidRDefault="004F215F" w:rsidP="004F215F">
      <w:pPr>
        <w:ind w:firstLine="420"/>
        <w:rPr>
          <w:rFonts w:cs="Times New Roman"/>
          <w:szCs w:val="24"/>
        </w:rPr>
      </w:pPr>
      <w:r w:rsidRPr="00530A11">
        <w:rPr>
          <w:rFonts w:cs="Times New Roman"/>
          <w:szCs w:val="24"/>
        </w:rPr>
        <w:t>预评价查阅总平面施工图、景观施工图（包含健身设施布局、健身慢行道路线、健身设施场地布置等）、建筑施工图（含平面功能布局、楼梯间位置）、电气施工图（含楼梯间照明系统设计）等内容，及相关产品说明书。</w:t>
      </w:r>
    </w:p>
    <w:p w14:paraId="325FA38B" w14:textId="77777777" w:rsidR="004F215F" w:rsidRPr="00530A11" w:rsidRDefault="004F215F" w:rsidP="004F215F">
      <w:pPr>
        <w:ind w:firstLine="420"/>
        <w:rPr>
          <w:rFonts w:cs="Times New Roman"/>
        </w:rPr>
      </w:pPr>
      <w:r w:rsidRPr="00530A11">
        <w:rPr>
          <w:rFonts w:cs="Times New Roman"/>
          <w:szCs w:val="24"/>
        </w:rPr>
        <w:t>评价查阅预评价涉及内容的竣工文件，相关产品说明书</w:t>
      </w:r>
      <w:r w:rsidRPr="00530A11">
        <w:rPr>
          <w:rFonts w:cs="Times New Roman"/>
        </w:rPr>
        <w:t>及现场实景影像资料，组织现场查勘。</w:t>
      </w:r>
    </w:p>
    <w:p w14:paraId="036F42C4" w14:textId="77777777" w:rsidR="00715ABB" w:rsidRPr="004F215F" w:rsidRDefault="00715ABB">
      <w:pPr>
        <w:snapToGrid w:val="0"/>
        <w:ind w:firstLine="420"/>
        <w:jc w:val="left"/>
        <w:rPr>
          <w:rFonts w:cs="Times New Roman"/>
          <w:szCs w:val="24"/>
        </w:rPr>
      </w:pPr>
    </w:p>
    <w:p w14:paraId="2DD02320" w14:textId="77777777" w:rsidR="001C05E4" w:rsidRPr="00530A11" w:rsidRDefault="001C05E4" w:rsidP="001C05E4">
      <w:pPr>
        <w:pStyle w:val="4"/>
        <w:rPr>
          <w:rFonts w:cs="Times New Roman"/>
          <w:bCs w:val="0"/>
        </w:rPr>
      </w:pPr>
      <w:bookmarkStart w:id="126" w:name="_Hlk33025344"/>
      <w:r w:rsidRPr="00530A11">
        <w:rPr>
          <w:rFonts w:cs="Times New Roman"/>
          <w:bCs w:val="0"/>
        </w:rPr>
        <w:t>6.2.6</w:t>
      </w:r>
      <w:r w:rsidRPr="00530A11">
        <w:rPr>
          <w:rFonts w:cs="Times New Roman" w:hint="eastAsia"/>
          <w:bCs w:val="0"/>
        </w:rPr>
        <w:t>设置自动体外除颤器、简易呼吸器、氧气瓶、自动洗胃机等急救医疗设施，并对相关物业、安保等服务人员进行专业培训，评价总分值为</w:t>
      </w:r>
      <w:r w:rsidRPr="00530A11">
        <w:rPr>
          <w:rFonts w:cs="Times New Roman"/>
          <w:bCs w:val="0"/>
        </w:rPr>
        <w:t>3</w:t>
      </w:r>
      <w:r w:rsidRPr="00530A11">
        <w:rPr>
          <w:rFonts w:cs="Times New Roman" w:hint="eastAsia"/>
          <w:bCs w:val="0"/>
        </w:rPr>
        <w:t>分。</w:t>
      </w:r>
    </w:p>
    <w:bookmarkEnd w:id="126"/>
    <w:p w14:paraId="4E91A577" w14:textId="77777777" w:rsidR="00715ABB" w:rsidRPr="006C79E9" w:rsidRDefault="00F44390" w:rsidP="006C79E9">
      <w:pPr>
        <w:pStyle w:val="20"/>
      </w:pPr>
      <w:r w:rsidRPr="0081478A">
        <w:t>【条文说明】</w:t>
      </w:r>
    </w:p>
    <w:p w14:paraId="233291D0" w14:textId="77777777" w:rsidR="00A432D3" w:rsidRPr="00530A11" w:rsidRDefault="00A432D3" w:rsidP="00A432D3">
      <w:pPr>
        <w:ind w:firstLine="420"/>
      </w:pPr>
      <w:r w:rsidRPr="00530A11">
        <w:t>本条适用于各类民用建筑的预评价、评价。</w:t>
      </w:r>
    </w:p>
    <w:p w14:paraId="6610A13E" w14:textId="77777777" w:rsidR="00A432D3" w:rsidRPr="00530A11" w:rsidRDefault="00A432D3" w:rsidP="00A432D3">
      <w:pPr>
        <w:ind w:firstLine="420"/>
        <w:rPr>
          <w:rFonts w:cs="Times New Roman"/>
        </w:rPr>
      </w:pPr>
      <w:r w:rsidRPr="00530A11">
        <w:rPr>
          <w:rFonts w:cs="Times New Roman"/>
        </w:rPr>
        <w:t>本条为</w:t>
      </w:r>
      <w:r w:rsidRPr="00530A11">
        <w:rPr>
          <w:rFonts w:cs="Times New Roman" w:hint="eastAsia"/>
        </w:rPr>
        <w:t>地标新增条文</w:t>
      </w:r>
      <w:r w:rsidRPr="00530A11">
        <w:rPr>
          <w:rFonts w:cs="Times New Roman"/>
        </w:rPr>
        <w:t>。</w:t>
      </w:r>
    </w:p>
    <w:p w14:paraId="2706A8B5" w14:textId="2F04D038" w:rsidR="00A432D3" w:rsidRPr="00530A11" w:rsidRDefault="00A432D3" w:rsidP="00A432D3">
      <w:pPr>
        <w:ind w:firstLine="420"/>
        <w:rPr>
          <w:rFonts w:cs="Times New Roman"/>
          <w:shd w:val="clear" w:color="auto" w:fill="FFFFFF"/>
        </w:rPr>
      </w:pPr>
      <w:r w:rsidRPr="00530A11">
        <w:rPr>
          <w:rFonts w:cs="Times New Roman"/>
          <w:shd w:val="clear" w:color="auto" w:fill="FFFFFF"/>
        </w:rPr>
        <w:t>建筑使用过程中，出现人员心脏骤停等危及生命安全的事件时有发生，如果能在救命的</w:t>
      </w:r>
      <w:r w:rsidRPr="00530A11">
        <w:rPr>
          <w:rFonts w:cs="Times New Roman"/>
          <w:shd w:val="clear" w:color="auto" w:fill="FFFFFF"/>
        </w:rPr>
        <w:t>“</w:t>
      </w:r>
      <w:r w:rsidRPr="00530A11">
        <w:rPr>
          <w:rFonts w:cs="Times New Roman"/>
          <w:shd w:val="clear" w:color="auto" w:fill="FFFFFF"/>
        </w:rPr>
        <w:t>黄金</w:t>
      </w:r>
      <w:r w:rsidRPr="00530A11">
        <w:rPr>
          <w:rFonts w:cs="Times New Roman"/>
          <w:shd w:val="clear" w:color="auto" w:fill="FFFFFF"/>
        </w:rPr>
        <w:t>4</w:t>
      </w:r>
      <w:r w:rsidRPr="00530A11">
        <w:rPr>
          <w:rFonts w:cs="Times New Roman"/>
          <w:shd w:val="clear" w:color="auto" w:fill="FFFFFF"/>
        </w:rPr>
        <w:t>分钟</w:t>
      </w:r>
      <w:r w:rsidRPr="00530A11">
        <w:rPr>
          <w:rFonts w:cs="Times New Roman"/>
          <w:shd w:val="clear" w:color="auto" w:fill="FFFFFF"/>
        </w:rPr>
        <w:t>”</w:t>
      </w:r>
      <w:r w:rsidRPr="00530A11">
        <w:rPr>
          <w:rFonts w:cs="Times New Roman"/>
          <w:shd w:val="clear" w:color="auto" w:fill="FFFFFF"/>
        </w:rPr>
        <w:t>时间内，正确使用急救设备，实施心肺复苏，可以达到挽救生命、减轻伤害的目的。物业管理部门办公室和和人员密集的场所至少应配备除自动体外除颤器</w:t>
      </w:r>
      <w:r w:rsidRPr="00530A11">
        <w:rPr>
          <w:rFonts w:cs="Times New Roman"/>
          <w:shd w:val="clear" w:color="auto" w:fill="FFFFFF"/>
        </w:rPr>
        <w:t>(AED)</w:t>
      </w:r>
      <w:r w:rsidRPr="00530A11">
        <w:rPr>
          <w:rFonts w:cs="Times New Roman"/>
          <w:shd w:val="clear" w:color="auto" w:fill="FFFFFF"/>
        </w:rPr>
        <w:t>以外三</w:t>
      </w:r>
      <w:r w:rsidRPr="00530A11">
        <w:rPr>
          <w:rFonts w:cs="Times New Roman"/>
          <w:shd w:val="clear" w:color="auto" w:fill="FFFFFF"/>
        </w:rPr>
        <w:lastRenderedPageBreak/>
        <w:t>种以上的急救设备和药品。其中</w:t>
      </w:r>
      <w:r w:rsidRPr="00530A11">
        <w:rPr>
          <w:rFonts w:cs="Times New Roman"/>
          <w:shd w:val="clear" w:color="auto" w:fill="FFFFFF"/>
        </w:rPr>
        <w:t>AED</w:t>
      </w:r>
      <w:r w:rsidRPr="00530A11">
        <w:rPr>
          <w:rFonts w:cs="Times New Roman"/>
          <w:shd w:val="clear" w:color="auto" w:fill="FFFFFF"/>
        </w:rPr>
        <w:t>被称为心脏骤停院前急救的</w:t>
      </w:r>
      <w:r w:rsidRPr="00530A11">
        <w:rPr>
          <w:rFonts w:cs="Times New Roman"/>
          <w:shd w:val="clear" w:color="auto" w:fill="FFFFFF"/>
        </w:rPr>
        <w:t>“</w:t>
      </w:r>
      <w:r w:rsidRPr="00530A11">
        <w:rPr>
          <w:rFonts w:cs="Times New Roman"/>
          <w:shd w:val="clear" w:color="auto" w:fill="FFFFFF"/>
        </w:rPr>
        <w:t>急救神器</w:t>
      </w:r>
      <w:r w:rsidRPr="00530A11">
        <w:rPr>
          <w:rFonts w:cs="Times New Roman"/>
          <w:shd w:val="clear" w:color="auto" w:fill="FFFFFF"/>
        </w:rPr>
        <w:t>”</w:t>
      </w:r>
      <w:r w:rsidRPr="00530A11">
        <w:rPr>
          <w:rFonts w:cs="Times New Roman"/>
          <w:shd w:val="clear" w:color="auto" w:fill="FFFFFF"/>
        </w:rPr>
        <w:t>，是一部能够自动监测患者心率、并施以电击使心脏恢复正常运作的急救仪器，其操作简单，使用安全，效果显著。</w:t>
      </w:r>
      <w:r w:rsidRPr="00530A11">
        <w:rPr>
          <w:rFonts w:cs="Times New Roman" w:hint="eastAsia"/>
          <w:shd w:val="clear" w:color="auto" w:fill="FFFFFF"/>
        </w:rPr>
        <w:t>简易呼吸器</w:t>
      </w:r>
      <w:r w:rsidRPr="00530A11">
        <w:rPr>
          <w:rFonts w:cs="Times New Roman"/>
          <w:shd w:val="clear" w:color="auto" w:fill="FFFFFF"/>
        </w:rPr>
        <w:t>，又称复苏球，气囊，皮球等是一种适用于心肺复苏及需人工呼吸急救的急救仪器，尤其是适用于窒息、呼吸困难或需要提高供氧量的情况，具有使用方便、痛苦轻、并发症少、便于携带、有无氧源均可立即通气的特点。心肺复苏仪，是一类以机械代替人力实施人工呼吸（机械通气）和胸外按压等基础生命支持操作的设备</w:t>
      </w:r>
      <w:r w:rsidR="00975681" w:rsidRPr="00530A11">
        <w:rPr>
          <w:rFonts w:cs="Times New Roman"/>
          <w:shd w:val="clear" w:color="auto" w:fill="FFFFFF"/>
        </w:rPr>
        <w:t>，可增加心脏骤停患者心脏和脑的血流</w:t>
      </w:r>
      <w:r w:rsidRPr="00530A11">
        <w:rPr>
          <w:rFonts w:cs="Times New Roman"/>
          <w:shd w:val="clear" w:color="auto" w:fill="FFFFFF"/>
        </w:rPr>
        <w:t>。</w:t>
      </w:r>
      <w:r w:rsidRPr="00530A11">
        <w:rPr>
          <w:rFonts w:cs="Times New Roman" w:hint="eastAsia"/>
          <w:shd w:val="clear" w:color="auto" w:fill="FFFFFF"/>
        </w:rPr>
        <w:t>氧气瓶</w:t>
      </w:r>
      <w:r w:rsidRPr="00530A11">
        <w:rPr>
          <w:rFonts w:cs="Times New Roman"/>
          <w:shd w:val="clear" w:color="auto" w:fill="FFFFFF"/>
        </w:rPr>
        <w:t>，是一种用于各种缺氧环境中补充用氧较理想的供氧设备。</w:t>
      </w:r>
      <w:r w:rsidRPr="00530A11">
        <w:rPr>
          <w:rFonts w:cs="Times New Roman" w:hint="eastAsia"/>
          <w:shd w:val="clear" w:color="auto" w:fill="FFFFFF"/>
        </w:rPr>
        <w:t>自动洗胃机</w:t>
      </w:r>
      <w:r w:rsidRPr="00530A11">
        <w:rPr>
          <w:rFonts w:cs="Times New Roman"/>
          <w:shd w:val="clear" w:color="auto" w:fill="FFFFFF"/>
        </w:rPr>
        <w:t>，是新一代理想的洗胃设备，</w:t>
      </w:r>
      <w:r w:rsidR="00975681" w:rsidRPr="00530A11">
        <w:rPr>
          <w:rFonts w:cs="Times New Roman"/>
          <w:shd w:val="clear" w:color="auto" w:fill="FFFFFF"/>
        </w:rPr>
        <w:t>可救食物中毒、服毒患者以及手术前洗胃</w:t>
      </w:r>
      <w:r w:rsidR="00975681">
        <w:rPr>
          <w:rFonts w:cs="Times New Roman" w:hint="eastAsia"/>
          <w:shd w:val="clear" w:color="auto" w:fill="FFFFFF"/>
        </w:rPr>
        <w:t>，</w:t>
      </w:r>
      <w:r w:rsidRPr="00530A11">
        <w:rPr>
          <w:rFonts w:cs="Times New Roman"/>
          <w:shd w:val="clear" w:color="auto" w:fill="FFFFFF"/>
        </w:rPr>
        <w:t>它具有清毒彻底、出入液量平衡、操作简单、节省人力物力、减少并发症发生的优点。</w:t>
      </w:r>
    </w:p>
    <w:p w14:paraId="4582F1C8" w14:textId="77777777" w:rsidR="00A432D3" w:rsidRPr="00530A11" w:rsidRDefault="00A432D3" w:rsidP="00A432D3">
      <w:pPr>
        <w:ind w:firstLine="420"/>
        <w:rPr>
          <w:rFonts w:cs="Times New Roman"/>
          <w:shd w:val="clear" w:color="auto" w:fill="FFFFFF"/>
        </w:rPr>
      </w:pPr>
      <w:r w:rsidRPr="00530A11">
        <w:rPr>
          <w:rFonts w:cs="Times New Roman"/>
          <w:shd w:val="clear" w:color="auto" w:fill="FFFFFF"/>
        </w:rPr>
        <w:t>本条文要求在公共建筑的人员活动频繁、人员密集区域、安保物业部门，居住建筑物业管理部门设置以上设施，以备应急使用。</w:t>
      </w:r>
    </w:p>
    <w:p w14:paraId="692FC621" w14:textId="77777777" w:rsidR="00932578" w:rsidRPr="0081478A" w:rsidRDefault="00932578" w:rsidP="00932578">
      <w:pPr>
        <w:pStyle w:val="20"/>
        <w:rPr>
          <w:rFonts w:ascii="Times New Roman" w:hAnsi="Times New Roman" w:cs="Times New Roman"/>
          <w:color w:val="auto"/>
          <w:shd w:val="clear" w:color="auto" w:fill="FFFFFF"/>
        </w:rPr>
      </w:pPr>
      <w:r w:rsidRPr="0081478A">
        <w:rPr>
          <w:rFonts w:ascii="Times New Roman" w:hAnsi="Times New Roman" w:cs="Times New Roman"/>
          <w:color w:val="auto"/>
          <w:shd w:val="clear" w:color="auto" w:fill="FFFFFF"/>
        </w:rPr>
        <w:t>【评价要点】</w:t>
      </w:r>
    </w:p>
    <w:p w14:paraId="68D0DD1E" w14:textId="44AE7DC5" w:rsidR="00932578" w:rsidRPr="0081478A" w:rsidRDefault="00EF245F" w:rsidP="00932578">
      <w:pPr>
        <w:ind w:firstLine="420"/>
        <w:rPr>
          <w:rFonts w:cs="Times New Roman"/>
          <w:shd w:val="clear" w:color="auto" w:fill="FFFFFF"/>
        </w:rPr>
      </w:pPr>
      <w:r>
        <w:rPr>
          <w:rFonts w:cs="Times New Roman"/>
          <w:shd w:val="clear" w:color="auto" w:fill="FFFFFF"/>
        </w:rPr>
        <w:t>1.</w:t>
      </w:r>
      <w:r w:rsidR="00932578" w:rsidRPr="0081478A">
        <w:rPr>
          <w:rFonts w:cs="Times New Roman"/>
          <w:shd w:val="clear" w:color="auto" w:fill="FFFFFF"/>
        </w:rPr>
        <w:t>应选用质量合格的专业设备，并有定期检查记录；</w:t>
      </w:r>
    </w:p>
    <w:p w14:paraId="2FBFAEC7" w14:textId="06658970" w:rsidR="00932578" w:rsidRPr="0081478A" w:rsidRDefault="00EF245F" w:rsidP="00932578">
      <w:pPr>
        <w:ind w:firstLine="420"/>
        <w:rPr>
          <w:rFonts w:cs="Times New Roman"/>
          <w:shd w:val="clear" w:color="auto" w:fill="FFFFFF"/>
        </w:rPr>
      </w:pPr>
      <w:r>
        <w:rPr>
          <w:rFonts w:cs="Times New Roman"/>
          <w:shd w:val="clear" w:color="auto" w:fill="FFFFFF"/>
        </w:rPr>
        <w:t>2.</w:t>
      </w:r>
      <w:r w:rsidR="00932578" w:rsidRPr="0081478A">
        <w:rPr>
          <w:rFonts w:cs="Times New Roman"/>
          <w:shd w:val="clear" w:color="auto" w:fill="FFFFFF"/>
        </w:rPr>
        <w:t>物业人员应定期培训考核达标。</w:t>
      </w:r>
    </w:p>
    <w:p w14:paraId="67A0CAD4"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27127CD" w14:textId="77777777" w:rsidR="004F215F" w:rsidRPr="00530A11" w:rsidRDefault="004F215F" w:rsidP="004F215F">
      <w:pPr>
        <w:ind w:firstLine="420"/>
        <w:rPr>
          <w:rFonts w:cs="Times New Roman"/>
        </w:rPr>
      </w:pPr>
      <w:r w:rsidRPr="00530A11">
        <w:rPr>
          <w:rFonts w:cs="Times New Roman"/>
        </w:rPr>
        <w:t>预评价查阅平面位置图、相关产品说明书。</w:t>
      </w:r>
    </w:p>
    <w:p w14:paraId="2A10BF09" w14:textId="66B4B2C2" w:rsidR="004F215F" w:rsidRPr="00530A11" w:rsidRDefault="004F215F" w:rsidP="004F215F">
      <w:pPr>
        <w:ind w:firstLine="420"/>
        <w:rPr>
          <w:rFonts w:cs="Times New Roman"/>
        </w:rPr>
      </w:pPr>
      <w:r w:rsidRPr="00530A11">
        <w:rPr>
          <w:rFonts w:cs="Times New Roman"/>
        </w:rPr>
        <w:t>评价查阅竣工文件</w:t>
      </w:r>
      <w:r w:rsidR="00975681">
        <w:rPr>
          <w:rFonts w:cs="Times New Roman" w:hint="eastAsia"/>
        </w:rPr>
        <w:t>中的设备放置位置图、</w:t>
      </w:r>
      <w:r w:rsidRPr="00530A11">
        <w:rPr>
          <w:rFonts w:cs="Times New Roman"/>
        </w:rPr>
        <w:t>物业人员的培训记录、相关产品说明书及现场实物影像，组织现场查勘。</w:t>
      </w:r>
    </w:p>
    <w:p w14:paraId="6D82F6B2" w14:textId="77777777" w:rsidR="00715ABB" w:rsidRPr="0081478A" w:rsidRDefault="00F44390" w:rsidP="001A7E3B">
      <w:pPr>
        <w:pStyle w:val="3"/>
      </w:pPr>
      <w:bookmarkStart w:id="127" w:name="_Toc22221578"/>
      <w:bookmarkStart w:id="128" w:name="_Toc35364745"/>
      <w:r w:rsidRPr="0081478A">
        <w:t xml:space="preserve">Ⅲ </w:t>
      </w:r>
      <w:r w:rsidRPr="0081478A">
        <w:t>智慧运行</w:t>
      </w:r>
      <w:bookmarkEnd w:id="127"/>
      <w:bookmarkEnd w:id="128"/>
    </w:p>
    <w:p w14:paraId="1DEB230D" w14:textId="77777777" w:rsidR="001C05E4" w:rsidRPr="00530A11" w:rsidRDefault="001C05E4" w:rsidP="001C05E4">
      <w:pPr>
        <w:pStyle w:val="4"/>
        <w:rPr>
          <w:rFonts w:cs="Times New Roman"/>
          <w:bCs w:val="0"/>
        </w:rPr>
      </w:pPr>
      <w:r w:rsidRPr="00530A11">
        <w:rPr>
          <w:rFonts w:cs="Times New Roman"/>
          <w:bCs w:val="0"/>
        </w:rPr>
        <w:t xml:space="preserve">6.2.7 </w:t>
      </w:r>
      <w:r w:rsidRPr="00530A11">
        <w:rPr>
          <w:rFonts w:cs="Times New Roman"/>
          <w:bCs w:val="0"/>
        </w:rPr>
        <w:t>设置分类、分级用能自动远传计量系统，且设置能源管理系统实现对建筑能耗的监测、数据分析和管理，评价分值为</w:t>
      </w:r>
      <w:r w:rsidRPr="00530A11">
        <w:rPr>
          <w:rFonts w:cs="Times New Roman"/>
          <w:bCs w:val="0"/>
        </w:rPr>
        <w:t>8</w:t>
      </w:r>
      <w:r w:rsidRPr="00530A11">
        <w:rPr>
          <w:rFonts w:cs="Times New Roman"/>
          <w:bCs w:val="0"/>
        </w:rPr>
        <w:t>分。</w:t>
      </w:r>
    </w:p>
    <w:p w14:paraId="0FB94D9C" w14:textId="77777777" w:rsidR="00715ABB" w:rsidRPr="0081478A" w:rsidRDefault="00F44390" w:rsidP="006C79E9">
      <w:pPr>
        <w:pStyle w:val="20"/>
      </w:pPr>
      <w:r w:rsidRPr="0081478A">
        <w:t>【条文说明】</w:t>
      </w:r>
    </w:p>
    <w:p w14:paraId="51F3A75D" w14:textId="77777777" w:rsidR="00A432D3" w:rsidRPr="00530A11" w:rsidRDefault="00A432D3" w:rsidP="00A432D3">
      <w:pPr>
        <w:ind w:firstLine="420"/>
        <w:rPr>
          <w:szCs w:val="24"/>
        </w:rPr>
      </w:pPr>
      <w:r w:rsidRPr="00530A11">
        <w:t>本条适用于各类民用建筑的预评价、评价。</w:t>
      </w:r>
    </w:p>
    <w:p w14:paraId="0B687E4B" w14:textId="77777777" w:rsidR="00A432D3" w:rsidRPr="00530A11" w:rsidRDefault="00A432D3" w:rsidP="00A432D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heme="minorEastAsia" w:cs="Times New Roman"/>
        </w:rPr>
        <w:t>5.1.3</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5.1.5</w:t>
      </w:r>
      <w:r w:rsidRPr="00530A11">
        <w:rPr>
          <w:rFonts w:cs="Times New Roman"/>
        </w:rPr>
        <w:t>条的基础上发展而来。</w:t>
      </w:r>
    </w:p>
    <w:p w14:paraId="42C1BF1D" w14:textId="77777777" w:rsidR="00A432D3" w:rsidRPr="00530A11" w:rsidRDefault="00A432D3" w:rsidP="00A432D3">
      <w:pPr>
        <w:ind w:firstLine="420"/>
        <w:rPr>
          <w:rFonts w:cs="Times New Roman"/>
        </w:rPr>
      </w:pPr>
      <w:r w:rsidRPr="00530A11">
        <w:rPr>
          <w:rFonts w:cs="Times New Roman"/>
        </w:rPr>
        <w:t>本条旨在保障且体现绿色建筑达到预期的运营效果，建筑至少应对建筑最基本的能源资源消耗量设置管理系统。但不同规模、不同功能的建筑项目需设置的系统大小及是否需要设置应根据实际情况合理确定。</w:t>
      </w:r>
    </w:p>
    <w:p w14:paraId="1DCD9A66" w14:textId="77777777" w:rsidR="00A432D3" w:rsidRPr="00530A11" w:rsidRDefault="00A432D3" w:rsidP="00A432D3">
      <w:pPr>
        <w:ind w:firstLine="420"/>
        <w:rPr>
          <w:rFonts w:cs="Times New Roman"/>
        </w:rPr>
      </w:pPr>
      <w:r w:rsidRPr="00530A11">
        <w:rPr>
          <w:rFonts w:cs="Times New Roman"/>
        </w:rPr>
        <w:lastRenderedPageBreak/>
        <w:t>本条要求设置电、气、热的能耗计量系统和能源管理系统。计量系统是实现运行节能、优化系统设置的基础条件，能源管理系统使建筑能耗可知、可见、可控，从而达到优化运行、降低消耗的目的。冷热源、输配系统和电气等各部分能源应进行独立分项计量，并能实现远传，其中冷热源、输配系统的主要设备包括冷热水机组、冷热水泵、新风机组、空气处理机组、冷却塔等，电气系统包括照明、插座、动力等。对于住宅建筑，主要针对公共区域提出要求，对于住户仅要求每个单元</w:t>
      </w:r>
      <w:r w:rsidRPr="00530A11">
        <w:rPr>
          <w:rFonts w:cs="Times New Roman"/>
        </w:rPr>
        <w:t>(</w:t>
      </w:r>
      <w:r w:rsidRPr="00530A11">
        <w:rPr>
          <w:rFonts w:cs="Times New Roman"/>
        </w:rPr>
        <w:t>或楼栋</w:t>
      </w:r>
      <w:r w:rsidRPr="00530A11">
        <w:rPr>
          <w:rFonts w:cs="Times New Roman"/>
        </w:rPr>
        <w:t>)</w:t>
      </w:r>
      <w:r w:rsidRPr="00530A11">
        <w:rPr>
          <w:rFonts w:cs="Times New Roman"/>
        </w:rPr>
        <w:t>设置可远传的计量总表。</w:t>
      </w:r>
    </w:p>
    <w:p w14:paraId="73A8ECE1" w14:textId="77777777" w:rsidR="00A432D3" w:rsidRPr="00530A11" w:rsidRDefault="00A432D3" w:rsidP="00A432D3">
      <w:pPr>
        <w:ind w:firstLine="420"/>
        <w:rPr>
          <w:rFonts w:cs="Times New Roman"/>
        </w:rPr>
      </w:pPr>
      <w:r w:rsidRPr="00530A11">
        <w:rPr>
          <w:rFonts w:cs="Times New Roman"/>
        </w:rPr>
        <w:t>计量器具应满足现行国家标准《用能单位能源计量器具配备和管理通则》</w:t>
      </w:r>
      <w:r w:rsidRPr="00530A11">
        <w:rPr>
          <w:rFonts w:cs="Times New Roman"/>
        </w:rPr>
        <w:t>GB 17167</w:t>
      </w:r>
      <w:r w:rsidRPr="00530A11">
        <w:rPr>
          <w:rFonts w:cs="Times New Roman"/>
        </w:rPr>
        <w:t>中的要求。</w:t>
      </w:r>
    </w:p>
    <w:p w14:paraId="32946BED" w14:textId="77777777" w:rsidR="00A432D3" w:rsidRPr="00530A11" w:rsidRDefault="00A432D3" w:rsidP="00A432D3">
      <w:pPr>
        <w:ind w:firstLine="420"/>
        <w:rPr>
          <w:rFonts w:cs="Times New Roman"/>
        </w:rPr>
      </w:pPr>
      <w:r w:rsidRPr="00530A11">
        <w:rPr>
          <w:rFonts w:cs="Times New Roman"/>
        </w:rPr>
        <w:t>本条要求在计量基础上，通过能源管理系统实现数据传输、存储、分析功能，系统可存储数据均应不少于一年。</w:t>
      </w:r>
    </w:p>
    <w:p w14:paraId="7396601E" w14:textId="77777777" w:rsidR="00932578" w:rsidRPr="006C79E9" w:rsidRDefault="00932578" w:rsidP="006C79E9">
      <w:pPr>
        <w:pStyle w:val="20"/>
      </w:pPr>
      <w:r w:rsidRPr="0081478A">
        <w:t>【评价要点】</w:t>
      </w:r>
    </w:p>
    <w:p w14:paraId="6AF25AE7" w14:textId="33D29771" w:rsidR="00932578" w:rsidRDefault="007204A1" w:rsidP="00932578">
      <w:pPr>
        <w:ind w:firstLine="420"/>
        <w:rPr>
          <w:rFonts w:cs="Times New Roman"/>
        </w:rPr>
      </w:pPr>
      <w:r>
        <w:rPr>
          <w:rFonts w:cs="Times New Roman" w:hint="eastAsia"/>
        </w:rPr>
        <w:t>1</w:t>
      </w:r>
      <w:r>
        <w:rPr>
          <w:rFonts w:cs="Times New Roman"/>
        </w:rPr>
        <w:t>.</w:t>
      </w:r>
      <w:r w:rsidR="00932578" w:rsidRPr="0081478A">
        <w:rPr>
          <w:rFonts w:cs="Times New Roman"/>
        </w:rPr>
        <w:t>建筑的冷热源及输配系统等各部分能耗应进行独立分项计量。评价依据为《民用建筑供暖通风与空气调节设计规范》</w:t>
      </w:r>
      <w:r w:rsidR="00932578" w:rsidRPr="0081478A">
        <w:rPr>
          <w:rFonts w:cs="Times New Roman"/>
        </w:rPr>
        <w:t>GB 50736</w:t>
      </w:r>
      <w:r w:rsidR="00932578" w:rsidRPr="0081478A">
        <w:rPr>
          <w:rFonts w:cs="Times New Roman"/>
        </w:rPr>
        <w:t>、《空气调节系统经济运行》</w:t>
      </w:r>
      <w:r w:rsidR="00932578" w:rsidRPr="0081478A">
        <w:rPr>
          <w:rFonts w:cs="Times New Roman"/>
        </w:rPr>
        <w:t>GB/T 17981</w:t>
      </w:r>
      <w:r w:rsidR="00932578" w:rsidRPr="0081478A">
        <w:rPr>
          <w:rFonts w:cs="Times New Roman"/>
        </w:rPr>
        <w:t>中的相关规定。对于未设集中空调系统及多联机空调系统的公共建筑，除总层数不超过两层且每单位建筑面积（每个分隔单元建筑面积）不大于</w:t>
      </w:r>
      <w:r w:rsidR="00932578" w:rsidRPr="0081478A">
        <w:rPr>
          <w:rFonts w:cs="Times New Roman"/>
        </w:rPr>
        <w:t>300m</w:t>
      </w:r>
      <w:r w:rsidR="00932578" w:rsidRPr="0081478A">
        <w:rPr>
          <w:rFonts w:cs="Times New Roman"/>
          <w:vertAlign w:val="superscript"/>
        </w:rPr>
        <w:t>2</w:t>
      </w:r>
      <w:r w:rsidR="00932578" w:rsidRPr="0081478A">
        <w:rPr>
          <w:rFonts w:cs="Times New Roman"/>
        </w:rPr>
        <w:t>的公共建筑外，空调系统均应采用单独计量设计。</w:t>
      </w:r>
      <w:r w:rsidR="00A45E99">
        <w:rPr>
          <w:rFonts w:cs="Times New Roman" w:hint="eastAsia"/>
        </w:rPr>
        <w:t>对于居住建筑，主要针对公共区域提出分项计量和管理要求，如公共动力设备用电、室内公共区域照明用电、室外景观照明用电等。</w:t>
      </w:r>
    </w:p>
    <w:p w14:paraId="3C1930BA" w14:textId="7DE136B8" w:rsidR="007204A1" w:rsidRDefault="007204A1" w:rsidP="007204A1">
      <w:pPr>
        <w:ind w:firstLine="420"/>
        <w:rPr>
          <w:rFonts w:cs="Times New Roman"/>
        </w:rPr>
      </w:pPr>
      <w:r>
        <w:rPr>
          <w:rFonts w:cs="Times New Roman" w:hint="eastAsia"/>
          <w:bCs/>
        </w:rPr>
        <w:t>2</w:t>
      </w:r>
      <w:r>
        <w:rPr>
          <w:rFonts w:cs="Times New Roman"/>
          <w:bCs/>
        </w:rPr>
        <w:t>.</w:t>
      </w:r>
      <w:r w:rsidR="00A45E99" w:rsidRPr="00A45E99">
        <w:rPr>
          <w:rFonts w:cs="Times New Roman" w:hint="eastAsia"/>
        </w:rPr>
        <w:t xml:space="preserve"> </w:t>
      </w:r>
      <w:r w:rsidR="00A45E99">
        <w:rPr>
          <w:rFonts w:cs="Times New Roman" w:hint="eastAsia"/>
        </w:rPr>
        <w:t>计量器具应满足现行国家标准《用能单位能源计量器具配备和管理通则》（</w:t>
      </w:r>
      <w:r w:rsidR="00A45E99">
        <w:rPr>
          <w:rFonts w:cs="Times New Roman" w:hint="eastAsia"/>
        </w:rPr>
        <w:t>G</w:t>
      </w:r>
      <w:r w:rsidR="00A45E99">
        <w:rPr>
          <w:rFonts w:cs="Times New Roman"/>
        </w:rPr>
        <w:t>B 17167</w:t>
      </w:r>
      <w:r w:rsidR="00A45E99">
        <w:rPr>
          <w:rFonts w:cs="Times New Roman" w:hint="eastAsia"/>
        </w:rPr>
        <w:t>）要求。计量数据采集频率一般可根据具体需要设置</w:t>
      </w:r>
      <w:r w:rsidR="00A45E99">
        <w:rPr>
          <w:rFonts w:cs="Times New Roman" w:hint="eastAsia"/>
        </w:rPr>
        <w:t>1</w:t>
      </w:r>
      <w:r w:rsidR="00A45E99">
        <w:rPr>
          <w:rFonts w:cs="Times New Roman"/>
        </w:rPr>
        <w:t>0</w:t>
      </w:r>
      <w:r w:rsidR="00A45E99">
        <w:rPr>
          <w:rFonts w:cs="Times New Roman" w:hint="eastAsia"/>
        </w:rPr>
        <w:t>min~60min</w:t>
      </w:r>
      <w:r w:rsidR="00A45E99">
        <w:rPr>
          <w:rFonts w:cs="Times New Roman" w:hint="eastAsia"/>
        </w:rPr>
        <w:t>采集一次。</w:t>
      </w:r>
      <w:r>
        <w:rPr>
          <w:rFonts w:cs="Times New Roman" w:hint="eastAsia"/>
          <w:bCs/>
        </w:rPr>
        <w:t>在</w:t>
      </w:r>
      <w:r w:rsidRPr="00530A11">
        <w:rPr>
          <w:rFonts w:cs="Times New Roman"/>
        </w:rPr>
        <w:t>计量基础上，通过能源管理系统实现数据传输、存储、分析功能，系统可存储数据均应不少于一年。</w:t>
      </w:r>
    </w:p>
    <w:p w14:paraId="6E96416F" w14:textId="2AB6A65E" w:rsidR="00715ABB" w:rsidRPr="0081478A" w:rsidRDefault="00F44390" w:rsidP="007204A1">
      <w:pPr>
        <w:pStyle w:val="20"/>
      </w:pPr>
      <w:r w:rsidRPr="0081478A">
        <w:t>【评价方法】</w:t>
      </w:r>
    </w:p>
    <w:p w14:paraId="1E9D6693" w14:textId="77777777" w:rsidR="004F215F" w:rsidRPr="00530A11" w:rsidRDefault="004F215F" w:rsidP="004F215F">
      <w:pPr>
        <w:ind w:firstLine="420"/>
        <w:rPr>
          <w:rFonts w:cs="Times New Roman"/>
        </w:rPr>
      </w:pPr>
      <w:r w:rsidRPr="00530A11">
        <w:rPr>
          <w:rFonts w:cs="Times New Roman"/>
        </w:rPr>
        <w:t>预评价查阅相关设计文件</w:t>
      </w:r>
      <w:r w:rsidRPr="00530A11">
        <w:rPr>
          <w:rFonts w:cs="Times New Roman"/>
        </w:rPr>
        <w:t>(</w:t>
      </w:r>
      <w:r w:rsidRPr="00530A11">
        <w:rPr>
          <w:rFonts w:cs="Times New Roman"/>
        </w:rPr>
        <w:t>能源系统设计图纸、能源管理系统配置等</w:t>
      </w:r>
      <w:r w:rsidRPr="00530A11">
        <w:rPr>
          <w:rFonts w:cs="Times New Roman"/>
        </w:rPr>
        <w:t>)</w:t>
      </w:r>
      <w:r w:rsidRPr="00530A11">
        <w:rPr>
          <w:rFonts w:cs="Times New Roman"/>
        </w:rPr>
        <w:t>；评价查阅相关竣工图、产品型式检验报告，投入使用的项目尚应查阅管理制度、历史监测数据、运行记录。</w:t>
      </w:r>
    </w:p>
    <w:p w14:paraId="173B2598" w14:textId="77777777" w:rsidR="00715ABB" w:rsidRPr="004F215F" w:rsidRDefault="00715ABB">
      <w:pPr>
        <w:snapToGrid w:val="0"/>
        <w:ind w:firstLine="420"/>
        <w:jc w:val="left"/>
        <w:rPr>
          <w:rFonts w:cs="Times New Roman"/>
          <w:szCs w:val="24"/>
        </w:rPr>
      </w:pPr>
    </w:p>
    <w:p w14:paraId="3AF16DD9" w14:textId="77777777" w:rsidR="001C05E4" w:rsidRPr="00530A11" w:rsidRDefault="001C05E4" w:rsidP="001C05E4">
      <w:pPr>
        <w:pStyle w:val="4"/>
        <w:rPr>
          <w:rFonts w:cs="Times New Roman"/>
          <w:bCs w:val="0"/>
        </w:rPr>
      </w:pPr>
      <w:r w:rsidRPr="00530A11">
        <w:rPr>
          <w:rFonts w:cs="Times New Roman"/>
          <w:bCs w:val="0"/>
        </w:rPr>
        <w:t xml:space="preserve">6.2.8 </w:t>
      </w:r>
      <w:r w:rsidRPr="00530A11">
        <w:rPr>
          <w:rFonts w:cs="Times New Roman"/>
          <w:bCs w:val="0"/>
        </w:rPr>
        <w:t>设置</w:t>
      </w:r>
      <w:r w:rsidRPr="00530A11">
        <w:rPr>
          <w:rFonts w:cs="Times New Roman"/>
          <w:bCs w:val="0"/>
        </w:rPr>
        <w:t>PM</w:t>
      </w:r>
      <w:r w:rsidRPr="00530A11">
        <w:rPr>
          <w:rFonts w:cs="Times New Roman"/>
          <w:bCs w:val="0"/>
          <w:sz w:val="23"/>
          <w:szCs w:val="23"/>
          <w:vertAlign w:val="subscript"/>
        </w:rPr>
        <w:t>10</w:t>
      </w:r>
      <w:r w:rsidRPr="00530A11">
        <w:rPr>
          <w:rFonts w:cs="Times New Roman"/>
          <w:bCs w:val="0"/>
        </w:rPr>
        <w:t>、</w:t>
      </w:r>
      <w:r w:rsidRPr="00530A11">
        <w:rPr>
          <w:rFonts w:cs="Times New Roman"/>
          <w:bCs w:val="0"/>
        </w:rPr>
        <w:t>PM</w:t>
      </w:r>
      <w:r w:rsidRPr="00530A11">
        <w:rPr>
          <w:rFonts w:cs="Times New Roman"/>
          <w:bCs w:val="0"/>
          <w:sz w:val="23"/>
          <w:szCs w:val="23"/>
          <w:vertAlign w:val="subscript"/>
        </w:rPr>
        <w:t>2.5</w:t>
      </w:r>
      <w:r w:rsidRPr="00530A11">
        <w:rPr>
          <w:rFonts w:cs="Times New Roman"/>
          <w:bCs w:val="0"/>
        </w:rPr>
        <w:t>、</w:t>
      </w:r>
      <w:r w:rsidRPr="00530A11">
        <w:rPr>
          <w:rFonts w:cs="Times New Roman"/>
          <w:bCs w:val="0"/>
        </w:rPr>
        <w:t>CO</w:t>
      </w:r>
      <w:r w:rsidRPr="00530A11">
        <w:rPr>
          <w:rFonts w:cs="Times New Roman"/>
          <w:bCs w:val="0"/>
          <w:sz w:val="23"/>
          <w:szCs w:val="23"/>
          <w:vertAlign w:val="subscript"/>
        </w:rPr>
        <w:t>2</w:t>
      </w:r>
      <w:r w:rsidRPr="00530A11">
        <w:rPr>
          <w:rFonts w:cs="Times New Roman"/>
          <w:bCs w:val="0"/>
        </w:rPr>
        <w:t>浓度的空气质量监测系统，且具有存储至少一年的监测数据和实时显示等功能，评价分值为</w:t>
      </w:r>
      <w:r w:rsidRPr="00530A11">
        <w:rPr>
          <w:rFonts w:cs="Times New Roman"/>
          <w:bCs w:val="0"/>
        </w:rPr>
        <w:t>5</w:t>
      </w:r>
      <w:r w:rsidRPr="00530A11">
        <w:rPr>
          <w:rFonts w:cs="Times New Roman"/>
          <w:bCs w:val="0"/>
        </w:rPr>
        <w:t>分。</w:t>
      </w:r>
    </w:p>
    <w:p w14:paraId="5B0FED54"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1</w:t>
      </w:r>
      <w:r w:rsidRPr="001C05E4">
        <w:rPr>
          <w:rFonts w:ascii="Times New Roman" w:hAnsi="Times New Roman" w:cs="Times New Roman" w:hint="eastAsia"/>
          <w:bCs/>
          <w:color w:val="auto"/>
        </w:rPr>
        <w:t>实时显示室内外空气质量状况，</w:t>
      </w:r>
      <w:r w:rsidRPr="001C05E4">
        <w:rPr>
          <w:rFonts w:ascii="Times New Roman" w:hAnsi="Times New Roman" w:cs="Times New Roman"/>
          <w:bCs/>
          <w:color w:val="auto"/>
        </w:rPr>
        <w:t>3</w:t>
      </w:r>
      <w:r w:rsidRPr="001C05E4">
        <w:rPr>
          <w:rFonts w:ascii="Times New Roman" w:hAnsi="Times New Roman" w:cs="Times New Roman" w:hint="eastAsia"/>
          <w:bCs/>
          <w:color w:val="auto"/>
        </w:rPr>
        <w:t>分；</w:t>
      </w:r>
    </w:p>
    <w:p w14:paraId="0D10A502"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hint="eastAsia"/>
          <w:bCs/>
          <w:color w:val="auto"/>
        </w:rPr>
        <w:t>对公共部位人员密集场所的室内污染物浓度实现实时超标警示，并与通风系统联动，</w:t>
      </w:r>
      <w:r w:rsidRPr="001C05E4">
        <w:rPr>
          <w:rFonts w:ascii="Times New Roman" w:hAnsi="Times New Roman" w:cs="Times New Roman"/>
          <w:bCs/>
          <w:color w:val="auto"/>
        </w:rPr>
        <w:t>2</w:t>
      </w:r>
      <w:r w:rsidRPr="001C05E4">
        <w:rPr>
          <w:rFonts w:ascii="Times New Roman" w:hAnsi="Times New Roman" w:cs="Times New Roman" w:hint="eastAsia"/>
          <w:bCs/>
          <w:color w:val="auto"/>
        </w:rPr>
        <w:t>分。</w:t>
      </w:r>
    </w:p>
    <w:p w14:paraId="00D90747" w14:textId="77777777" w:rsidR="00715ABB" w:rsidRPr="0081478A" w:rsidRDefault="00F44390">
      <w:pPr>
        <w:ind w:firstLineChars="0" w:firstLine="0"/>
        <w:rPr>
          <w:rFonts w:cs="Times New Roman"/>
          <w:b/>
          <w:szCs w:val="24"/>
        </w:rPr>
      </w:pPr>
      <w:r w:rsidRPr="0081478A">
        <w:rPr>
          <w:rFonts w:cs="Times New Roman"/>
          <w:b/>
          <w:szCs w:val="24"/>
        </w:rPr>
        <w:t>【条文说明】</w:t>
      </w:r>
    </w:p>
    <w:p w14:paraId="4F7FD6D6" w14:textId="77777777" w:rsidR="00A432D3" w:rsidRPr="00530A11" w:rsidRDefault="00A432D3" w:rsidP="00A432D3">
      <w:pPr>
        <w:ind w:firstLine="420"/>
        <w:rPr>
          <w:szCs w:val="24"/>
        </w:rPr>
      </w:pPr>
      <w:r w:rsidRPr="00530A11">
        <w:lastRenderedPageBreak/>
        <w:t>本条适用于各类民用建筑的预评价、评价。</w:t>
      </w:r>
    </w:p>
    <w:p w14:paraId="7661B677" w14:textId="77777777" w:rsidR="00A432D3" w:rsidRPr="00530A11" w:rsidRDefault="00A432D3" w:rsidP="00A432D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8.2.12</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8.2.12</w:t>
      </w:r>
      <w:r w:rsidRPr="00530A11">
        <w:rPr>
          <w:rFonts w:cs="Times New Roman"/>
        </w:rPr>
        <w:t>条的基础上发展而来。</w:t>
      </w:r>
    </w:p>
    <w:p w14:paraId="1DA1F48F" w14:textId="77777777" w:rsidR="00A432D3" w:rsidRPr="00530A11" w:rsidRDefault="00A432D3" w:rsidP="00A432D3">
      <w:pPr>
        <w:ind w:firstLine="420"/>
        <w:rPr>
          <w:rFonts w:cs="Times New Roman"/>
        </w:rPr>
      </w:pPr>
      <w:r w:rsidRPr="00530A11">
        <w:rPr>
          <w:rFonts w:cs="Times New Roman"/>
        </w:rPr>
        <w:t>旨在引导保持理想的室内空气质量指标，必须不断收集建筑室内空气质量测试数据。空气污染物传感装置和智能化技术的完善普及，使对建筑内空气污染物的实时采集监测成为可能。当所监测的空气质量偏离理想阈值时，系统应做出警示，建筑管理方应对可能影响这些指标的系统做出及时的调试或调整。将监测发布系统与建筑内空气质量调控设备组成自动控制系统，可实现室内环境的智能化调控，在维持建筑室内环境健康舒适的同时减少不必要的能源消耗。本条文要求对于安装监控系统的建筑，系统至少对</w:t>
      </w:r>
      <w:r w:rsidRPr="00530A11">
        <w:rPr>
          <w:rFonts w:cs="Times New Roman"/>
        </w:rPr>
        <w:t>PM</w:t>
      </w:r>
      <w:r w:rsidRPr="00530A11">
        <w:rPr>
          <w:rFonts w:cs="Times New Roman"/>
          <w:vertAlign w:val="subscript"/>
        </w:rPr>
        <w:t>2.5</w:t>
      </w:r>
      <w:r w:rsidRPr="00530A11">
        <w:rPr>
          <w:rFonts w:cs="Times New Roman"/>
        </w:rPr>
        <w:t>、</w:t>
      </w:r>
      <w:r w:rsidRPr="00530A11">
        <w:rPr>
          <w:rFonts w:cs="Times New Roman"/>
        </w:rPr>
        <w:t>PM</w:t>
      </w:r>
      <w:r w:rsidRPr="00530A11">
        <w:rPr>
          <w:rFonts w:cs="Times New Roman"/>
          <w:vertAlign w:val="subscript"/>
        </w:rPr>
        <w:t>10</w:t>
      </w:r>
      <w:r w:rsidRPr="00530A11">
        <w:rPr>
          <w:rFonts w:cs="Times New Roman"/>
        </w:rPr>
        <w:t>、</w:t>
      </w:r>
      <w:r w:rsidRPr="00530A11">
        <w:rPr>
          <w:rFonts w:cs="Times New Roman"/>
        </w:rPr>
        <w:t>CO</w:t>
      </w:r>
      <w:r w:rsidRPr="00530A11">
        <w:rPr>
          <w:rFonts w:cs="Times New Roman"/>
          <w:vertAlign w:val="subscript"/>
        </w:rPr>
        <w:t>2</w:t>
      </w:r>
      <w:r w:rsidRPr="00530A11">
        <w:rPr>
          <w:rFonts w:cs="Times New Roman"/>
        </w:rPr>
        <w:t>分别进行定时连续测量、显示、记录和数据传输，</w:t>
      </w:r>
      <w:r w:rsidRPr="00FF15E0">
        <w:rPr>
          <w:rFonts w:cs="Times New Roman" w:hint="eastAsia"/>
        </w:rPr>
        <w:t>同时应该</w:t>
      </w:r>
      <w:r>
        <w:rPr>
          <w:rFonts w:cs="Times New Roman" w:hint="eastAsia"/>
        </w:rPr>
        <w:t>具备</w:t>
      </w:r>
      <w:r w:rsidRPr="00FF15E0">
        <w:rPr>
          <w:rFonts w:cs="Times New Roman" w:hint="eastAsia"/>
        </w:rPr>
        <w:t>温湿度</w:t>
      </w:r>
      <w:r>
        <w:rPr>
          <w:rFonts w:cs="Times New Roman" w:hint="eastAsia"/>
        </w:rPr>
        <w:t>的显示</w:t>
      </w:r>
      <w:r w:rsidRPr="00FF15E0">
        <w:rPr>
          <w:rFonts w:cs="Times New Roman" w:hint="eastAsia"/>
        </w:rPr>
        <w:t>，鼓励显示负氧离子等参数</w:t>
      </w:r>
      <w:r>
        <w:rPr>
          <w:rFonts w:cs="Times New Roman" w:hint="eastAsia"/>
        </w:rPr>
        <w:t>，</w:t>
      </w:r>
      <w:r w:rsidRPr="00530A11">
        <w:rPr>
          <w:rFonts w:cs="Times New Roman"/>
        </w:rPr>
        <w:t>监测系统对污染物浓度的读数时间间隔不得长于</w:t>
      </w:r>
      <w:r w:rsidRPr="00530A11">
        <w:rPr>
          <w:rFonts w:cs="Times New Roman"/>
        </w:rPr>
        <w:t>10min</w:t>
      </w:r>
      <w:r w:rsidRPr="00530A11">
        <w:rPr>
          <w:rFonts w:cs="Times New Roman"/>
        </w:rPr>
        <w:t>。</w:t>
      </w:r>
    </w:p>
    <w:p w14:paraId="5C615DC5" w14:textId="77777777" w:rsidR="00932578" w:rsidRPr="006C79E9" w:rsidRDefault="00932578" w:rsidP="006C79E9">
      <w:pPr>
        <w:pStyle w:val="20"/>
      </w:pPr>
      <w:r w:rsidRPr="0081478A">
        <w:t>【评价要点】</w:t>
      </w:r>
    </w:p>
    <w:p w14:paraId="106852F3" w14:textId="0E908BE3" w:rsidR="00932578" w:rsidRDefault="002828A9" w:rsidP="00932578">
      <w:pPr>
        <w:ind w:firstLine="420"/>
        <w:rPr>
          <w:rFonts w:cs="Times New Roman"/>
        </w:rPr>
      </w:pPr>
      <w:r>
        <w:rPr>
          <w:rFonts w:cs="Times New Roman" w:hint="eastAsia"/>
        </w:rPr>
        <w:t>1</w:t>
      </w:r>
      <w:r>
        <w:rPr>
          <w:rFonts w:cs="Times New Roman"/>
        </w:rPr>
        <w:t>.</w:t>
      </w:r>
      <w:r w:rsidRPr="002828A9">
        <w:rPr>
          <w:rFonts w:cs="Times New Roman" w:hint="eastAsia"/>
        </w:rPr>
        <w:t>如果</w:t>
      </w:r>
      <w:r w:rsidRPr="00530A11">
        <w:rPr>
          <w:rFonts w:cs="Times New Roman"/>
          <w:bCs/>
        </w:rPr>
        <w:t>系统</w:t>
      </w:r>
      <w:r w:rsidRPr="002828A9">
        <w:rPr>
          <w:rFonts w:cs="Times New Roman" w:hint="eastAsia"/>
        </w:rPr>
        <w:t>仅有</w:t>
      </w:r>
      <w:r w:rsidRPr="00530A11">
        <w:rPr>
          <w:rFonts w:cs="Times New Roman"/>
        </w:rPr>
        <w:t>PM</w:t>
      </w:r>
      <w:r w:rsidRPr="00530A11">
        <w:rPr>
          <w:rFonts w:cs="Times New Roman"/>
          <w:vertAlign w:val="subscript"/>
        </w:rPr>
        <w:t>2.5</w:t>
      </w:r>
      <w:r w:rsidRPr="00530A11">
        <w:rPr>
          <w:rFonts w:cs="Times New Roman"/>
        </w:rPr>
        <w:t>、</w:t>
      </w:r>
      <w:r w:rsidRPr="00530A11">
        <w:rPr>
          <w:rFonts w:cs="Times New Roman"/>
        </w:rPr>
        <w:t>PM</w:t>
      </w:r>
      <w:r w:rsidRPr="00530A11">
        <w:rPr>
          <w:rFonts w:cs="Times New Roman"/>
          <w:vertAlign w:val="subscript"/>
        </w:rPr>
        <w:t>10</w:t>
      </w:r>
      <w:r w:rsidRPr="00530A11">
        <w:rPr>
          <w:rFonts w:cs="Times New Roman"/>
        </w:rPr>
        <w:t>、</w:t>
      </w:r>
      <w:r w:rsidRPr="00530A11">
        <w:rPr>
          <w:rFonts w:cs="Times New Roman"/>
        </w:rPr>
        <w:t>CO</w:t>
      </w:r>
      <w:r w:rsidRPr="00530A11">
        <w:rPr>
          <w:rFonts w:cs="Times New Roman"/>
          <w:vertAlign w:val="subscript"/>
        </w:rPr>
        <w:t>2</w:t>
      </w:r>
      <w:r w:rsidRPr="002828A9">
        <w:rPr>
          <w:rFonts w:cs="Times New Roman" w:hint="eastAsia"/>
        </w:rPr>
        <w:t>定时连续测量、显示、记录，但没有</w:t>
      </w:r>
      <w:r w:rsidRPr="001C05E4">
        <w:rPr>
          <w:rFonts w:cs="Times New Roman" w:hint="eastAsia"/>
          <w:bCs/>
        </w:rPr>
        <w:t>实现实时超标警示，并与通风系统联动</w:t>
      </w:r>
      <w:r w:rsidRPr="002828A9">
        <w:rPr>
          <w:rFonts w:cs="Times New Roman" w:hint="eastAsia"/>
        </w:rPr>
        <w:t>，可以得</w:t>
      </w:r>
      <w:r>
        <w:rPr>
          <w:rFonts w:cs="Times New Roman"/>
        </w:rPr>
        <w:t>3</w:t>
      </w:r>
      <w:r w:rsidRPr="002828A9">
        <w:rPr>
          <w:rFonts w:cs="Times New Roman" w:hint="eastAsia"/>
        </w:rPr>
        <w:t>分。</w:t>
      </w:r>
    </w:p>
    <w:p w14:paraId="38366B5B" w14:textId="262E9A1D" w:rsidR="002828A9" w:rsidRDefault="002828A9" w:rsidP="00932578">
      <w:pPr>
        <w:ind w:firstLine="420"/>
        <w:rPr>
          <w:rFonts w:cs="Times New Roman"/>
          <w:bCs/>
        </w:rPr>
      </w:pPr>
      <w:r>
        <w:rPr>
          <w:rFonts w:cs="Times New Roman"/>
        </w:rPr>
        <w:t>2.</w:t>
      </w:r>
      <w:r>
        <w:rPr>
          <w:rFonts w:cs="Times New Roman" w:hint="eastAsia"/>
        </w:rPr>
        <w:t>如果</w:t>
      </w:r>
      <w:r w:rsidRPr="00530A11">
        <w:rPr>
          <w:rFonts w:cs="Times New Roman"/>
          <w:bCs/>
        </w:rPr>
        <w:t>系统</w:t>
      </w:r>
      <w:r w:rsidRPr="001C05E4">
        <w:rPr>
          <w:rFonts w:cs="Times New Roman" w:hint="eastAsia"/>
          <w:bCs/>
        </w:rPr>
        <w:t>实现实时超标警示，并与通风系统联动</w:t>
      </w:r>
      <w:r>
        <w:rPr>
          <w:rFonts w:cs="Times New Roman" w:hint="eastAsia"/>
          <w:bCs/>
        </w:rPr>
        <w:t>，可以</w:t>
      </w:r>
      <w:r w:rsidR="000333B4">
        <w:rPr>
          <w:rFonts w:cs="Times New Roman" w:hint="eastAsia"/>
          <w:bCs/>
        </w:rPr>
        <w:t>再</w:t>
      </w:r>
      <w:r>
        <w:rPr>
          <w:rFonts w:cs="Times New Roman" w:hint="eastAsia"/>
          <w:bCs/>
        </w:rPr>
        <w:t>得</w:t>
      </w:r>
      <w:r>
        <w:rPr>
          <w:rFonts w:cs="Times New Roman" w:hint="eastAsia"/>
          <w:bCs/>
        </w:rPr>
        <w:t>2</w:t>
      </w:r>
      <w:r>
        <w:rPr>
          <w:rFonts w:cs="Times New Roman" w:hint="eastAsia"/>
          <w:bCs/>
        </w:rPr>
        <w:t>分。</w:t>
      </w:r>
    </w:p>
    <w:p w14:paraId="64DB1E4E" w14:textId="0BB18B42" w:rsidR="00084FC7" w:rsidRPr="002828A9" w:rsidRDefault="00084FC7" w:rsidP="00932578">
      <w:pPr>
        <w:ind w:firstLine="420"/>
        <w:rPr>
          <w:rFonts w:cs="Times New Roman"/>
        </w:rPr>
      </w:pPr>
      <w:r>
        <w:rPr>
          <w:rFonts w:cs="Times New Roman" w:hint="eastAsia"/>
        </w:rPr>
        <w:t>3</w:t>
      </w:r>
      <w:r>
        <w:rPr>
          <w:rFonts w:cs="Times New Roman"/>
        </w:rPr>
        <w:t>.</w:t>
      </w:r>
      <w:r>
        <w:rPr>
          <w:rFonts w:cs="Times New Roman" w:hint="eastAsia"/>
        </w:rPr>
        <w:t>对于监测点的设置位置，应保证能够采集到所监测房间的</w:t>
      </w:r>
      <w:r w:rsidR="005F66E9">
        <w:rPr>
          <w:rFonts w:cs="Times New Roman" w:hint="eastAsia"/>
        </w:rPr>
        <w:t>主要状态，对于明显设置不合理的情况，本条不予得分。</w:t>
      </w:r>
    </w:p>
    <w:p w14:paraId="5A1DD028" w14:textId="77777777" w:rsidR="00715ABB" w:rsidRPr="006C79E9" w:rsidRDefault="00F44390" w:rsidP="006C79E9">
      <w:pPr>
        <w:pStyle w:val="20"/>
      </w:pPr>
      <w:r w:rsidRPr="0081478A">
        <w:t>【评价方法】</w:t>
      </w:r>
    </w:p>
    <w:p w14:paraId="1847E695" w14:textId="77777777" w:rsidR="004F215F" w:rsidRPr="00530A11" w:rsidRDefault="004F215F" w:rsidP="004F215F">
      <w:pPr>
        <w:ind w:firstLine="420"/>
        <w:rPr>
          <w:rFonts w:cs="Times New Roman"/>
        </w:rPr>
      </w:pPr>
      <w:r w:rsidRPr="00530A11">
        <w:rPr>
          <w:rFonts w:cs="Times New Roman"/>
        </w:rPr>
        <w:t>预评价查阅相关设计文件</w:t>
      </w:r>
      <w:r w:rsidRPr="00530A11">
        <w:rPr>
          <w:rFonts w:cs="Times New Roman"/>
        </w:rPr>
        <w:t>(</w:t>
      </w:r>
      <w:r w:rsidRPr="00530A11">
        <w:rPr>
          <w:rFonts w:cs="Times New Roman"/>
        </w:rPr>
        <w:t>监测系统设计图纸、点位图等</w:t>
      </w:r>
      <w:r w:rsidRPr="00530A11">
        <w:rPr>
          <w:rFonts w:cs="Times New Roman"/>
        </w:rPr>
        <w:t>)</w:t>
      </w:r>
      <w:r w:rsidRPr="00530A11">
        <w:rPr>
          <w:rFonts w:cs="Times New Roman"/>
        </w:rPr>
        <w:t>；</w:t>
      </w:r>
    </w:p>
    <w:p w14:paraId="19659FF3" w14:textId="77777777" w:rsidR="004F215F" w:rsidRPr="00530A11" w:rsidRDefault="004F215F" w:rsidP="004F215F">
      <w:pPr>
        <w:ind w:firstLine="420"/>
        <w:rPr>
          <w:rFonts w:cs="Times New Roman"/>
        </w:rPr>
      </w:pPr>
      <w:r w:rsidRPr="00530A11">
        <w:rPr>
          <w:rFonts w:cs="Times New Roman"/>
        </w:rPr>
        <w:t>评价查阅相关竣工图、产品型式检验报告，投入使用的项目尚应查阅管理制度、历史监测数据、运行记录。</w:t>
      </w:r>
    </w:p>
    <w:p w14:paraId="5602363B" w14:textId="77777777" w:rsidR="00715ABB" w:rsidRPr="004F215F" w:rsidRDefault="00715ABB">
      <w:pPr>
        <w:ind w:firstLine="420"/>
        <w:rPr>
          <w:rFonts w:cs="Times New Roman"/>
          <w:szCs w:val="24"/>
        </w:rPr>
      </w:pPr>
    </w:p>
    <w:p w14:paraId="3737C401" w14:textId="77777777" w:rsidR="001C05E4" w:rsidRPr="00530A11" w:rsidRDefault="001C05E4" w:rsidP="001C05E4">
      <w:pPr>
        <w:pStyle w:val="4"/>
        <w:rPr>
          <w:rFonts w:cs="Times New Roman"/>
          <w:bCs w:val="0"/>
        </w:rPr>
      </w:pPr>
      <w:r w:rsidRPr="00530A11">
        <w:rPr>
          <w:rFonts w:cs="Times New Roman"/>
          <w:bCs w:val="0"/>
        </w:rPr>
        <w:t xml:space="preserve">6.2.9 </w:t>
      </w:r>
      <w:r w:rsidRPr="00530A11">
        <w:rPr>
          <w:rFonts w:cs="Times New Roman"/>
          <w:bCs w:val="0"/>
        </w:rPr>
        <w:t>设置用水远传计量系统、水质在线监测系统，评价总分值为</w:t>
      </w:r>
      <w:r w:rsidRPr="00530A11">
        <w:rPr>
          <w:rFonts w:cs="Times New Roman"/>
          <w:bCs w:val="0"/>
        </w:rPr>
        <w:t>7</w:t>
      </w:r>
      <w:r w:rsidRPr="00530A11">
        <w:rPr>
          <w:rFonts w:cs="Times New Roman"/>
          <w:bCs w:val="0"/>
        </w:rPr>
        <w:t>分，并按下列规则分别评分并累计：</w:t>
      </w:r>
    </w:p>
    <w:p w14:paraId="7167382C"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1 </w:t>
      </w:r>
      <w:r w:rsidRPr="001C05E4">
        <w:rPr>
          <w:rFonts w:cs="Times New Roman"/>
          <w:b/>
          <w:bCs/>
          <w:szCs w:val="24"/>
        </w:rPr>
        <w:t>设置用水量远传计量系统，能分类、分级记录、统计分析各种用水情况，得</w:t>
      </w:r>
      <w:r w:rsidRPr="001C05E4">
        <w:rPr>
          <w:rFonts w:cs="Times New Roman"/>
          <w:b/>
          <w:bCs/>
          <w:szCs w:val="24"/>
        </w:rPr>
        <w:t>3</w:t>
      </w:r>
      <w:r w:rsidRPr="001C05E4">
        <w:rPr>
          <w:rFonts w:cs="Times New Roman"/>
          <w:b/>
          <w:bCs/>
          <w:szCs w:val="24"/>
        </w:rPr>
        <w:t>分；</w:t>
      </w:r>
    </w:p>
    <w:p w14:paraId="1FE2D9B6"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2 </w:t>
      </w:r>
      <w:r w:rsidRPr="001C05E4">
        <w:rPr>
          <w:rFonts w:cs="Times New Roman"/>
          <w:b/>
          <w:bCs/>
          <w:szCs w:val="24"/>
        </w:rPr>
        <w:t>利用计量数据进行管网漏损自动检测、分析与整改，管道漏损率低于</w:t>
      </w:r>
      <w:r w:rsidRPr="001C05E4">
        <w:rPr>
          <w:rFonts w:cs="Times New Roman"/>
          <w:b/>
          <w:bCs/>
          <w:szCs w:val="24"/>
        </w:rPr>
        <w:t>5</w:t>
      </w:r>
      <w:r w:rsidRPr="001C05E4">
        <w:rPr>
          <w:rFonts w:cs="Times New Roman"/>
          <w:b/>
          <w:bCs/>
          <w:szCs w:val="24"/>
        </w:rPr>
        <w:t>％，得</w:t>
      </w:r>
      <w:r w:rsidRPr="001C05E4">
        <w:rPr>
          <w:rFonts w:cs="Times New Roman"/>
          <w:b/>
          <w:bCs/>
          <w:szCs w:val="24"/>
        </w:rPr>
        <w:t>2</w:t>
      </w:r>
      <w:r w:rsidRPr="001C05E4">
        <w:rPr>
          <w:rFonts w:cs="Times New Roman"/>
          <w:b/>
          <w:bCs/>
          <w:szCs w:val="24"/>
        </w:rPr>
        <w:t>分；</w:t>
      </w:r>
    </w:p>
    <w:p w14:paraId="5CC6D9FB" w14:textId="77777777" w:rsidR="001C05E4" w:rsidRPr="001C05E4" w:rsidRDefault="001C05E4" w:rsidP="001C05E4">
      <w:pPr>
        <w:snapToGrid w:val="0"/>
        <w:ind w:firstLineChars="100" w:firstLine="211"/>
        <w:jc w:val="left"/>
        <w:rPr>
          <w:rFonts w:cs="Times New Roman"/>
          <w:b/>
          <w:bCs/>
          <w:szCs w:val="24"/>
        </w:rPr>
      </w:pPr>
      <w:r w:rsidRPr="001C05E4">
        <w:rPr>
          <w:rFonts w:cs="Times New Roman"/>
          <w:b/>
          <w:bCs/>
          <w:szCs w:val="24"/>
        </w:rPr>
        <w:t xml:space="preserve">3 </w:t>
      </w:r>
      <w:r w:rsidRPr="001C05E4">
        <w:rPr>
          <w:rFonts w:cs="Times New Roman"/>
          <w:b/>
          <w:bCs/>
          <w:szCs w:val="24"/>
        </w:rPr>
        <w:t>设置水质在线监测系统，监测生活饮用水、管道直饮水、游泳池水、非传统水源、空调冷却水的水质指标，记录并保存水质监测结果，且能随时供用户查询，得</w:t>
      </w:r>
      <w:r w:rsidRPr="001C05E4">
        <w:rPr>
          <w:rFonts w:cs="Times New Roman"/>
          <w:b/>
          <w:bCs/>
          <w:szCs w:val="24"/>
        </w:rPr>
        <w:t>2</w:t>
      </w:r>
      <w:r w:rsidRPr="001C05E4">
        <w:rPr>
          <w:rFonts w:cs="Times New Roman"/>
          <w:b/>
          <w:bCs/>
          <w:szCs w:val="24"/>
        </w:rPr>
        <w:t>分。</w:t>
      </w:r>
    </w:p>
    <w:p w14:paraId="247E8ED1" w14:textId="77777777" w:rsidR="00715ABB" w:rsidRPr="0081478A" w:rsidRDefault="00F44390">
      <w:pPr>
        <w:ind w:firstLineChars="0" w:firstLine="0"/>
        <w:rPr>
          <w:rFonts w:cs="Times New Roman"/>
          <w:b/>
          <w:szCs w:val="24"/>
        </w:rPr>
      </w:pPr>
      <w:r w:rsidRPr="0081478A">
        <w:rPr>
          <w:rFonts w:cs="Times New Roman"/>
          <w:b/>
          <w:szCs w:val="24"/>
        </w:rPr>
        <w:t>【条文说明】</w:t>
      </w:r>
    </w:p>
    <w:p w14:paraId="678AA747" w14:textId="77777777" w:rsidR="00841AA3" w:rsidRPr="00530A11" w:rsidRDefault="00841AA3" w:rsidP="00841AA3">
      <w:pPr>
        <w:ind w:firstLine="420"/>
        <w:rPr>
          <w:szCs w:val="24"/>
        </w:rPr>
      </w:pPr>
      <w:r w:rsidRPr="00530A11">
        <w:lastRenderedPageBreak/>
        <w:t>本条适用于各类民用建筑的预评价、评价。</w:t>
      </w:r>
    </w:p>
    <w:p w14:paraId="4D4037D8" w14:textId="77777777" w:rsidR="00841AA3" w:rsidRPr="00530A11" w:rsidRDefault="00841AA3" w:rsidP="00841AA3">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p>
    <w:p w14:paraId="33AB2645" w14:textId="77777777" w:rsidR="00841AA3" w:rsidRPr="00530A11" w:rsidRDefault="00841AA3" w:rsidP="00841AA3">
      <w:pPr>
        <w:ind w:firstLine="420"/>
        <w:rPr>
          <w:rFonts w:cs="Times New Roman"/>
        </w:rPr>
      </w:pPr>
      <w:r w:rsidRPr="00530A11">
        <w:rPr>
          <w:rFonts w:cs="Times New Roman"/>
        </w:rPr>
        <w:t>第</w:t>
      </w:r>
      <w:r w:rsidRPr="00530A11">
        <w:rPr>
          <w:rFonts w:cs="Times New Roman"/>
        </w:rPr>
        <w:t>1</w:t>
      </w:r>
      <w:r w:rsidRPr="00530A11">
        <w:rPr>
          <w:rFonts w:cs="Times New Roman"/>
        </w:rPr>
        <w:t>款，远传水表相较于传统的普通机械水表增加了信号采集、数据处理、存储及数据上传功能，可以实时的将用水量数据上传给管理系统。采用远传计量系统对各类用水进行计量，可准确掌握项目用水现状，用水总量和各用水单元之间的定量关系，分析用水的合理性，发掘节水潜力，制定出切实可行的节水管理措施和绩效考核办法。</w:t>
      </w:r>
    </w:p>
    <w:p w14:paraId="47E805E0" w14:textId="77777777" w:rsidR="00841AA3" w:rsidRPr="00530A11" w:rsidRDefault="00841AA3" w:rsidP="00841AA3">
      <w:pPr>
        <w:ind w:firstLine="420"/>
        <w:rPr>
          <w:rFonts w:cs="Times New Roman"/>
        </w:rPr>
      </w:pPr>
      <w:r w:rsidRPr="00530A11">
        <w:rPr>
          <w:rFonts w:cs="Times New Roman"/>
        </w:rPr>
        <w:t>第</w:t>
      </w:r>
      <w:r w:rsidRPr="00530A11">
        <w:rPr>
          <w:rFonts w:cs="Times New Roman"/>
        </w:rPr>
        <w:t>2</w:t>
      </w:r>
      <w:r w:rsidRPr="00530A11">
        <w:rPr>
          <w:rFonts w:cs="Times New Roman"/>
        </w:rPr>
        <w:t>款，远传水表应根据水平衡测试的要求分级安装，分级计量水表安装率应达</w:t>
      </w:r>
      <w:r w:rsidRPr="00530A11">
        <w:rPr>
          <w:rFonts w:cs="Times New Roman"/>
        </w:rPr>
        <w:t>100</w:t>
      </w:r>
      <w:r w:rsidRPr="00530A11">
        <w:rPr>
          <w:rFonts w:cs="Times New Roman"/>
        </w:rPr>
        <w:t>％。具体要求为下级水表的设置应覆盖上一级水表的所有出流量，不得出现无计量支路。物业管理方应通过远传水表的数据进行管道漏损情况检测，随时了解管道漏损情况，及时查找漏损点并进行整改。</w:t>
      </w:r>
    </w:p>
    <w:p w14:paraId="2B362FED" w14:textId="77777777" w:rsidR="00841AA3" w:rsidRPr="00530A11" w:rsidRDefault="00841AA3" w:rsidP="00841AA3">
      <w:pPr>
        <w:ind w:firstLine="420"/>
        <w:rPr>
          <w:rFonts w:cs="Times New Roman"/>
        </w:rPr>
      </w:pPr>
      <w:r w:rsidRPr="00530A11">
        <w:rPr>
          <w:rFonts w:cs="Times New Roman"/>
        </w:rPr>
        <w:t>第</w:t>
      </w:r>
      <w:r w:rsidRPr="00530A11">
        <w:rPr>
          <w:rFonts w:cs="Times New Roman"/>
        </w:rPr>
        <w:t>3</w:t>
      </w:r>
      <w:r w:rsidRPr="00530A11">
        <w:rPr>
          <w:rFonts w:cs="Times New Roman"/>
        </w:rPr>
        <w:t>款，建筑中设有的各类供水系统均设置了水质在线监测系统，第</w:t>
      </w:r>
      <w:r w:rsidRPr="00530A11">
        <w:rPr>
          <w:rFonts w:cs="Times New Roman"/>
        </w:rPr>
        <w:t>3</w:t>
      </w:r>
      <w:r w:rsidRPr="00530A11">
        <w:rPr>
          <w:rFonts w:cs="Times New Roman"/>
        </w:rPr>
        <w:t>款方可得分。实现水质在线监测需要设计并配置在线检测仪器设备，检测关键性位置和代表性测点的水质指标。生活饮用水、非传统水源的在线监测项目应包括但不限于浑浊度、余氯、</w:t>
      </w:r>
      <w:r w:rsidRPr="00530A11">
        <w:rPr>
          <w:rFonts w:cs="Times New Roman"/>
        </w:rPr>
        <w:t>pH</w:t>
      </w:r>
      <w:r w:rsidRPr="00530A11">
        <w:rPr>
          <w:rFonts w:cs="Times New Roman"/>
        </w:rPr>
        <w:t>值、电导率（</w:t>
      </w:r>
      <w:r w:rsidRPr="00530A11">
        <w:rPr>
          <w:rFonts w:cs="Times New Roman"/>
        </w:rPr>
        <w:t>TDS</w:t>
      </w:r>
      <w:r w:rsidRPr="00530A11">
        <w:rPr>
          <w:rFonts w:cs="Times New Roman"/>
        </w:rPr>
        <w:t>）等，雨水回用还应监测</w:t>
      </w:r>
      <w:r w:rsidRPr="00530A11">
        <w:rPr>
          <w:rFonts w:cs="Times New Roman"/>
        </w:rPr>
        <w:t>SS</w:t>
      </w:r>
      <w:r w:rsidRPr="00530A11">
        <w:rPr>
          <w:rFonts w:cs="Times New Roman"/>
        </w:rPr>
        <w:t>、</w:t>
      </w:r>
      <w:r w:rsidRPr="00530A11">
        <w:rPr>
          <w:rFonts w:cs="Times New Roman"/>
        </w:rPr>
        <w:t>CODcr</w:t>
      </w:r>
      <w:r w:rsidRPr="00530A11">
        <w:rPr>
          <w:rFonts w:cs="Times New Roman"/>
        </w:rPr>
        <w:t>；管道直饮水的在线监测项目应包括但不限于浑浊度、</w:t>
      </w:r>
      <w:r w:rsidRPr="00530A11">
        <w:rPr>
          <w:rFonts w:cs="Times New Roman"/>
        </w:rPr>
        <w:t>pH</w:t>
      </w:r>
      <w:r w:rsidRPr="00530A11">
        <w:rPr>
          <w:rFonts w:cs="Times New Roman"/>
        </w:rPr>
        <w:t>值、余氯或臭氧（视采用的消毒技术而定）等指标，终端直饮水可采用消毒器、滤料或膜芯（视采用的净化技术而定）等耗材更换提醒报警功能代替水质在线监测；游泳池水的在线监测项目应包括但不限于</w:t>
      </w:r>
      <w:r w:rsidRPr="00530A11">
        <w:rPr>
          <w:rFonts w:cs="Times New Roman"/>
        </w:rPr>
        <w:t>pH</w:t>
      </w:r>
      <w:r w:rsidRPr="00530A11">
        <w:rPr>
          <w:rFonts w:cs="Times New Roman"/>
        </w:rPr>
        <w:t>值、氧化还原电位、浊度、水温、余氯或臭氧浓度（视采用的消毒技术而定）等指标；空调冷却水的在线监测项目应包括但不限于</w:t>
      </w:r>
      <w:r w:rsidRPr="00530A11">
        <w:rPr>
          <w:rFonts w:cs="Times New Roman"/>
        </w:rPr>
        <w:t>pH</w:t>
      </w:r>
      <w:r w:rsidRPr="00530A11">
        <w:rPr>
          <w:rFonts w:cs="Times New Roman"/>
        </w:rPr>
        <w:t>值（</w:t>
      </w:r>
      <w:r w:rsidRPr="00530A11">
        <w:rPr>
          <w:rFonts w:cs="Times New Roman"/>
        </w:rPr>
        <w:t>25℃</w:t>
      </w:r>
      <w:r w:rsidRPr="00530A11">
        <w:rPr>
          <w:rFonts w:cs="Times New Roman"/>
        </w:rPr>
        <w:t>）、电导率（</w:t>
      </w:r>
      <w:r w:rsidRPr="00530A11">
        <w:rPr>
          <w:rFonts w:cs="Times New Roman"/>
        </w:rPr>
        <w:t>25℃</w:t>
      </w:r>
      <w:r w:rsidRPr="00530A11">
        <w:rPr>
          <w:rFonts w:cs="Times New Roman"/>
        </w:rPr>
        <w:t>）等指标。未列及的其他供水系统的水质在线监测项目，均应满足相应供水系统及水质标准规范的要求。水质监测的关键性位置和代表性测点包括：水源、水处理设施出水及最不利用水点。监测点位的数量及及位置也应满足相应供水系统及水质标准规范的要求。水质在线监测系统应有记录和报警功能，其存储介质和数据库应能记录连续一年以上的运行数据，且能随时供用户查询。管理制度中应有用户查询机制管理办法。</w:t>
      </w:r>
    </w:p>
    <w:p w14:paraId="44685337" w14:textId="77777777" w:rsidR="00011E42" w:rsidRPr="0081478A" w:rsidRDefault="00011E42" w:rsidP="00011E42">
      <w:pPr>
        <w:pStyle w:val="20"/>
        <w:rPr>
          <w:rFonts w:ascii="Times New Roman" w:hAnsi="Times New Roman" w:cs="Times New Roman"/>
          <w:color w:val="auto"/>
        </w:rPr>
      </w:pPr>
      <w:r w:rsidRPr="0081478A">
        <w:rPr>
          <w:rFonts w:ascii="Times New Roman" w:hAnsi="Times New Roman" w:cs="Times New Roman"/>
          <w:color w:val="auto"/>
        </w:rPr>
        <w:t>【评价要点】</w:t>
      </w:r>
    </w:p>
    <w:p w14:paraId="0CAF7C6B" w14:textId="5A5340FB" w:rsidR="00DD4B62" w:rsidRDefault="00582175" w:rsidP="00DD4B62">
      <w:pPr>
        <w:ind w:firstLine="420"/>
      </w:pPr>
      <w:r>
        <w:rPr>
          <w:rFonts w:hint="eastAsia"/>
        </w:rPr>
        <w:t>1</w:t>
      </w:r>
      <w:r>
        <w:t>.</w:t>
      </w:r>
      <w:r w:rsidRPr="00582175">
        <w:rPr>
          <w:rFonts w:hint="eastAsia"/>
        </w:rPr>
        <w:t>根据水平衡测试的要求安装</w:t>
      </w:r>
      <w:r w:rsidR="00DD4B62" w:rsidRPr="00DD4B62">
        <w:rPr>
          <w:rFonts w:hint="eastAsia"/>
        </w:rPr>
        <w:t>用水量远传计量系统</w:t>
      </w:r>
      <w:r w:rsidR="00DD4B62">
        <w:rPr>
          <w:rFonts w:hint="eastAsia"/>
        </w:rPr>
        <w:t>。</w:t>
      </w:r>
    </w:p>
    <w:p w14:paraId="64A68981" w14:textId="46F0BBE5" w:rsidR="00DD4B62" w:rsidRDefault="00DD4B62" w:rsidP="00DD4B62">
      <w:pPr>
        <w:ind w:firstLine="420"/>
      </w:pPr>
      <w:r>
        <w:t>2.</w:t>
      </w:r>
      <w:r w:rsidRPr="00DD4B62">
        <w:rPr>
          <w:rFonts w:hint="eastAsia"/>
        </w:rPr>
        <w:t>物业管理方应按水平衡测试要求进行运行管理，记录实测用水计量，计算管道漏损率和原因分析，并提供采取整改措施的落实情况报告</w:t>
      </w:r>
      <w:r>
        <w:rPr>
          <w:rFonts w:hint="eastAsia"/>
        </w:rPr>
        <w:t>。</w:t>
      </w:r>
    </w:p>
    <w:p w14:paraId="307B80D4" w14:textId="59F79E06" w:rsidR="00460C3D" w:rsidRPr="00DD4B62" w:rsidRDefault="00460C3D" w:rsidP="00460C3D">
      <w:pPr>
        <w:ind w:firstLine="420"/>
      </w:pPr>
      <w:r>
        <w:rPr>
          <w:rFonts w:hint="eastAsia"/>
        </w:rPr>
        <w:t>3</w:t>
      </w:r>
      <w:r>
        <w:t>.</w:t>
      </w:r>
      <w:r w:rsidRPr="0081478A">
        <w:rPr>
          <w:rFonts w:cs="Times New Roman"/>
        </w:rPr>
        <w:t>建筑中设有的各类供水系统均设置了水质在线监测系统</w:t>
      </w:r>
      <w:r>
        <w:rPr>
          <w:rFonts w:cs="Times New Roman" w:hint="eastAsia"/>
        </w:rPr>
        <w:t>，</w:t>
      </w:r>
      <w:r w:rsidRPr="0081478A">
        <w:rPr>
          <w:rFonts w:cs="Times New Roman"/>
        </w:rPr>
        <w:t>存储介质和数据库应能记录连续一年以上的运行数据，且能随时供用户查询</w:t>
      </w:r>
      <w:r>
        <w:rPr>
          <w:rFonts w:cs="Times New Roman" w:hint="eastAsia"/>
        </w:rPr>
        <w:t>。</w:t>
      </w:r>
    </w:p>
    <w:p w14:paraId="3DF3B2FE" w14:textId="4BBE16E0" w:rsidR="00715ABB" w:rsidRPr="0081478A" w:rsidRDefault="00F44390" w:rsidP="00DD4B62">
      <w:pPr>
        <w:pStyle w:val="20"/>
        <w:rPr>
          <w:rFonts w:ascii="Times New Roman" w:hAnsi="Times New Roman" w:cs="Times New Roman"/>
          <w:color w:val="auto"/>
        </w:rPr>
      </w:pPr>
      <w:r w:rsidRPr="0081478A">
        <w:rPr>
          <w:rFonts w:ascii="Times New Roman" w:hAnsi="Times New Roman" w:cs="Times New Roman"/>
          <w:color w:val="auto"/>
        </w:rPr>
        <w:t>【评价方法】</w:t>
      </w:r>
    </w:p>
    <w:p w14:paraId="0BBF5A98" w14:textId="77777777" w:rsidR="004F215F" w:rsidRPr="00530A11" w:rsidRDefault="004F215F" w:rsidP="004F215F">
      <w:pPr>
        <w:ind w:firstLine="420"/>
        <w:rPr>
          <w:rFonts w:cs="Times New Roman"/>
        </w:rPr>
      </w:pPr>
      <w:r w:rsidRPr="00530A11">
        <w:rPr>
          <w:rFonts w:cs="Times New Roman"/>
        </w:rPr>
        <w:lastRenderedPageBreak/>
        <w:t>预评价查阅包含供水系统远传计量设计图纸、计量点位说明或示意图、水质监测系统设计图纸、监测点位说明或示意图等在内的设计文件。</w:t>
      </w:r>
    </w:p>
    <w:p w14:paraId="470329B2" w14:textId="77777777" w:rsidR="004F215F" w:rsidRPr="00530A11" w:rsidRDefault="004F215F" w:rsidP="004F215F">
      <w:pPr>
        <w:ind w:firstLine="420"/>
        <w:rPr>
          <w:rFonts w:cs="Times New Roman"/>
        </w:rPr>
      </w:pPr>
      <w:r w:rsidRPr="00530A11">
        <w:rPr>
          <w:rFonts w:cs="Times New Roman"/>
        </w:rPr>
        <w:t>评价除查阅预评价所要求内容外，还查阅监测与发布系统说明，远传水表或水质监测设备的型式检验报告。已投入使用的项目，尚应查阅用水量远传计量及水质在线监测的管理制度、历史监测数据、运行记录，用水量分类、分项计量记录及统计分析报告，管网漏损自动检测分析记录和整改报告。</w:t>
      </w:r>
    </w:p>
    <w:p w14:paraId="51345C94" w14:textId="77777777" w:rsidR="00715ABB" w:rsidRPr="004F215F" w:rsidRDefault="00715ABB" w:rsidP="00E71ADE">
      <w:pPr>
        <w:snapToGrid w:val="0"/>
        <w:ind w:firstLineChars="0" w:firstLine="0"/>
        <w:jc w:val="left"/>
        <w:rPr>
          <w:rFonts w:cs="Times New Roman"/>
          <w:szCs w:val="24"/>
        </w:rPr>
      </w:pPr>
    </w:p>
    <w:p w14:paraId="054EB431" w14:textId="77777777" w:rsidR="001C05E4" w:rsidRPr="00530A11" w:rsidRDefault="001C05E4" w:rsidP="001C05E4">
      <w:pPr>
        <w:pStyle w:val="4"/>
        <w:rPr>
          <w:rFonts w:cs="Times New Roman"/>
          <w:bCs w:val="0"/>
        </w:rPr>
      </w:pPr>
      <w:r w:rsidRPr="00530A11">
        <w:rPr>
          <w:rFonts w:cs="Times New Roman"/>
          <w:bCs w:val="0"/>
        </w:rPr>
        <w:t xml:space="preserve">6.2.10 </w:t>
      </w:r>
      <w:r w:rsidRPr="00530A11">
        <w:rPr>
          <w:rFonts w:cs="Times New Roman"/>
          <w:bCs w:val="0"/>
        </w:rPr>
        <w:t>具有智能化服务系统，评价总分值为</w:t>
      </w:r>
      <w:r w:rsidRPr="00530A11">
        <w:rPr>
          <w:rFonts w:cs="Times New Roman"/>
          <w:bCs w:val="0"/>
        </w:rPr>
        <w:t>9</w:t>
      </w:r>
      <w:r w:rsidRPr="00530A11">
        <w:rPr>
          <w:rFonts w:cs="Times New Roman"/>
          <w:bCs w:val="0"/>
        </w:rPr>
        <w:t>分，按下列规则分别评分并累计：</w:t>
      </w:r>
    </w:p>
    <w:p w14:paraId="3763634A"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1 </w:t>
      </w:r>
      <w:r w:rsidRPr="001C05E4">
        <w:rPr>
          <w:rFonts w:ascii="Times New Roman" w:hAnsi="Times New Roman" w:cs="Times New Roman" w:hint="eastAsia"/>
          <w:bCs/>
          <w:color w:val="auto"/>
        </w:rPr>
        <w:t>具有智能家居、照明智能控制、安全报警、环境监测、建筑设备控制、智能化停车管理及物业管理平台等至少</w:t>
      </w:r>
      <w:r w:rsidRPr="001C05E4">
        <w:rPr>
          <w:rFonts w:ascii="Times New Roman" w:hAnsi="Times New Roman" w:cs="Times New Roman"/>
          <w:bCs/>
          <w:color w:val="auto"/>
        </w:rPr>
        <w:t>4</w:t>
      </w:r>
      <w:r w:rsidRPr="001C05E4">
        <w:rPr>
          <w:rFonts w:ascii="Times New Roman" w:hAnsi="Times New Roman" w:cs="Times New Roman" w:hint="eastAsia"/>
          <w:bCs/>
          <w:color w:val="auto"/>
        </w:rPr>
        <w:t>种类型的服务功能，得</w:t>
      </w:r>
      <w:r w:rsidRPr="001C05E4">
        <w:rPr>
          <w:rFonts w:ascii="Times New Roman" w:hAnsi="Times New Roman" w:cs="Times New Roman"/>
          <w:bCs/>
          <w:color w:val="auto"/>
        </w:rPr>
        <w:t>3</w:t>
      </w:r>
      <w:r w:rsidRPr="001C05E4">
        <w:rPr>
          <w:rFonts w:ascii="Times New Roman" w:hAnsi="Times New Roman" w:cs="Times New Roman" w:hint="eastAsia"/>
          <w:bCs/>
          <w:color w:val="auto"/>
        </w:rPr>
        <w:t>分；</w:t>
      </w:r>
    </w:p>
    <w:p w14:paraId="7AE4DD27"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hint="eastAsia"/>
          <w:bCs/>
          <w:color w:val="auto"/>
        </w:rPr>
        <w:t>具有智能化系统集成动态管理平台，得</w:t>
      </w:r>
      <w:r w:rsidRPr="001C05E4">
        <w:rPr>
          <w:rFonts w:ascii="Times New Roman" w:hAnsi="Times New Roman" w:cs="Times New Roman"/>
          <w:bCs/>
          <w:color w:val="auto"/>
        </w:rPr>
        <w:t>3</w:t>
      </w:r>
      <w:r w:rsidRPr="001C05E4">
        <w:rPr>
          <w:rFonts w:ascii="Times New Roman" w:hAnsi="Times New Roman" w:cs="Times New Roman" w:hint="eastAsia"/>
          <w:bCs/>
          <w:color w:val="auto"/>
        </w:rPr>
        <w:t>分；</w:t>
      </w:r>
    </w:p>
    <w:p w14:paraId="3905281D"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3 </w:t>
      </w:r>
      <w:r w:rsidRPr="001C05E4">
        <w:rPr>
          <w:rFonts w:ascii="Times New Roman" w:hAnsi="Times New Roman" w:cs="Times New Roman"/>
          <w:bCs/>
          <w:color w:val="auto"/>
        </w:rPr>
        <w:t>具有接入智慧城市</w:t>
      </w:r>
      <w:r w:rsidRPr="001C05E4">
        <w:rPr>
          <w:rFonts w:ascii="Times New Roman" w:hAnsi="Times New Roman" w:cs="Times New Roman"/>
          <w:bCs/>
          <w:color w:val="auto"/>
        </w:rPr>
        <w:t>(</w:t>
      </w:r>
      <w:r w:rsidRPr="001C05E4">
        <w:rPr>
          <w:rFonts w:ascii="Times New Roman" w:hAnsi="Times New Roman" w:cs="Times New Roman"/>
          <w:bCs/>
          <w:color w:val="auto"/>
        </w:rPr>
        <w:t>城区、社区</w:t>
      </w:r>
      <w:r w:rsidRPr="001C05E4">
        <w:rPr>
          <w:rFonts w:ascii="Times New Roman" w:hAnsi="Times New Roman" w:cs="Times New Roman"/>
          <w:bCs/>
          <w:color w:val="auto"/>
        </w:rPr>
        <w:t>)</w:t>
      </w:r>
      <w:r w:rsidRPr="001C05E4">
        <w:rPr>
          <w:rFonts w:ascii="Times New Roman" w:hAnsi="Times New Roman" w:cs="Times New Roman"/>
          <w:bCs/>
          <w:color w:val="auto"/>
        </w:rPr>
        <w:t>的功能，得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671AF58D" w14:textId="77777777" w:rsidR="00715ABB" w:rsidRPr="0081478A" w:rsidRDefault="00F44390">
      <w:pPr>
        <w:ind w:firstLineChars="0" w:firstLine="0"/>
        <w:rPr>
          <w:rFonts w:cs="Times New Roman"/>
          <w:b/>
          <w:szCs w:val="24"/>
        </w:rPr>
      </w:pPr>
      <w:r w:rsidRPr="0081478A">
        <w:rPr>
          <w:rFonts w:cs="Times New Roman"/>
          <w:b/>
          <w:szCs w:val="24"/>
        </w:rPr>
        <w:t>【条文说明】</w:t>
      </w:r>
    </w:p>
    <w:p w14:paraId="5A90D42B" w14:textId="77777777" w:rsidR="00841AA3" w:rsidRPr="00530A11" w:rsidRDefault="00841AA3" w:rsidP="00841AA3">
      <w:pPr>
        <w:ind w:firstLine="420"/>
        <w:rPr>
          <w:szCs w:val="24"/>
        </w:rPr>
      </w:pPr>
      <w:r w:rsidRPr="00530A11">
        <w:t>本条适用于各类民用建筑的预评价、评价。</w:t>
      </w:r>
    </w:p>
    <w:p w14:paraId="012865A5" w14:textId="77777777" w:rsidR="00841AA3" w:rsidRPr="00530A11" w:rsidRDefault="00841AA3" w:rsidP="00841AA3">
      <w:pPr>
        <w:ind w:firstLine="420"/>
        <w:rPr>
          <w:rFonts w:eastAsia="Times New Roman" w:cs="Times New Roman"/>
        </w:rPr>
      </w:pPr>
      <w:r w:rsidRPr="00530A11">
        <w:rPr>
          <w:rFonts w:cs="Times New Roman"/>
        </w:rPr>
        <w:t>本条沿引国家《绿色建筑评价标准》</w:t>
      </w:r>
      <w:r w:rsidRPr="00530A11">
        <w:rPr>
          <w:rFonts w:cs="Times New Roman"/>
        </w:rPr>
        <w:t>GB/T 50378-2019</w:t>
      </w:r>
      <w:r w:rsidRPr="00530A11">
        <w:rPr>
          <w:rFonts w:cs="Times New Roman" w:hint="eastAsia"/>
        </w:rPr>
        <w:t>，并对条文和条文说明进行了局部修改和补充。</w:t>
      </w:r>
      <w:r w:rsidRPr="00530A11">
        <w:rPr>
          <w:rFonts w:cs="Times New Roman"/>
        </w:rPr>
        <w:t>第</w:t>
      </w:r>
      <w:r w:rsidRPr="00530A11">
        <w:rPr>
          <w:rFonts w:eastAsia="Times New Roman" w:cs="Times New Roman"/>
        </w:rPr>
        <w:t>1</w:t>
      </w:r>
      <w:r w:rsidRPr="00530A11">
        <w:rPr>
          <w:rFonts w:cs="Times New Roman"/>
        </w:rPr>
        <w:t>款，智能化服务系统包括智能家居监控服务系统或智能环境设备监控服务系统，具体包括家电控制、照明控制、安全报警、环境监测、建筑设备控制、工作生活服务</w:t>
      </w:r>
      <w:r w:rsidRPr="00530A11">
        <w:rPr>
          <w:rFonts w:eastAsia="Times New Roman" w:cs="Times New Roman"/>
        </w:rPr>
        <w:t>(</w:t>
      </w:r>
      <w:r w:rsidRPr="00530A11">
        <w:rPr>
          <w:rFonts w:cs="Times New Roman"/>
        </w:rPr>
        <w:t>如养老服务预约、会议预约</w:t>
      </w:r>
      <w:r w:rsidRPr="00530A11">
        <w:rPr>
          <w:rFonts w:eastAsia="Times New Roman" w:cs="Times New Roman"/>
        </w:rPr>
        <w:t>)</w:t>
      </w:r>
      <w:r w:rsidRPr="00530A11">
        <w:rPr>
          <w:rFonts w:cs="Times New Roman"/>
        </w:rPr>
        <w:t>等系统与平台。控制方式包括电话或网络远程控制、室内外遥控、红外转发以及可编程定时控制等。</w:t>
      </w:r>
    </w:p>
    <w:p w14:paraId="05D00D43" w14:textId="77777777" w:rsidR="00841AA3" w:rsidRPr="00530A11" w:rsidRDefault="00841AA3" w:rsidP="00841AA3">
      <w:pPr>
        <w:ind w:firstLine="420"/>
        <w:rPr>
          <w:rFonts w:eastAsia="Times New Roman" w:cs="Times New Roman"/>
        </w:rPr>
      </w:pPr>
      <w:r w:rsidRPr="00530A11">
        <w:rPr>
          <w:rFonts w:cs="Times New Roman"/>
        </w:rPr>
        <w:t>智能家居监控系统或智能环境设备监控系统是以相对独立的使用空间为单元，利用综合布线技术、网络通信技术、自动控制技术、音视频技术等将家居生活或工作事务有关的设施进行集成，构建高效的建筑设施与日常事务的管理系统，提升家居和工作的安全性、便利性、舒适性、艺术性，实现更加便捷适用的生活和工作环境，提高用户对绿色建筑的感知度。</w:t>
      </w:r>
    </w:p>
    <w:p w14:paraId="19997E2A"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2</w:t>
      </w:r>
      <w:r w:rsidRPr="00530A11">
        <w:rPr>
          <w:rFonts w:cs="Times New Roman"/>
        </w:rPr>
        <w:t>款，智能化服务系统具备远程监控功能，使用者可通过以太网、移动数据网络等，实现对建筑室内物理环境状况、设备设施状态的监测，以及对智能家居或环境设备系统的控制、对工作生活服务平台的访问操作，从而可以有效提升服务便捷性。</w:t>
      </w:r>
    </w:p>
    <w:p w14:paraId="3089C06C" w14:textId="77777777" w:rsidR="00841AA3" w:rsidRPr="00530A11" w:rsidRDefault="00841AA3" w:rsidP="00841AA3">
      <w:pPr>
        <w:ind w:firstLine="420"/>
        <w:rPr>
          <w:rFonts w:cs="Times New Roman"/>
        </w:rPr>
      </w:pPr>
      <w:r w:rsidRPr="00530A11">
        <w:rPr>
          <w:rFonts w:cs="Times New Roman"/>
        </w:rPr>
        <w:t>第</w:t>
      </w:r>
      <w:r w:rsidRPr="00530A11">
        <w:rPr>
          <w:rFonts w:eastAsia="Times New Roman" w:cs="Times New Roman"/>
        </w:rPr>
        <w:t>3</w:t>
      </w:r>
      <w:r w:rsidRPr="00530A11">
        <w:rPr>
          <w:rFonts w:cs="Times New Roman"/>
        </w:rPr>
        <w:t>款，智能化服务系统如果仅由物业管理单位来管理和维护的话，其信息更新与扩充的速度和范围一般会受到局限，如果智能化服务平台能够与所在的智慧城市</w:t>
      </w:r>
      <w:r w:rsidRPr="00530A11">
        <w:rPr>
          <w:rFonts w:eastAsia="Times New Roman" w:cs="Times New Roman"/>
        </w:rPr>
        <w:t>(</w:t>
      </w:r>
      <w:r w:rsidRPr="00530A11">
        <w:rPr>
          <w:rFonts w:cs="Times New Roman"/>
        </w:rPr>
        <w:t>城区、社区</w:t>
      </w:r>
      <w:r w:rsidRPr="00530A11">
        <w:rPr>
          <w:rFonts w:eastAsia="Times New Roman" w:cs="Times New Roman"/>
        </w:rPr>
        <w:t>)</w:t>
      </w:r>
      <w:r w:rsidRPr="00530A11">
        <w:rPr>
          <w:rFonts w:cs="Times New Roman"/>
        </w:rPr>
        <w:t>平台对接，则可有效实现信息和数据的共享与互通，实现相关各方的互惠互利。智慧城市</w:t>
      </w:r>
      <w:r w:rsidRPr="00530A11">
        <w:rPr>
          <w:rFonts w:eastAsia="Times New Roman" w:cs="Times New Roman"/>
        </w:rPr>
        <w:t>(</w:t>
      </w:r>
      <w:r w:rsidRPr="00530A11">
        <w:rPr>
          <w:rFonts w:cs="Times New Roman"/>
        </w:rPr>
        <w:t>城区、社区</w:t>
      </w:r>
      <w:r w:rsidRPr="00530A11">
        <w:rPr>
          <w:rFonts w:eastAsia="Times New Roman" w:cs="Times New Roman"/>
        </w:rPr>
        <w:t>)</w:t>
      </w:r>
      <w:r w:rsidRPr="00530A11">
        <w:rPr>
          <w:rFonts w:cs="Times New Roman"/>
        </w:rPr>
        <w:t>的智能化服务系统的基本项目一般包括智慧物业管理、电子商务服务、智慧养老</w:t>
      </w:r>
      <w:r w:rsidRPr="00530A11">
        <w:rPr>
          <w:rFonts w:cs="Times New Roman"/>
        </w:rPr>
        <w:lastRenderedPageBreak/>
        <w:t>服务、智慧家居、智慧医院等。</w:t>
      </w:r>
    </w:p>
    <w:p w14:paraId="47EDDE69" w14:textId="77777777" w:rsidR="00011E42" w:rsidRPr="0081478A" w:rsidRDefault="00011E42" w:rsidP="00011E42">
      <w:pPr>
        <w:pStyle w:val="20"/>
        <w:rPr>
          <w:rFonts w:ascii="Times New Roman" w:hAnsi="Times New Roman" w:cs="Times New Roman"/>
          <w:color w:val="auto"/>
        </w:rPr>
      </w:pPr>
      <w:r w:rsidRPr="0081478A">
        <w:rPr>
          <w:rFonts w:ascii="Times New Roman" w:hAnsi="Times New Roman" w:cs="Times New Roman"/>
          <w:color w:val="auto"/>
        </w:rPr>
        <w:t>【评价要点】</w:t>
      </w:r>
    </w:p>
    <w:p w14:paraId="04123923" w14:textId="77777777" w:rsidR="00FA4B33" w:rsidRDefault="004867F0" w:rsidP="00FA4B33">
      <w:pPr>
        <w:ind w:firstLine="420"/>
        <w:rPr>
          <w:rFonts w:cs="Times New Roman"/>
        </w:rPr>
      </w:pPr>
      <w:r>
        <w:rPr>
          <w:rFonts w:cs="Times New Roman" w:hint="eastAsia"/>
        </w:rPr>
        <w:t>1</w:t>
      </w:r>
      <w:r>
        <w:rPr>
          <w:rFonts w:cs="Times New Roman"/>
        </w:rPr>
        <w:t>.</w:t>
      </w:r>
      <w:r w:rsidRPr="004867F0">
        <w:rPr>
          <w:rFonts w:cs="Times New Roman" w:hint="eastAsia"/>
        </w:rPr>
        <w:t>预评价重点审查智能化</w:t>
      </w:r>
      <w:r w:rsidRPr="004867F0">
        <w:rPr>
          <w:rFonts w:cs="Times New Roman"/>
        </w:rPr>
        <w:t>服务系统</w:t>
      </w:r>
      <w:r w:rsidRPr="004867F0">
        <w:rPr>
          <w:rFonts w:cs="Times New Roman" w:hint="eastAsia"/>
        </w:rPr>
        <w:t>设计方案、</w:t>
      </w:r>
      <w:r w:rsidRPr="004867F0">
        <w:rPr>
          <w:rFonts w:cs="Times New Roman"/>
        </w:rPr>
        <w:t>相关智能化设计图纸、装修图纸</w:t>
      </w:r>
      <w:r w:rsidR="00FA4B33">
        <w:rPr>
          <w:rFonts w:cs="Times New Roman" w:hint="eastAsia"/>
        </w:rPr>
        <w:t>。</w:t>
      </w:r>
    </w:p>
    <w:p w14:paraId="5B80302D" w14:textId="2A34E98C" w:rsidR="004867F0" w:rsidRDefault="004867F0" w:rsidP="00FA4B33">
      <w:pPr>
        <w:ind w:firstLine="420"/>
        <w:rPr>
          <w:rFonts w:cs="Times New Roman"/>
        </w:rPr>
      </w:pPr>
      <w:r>
        <w:rPr>
          <w:rFonts w:cs="Times New Roman" w:hint="eastAsia"/>
        </w:rPr>
        <w:t>2</w:t>
      </w:r>
      <w:r>
        <w:rPr>
          <w:rFonts w:cs="Times New Roman"/>
        </w:rPr>
        <w:t>.</w:t>
      </w:r>
      <w:r>
        <w:rPr>
          <w:rFonts w:hint="eastAsia"/>
        </w:rPr>
        <w:t>评价应在现场查看</w:t>
      </w:r>
      <w:r w:rsidRPr="004867F0">
        <w:rPr>
          <w:rFonts w:cs="Times New Roman" w:hint="eastAsia"/>
        </w:rPr>
        <w:t>智能化</w:t>
      </w:r>
      <w:r w:rsidRPr="004867F0">
        <w:rPr>
          <w:rFonts w:cs="Times New Roman"/>
        </w:rPr>
        <w:t>服务系统</w:t>
      </w:r>
      <w:r>
        <w:rPr>
          <w:rFonts w:cs="Times New Roman" w:hint="eastAsia"/>
        </w:rPr>
        <w:t>的运行情况</w:t>
      </w:r>
      <w:r w:rsidR="00FA4B33">
        <w:rPr>
          <w:rFonts w:cs="Times New Roman" w:hint="eastAsia"/>
        </w:rPr>
        <w:t>及运行记录。</w:t>
      </w:r>
    </w:p>
    <w:p w14:paraId="57C8B79F" w14:textId="6E87C2D0" w:rsidR="00FA4B33" w:rsidRPr="00FA4B33" w:rsidRDefault="00FA4B33" w:rsidP="00FA4B33">
      <w:pPr>
        <w:ind w:firstLine="420"/>
        <w:rPr>
          <w:rFonts w:cs="Times New Roman"/>
        </w:rPr>
      </w:pPr>
      <w:r>
        <w:rPr>
          <w:rFonts w:cs="Times New Roman" w:hint="eastAsia"/>
        </w:rPr>
        <w:t>3</w:t>
      </w:r>
      <w:r>
        <w:rPr>
          <w:rFonts w:cs="Times New Roman"/>
        </w:rPr>
        <w:t>.</w:t>
      </w:r>
      <w:r>
        <w:rPr>
          <w:rFonts w:hint="eastAsia"/>
        </w:rPr>
        <w:t>评价应查看</w:t>
      </w:r>
      <w:r w:rsidRPr="004867F0">
        <w:rPr>
          <w:rFonts w:cs="Times New Roman" w:hint="eastAsia"/>
        </w:rPr>
        <w:t>智能化</w:t>
      </w:r>
      <w:r w:rsidRPr="004867F0">
        <w:rPr>
          <w:rFonts w:cs="Times New Roman"/>
        </w:rPr>
        <w:t>服务系统</w:t>
      </w:r>
      <w:r>
        <w:rPr>
          <w:rFonts w:cs="Times New Roman" w:hint="eastAsia"/>
        </w:rPr>
        <w:t>是否</w:t>
      </w:r>
      <w:r w:rsidRPr="00FA4B33">
        <w:rPr>
          <w:rFonts w:cs="Times New Roman" w:hint="eastAsia"/>
        </w:rPr>
        <w:t>所在的智慧城市</w:t>
      </w:r>
      <w:r w:rsidRPr="00FA4B33">
        <w:rPr>
          <w:rFonts w:cs="Times New Roman" w:hint="eastAsia"/>
        </w:rPr>
        <w:t>(</w:t>
      </w:r>
      <w:r w:rsidRPr="00FA4B33">
        <w:rPr>
          <w:rFonts w:cs="Times New Roman" w:hint="eastAsia"/>
        </w:rPr>
        <w:t>城区、社区</w:t>
      </w:r>
      <w:r w:rsidRPr="00FA4B33">
        <w:rPr>
          <w:rFonts w:cs="Times New Roman" w:hint="eastAsia"/>
        </w:rPr>
        <w:t>)</w:t>
      </w:r>
      <w:r w:rsidRPr="00FA4B33">
        <w:rPr>
          <w:rFonts w:cs="Times New Roman" w:hint="eastAsia"/>
        </w:rPr>
        <w:t>平台对接</w:t>
      </w:r>
      <w:r>
        <w:rPr>
          <w:rFonts w:cs="Times New Roman" w:hint="eastAsia"/>
        </w:rPr>
        <w:t>，智慧城市平台</w:t>
      </w:r>
      <w:r w:rsidRPr="00FA4B33">
        <w:rPr>
          <w:rFonts w:cs="Times New Roman" w:hint="eastAsia"/>
        </w:rPr>
        <w:t>应实现对各智能化系统进行综合管理</w:t>
      </w:r>
      <w:r>
        <w:rPr>
          <w:rFonts w:cs="Times New Roman" w:hint="eastAsia"/>
        </w:rPr>
        <w:t>，并</w:t>
      </w:r>
      <w:r w:rsidRPr="00FA4B33">
        <w:rPr>
          <w:rFonts w:cs="Times New Roman" w:hint="eastAsia"/>
        </w:rPr>
        <w:t>应符合下列要求。</w:t>
      </w:r>
    </w:p>
    <w:p w14:paraId="4A392E38" w14:textId="77777777" w:rsidR="00FA4B33" w:rsidRPr="00FA4B33" w:rsidRDefault="00FA4B33" w:rsidP="00FA4B33">
      <w:pPr>
        <w:ind w:firstLine="420"/>
        <w:rPr>
          <w:rFonts w:cs="Times New Roman"/>
        </w:rPr>
      </w:pPr>
      <w:r w:rsidRPr="00FA4B33">
        <w:rPr>
          <w:rFonts w:cs="Times New Roman" w:hint="eastAsia"/>
        </w:rPr>
        <w:t>①</w:t>
      </w:r>
      <w:r w:rsidRPr="00FA4B33">
        <w:rPr>
          <w:rFonts w:cs="Times New Roman" w:hint="eastAsia"/>
        </w:rPr>
        <w:t xml:space="preserve"> </w:t>
      </w:r>
      <w:r w:rsidRPr="00FA4B33">
        <w:rPr>
          <w:rFonts w:cs="Times New Roman" w:hint="eastAsia"/>
        </w:rPr>
        <w:t>应具有对各智能化系统进行数据通信、信息采集和综合处理的能力。</w:t>
      </w:r>
    </w:p>
    <w:p w14:paraId="0EAF03EC" w14:textId="77777777" w:rsidR="00FA4B33" w:rsidRPr="00FA4B33" w:rsidRDefault="00FA4B33" w:rsidP="00FA4B33">
      <w:pPr>
        <w:ind w:firstLine="420"/>
        <w:rPr>
          <w:rFonts w:cs="Times New Roman"/>
        </w:rPr>
      </w:pPr>
      <w:r w:rsidRPr="00FA4B33">
        <w:rPr>
          <w:rFonts w:cs="Times New Roman" w:hint="eastAsia"/>
        </w:rPr>
        <w:t>②</w:t>
      </w:r>
      <w:r w:rsidRPr="00FA4B33">
        <w:rPr>
          <w:rFonts w:cs="Times New Roman" w:hint="eastAsia"/>
        </w:rPr>
        <w:t xml:space="preserve"> </w:t>
      </w:r>
      <w:r w:rsidRPr="00FA4B33">
        <w:rPr>
          <w:rFonts w:cs="Times New Roman" w:hint="eastAsia"/>
        </w:rPr>
        <w:t>集成的通信协议和接口应符合相关的技术标准。</w:t>
      </w:r>
    </w:p>
    <w:p w14:paraId="6B362596" w14:textId="77777777" w:rsidR="00FA4B33" w:rsidRPr="00FA4B33" w:rsidRDefault="00FA4B33" w:rsidP="00FA4B33">
      <w:pPr>
        <w:ind w:firstLine="420"/>
        <w:rPr>
          <w:rFonts w:cs="Times New Roman"/>
        </w:rPr>
      </w:pPr>
      <w:r w:rsidRPr="00FA4B33">
        <w:rPr>
          <w:rFonts w:cs="Times New Roman" w:hint="eastAsia"/>
        </w:rPr>
        <w:t>③</w:t>
      </w:r>
      <w:r w:rsidRPr="00FA4B33">
        <w:rPr>
          <w:rFonts w:cs="Times New Roman" w:hint="eastAsia"/>
        </w:rPr>
        <w:t xml:space="preserve"> </w:t>
      </w:r>
      <w:r w:rsidRPr="00FA4B33">
        <w:rPr>
          <w:rFonts w:cs="Times New Roman" w:hint="eastAsia"/>
        </w:rPr>
        <w:t>应实现对各智能化系统进行综合管理。</w:t>
      </w:r>
    </w:p>
    <w:p w14:paraId="6CA3B57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320998A" w14:textId="77777777" w:rsidR="004F215F" w:rsidRPr="00530A11" w:rsidRDefault="004F215F" w:rsidP="004F215F">
      <w:pPr>
        <w:ind w:firstLine="420"/>
        <w:rPr>
          <w:rFonts w:cs="Times New Roman"/>
        </w:rPr>
      </w:pPr>
      <w:r w:rsidRPr="00530A11">
        <w:rPr>
          <w:rFonts w:cs="Times New Roman"/>
        </w:rPr>
        <w:t>预评价查阅相关设计文件</w:t>
      </w:r>
      <w:r w:rsidRPr="00530A11">
        <w:rPr>
          <w:rFonts w:eastAsia="Times New Roman" w:cs="Times New Roman"/>
        </w:rPr>
        <w:t>(</w:t>
      </w:r>
      <w:r w:rsidRPr="00530A11">
        <w:rPr>
          <w:rFonts w:cs="Times New Roman"/>
        </w:rPr>
        <w:t>智能家居或环境设备监控系统设计方案、智能化服务平台方案、相关智能化设计图纸、装修图纸</w:t>
      </w:r>
      <w:r w:rsidRPr="00530A11">
        <w:rPr>
          <w:rFonts w:eastAsia="Times New Roman" w:cs="Times New Roman"/>
        </w:rPr>
        <w:t>)</w:t>
      </w:r>
      <w:r w:rsidRPr="00530A11">
        <w:rPr>
          <w:rFonts w:cs="Times New Roman"/>
        </w:rPr>
        <w:t>。</w:t>
      </w:r>
    </w:p>
    <w:p w14:paraId="04AEFF9B" w14:textId="77777777" w:rsidR="004F215F" w:rsidRPr="00530A11" w:rsidRDefault="004F215F" w:rsidP="004F215F">
      <w:pPr>
        <w:ind w:firstLine="420"/>
        <w:rPr>
          <w:rFonts w:eastAsia="Times New Roman" w:cs="Times New Roman"/>
        </w:rPr>
      </w:pPr>
      <w:r w:rsidRPr="00530A11">
        <w:rPr>
          <w:rFonts w:cs="Times New Roman"/>
        </w:rPr>
        <w:t>评价查阅相关竣工图、产品型式检验报告，投入使用的项目尚应查阅管理制度、历史监测数据、运行记录。</w:t>
      </w:r>
    </w:p>
    <w:p w14:paraId="3E64735E" w14:textId="77777777" w:rsidR="00715ABB" w:rsidRPr="004F215F" w:rsidRDefault="00715ABB" w:rsidP="00E71ADE">
      <w:pPr>
        <w:snapToGrid w:val="0"/>
        <w:ind w:firstLineChars="0" w:firstLine="0"/>
        <w:jc w:val="left"/>
        <w:rPr>
          <w:rFonts w:cs="Times New Roman"/>
          <w:szCs w:val="24"/>
        </w:rPr>
      </w:pPr>
    </w:p>
    <w:p w14:paraId="2EAAC287" w14:textId="77777777" w:rsidR="00715ABB" w:rsidRPr="0081478A" w:rsidRDefault="00F44390" w:rsidP="001A7E3B">
      <w:pPr>
        <w:pStyle w:val="3"/>
      </w:pPr>
      <w:bookmarkStart w:id="129" w:name="_Toc22221579"/>
      <w:bookmarkStart w:id="130" w:name="_Toc35364746"/>
      <w:r w:rsidRPr="0081478A">
        <w:t xml:space="preserve">Ⅳ </w:t>
      </w:r>
      <w:r w:rsidRPr="0081478A">
        <w:t>物业管理</w:t>
      </w:r>
      <w:bookmarkEnd w:id="129"/>
      <w:bookmarkEnd w:id="130"/>
    </w:p>
    <w:p w14:paraId="007D6256" w14:textId="77777777" w:rsidR="001C05E4" w:rsidRPr="00530A11" w:rsidRDefault="001C05E4" w:rsidP="001C05E4">
      <w:pPr>
        <w:pStyle w:val="4"/>
        <w:rPr>
          <w:rFonts w:cs="Times New Roman"/>
          <w:bCs w:val="0"/>
        </w:rPr>
      </w:pPr>
      <w:r w:rsidRPr="00530A11">
        <w:rPr>
          <w:rFonts w:cs="Times New Roman"/>
          <w:bCs w:val="0"/>
        </w:rPr>
        <w:t xml:space="preserve">6.2.11 </w:t>
      </w:r>
      <w:r w:rsidRPr="00530A11">
        <w:rPr>
          <w:rFonts w:cs="Times New Roman"/>
          <w:bCs w:val="0"/>
        </w:rPr>
        <w:t>制定完善的节能、节水、节材、绿化的操作规程、应急预案，实施能源资源管理激励机制，且有效实施，评价总分值为</w:t>
      </w:r>
      <w:r w:rsidRPr="00530A11">
        <w:rPr>
          <w:rFonts w:cs="Times New Roman"/>
          <w:bCs w:val="0"/>
        </w:rPr>
        <w:t>5</w:t>
      </w:r>
      <w:r w:rsidRPr="00530A11">
        <w:rPr>
          <w:rFonts w:cs="Times New Roman"/>
          <w:bCs w:val="0"/>
        </w:rPr>
        <w:t>分，按下列规则分别评分并累计：</w:t>
      </w:r>
    </w:p>
    <w:p w14:paraId="65323EBA"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1 </w:t>
      </w:r>
      <w:r w:rsidRPr="001C05E4">
        <w:rPr>
          <w:rFonts w:ascii="Times New Roman" w:hAnsi="Times New Roman" w:cs="Times New Roman"/>
          <w:bCs/>
          <w:color w:val="auto"/>
        </w:rPr>
        <w:t>相关设施具有完善的操作规程和应急预案，得</w:t>
      </w:r>
      <w:r w:rsidRPr="001C05E4">
        <w:rPr>
          <w:rFonts w:ascii="Times New Roman" w:hAnsi="Times New Roman" w:cs="Times New Roman"/>
          <w:bCs/>
          <w:color w:val="auto"/>
        </w:rPr>
        <w:t>2</w:t>
      </w:r>
      <w:r w:rsidRPr="001C05E4">
        <w:rPr>
          <w:rFonts w:ascii="Times New Roman" w:hAnsi="Times New Roman" w:cs="Times New Roman"/>
          <w:bCs/>
          <w:color w:val="auto"/>
        </w:rPr>
        <w:t>分；</w:t>
      </w:r>
    </w:p>
    <w:p w14:paraId="539D5C55"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bCs/>
          <w:color w:val="auto"/>
        </w:rPr>
        <w:t>物业管理机构的工作考核体系中包含节能和节水绩效考核激励机制，得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7C350D12" w14:textId="77777777" w:rsidR="00715ABB" w:rsidRPr="0081478A" w:rsidRDefault="00F44390">
      <w:pPr>
        <w:ind w:firstLineChars="0" w:firstLine="0"/>
        <w:rPr>
          <w:rFonts w:cs="Times New Roman"/>
          <w:b/>
          <w:szCs w:val="24"/>
        </w:rPr>
      </w:pPr>
      <w:r w:rsidRPr="0081478A">
        <w:rPr>
          <w:rFonts w:cs="Times New Roman"/>
          <w:b/>
          <w:szCs w:val="24"/>
        </w:rPr>
        <w:t>【条文说明】</w:t>
      </w:r>
    </w:p>
    <w:p w14:paraId="777A57F9" w14:textId="77777777" w:rsidR="00841AA3" w:rsidRPr="00530A11" w:rsidRDefault="00841AA3" w:rsidP="00841AA3">
      <w:pPr>
        <w:ind w:firstLine="420"/>
        <w:rPr>
          <w:szCs w:val="24"/>
        </w:rPr>
      </w:pPr>
      <w:r w:rsidRPr="00530A11">
        <w:t>本条适用于各类民用建筑的评价。在项目投入使用前评价，本条不得分。</w:t>
      </w:r>
    </w:p>
    <w:p w14:paraId="2B8DDA34" w14:textId="77777777" w:rsidR="00841AA3" w:rsidRPr="00530A11" w:rsidRDefault="00841AA3" w:rsidP="00841AA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imes New Roman" w:cs="Times New Roman"/>
        </w:rPr>
        <w:t>10.2.2</w:t>
      </w:r>
      <w:r w:rsidRPr="00530A11">
        <w:rPr>
          <w:rFonts w:cs="Times New Roman"/>
        </w:rPr>
        <w:t>条、第</w:t>
      </w:r>
      <w:r w:rsidRPr="00530A11">
        <w:rPr>
          <w:rFonts w:eastAsia="Times New Roman" w:cs="Times New Roman"/>
        </w:rPr>
        <w:t>10.2.3</w:t>
      </w:r>
      <w:r w:rsidRPr="00530A11">
        <w:rPr>
          <w:rFonts w:cs="Times New Roman"/>
        </w:rPr>
        <w:t>条，地方标准</w:t>
      </w:r>
      <w:r w:rsidRPr="00530A11">
        <w:rPr>
          <w:rFonts w:cs="Times New Roman"/>
        </w:rPr>
        <w:t>2014</w:t>
      </w:r>
      <w:r w:rsidRPr="00530A11">
        <w:rPr>
          <w:rFonts w:cs="Times New Roman"/>
        </w:rPr>
        <w:t>版第</w:t>
      </w:r>
      <w:r w:rsidRPr="00530A11">
        <w:rPr>
          <w:rFonts w:eastAsia="Times New Roman" w:cs="Times New Roman"/>
        </w:rPr>
        <w:t>10.2.2</w:t>
      </w:r>
      <w:r w:rsidRPr="00530A11">
        <w:rPr>
          <w:rFonts w:cs="Times New Roman"/>
        </w:rPr>
        <w:t>条、第</w:t>
      </w:r>
      <w:r w:rsidRPr="00530A11">
        <w:rPr>
          <w:rFonts w:eastAsia="Times New Roman" w:cs="Times New Roman"/>
        </w:rPr>
        <w:t>10.2.3</w:t>
      </w:r>
      <w:r w:rsidRPr="00530A11">
        <w:rPr>
          <w:rFonts w:cs="Times New Roman"/>
        </w:rPr>
        <w:t>条的基础上发展而来。</w:t>
      </w:r>
    </w:p>
    <w:p w14:paraId="7BF8C259"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1</w:t>
      </w:r>
      <w:r w:rsidRPr="00530A11">
        <w:rPr>
          <w:rFonts w:cs="Times New Roman"/>
        </w:rPr>
        <w:t>款，本款要求建立完善的节能、节水、节材、绿化的操作管理制度、工作指南和应急预案，并放置、悬挂或张贴在各个操作现场的明显处。例如：可再生能源系统操作规程、雨废水回用系统作业标准等。节能、节水设施的运行维护技术要求高，维护的工作量大，无论是自行运维还是购买专业服务，都需要建立完善的管理制度及应急预案，并在日常运行中</w:t>
      </w:r>
      <w:r w:rsidRPr="00530A11">
        <w:rPr>
          <w:rFonts w:cs="Times New Roman"/>
        </w:rPr>
        <w:lastRenderedPageBreak/>
        <w:t>应做好记录，通过专业化的物理管理促使操作人员有效保证工作的质量。</w:t>
      </w:r>
    </w:p>
    <w:p w14:paraId="1144B8C9" w14:textId="77777777" w:rsidR="00841AA3" w:rsidRPr="00530A11" w:rsidRDefault="00841AA3" w:rsidP="00841AA3">
      <w:pPr>
        <w:ind w:firstLine="420"/>
        <w:rPr>
          <w:rFonts w:cs="Times New Roman"/>
        </w:rPr>
      </w:pPr>
      <w:r w:rsidRPr="00530A11">
        <w:rPr>
          <w:rFonts w:cs="Times New Roman"/>
        </w:rPr>
        <w:t>第</w:t>
      </w:r>
      <w:r w:rsidRPr="00530A11">
        <w:rPr>
          <w:rFonts w:eastAsia="Times New Roman" w:cs="Times New Roman"/>
        </w:rPr>
        <w:t>2</w:t>
      </w:r>
      <w:r w:rsidRPr="00530A11">
        <w:rPr>
          <w:rFonts w:cs="Times New Roman"/>
        </w:rPr>
        <w:t>款，本款要求物业管理机构在保证建筑的使用性能要求、投诉率低于规定值的前提下，实现其经济效益与建筑用能系统的耗能状况、水资源等的使用情况直接挂钩。在运营管理中，建筑运行能耗可参考现行国家标准《民用建筑能耗标准》</w:t>
      </w:r>
      <w:r w:rsidRPr="00530A11">
        <w:rPr>
          <w:rFonts w:eastAsia="Times New Roman" w:cs="Times New Roman"/>
        </w:rPr>
        <w:t>GB/T 51161</w:t>
      </w:r>
      <w:r w:rsidRPr="00530A11">
        <w:rPr>
          <w:rFonts w:cs="Times New Roman"/>
        </w:rPr>
        <w:t>制定激励政策，建筑水耗可参考现行国家标准《民用建筑节水设计标准》</w:t>
      </w:r>
      <w:r w:rsidRPr="00530A11">
        <w:rPr>
          <w:rFonts w:eastAsia="Times New Roman" w:cs="Times New Roman"/>
        </w:rPr>
        <w:t>GB 50555</w:t>
      </w:r>
      <w:r w:rsidRPr="00530A11">
        <w:rPr>
          <w:rFonts w:cs="Times New Roman"/>
        </w:rPr>
        <w:t>制定激励政策。通过绩效考核，调动各方面的节能、节水积极性。</w:t>
      </w:r>
    </w:p>
    <w:p w14:paraId="55F7E76C" w14:textId="77777777" w:rsidR="00011E42" w:rsidRPr="0081478A" w:rsidRDefault="00011E42" w:rsidP="00011E42">
      <w:pPr>
        <w:pStyle w:val="20"/>
        <w:rPr>
          <w:rFonts w:ascii="Times New Roman" w:hAnsi="Times New Roman" w:cs="Times New Roman"/>
          <w:color w:val="auto"/>
        </w:rPr>
      </w:pPr>
      <w:r w:rsidRPr="0081478A">
        <w:rPr>
          <w:rFonts w:ascii="Times New Roman" w:hAnsi="Times New Roman" w:cs="Times New Roman"/>
          <w:color w:val="auto"/>
        </w:rPr>
        <w:t>【评价要点】</w:t>
      </w:r>
    </w:p>
    <w:p w14:paraId="22760A8E" w14:textId="383A552E" w:rsidR="00011E42" w:rsidRPr="0081478A" w:rsidRDefault="000E5527" w:rsidP="00745401">
      <w:pPr>
        <w:ind w:firstLine="420"/>
        <w:rPr>
          <w:rFonts w:cs="Times New Roman"/>
        </w:rPr>
      </w:pPr>
      <w:r>
        <w:rPr>
          <w:rFonts w:cs="Times New Roman"/>
        </w:rPr>
        <w:t>1.</w:t>
      </w:r>
      <w:r w:rsidR="00745401" w:rsidRPr="0081478A">
        <w:rPr>
          <w:rFonts w:cs="Times New Roman"/>
        </w:rPr>
        <w:t>第</w:t>
      </w:r>
      <w:r w:rsidR="00745401" w:rsidRPr="0081478A">
        <w:rPr>
          <w:rFonts w:cs="Times New Roman"/>
        </w:rPr>
        <w:t>1</w:t>
      </w:r>
      <w:r w:rsidR="00745401" w:rsidRPr="0081478A">
        <w:rPr>
          <w:rFonts w:cs="Times New Roman"/>
        </w:rPr>
        <w:t>款重点</w:t>
      </w:r>
      <w:r w:rsidR="00011E42" w:rsidRPr="0081478A">
        <w:rPr>
          <w:rFonts w:cs="Times New Roman"/>
        </w:rPr>
        <w:t>检查项目内各类设施的操作规程以及应急预案。主要评价以下内容：</w:t>
      </w:r>
    </w:p>
    <w:p w14:paraId="257FA7C7" w14:textId="77777777" w:rsidR="00011E42" w:rsidRPr="0081478A" w:rsidRDefault="00011E42" w:rsidP="00011E42">
      <w:pPr>
        <w:ind w:firstLine="420"/>
        <w:rPr>
          <w:rFonts w:cs="Times New Roman"/>
        </w:rPr>
      </w:pPr>
      <w:r w:rsidRPr="0081478A">
        <w:rPr>
          <w:rFonts w:cs="Times New Roman"/>
        </w:rPr>
        <w:t>1</w:t>
      </w:r>
      <w:r w:rsidRPr="0081478A">
        <w:rPr>
          <w:rFonts w:cs="Times New Roman"/>
        </w:rPr>
        <w:t>）</w:t>
      </w:r>
      <w:r w:rsidRPr="0081478A">
        <w:rPr>
          <w:rFonts w:cs="Times New Roman"/>
        </w:rPr>
        <w:t xml:space="preserve"> </w:t>
      </w:r>
      <w:r w:rsidRPr="0081478A">
        <w:rPr>
          <w:rFonts w:cs="Times New Roman"/>
        </w:rPr>
        <w:t>节能、节水设施机房中（如冷水机房、</w:t>
      </w:r>
      <w:r w:rsidRPr="0081478A">
        <w:rPr>
          <w:rFonts w:cs="Times New Roman"/>
        </w:rPr>
        <w:t>AHU</w:t>
      </w:r>
      <w:r w:rsidRPr="0081478A">
        <w:rPr>
          <w:rFonts w:cs="Times New Roman"/>
        </w:rPr>
        <w:t>机房、锅炉房、电梯机房、配电间、泵房等）操作规程的合理性及落实情况，要求机房中明示机房管理制度、操作规程、交接班制度、岗位职责和应急预案。</w:t>
      </w:r>
    </w:p>
    <w:p w14:paraId="2D544DFE" w14:textId="77777777" w:rsidR="00011E42" w:rsidRPr="0081478A" w:rsidRDefault="00011E42" w:rsidP="00011E42">
      <w:pPr>
        <w:ind w:firstLine="420"/>
        <w:rPr>
          <w:rFonts w:cs="Times New Roman"/>
        </w:rPr>
      </w:pPr>
      <w:r w:rsidRPr="0081478A">
        <w:rPr>
          <w:rFonts w:cs="Times New Roman"/>
        </w:rPr>
        <w:t>2</w:t>
      </w:r>
      <w:r w:rsidRPr="0081478A">
        <w:rPr>
          <w:rFonts w:cs="Times New Roman"/>
        </w:rPr>
        <w:t>）</w:t>
      </w:r>
      <w:r w:rsidRPr="0081478A">
        <w:rPr>
          <w:rFonts w:cs="Times New Roman"/>
        </w:rPr>
        <w:t xml:space="preserve"> </w:t>
      </w:r>
      <w:r w:rsidRPr="0081478A">
        <w:rPr>
          <w:rFonts w:cs="Times New Roman"/>
        </w:rPr>
        <w:t>节能、节水设施设备应具有巡回检查制度，并有完善的运行记录。</w:t>
      </w:r>
    </w:p>
    <w:p w14:paraId="1640D4CE" w14:textId="77777777" w:rsidR="00011E42" w:rsidRPr="0081478A" w:rsidRDefault="00011E42" w:rsidP="00011E42">
      <w:pPr>
        <w:ind w:firstLine="420"/>
        <w:rPr>
          <w:rFonts w:cs="Times New Roman"/>
        </w:rPr>
      </w:pPr>
      <w:r w:rsidRPr="0081478A">
        <w:rPr>
          <w:rFonts w:cs="Times New Roman"/>
        </w:rPr>
        <w:t>3</w:t>
      </w:r>
      <w:r w:rsidRPr="0081478A">
        <w:rPr>
          <w:rFonts w:cs="Times New Roman"/>
        </w:rPr>
        <w:t>）</w:t>
      </w:r>
      <w:r w:rsidRPr="0081478A">
        <w:rPr>
          <w:rFonts w:cs="Times New Roman"/>
        </w:rPr>
        <w:t xml:space="preserve"> </w:t>
      </w:r>
      <w:r w:rsidRPr="0081478A">
        <w:rPr>
          <w:rFonts w:cs="Times New Roman"/>
        </w:rPr>
        <w:t>核查应急预案的有效性和安全保障。应急预案中对各种突发事故的处理要有着明确的处理流程，明确的人员分工，严格的上报和记录程序，并且对专业维修人员的安全有着严格的保障措施。</w:t>
      </w:r>
    </w:p>
    <w:p w14:paraId="503099E8" w14:textId="77777777" w:rsidR="00011E42" w:rsidRPr="0081478A" w:rsidRDefault="00011E42" w:rsidP="00011E42">
      <w:pPr>
        <w:ind w:firstLine="420"/>
        <w:rPr>
          <w:rFonts w:cs="Times New Roman"/>
        </w:rPr>
      </w:pPr>
      <w:r w:rsidRPr="0081478A">
        <w:rPr>
          <w:rFonts w:cs="Times New Roman"/>
        </w:rPr>
        <w:t>4</w:t>
      </w:r>
      <w:r w:rsidRPr="0081478A">
        <w:rPr>
          <w:rFonts w:cs="Times New Roman"/>
        </w:rPr>
        <w:t>）</w:t>
      </w:r>
      <w:r w:rsidRPr="0081478A">
        <w:rPr>
          <w:rFonts w:cs="Times New Roman"/>
        </w:rPr>
        <w:t xml:space="preserve"> </w:t>
      </w:r>
      <w:r w:rsidRPr="0081478A">
        <w:rPr>
          <w:rFonts w:cs="Times New Roman"/>
        </w:rPr>
        <w:t>检查各项应急预案的应急情况报告和应急处置报告的完整性和及时性，以及某些应急预案的演练记录。</w:t>
      </w:r>
    </w:p>
    <w:p w14:paraId="738D4686" w14:textId="77777777" w:rsidR="00011E42" w:rsidRPr="0081478A" w:rsidRDefault="00011E42" w:rsidP="00011E42">
      <w:pPr>
        <w:ind w:firstLine="420"/>
        <w:rPr>
          <w:rFonts w:cs="Times New Roman"/>
        </w:rPr>
      </w:pPr>
      <w:r w:rsidRPr="0081478A">
        <w:rPr>
          <w:rFonts w:cs="Times New Roman"/>
        </w:rPr>
        <w:t>在商业建筑的运行评价中审查各类设施的操作规程，操作规程应明确规定开机关机的准备工作及具体程序，设备的运行操作规程、操作人员的岗位职责、应急处理预案等应上墙，并现场核实上墙情况和设备运行情况；核查各类设施的应急预案、应急情况报告和应急处置报告，并核查相关演练记录。</w:t>
      </w:r>
    </w:p>
    <w:p w14:paraId="0DD77C71" w14:textId="295BD8F5" w:rsidR="00011E42" w:rsidRPr="0081478A" w:rsidRDefault="000E5527" w:rsidP="00745401">
      <w:pPr>
        <w:ind w:firstLine="420"/>
        <w:rPr>
          <w:rFonts w:cs="Times New Roman"/>
        </w:rPr>
      </w:pPr>
      <w:r>
        <w:rPr>
          <w:rFonts w:cs="Times New Roman"/>
        </w:rPr>
        <w:t>2.</w:t>
      </w:r>
      <w:r w:rsidR="00745401" w:rsidRPr="0081478A">
        <w:rPr>
          <w:rFonts w:cs="Times New Roman"/>
        </w:rPr>
        <w:t>第</w:t>
      </w:r>
      <w:r w:rsidR="00745401" w:rsidRPr="0081478A">
        <w:rPr>
          <w:rFonts w:cs="Times New Roman"/>
        </w:rPr>
        <w:t>2</w:t>
      </w:r>
      <w:r w:rsidR="00745401" w:rsidRPr="0081478A">
        <w:rPr>
          <w:rFonts w:cs="Times New Roman"/>
        </w:rPr>
        <w:t>款</w:t>
      </w:r>
      <w:r w:rsidR="00011E42" w:rsidRPr="0081478A">
        <w:rPr>
          <w:rFonts w:cs="Times New Roman"/>
        </w:rPr>
        <w:t>重点关注物业管理机构工作考核体系中的能源资源管理激励机制、与租用者签订的合同中是否包含节能条款，以及是否采用合同能源管理模式。</w:t>
      </w:r>
    </w:p>
    <w:p w14:paraId="1ECDB4F9"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5495C56" w14:textId="77777777" w:rsidR="004F215F" w:rsidRPr="00530A11" w:rsidRDefault="004F215F" w:rsidP="004F215F">
      <w:pPr>
        <w:ind w:firstLine="420"/>
        <w:rPr>
          <w:rFonts w:eastAsia="Times New Roman" w:cs="Times New Roman"/>
        </w:rPr>
      </w:pPr>
      <w:r w:rsidRPr="00530A11">
        <w:rPr>
          <w:rFonts w:cs="Times New Roman"/>
        </w:rPr>
        <w:t>评价查阅相关管理制度、操作规程、应急预案、运行记录。</w:t>
      </w:r>
    </w:p>
    <w:p w14:paraId="448CD278" w14:textId="77777777" w:rsidR="00715ABB" w:rsidRPr="004F215F" w:rsidRDefault="00715ABB">
      <w:pPr>
        <w:snapToGrid w:val="0"/>
        <w:ind w:firstLine="420"/>
        <w:jc w:val="left"/>
        <w:rPr>
          <w:rFonts w:cs="Times New Roman"/>
          <w:szCs w:val="24"/>
        </w:rPr>
      </w:pPr>
    </w:p>
    <w:p w14:paraId="7EF15BF7" w14:textId="77777777" w:rsidR="001C05E4" w:rsidRPr="00530A11" w:rsidRDefault="001C05E4" w:rsidP="001C05E4">
      <w:pPr>
        <w:pStyle w:val="4"/>
        <w:rPr>
          <w:rFonts w:cs="Times New Roman"/>
          <w:bCs w:val="0"/>
        </w:rPr>
      </w:pPr>
      <w:r w:rsidRPr="00530A11">
        <w:rPr>
          <w:rFonts w:cs="Times New Roman"/>
          <w:bCs w:val="0"/>
        </w:rPr>
        <w:t xml:space="preserve">6.2.12 </w:t>
      </w:r>
      <w:r w:rsidRPr="00530A11">
        <w:rPr>
          <w:rFonts w:cs="Times New Roman"/>
          <w:bCs w:val="0"/>
        </w:rPr>
        <w:t>建筑平均日用水量满足现行国家标准</w:t>
      </w:r>
      <w:bookmarkStart w:id="131" w:name="_Hlk32659426"/>
      <w:r w:rsidRPr="00530A11">
        <w:rPr>
          <w:rFonts w:cs="Times New Roman"/>
          <w:bCs w:val="0"/>
        </w:rPr>
        <w:t>《民用建筑节水设计标准》</w:t>
      </w:r>
      <w:r w:rsidRPr="00530A11">
        <w:rPr>
          <w:rFonts w:cs="Times New Roman"/>
          <w:bCs w:val="0"/>
        </w:rPr>
        <w:t>GB 50555</w:t>
      </w:r>
      <w:bookmarkEnd w:id="131"/>
      <w:r w:rsidRPr="00530A11">
        <w:rPr>
          <w:rFonts w:cs="Times New Roman"/>
          <w:bCs w:val="0"/>
        </w:rPr>
        <w:t>中节水用水定额的要求，评价总分值为</w:t>
      </w:r>
      <w:r w:rsidRPr="00530A11">
        <w:rPr>
          <w:rFonts w:cs="Times New Roman"/>
          <w:bCs w:val="0"/>
        </w:rPr>
        <w:t>3</w:t>
      </w:r>
      <w:r w:rsidRPr="00530A11">
        <w:rPr>
          <w:rFonts w:cs="Times New Roman"/>
          <w:bCs w:val="0"/>
        </w:rPr>
        <w:t>分，并按下列规则评分：</w:t>
      </w:r>
    </w:p>
    <w:p w14:paraId="0C6214A9"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1 </w:t>
      </w:r>
      <w:r w:rsidRPr="001C05E4">
        <w:rPr>
          <w:rFonts w:ascii="Times New Roman" w:hAnsi="Times New Roman" w:cs="Times New Roman"/>
          <w:bCs/>
          <w:color w:val="auto"/>
        </w:rPr>
        <w:t>平均日用水量大于节水用水定额的平均值、不大于上限值，得</w:t>
      </w:r>
      <w:r w:rsidRPr="001C05E4">
        <w:rPr>
          <w:rFonts w:ascii="Times New Roman" w:hAnsi="Times New Roman" w:cs="Times New Roman"/>
          <w:bCs/>
          <w:color w:val="auto"/>
        </w:rPr>
        <w:t>1</w:t>
      </w:r>
      <w:r w:rsidRPr="001C05E4">
        <w:rPr>
          <w:rFonts w:ascii="Times New Roman" w:hAnsi="Times New Roman" w:cs="Times New Roman"/>
          <w:bCs/>
          <w:color w:val="auto"/>
        </w:rPr>
        <w:t>分。</w:t>
      </w:r>
    </w:p>
    <w:p w14:paraId="29BF49AC"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bCs/>
          <w:color w:val="auto"/>
        </w:rPr>
        <w:t>平均日用水量大于节水用水定额下限值、不大于平均值，得</w:t>
      </w:r>
      <w:r w:rsidRPr="001C05E4">
        <w:rPr>
          <w:rFonts w:ascii="Times New Roman" w:hAnsi="Times New Roman" w:cs="Times New Roman"/>
          <w:bCs/>
          <w:color w:val="auto"/>
        </w:rPr>
        <w:t>2</w:t>
      </w:r>
      <w:r w:rsidRPr="001C05E4">
        <w:rPr>
          <w:rFonts w:ascii="Times New Roman" w:hAnsi="Times New Roman" w:cs="Times New Roman"/>
          <w:bCs/>
          <w:color w:val="auto"/>
        </w:rPr>
        <w:t>分。</w:t>
      </w:r>
    </w:p>
    <w:p w14:paraId="2A7A20C1"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lastRenderedPageBreak/>
        <w:t xml:space="preserve">3 </w:t>
      </w:r>
      <w:r w:rsidRPr="001C05E4">
        <w:rPr>
          <w:rFonts w:ascii="Times New Roman" w:hAnsi="Times New Roman" w:cs="Times New Roman"/>
          <w:bCs/>
          <w:color w:val="auto"/>
        </w:rPr>
        <w:t>平均日用水量不大于节水用水定额下限值，得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736F3EDD" w14:textId="77777777" w:rsidR="00715ABB" w:rsidRPr="0081478A" w:rsidRDefault="00F44390">
      <w:pPr>
        <w:ind w:firstLineChars="0" w:firstLine="0"/>
        <w:rPr>
          <w:rFonts w:cs="Times New Roman"/>
          <w:b/>
          <w:szCs w:val="24"/>
        </w:rPr>
      </w:pPr>
      <w:r w:rsidRPr="0081478A">
        <w:rPr>
          <w:rFonts w:cs="Times New Roman"/>
          <w:b/>
          <w:szCs w:val="24"/>
        </w:rPr>
        <w:t>【条文说明】</w:t>
      </w:r>
    </w:p>
    <w:p w14:paraId="1FBCF855" w14:textId="77777777" w:rsidR="00841AA3" w:rsidRPr="00530A11" w:rsidRDefault="00841AA3" w:rsidP="00841AA3">
      <w:pPr>
        <w:ind w:firstLine="420"/>
        <w:rPr>
          <w:szCs w:val="24"/>
        </w:rPr>
      </w:pPr>
      <w:r w:rsidRPr="00530A11">
        <w:t>本条适用于各类民用建筑的评价。在项目投入使用前评价，本条不得分。</w:t>
      </w:r>
    </w:p>
    <w:p w14:paraId="2F8FA9ED" w14:textId="77777777" w:rsidR="00841AA3" w:rsidRPr="00530A11" w:rsidRDefault="00841AA3" w:rsidP="00841AA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imes New Roman" w:cs="Times New Roman"/>
        </w:rPr>
        <w:t>6.2.1</w:t>
      </w:r>
      <w:r w:rsidRPr="00530A11">
        <w:rPr>
          <w:rFonts w:cs="Times New Roman"/>
        </w:rPr>
        <w:t>条，地方标准</w:t>
      </w:r>
      <w:r w:rsidRPr="00530A11">
        <w:rPr>
          <w:rFonts w:cs="Times New Roman"/>
        </w:rPr>
        <w:t>2014</w:t>
      </w:r>
      <w:r w:rsidRPr="00530A11">
        <w:rPr>
          <w:rFonts w:cs="Times New Roman"/>
        </w:rPr>
        <w:t>版第</w:t>
      </w:r>
      <w:r w:rsidRPr="00530A11">
        <w:rPr>
          <w:rFonts w:eastAsia="Times New Roman" w:cs="Times New Roman"/>
        </w:rPr>
        <w:t>6.2.1</w:t>
      </w:r>
      <w:r w:rsidRPr="00530A11">
        <w:rPr>
          <w:rFonts w:eastAsiaTheme="minorEastAsia" w:cs="Times New Roman"/>
        </w:rPr>
        <w:t>条</w:t>
      </w:r>
      <w:r w:rsidRPr="00530A11">
        <w:rPr>
          <w:rFonts w:cs="Times New Roman"/>
        </w:rPr>
        <w:t>的基础上发展而来。</w:t>
      </w:r>
    </w:p>
    <w:p w14:paraId="3576A2CB" w14:textId="77777777" w:rsidR="00841AA3" w:rsidRPr="00530A11" w:rsidRDefault="00841AA3" w:rsidP="00841AA3">
      <w:pPr>
        <w:ind w:firstLine="420"/>
        <w:rPr>
          <w:rFonts w:eastAsia="Times New Roman" w:cs="Times New Roman"/>
        </w:rPr>
      </w:pPr>
      <w:r w:rsidRPr="00530A11">
        <w:rPr>
          <w:rFonts w:cs="Times New Roman"/>
        </w:rPr>
        <w:t>计算平均日用水量时，应实事求是地确定用水的使用人数、用水面积等</w:t>
      </w:r>
      <w:r w:rsidRPr="00530A11">
        <w:rPr>
          <w:rFonts w:cs="Times New Roman" w:hint="eastAsia"/>
        </w:rPr>
        <w:t>，可通过监控等智能化手段来确定建筑实际使用人数。</w:t>
      </w:r>
      <w:r w:rsidRPr="00530A11">
        <w:rPr>
          <w:rFonts w:cs="Times New Roman"/>
        </w:rPr>
        <w:t>使用人数在项目使用初期可能不会达到设计人数，如住宅的入住率可能不会很快达到</w:t>
      </w:r>
      <w:r w:rsidRPr="00530A11">
        <w:rPr>
          <w:rFonts w:eastAsia="Times New Roman" w:cs="Times New Roman"/>
        </w:rPr>
        <w:t>100</w:t>
      </w:r>
      <w:r w:rsidRPr="00530A11">
        <w:rPr>
          <w:rFonts w:cs="Times New Roman"/>
        </w:rPr>
        <w:t>％，因此对与用水人数相关的用水，如饮用、盥洗、冲厕、餐饮等，应根据用水人数来计算平均日用水量；对使用人数相对固定的建筑，如办公建筑等，按实际人数计算；对浴室、商场、餐厅等流动人口较大且数量无法明确的场所，可按设计人数计算。</w:t>
      </w:r>
    </w:p>
    <w:p w14:paraId="23501A58" w14:textId="77777777" w:rsidR="00841AA3" w:rsidRPr="00530A11" w:rsidRDefault="00841AA3" w:rsidP="00841AA3">
      <w:pPr>
        <w:ind w:firstLine="420"/>
        <w:rPr>
          <w:rFonts w:eastAsia="Times New Roman" w:cs="Times New Roman"/>
        </w:rPr>
      </w:pPr>
      <w:r w:rsidRPr="00530A11">
        <w:rPr>
          <w:rFonts w:cs="Times New Roman"/>
        </w:rPr>
        <w:t>对与用水人数无关的用水，如绿化灌溉、地面冲洗、水景补水等，则根据实际水表计量情况进行考核。</w:t>
      </w:r>
    </w:p>
    <w:p w14:paraId="530F5837" w14:textId="77777777" w:rsidR="00841AA3" w:rsidRPr="00530A11" w:rsidRDefault="00841AA3" w:rsidP="00841AA3">
      <w:pPr>
        <w:ind w:firstLine="420"/>
        <w:rPr>
          <w:rFonts w:eastAsia="Times New Roman" w:cs="Times New Roman"/>
        </w:rPr>
      </w:pPr>
      <w:r w:rsidRPr="00530A11">
        <w:rPr>
          <w:rFonts w:cs="Times New Roman"/>
        </w:rPr>
        <w:t>根据实际运行一年的水表计量数据和使用人数、用水面积等计算平均日用水量，与节水用水定额进行比较来判定。</w:t>
      </w:r>
    </w:p>
    <w:p w14:paraId="0EB8234E" w14:textId="77777777" w:rsidR="00841AA3" w:rsidRPr="00530A11" w:rsidRDefault="00841AA3" w:rsidP="00841AA3">
      <w:pPr>
        <w:ind w:firstLine="420"/>
        <w:rPr>
          <w:rFonts w:cs="Times New Roman"/>
        </w:rPr>
      </w:pPr>
      <w:r w:rsidRPr="00530A11">
        <w:rPr>
          <w:rFonts w:cs="Times New Roman"/>
        </w:rPr>
        <w:t>本条的平均值为现行国家标准《民用建筑节水设计标准》</w:t>
      </w:r>
      <w:r w:rsidRPr="00530A11">
        <w:rPr>
          <w:rFonts w:eastAsia="Times New Roman" w:cs="Times New Roman"/>
        </w:rPr>
        <w:t>GB 50555</w:t>
      </w:r>
      <w:r w:rsidRPr="00530A11">
        <w:rPr>
          <w:rFonts w:cs="Times New Roman"/>
        </w:rPr>
        <w:t>中上限值和下限值的算术平均值。</w:t>
      </w:r>
    </w:p>
    <w:p w14:paraId="7AF1662E" w14:textId="18F70B97" w:rsidR="00011E42" w:rsidRPr="0081478A" w:rsidRDefault="00011E42" w:rsidP="00011E42">
      <w:pPr>
        <w:pStyle w:val="20"/>
        <w:rPr>
          <w:rFonts w:ascii="Times New Roman" w:hAnsi="Times New Roman" w:cs="Times New Roman"/>
          <w:color w:val="auto"/>
        </w:rPr>
      </w:pPr>
      <w:r w:rsidRPr="0081478A">
        <w:rPr>
          <w:rFonts w:ascii="Times New Roman" w:hAnsi="Times New Roman" w:cs="Times New Roman"/>
          <w:color w:val="auto"/>
        </w:rPr>
        <w:t>【评价要点】</w:t>
      </w:r>
    </w:p>
    <w:p w14:paraId="58844FF5" w14:textId="3C82589A" w:rsidR="000012EA" w:rsidRPr="0081478A" w:rsidRDefault="000E5527" w:rsidP="000012EA">
      <w:pPr>
        <w:ind w:firstLine="420"/>
        <w:rPr>
          <w:rFonts w:cs="Times New Roman"/>
        </w:rPr>
      </w:pPr>
      <w:r>
        <w:rPr>
          <w:rFonts w:cs="Times New Roman"/>
        </w:rPr>
        <w:t>1.</w:t>
      </w:r>
      <w:r w:rsidR="00702FD6">
        <w:rPr>
          <w:rFonts w:cs="Times New Roman" w:hint="eastAsia"/>
        </w:rPr>
        <w:t>查阅</w:t>
      </w:r>
      <w:r w:rsidR="00F423DE" w:rsidRPr="0081478A">
        <w:rPr>
          <w:rFonts w:cs="Times New Roman"/>
        </w:rPr>
        <w:t>用水量计量情况报告和建筑平均日用水量计算书</w:t>
      </w:r>
      <w:r w:rsidR="00702FD6">
        <w:rPr>
          <w:rFonts w:cs="Times New Roman" w:hint="eastAsia"/>
        </w:rPr>
        <w:t>。</w:t>
      </w:r>
    </w:p>
    <w:p w14:paraId="4325FD1E" w14:textId="7E9EEE9F" w:rsidR="000E5527" w:rsidRPr="000E5527" w:rsidRDefault="000E5527" w:rsidP="000E5527">
      <w:pPr>
        <w:ind w:firstLine="420"/>
      </w:pPr>
      <w:r w:rsidRPr="000E5527">
        <w:rPr>
          <w:bCs/>
        </w:rPr>
        <w:t>2.</w:t>
      </w:r>
      <w:r w:rsidRPr="000E5527">
        <w:rPr>
          <w:rFonts w:hint="eastAsia"/>
          <w:bCs/>
        </w:rPr>
        <w:t>计</w:t>
      </w:r>
      <w:r w:rsidRPr="000E5527">
        <w:rPr>
          <w:rFonts w:hint="eastAsia"/>
        </w:rPr>
        <w:t>算平均日用水量时，应实事求是地确定用水的使用人数、用水面积等，</w:t>
      </w:r>
      <w:r w:rsidRPr="00530A11">
        <w:rPr>
          <w:rFonts w:cs="Times New Roman" w:hint="eastAsia"/>
        </w:rPr>
        <w:t>可通过监控等智能化手段来确定建筑实际使用人数。</w:t>
      </w:r>
      <w:r w:rsidRPr="000E5527">
        <w:rPr>
          <w:rFonts w:hint="eastAsia"/>
        </w:rPr>
        <w:t>使用人数在项目使用初期可能不会达到设计人数，如住宅的入住率在头几年不会很快达到</w:t>
      </w:r>
      <w:r w:rsidRPr="000E5527">
        <w:rPr>
          <w:rFonts w:hint="eastAsia"/>
        </w:rPr>
        <w:t>100%</w:t>
      </w:r>
      <w:r w:rsidRPr="000E5527">
        <w:rPr>
          <w:rFonts w:hint="eastAsia"/>
        </w:rPr>
        <w:t>，因此对与用水人数相关的用水，如饮用、盥洗、冲厕、餐饮等，应根据用水人数来计算平均日用水量。</w:t>
      </w:r>
    </w:p>
    <w:p w14:paraId="406665DC" w14:textId="77777777" w:rsidR="000E5527" w:rsidRDefault="000E5527" w:rsidP="000E5527">
      <w:pPr>
        <w:ind w:firstLine="420"/>
      </w:pPr>
      <w:r w:rsidRPr="000E5527">
        <w:rPr>
          <w:rFonts w:hint="eastAsia"/>
        </w:rPr>
        <w:t>对使用人数相对固定的建筑，如住宅、办公等，可按实际人数计算；对浴室、商店、餐厅等流动人口较大且数量无法明确的场所，可按设计人数计算。对与用水人数无关的用水，如绿化灌溉、地面冲洗、水景补水等，则根据实际水表计量情况进行考核。根据实际运行一年的水表计量数据和使用人数、用水面积等计算平均日用水量，与节水用水定额进行比较来判定。</w:t>
      </w:r>
    </w:p>
    <w:p w14:paraId="70CEEB8C" w14:textId="3235435F" w:rsidR="00715ABB" w:rsidRPr="0081478A" w:rsidRDefault="00F44390" w:rsidP="000E5527">
      <w:pPr>
        <w:pStyle w:val="20"/>
      </w:pPr>
      <w:r w:rsidRPr="0081478A">
        <w:t>【评价方法】</w:t>
      </w:r>
    </w:p>
    <w:p w14:paraId="0BEF3447" w14:textId="77777777" w:rsidR="004F215F" w:rsidRPr="00530A11" w:rsidRDefault="004F215F" w:rsidP="004F215F">
      <w:pPr>
        <w:ind w:firstLine="420"/>
        <w:rPr>
          <w:rFonts w:eastAsia="Times New Roman" w:cs="Times New Roman"/>
        </w:rPr>
      </w:pPr>
      <w:r w:rsidRPr="00530A11">
        <w:rPr>
          <w:rFonts w:cs="Times New Roman"/>
        </w:rPr>
        <w:t>评价查阅实测用水量计量报告和建筑平均日用水量计算书。</w:t>
      </w:r>
    </w:p>
    <w:p w14:paraId="27ED5F9F" w14:textId="77777777" w:rsidR="00715ABB" w:rsidRPr="004F215F" w:rsidRDefault="00715ABB">
      <w:pPr>
        <w:snapToGrid w:val="0"/>
        <w:ind w:firstLine="420"/>
        <w:jc w:val="left"/>
        <w:rPr>
          <w:rFonts w:cs="Times New Roman"/>
        </w:rPr>
      </w:pPr>
    </w:p>
    <w:p w14:paraId="61F18E40" w14:textId="77777777" w:rsidR="001C05E4" w:rsidRPr="00530A11" w:rsidRDefault="001C05E4" w:rsidP="001C05E4">
      <w:pPr>
        <w:pStyle w:val="4"/>
        <w:rPr>
          <w:rFonts w:cs="Times New Roman"/>
          <w:bCs w:val="0"/>
        </w:rPr>
      </w:pPr>
      <w:r w:rsidRPr="00530A11">
        <w:rPr>
          <w:rFonts w:cs="Times New Roman"/>
          <w:bCs w:val="0"/>
        </w:rPr>
        <w:t xml:space="preserve">6.2.13 </w:t>
      </w:r>
      <w:r w:rsidRPr="00530A11">
        <w:rPr>
          <w:rFonts w:cs="Times New Roman"/>
          <w:bCs w:val="0"/>
        </w:rPr>
        <w:t>定期对建筑运营效果进行评估，并根据结果进行运行优化，评价总分值为</w:t>
      </w:r>
      <w:r w:rsidRPr="00530A11">
        <w:rPr>
          <w:rFonts w:cs="Times New Roman"/>
          <w:bCs w:val="0"/>
        </w:rPr>
        <w:t>11</w:t>
      </w:r>
      <w:r w:rsidRPr="00530A11">
        <w:rPr>
          <w:rFonts w:cs="Times New Roman"/>
          <w:bCs w:val="0"/>
        </w:rPr>
        <w:t>分，按下列规则分别评分并累计：</w:t>
      </w:r>
    </w:p>
    <w:p w14:paraId="0AEB1C39"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1 </w:t>
      </w:r>
      <w:r w:rsidRPr="001C05E4">
        <w:rPr>
          <w:rFonts w:ascii="Times New Roman" w:hAnsi="Times New Roman" w:cs="Times New Roman"/>
          <w:bCs/>
          <w:color w:val="auto"/>
        </w:rPr>
        <w:t>制定绿色建筑运营效果评估的技术方案和计划，得</w:t>
      </w:r>
      <w:r w:rsidRPr="001C05E4">
        <w:rPr>
          <w:rFonts w:ascii="Times New Roman" w:hAnsi="Times New Roman" w:cs="Times New Roman"/>
          <w:bCs/>
          <w:color w:val="auto"/>
        </w:rPr>
        <w:t>2</w:t>
      </w:r>
      <w:r w:rsidRPr="001C05E4">
        <w:rPr>
          <w:rFonts w:ascii="Times New Roman" w:hAnsi="Times New Roman" w:cs="Times New Roman"/>
          <w:bCs/>
          <w:color w:val="auto"/>
        </w:rPr>
        <w:t>分；</w:t>
      </w:r>
    </w:p>
    <w:p w14:paraId="78A66A8E"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bCs/>
          <w:color w:val="auto"/>
        </w:rPr>
        <w:t>定期检查、调适公共设施设备，具有检查、调试、运行、标定的记录，且记录完整，得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2352BE1A"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3 </w:t>
      </w:r>
      <w:r w:rsidRPr="001C05E4">
        <w:rPr>
          <w:rFonts w:ascii="Times New Roman" w:hAnsi="Times New Roman" w:cs="Times New Roman"/>
          <w:bCs/>
          <w:color w:val="auto"/>
        </w:rPr>
        <w:t>定期开展节能诊断评估，并根据评估结果制定优化方案并实施，得</w:t>
      </w:r>
      <w:r w:rsidRPr="001C05E4">
        <w:rPr>
          <w:rFonts w:ascii="Times New Roman" w:hAnsi="Times New Roman" w:cs="Times New Roman"/>
          <w:bCs/>
          <w:color w:val="auto"/>
        </w:rPr>
        <w:t>4</w:t>
      </w:r>
      <w:r w:rsidRPr="001C05E4">
        <w:rPr>
          <w:rFonts w:ascii="Times New Roman" w:hAnsi="Times New Roman" w:cs="Times New Roman"/>
          <w:bCs/>
          <w:color w:val="auto"/>
        </w:rPr>
        <w:t>分；</w:t>
      </w:r>
      <w:r w:rsidRPr="001C05E4">
        <w:rPr>
          <w:rFonts w:ascii="Times New Roman" w:hAnsi="Times New Roman" w:cs="Times New Roman"/>
          <w:bCs/>
          <w:color w:val="auto"/>
        </w:rPr>
        <w:t xml:space="preserve"> </w:t>
      </w:r>
    </w:p>
    <w:p w14:paraId="36D00ED9" w14:textId="77777777" w:rsidR="001C05E4" w:rsidRPr="001C05E4" w:rsidRDefault="001C05E4" w:rsidP="001C05E4">
      <w:pPr>
        <w:ind w:firstLineChars="100" w:firstLine="211"/>
        <w:rPr>
          <w:rFonts w:cs="Times New Roman"/>
          <w:b/>
          <w:bCs/>
        </w:rPr>
      </w:pPr>
      <w:r w:rsidRPr="001C05E4">
        <w:rPr>
          <w:rFonts w:cs="Times New Roman"/>
          <w:b/>
          <w:bCs/>
        </w:rPr>
        <w:t xml:space="preserve">4 </w:t>
      </w:r>
      <w:r w:rsidRPr="001C05E4">
        <w:rPr>
          <w:rFonts w:cs="Times New Roman"/>
          <w:b/>
          <w:bCs/>
        </w:rPr>
        <w:t>定期对各类用水水质进行检测、公示，得</w:t>
      </w:r>
      <w:r w:rsidRPr="001C05E4">
        <w:rPr>
          <w:rFonts w:cs="Times New Roman"/>
          <w:b/>
          <w:bCs/>
        </w:rPr>
        <w:t>2</w:t>
      </w:r>
      <w:r w:rsidRPr="001C05E4">
        <w:rPr>
          <w:rFonts w:cs="Times New Roman"/>
          <w:b/>
          <w:bCs/>
        </w:rPr>
        <w:t>分。</w:t>
      </w:r>
    </w:p>
    <w:p w14:paraId="4F19E704" w14:textId="4DA46553" w:rsidR="00715ABB" w:rsidRPr="0081478A" w:rsidRDefault="00F44390" w:rsidP="006C79E9">
      <w:pPr>
        <w:pStyle w:val="20"/>
      </w:pPr>
      <w:r w:rsidRPr="0081478A">
        <w:t>【条文说明】</w:t>
      </w:r>
    </w:p>
    <w:p w14:paraId="3B70E0A6" w14:textId="77777777" w:rsidR="00841AA3" w:rsidRPr="00530A11" w:rsidRDefault="00841AA3" w:rsidP="00841AA3">
      <w:pPr>
        <w:ind w:firstLine="420"/>
        <w:rPr>
          <w:szCs w:val="24"/>
        </w:rPr>
      </w:pPr>
      <w:r w:rsidRPr="00530A11">
        <w:t>本条适用于各类民用建筑的评价。在项目投入使用前评价，本条不得分。</w:t>
      </w:r>
    </w:p>
    <w:p w14:paraId="74671951" w14:textId="77777777" w:rsidR="00841AA3" w:rsidRPr="00530A11" w:rsidRDefault="00841AA3" w:rsidP="00841AA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imes New Roman" w:cs="Times New Roman"/>
        </w:rPr>
        <w:t>10.2.5</w:t>
      </w:r>
      <w:r w:rsidRPr="00530A11">
        <w:rPr>
          <w:rFonts w:cs="Times New Roman"/>
        </w:rPr>
        <w:t>条、</w:t>
      </w:r>
      <w:r w:rsidRPr="00530A11">
        <w:rPr>
          <w:rFonts w:eastAsia="Times New Roman" w:cs="Times New Roman"/>
        </w:rPr>
        <w:t>10.2.</w:t>
      </w:r>
      <w:r w:rsidRPr="00530A11">
        <w:rPr>
          <w:rFonts w:eastAsiaTheme="minorEastAsia" w:cs="Times New Roman"/>
        </w:rPr>
        <w:t>7</w:t>
      </w:r>
      <w:r w:rsidRPr="00530A11">
        <w:rPr>
          <w:rFonts w:cs="Times New Roman"/>
        </w:rPr>
        <w:t>条，地方标准</w:t>
      </w:r>
      <w:r w:rsidRPr="00530A11">
        <w:rPr>
          <w:rFonts w:cs="Times New Roman"/>
        </w:rPr>
        <w:t>2014</w:t>
      </w:r>
      <w:r w:rsidRPr="00530A11">
        <w:rPr>
          <w:rFonts w:cs="Times New Roman"/>
        </w:rPr>
        <w:t>版第</w:t>
      </w:r>
      <w:r w:rsidRPr="00530A11">
        <w:rPr>
          <w:rFonts w:eastAsia="Times New Roman" w:cs="Times New Roman"/>
        </w:rPr>
        <w:t>10.2.5</w:t>
      </w:r>
      <w:r w:rsidRPr="00530A11">
        <w:rPr>
          <w:rFonts w:cs="Times New Roman"/>
        </w:rPr>
        <w:t>条、</w:t>
      </w:r>
      <w:r w:rsidRPr="00530A11">
        <w:rPr>
          <w:rFonts w:eastAsia="Times New Roman" w:cs="Times New Roman"/>
        </w:rPr>
        <w:t>10.2.8</w:t>
      </w:r>
      <w:r w:rsidRPr="00530A11">
        <w:rPr>
          <w:rFonts w:cs="Times New Roman"/>
        </w:rPr>
        <w:t>条的基础上发展而来。</w:t>
      </w:r>
    </w:p>
    <w:p w14:paraId="32433089"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1</w:t>
      </w:r>
      <w:r w:rsidRPr="00530A11">
        <w:rPr>
          <w:rFonts w:cs="Times New Roman"/>
        </w:rPr>
        <w:t>款，对绿色建筑的运营效果进行评估是及时发现和解决建筑运营问题的重要手段，也是优化绿色建筑运行的重要途径。绿色建筑涉及的专业面广，所以制定绿色建筑运营效果评估技术方案和评估计划，是评估有序和全面开展的保障条件。根据评估结果，可发现绿色建筑是否达到预期运行目标，进而针对发现的运营问题制定绿色建筑优化运营方案，保持甚至提升绿色建筑运行效率和运营效果。</w:t>
      </w:r>
    </w:p>
    <w:p w14:paraId="56A9D834"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2</w:t>
      </w:r>
      <w:r w:rsidRPr="00530A11">
        <w:rPr>
          <w:rFonts w:cs="Times New Roman"/>
        </w:rPr>
        <w:t>款，保持建筑及其区域的公共设施设备系统、装置运行正常，做好定期巡检和维保工作，是绿色建筑长期运行管理中实现各项目标的基础。制定的管理制度、巡检规定、作业标准及相应的维保计划是保障使用者安全、健康的基本保障。定期的巡检包括：公共设施设备</w:t>
      </w:r>
      <w:r w:rsidRPr="00530A11">
        <w:rPr>
          <w:rFonts w:eastAsia="Times New Roman" w:cs="Times New Roman"/>
        </w:rPr>
        <w:t>(</w:t>
      </w:r>
      <w:r w:rsidRPr="00530A11">
        <w:rPr>
          <w:rFonts w:cs="Times New Roman"/>
        </w:rPr>
        <w:t>管道井、绿化、路灯、外门窗等</w:t>
      </w:r>
      <w:r w:rsidRPr="00530A11">
        <w:rPr>
          <w:rFonts w:eastAsia="Times New Roman" w:cs="Times New Roman"/>
        </w:rPr>
        <w:t>)</w:t>
      </w:r>
      <w:r w:rsidRPr="00530A11">
        <w:rPr>
          <w:rFonts w:cs="Times New Roman"/>
        </w:rPr>
        <w:t>的安全、完好程度、卫生情况等；设备间</w:t>
      </w:r>
      <w:r w:rsidRPr="00530A11">
        <w:rPr>
          <w:rFonts w:eastAsia="Times New Roman" w:cs="Times New Roman"/>
        </w:rPr>
        <w:t>(</w:t>
      </w:r>
      <w:r w:rsidRPr="00530A11">
        <w:rPr>
          <w:rFonts w:cs="Times New Roman"/>
        </w:rPr>
        <w:t>配电室、机电系统机房、泵房</w:t>
      </w:r>
      <w:r w:rsidRPr="00530A11">
        <w:rPr>
          <w:rFonts w:eastAsia="Times New Roman" w:cs="Times New Roman"/>
        </w:rPr>
        <w:t>)</w:t>
      </w:r>
      <w:r w:rsidRPr="00530A11">
        <w:rPr>
          <w:rFonts w:cs="Times New Roman"/>
        </w:rPr>
        <w:t>的运行参数、状态、卫生等；消防设备设施</w:t>
      </w:r>
      <w:r w:rsidRPr="00530A11">
        <w:rPr>
          <w:rFonts w:eastAsia="Times New Roman" w:cs="Times New Roman"/>
        </w:rPr>
        <w:t>(</w:t>
      </w:r>
      <w:r w:rsidRPr="00530A11">
        <w:rPr>
          <w:rFonts w:cs="Times New Roman"/>
        </w:rPr>
        <w:t>室外消防栓、自动报警系统、灭火器</w:t>
      </w:r>
      <w:r w:rsidRPr="00530A11">
        <w:rPr>
          <w:rFonts w:eastAsia="Times New Roman" w:cs="Times New Roman"/>
        </w:rPr>
        <w:t>)</w:t>
      </w:r>
      <w:r w:rsidRPr="00530A11">
        <w:rPr>
          <w:rFonts w:cs="Times New Roman"/>
        </w:rPr>
        <w:t>等完好程度、标识、状态等；建筑完损等级评定</w:t>
      </w:r>
      <w:r w:rsidRPr="00530A11">
        <w:rPr>
          <w:rFonts w:eastAsia="Times New Roman" w:cs="Times New Roman"/>
        </w:rPr>
        <w:t>(</w:t>
      </w:r>
      <w:r w:rsidRPr="00530A11">
        <w:rPr>
          <w:rFonts w:cs="Times New Roman"/>
        </w:rPr>
        <w:t>结构部分的墙体，楼盖，楼地面、幕墙，装修部分的门窗，外装饰、细木装修，内墙抹灰</w:t>
      </w:r>
      <w:r w:rsidRPr="00530A11">
        <w:rPr>
          <w:rFonts w:eastAsia="Times New Roman" w:cs="Times New Roman"/>
        </w:rPr>
        <w:t>)</w:t>
      </w:r>
      <w:r w:rsidRPr="00530A11">
        <w:rPr>
          <w:rFonts w:cs="Times New Roman"/>
        </w:rPr>
        <w:t>的安全检测、防锈防腐等，以上内容还应做好归档和记录。</w:t>
      </w:r>
    </w:p>
    <w:p w14:paraId="4CD813F6" w14:textId="77777777" w:rsidR="00841AA3" w:rsidRPr="00530A11" w:rsidRDefault="00841AA3" w:rsidP="00841AA3">
      <w:pPr>
        <w:ind w:firstLine="420"/>
        <w:rPr>
          <w:rFonts w:eastAsia="Times New Roman" w:cs="Times New Roman"/>
        </w:rPr>
      </w:pPr>
      <w:r w:rsidRPr="00530A11">
        <w:rPr>
          <w:rFonts w:cs="Times New Roman"/>
        </w:rPr>
        <w:t>系统、设备、装置的检查、调适不仅限于新建建筑的试运行和竣工验收，而应是一项持续性、长期性的工作。建筑运行期间，所有与建筑运行相关的管理、运行状态，建筑构件的耐久性、安全性等会随时间、环境、使用需求调整而发生变化，因此持续到位的维护特别重要。</w:t>
      </w:r>
    </w:p>
    <w:p w14:paraId="1882B2BD"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3</w:t>
      </w:r>
      <w:r w:rsidRPr="00530A11">
        <w:rPr>
          <w:rFonts w:cs="Times New Roman"/>
        </w:rPr>
        <w:t>款，物业管理机构有责任定期</w:t>
      </w:r>
      <w:r w:rsidRPr="00530A11">
        <w:rPr>
          <w:rFonts w:eastAsia="Times New Roman" w:cs="Times New Roman"/>
        </w:rPr>
        <w:t>(</w:t>
      </w:r>
      <w:r w:rsidRPr="00530A11">
        <w:rPr>
          <w:rFonts w:cs="Times New Roman"/>
        </w:rPr>
        <w:t>每年</w:t>
      </w:r>
      <w:r w:rsidRPr="00530A11">
        <w:rPr>
          <w:rFonts w:eastAsia="Times New Roman" w:cs="Times New Roman"/>
        </w:rPr>
        <w:t>)</w:t>
      </w:r>
      <w:r w:rsidRPr="00530A11">
        <w:rPr>
          <w:rFonts w:cs="Times New Roman"/>
        </w:rPr>
        <w:t>开展能源诊断。住宅类建筑能源诊断的内容主</w:t>
      </w:r>
      <w:r w:rsidRPr="00530A11">
        <w:rPr>
          <w:rFonts w:cs="Times New Roman"/>
        </w:rPr>
        <w:lastRenderedPageBreak/>
        <w:t>要包括：能耗现状调查、室内热环境和暖通空调系统等现状诊断。住宅类建筑能源诊断检测方法可参照现行行业标准《居住建筑节能检测标准》</w:t>
      </w:r>
      <w:r w:rsidRPr="00530A11">
        <w:rPr>
          <w:rFonts w:eastAsia="Times New Roman" w:cs="Times New Roman"/>
        </w:rPr>
        <w:t>JGJ/T 132</w:t>
      </w:r>
      <w:r w:rsidRPr="00530A11">
        <w:rPr>
          <w:rFonts w:cs="Times New Roman"/>
        </w:rPr>
        <w:t>的有关规定。公共建筑能源诊断的内容主要包括：冷水机组、热泵机组的实际性能系数、锅炉运行效率、水泵效率、水系统补水率、水系统供回水温差、冷却塔冷却性能、风机单位风量耗功率、风系统平衡度等，公共建筑能源诊断检测方法可参照现行行业标准《公共建筑节能检测标准》</w:t>
      </w:r>
      <w:r w:rsidRPr="00530A11">
        <w:rPr>
          <w:rFonts w:eastAsia="Times New Roman" w:cs="Times New Roman"/>
        </w:rPr>
        <w:t>JGJ/T 177</w:t>
      </w:r>
      <w:r w:rsidRPr="00530A11">
        <w:rPr>
          <w:rFonts w:eastAsiaTheme="minorEastAsia" w:cs="Times New Roman"/>
        </w:rPr>
        <w:t>，或其他行业、协会团体标准</w:t>
      </w:r>
      <w:r w:rsidRPr="00530A11">
        <w:rPr>
          <w:rFonts w:cs="Times New Roman"/>
        </w:rPr>
        <w:t>的有关规定。</w:t>
      </w:r>
    </w:p>
    <w:p w14:paraId="690FC57D"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4</w:t>
      </w:r>
      <w:r w:rsidRPr="00530A11">
        <w:rPr>
          <w:rFonts w:cs="Times New Roman"/>
        </w:rPr>
        <w:t>款，水质的检测应按现行国家标准《生活饮用水标准检验方法》</w:t>
      </w:r>
      <w:r w:rsidRPr="00530A11">
        <w:rPr>
          <w:rFonts w:eastAsia="Times New Roman" w:cs="Times New Roman"/>
        </w:rPr>
        <w:t>GB/T 5750</w:t>
      </w:r>
      <w:r w:rsidRPr="00530A11">
        <w:rPr>
          <w:rFonts w:cs="Times New Roman"/>
        </w:rPr>
        <w:t>．</w:t>
      </w:r>
      <w:r w:rsidRPr="00530A11">
        <w:rPr>
          <w:rFonts w:eastAsia="Times New Roman" w:cs="Times New Roman"/>
        </w:rPr>
        <w:t>1</w:t>
      </w:r>
      <w:r w:rsidRPr="00530A11">
        <w:rPr>
          <w:rFonts w:cs="Times New Roman"/>
        </w:rPr>
        <w:t>～</w:t>
      </w:r>
      <w:r w:rsidRPr="00530A11">
        <w:rPr>
          <w:rFonts w:eastAsia="Times New Roman" w:cs="Times New Roman"/>
        </w:rPr>
        <w:t>GB/T 5750</w:t>
      </w:r>
      <w:r w:rsidRPr="00530A11">
        <w:rPr>
          <w:rFonts w:cs="Times New Roman"/>
        </w:rPr>
        <w:t>．</w:t>
      </w:r>
      <w:r w:rsidRPr="00530A11">
        <w:rPr>
          <w:rFonts w:eastAsia="Times New Roman" w:cs="Times New Roman"/>
        </w:rPr>
        <w:t>13</w:t>
      </w:r>
      <w:r w:rsidRPr="00530A11">
        <w:rPr>
          <w:rFonts w:cs="Times New Roman"/>
        </w:rPr>
        <w:t>、现行行业标准《城镇供水水质标准检验方法》</w:t>
      </w:r>
      <w:r w:rsidRPr="00530A11">
        <w:rPr>
          <w:rFonts w:eastAsia="Times New Roman" w:cs="Times New Roman"/>
        </w:rPr>
        <w:t>CJ/T 141</w:t>
      </w:r>
      <w:r w:rsidRPr="00530A11">
        <w:rPr>
          <w:rFonts w:cs="Times New Roman"/>
        </w:rPr>
        <w:t>等标准执行，并保证至少每季度对各类用水水质的常规指标进行</w:t>
      </w:r>
      <w:r w:rsidRPr="00530A11">
        <w:rPr>
          <w:rFonts w:eastAsia="Times New Roman" w:cs="Times New Roman"/>
        </w:rPr>
        <w:t>1</w:t>
      </w:r>
      <w:r w:rsidRPr="00530A11">
        <w:rPr>
          <w:rFonts w:cs="Times New Roman"/>
        </w:rPr>
        <w:t>次检测。</w:t>
      </w:r>
    </w:p>
    <w:p w14:paraId="1D183B88" w14:textId="77777777" w:rsidR="00841AA3" w:rsidRPr="00530A11" w:rsidRDefault="00841AA3" w:rsidP="00841AA3">
      <w:pPr>
        <w:ind w:firstLine="420"/>
        <w:rPr>
          <w:rFonts w:cs="Times New Roman"/>
        </w:rPr>
      </w:pPr>
      <w:r w:rsidRPr="00530A11">
        <w:rPr>
          <w:rFonts w:cs="Times New Roman"/>
        </w:rPr>
        <w:t>对于第</w:t>
      </w:r>
      <w:r w:rsidRPr="00530A11">
        <w:rPr>
          <w:rFonts w:eastAsia="Times New Roman" w:cs="Times New Roman"/>
        </w:rPr>
        <w:t>3</w:t>
      </w:r>
      <w:r w:rsidRPr="00530A11">
        <w:rPr>
          <w:rFonts w:cs="Times New Roman"/>
        </w:rPr>
        <w:t>款和第</w:t>
      </w:r>
      <w:r w:rsidRPr="00530A11">
        <w:rPr>
          <w:rFonts w:eastAsia="Times New Roman" w:cs="Times New Roman"/>
        </w:rPr>
        <w:t>4</w:t>
      </w:r>
      <w:r w:rsidRPr="00530A11">
        <w:rPr>
          <w:rFonts w:cs="Times New Roman"/>
        </w:rPr>
        <w:t>款，能源诊断和水质检测可由物业管理部门自检，或委托具有资质的第三方检测机构进行定期检测。物业管理部门应保存历年的能源和水质检测记录，并至少提供最近一年完整机电系统作业标准、各类检测器的标定记录、运行数据或第三方检测的数据等资料，不断提升设备系统的性能。</w:t>
      </w:r>
    </w:p>
    <w:p w14:paraId="32B1C663" w14:textId="77777777" w:rsidR="00011E42" w:rsidRPr="006C79E9" w:rsidRDefault="00011E42" w:rsidP="006C79E9">
      <w:pPr>
        <w:pStyle w:val="20"/>
      </w:pPr>
      <w:r w:rsidRPr="0081478A">
        <w:t>【评价要点】</w:t>
      </w:r>
    </w:p>
    <w:p w14:paraId="691498A2" w14:textId="025D8898" w:rsidR="00011E42" w:rsidRDefault="004B1C1D" w:rsidP="00011E42">
      <w:pPr>
        <w:ind w:firstLine="420"/>
        <w:rPr>
          <w:rFonts w:cs="Times New Roman"/>
        </w:rPr>
      </w:pPr>
      <w:r>
        <w:rPr>
          <w:rFonts w:eastAsia="Times New Roman" w:cs="Times New Roman"/>
        </w:rPr>
        <w:t>1.</w:t>
      </w:r>
      <w:r w:rsidR="00011E42" w:rsidRPr="0081478A">
        <w:rPr>
          <w:rFonts w:cs="Times New Roman"/>
        </w:rPr>
        <w:t>查阅相关设备的检查、调试、运行、标定记录，以及能效改进方案等文件。审核物业管理机构的设备管理措施、检查调试、运行记录，审查设备能效改造等方案、施工文档和改造后的运行记录，调试与运行记录应完整。由于运营评价期在建筑投运后一年，一般还不需要作规模化改造，但可根据运行的情况发现问题，并进行有效的局部改进。</w:t>
      </w:r>
    </w:p>
    <w:p w14:paraId="594DD1E9" w14:textId="3ADED596" w:rsidR="004B1C1D" w:rsidRPr="0081478A" w:rsidRDefault="004B1C1D" w:rsidP="00011E42">
      <w:pPr>
        <w:ind w:firstLine="420"/>
        <w:rPr>
          <w:rFonts w:cs="Times New Roman"/>
        </w:rPr>
      </w:pPr>
      <w:r>
        <w:rPr>
          <w:rFonts w:cs="Times New Roman" w:hint="eastAsia"/>
        </w:rPr>
        <w:t>2</w:t>
      </w:r>
      <w:r>
        <w:rPr>
          <w:rFonts w:cs="Times New Roman"/>
        </w:rPr>
        <w:t>.</w:t>
      </w:r>
      <w:r w:rsidR="004A3129" w:rsidRPr="00530A11">
        <w:rPr>
          <w:rFonts w:cs="Times New Roman"/>
        </w:rPr>
        <w:t>物业管理机构</w:t>
      </w:r>
      <w:r w:rsidR="004A3129">
        <w:rPr>
          <w:rFonts w:cs="Times New Roman" w:hint="eastAsia"/>
        </w:rPr>
        <w:t>按照</w:t>
      </w:r>
      <w:r w:rsidR="004A3129" w:rsidRPr="00530A11">
        <w:rPr>
          <w:rFonts w:cs="Times New Roman"/>
        </w:rPr>
        <w:t>现行行业标准《居住建筑节能检测标准》</w:t>
      </w:r>
      <w:r w:rsidR="004A3129" w:rsidRPr="00530A11">
        <w:rPr>
          <w:rFonts w:eastAsia="Times New Roman" w:cs="Times New Roman"/>
        </w:rPr>
        <w:t>JGJ/T 132</w:t>
      </w:r>
      <w:r w:rsidR="004A3129" w:rsidRPr="00530A11">
        <w:rPr>
          <w:rFonts w:cs="Times New Roman"/>
        </w:rPr>
        <w:t>《公共建筑节能检测标准》</w:t>
      </w:r>
      <w:r w:rsidR="004A3129" w:rsidRPr="00530A11">
        <w:rPr>
          <w:rFonts w:eastAsia="Times New Roman" w:cs="Times New Roman"/>
        </w:rPr>
        <w:t>JGJ/T 177</w:t>
      </w:r>
      <w:r w:rsidR="004A3129">
        <w:rPr>
          <w:rFonts w:ascii="宋体" w:hAnsi="宋体" w:cs="宋体" w:hint="eastAsia"/>
        </w:rPr>
        <w:t>等相关标准</w:t>
      </w:r>
      <w:r w:rsidR="004A3129" w:rsidRPr="00530A11">
        <w:rPr>
          <w:rFonts w:cs="Times New Roman"/>
        </w:rPr>
        <w:t>定期</w:t>
      </w:r>
      <w:r w:rsidR="004A3129" w:rsidRPr="00530A11">
        <w:rPr>
          <w:rFonts w:eastAsia="Times New Roman" w:cs="Times New Roman"/>
        </w:rPr>
        <w:t>(</w:t>
      </w:r>
      <w:r w:rsidR="004A3129" w:rsidRPr="00530A11">
        <w:rPr>
          <w:rFonts w:cs="Times New Roman"/>
        </w:rPr>
        <w:t>每年</w:t>
      </w:r>
      <w:r w:rsidR="004A3129" w:rsidRPr="00530A11">
        <w:rPr>
          <w:rFonts w:eastAsia="Times New Roman" w:cs="Times New Roman"/>
        </w:rPr>
        <w:t>)</w:t>
      </w:r>
      <w:r w:rsidR="004A3129" w:rsidRPr="00530A11">
        <w:rPr>
          <w:rFonts w:cs="Times New Roman"/>
        </w:rPr>
        <w:t>开展能源诊断</w:t>
      </w:r>
      <w:r w:rsidR="004A3129">
        <w:rPr>
          <w:rFonts w:cs="Times New Roman" w:hint="eastAsia"/>
        </w:rPr>
        <w:t>，并</w:t>
      </w:r>
      <w:r w:rsidR="004A3129" w:rsidRPr="001C05E4">
        <w:rPr>
          <w:rFonts w:cs="Times New Roman"/>
          <w:bCs/>
        </w:rPr>
        <w:t>制定优化方案并</w:t>
      </w:r>
      <w:r w:rsidR="004A3129">
        <w:rPr>
          <w:rFonts w:cs="Times New Roman" w:hint="eastAsia"/>
          <w:bCs/>
        </w:rPr>
        <w:t>实施。</w:t>
      </w:r>
    </w:p>
    <w:p w14:paraId="5630626E" w14:textId="4CACF64C" w:rsidR="00011E42" w:rsidRPr="0081478A" w:rsidRDefault="004B1C1D" w:rsidP="00745401">
      <w:pPr>
        <w:ind w:firstLine="420"/>
        <w:rPr>
          <w:rFonts w:cs="Times New Roman"/>
        </w:rPr>
      </w:pPr>
      <w:r>
        <w:rPr>
          <w:rFonts w:eastAsia="Times New Roman" w:cs="Times New Roman"/>
        </w:rPr>
        <w:t>3.</w:t>
      </w:r>
      <w:r w:rsidR="00011E42" w:rsidRPr="0081478A">
        <w:rPr>
          <w:rFonts w:cs="Times New Roman"/>
        </w:rPr>
        <w:t>水质检测报告包括日常自检记录及委托有资质的第三方检测机构提供的检测报告，检测报告应包含检测时间、检测项目、检测方法、检测结果等；用水量记录应至少提供完整一年的总用水量记录及各分项用水量记录；运行分析报告应体现项目的设计情况、运行过程分析、运行评价等。</w:t>
      </w:r>
    </w:p>
    <w:p w14:paraId="193CFF2A" w14:textId="77777777" w:rsidR="00011E42" w:rsidRPr="0081478A" w:rsidRDefault="00011E42" w:rsidP="00011E42">
      <w:pPr>
        <w:ind w:firstLine="420"/>
        <w:rPr>
          <w:rFonts w:cs="Times New Roman"/>
        </w:rPr>
      </w:pPr>
      <w:r w:rsidRPr="0081478A">
        <w:rPr>
          <w:rFonts w:cs="Times New Roman"/>
        </w:rPr>
        <w:t>非传统水源应满足现行国家标准《城市污水再生利用城市杂用水水质》（</w:t>
      </w:r>
      <w:r w:rsidRPr="0081478A">
        <w:rPr>
          <w:rFonts w:cs="Times New Roman"/>
        </w:rPr>
        <w:t>GB/T 18920—2002</w:t>
      </w:r>
      <w:r w:rsidRPr="0081478A">
        <w:rPr>
          <w:rFonts w:cs="Times New Roman"/>
        </w:rPr>
        <w:t>）的要求。非传统水源的水质检测间隔应不小于</w:t>
      </w:r>
      <w:r w:rsidRPr="0081478A">
        <w:rPr>
          <w:rFonts w:cs="Times New Roman"/>
        </w:rPr>
        <w:t>1</w:t>
      </w:r>
      <w:r w:rsidRPr="0081478A">
        <w:rPr>
          <w:rFonts w:cs="Times New Roman"/>
        </w:rPr>
        <w:t>个月，同时，应提供非传统水源的供水量记录。</w:t>
      </w:r>
    </w:p>
    <w:p w14:paraId="5415A2A2" w14:textId="77777777" w:rsidR="00011E42" w:rsidRPr="0081478A" w:rsidRDefault="00011E42" w:rsidP="00011E42">
      <w:pPr>
        <w:ind w:firstLine="420"/>
        <w:rPr>
          <w:rFonts w:cs="Times New Roman"/>
        </w:rPr>
      </w:pPr>
      <w:r w:rsidRPr="0081478A">
        <w:rPr>
          <w:rFonts w:cs="Times New Roman"/>
        </w:rPr>
        <w:t>城市杂用水的水质应符合表</w:t>
      </w:r>
      <w:r w:rsidR="00745401" w:rsidRPr="0081478A">
        <w:rPr>
          <w:rFonts w:cs="Times New Roman"/>
        </w:rPr>
        <w:t>6.2.13-1</w:t>
      </w:r>
      <w:r w:rsidRPr="0081478A">
        <w:rPr>
          <w:rFonts w:cs="Times New Roman"/>
        </w:rPr>
        <w:t>的规定。</w:t>
      </w:r>
    </w:p>
    <w:p w14:paraId="5D0CF96A" w14:textId="77777777" w:rsidR="00011E42" w:rsidRPr="0081478A" w:rsidRDefault="00011E42" w:rsidP="00745401">
      <w:pPr>
        <w:pStyle w:val="ae"/>
        <w:rPr>
          <w:rFonts w:eastAsia="黑体" w:cs="Times New Roman"/>
          <w:b w:val="0"/>
          <w:bCs/>
          <w:kern w:val="0"/>
          <w:sz w:val="18"/>
          <w:szCs w:val="18"/>
        </w:rPr>
      </w:pPr>
      <w:r w:rsidRPr="0081478A">
        <w:rPr>
          <w:rFonts w:cs="Times New Roman"/>
          <w:b w:val="0"/>
          <w:bCs/>
        </w:rPr>
        <w:t>表</w:t>
      </w:r>
      <w:r w:rsidR="00745401" w:rsidRPr="0081478A">
        <w:rPr>
          <w:rFonts w:cs="Times New Roman"/>
          <w:b w:val="0"/>
          <w:bCs/>
        </w:rPr>
        <w:t>6.2.13-1</w:t>
      </w:r>
      <w:r w:rsidRPr="0081478A">
        <w:rPr>
          <w:rFonts w:cs="Times New Roman"/>
          <w:b w:val="0"/>
          <w:bCs/>
        </w:rPr>
        <w:t xml:space="preserve"> </w:t>
      </w:r>
      <w:r w:rsidRPr="0081478A">
        <w:rPr>
          <w:rFonts w:cs="Times New Roman"/>
          <w:b w:val="0"/>
          <w:bCs/>
        </w:rPr>
        <w:t>城市杂用水水质标准</w:t>
      </w:r>
    </w:p>
    <w:tbl>
      <w:tblPr>
        <w:tblW w:w="73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0A0" w:firstRow="1" w:lastRow="0" w:firstColumn="1" w:lastColumn="0" w:noHBand="0" w:noVBand="0"/>
      </w:tblPr>
      <w:tblGrid>
        <w:gridCol w:w="514"/>
        <w:gridCol w:w="3053"/>
        <w:gridCol w:w="639"/>
        <w:gridCol w:w="880"/>
        <w:gridCol w:w="760"/>
        <w:gridCol w:w="759"/>
        <w:gridCol w:w="760"/>
      </w:tblGrid>
      <w:tr w:rsidR="0081478A" w:rsidRPr="0081478A" w14:paraId="3D1C4C0D" w14:textId="77777777" w:rsidTr="00745401">
        <w:trPr>
          <w:jc w:val="center"/>
        </w:trPr>
        <w:tc>
          <w:tcPr>
            <w:tcW w:w="515" w:type="dxa"/>
            <w:vAlign w:val="center"/>
            <w:hideMark/>
          </w:tcPr>
          <w:p w14:paraId="55C94C2C" w14:textId="77777777" w:rsidR="00011E42" w:rsidRPr="0081478A" w:rsidRDefault="00011E42" w:rsidP="00745401">
            <w:pPr>
              <w:pStyle w:val="ae"/>
              <w:rPr>
                <w:rFonts w:cs="Times New Roman"/>
                <w:b w:val="0"/>
                <w:bCs/>
              </w:rPr>
            </w:pPr>
            <w:r w:rsidRPr="0081478A">
              <w:rPr>
                <w:rFonts w:cs="Times New Roman"/>
                <w:b w:val="0"/>
                <w:bCs/>
              </w:rPr>
              <w:lastRenderedPageBreak/>
              <w:t>序号</w:t>
            </w:r>
          </w:p>
        </w:tc>
        <w:tc>
          <w:tcPr>
            <w:tcW w:w="3056" w:type="dxa"/>
            <w:vAlign w:val="center"/>
            <w:hideMark/>
          </w:tcPr>
          <w:p w14:paraId="267C06B5" w14:textId="77777777" w:rsidR="00011E42" w:rsidRPr="0081478A" w:rsidRDefault="00011E42" w:rsidP="00745401">
            <w:pPr>
              <w:pStyle w:val="ae"/>
              <w:rPr>
                <w:rFonts w:cs="Times New Roman"/>
                <w:b w:val="0"/>
                <w:bCs/>
              </w:rPr>
            </w:pPr>
            <w:r w:rsidRPr="0081478A">
              <w:rPr>
                <w:rFonts w:cs="Times New Roman"/>
                <w:b w:val="0"/>
                <w:bCs/>
              </w:rPr>
              <w:t>项目</w:t>
            </w:r>
          </w:p>
        </w:tc>
        <w:tc>
          <w:tcPr>
            <w:tcW w:w="639" w:type="dxa"/>
            <w:vAlign w:val="center"/>
            <w:hideMark/>
          </w:tcPr>
          <w:p w14:paraId="7F1A159B" w14:textId="77777777" w:rsidR="00011E42" w:rsidRPr="0081478A" w:rsidRDefault="00011E42" w:rsidP="00745401">
            <w:pPr>
              <w:pStyle w:val="ae"/>
              <w:rPr>
                <w:rFonts w:cs="Times New Roman"/>
                <w:b w:val="0"/>
                <w:bCs/>
              </w:rPr>
            </w:pPr>
            <w:r w:rsidRPr="0081478A">
              <w:rPr>
                <w:rFonts w:cs="Times New Roman"/>
                <w:b w:val="0"/>
                <w:bCs/>
              </w:rPr>
              <w:t>冲厕</w:t>
            </w:r>
          </w:p>
        </w:tc>
        <w:tc>
          <w:tcPr>
            <w:tcW w:w="881" w:type="dxa"/>
            <w:vAlign w:val="center"/>
            <w:hideMark/>
          </w:tcPr>
          <w:p w14:paraId="26BBE2EE" w14:textId="77777777" w:rsidR="00011E42" w:rsidRPr="0081478A" w:rsidRDefault="00011E42" w:rsidP="00745401">
            <w:pPr>
              <w:pStyle w:val="ae"/>
              <w:rPr>
                <w:rFonts w:cs="Times New Roman"/>
                <w:b w:val="0"/>
                <w:bCs/>
              </w:rPr>
            </w:pPr>
            <w:r w:rsidRPr="0081478A">
              <w:rPr>
                <w:rFonts w:cs="Times New Roman"/>
                <w:b w:val="0"/>
                <w:bCs/>
              </w:rPr>
              <w:t>道路清</w:t>
            </w:r>
            <w:r w:rsidRPr="0081478A">
              <w:rPr>
                <w:rFonts w:cs="Times New Roman"/>
                <w:b w:val="0"/>
                <w:bCs/>
              </w:rPr>
              <w:br/>
            </w:r>
            <w:r w:rsidRPr="0081478A">
              <w:rPr>
                <w:rFonts w:cs="Times New Roman"/>
                <w:b w:val="0"/>
                <w:bCs/>
              </w:rPr>
              <w:t>扫消防</w:t>
            </w:r>
          </w:p>
        </w:tc>
        <w:tc>
          <w:tcPr>
            <w:tcW w:w="760" w:type="dxa"/>
            <w:vAlign w:val="center"/>
            <w:hideMark/>
          </w:tcPr>
          <w:p w14:paraId="10FD959D" w14:textId="77777777" w:rsidR="00011E42" w:rsidRPr="0081478A" w:rsidRDefault="00011E42" w:rsidP="00745401">
            <w:pPr>
              <w:pStyle w:val="ae"/>
              <w:rPr>
                <w:rFonts w:cs="Times New Roman"/>
                <w:b w:val="0"/>
                <w:bCs/>
              </w:rPr>
            </w:pPr>
            <w:r w:rsidRPr="0081478A">
              <w:rPr>
                <w:rFonts w:cs="Times New Roman"/>
                <w:b w:val="0"/>
                <w:bCs/>
              </w:rPr>
              <w:t>城市</w:t>
            </w:r>
          </w:p>
          <w:p w14:paraId="6B6150A5" w14:textId="77777777" w:rsidR="00011E42" w:rsidRPr="0081478A" w:rsidRDefault="00011E42" w:rsidP="00745401">
            <w:pPr>
              <w:pStyle w:val="ae"/>
              <w:rPr>
                <w:rFonts w:cs="Times New Roman"/>
                <w:b w:val="0"/>
                <w:bCs/>
              </w:rPr>
            </w:pPr>
            <w:r w:rsidRPr="0081478A">
              <w:rPr>
                <w:rFonts w:cs="Times New Roman"/>
                <w:b w:val="0"/>
                <w:bCs/>
              </w:rPr>
              <w:t>绿化</w:t>
            </w:r>
          </w:p>
        </w:tc>
        <w:tc>
          <w:tcPr>
            <w:tcW w:w="759" w:type="dxa"/>
            <w:vAlign w:val="center"/>
            <w:hideMark/>
          </w:tcPr>
          <w:p w14:paraId="0F5FB504" w14:textId="77777777" w:rsidR="00011E42" w:rsidRPr="0081478A" w:rsidRDefault="00011E42" w:rsidP="00745401">
            <w:pPr>
              <w:pStyle w:val="ae"/>
              <w:rPr>
                <w:rFonts w:cs="Times New Roman"/>
                <w:b w:val="0"/>
                <w:bCs/>
              </w:rPr>
            </w:pPr>
            <w:r w:rsidRPr="0081478A">
              <w:rPr>
                <w:rFonts w:cs="Times New Roman"/>
                <w:b w:val="0"/>
                <w:bCs/>
              </w:rPr>
              <w:t>车辆</w:t>
            </w:r>
          </w:p>
          <w:p w14:paraId="65B023A8" w14:textId="77777777" w:rsidR="00011E42" w:rsidRPr="0081478A" w:rsidRDefault="00011E42" w:rsidP="00745401">
            <w:pPr>
              <w:pStyle w:val="ae"/>
              <w:rPr>
                <w:rFonts w:cs="Times New Roman"/>
                <w:b w:val="0"/>
                <w:bCs/>
              </w:rPr>
            </w:pPr>
            <w:r w:rsidRPr="0081478A">
              <w:rPr>
                <w:rFonts w:cs="Times New Roman"/>
                <w:b w:val="0"/>
                <w:bCs/>
              </w:rPr>
              <w:t>冲洗</w:t>
            </w:r>
          </w:p>
        </w:tc>
        <w:tc>
          <w:tcPr>
            <w:tcW w:w="760" w:type="dxa"/>
            <w:vAlign w:val="center"/>
            <w:hideMark/>
          </w:tcPr>
          <w:p w14:paraId="3154CFA1" w14:textId="77777777" w:rsidR="00011E42" w:rsidRPr="0081478A" w:rsidRDefault="00011E42" w:rsidP="00745401">
            <w:pPr>
              <w:pStyle w:val="ae"/>
              <w:rPr>
                <w:rFonts w:cs="Times New Roman"/>
                <w:b w:val="0"/>
                <w:bCs/>
              </w:rPr>
            </w:pPr>
            <w:r w:rsidRPr="0081478A">
              <w:rPr>
                <w:rFonts w:cs="Times New Roman"/>
                <w:b w:val="0"/>
                <w:bCs/>
              </w:rPr>
              <w:t>建筑</w:t>
            </w:r>
          </w:p>
          <w:p w14:paraId="1DAE2709" w14:textId="77777777" w:rsidR="00011E42" w:rsidRPr="0081478A" w:rsidRDefault="00011E42" w:rsidP="00745401">
            <w:pPr>
              <w:pStyle w:val="ae"/>
              <w:rPr>
                <w:rFonts w:cs="Times New Roman"/>
                <w:b w:val="0"/>
                <w:bCs/>
              </w:rPr>
            </w:pPr>
            <w:r w:rsidRPr="0081478A">
              <w:rPr>
                <w:rFonts w:cs="Times New Roman"/>
                <w:b w:val="0"/>
                <w:bCs/>
              </w:rPr>
              <w:t>施工</w:t>
            </w:r>
          </w:p>
        </w:tc>
      </w:tr>
      <w:tr w:rsidR="0081478A" w:rsidRPr="0081478A" w14:paraId="226FB322" w14:textId="77777777" w:rsidTr="00745401">
        <w:trPr>
          <w:jc w:val="center"/>
        </w:trPr>
        <w:tc>
          <w:tcPr>
            <w:tcW w:w="515" w:type="dxa"/>
            <w:vAlign w:val="center"/>
            <w:hideMark/>
          </w:tcPr>
          <w:p w14:paraId="019E6904" w14:textId="77777777" w:rsidR="00011E42" w:rsidRPr="0081478A" w:rsidRDefault="00011E42" w:rsidP="00745401">
            <w:pPr>
              <w:pStyle w:val="ae"/>
              <w:rPr>
                <w:rFonts w:cs="Times New Roman"/>
                <w:b w:val="0"/>
                <w:bCs/>
              </w:rPr>
            </w:pPr>
            <w:r w:rsidRPr="0081478A">
              <w:rPr>
                <w:rFonts w:cs="Times New Roman"/>
                <w:b w:val="0"/>
                <w:bCs/>
              </w:rPr>
              <w:t>1</w:t>
            </w:r>
          </w:p>
        </w:tc>
        <w:tc>
          <w:tcPr>
            <w:tcW w:w="3056" w:type="dxa"/>
            <w:vAlign w:val="center"/>
            <w:hideMark/>
          </w:tcPr>
          <w:p w14:paraId="352F6D36" w14:textId="77777777" w:rsidR="00011E42" w:rsidRPr="0081478A" w:rsidRDefault="00011E42" w:rsidP="00745401">
            <w:pPr>
              <w:pStyle w:val="ae"/>
              <w:rPr>
                <w:rFonts w:cs="Times New Roman"/>
                <w:b w:val="0"/>
                <w:bCs/>
              </w:rPr>
            </w:pPr>
            <w:r w:rsidRPr="0081478A">
              <w:rPr>
                <w:rFonts w:cs="Times New Roman"/>
                <w:b w:val="0"/>
                <w:bCs/>
              </w:rPr>
              <w:t>pH</w:t>
            </w:r>
            <w:r w:rsidRPr="0081478A">
              <w:rPr>
                <w:rFonts w:cs="Times New Roman"/>
                <w:b w:val="0"/>
                <w:bCs/>
              </w:rPr>
              <w:t>值</w:t>
            </w:r>
          </w:p>
        </w:tc>
        <w:tc>
          <w:tcPr>
            <w:tcW w:w="3799" w:type="dxa"/>
            <w:gridSpan w:val="5"/>
            <w:vAlign w:val="center"/>
            <w:hideMark/>
          </w:tcPr>
          <w:p w14:paraId="777D7147" w14:textId="77777777" w:rsidR="00011E42" w:rsidRPr="0081478A" w:rsidRDefault="00011E42" w:rsidP="00745401">
            <w:pPr>
              <w:pStyle w:val="ae"/>
              <w:rPr>
                <w:rFonts w:cs="Times New Roman"/>
                <w:b w:val="0"/>
                <w:bCs/>
              </w:rPr>
            </w:pPr>
            <w:r w:rsidRPr="0081478A">
              <w:rPr>
                <w:rFonts w:cs="Times New Roman"/>
                <w:b w:val="0"/>
                <w:bCs/>
              </w:rPr>
              <w:t>6.0</w:t>
            </w:r>
            <w:r w:rsidRPr="0081478A">
              <w:rPr>
                <w:rFonts w:cs="Times New Roman"/>
                <w:b w:val="0"/>
                <w:bCs/>
              </w:rPr>
              <w:t>～</w:t>
            </w:r>
            <w:r w:rsidRPr="0081478A">
              <w:rPr>
                <w:rFonts w:cs="Times New Roman"/>
                <w:b w:val="0"/>
                <w:bCs/>
              </w:rPr>
              <w:t>9.0</w:t>
            </w:r>
          </w:p>
        </w:tc>
      </w:tr>
      <w:tr w:rsidR="0081478A" w:rsidRPr="0081478A" w14:paraId="33A88A00" w14:textId="77777777" w:rsidTr="00745401">
        <w:trPr>
          <w:jc w:val="center"/>
        </w:trPr>
        <w:tc>
          <w:tcPr>
            <w:tcW w:w="515" w:type="dxa"/>
            <w:vAlign w:val="center"/>
            <w:hideMark/>
          </w:tcPr>
          <w:p w14:paraId="3237E4A9" w14:textId="77777777" w:rsidR="00011E42" w:rsidRPr="0081478A" w:rsidRDefault="00011E42" w:rsidP="00745401">
            <w:pPr>
              <w:pStyle w:val="ae"/>
              <w:rPr>
                <w:rFonts w:cs="Times New Roman"/>
                <w:b w:val="0"/>
                <w:bCs/>
              </w:rPr>
            </w:pPr>
            <w:r w:rsidRPr="0081478A">
              <w:rPr>
                <w:rFonts w:cs="Times New Roman"/>
                <w:b w:val="0"/>
                <w:bCs/>
              </w:rPr>
              <w:t>2</w:t>
            </w:r>
          </w:p>
        </w:tc>
        <w:tc>
          <w:tcPr>
            <w:tcW w:w="3056" w:type="dxa"/>
            <w:vAlign w:val="center"/>
            <w:hideMark/>
          </w:tcPr>
          <w:p w14:paraId="254C01E9" w14:textId="3F3003F4" w:rsidR="00011E42" w:rsidRPr="0081478A" w:rsidRDefault="00011E42" w:rsidP="00745401">
            <w:pPr>
              <w:pStyle w:val="ae"/>
              <w:rPr>
                <w:rFonts w:cs="Times New Roman"/>
                <w:b w:val="0"/>
                <w:bCs/>
              </w:rPr>
            </w:pPr>
            <w:r w:rsidRPr="0081478A">
              <w:rPr>
                <w:rFonts w:cs="Times New Roman"/>
                <w:b w:val="0"/>
                <w:bCs/>
              </w:rPr>
              <w:t>色</w:t>
            </w:r>
            <w:r w:rsidRPr="0081478A">
              <w:rPr>
                <w:rFonts w:cs="Times New Roman"/>
                <w:b w:val="0"/>
                <w:bCs/>
              </w:rPr>
              <w:t>/</w:t>
            </w:r>
            <w:r w:rsidRPr="0081478A">
              <w:rPr>
                <w:rFonts w:cs="Times New Roman"/>
                <w:b w:val="0"/>
                <w:bCs/>
              </w:rPr>
              <w:t>度</w:t>
            </w:r>
            <w:r w:rsidRPr="0081478A">
              <w:rPr>
                <w:rFonts w:cs="Times New Roman"/>
                <w:b w:val="0"/>
                <w:bCs/>
              </w:rPr>
              <w:t>≤</w:t>
            </w:r>
          </w:p>
        </w:tc>
        <w:tc>
          <w:tcPr>
            <w:tcW w:w="3799" w:type="dxa"/>
            <w:gridSpan w:val="5"/>
            <w:vAlign w:val="center"/>
            <w:hideMark/>
          </w:tcPr>
          <w:p w14:paraId="6FF20B4D" w14:textId="77777777" w:rsidR="00011E42" w:rsidRPr="0081478A" w:rsidRDefault="00011E42" w:rsidP="00745401">
            <w:pPr>
              <w:pStyle w:val="ae"/>
              <w:rPr>
                <w:rFonts w:cs="Times New Roman"/>
                <w:b w:val="0"/>
                <w:bCs/>
              </w:rPr>
            </w:pPr>
            <w:r w:rsidRPr="0081478A">
              <w:rPr>
                <w:rFonts w:cs="Times New Roman"/>
                <w:b w:val="0"/>
                <w:bCs/>
              </w:rPr>
              <w:t>30</w:t>
            </w:r>
          </w:p>
        </w:tc>
      </w:tr>
      <w:tr w:rsidR="0081478A" w:rsidRPr="0081478A" w14:paraId="5FBF48E6" w14:textId="77777777" w:rsidTr="00745401">
        <w:trPr>
          <w:jc w:val="center"/>
        </w:trPr>
        <w:tc>
          <w:tcPr>
            <w:tcW w:w="515" w:type="dxa"/>
            <w:vAlign w:val="center"/>
            <w:hideMark/>
          </w:tcPr>
          <w:p w14:paraId="63C2F3BF" w14:textId="77777777" w:rsidR="00011E42" w:rsidRPr="0081478A" w:rsidRDefault="00011E42" w:rsidP="00745401">
            <w:pPr>
              <w:pStyle w:val="ae"/>
              <w:rPr>
                <w:rFonts w:cs="Times New Roman"/>
                <w:b w:val="0"/>
                <w:bCs/>
              </w:rPr>
            </w:pPr>
            <w:r w:rsidRPr="0081478A">
              <w:rPr>
                <w:rFonts w:cs="Times New Roman"/>
                <w:b w:val="0"/>
                <w:bCs/>
              </w:rPr>
              <w:t>3</w:t>
            </w:r>
          </w:p>
        </w:tc>
        <w:tc>
          <w:tcPr>
            <w:tcW w:w="3056" w:type="dxa"/>
            <w:vAlign w:val="center"/>
            <w:hideMark/>
          </w:tcPr>
          <w:p w14:paraId="490DC6BF" w14:textId="77777777" w:rsidR="00011E42" w:rsidRPr="0081478A" w:rsidRDefault="00011E42" w:rsidP="00745401">
            <w:pPr>
              <w:pStyle w:val="ae"/>
              <w:rPr>
                <w:rFonts w:cs="Times New Roman"/>
                <w:b w:val="0"/>
                <w:bCs/>
              </w:rPr>
            </w:pPr>
            <w:r w:rsidRPr="0081478A">
              <w:rPr>
                <w:rFonts w:cs="Times New Roman"/>
                <w:b w:val="0"/>
                <w:bCs/>
              </w:rPr>
              <w:t>嗅</w:t>
            </w:r>
          </w:p>
        </w:tc>
        <w:tc>
          <w:tcPr>
            <w:tcW w:w="3799" w:type="dxa"/>
            <w:gridSpan w:val="5"/>
            <w:vAlign w:val="center"/>
            <w:hideMark/>
          </w:tcPr>
          <w:p w14:paraId="308E577E" w14:textId="77777777" w:rsidR="00011E42" w:rsidRPr="0081478A" w:rsidRDefault="00011E42" w:rsidP="00745401">
            <w:pPr>
              <w:pStyle w:val="ae"/>
              <w:rPr>
                <w:rFonts w:cs="Times New Roman"/>
                <w:b w:val="0"/>
                <w:bCs/>
              </w:rPr>
            </w:pPr>
            <w:r w:rsidRPr="0081478A">
              <w:rPr>
                <w:rFonts w:cs="Times New Roman"/>
                <w:b w:val="0"/>
                <w:bCs/>
              </w:rPr>
              <w:t>无不快感</w:t>
            </w:r>
          </w:p>
        </w:tc>
      </w:tr>
      <w:tr w:rsidR="0081478A" w:rsidRPr="0081478A" w14:paraId="4BA72FE7" w14:textId="77777777" w:rsidTr="00745401">
        <w:trPr>
          <w:jc w:val="center"/>
        </w:trPr>
        <w:tc>
          <w:tcPr>
            <w:tcW w:w="515" w:type="dxa"/>
            <w:vAlign w:val="center"/>
            <w:hideMark/>
          </w:tcPr>
          <w:p w14:paraId="485C8E60" w14:textId="77777777" w:rsidR="00011E42" w:rsidRPr="0081478A" w:rsidRDefault="00011E42" w:rsidP="00745401">
            <w:pPr>
              <w:pStyle w:val="ae"/>
              <w:rPr>
                <w:rFonts w:cs="Times New Roman"/>
                <w:b w:val="0"/>
                <w:bCs/>
              </w:rPr>
            </w:pPr>
            <w:r w:rsidRPr="0081478A">
              <w:rPr>
                <w:rFonts w:cs="Times New Roman"/>
                <w:b w:val="0"/>
                <w:bCs/>
              </w:rPr>
              <w:t>4</w:t>
            </w:r>
          </w:p>
        </w:tc>
        <w:tc>
          <w:tcPr>
            <w:tcW w:w="3056" w:type="dxa"/>
            <w:vAlign w:val="center"/>
            <w:hideMark/>
          </w:tcPr>
          <w:p w14:paraId="21CEC527" w14:textId="1EF72F01" w:rsidR="00011E42" w:rsidRPr="0081478A" w:rsidRDefault="00011E42" w:rsidP="00745401">
            <w:pPr>
              <w:pStyle w:val="ae"/>
              <w:rPr>
                <w:rFonts w:cs="Times New Roman"/>
                <w:b w:val="0"/>
                <w:bCs/>
              </w:rPr>
            </w:pPr>
            <w:r w:rsidRPr="0081478A">
              <w:rPr>
                <w:rFonts w:cs="Times New Roman"/>
                <w:b w:val="0"/>
                <w:bCs/>
              </w:rPr>
              <w:t>浊度</w:t>
            </w:r>
            <w:r w:rsidRPr="0081478A">
              <w:rPr>
                <w:rFonts w:cs="Times New Roman"/>
                <w:b w:val="0"/>
                <w:bCs/>
              </w:rPr>
              <w:t>/NTU≤</w:t>
            </w:r>
          </w:p>
        </w:tc>
        <w:tc>
          <w:tcPr>
            <w:tcW w:w="639" w:type="dxa"/>
            <w:vAlign w:val="center"/>
            <w:hideMark/>
          </w:tcPr>
          <w:p w14:paraId="146E3F90" w14:textId="77777777" w:rsidR="00011E42" w:rsidRPr="0081478A" w:rsidRDefault="00011E42" w:rsidP="00745401">
            <w:pPr>
              <w:pStyle w:val="ae"/>
              <w:rPr>
                <w:rFonts w:cs="Times New Roman"/>
                <w:b w:val="0"/>
                <w:bCs/>
              </w:rPr>
            </w:pPr>
            <w:r w:rsidRPr="0081478A">
              <w:rPr>
                <w:rFonts w:cs="Times New Roman"/>
                <w:b w:val="0"/>
                <w:bCs/>
              </w:rPr>
              <w:t>5</w:t>
            </w:r>
          </w:p>
        </w:tc>
        <w:tc>
          <w:tcPr>
            <w:tcW w:w="881" w:type="dxa"/>
            <w:vAlign w:val="center"/>
            <w:hideMark/>
          </w:tcPr>
          <w:p w14:paraId="64893B58" w14:textId="77777777" w:rsidR="00011E42" w:rsidRPr="0081478A" w:rsidRDefault="00011E42" w:rsidP="00745401">
            <w:pPr>
              <w:pStyle w:val="ae"/>
              <w:rPr>
                <w:rFonts w:cs="Times New Roman"/>
                <w:b w:val="0"/>
                <w:bCs/>
              </w:rPr>
            </w:pPr>
            <w:r w:rsidRPr="0081478A">
              <w:rPr>
                <w:rFonts w:cs="Times New Roman"/>
                <w:b w:val="0"/>
                <w:bCs/>
              </w:rPr>
              <w:t>10</w:t>
            </w:r>
          </w:p>
        </w:tc>
        <w:tc>
          <w:tcPr>
            <w:tcW w:w="760" w:type="dxa"/>
            <w:vAlign w:val="center"/>
            <w:hideMark/>
          </w:tcPr>
          <w:p w14:paraId="7FB69C78" w14:textId="77777777" w:rsidR="00011E42" w:rsidRPr="0081478A" w:rsidRDefault="00011E42" w:rsidP="00745401">
            <w:pPr>
              <w:pStyle w:val="ae"/>
              <w:rPr>
                <w:rFonts w:cs="Times New Roman"/>
                <w:b w:val="0"/>
                <w:bCs/>
              </w:rPr>
            </w:pPr>
            <w:r w:rsidRPr="0081478A">
              <w:rPr>
                <w:rFonts w:cs="Times New Roman"/>
                <w:b w:val="0"/>
                <w:bCs/>
              </w:rPr>
              <w:t>10</w:t>
            </w:r>
          </w:p>
        </w:tc>
        <w:tc>
          <w:tcPr>
            <w:tcW w:w="759" w:type="dxa"/>
            <w:vAlign w:val="center"/>
            <w:hideMark/>
          </w:tcPr>
          <w:p w14:paraId="1B9DB151" w14:textId="77777777" w:rsidR="00011E42" w:rsidRPr="0081478A" w:rsidRDefault="00011E42" w:rsidP="00745401">
            <w:pPr>
              <w:pStyle w:val="ae"/>
              <w:rPr>
                <w:rFonts w:cs="Times New Roman"/>
                <w:b w:val="0"/>
                <w:bCs/>
              </w:rPr>
            </w:pPr>
            <w:r w:rsidRPr="0081478A">
              <w:rPr>
                <w:rFonts w:cs="Times New Roman"/>
                <w:b w:val="0"/>
                <w:bCs/>
              </w:rPr>
              <w:t>5</w:t>
            </w:r>
          </w:p>
        </w:tc>
        <w:tc>
          <w:tcPr>
            <w:tcW w:w="760" w:type="dxa"/>
            <w:vAlign w:val="center"/>
            <w:hideMark/>
          </w:tcPr>
          <w:p w14:paraId="0BA81E83" w14:textId="77777777" w:rsidR="00011E42" w:rsidRPr="0081478A" w:rsidRDefault="00011E42" w:rsidP="00745401">
            <w:pPr>
              <w:pStyle w:val="ae"/>
              <w:rPr>
                <w:rFonts w:cs="Times New Roman"/>
                <w:b w:val="0"/>
                <w:bCs/>
              </w:rPr>
            </w:pPr>
            <w:r w:rsidRPr="0081478A">
              <w:rPr>
                <w:rFonts w:cs="Times New Roman"/>
                <w:b w:val="0"/>
                <w:bCs/>
              </w:rPr>
              <w:t>20</w:t>
            </w:r>
          </w:p>
        </w:tc>
      </w:tr>
      <w:tr w:rsidR="0081478A" w:rsidRPr="0081478A" w14:paraId="05E4823E" w14:textId="77777777" w:rsidTr="00745401">
        <w:trPr>
          <w:jc w:val="center"/>
        </w:trPr>
        <w:tc>
          <w:tcPr>
            <w:tcW w:w="515" w:type="dxa"/>
            <w:vAlign w:val="center"/>
            <w:hideMark/>
          </w:tcPr>
          <w:p w14:paraId="67E5801D" w14:textId="77777777" w:rsidR="00011E42" w:rsidRPr="0081478A" w:rsidRDefault="00011E42" w:rsidP="00745401">
            <w:pPr>
              <w:pStyle w:val="ae"/>
              <w:rPr>
                <w:rFonts w:cs="Times New Roman"/>
                <w:b w:val="0"/>
                <w:bCs/>
              </w:rPr>
            </w:pPr>
            <w:r w:rsidRPr="0081478A">
              <w:rPr>
                <w:rFonts w:cs="Times New Roman"/>
                <w:b w:val="0"/>
                <w:bCs/>
              </w:rPr>
              <w:t>5</w:t>
            </w:r>
          </w:p>
        </w:tc>
        <w:tc>
          <w:tcPr>
            <w:tcW w:w="3056" w:type="dxa"/>
            <w:vAlign w:val="center"/>
            <w:hideMark/>
          </w:tcPr>
          <w:p w14:paraId="6A70D883" w14:textId="0BD2EF51" w:rsidR="00011E42" w:rsidRPr="0081478A" w:rsidRDefault="00011E42" w:rsidP="00745401">
            <w:pPr>
              <w:pStyle w:val="ae"/>
              <w:rPr>
                <w:rFonts w:cs="Times New Roman"/>
                <w:b w:val="0"/>
                <w:bCs/>
              </w:rPr>
            </w:pPr>
            <w:r w:rsidRPr="0081478A">
              <w:rPr>
                <w:rFonts w:cs="Times New Roman"/>
                <w:b w:val="0"/>
                <w:bCs/>
              </w:rPr>
              <w:t>溶解性总固体</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639" w:type="dxa"/>
            <w:vAlign w:val="center"/>
            <w:hideMark/>
          </w:tcPr>
          <w:p w14:paraId="062EFCB9" w14:textId="77777777" w:rsidR="00011E42" w:rsidRPr="0081478A" w:rsidRDefault="00011E42" w:rsidP="00745401">
            <w:pPr>
              <w:pStyle w:val="ae"/>
              <w:rPr>
                <w:rFonts w:cs="Times New Roman"/>
                <w:b w:val="0"/>
                <w:bCs/>
              </w:rPr>
            </w:pPr>
            <w:r w:rsidRPr="0081478A">
              <w:rPr>
                <w:rFonts w:cs="Times New Roman"/>
                <w:b w:val="0"/>
                <w:bCs/>
              </w:rPr>
              <w:t>1500</w:t>
            </w:r>
          </w:p>
        </w:tc>
        <w:tc>
          <w:tcPr>
            <w:tcW w:w="881" w:type="dxa"/>
            <w:vAlign w:val="center"/>
            <w:hideMark/>
          </w:tcPr>
          <w:p w14:paraId="53A20498" w14:textId="77777777" w:rsidR="00011E42" w:rsidRPr="0081478A" w:rsidRDefault="00011E42" w:rsidP="00745401">
            <w:pPr>
              <w:pStyle w:val="ae"/>
              <w:rPr>
                <w:rFonts w:cs="Times New Roman"/>
                <w:b w:val="0"/>
                <w:bCs/>
              </w:rPr>
            </w:pPr>
            <w:r w:rsidRPr="0081478A">
              <w:rPr>
                <w:rFonts w:cs="Times New Roman"/>
                <w:b w:val="0"/>
                <w:bCs/>
              </w:rPr>
              <w:t>1500</w:t>
            </w:r>
          </w:p>
        </w:tc>
        <w:tc>
          <w:tcPr>
            <w:tcW w:w="760" w:type="dxa"/>
            <w:vAlign w:val="center"/>
            <w:hideMark/>
          </w:tcPr>
          <w:p w14:paraId="09972EB0" w14:textId="77777777" w:rsidR="00011E42" w:rsidRPr="0081478A" w:rsidRDefault="00011E42" w:rsidP="00745401">
            <w:pPr>
              <w:pStyle w:val="ae"/>
              <w:rPr>
                <w:rFonts w:cs="Times New Roman"/>
                <w:b w:val="0"/>
                <w:bCs/>
              </w:rPr>
            </w:pPr>
            <w:r w:rsidRPr="0081478A">
              <w:rPr>
                <w:rFonts w:cs="Times New Roman"/>
                <w:b w:val="0"/>
                <w:bCs/>
              </w:rPr>
              <w:t>1000</w:t>
            </w:r>
          </w:p>
        </w:tc>
        <w:tc>
          <w:tcPr>
            <w:tcW w:w="759" w:type="dxa"/>
            <w:vAlign w:val="center"/>
            <w:hideMark/>
          </w:tcPr>
          <w:p w14:paraId="07E6C5E5" w14:textId="77777777" w:rsidR="00011E42" w:rsidRPr="0081478A" w:rsidRDefault="00011E42" w:rsidP="00745401">
            <w:pPr>
              <w:pStyle w:val="ae"/>
              <w:rPr>
                <w:rFonts w:cs="Times New Roman"/>
                <w:b w:val="0"/>
                <w:bCs/>
              </w:rPr>
            </w:pPr>
            <w:r w:rsidRPr="0081478A">
              <w:rPr>
                <w:rFonts w:cs="Times New Roman"/>
                <w:b w:val="0"/>
                <w:bCs/>
              </w:rPr>
              <w:t>1000</w:t>
            </w:r>
          </w:p>
        </w:tc>
        <w:tc>
          <w:tcPr>
            <w:tcW w:w="760" w:type="dxa"/>
            <w:vAlign w:val="center"/>
            <w:hideMark/>
          </w:tcPr>
          <w:p w14:paraId="3B429F42" w14:textId="77777777" w:rsidR="00011E42" w:rsidRPr="0081478A" w:rsidRDefault="00011E42" w:rsidP="00745401">
            <w:pPr>
              <w:pStyle w:val="ae"/>
              <w:rPr>
                <w:rFonts w:cs="Times New Roman"/>
                <w:b w:val="0"/>
                <w:bCs/>
              </w:rPr>
            </w:pPr>
            <w:r w:rsidRPr="0081478A">
              <w:rPr>
                <w:rFonts w:cs="Times New Roman"/>
                <w:b w:val="0"/>
                <w:bCs/>
              </w:rPr>
              <w:t>—</w:t>
            </w:r>
          </w:p>
        </w:tc>
      </w:tr>
      <w:tr w:rsidR="0081478A" w:rsidRPr="0081478A" w14:paraId="444497EB" w14:textId="77777777" w:rsidTr="00745401">
        <w:trPr>
          <w:jc w:val="center"/>
        </w:trPr>
        <w:tc>
          <w:tcPr>
            <w:tcW w:w="515" w:type="dxa"/>
            <w:vAlign w:val="center"/>
            <w:hideMark/>
          </w:tcPr>
          <w:p w14:paraId="2A654124" w14:textId="77777777" w:rsidR="00011E42" w:rsidRPr="0081478A" w:rsidRDefault="00011E42" w:rsidP="00745401">
            <w:pPr>
              <w:pStyle w:val="ae"/>
              <w:rPr>
                <w:rFonts w:cs="Times New Roman"/>
                <w:b w:val="0"/>
                <w:bCs/>
              </w:rPr>
            </w:pPr>
            <w:r w:rsidRPr="0081478A">
              <w:rPr>
                <w:rFonts w:cs="Times New Roman"/>
                <w:b w:val="0"/>
                <w:bCs/>
              </w:rPr>
              <w:t>6</w:t>
            </w:r>
          </w:p>
        </w:tc>
        <w:tc>
          <w:tcPr>
            <w:tcW w:w="3056" w:type="dxa"/>
            <w:vAlign w:val="center"/>
            <w:hideMark/>
          </w:tcPr>
          <w:p w14:paraId="0980D9E6" w14:textId="75C7E312" w:rsidR="00011E42" w:rsidRPr="0081478A" w:rsidRDefault="00011E42" w:rsidP="00745401">
            <w:pPr>
              <w:pStyle w:val="ae"/>
              <w:rPr>
                <w:rFonts w:cs="Times New Roman"/>
                <w:b w:val="0"/>
                <w:bCs/>
              </w:rPr>
            </w:pPr>
            <w:r w:rsidRPr="0081478A">
              <w:rPr>
                <w:rFonts w:cs="Times New Roman"/>
                <w:b w:val="0"/>
                <w:bCs/>
              </w:rPr>
              <w:t>五日生化需氧量（</w:t>
            </w:r>
            <w:r w:rsidRPr="0081478A">
              <w:rPr>
                <w:rFonts w:cs="Times New Roman"/>
                <w:b w:val="0"/>
                <w:bCs/>
              </w:rPr>
              <w:t>BOD5</w:t>
            </w:r>
            <w:r w:rsidRPr="0081478A">
              <w:rPr>
                <w:rFonts w:cs="Times New Roman"/>
                <w:b w:val="0"/>
                <w:bCs/>
              </w:rPr>
              <w:t>）</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639" w:type="dxa"/>
            <w:vAlign w:val="center"/>
            <w:hideMark/>
          </w:tcPr>
          <w:p w14:paraId="2F33FB89" w14:textId="77777777" w:rsidR="00011E42" w:rsidRPr="0081478A" w:rsidRDefault="00011E42" w:rsidP="00745401">
            <w:pPr>
              <w:pStyle w:val="ae"/>
              <w:rPr>
                <w:rFonts w:cs="Times New Roman"/>
                <w:b w:val="0"/>
                <w:bCs/>
              </w:rPr>
            </w:pPr>
            <w:r w:rsidRPr="0081478A">
              <w:rPr>
                <w:rFonts w:cs="Times New Roman"/>
                <w:b w:val="0"/>
                <w:bCs/>
              </w:rPr>
              <w:t>10</w:t>
            </w:r>
          </w:p>
        </w:tc>
        <w:tc>
          <w:tcPr>
            <w:tcW w:w="881" w:type="dxa"/>
            <w:vAlign w:val="center"/>
            <w:hideMark/>
          </w:tcPr>
          <w:p w14:paraId="78458C56" w14:textId="77777777" w:rsidR="00011E42" w:rsidRPr="0081478A" w:rsidRDefault="00011E42" w:rsidP="00745401">
            <w:pPr>
              <w:pStyle w:val="ae"/>
              <w:rPr>
                <w:rFonts w:cs="Times New Roman"/>
                <w:b w:val="0"/>
                <w:bCs/>
              </w:rPr>
            </w:pPr>
            <w:r w:rsidRPr="0081478A">
              <w:rPr>
                <w:rFonts w:cs="Times New Roman"/>
                <w:b w:val="0"/>
                <w:bCs/>
              </w:rPr>
              <w:t>15</w:t>
            </w:r>
          </w:p>
        </w:tc>
        <w:tc>
          <w:tcPr>
            <w:tcW w:w="760" w:type="dxa"/>
            <w:vAlign w:val="center"/>
            <w:hideMark/>
          </w:tcPr>
          <w:p w14:paraId="1F25A9B8" w14:textId="77777777" w:rsidR="00011E42" w:rsidRPr="0081478A" w:rsidRDefault="00011E42" w:rsidP="00745401">
            <w:pPr>
              <w:pStyle w:val="ae"/>
              <w:rPr>
                <w:rFonts w:cs="Times New Roman"/>
                <w:b w:val="0"/>
                <w:bCs/>
              </w:rPr>
            </w:pPr>
            <w:r w:rsidRPr="0081478A">
              <w:rPr>
                <w:rFonts w:cs="Times New Roman"/>
                <w:b w:val="0"/>
                <w:bCs/>
              </w:rPr>
              <w:t>20</w:t>
            </w:r>
          </w:p>
        </w:tc>
        <w:tc>
          <w:tcPr>
            <w:tcW w:w="759" w:type="dxa"/>
            <w:vAlign w:val="center"/>
            <w:hideMark/>
          </w:tcPr>
          <w:p w14:paraId="02ECAFAB" w14:textId="77777777" w:rsidR="00011E42" w:rsidRPr="0081478A" w:rsidRDefault="00011E42" w:rsidP="00745401">
            <w:pPr>
              <w:pStyle w:val="ae"/>
              <w:rPr>
                <w:rFonts w:cs="Times New Roman"/>
                <w:b w:val="0"/>
                <w:bCs/>
              </w:rPr>
            </w:pPr>
            <w:r w:rsidRPr="0081478A">
              <w:rPr>
                <w:rFonts w:cs="Times New Roman"/>
                <w:b w:val="0"/>
                <w:bCs/>
              </w:rPr>
              <w:t>10</w:t>
            </w:r>
          </w:p>
        </w:tc>
        <w:tc>
          <w:tcPr>
            <w:tcW w:w="760" w:type="dxa"/>
            <w:vAlign w:val="center"/>
            <w:hideMark/>
          </w:tcPr>
          <w:p w14:paraId="4D1BF2F6" w14:textId="77777777" w:rsidR="00011E42" w:rsidRPr="0081478A" w:rsidRDefault="00011E42" w:rsidP="00745401">
            <w:pPr>
              <w:pStyle w:val="ae"/>
              <w:rPr>
                <w:rFonts w:cs="Times New Roman"/>
                <w:b w:val="0"/>
                <w:bCs/>
              </w:rPr>
            </w:pPr>
            <w:r w:rsidRPr="0081478A">
              <w:rPr>
                <w:rFonts w:cs="Times New Roman"/>
                <w:b w:val="0"/>
                <w:bCs/>
              </w:rPr>
              <w:t>15</w:t>
            </w:r>
          </w:p>
        </w:tc>
      </w:tr>
      <w:tr w:rsidR="0081478A" w:rsidRPr="0081478A" w14:paraId="60B9591B" w14:textId="77777777" w:rsidTr="00745401">
        <w:trPr>
          <w:jc w:val="center"/>
        </w:trPr>
        <w:tc>
          <w:tcPr>
            <w:tcW w:w="515" w:type="dxa"/>
            <w:vAlign w:val="center"/>
            <w:hideMark/>
          </w:tcPr>
          <w:p w14:paraId="1684E6F8" w14:textId="77777777" w:rsidR="00011E42" w:rsidRPr="0081478A" w:rsidRDefault="00011E42" w:rsidP="00745401">
            <w:pPr>
              <w:pStyle w:val="ae"/>
              <w:rPr>
                <w:rFonts w:cs="Times New Roman"/>
                <w:b w:val="0"/>
                <w:bCs/>
              </w:rPr>
            </w:pPr>
            <w:r w:rsidRPr="0081478A">
              <w:rPr>
                <w:rFonts w:cs="Times New Roman"/>
                <w:b w:val="0"/>
                <w:bCs/>
              </w:rPr>
              <w:t>7</w:t>
            </w:r>
          </w:p>
        </w:tc>
        <w:tc>
          <w:tcPr>
            <w:tcW w:w="3056" w:type="dxa"/>
            <w:vAlign w:val="center"/>
            <w:hideMark/>
          </w:tcPr>
          <w:p w14:paraId="039D6E59" w14:textId="105F2A7E" w:rsidR="00011E42" w:rsidRPr="0081478A" w:rsidRDefault="00011E42" w:rsidP="00745401">
            <w:pPr>
              <w:pStyle w:val="ae"/>
              <w:rPr>
                <w:rFonts w:cs="Times New Roman"/>
                <w:b w:val="0"/>
                <w:bCs/>
              </w:rPr>
            </w:pPr>
            <w:r w:rsidRPr="0081478A">
              <w:rPr>
                <w:rFonts w:cs="Times New Roman"/>
                <w:b w:val="0"/>
                <w:bCs/>
              </w:rPr>
              <w:t>氨氮</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639" w:type="dxa"/>
            <w:vAlign w:val="center"/>
            <w:hideMark/>
          </w:tcPr>
          <w:p w14:paraId="499EECED" w14:textId="77777777" w:rsidR="00011E42" w:rsidRPr="0081478A" w:rsidRDefault="00011E42" w:rsidP="00745401">
            <w:pPr>
              <w:pStyle w:val="ae"/>
              <w:rPr>
                <w:rFonts w:cs="Times New Roman"/>
                <w:b w:val="0"/>
                <w:bCs/>
              </w:rPr>
            </w:pPr>
            <w:r w:rsidRPr="0081478A">
              <w:rPr>
                <w:rFonts w:cs="Times New Roman"/>
                <w:b w:val="0"/>
                <w:bCs/>
              </w:rPr>
              <w:t>10</w:t>
            </w:r>
          </w:p>
        </w:tc>
        <w:tc>
          <w:tcPr>
            <w:tcW w:w="881" w:type="dxa"/>
            <w:vAlign w:val="center"/>
            <w:hideMark/>
          </w:tcPr>
          <w:p w14:paraId="70F41A75" w14:textId="77777777" w:rsidR="00011E42" w:rsidRPr="0081478A" w:rsidRDefault="00011E42" w:rsidP="00745401">
            <w:pPr>
              <w:pStyle w:val="ae"/>
              <w:rPr>
                <w:rFonts w:cs="Times New Roman"/>
                <w:b w:val="0"/>
                <w:bCs/>
              </w:rPr>
            </w:pPr>
            <w:r w:rsidRPr="0081478A">
              <w:rPr>
                <w:rFonts w:cs="Times New Roman"/>
                <w:b w:val="0"/>
                <w:bCs/>
              </w:rPr>
              <w:t>10</w:t>
            </w:r>
          </w:p>
        </w:tc>
        <w:tc>
          <w:tcPr>
            <w:tcW w:w="760" w:type="dxa"/>
            <w:vAlign w:val="center"/>
            <w:hideMark/>
          </w:tcPr>
          <w:p w14:paraId="5FA7FCF4" w14:textId="77777777" w:rsidR="00011E42" w:rsidRPr="0081478A" w:rsidRDefault="00011E42" w:rsidP="00745401">
            <w:pPr>
              <w:pStyle w:val="ae"/>
              <w:rPr>
                <w:rFonts w:cs="Times New Roman"/>
                <w:b w:val="0"/>
                <w:bCs/>
              </w:rPr>
            </w:pPr>
            <w:r w:rsidRPr="0081478A">
              <w:rPr>
                <w:rFonts w:cs="Times New Roman"/>
                <w:b w:val="0"/>
                <w:bCs/>
              </w:rPr>
              <w:t>20</w:t>
            </w:r>
          </w:p>
        </w:tc>
        <w:tc>
          <w:tcPr>
            <w:tcW w:w="759" w:type="dxa"/>
            <w:vAlign w:val="center"/>
            <w:hideMark/>
          </w:tcPr>
          <w:p w14:paraId="4A9FFF9F" w14:textId="77777777" w:rsidR="00011E42" w:rsidRPr="0081478A" w:rsidRDefault="00011E42" w:rsidP="00745401">
            <w:pPr>
              <w:pStyle w:val="ae"/>
              <w:rPr>
                <w:rFonts w:cs="Times New Roman"/>
                <w:b w:val="0"/>
                <w:bCs/>
              </w:rPr>
            </w:pPr>
            <w:r w:rsidRPr="0081478A">
              <w:rPr>
                <w:rFonts w:cs="Times New Roman"/>
                <w:b w:val="0"/>
                <w:bCs/>
              </w:rPr>
              <w:t>10</w:t>
            </w:r>
          </w:p>
        </w:tc>
        <w:tc>
          <w:tcPr>
            <w:tcW w:w="760" w:type="dxa"/>
            <w:vAlign w:val="center"/>
            <w:hideMark/>
          </w:tcPr>
          <w:p w14:paraId="771E4E93" w14:textId="77777777" w:rsidR="00011E42" w:rsidRPr="0081478A" w:rsidRDefault="00011E42" w:rsidP="00745401">
            <w:pPr>
              <w:pStyle w:val="ae"/>
              <w:rPr>
                <w:rFonts w:cs="Times New Roman"/>
                <w:b w:val="0"/>
                <w:bCs/>
              </w:rPr>
            </w:pPr>
            <w:r w:rsidRPr="0081478A">
              <w:rPr>
                <w:rFonts w:cs="Times New Roman"/>
                <w:b w:val="0"/>
                <w:bCs/>
              </w:rPr>
              <w:t>20</w:t>
            </w:r>
          </w:p>
        </w:tc>
      </w:tr>
      <w:tr w:rsidR="0081478A" w:rsidRPr="0081478A" w14:paraId="0EC63BF6" w14:textId="77777777" w:rsidTr="00745401">
        <w:trPr>
          <w:jc w:val="center"/>
        </w:trPr>
        <w:tc>
          <w:tcPr>
            <w:tcW w:w="515" w:type="dxa"/>
            <w:vAlign w:val="center"/>
            <w:hideMark/>
          </w:tcPr>
          <w:p w14:paraId="419C5CD1" w14:textId="77777777" w:rsidR="00011E42" w:rsidRPr="0081478A" w:rsidRDefault="00011E42" w:rsidP="00745401">
            <w:pPr>
              <w:pStyle w:val="ae"/>
              <w:rPr>
                <w:rFonts w:cs="Times New Roman"/>
                <w:b w:val="0"/>
                <w:bCs/>
              </w:rPr>
            </w:pPr>
            <w:r w:rsidRPr="0081478A">
              <w:rPr>
                <w:rFonts w:cs="Times New Roman"/>
                <w:b w:val="0"/>
                <w:bCs/>
              </w:rPr>
              <w:t>8</w:t>
            </w:r>
          </w:p>
        </w:tc>
        <w:tc>
          <w:tcPr>
            <w:tcW w:w="3056" w:type="dxa"/>
            <w:vAlign w:val="center"/>
            <w:hideMark/>
          </w:tcPr>
          <w:p w14:paraId="26A18901" w14:textId="77777777" w:rsidR="00011E42" w:rsidRPr="0081478A" w:rsidRDefault="00011E42" w:rsidP="00745401">
            <w:pPr>
              <w:pStyle w:val="ae"/>
              <w:rPr>
                <w:rFonts w:cs="Times New Roman"/>
                <w:b w:val="0"/>
                <w:bCs/>
              </w:rPr>
            </w:pPr>
            <w:r w:rsidRPr="0081478A">
              <w:rPr>
                <w:rFonts w:cs="Times New Roman"/>
                <w:b w:val="0"/>
                <w:bCs/>
              </w:rPr>
              <w:t>阴离子表面活性剂</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639" w:type="dxa"/>
            <w:vAlign w:val="center"/>
            <w:hideMark/>
          </w:tcPr>
          <w:p w14:paraId="1E11C55B" w14:textId="77777777" w:rsidR="00011E42" w:rsidRPr="0081478A" w:rsidRDefault="00011E42" w:rsidP="00745401">
            <w:pPr>
              <w:pStyle w:val="ae"/>
              <w:rPr>
                <w:rFonts w:cs="Times New Roman"/>
                <w:b w:val="0"/>
                <w:bCs/>
              </w:rPr>
            </w:pPr>
            <w:r w:rsidRPr="0081478A">
              <w:rPr>
                <w:rFonts w:cs="Times New Roman"/>
                <w:b w:val="0"/>
                <w:bCs/>
              </w:rPr>
              <w:t>1.0</w:t>
            </w:r>
          </w:p>
        </w:tc>
        <w:tc>
          <w:tcPr>
            <w:tcW w:w="881" w:type="dxa"/>
            <w:vAlign w:val="center"/>
            <w:hideMark/>
          </w:tcPr>
          <w:p w14:paraId="2ACCED4E" w14:textId="77777777" w:rsidR="00011E42" w:rsidRPr="0081478A" w:rsidRDefault="00011E42" w:rsidP="00745401">
            <w:pPr>
              <w:pStyle w:val="ae"/>
              <w:rPr>
                <w:rFonts w:cs="Times New Roman"/>
                <w:b w:val="0"/>
                <w:bCs/>
              </w:rPr>
            </w:pPr>
            <w:r w:rsidRPr="0081478A">
              <w:rPr>
                <w:rFonts w:cs="Times New Roman"/>
                <w:b w:val="0"/>
                <w:bCs/>
              </w:rPr>
              <w:t>1.0</w:t>
            </w:r>
          </w:p>
        </w:tc>
        <w:tc>
          <w:tcPr>
            <w:tcW w:w="760" w:type="dxa"/>
            <w:vAlign w:val="center"/>
            <w:hideMark/>
          </w:tcPr>
          <w:p w14:paraId="12B89A7D" w14:textId="77777777" w:rsidR="00011E42" w:rsidRPr="0081478A" w:rsidRDefault="00011E42" w:rsidP="00745401">
            <w:pPr>
              <w:pStyle w:val="ae"/>
              <w:rPr>
                <w:rFonts w:cs="Times New Roman"/>
                <w:b w:val="0"/>
                <w:bCs/>
              </w:rPr>
            </w:pPr>
            <w:r w:rsidRPr="0081478A">
              <w:rPr>
                <w:rFonts w:cs="Times New Roman"/>
                <w:b w:val="0"/>
                <w:bCs/>
              </w:rPr>
              <w:t>1.0</w:t>
            </w:r>
          </w:p>
        </w:tc>
        <w:tc>
          <w:tcPr>
            <w:tcW w:w="759" w:type="dxa"/>
            <w:vAlign w:val="center"/>
            <w:hideMark/>
          </w:tcPr>
          <w:p w14:paraId="4F0B5605" w14:textId="77777777" w:rsidR="00011E42" w:rsidRPr="0081478A" w:rsidRDefault="00011E42" w:rsidP="00745401">
            <w:pPr>
              <w:pStyle w:val="ae"/>
              <w:rPr>
                <w:rFonts w:cs="Times New Roman"/>
                <w:b w:val="0"/>
                <w:bCs/>
              </w:rPr>
            </w:pPr>
            <w:r w:rsidRPr="0081478A">
              <w:rPr>
                <w:rFonts w:cs="Times New Roman"/>
                <w:b w:val="0"/>
                <w:bCs/>
              </w:rPr>
              <w:t>0.5</w:t>
            </w:r>
          </w:p>
        </w:tc>
        <w:tc>
          <w:tcPr>
            <w:tcW w:w="760" w:type="dxa"/>
            <w:vAlign w:val="center"/>
            <w:hideMark/>
          </w:tcPr>
          <w:p w14:paraId="00EFE8E5" w14:textId="77777777" w:rsidR="00011E42" w:rsidRPr="0081478A" w:rsidRDefault="00011E42" w:rsidP="00745401">
            <w:pPr>
              <w:pStyle w:val="ae"/>
              <w:rPr>
                <w:rFonts w:cs="Times New Roman"/>
                <w:b w:val="0"/>
                <w:bCs/>
              </w:rPr>
            </w:pPr>
            <w:r w:rsidRPr="0081478A">
              <w:rPr>
                <w:rFonts w:cs="Times New Roman"/>
                <w:b w:val="0"/>
                <w:bCs/>
              </w:rPr>
              <w:t>1.0</w:t>
            </w:r>
          </w:p>
        </w:tc>
      </w:tr>
      <w:tr w:rsidR="0081478A" w:rsidRPr="0081478A" w14:paraId="55B62D4E" w14:textId="77777777" w:rsidTr="00745401">
        <w:trPr>
          <w:jc w:val="center"/>
        </w:trPr>
        <w:tc>
          <w:tcPr>
            <w:tcW w:w="515" w:type="dxa"/>
            <w:vAlign w:val="center"/>
            <w:hideMark/>
          </w:tcPr>
          <w:p w14:paraId="65F70AA2" w14:textId="77777777" w:rsidR="00011E42" w:rsidRPr="0081478A" w:rsidRDefault="00011E42" w:rsidP="00745401">
            <w:pPr>
              <w:pStyle w:val="ae"/>
              <w:rPr>
                <w:rFonts w:cs="Times New Roman"/>
                <w:b w:val="0"/>
                <w:bCs/>
              </w:rPr>
            </w:pPr>
            <w:r w:rsidRPr="0081478A">
              <w:rPr>
                <w:rFonts w:cs="Times New Roman"/>
                <w:b w:val="0"/>
                <w:bCs/>
              </w:rPr>
              <w:t>9</w:t>
            </w:r>
          </w:p>
        </w:tc>
        <w:tc>
          <w:tcPr>
            <w:tcW w:w="3056" w:type="dxa"/>
            <w:vAlign w:val="center"/>
            <w:hideMark/>
          </w:tcPr>
          <w:p w14:paraId="515FCC05" w14:textId="2DEDEE7A" w:rsidR="00011E42" w:rsidRPr="0081478A" w:rsidRDefault="00011E42" w:rsidP="00745401">
            <w:pPr>
              <w:pStyle w:val="ae"/>
              <w:rPr>
                <w:rFonts w:cs="Times New Roman"/>
                <w:b w:val="0"/>
                <w:bCs/>
              </w:rPr>
            </w:pPr>
            <w:r w:rsidRPr="0081478A">
              <w:rPr>
                <w:rFonts w:cs="Times New Roman"/>
                <w:b w:val="0"/>
                <w:bCs/>
              </w:rPr>
              <w:t>铁</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639" w:type="dxa"/>
            <w:vAlign w:val="center"/>
            <w:hideMark/>
          </w:tcPr>
          <w:p w14:paraId="6322B1D5" w14:textId="77777777" w:rsidR="00011E42" w:rsidRPr="0081478A" w:rsidRDefault="00011E42" w:rsidP="00745401">
            <w:pPr>
              <w:pStyle w:val="ae"/>
              <w:rPr>
                <w:rFonts w:cs="Times New Roman"/>
                <w:b w:val="0"/>
                <w:bCs/>
              </w:rPr>
            </w:pPr>
            <w:r w:rsidRPr="0081478A">
              <w:rPr>
                <w:rFonts w:cs="Times New Roman"/>
                <w:b w:val="0"/>
                <w:bCs/>
              </w:rPr>
              <w:t>0.3</w:t>
            </w:r>
          </w:p>
        </w:tc>
        <w:tc>
          <w:tcPr>
            <w:tcW w:w="881" w:type="dxa"/>
            <w:vAlign w:val="center"/>
            <w:hideMark/>
          </w:tcPr>
          <w:p w14:paraId="450D264C" w14:textId="77777777" w:rsidR="00011E42" w:rsidRPr="0081478A" w:rsidRDefault="00011E42" w:rsidP="00745401">
            <w:pPr>
              <w:pStyle w:val="ae"/>
              <w:rPr>
                <w:rFonts w:cs="Times New Roman"/>
                <w:b w:val="0"/>
                <w:bCs/>
              </w:rPr>
            </w:pPr>
            <w:r w:rsidRPr="0081478A">
              <w:rPr>
                <w:rFonts w:cs="Times New Roman"/>
                <w:b w:val="0"/>
                <w:bCs/>
              </w:rPr>
              <w:t>—</w:t>
            </w:r>
          </w:p>
        </w:tc>
        <w:tc>
          <w:tcPr>
            <w:tcW w:w="760" w:type="dxa"/>
            <w:vAlign w:val="center"/>
            <w:hideMark/>
          </w:tcPr>
          <w:p w14:paraId="24831D5C" w14:textId="77777777" w:rsidR="00011E42" w:rsidRPr="0081478A" w:rsidRDefault="00011E42" w:rsidP="00745401">
            <w:pPr>
              <w:pStyle w:val="ae"/>
              <w:rPr>
                <w:rFonts w:cs="Times New Roman"/>
                <w:b w:val="0"/>
                <w:bCs/>
              </w:rPr>
            </w:pPr>
            <w:r w:rsidRPr="0081478A">
              <w:rPr>
                <w:rFonts w:cs="Times New Roman"/>
                <w:b w:val="0"/>
                <w:bCs/>
              </w:rPr>
              <w:t>—</w:t>
            </w:r>
          </w:p>
        </w:tc>
        <w:tc>
          <w:tcPr>
            <w:tcW w:w="759" w:type="dxa"/>
            <w:vAlign w:val="center"/>
            <w:hideMark/>
          </w:tcPr>
          <w:p w14:paraId="550A0D8A" w14:textId="77777777" w:rsidR="00011E42" w:rsidRPr="0081478A" w:rsidRDefault="00011E42" w:rsidP="00745401">
            <w:pPr>
              <w:pStyle w:val="ae"/>
              <w:rPr>
                <w:rFonts w:cs="Times New Roman"/>
                <w:b w:val="0"/>
                <w:bCs/>
              </w:rPr>
            </w:pPr>
            <w:r w:rsidRPr="0081478A">
              <w:rPr>
                <w:rFonts w:cs="Times New Roman"/>
                <w:b w:val="0"/>
                <w:bCs/>
              </w:rPr>
              <w:t>0.3</w:t>
            </w:r>
          </w:p>
        </w:tc>
        <w:tc>
          <w:tcPr>
            <w:tcW w:w="760" w:type="dxa"/>
            <w:vAlign w:val="center"/>
            <w:hideMark/>
          </w:tcPr>
          <w:p w14:paraId="7DB64D08" w14:textId="77777777" w:rsidR="00011E42" w:rsidRPr="0081478A" w:rsidRDefault="00011E42" w:rsidP="00745401">
            <w:pPr>
              <w:pStyle w:val="ae"/>
              <w:rPr>
                <w:rFonts w:cs="Times New Roman"/>
                <w:b w:val="0"/>
                <w:bCs/>
              </w:rPr>
            </w:pPr>
            <w:r w:rsidRPr="0081478A">
              <w:rPr>
                <w:rFonts w:cs="Times New Roman"/>
                <w:b w:val="0"/>
                <w:bCs/>
              </w:rPr>
              <w:t>—</w:t>
            </w:r>
          </w:p>
        </w:tc>
      </w:tr>
      <w:tr w:rsidR="0081478A" w:rsidRPr="0081478A" w14:paraId="1C0F0318" w14:textId="77777777" w:rsidTr="00745401">
        <w:trPr>
          <w:jc w:val="center"/>
        </w:trPr>
        <w:tc>
          <w:tcPr>
            <w:tcW w:w="515" w:type="dxa"/>
            <w:vAlign w:val="center"/>
            <w:hideMark/>
          </w:tcPr>
          <w:p w14:paraId="48F4FDD9" w14:textId="77777777" w:rsidR="00011E42" w:rsidRPr="0081478A" w:rsidRDefault="00011E42" w:rsidP="00745401">
            <w:pPr>
              <w:pStyle w:val="ae"/>
              <w:rPr>
                <w:rFonts w:cs="Times New Roman"/>
                <w:b w:val="0"/>
                <w:bCs/>
              </w:rPr>
            </w:pPr>
            <w:r w:rsidRPr="0081478A">
              <w:rPr>
                <w:rFonts w:cs="Times New Roman"/>
                <w:b w:val="0"/>
                <w:bCs/>
              </w:rPr>
              <w:t>10</w:t>
            </w:r>
          </w:p>
        </w:tc>
        <w:tc>
          <w:tcPr>
            <w:tcW w:w="3056" w:type="dxa"/>
            <w:vAlign w:val="center"/>
            <w:hideMark/>
          </w:tcPr>
          <w:p w14:paraId="79BB58FA" w14:textId="1BE29BD5" w:rsidR="00011E42" w:rsidRPr="0081478A" w:rsidRDefault="00011E42" w:rsidP="00745401">
            <w:pPr>
              <w:pStyle w:val="ae"/>
              <w:rPr>
                <w:rFonts w:cs="Times New Roman"/>
                <w:b w:val="0"/>
                <w:bCs/>
              </w:rPr>
            </w:pPr>
            <w:r w:rsidRPr="0081478A">
              <w:rPr>
                <w:rFonts w:cs="Times New Roman"/>
                <w:b w:val="0"/>
                <w:bCs/>
              </w:rPr>
              <w:t>锰</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639" w:type="dxa"/>
            <w:vAlign w:val="center"/>
            <w:hideMark/>
          </w:tcPr>
          <w:p w14:paraId="23516549" w14:textId="77777777" w:rsidR="00011E42" w:rsidRPr="0081478A" w:rsidRDefault="00011E42" w:rsidP="00745401">
            <w:pPr>
              <w:pStyle w:val="ae"/>
              <w:rPr>
                <w:rFonts w:cs="Times New Roman"/>
                <w:b w:val="0"/>
                <w:bCs/>
              </w:rPr>
            </w:pPr>
            <w:r w:rsidRPr="0081478A">
              <w:rPr>
                <w:rFonts w:cs="Times New Roman"/>
                <w:b w:val="0"/>
                <w:bCs/>
              </w:rPr>
              <w:t>0.1</w:t>
            </w:r>
          </w:p>
        </w:tc>
        <w:tc>
          <w:tcPr>
            <w:tcW w:w="881" w:type="dxa"/>
            <w:vAlign w:val="center"/>
            <w:hideMark/>
          </w:tcPr>
          <w:p w14:paraId="04A75BBE" w14:textId="77777777" w:rsidR="00011E42" w:rsidRPr="0081478A" w:rsidRDefault="00011E42" w:rsidP="00745401">
            <w:pPr>
              <w:pStyle w:val="ae"/>
              <w:rPr>
                <w:rFonts w:cs="Times New Roman"/>
                <w:b w:val="0"/>
                <w:bCs/>
              </w:rPr>
            </w:pPr>
            <w:r w:rsidRPr="0081478A">
              <w:rPr>
                <w:rFonts w:cs="Times New Roman"/>
                <w:b w:val="0"/>
                <w:bCs/>
              </w:rPr>
              <w:t>—</w:t>
            </w:r>
          </w:p>
        </w:tc>
        <w:tc>
          <w:tcPr>
            <w:tcW w:w="760" w:type="dxa"/>
            <w:vAlign w:val="center"/>
            <w:hideMark/>
          </w:tcPr>
          <w:p w14:paraId="237740AC" w14:textId="77777777" w:rsidR="00011E42" w:rsidRPr="0081478A" w:rsidRDefault="00011E42" w:rsidP="00745401">
            <w:pPr>
              <w:pStyle w:val="ae"/>
              <w:rPr>
                <w:rFonts w:cs="Times New Roman"/>
                <w:b w:val="0"/>
                <w:bCs/>
              </w:rPr>
            </w:pPr>
            <w:r w:rsidRPr="0081478A">
              <w:rPr>
                <w:rFonts w:cs="Times New Roman"/>
                <w:b w:val="0"/>
                <w:bCs/>
              </w:rPr>
              <w:t>—</w:t>
            </w:r>
          </w:p>
        </w:tc>
        <w:tc>
          <w:tcPr>
            <w:tcW w:w="759" w:type="dxa"/>
            <w:vAlign w:val="center"/>
            <w:hideMark/>
          </w:tcPr>
          <w:p w14:paraId="30F8C640" w14:textId="77777777" w:rsidR="00011E42" w:rsidRPr="0081478A" w:rsidRDefault="00011E42" w:rsidP="00745401">
            <w:pPr>
              <w:pStyle w:val="ae"/>
              <w:rPr>
                <w:rFonts w:cs="Times New Roman"/>
                <w:b w:val="0"/>
                <w:bCs/>
              </w:rPr>
            </w:pPr>
            <w:r w:rsidRPr="0081478A">
              <w:rPr>
                <w:rFonts w:cs="Times New Roman"/>
                <w:b w:val="0"/>
                <w:bCs/>
              </w:rPr>
              <w:t>0.1</w:t>
            </w:r>
          </w:p>
        </w:tc>
        <w:tc>
          <w:tcPr>
            <w:tcW w:w="760" w:type="dxa"/>
            <w:vAlign w:val="center"/>
            <w:hideMark/>
          </w:tcPr>
          <w:p w14:paraId="52DA4ED4" w14:textId="77777777" w:rsidR="00011E42" w:rsidRPr="0081478A" w:rsidRDefault="00011E42" w:rsidP="00745401">
            <w:pPr>
              <w:pStyle w:val="ae"/>
              <w:rPr>
                <w:rFonts w:cs="Times New Roman"/>
                <w:b w:val="0"/>
                <w:bCs/>
              </w:rPr>
            </w:pPr>
            <w:r w:rsidRPr="0081478A">
              <w:rPr>
                <w:rFonts w:cs="Times New Roman"/>
                <w:b w:val="0"/>
                <w:bCs/>
              </w:rPr>
              <w:t>—</w:t>
            </w:r>
          </w:p>
        </w:tc>
      </w:tr>
      <w:tr w:rsidR="0081478A" w:rsidRPr="0081478A" w14:paraId="094E2A9B" w14:textId="77777777" w:rsidTr="00745401">
        <w:trPr>
          <w:jc w:val="center"/>
        </w:trPr>
        <w:tc>
          <w:tcPr>
            <w:tcW w:w="515" w:type="dxa"/>
            <w:vAlign w:val="center"/>
            <w:hideMark/>
          </w:tcPr>
          <w:p w14:paraId="06F66EAA" w14:textId="77777777" w:rsidR="00011E42" w:rsidRPr="0081478A" w:rsidRDefault="00011E42" w:rsidP="00745401">
            <w:pPr>
              <w:pStyle w:val="ae"/>
              <w:rPr>
                <w:rFonts w:cs="Times New Roman"/>
                <w:b w:val="0"/>
                <w:bCs/>
              </w:rPr>
            </w:pPr>
            <w:r w:rsidRPr="0081478A">
              <w:rPr>
                <w:rFonts w:cs="Times New Roman"/>
                <w:b w:val="0"/>
                <w:bCs/>
              </w:rPr>
              <w:t>11</w:t>
            </w:r>
          </w:p>
        </w:tc>
        <w:tc>
          <w:tcPr>
            <w:tcW w:w="3056" w:type="dxa"/>
            <w:vAlign w:val="center"/>
            <w:hideMark/>
          </w:tcPr>
          <w:p w14:paraId="3700130D" w14:textId="5F81083A" w:rsidR="00011E42" w:rsidRPr="0081478A" w:rsidRDefault="00011E42" w:rsidP="00745401">
            <w:pPr>
              <w:pStyle w:val="ae"/>
              <w:rPr>
                <w:rFonts w:cs="Times New Roman"/>
                <w:b w:val="0"/>
                <w:bCs/>
              </w:rPr>
            </w:pPr>
            <w:r w:rsidRPr="0081478A">
              <w:rPr>
                <w:rFonts w:cs="Times New Roman"/>
                <w:b w:val="0"/>
                <w:bCs/>
              </w:rPr>
              <w:t>溶解量</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r w:rsidRPr="0081478A">
              <w:rPr>
                <w:rFonts w:cs="Times New Roman"/>
                <w:b w:val="0"/>
                <w:bCs/>
              </w:rPr>
              <w:t>≥</w:t>
            </w:r>
          </w:p>
        </w:tc>
        <w:tc>
          <w:tcPr>
            <w:tcW w:w="3799" w:type="dxa"/>
            <w:gridSpan w:val="5"/>
            <w:vAlign w:val="center"/>
            <w:hideMark/>
          </w:tcPr>
          <w:p w14:paraId="18E7A268" w14:textId="77777777" w:rsidR="00011E42" w:rsidRPr="0081478A" w:rsidRDefault="00011E42" w:rsidP="00745401">
            <w:pPr>
              <w:pStyle w:val="ae"/>
              <w:rPr>
                <w:rFonts w:cs="Times New Roman"/>
                <w:b w:val="0"/>
                <w:bCs/>
              </w:rPr>
            </w:pPr>
            <w:r w:rsidRPr="0081478A">
              <w:rPr>
                <w:rFonts w:cs="Times New Roman"/>
                <w:b w:val="0"/>
                <w:bCs/>
              </w:rPr>
              <w:t>1.0</w:t>
            </w:r>
          </w:p>
        </w:tc>
      </w:tr>
      <w:tr w:rsidR="0081478A" w:rsidRPr="0081478A" w14:paraId="6C2117BD" w14:textId="77777777" w:rsidTr="00745401">
        <w:trPr>
          <w:jc w:val="center"/>
        </w:trPr>
        <w:tc>
          <w:tcPr>
            <w:tcW w:w="515" w:type="dxa"/>
            <w:vAlign w:val="center"/>
            <w:hideMark/>
          </w:tcPr>
          <w:p w14:paraId="16C51FFA" w14:textId="77777777" w:rsidR="00011E42" w:rsidRPr="0081478A" w:rsidRDefault="00011E42" w:rsidP="00745401">
            <w:pPr>
              <w:pStyle w:val="ae"/>
              <w:rPr>
                <w:rFonts w:cs="Times New Roman"/>
                <w:b w:val="0"/>
                <w:bCs/>
              </w:rPr>
            </w:pPr>
            <w:r w:rsidRPr="0081478A">
              <w:rPr>
                <w:rFonts w:cs="Times New Roman"/>
                <w:b w:val="0"/>
                <w:bCs/>
              </w:rPr>
              <w:t>12</w:t>
            </w:r>
          </w:p>
        </w:tc>
        <w:tc>
          <w:tcPr>
            <w:tcW w:w="3056" w:type="dxa"/>
            <w:vAlign w:val="center"/>
            <w:hideMark/>
          </w:tcPr>
          <w:p w14:paraId="23687EFB" w14:textId="77777777" w:rsidR="00011E42" w:rsidRPr="0081478A" w:rsidRDefault="00011E42" w:rsidP="00745401">
            <w:pPr>
              <w:pStyle w:val="ae"/>
              <w:rPr>
                <w:rFonts w:cs="Times New Roman"/>
                <w:b w:val="0"/>
                <w:bCs/>
              </w:rPr>
            </w:pPr>
            <w:r w:rsidRPr="0081478A">
              <w:rPr>
                <w:rFonts w:cs="Times New Roman"/>
                <w:b w:val="0"/>
                <w:bCs/>
              </w:rPr>
              <w:t>总余氯</w:t>
            </w:r>
            <w:r w:rsidRPr="0081478A">
              <w:rPr>
                <w:rFonts w:cs="Times New Roman"/>
                <w:b w:val="0"/>
                <w:bCs/>
              </w:rPr>
              <w:t>/</w:t>
            </w:r>
            <w:r w:rsidRPr="0081478A">
              <w:rPr>
                <w:rFonts w:cs="Times New Roman"/>
                <w:b w:val="0"/>
                <w:bCs/>
              </w:rPr>
              <w:t>（</w:t>
            </w:r>
            <w:r w:rsidRPr="0081478A">
              <w:rPr>
                <w:rFonts w:cs="Times New Roman"/>
                <w:b w:val="0"/>
                <w:bCs/>
              </w:rPr>
              <w:t>mg/L</w:t>
            </w:r>
            <w:r w:rsidRPr="0081478A">
              <w:rPr>
                <w:rFonts w:cs="Times New Roman"/>
                <w:b w:val="0"/>
                <w:bCs/>
              </w:rPr>
              <w:t>）</w:t>
            </w:r>
          </w:p>
        </w:tc>
        <w:tc>
          <w:tcPr>
            <w:tcW w:w="3799" w:type="dxa"/>
            <w:gridSpan w:val="5"/>
            <w:vAlign w:val="center"/>
            <w:hideMark/>
          </w:tcPr>
          <w:p w14:paraId="7ADC2FC2" w14:textId="77777777" w:rsidR="00011E42" w:rsidRPr="0081478A" w:rsidRDefault="00011E42" w:rsidP="00745401">
            <w:pPr>
              <w:pStyle w:val="ae"/>
              <w:rPr>
                <w:rFonts w:cs="Times New Roman"/>
                <w:b w:val="0"/>
                <w:bCs/>
              </w:rPr>
            </w:pPr>
            <w:r w:rsidRPr="0081478A">
              <w:rPr>
                <w:rFonts w:cs="Times New Roman"/>
                <w:b w:val="0"/>
                <w:bCs/>
              </w:rPr>
              <w:t>接触</w:t>
            </w:r>
            <w:r w:rsidRPr="0081478A">
              <w:rPr>
                <w:rFonts w:cs="Times New Roman"/>
                <w:b w:val="0"/>
                <w:bCs/>
              </w:rPr>
              <w:t>30min</w:t>
            </w:r>
            <w:r w:rsidRPr="0081478A">
              <w:rPr>
                <w:rFonts w:cs="Times New Roman"/>
                <w:b w:val="0"/>
                <w:bCs/>
              </w:rPr>
              <w:t>后</w:t>
            </w:r>
            <w:r w:rsidRPr="0081478A">
              <w:rPr>
                <w:rFonts w:cs="Times New Roman"/>
                <w:b w:val="0"/>
                <w:bCs/>
              </w:rPr>
              <w:t>≥1.0</w:t>
            </w:r>
            <w:r w:rsidRPr="0081478A">
              <w:rPr>
                <w:rFonts w:cs="Times New Roman"/>
                <w:b w:val="0"/>
                <w:bCs/>
              </w:rPr>
              <w:t>，管网末端</w:t>
            </w:r>
            <w:r w:rsidRPr="0081478A">
              <w:rPr>
                <w:rFonts w:cs="Times New Roman"/>
                <w:b w:val="0"/>
                <w:bCs/>
              </w:rPr>
              <w:t>≥0.2</w:t>
            </w:r>
          </w:p>
        </w:tc>
      </w:tr>
      <w:tr w:rsidR="0081478A" w:rsidRPr="0081478A" w14:paraId="3B035337" w14:textId="77777777" w:rsidTr="00745401">
        <w:trPr>
          <w:jc w:val="center"/>
        </w:trPr>
        <w:tc>
          <w:tcPr>
            <w:tcW w:w="515" w:type="dxa"/>
            <w:vAlign w:val="center"/>
            <w:hideMark/>
          </w:tcPr>
          <w:p w14:paraId="4C98AE03" w14:textId="77777777" w:rsidR="00011E42" w:rsidRPr="0081478A" w:rsidRDefault="00011E42" w:rsidP="00745401">
            <w:pPr>
              <w:pStyle w:val="ae"/>
              <w:rPr>
                <w:rFonts w:cs="Times New Roman"/>
                <w:b w:val="0"/>
                <w:bCs/>
              </w:rPr>
            </w:pPr>
            <w:r w:rsidRPr="0081478A">
              <w:rPr>
                <w:rFonts w:cs="Times New Roman"/>
                <w:b w:val="0"/>
                <w:bCs/>
              </w:rPr>
              <w:t>13</w:t>
            </w:r>
          </w:p>
        </w:tc>
        <w:tc>
          <w:tcPr>
            <w:tcW w:w="3056" w:type="dxa"/>
            <w:vAlign w:val="center"/>
            <w:hideMark/>
          </w:tcPr>
          <w:p w14:paraId="185888C7" w14:textId="372165B6" w:rsidR="00011E42" w:rsidRPr="0081478A" w:rsidRDefault="00011E42" w:rsidP="00745401">
            <w:pPr>
              <w:pStyle w:val="ae"/>
              <w:rPr>
                <w:rFonts w:cs="Times New Roman"/>
                <w:b w:val="0"/>
                <w:bCs/>
              </w:rPr>
            </w:pPr>
            <w:r w:rsidRPr="0081478A">
              <w:rPr>
                <w:rFonts w:cs="Times New Roman"/>
                <w:b w:val="0"/>
                <w:bCs/>
              </w:rPr>
              <w:t>总大肠菌群</w:t>
            </w:r>
            <w:r w:rsidRPr="0081478A">
              <w:rPr>
                <w:rFonts w:cs="Times New Roman"/>
                <w:b w:val="0"/>
                <w:bCs/>
              </w:rPr>
              <w:t>/</w:t>
            </w:r>
            <w:r w:rsidRPr="0081478A">
              <w:rPr>
                <w:rFonts w:cs="Times New Roman"/>
                <w:b w:val="0"/>
                <w:bCs/>
              </w:rPr>
              <w:t>（个</w:t>
            </w:r>
            <w:r w:rsidRPr="0081478A">
              <w:rPr>
                <w:rFonts w:cs="Times New Roman"/>
                <w:b w:val="0"/>
                <w:bCs/>
              </w:rPr>
              <w:t>/L</w:t>
            </w:r>
            <w:r w:rsidRPr="0081478A">
              <w:rPr>
                <w:rFonts w:cs="Times New Roman"/>
                <w:b w:val="0"/>
                <w:bCs/>
              </w:rPr>
              <w:t>）</w:t>
            </w:r>
            <w:r w:rsidRPr="0081478A">
              <w:rPr>
                <w:rFonts w:cs="Times New Roman"/>
                <w:b w:val="0"/>
                <w:bCs/>
              </w:rPr>
              <w:t>≤</w:t>
            </w:r>
          </w:p>
        </w:tc>
        <w:tc>
          <w:tcPr>
            <w:tcW w:w="3799" w:type="dxa"/>
            <w:gridSpan w:val="5"/>
            <w:vAlign w:val="center"/>
            <w:hideMark/>
          </w:tcPr>
          <w:p w14:paraId="1783EC0C" w14:textId="77777777" w:rsidR="00011E42" w:rsidRPr="0081478A" w:rsidRDefault="00011E42" w:rsidP="00745401">
            <w:pPr>
              <w:pStyle w:val="ae"/>
              <w:rPr>
                <w:rFonts w:cs="Times New Roman"/>
                <w:b w:val="0"/>
                <w:bCs/>
              </w:rPr>
            </w:pPr>
            <w:r w:rsidRPr="0081478A">
              <w:rPr>
                <w:rFonts w:cs="Times New Roman"/>
                <w:b w:val="0"/>
                <w:bCs/>
              </w:rPr>
              <w:t>3</w:t>
            </w:r>
          </w:p>
        </w:tc>
      </w:tr>
    </w:tbl>
    <w:p w14:paraId="099C2A11" w14:textId="77777777" w:rsidR="00715ABB" w:rsidRPr="006C79E9" w:rsidRDefault="00F44390" w:rsidP="006C79E9">
      <w:pPr>
        <w:pStyle w:val="20"/>
      </w:pPr>
      <w:r w:rsidRPr="0081478A">
        <w:t>【评价方法】</w:t>
      </w:r>
    </w:p>
    <w:p w14:paraId="2B7D12B2" w14:textId="77777777" w:rsidR="004F215F" w:rsidRPr="00530A11" w:rsidRDefault="004F215F" w:rsidP="004F215F">
      <w:pPr>
        <w:ind w:firstLine="420"/>
        <w:rPr>
          <w:rFonts w:eastAsiaTheme="minorEastAsia" w:cs="Times New Roman"/>
        </w:rPr>
      </w:pPr>
      <w:r w:rsidRPr="00530A11">
        <w:rPr>
          <w:rFonts w:cs="Times New Roman"/>
        </w:rPr>
        <w:t>评价查阅相关管理制度、年度评估报告、历史监测数据、运行记录、检测报告、诊断报告。</w:t>
      </w:r>
    </w:p>
    <w:p w14:paraId="6260560B" w14:textId="77777777" w:rsidR="00715ABB" w:rsidRPr="004F215F" w:rsidRDefault="00715ABB">
      <w:pPr>
        <w:snapToGrid w:val="0"/>
        <w:ind w:firstLine="420"/>
        <w:jc w:val="left"/>
        <w:rPr>
          <w:rFonts w:cs="Times New Roman"/>
          <w:szCs w:val="24"/>
        </w:rPr>
      </w:pPr>
    </w:p>
    <w:p w14:paraId="3881D3FB" w14:textId="77777777" w:rsidR="001C05E4" w:rsidRPr="00530A11" w:rsidRDefault="001C05E4" w:rsidP="001C05E4">
      <w:pPr>
        <w:pStyle w:val="4"/>
        <w:rPr>
          <w:rFonts w:cs="Times New Roman"/>
          <w:bCs w:val="0"/>
        </w:rPr>
      </w:pPr>
      <w:r w:rsidRPr="00530A11">
        <w:rPr>
          <w:rFonts w:cs="Times New Roman"/>
          <w:bCs w:val="0"/>
        </w:rPr>
        <w:t xml:space="preserve">6.2.14 </w:t>
      </w:r>
      <w:r w:rsidRPr="00530A11">
        <w:rPr>
          <w:rFonts w:cs="Times New Roman"/>
          <w:bCs w:val="0"/>
        </w:rPr>
        <w:t>建立绿色教育宣传和实践机制，编制绿色设施使用手册，形成良好的绿色氛围，并定期开展使用者满意度调查，评价总分值为</w:t>
      </w:r>
      <w:r w:rsidRPr="00530A11">
        <w:rPr>
          <w:rFonts w:cs="Times New Roman"/>
          <w:bCs w:val="0"/>
        </w:rPr>
        <w:t>8</w:t>
      </w:r>
      <w:r w:rsidRPr="00530A11">
        <w:rPr>
          <w:rFonts w:cs="Times New Roman"/>
          <w:bCs w:val="0"/>
        </w:rPr>
        <w:t>分，并按下列规则分别评分并累计：</w:t>
      </w:r>
    </w:p>
    <w:p w14:paraId="67AE26DD"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1 </w:t>
      </w:r>
      <w:r w:rsidRPr="001C05E4">
        <w:rPr>
          <w:rFonts w:ascii="Times New Roman" w:hAnsi="Times New Roman" w:cs="Times New Roman"/>
          <w:bCs/>
          <w:color w:val="auto"/>
        </w:rPr>
        <w:t>每年组织不少于</w:t>
      </w:r>
      <w:r w:rsidRPr="001C05E4">
        <w:rPr>
          <w:rFonts w:ascii="Times New Roman" w:hAnsi="Times New Roman" w:cs="Times New Roman"/>
          <w:bCs/>
          <w:color w:val="auto"/>
        </w:rPr>
        <w:t>2</w:t>
      </w:r>
      <w:r w:rsidRPr="001C05E4">
        <w:rPr>
          <w:rFonts w:ascii="Times New Roman" w:hAnsi="Times New Roman" w:cs="Times New Roman"/>
          <w:bCs/>
          <w:color w:val="auto"/>
        </w:rPr>
        <w:t>次的绿色建筑技术宣传、绿色生活引导、灾害应急演练等绿色教育宣传和实践活动，并有活动记录，得</w:t>
      </w:r>
      <w:r w:rsidRPr="001C05E4">
        <w:rPr>
          <w:rFonts w:ascii="Times New Roman" w:hAnsi="Times New Roman" w:cs="Times New Roman"/>
          <w:bCs/>
          <w:color w:val="auto"/>
        </w:rPr>
        <w:t>2</w:t>
      </w:r>
      <w:r w:rsidRPr="001C05E4">
        <w:rPr>
          <w:rFonts w:ascii="Times New Roman" w:hAnsi="Times New Roman" w:cs="Times New Roman"/>
          <w:bCs/>
          <w:color w:val="auto"/>
        </w:rPr>
        <w:t>分；</w:t>
      </w:r>
    </w:p>
    <w:p w14:paraId="1F15CE98"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2 </w:t>
      </w:r>
      <w:r w:rsidRPr="001C05E4">
        <w:rPr>
          <w:rFonts w:ascii="Times New Roman" w:hAnsi="Times New Roman" w:cs="Times New Roman"/>
          <w:bCs/>
          <w:color w:val="auto"/>
        </w:rPr>
        <w:t>具有绿色生活展示、体验或交流分享的平台，并向使用者提供绿色设施使用手册，得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22A35CAF" w14:textId="77777777" w:rsidR="001C05E4" w:rsidRPr="001C05E4" w:rsidRDefault="001C05E4" w:rsidP="001C05E4">
      <w:pPr>
        <w:pStyle w:val="20"/>
        <w:ind w:firstLineChars="100" w:firstLine="211"/>
        <w:rPr>
          <w:rFonts w:ascii="Times New Roman" w:hAnsi="Times New Roman" w:cs="Times New Roman"/>
          <w:bCs/>
          <w:color w:val="auto"/>
        </w:rPr>
      </w:pPr>
      <w:r w:rsidRPr="001C05E4">
        <w:rPr>
          <w:rFonts w:ascii="Times New Roman" w:hAnsi="Times New Roman" w:cs="Times New Roman"/>
          <w:bCs/>
          <w:color w:val="auto"/>
        </w:rPr>
        <w:t xml:space="preserve">3 </w:t>
      </w:r>
      <w:r w:rsidRPr="001C05E4">
        <w:rPr>
          <w:rFonts w:ascii="Times New Roman" w:hAnsi="Times New Roman" w:cs="Times New Roman"/>
          <w:bCs/>
          <w:color w:val="auto"/>
        </w:rPr>
        <w:t>每年开展</w:t>
      </w:r>
      <w:r w:rsidRPr="001C05E4">
        <w:rPr>
          <w:rFonts w:ascii="Times New Roman" w:hAnsi="Times New Roman" w:cs="Times New Roman"/>
          <w:bCs/>
          <w:color w:val="auto"/>
        </w:rPr>
        <w:t>1</w:t>
      </w:r>
      <w:r w:rsidRPr="001C05E4">
        <w:rPr>
          <w:rFonts w:ascii="Times New Roman" w:hAnsi="Times New Roman" w:cs="Times New Roman"/>
          <w:bCs/>
          <w:color w:val="auto"/>
        </w:rPr>
        <w:t>次针对建筑绿色性能的使用者满意度调查，且根据调查结果制定改进措施并实施、公示，得</w:t>
      </w:r>
      <w:r w:rsidRPr="001C05E4">
        <w:rPr>
          <w:rFonts w:ascii="Times New Roman" w:hAnsi="Times New Roman" w:cs="Times New Roman"/>
          <w:bCs/>
          <w:color w:val="auto"/>
        </w:rPr>
        <w:t>3</w:t>
      </w:r>
      <w:r w:rsidRPr="001C05E4">
        <w:rPr>
          <w:rFonts w:ascii="Times New Roman" w:hAnsi="Times New Roman" w:cs="Times New Roman"/>
          <w:bCs/>
          <w:color w:val="auto"/>
        </w:rPr>
        <w:t>分。</w:t>
      </w:r>
    </w:p>
    <w:p w14:paraId="2E2E06EF" w14:textId="77777777" w:rsidR="00715ABB" w:rsidRPr="0081478A" w:rsidRDefault="00F44390">
      <w:pPr>
        <w:ind w:firstLineChars="0" w:firstLine="0"/>
        <w:rPr>
          <w:rFonts w:cs="Times New Roman"/>
          <w:b/>
          <w:szCs w:val="24"/>
        </w:rPr>
      </w:pPr>
      <w:r w:rsidRPr="0081478A">
        <w:rPr>
          <w:rFonts w:cs="Times New Roman"/>
          <w:b/>
          <w:szCs w:val="24"/>
        </w:rPr>
        <w:t>【条文说明】</w:t>
      </w:r>
    </w:p>
    <w:p w14:paraId="1CD6B050" w14:textId="77777777" w:rsidR="00841AA3" w:rsidRPr="00530A11" w:rsidRDefault="00841AA3" w:rsidP="00841AA3">
      <w:pPr>
        <w:ind w:firstLine="420"/>
        <w:rPr>
          <w:szCs w:val="24"/>
        </w:rPr>
      </w:pPr>
      <w:r w:rsidRPr="00530A11">
        <w:lastRenderedPageBreak/>
        <w:t>本条适用于各类民用建筑的评价。在项目投入使用前评价，本条不得分。</w:t>
      </w:r>
    </w:p>
    <w:p w14:paraId="7336BBBC" w14:textId="77777777" w:rsidR="00841AA3" w:rsidRPr="00530A11" w:rsidRDefault="00841AA3" w:rsidP="00841AA3">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eastAsia="Times New Roman" w:cs="Times New Roman"/>
        </w:rPr>
        <w:t>10.2.4</w:t>
      </w:r>
      <w:r w:rsidRPr="00530A11">
        <w:rPr>
          <w:rFonts w:cs="Times New Roman"/>
        </w:rPr>
        <w:t>条，地方标准</w:t>
      </w:r>
      <w:r w:rsidRPr="00530A11">
        <w:rPr>
          <w:rFonts w:cs="Times New Roman"/>
        </w:rPr>
        <w:t>2014</w:t>
      </w:r>
      <w:r w:rsidRPr="00530A11">
        <w:rPr>
          <w:rFonts w:cs="Times New Roman"/>
        </w:rPr>
        <w:t>版第</w:t>
      </w:r>
      <w:r w:rsidRPr="00530A11">
        <w:rPr>
          <w:rFonts w:eastAsia="Times New Roman" w:cs="Times New Roman"/>
        </w:rPr>
        <w:t>10.2.4</w:t>
      </w:r>
      <w:r w:rsidRPr="00530A11">
        <w:rPr>
          <w:rFonts w:cs="Times New Roman"/>
        </w:rPr>
        <w:t>条的基础上发展而来。</w:t>
      </w:r>
    </w:p>
    <w:p w14:paraId="15CD10DD" w14:textId="77777777" w:rsidR="00841AA3" w:rsidRPr="00530A11" w:rsidRDefault="00841AA3" w:rsidP="00841AA3">
      <w:pPr>
        <w:ind w:firstLine="420"/>
        <w:rPr>
          <w:rFonts w:eastAsia="Times New Roman" w:cs="Times New Roman"/>
        </w:rPr>
      </w:pPr>
      <w:r w:rsidRPr="00530A11">
        <w:rPr>
          <w:rFonts w:cs="Times New Roman"/>
        </w:rPr>
        <w:t>在建筑物长期的运行过程中，用户和物业管理人员的意识与行为，直接影响绿色建筑的目标实现，因此需要坚持倡导绿色理念与绿色生活方式的教育宣传制度，培训各类人员正确使用绿色设施，形成良好的绿色行为与风气。</w:t>
      </w:r>
    </w:p>
    <w:p w14:paraId="770CA19C"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1</w:t>
      </w:r>
      <w:r w:rsidRPr="00530A11">
        <w:rPr>
          <w:rFonts w:cs="Times New Roman"/>
        </w:rPr>
        <w:t>款，建立绿色教育宣传和实践活动机制，可以促进普及绿色建筑知识，让更多的人了解绿色建筑的运营理念和有关要求。尤其是通过媒体报道和公开有关数据，能营造关注绿色理念、践行绿色行为的良好氛围。</w:t>
      </w:r>
    </w:p>
    <w:p w14:paraId="3AA0C7C5" w14:textId="77777777" w:rsidR="00841AA3" w:rsidRPr="00530A11" w:rsidRDefault="00841AA3" w:rsidP="00841AA3">
      <w:pPr>
        <w:ind w:firstLine="420"/>
        <w:rPr>
          <w:rFonts w:eastAsia="Times New Roman" w:cs="Times New Roman"/>
        </w:rPr>
      </w:pPr>
      <w:r w:rsidRPr="00530A11">
        <w:rPr>
          <w:rFonts w:cs="Times New Roman"/>
        </w:rPr>
        <w:t>第</w:t>
      </w:r>
      <w:r w:rsidRPr="00530A11">
        <w:rPr>
          <w:rFonts w:eastAsia="Times New Roman" w:cs="Times New Roman"/>
        </w:rPr>
        <w:t>2</w:t>
      </w:r>
      <w:r w:rsidRPr="00530A11">
        <w:rPr>
          <w:rFonts w:cs="Times New Roman"/>
        </w:rPr>
        <w:t>款，鼓励形式多样的绿色生活展示、体验或交流分享的平台，包括利用实体平台和网络平台的宣传、推广和活动，如建立绿色生活的体验小站、旧物置换、步数绿色积分、绿色小天使亲子活动等。定期发放绿色设施使用手册，绿色设施使用手册是为建筑使用者及物业管理人员提供各类设备设施的功能、作用及使用说明的文件。绿色设施包括建筑设备管理系统、节能灯具、遮阳设施、可再生能源系统、非传统水源系统、节水器具、节水绿化灌溉设施、垃圾分类处理设施等。营造出使用者爱护环境、绿色家园共建的氛围。</w:t>
      </w:r>
    </w:p>
    <w:p w14:paraId="07A5A3DB" w14:textId="77777777" w:rsidR="00841AA3" w:rsidRDefault="00841AA3" w:rsidP="00841AA3">
      <w:pPr>
        <w:ind w:firstLine="420"/>
        <w:rPr>
          <w:rFonts w:eastAsia="Times New Roman"/>
        </w:rPr>
      </w:pPr>
      <w:r w:rsidRPr="00530A11">
        <w:t>第</w:t>
      </w:r>
      <w:r w:rsidRPr="00530A11">
        <w:rPr>
          <w:rFonts w:eastAsia="Times New Roman"/>
        </w:rPr>
        <w:t>3</w:t>
      </w:r>
      <w:r w:rsidRPr="00530A11">
        <w:t>款，建筑应满足建筑使用者的需求，绿色建筑最终应用效果的重要判据之一是建筑使用者的评判和满意度。使用者满意度调查的内容主要针对安全耐久、健康舒适、生活便利、资源节约</w:t>
      </w:r>
      <w:r w:rsidRPr="00530A11">
        <w:rPr>
          <w:rFonts w:eastAsia="Times New Roman"/>
        </w:rPr>
        <w:t>(</w:t>
      </w:r>
      <w:r w:rsidRPr="00530A11">
        <w:t>侧重节能、节水</w:t>
      </w:r>
      <w:r w:rsidRPr="00530A11">
        <w:rPr>
          <w:rFonts w:eastAsia="Times New Roman"/>
        </w:rPr>
        <w:t>)</w:t>
      </w:r>
      <w:r w:rsidRPr="00530A11">
        <w:t>、环境宜居的绿色性能，并着重关注物业管理、秩序与安全、车辆管理、公共环境、建筑外墙维护等与建筑使用者。应根据满意度调查结果制定建筑性能提升改进措施并加以落实，尤其针对使用者不太满意的调查内容。</w:t>
      </w:r>
      <w:r w:rsidRPr="00530A11">
        <w:rPr>
          <w:rFonts w:eastAsia="Times New Roman"/>
        </w:rPr>
        <w:t xml:space="preserve">  </w:t>
      </w:r>
    </w:p>
    <w:p w14:paraId="165A8004" w14:textId="3F9664CB" w:rsidR="00011E42" w:rsidRPr="006C79E9" w:rsidRDefault="00011E42" w:rsidP="006C79E9">
      <w:pPr>
        <w:pStyle w:val="20"/>
      </w:pPr>
      <w:r w:rsidRPr="0081478A">
        <w:t>【评价要点】</w:t>
      </w:r>
    </w:p>
    <w:p w14:paraId="5DE04095" w14:textId="614E35B5" w:rsidR="00427C13" w:rsidRDefault="00011E42" w:rsidP="00745401">
      <w:pPr>
        <w:ind w:firstLine="420"/>
        <w:rPr>
          <w:rFonts w:cs="Times New Roman"/>
        </w:rPr>
      </w:pPr>
      <w:r w:rsidRPr="0081478A">
        <w:rPr>
          <w:rFonts w:cs="Times New Roman"/>
        </w:rPr>
        <w:t>查阅绿色教育宣传</w:t>
      </w:r>
      <w:r w:rsidR="00975681">
        <w:rPr>
          <w:rFonts w:cs="Times New Roman" w:hint="eastAsia"/>
        </w:rPr>
        <w:t>活动</w:t>
      </w:r>
      <w:r w:rsidRPr="0081478A">
        <w:rPr>
          <w:rFonts w:cs="Times New Roman"/>
        </w:rPr>
        <w:t>的工作记录与报道记录，包括宣传内容和方式，参与人员数量等；</w:t>
      </w:r>
    </w:p>
    <w:p w14:paraId="359A6204" w14:textId="77777777" w:rsidR="00427C13" w:rsidRDefault="00011E42" w:rsidP="00745401">
      <w:pPr>
        <w:ind w:firstLine="420"/>
        <w:rPr>
          <w:rFonts w:cs="Times New Roman"/>
        </w:rPr>
      </w:pPr>
      <w:r w:rsidRPr="0081478A">
        <w:rPr>
          <w:rFonts w:cs="Times New Roman"/>
        </w:rPr>
        <w:t>绿色设施使用手册应符合项目实际情况，内容完整，便于理解与使用；</w:t>
      </w:r>
    </w:p>
    <w:p w14:paraId="453A9F60" w14:textId="77777777" w:rsidR="00715ABB" w:rsidRPr="006C79E9" w:rsidRDefault="00F44390" w:rsidP="006C79E9">
      <w:pPr>
        <w:pStyle w:val="20"/>
      </w:pPr>
      <w:r w:rsidRPr="0081478A">
        <w:t>【评价方法】</w:t>
      </w:r>
    </w:p>
    <w:p w14:paraId="6384F74D" w14:textId="77777777" w:rsidR="00E905A0" w:rsidRPr="00530A11" w:rsidRDefault="00E905A0" w:rsidP="00E905A0">
      <w:pPr>
        <w:ind w:firstLine="420"/>
        <w:rPr>
          <w:rFonts w:cs="Times New Roman"/>
        </w:rPr>
      </w:pPr>
      <w:r w:rsidRPr="00530A11">
        <w:t>评价查阅相关管理制度、工作记录、活动宣传和推送材料、绿色设施使用手册、影像材料、年度调查报告及整改方案。</w:t>
      </w:r>
    </w:p>
    <w:p w14:paraId="7500FFDC" w14:textId="51BD3AC8" w:rsidR="005655D3" w:rsidRPr="0081478A" w:rsidRDefault="005655D3" w:rsidP="00745401">
      <w:pPr>
        <w:ind w:firstLine="420"/>
        <w:rPr>
          <w:rFonts w:cs="Times New Roman"/>
        </w:rPr>
      </w:pPr>
      <w:r w:rsidRPr="0081478A">
        <w:rPr>
          <w:rFonts w:cs="Times New Roman"/>
        </w:rPr>
        <w:br w:type="page"/>
      </w:r>
    </w:p>
    <w:p w14:paraId="4264A0E5" w14:textId="77777777" w:rsidR="00715ABB" w:rsidRPr="0081478A" w:rsidRDefault="00F44390" w:rsidP="003C1556">
      <w:pPr>
        <w:pStyle w:val="1"/>
      </w:pPr>
      <w:bookmarkStart w:id="132" w:name="_Toc22221580"/>
      <w:bookmarkStart w:id="133" w:name="_Toc35364747"/>
      <w:r w:rsidRPr="0081478A">
        <w:lastRenderedPageBreak/>
        <w:t xml:space="preserve">7  </w:t>
      </w:r>
      <w:r w:rsidRPr="0081478A">
        <w:t>资源节约</w:t>
      </w:r>
      <w:bookmarkEnd w:id="132"/>
      <w:bookmarkEnd w:id="133"/>
    </w:p>
    <w:p w14:paraId="297D4257" w14:textId="77777777" w:rsidR="00715ABB" w:rsidRPr="0081478A" w:rsidRDefault="00F44390" w:rsidP="001A7E3B">
      <w:pPr>
        <w:pStyle w:val="2"/>
      </w:pPr>
      <w:bookmarkStart w:id="134" w:name="_Toc22221581"/>
      <w:bookmarkStart w:id="135" w:name="_Toc35364748"/>
      <w:r w:rsidRPr="0081478A">
        <w:t xml:space="preserve">7.1 </w:t>
      </w:r>
      <w:r w:rsidRPr="0081478A">
        <w:t>控制项</w:t>
      </w:r>
      <w:bookmarkEnd w:id="134"/>
      <w:bookmarkEnd w:id="135"/>
    </w:p>
    <w:p w14:paraId="3EDF5776" w14:textId="77777777" w:rsidR="00841AA3" w:rsidRPr="00530A11" w:rsidRDefault="00841AA3" w:rsidP="00841AA3">
      <w:pPr>
        <w:pStyle w:val="4"/>
        <w:rPr>
          <w:rFonts w:cs="Times New Roman"/>
          <w:bCs w:val="0"/>
        </w:rPr>
      </w:pPr>
      <w:r w:rsidRPr="00530A11">
        <w:rPr>
          <w:rFonts w:cs="Times New Roman"/>
          <w:bCs w:val="0"/>
        </w:rPr>
        <w:t xml:space="preserve">7.1.1 </w:t>
      </w:r>
      <w:r w:rsidRPr="00530A11">
        <w:rPr>
          <w:rFonts w:cs="Times New Roman"/>
          <w:bCs w:val="0"/>
        </w:rPr>
        <w:t>应结合场地自然条件和建筑功能需求，对建筑的体形、平面布局、空间尺度、围护结构等进行节能设计，且应符合国家和</w:t>
      </w:r>
      <w:r w:rsidRPr="00530A11">
        <w:rPr>
          <w:rFonts w:cs="Times New Roman" w:hint="eastAsia"/>
          <w:bCs w:val="0"/>
        </w:rPr>
        <w:t>重庆市</w:t>
      </w:r>
      <w:r w:rsidRPr="00530A11">
        <w:rPr>
          <w:rFonts w:cs="Times New Roman"/>
          <w:bCs w:val="0"/>
        </w:rPr>
        <w:t>有关节能设计的要求。</w:t>
      </w:r>
    </w:p>
    <w:p w14:paraId="14A962D7" w14:textId="77777777" w:rsidR="00715ABB" w:rsidRPr="0081478A" w:rsidRDefault="00F44390">
      <w:pPr>
        <w:snapToGrid w:val="0"/>
        <w:ind w:firstLineChars="0" w:firstLine="0"/>
        <w:jc w:val="left"/>
        <w:rPr>
          <w:rFonts w:cs="Times New Roman"/>
          <w:b/>
          <w:bCs/>
          <w:szCs w:val="24"/>
        </w:rPr>
      </w:pPr>
      <w:r w:rsidRPr="0081478A">
        <w:rPr>
          <w:rFonts w:cs="Times New Roman"/>
          <w:b/>
          <w:bCs/>
          <w:szCs w:val="24"/>
        </w:rPr>
        <w:t>【条文说明】</w:t>
      </w:r>
    </w:p>
    <w:p w14:paraId="4C9C6961" w14:textId="77777777" w:rsidR="00C060F4" w:rsidRPr="00530A11" w:rsidRDefault="00C060F4" w:rsidP="00C060F4">
      <w:pPr>
        <w:ind w:firstLine="420"/>
        <w:rPr>
          <w:szCs w:val="24"/>
        </w:rPr>
      </w:pPr>
      <w:r w:rsidRPr="00530A11">
        <w:t>本条适用于各类民用建筑的预评价、评价。</w:t>
      </w:r>
    </w:p>
    <w:p w14:paraId="27839172"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5.1.1</w:t>
      </w:r>
      <w:r w:rsidRPr="00530A11">
        <w:rPr>
          <w:rFonts w:cs="Times New Roman"/>
        </w:rPr>
        <w:t>、</w:t>
      </w:r>
      <w:r w:rsidRPr="00530A11">
        <w:rPr>
          <w:rFonts w:cs="Times New Roman"/>
        </w:rPr>
        <w:t>5.2.1</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5.1.1</w:t>
      </w:r>
      <w:r w:rsidRPr="00530A11">
        <w:rPr>
          <w:rFonts w:cs="Times New Roman"/>
        </w:rPr>
        <w:t>、</w:t>
      </w:r>
      <w:r w:rsidRPr="00530A11">
        <w:rPr>
          <w:rFonts w:cs="Times New Roman"/>
        </w:rPr>
        <w:t>5.2.1</w:t>
      </w:r>
      <w:r w:rsidRPr="00530A11">
        <w:rPr>
          <w:rFonts w:cs="Times New Roman"/>
        </w:rPr>
        <w:t>条的基础上发展而来。</w:t>
      </w:r>
    </w:p>
    <w:p w14:paraId="7D6F88C5" w14:textId="77777777" w:rsidR="00C060F4" w:rsidRPr="00530A11" w:rsidRDefault="00C060F4" w:rsidP="00C060F4">
      <w:pPr>
        <w:ind w:firstLine="420"/>
        <w:rPr>
          <w:rFonts w:cs="Times New Roman"/>
        </w:rPr>
      </w:pPr>
      <w:r w:rsidRPr="00530A11">
        <w:rPr>
          <w:rFonts w:cs="Times New Roman"/>
        </w:rPr>
        <w:t>建筑设计时应强化</w:t>
      </w:r>
      <w:r w:rsidRPr="00530A11">
        <w:rPr>
          <w:rFonts w:cs="Times New Roman"/>
        </w:rPr>
        <w:t>“</w:t>
      </w:r>
      <w:r w:rsidRPr="00530A11">
        <w:rPr>
          <w:rFonts w:cs="Times New Roman"/>
        </w:rPr>
        <w:t>空间节能优先</w:t>
      </w:r>
      <w:r w:rsidRPr="00530A11">
        <w:rPr>
          <w:rFonts w:cs="Times New Roman"/>
        </w:rPr>
        <w:t>”</w:t>
      </w:r>
      <w:r w:rsidRPr="00530A11">
        <w:rPr>
          <w:rFonts w:cs="Times New Roman"/>
        </w:rPr>
        <w:t>原则的重点要求。优化体形、空间平面布局，包括合理控制建筑空调供暖的规模、区域和时间，可以实现对建筑的自然通风和天然采光的优先利用，降低供暖空调照明负荷，降低建筑能耗。</w:t>
      </w:r>
    </w:p>
    <w:p w14:paraId="3ADEDCE9" w14:textId="77777777" w:rsidR="00C060F4" w:rsidRPr="00530A11" w:rsidRDefault="00C060F4" w:rsidP="00C060F4">
      <w:pPr>
        <w:ind w:firstLine="420"/>
        <w:rPr>
          <w:rFonts w:cs="Times New Roman"/>
        </w:rPr>
      </w:pPr>
      <w:r w:rsidRPr="00530A11">
        <w:rPr>
          <w:rFonts w:cs="Times New Roman"/>
        </w:rPr>
        <w:t>因地制宜是绿色建筑设计首先要考虑的因素，不仅仅需要考虑当地气候条件，其建筑的形体、尺度还需要综合场地周边的传统文化、地方特色统筹协调，建筑物的平面布局应结合场地地形、环境等自然条件制约，并权衡各因素之间的相互关系，通过多方面分析、优化建筑的规划设计。绿色建筑设计还应在综合考虑基地容积率、限高、绿化率、交通等功能因素基础上，统筹考虑冬夏季节节能需求，优化设计体形、朝向和窗墙比。</w:t>
      </w:r>
    </w:p>
    <w:p w14:paraId="12CDAD7D" w14:textId="77777777" w:rsidR="00C060F4" w:rsidRPr="00530A11" w:rsidRDefault="00C060F4" w:rsidP="00C060F4">
      <w:pPr>
        <w:ind w:firstLine="420"/>
        <w:rPr>
          <w:rFonts w:cs="Times New Roman"/>
        </w:rPr>
      </w:pPr>
      <w:r w:rsidRPr="00530A11">
        <w:rPr>
          <w:rFonts w:cs="Times New Roman"/>
        </w:rPr>
        <w:t>本条涉及的建筑节能标准，包括国家现行标准《公共建筑节能设计标准》</w:t>
      </w:r>
      <w:r w:rsidRPr="00530A11">
        <w:rPr>
          <w:rFonts w:cs="Times New Roman"/>
        </w:rPr>
        <w:t>GB 50189</w:t>
      </w:r>
      <w:r w:rsidRPr="00530A11">
        <w:rPr>
          <w:rFonts w:cs="Times New Roman"/>
        </w:rPr>
        <w:t>、《夏热冬冷地区居住建筑节能设计标准》</w:t>
      </w:r>
      <w:r w:rsidRPr="00530A11">
        <w:rPr>
          <w:rFonts w:cs="Times New Roman"/>
        </w:rPr>
        <w:t>JGJ 134</w:t>
      </w:r>
      <w:r w:rsidRPr="00530A11">
        <w:rPr>
          <w:rFonts w:cs="Times New Roman"/>
        </w:rPr>
        <w:t>，重庆市现行公共建筑、居住建筑节能设计标准等。</w:t>
      </w:r>
    </w:p>
    <w:p w14:paraId="40D5AAE9" w14:textId="77777777" w:rsidR="00011E42" w:rsidRPr="006C79E9" w:rsidRDefault="00011E42" w:rsidP="006C79E9">
      <w:pPr>
        <w:pStyle w:val="20"/>
      </w:pPr>
      <w:r w:rsidRPr="0081478A">
        <w:t>【评价要点】</w:t>
      </w:r>
    </w:p>
    <w:p w14:paraId="600A88BB" w14:textId="77777777" w:rsidR="00011E42" w:rsidRPr="0081478A" w:rsidRDefault="00AD62DB" w:rsidP="00AD3B18">
      <w:pPr>
        <w:ind w:firstLine="420"/>
        <w:rPr>
          <w:rFonts w:cs="Times New Roman"/>
        </w:rPr>
      </w:pPr>
      <w:r w:rsidRPr="0081478A">
        <w:rPr>
          <w:rFonts w:cs="Times New Roman"/>
        </w:rPr>
        <w:t xml:space="preserve">1 </w:t>
      </w:r>
      <w:r w:rsidR="00011E42" w:rsidRPr="0081478A">
        <w:rPr>
          <w:rFonts w:cs="Times New Roman"/>
        </w:rPr>
        <w:t>居住建筑应符合现行居住建筑节能设计标准</w:t>
      </w:r>
      <w:r w:rsidR="00AD3B18" w:rsidRPr="0081478A">
        <w:rPr>
          <w:rFonts w:cs="Times New Roman"/>
        </w:rPr>
        <w:t>，</w:t>
      </w:r>
      <w:r w:rsidR="00011E42" w:rsidRPr="0081478A">
        <w:rPr>
          <w:rFonts w:cs="Times New Roman"/>
        </w:rPr>
        <w:t>公共建筑应符合现行公共建筑节能设计标准。</w:t>
      </w:r>
    </w:p>
    <w:p w14:paraId="0F2C50D8" w14:textId="77777777" w:rsidR="00011E42" w:rsidRPr="0081478A" w:rsidRDefault="00AD62DB" w:rsidP="00AD62DB">
      <w:pPr>
        <w:ind w:firstLine="420"/>
        <w:rPr>
          <w:rFonts w:cs="Times New Roman"/>
        </w:rPr>
      </w:pPr>
      <w:r w:rsidRPr="0081478A">
        <w:rPr>
          <w:rFonts w:cs="Times New Roman"/>
        </w:rPr>
        <w:t>2</w:t>
      </w:r>
      <w:r w:rsidR="00011E42" w:rsidRPr="0081478A">
        <w:rPr>
          <w:rFonts w:cs="Times New Roman"/>
        </w:rPr>
        <w:t xml:space="preserve"> </w:t>
      </w:r>
      <w:r w:rsidR="00011E42" w:rsidRPr="0081478A">
        <w:rPr>
          <w:rFonts w:cs="Times New Roman"/>
        </w:rPr>
        <w:t>室内采光数值分析报告应满足本书附录</w:t>
      </w:r>
      <w:r w:rsidR="00011E42" w:rsidRPr="0081478A">
        <w:rPr>
          <w:rFonts w:cs="Times New Roman"/>
        </w:rPr>
        <w:t>A.3</w:t>
      </w:r>
      <w:r w:rsidR="00011E42" w:rsidRPr="0081478A">
        <w:rPr>
          <w:rFonts w:cs="Times New Roman"/>
        </w:rPr>
        <w:t>的要求</w:t>
      </w:r>
      <w:r w:rsidRPr="0081478A">
        <w:rPr>
          <w:rFonts w:cs="Times New Roman"/>
        </w:rPr>
        <w:t>，</w:t>
      </w:r>
      <w:r w:rsidR="00011E42" w:rsidRPr="0081478A">
        <w:rPr>
          <w:rFonts w:cs="Times New Roman"/>
        </w:rPr>
        <w:t>室内风环境数值分析报告应满足本书附录</w:t>
      </w:r>
      <w:r w:rsidR="00011E42" w:rsidRPr="0081478A">
        <w:rPr>
          <w:rFonts w:cs="Times New Roman"/>
        </w:rPr>
        <w:t>A.4</w:t>
      </w:r>
      <w:r w:rsidR="00011E42" w:rsidRPr="0081478A">
        <w:rPr>
          <w:rFonts w:cs="Times New Roman"/>
        </w:rPr>
        <w:t>的要求。</w:t>
      </w:r>
    </w:p>
    <w:p w14:paraId="322618F4" w14:textId="3DE16247" w:rsidR="00011E42" w:rsidRPr="0081478A" w:rsidRDefault="00AD62DB" w:rsidP="00011E42">
      <w:pPr>
        <w:ind w:firstLine="420"/>
        <w:rPr>
          <w:rFonts w:cs="Times New Roman"/>
        </w:rPr>
      </w:pPr>
      <w:r w:rsidRPr="0081478A">
        <w:rPr>
          <w:rFonts w:cs="Times New Roman"/>
        </w:rPr>
        <w:t xml:space="preserve">3 </w:t>
      </w:r>
      <w:r w:rsidR="00011E42" w:rsidRPr="0081478A">
        <w:rPr>
          <w:rFonts w:cs="Times New Roman"/>
        </w:rPr>
        <w:t>如果建筑的体形简单、朝向接近正南正北（即朝向为南偏西</w:t>
      </w:r>
      <w:r w:rsidR="00011E42" w:rsidRPr="0081478A">
        <w:rPr>
          <w:rFonts w:cs="Times New Roman"/>
        </w:rPr>
        <w:t>30°</w:t>
      </w:r>
      <w:r w:rsidR="00011E42" w:rsidRPr="0081478A">
        <w:rPr>
          <w:rFonts w:cs="Times New Roman"/>
        </w:rPr>
        <w:t>至南偏东</w:t>
      </w:r>
      <w:r w:rsidR="00011E42" w:rsidRPr="0081478A">
        <w:rPr>
          <w:rFonts w:cs="Times New Roman"/>
        </w:rPr>
        <w:t>30°</w:t>
      </w:r>
      <w:r w:rsidR="00011E42" w:rsidRPr="0081478A">
        <w:rPr>
          <w:rFonts w:cs="Times New Roman"/>
        </w:rPr>
        <w:t>范围内），</w:t>
      </w:r>
      <w:r w:rsidR="004A6F19" w:rsidRPr="004A6F19">
        <w:rPr>
          <w:rFonts w:cs="Times New Roman" w:hint="eastAsia"/>
        </w:rPr>
        <w:t>住宅建筑接近正南正北朝向比例不低于</w:t>
      </w:r>
      <w:r w:rsidR="004A6F19" w:rsidRPr="004A6F19">
        <w:rPr>
          <w:rFonts w:cs="Times New Roman" w:hint="eastAsia"/>
        </w:rPr>
        <w:t>70%</w:t>
      </w:r>
      <w:r w:rsidR="004A6F19" w:rsidRPr="004A6F19">
        <w:rPr>
          <w:rFonts w:cs="Times New Roman" w:hint="eastAsia"/>
        </w:rPr>
        <w:t>。</w:t>
      </w:r>
      <w:r w:rsidR="00011E42" w:rsidRPr="0081478A">
        <w:rPr>
          <w:rFonts w:cs="Times New Roman"/>
        </w:rPr>
        <w:t>楼间距、窗墙比也满足标准要求，可视为设</w:t>
      </w:r>
      <w:r w:rsidR="00011E42" w:rsidRPr="0081478A">
        <w:rPr>
          <w:rFonts w:cs="Times New Roman"/>
        </w:rPr>
        <w:lastRenderedPageBreak/>
        <w:t>计合理</w:t>
      </w:r>
      <w:r w:rsidRPr="0081478A">
        <w:rPr>
          <w:rFonts w:cs="Times New Roman"/>
        </w:rPr>
        <w:t>。</w:t>
      </w:r>
    </w:p>
    <w:p w14:paraId="7A98221A" w14:textId="77777777" w:rsidR="00011E42" w:rsidRPr="0081478A" w:rsidRDefault="00AD62DB" w:rsidP="00011E42">
      <w:pPr>
        <w:ind w:firstLine="420"/>
        <w:rPr>
          <w:rFonts w:cs="Times New Roman"/>
        </w:rPr>
      </w:pPr>
      <w:r w:rsidRPr="0081478A">
        <w:rPr>
          <w:rFonts w:cs="Times New Roman"/>
        </w:rPr>
        <w:t xml:space="preserve">4 </w:t>
      </w:r>
      <w:r w:rsidR="00011E42" w:rsidRPr="0081478A">
        <w:rPr>
          <w:rFonts w:cs="Times New Roman"/>
        </w:rPr>
        <w:t>体形等复杂时，应通过检查在设计过程中是否进行过设计优化，优化内容是否涉及体形、朝向、楼距对通风、日照和采光等的影响来判断是否</w:t>
      </w:r>
      <w:r w:rsidRPr="0081478A">
        <w:rPr>
          <w:rFonts w:cs="Times New Roman"/>
        </w:rPr>
        <w:t>满足要求</w:t>
      </w:r>
      <w:r w:rsidR="00011E42" w:rsidRPr="0081478A">
        <w:rPr>
          <w:rFonts w:cs="Times New Roman"/>
        </w:rPr>
        <w:t>。</w:t>
      </w:r>
    </w:p>
    <w:p w14:paraId="39613B01" w14:textId="77777777" w:rsidR="00011E42" w:rsidRPr="0081478A" w:rsidRDefault="00AD62DB" w:rsidP="00011E42">
      <w:pPr>
        <w:ind w:firstLine="420"/>
        <w:rPr>
          <w:rFonts w:cs="Times New Roman"/>
        </w:rPr>
      </w:pPr>
      <w:r w:rsidRPr="0081478A">
        <w:rPr>
          <w:rFonts w:cs="Times New Roman"/>
        </w:rPr>
        <w:t xml:space="preserve">5 </w:t>
      </w:r>
      <w:r w:rsidR="00011E42" w:rsidRPr="0081478A">
        <w:rPr>
          <w:rFonts w:cs="Times New Roman"/>
        </w:rPr>
        <w:t>对于公共建筑，如果经过优化之后的建筑窗墙比都低于</w:t>
      </w:r>
      <w:r w:rsidR="00011E42" w:rsidRPr="0081478A">
        <w:rPr>
          <w:rFonts w:cs="Times New Roman"/>
        </w:rPr>
        <w:t>0.5</w:t>
      </w:r>
      <w:r w:rsidR="00011E42" w:rsidRPr="0081478A">
        <w:rPr>
          <w:rFonts w:cs="Times New Roman"/>
        </w:rPr>
        <w:t>，</w:t>
      </w:r>
      <w:r w:rsidR="00AD3B18" w:rsidRPr="0081478A">
        <w:rPr>
          <w:rFonts w:cs="Times New Roman"/>
        </w:rPr>
        <w:t>直接视为满足要求</w:t>
      </w:r>
      <w:r w:rsidR="00011E42" w:rsidRPr="0081478A">
        <w:rPr>
          <w:rFonts w:cs="Times New Roman"/>
        </w:rPr>
        <w:t>。</w:t>
      </w:r>
    </w:p>
    <w:p w14:paraId="62215D11" w14:textId="77777777" w:rsidR="00715ABB" w:rsidRPr="006C79E9" w:rsidRDefault="00F44390" w:rsidP="006C79E9">
      <w:pPr>
        <w:pStyle w:val="20"/>
      </w:pPr>
      <w:r w:rsidRPr="0081478A">
        <w:t>【评价方法】</w:t>
      </w:r>
    </w:p>
    <w:p w14:paraId="0ED51D01" w14:textId="0B42506D" w:rsidR="00E905A0" w:rsidRPr="00530A11" w:rsidRDefault="00E905A0" w:rsidP="00E905A0">
      <w:pPr>
        <w:ind w:firstLine="420"/>
        <w:rPr>
          <w:rFonts w:cs="Times New Roman"/>
        </w:rPr>
      </w:pPr>
      <w:r w:rsidRPr="00530A11">
        <w:rPr>
          <w:rFonts w:cs="Times New Roman"/>
        </w:rPr>
        <w:t>预评价查阅设计文件审查报告、相关设计文件</w:t>
      </w:r>
      <w:r w:rsidRPr="00530A11">
        <w:rPr>
          <w:rFonts w:cs="Times New Roman"/>
        </w:rPr>
        <w:t>(</w:t>
      </w:r>
      <w:r w:rsidRPr="00530A11">
        <w:rPr>
          <w:rFonts w:cs="Times New Roman"/>
        </w:rPr>
        <w:t>总图、建筑鸟瞰图、单体效果图、人群视点透视图、平立剖图纸、设计说明等</w:t>
      </w:r>
      <w:r w:rsidRPr="00530A11">
        <w:rPr>
          <w:rFonts w:cs="Times New Roman"/>
        </w:rPr>
        <w:t>)</w:t>
      </w:r>
      <w:r w:rsidRPr="00530A11">
        <w:rPr>
          <w:rFonts w:cs="Times New Roman"/>
        </w:rPr>
        <w:t>、节能计算书、建筑日照模拟计算报告（托儿所、幼儿园、老年人等建筑类型必须提供）、优化设计报告</w:t>
      </w:r>
      <w:r w:rsidR="004A6F19">
        <w:rPr>
          <w:rFonts w:cs="Times New Roman" w:hint="eastAsia"/>
        </w:rPr>
        <w:t>、</w:t>
      </w:r>
      <w:r w:rsidR="004A6F19">
        <w:rPr>
          <w:rFonts w:hint="eastAsia"/>
        </w:rPr>
        <w:t>建筑朝向比例计算书</w:t>
      </w:r>
      <w:r w:rsidRPr="00530A11">
        <w:rPr>
          <w:rFonts w:cs="Times New Roman"/>
        </w:rPr>
        <w:t>；评价查阅设计文件审查报告、相关竣工图、节能计算书、建筑日照模拟计算报告（托儿所、幼儿园、老年人等建筑类型必须提供）、优化设计报告</w:t>
      </w:r>
      <w:r w:rsidR="004A6F19">
        <w:rPr>
          <w:rFonts w:cs="Times New Roman" w:hint="eastAsia"/>
        </w:rPr>
        <w:t>、</w:t>
      </w:r>
      <w:r w:rsidR="004A6F19">
        <w:rPr>
          <w:rFonts w:hint="eastAsia"/>
        </w:rPr>
        <w:t>建筑朝向比例计算书</w:t>
      </w:r>
      <w:r w:rsidRPr="00530A11">
        <w:rPr>
          <w:rFonts w:cs="Times New Roman"/>
        </w:rPr>
        <w:t>。</w:t>
      </w:r>
    </w:p>
    <w:p w14:paraId="4E6A2729" w14:textId="77777777" w:rsidR="00715ABB" w:rsidRPr="00E905A0" w:rsidRDefault="00715ABB">
      <w:pPr>
        <w:ind w:firstLine="420"/>
        <w:rPr>
          <w:rFonts w:cs="Times New Roman"/>
          <w:bCs/>
          <w:kern w:val="44"/>
          <w:szCs w:val="24"/>
        </w:rPr>
      </w:pPr>
    </w:p>
    <w:p w14:paraId="13E7505C" w14:textId="77777777" w:rsidR="00841AA3" w:rsidRPr="00530A11" w:rsidRDefault="00841AA3" w:rsidP="00841AA3">
      <w:pPr>
        <w:pStyle w:val="4"/>
        <w:rPr>
          <w:rFonts w:cs="Times New Roman"/>
          <w:bCs w:val="0"/>
        </w:rPr>
      </w:pPr>
      <w:r w:rsidRPr="00530A11">
        <w:rPr>
          <w:rFonts w:cs="Times New Roman"/>
          <w:bCs w:val="0"/>
        </w:rPr>
        <w:t xml:space="preserve">7.1.2 </w:t>
      </w:r>
      <w:r w:rsidRPr="00530A11">
        <w:rPr>
          <w:rFonts w:cs="Times New Roman"/>
          <w:bCs w:val="0"/>
        </w:rPr>
        <w:t>应采取措施降低部分负荷、部分空间使用下的供暖、空调系统能耗，并应符合下列规定：</w:t>
      </w:r>
    </w:p>
    <w:p w14:paraId="2C02A70D" w14:textId="77777777" w:rsidR="00841AA3" w:rsidRPr="00530A11" w:rsidRDefault="00841AA3" w:rsidP="00841AA3">
      <w:pPr>
        <w:pStyle w:val="20"/>
        <w:ind w:firstLineChars="100" w:firstLine="211"/>
      </w:pPr>
      <w:r w:rsidRPr="00530A11">
        <w:t>1 应区分房间的朝向细分供暖、空调区域，并应对系统进行分区控制；</w:t>
      </w:r>
    </w:p>
    <w:p w14:paraId="357B5810" w14:textId="0DF081EC" w:rsidR="00841AA3" w:rsidRPr="00841AA3" w:rsidRDefault="00841AA3" w:rsidP="00841AA3">
      <w:pPr>
        <w:pStyle w:val="20"/>
        <w:ind w:firstLineChars="100" w:firstLine="211"/>
      </w:pPr>
      <w:r w:rsidRPr="00530A11">
        <w:t>2 空调冷源的部分负荷性能系数(IPLV)、电冷源综合</w:t>
      </w:r>
      <w:r w:rsidRPr="00841AA3">
        <w:rPr>
          <w:rFonts w:hint="eastAsia"/>
        </w:rPr>
        <w:t>制冷性能系数(SCOP)应符合现行国家标准《公共建筑节能设计标准》GB 50189的规定。</w:t>
      </w:r>
    </w:p>
    <w:p w14:paraId="47D77EF2" w14:textId="3E253BFE" w:rsidR="00715ABB" w:rsidRPr="00841AA3" w:rsidRDefault="00F44390" w:rsidP="006C79E9">
      <w:pPr>
        <w:pStyle w:val="20"/>
      </w:pPr>
      <w:r w:rsidRPr="0081478A">
        <w:t>【条文说明】</w:t>
      </w:r>
    </w:p>
    <w:p w14:paraId="6A30265F" w14:textId="77777777" w:rsidR="00C060F4" w:rsidRPr="00530A11" w:rsidRDefault="00C060F4" w:rsidP="00C060F4">
      <w:pPr>
        <w:ind w:firstLine="420"/>
      </w:pPr>
      <w:r w:rsidRPr="00530A11">
        <w:t>本条适用于各类民用建筑的预评价、评价。</w:t>
      </w:r>
    </w:p>
    <w:p w14:paraId="543CFA87"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5.2.8</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5.2.9</w:t>
      </w:r>
      <w:r w:rsidRPr="00530A11">
        <w:rPr>
          <w:rFonts w:cs="Times New Roman"/>
        </w:rPr>
        <w:t>条的基础上发展而来。</w:t>
      </w:r>
    </w:p>
    <w:p w14:paraId="4263FC16" w14:textId="77777777" w:rsidR="00C060F4" w:rsidRPr="00530A11" w:rsidRDefault="00C060F4" w:rsidP="00C060F4">
      <w:pPr>
        <w:ind w:firstLine="420"/>
        <w:rPr>
          <w:rFonts w:cs="Times New Roman"/>
        </w:rPr>
      </w:pPr>
      <w:r w:rsidRPr="00530A11">
        <w:rPr>
          <w:rFonts w:cs="Times New Roman"/>
        </w:rPr>
        <w:t>对没有供暖需求的建筑，仅考虑空调分区。对于采用分体式以及多联式空调的，可认定为满足空调供冷分区要求。</w:t>
      </w:r>
    </w:p>
    <w:p w14:paraId="10CAB92D" w14:textId="77777777" w:rsidR="00C060F4" w:rsidRPr="00530A11" w:rsidRDefault="00C060F4" w:rsidP="00C060F4">
      <w:pPr>
        <w:ind w:firstLine="420"/>
        <w:rPr>
          <w:rFonts w:cs="Times New Roman"/>
        </w:rPr>
      </w:pPr>
      <w:r w:rsidRPr="00530A11">
        <w:rPr>
          <w:rFonts w:cs="Times New Roman"/>
        </w:rPr>
        <w:t>不同朝向、不同的使用时间、不同功能需求</w:t>
      </w:r>
      <w:r w:rsidRPr="00530A11">
        <w:rPr>
          <w:rFonts w:cs="Times New Roman"/>
        </w:rPr>
        <w:t>(</w:t>
      </w:r>
      <w:r w:rsidRPr="00530A11">
        <w:rPr>
          <w:rFonts w:cs="Times New Roman"/>
        </w:rPr>
        <w:t>人员设备负荷，室内温湿度要求</w:t>
      </w:r>
      <w:r w:rsidRPr="00530A11">
        <w:rPr>
          <w:rFonts w:cs="Times New Roman"/>
        </w:rPr>
        <w:t>)</w:t>
      </w:r>
      <w:r w:rsidRPr="00530A11">
        <w:rPr>
          <w:rFonts w:cs="Times New Roman"/>
        </w:rPr>
        <w:t>的区域应考虑供暖空调的分区，否则既增加后期运行调控的难度，也带来了能源的浪费。因此，本条文要求设计应区分房间的朝向，细分供暖、空调区域，应对系统进行分区控制。</w:t>
      </w:r>
    </w:p>
    <w:p w14:paraId="4C2EBD60" w14:textId="77777777" w:rsidR="00C060F4" w:rsidRPr="00530A11" w:rsidRDefault="00C060F4" w:rsidP="00C060F4">
      <w:pPr>
        <w:ind w:firstLine="420"/>
        <w:rPr>
          <w:rFonts w:cs="Times New Roman"/>
        </w:rPr>
      </w:pPr>
      <w:r w:rsidRPr="00530A11">
        <w:rPr>
          <w:rFonts w:cs="Times New Roman"/>
        </w:rPr>
        <w:t>空调系统一般按照最不利情况</w:t>
      </w:r>
      <w:r w:rsidRPr="00530A11">
        <w:rPr>
          <w:rFonts w:cs="Times New Roman"/>
        </w:rPr>
        <w:t>(</w:t>
      </w:r>
      <w:r w:rsidRPr="00530A11">
        <w:rPr>
          <w:rFonts w:cs="Times New Roman"/>
        </w:rPr>
        <w:t>满负荷</w:t>
      </w:r>
      <w:r w:rsidRPr="00530A11">
        <w:rPr>
          <w:rFonts w:cs="Times New Roman"/>
        </w:rPr>
        <w:t>)</w:t>
      </w:r>
      <w:r w:rsidRPr="00530A11">
        <w:rPr>
          <w:rFonts w:cs="Times New Roman"/>
        </w:rPr>
        <w:t>进行系统设计和设备选型，而建筑在绝大部分时间内是处于部分负荷状况的，或者同一时间仅有一部分空间处于使用状态。现行国家标准《公共建筑节能设计标准》</w:t>
      </w:r>
      <w:r w:rsidRPr="00530A11">
        <w:rPr>
          <w:rFonts w:cs="Times New Roman"/>
        </w:rPr>
        <w:t>GB 50189</w:t>
      </w:r>
      <w:r w:rsidRPr="00530A11">
        <w:rPr>
          <w:rFonts w:cs="Times New Roman"/>
        </w:rPr>
        <w:t>已经对空调冷源的部分负荷性能</w:t>
      </w:r>
      <w:r w:rsidRPr="00530A11">
        <w:rPr>
          <w:rFonts w:cs="Times New Roman"/>
        </w:rPr>
        <w:t>(IPLV)</w:t>
      </w:r>
      <w:r w:rsidRPr="00530A11">
        <w:rPr>
          <w:rFonts w:cs="Times New Roman"/>
        </w:rPr>
        <w:t>提出了要求，本条文参照执行。</w:t>
      </w:r>
    </w:p>
    <w:p w14:paraId="3823F766" w14:textId="77777777" w:rsidR="00C060F4" w:rsidRPr="00530A11" w:rsidRDefault="00C060F4" w:rsidP="00C060F4">
      <w:pPr>
        <w:ind w:firstLine="420"/>
        <w:rPr>
          <w:rFonts w:cs="Times New Roman"/>
        </w:rPr>
      </w:pPr>
      <w:r w:rsidRPr="00530A11">
        <w:rPr>
          <w:rFonts w:cs="Times New Roman"/>
        </w:rPr>
        <w:t>最终决定空调系统耗电量的是包含空调冷热源、输送系统和空调末端设备在内整个空调</w:t>
      </w:r>
      <w:r w:rsidRPr="00530A11">
        <w:rPr>
          <w:rFonts w:cs="Times New Roman"/>
        </w:rPr>
        <w:lastRenderedPageBreak/>
        <w:t>系统，整体更优才能达到节能的最终目的。规定空调系统电冷源综合制冷性能系数</w:t>
      </w:r>
      <w:r w:rsidRPr="00530A11">
        <w:rPr>
          <w:rFonts w:cs="Times New Roman"/>
        </w:rPr>
        <w:t>(SCOP)</w:t>
      </w:r>
      <w:r w:rsidRPr="00530A11">
        <w:rPr>
          <w:rFonts w:cs="Times New Roman"/>
        </w:rPr>
        <w:t>这个参数，保证空调冷源部分的节能设计整体更优。现行国家标准《公共建筑节能设计标准》</w:t>
      </w:r>
      <w:r w:rsidRPr="00530A11">
        <w:rPr>
          <w:rFonts w:cs="Times New Roman"/>
        </w:rPr>
        <w:t>GB 50189</w:t>
      </w:r>
      <w:r w:rsidRPr="00530A11">
        <w:rPr>
          <w:rFonts w:cs="Times New Roman"/>
        </w:rPr>
        <w:t>中对空调系统的电冷源综合制冷性能系数</w:t>
      </w:r>
      <w:r w:rsidRPr="00530A11">
        <w:rPr>
          <w:rFonts w:cs="Times New Roman"/>
        </w:rPr>
        <w:t>(SCOP)</w:t>
      </w:r>
      <w:r w:rsidRPr="00530A11">
        <w:rPr>
          <w:rFonts w:cs="Times New Roman"/>
        </w:rPr>
        <w:t>已提出了要求，本条文参照执行。</w:t>
      </w:r>
    </w:p>
    <w:p w14:paraId="56D6D0A1" w14:textId="327DB51D" w:rsidR="00C060F4" w:rsidRDefault="00C060F4" w:rsidP="00C060F4">
      <w:pPr>
        <w:ind w:firstLine="420"/>
        <w:rPr>
          <w:rFonts w:cs="Times New Roman"/>
        </w:rPr>
      </w:pPr>
      <w:r w:rsidRPr="00530A11">
        <w:rPr>
          <w:rFonts w:cs="Times New Roman"/>
        </w:rPr>
        <w:t>如重庆市相关标准高于国家标准要求，则还应同时满足重庆市相关标准的要求。</w:t>
      </w:r>
    </w:p>
    <w:p w14:paraId="7BB30033" w14:textId="77777777" w:rsidR="001F1484" w:rsidRPr="00530A11" w:rsidRDefault="001F1484" w:rsidP="001F1484">
      <w:pPr>
        <w:ind w:firstLine="420"/>
        <w:rPr>
          <w:rFonts w:cs="Times New Roman"/>
        </w:rPr>
      </w:pPr>
      <w:r>
        <w:rPr>
          <w:rFonts w:cs="Times New Roman" w:hint="eastAsia"/>
        </w:rPr>
        <w:t>本条重点在于考核系统设计性能，评价时不要求必须购置安装设备。</w:t>
      </w:r>
    </w:p>
    <w:p w14:paraId="0503F490" w14:textId="77777777" w:rsidR="00011E42" w:rsidRPr="006C79E9" w:rsidRDefault="00011E42" w:rsidP="006C79E9">
      <w:pPr>
        <w:pStyle w:val="20"/>
      </w:pPr>
      <w:r w:rsidRPr="0081478A">
        <w:t>【评价要点】</w:t>
      </w:r>
    </w:p>
    <w:p w14:paraId="4491DD97" w14:textId="3D7408F7" w:rsidR="0043075E" w:rsidRDefault="0043075E" w:rsidP="0043075E">
      <w:pPr>
        <w:ind w:firstLine="420"/>
      </w:pPr>
      <w:r>
        <w:rPr>
          <w:rFonts w:hint="eastAsia"/>
        </w:rPr>
        <w:t>第</w:t>
      </w:r>
      <w:r>
        <w:rPr>
          <w:rFonts w:hint="eastAsia"/>
        </w:rPr>
        <w:t>1</w:t>
      </w:r>
      <w:r>
        <w:rPr>
          <w:rFonts w:hint="eastAsia"/>
        </w:rPr>
        <w:t>条，</w:t>
      </w:r>
      <w:r w:rsidRPr="0043075E">
        <w:rPr>
          <w:rFonts w:hint="eastAsia"/>
        </w:rPr>
        <w:t>对于采用分体空调、多联机的建筑，可实现自然分区、分室调控，可直接得分（但前提是其供暖系统也满足本款要求，或没有供暖系统）。</w:t>
      </w:r>
    </w:p>
    <w:p w14:paraId="23E4E034" w14:textId="5CB7AE53" w:rsidR="0043075E" w:rsidRDefault="0043075E" w:rsidP="0043075E">
      <w:pPr>
        <w:ind w:firstLine="420"/>
      </w:pPr>
      <w:r>
        <w:rPr>
          <w:rFonts w:hint="eastAsia"/>
        </w:rPr>
        <w:t>第</w:t>
      </w:r>
      <w:r>
        <w:rPr>
          <w:rFonts w:hint="eastAsia"/>
        </w:rPr>
        <w:t>2</w:t>
      </w:r>
      <w:r>
        <w:rPr>
          <w:rFonts w:hint="eastAsia"/>
        </w:rPr>
        <w:t>条，</w:t>
      </w:r>
      <w:r w:rsidRPr="00216B28">
        <w:t>主要针对系统冷热源，如热源为市政热源可不予考察（但小区锅炉房等仍应考察）。</w:t>
      </w:r>
    </w:p>
    <w:p w14:paraId="71B874F6" w14:textId="0B61DE17" w:rsidR="00715ABB" w:rsidRPr="006C79E9" w:rsidRDefault="00F44390" w:rsidP="006C79E9">
      <w:pPr>
        <w:pStyle w:val="20"/>
      </w:pPr>
      <w:r w:rsidRPr="0081478A">
        <w:t>【评价方法】</w:t>
      </w:r>
    </w:p>
    <w:p w14:paraId="59A5EFA0" w14:textId="77777777" w:rsidR="00E905A0" w:rsidRPr="00530A11" w:rsidRDefault="00E905A0" w:rsidP="00E905A0">
      <w:pPr>
        <w:ind w:firstLine="420"/>
        <w:rPr>
          <w:rFonts w:cs="Times New Roman"/>
        </w:rPr>
      </w:pPr>
      <w:r w:rsidRPr="00530A11">
        <w:rPr>
          <w:rFonts w:cs="Times New Roman"/>
        </w:rPr>
        <w:t>预评价查阅相关设计文件</w:t>
      </w:r>
      <w:r w:rsidRPr="00530A11">
        <w:rPr>
          <w:rFonts w:cs="Times New Roman"/>
        </w:rPr>
        <w:t>(</w:t>
      </w:r>
      <w:r w:rsidRPr="00530A11">
        <w:rPr>
          <w:rFonts w:cs="Times New Roman"/>
        </w:rPr>
        <w:t>暖通专业施工图纸及设计说明，要求有控制策略、部分负荷性能系数</w:t>
      </w:r>
      <w:r w:rsidRPr="00530A11">
        <w:rPr>
          <w:rFonts w:cs="Times New Roman"/>
        </w:rPr>
        <w:t>(IPLV)</w:t>
      </w:r>
      <w:r w:rsidRPr="00530A11">
        <w:rPr>
          <w:rFonts w:cs="Times New Roman"/>
        </w:rPr>
        <w:t>计算说明、电冷源综合制冷性能系数</w:t>
      </w:r>
      <w:r w:rsidRPr="00530A11">
        <w:rPr>
          <w:rFonts w:cs="Times New Roman"/>
        </w:rPr>
        <w:t>(SCOP)</w:t>
      </w:r>
      <w:r w:rsidRPr="00530A11">
        <w:rPr>
          <w:rFonts w:cs="Times New Roman"/>
        </w:rPr>
        <w:t>计算说明</w:t>
      </w:r>
      <w:r w:rsidRPr="00530A11">
        <w:rPr>
          <w:rFonts w:cs="Times New Roman"/>
        </w:rPr>
        <w:t>)</w:t>
      </w:r>
      <w:r w:rsidRPr="00530A11">
        <w:rPr>
          <w:rFonts w:cs="Times New Roman"/>
        </w:rPr>
        <w:t>；评价查阅相关竣工图、冷源机组设备说明，组织现场查勘。</w:t>
      </w:r>
    </w:p>
    <w:p w14:paraId="6493C63B" w14:textId="77777777" w:rsidR="00715ABB" w:rsidRPr="00E905A0" w:rsidRDefault="00715ABB">
      <w:pPr>
        <w:ind w:firstLineChars="0" w:firstLine="0"/>
        <w:rPr>
          <w:rFonts w:cs="Times New Roman"/>
          <w:bCs/>
          <w:kern w:val="44"/>
          <w:szCs w:val="24"/>
        </w:rPr>
      </w:pPr>
    </w:p>
    <w:p w14:paraId="6056C5F1" w14:textId="77777777" w:rsidR="00841AA3" w:rsidRPr="00530A11" w:rsidRDefault="00841AA3" w:rsidP="00841AA3">
      <w:pPr>
        <w:pStyle w:val="4"/>
        <w:rPr>
          <w:rFonts w:cs="Times New Roman"/>
          <w:bCs w:val="0"/>
        </w:rPr>
      </w:pPr>
      <w:r w:rsidRPr="00530A11">
        <w:rPr>
          <w:rFonts w:cs="Times New Roman"/>
          <w:bCs w:val="0"/>
        </w:rPr>
        <w:t xml:space="preserve">7.1.3 </w:t>
      </w:r>
      <w:r w:rsidRPr="00530A11">
        <w:rPr>
          <w:rFonts w:cs="Times New Roman"/>
          <w:bCs w:val="0"/>
        </w:rPr>
        <w:t>应根据建筑空间功能设置分区温度，合理降低室内过渡区空间的温度设定标准。</w:t>
      </w:r>
    </w:p>
    <w:p w14:paraId="7AD3F427" w14:textId="77777777" w:rsidR="00715ABB" w:rsidRPr="0081478A" w:rsidRDefault="00F44390" w:rsidP="006C79E9">
      <w:pPr>
        <w:pStyle w:val="20"/>
      </w:pPr>
      <w:r w:rsidRPr="0081478A">
        <w:t>【条文说明】</w:t>
      </w:r>
    </w:p>
    <w:p w14:paraId="53FF5229" w14:textId="77777777" w:rsidR="00C060F4" w:rsidRPr="00530A11" w:rsidRDefault="00C060F4" w:rsidP="00C060F4">
      <w:pPr>
        <w:ind w:firstLine="420"/>
        <w:rPr>
          <w:szCs w:val="24"/>
        </w:rPr>
      </w:pPr>
      <w:r w:rsidRPr="00530A11">
        <w:t>本条适用于各类民用建筑的预评价、评价。</w:t>
      </w:r>
    </w:p>
    <w:p w14:paraId="04FFCD15" w14:textId="77777777" w:rsidR="00C060F4" w:rsidRPr="00530A11" w:rsidRDefault="00C060F4" w:rsidP="00C060F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p>
    <w:p w14:paraId="646B5E77" w14:textId="77777777" w:rsidR="00C060F4" w:rsidRPr="00530A11" w:rsidRDefault="00C060F4" w:rsidP="00C060F4">
      <w:pPr>
        <w:ind w:firstLine="420"/>
        <w:rPr>
          <w:rFonts w:cs="Times New Roman"/>
        </w:rPr>
      </w:pPr>
      <w:r w:rsidRPr="00530A11">
        <w:rPr>
          <w:rFonts w:cs="Times New Roman"/>
        </w:rPr>
        <w:t>避免空调供暖空间全覆盖，或者简单降低夏季空调和提升冬季供暖温度的做法不利于节能。为此本条要求建筑应结合不同的行为特点和功能要求合理区分设定室内温度标准。在保证使用舒适度的前提下，合理设置少用能、不用能空间，减少用能时间、缩小用能空间，通过建筑空间设计达到节能效果。室内过渡空间是指门厅、中庭、高大空间中超出人员活动范围的空间，由于其较少或没有人员停留，可适当降低温度标准，以达到降低供暖空调用能的目的。</w:t>
      </w:r>
      <w:r w:rsidRPr="00530A11">
        <w:rPr>
          <w:rFonts w:cs="Times New Roman"/>
        </w:rPr>
        <w:t>“</w:t>
      </w:r>
      <w:r w:rsidRPr="00530A11">
        <w:rPr>
          <w:rFonts w:cs="Times New Roman"/>
        </w:rPr>
        <w:t>小空间保证、大空间过渡</w:t>
      </w:r>
      <w:r w:rsidRPr="00530A11">
        <w:rPr>
          <w:rFonts w:cs="Times New Roman"/>
        </w:rPr>
        <w:t>”</w:t>
      </w:r>
      <w:r w:rsidRPr="00530A11">
        <w:rPr>
          <w:rFonts w:cs="Times New Roman"/>
        </w:rPr>
        <w:t>是指在设计高大空间建筑时，将人员停留区域控制在小空间范围内，大空间部分按照过渡空间设计。</w:t>
      </w:r>
    </w:p>
    <w:p w14:paraId="5ADA00FE" w14:textId="77777777" w:rsidR="00011E42" w:rsidRPr="0081478A" w:rsidRDefault="00011E42" w:rsidP="006C79E9">
      <w:pPr>
        <w:pStyle w:val="20"/>
      </w:pPr>
      <w:r w:rsidRPr="0081478A">
        <w:t>【评价要点】</w:t>
      </w:r>
    </w:p>
    <w:p w14:paraId="78650023" w14:textId="2FD66E9A" w:rsidR="00011E42" w:rsidRPr="00E96A9E" w:rsidRDefault="00F545B8">
      <w:pPr>
        <w:ind w:firstLine="420"/>
        <w:rPr>
          <w:rFonts w:cs="Times New Roman"/>
        </w:rPr>
      </w:pPr>
      <w:r>
        <w:rPr>
          <w:rFonts w:cs="Times New Roman" w:hint="eastAsia"/>
        </w:rPr>
        <w:t>重点</w:t>
      </w:r>
      <w:r w:rsidR="00E96A9E" w:rsidRPr="00E96A9E">
        <w:rPr>
          <w:rFonts w:cs="Times New Roman" w:hint="eastAsia"/>
        </w:rPr>
        <w:t>查阅设计文件中建筑平面分区布置和室内</w:t>
      </w:r>
      <w:r w:rsidR="00E96A9E" w:rsidRPr="00E96A9E">
        <w:rPr>
          <w:rFonts w:cs="Times New Roman"/>
        </w:rPr>
        <w:t>过渡区空间的温度设定</w:t>
      </w:r>
      <w:r w:rsidR="00E96A9E" w:rsidRPr="00E96A9E">
        <w:rPr>
          <w:rFonts w:cs="Times New Roman" w:hint="eastAsia"/>
        </w:rPr>
        <w:t>值。</w:t>
      </w:r>
    </w:p>
    <w:p w14:paraId="55C3462F" w14:textId="77777777" w:rsidR="00715ABB" w:rsidRPr="006C79E9" w:rsidRDefault="00F44390" w:rsidP="006C79E9">
      <w:pPr>
        <w:pStyle w:val="20"/>
      </w:pPr>
      <w:r w:rsidRPr="0081478A">
        <w:t>【评价方法】</w:t>
      </w:r>
    </w:p>
    <w:p w14:paraId="4054AE55" w14:textId="77777777" w:rsidR="00E905A0" w:rsidRPr="00530A11" w:rsidRDefault="00E905A0" w:rsidP="00E905A0">
      <w:pPr>
        <w:pStyle w:val="20"/>
        <w:ind w:firstLineChars="200" w:firstLine="420"/>
        <w:rPr>
          <w:rFonts w:ascii="Times New Roman" w:hAnsi="Times New Roman" w:cs="Times New Roman"/>
          <w:b w:val="0"/>
          <w:color w:val="auto"/>
          <w:szCs w:val="22"/>
        </w:rPr>
      </w:pPr>
      <w:r w:rsidRPr="00530A11">
        <w:rPr>
          <w:rFonts w:ascii="Times New Roman" w:hAnsi="Times New Roman" w:cs="Times New Roman"/>
          <w:b w:val="0"/>
          <w:color w:val="auto"/>
          <w:szCs w:val="22"/>
        </w:rPr>
        <w:t>预评价查阅相关设计文件；评价查阅相关竣工图、计算书。</w:t>
      </w:r>
    </w:p>
    <w:p w14:paraId="229791C8" w14:textId="77777777" w:rsidR="00715ABB" w:rsidRPr="00E905A0" w:rsidRDefault="00715ABB">
      <w:pPr>
        <w:ind w:firstLineChars="0" w:firstLine="0"/>
        <w:rPr>
          <w:rFonts w:cs="Times New Roman"/>
          <w:bCs/>
          <w:kern w:val="44"/>
          <w:szCs w:val="24"/>
        </w:rPr>
      </w:pPr>
    </w:p>
    <w:p w14:paraId="76CB5EBB" w14:textId="77777777" w:rsidR="00841AA3" w:rsidRPr="00530A11" w:rsidRDefault="00841AA3" w:rsidP="00841AA3">
      <w:pPr>
        <w:pStyle w:val="4"/>
        <w:rPr>
          <w:rFonts w:cs="Times New Roman"/>
          <w:bCs w:val="0"/>
        </w:rPr>
      </w:pPr>
      <w:r w:rsidRPr="00530A11">
        <w:rPr>
          <w:rFonts w:cs="Times New Roman"/>
          <w:bCs w:val="0"/>
        </w:rPr>
        <w:t xml:space="preserve">7.1.4 </w:t>
      </w:r>
      <w:r w:rsidRPr="00530A11">
        <w:rPr>
          <w:rFonts w:cs="Times New Roman" w:hint="eastAsia"/>
          <w:bCs w:val="0"/>
        </w:rPr>
        <w:t>各类建筑</w:t>
      </w:r>
      <w:r w:rsidRPr="00530A11">
        <w:rPr>
          <w:rFonts w:cs="Times New Roman"/>
          <w:bCs w:val="0"/>
        </w:rPr>
        <w:t>的照明功率密度值不应高于现行国家标准《建筑照明设计标准》</w:t>
      </w:r>
      <w:r w:rsidRPr="00530A11">
        <w:rPr>
          <w:rFonts w:cs="Times New Roman"/>
          <w:bCs w:val="0"/>
        </w:rPr>
        <w:t>GB 50034</w:t>
      </w:r>
      <w:r w:rsidRPr="00530A11">
        <w:rPr>
          <w:rFonts w:cs="Times New Roman"/>
          <w:bCs w:val="0"/>
        </w:rPr>
        <w:t>规定的现行值；公共区域的照明系统应采用分区、定时、感应等节能控制；采光区域的照明控制应独立于其他区域的照明控制。</w:t>
      </w:r>
    </w:p>
    <w:p w14:paraId="10DCD459" w14:textId="77777777" w:rsidR="00715ABB" w:rsidRPr="0081478A" w:rsidRDefault="00F44390" w:rsidP="006C79E9">
      <w:pPr>
        <w:pStyle w:val="20"/>
      </w:pPr>
      <w:r w:rsidRPr="0081478A">
        <w:t>【条文说明】</w:t>
      </w:r>
    </w:p>
    <w:p w14:paraId="27190BCA" w14:textId="77777777" w:rsidR="00C060F4" w:rsidRPr="00530A11" w:rsidRDefault="00C060F4" w:rsidP="00C060F4">
      <w:pPr>
        <w:ind w:firstLine="420"/>
        <w:rPr>
          <w:szCs w:val="24"/>
        </w:rPr>
      </w:pPr>
      <w:r w:rsidRPr="00530A11">
        <w:t>本条适用于各类民用建筑的预评价、评价。</w:t>
      </w:r>
    </w:p>
    <w:p w14:paraId="06E6123D"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w:t>
      </w:r>
      <w:r w:rsidRPr="00530A11">
        <w:rPr>
          <w:rFonts w:cs="Times New Roman"/>
          <w:kern w:val="44"/>
          <w:szCs w:val="24"/>
        </w:rPr>
        <w:t>第</w:t>
      </w:r>
      <w:r w:rsidRPr="00530A11">
        <w:rPr>
          <w:rFonts w:cs="Times New Roman"/>
          <w:kern w:val="44"/>
          <w:szCs w:val="24"/>
        </w:rPr>
        <w:t>5.1.4</w:t>
      </w:r>
      <w:r w:rsidRPr="00530A11">
        <w:rPr>
          <w:rFonts w:cs="Times New Roman"/>
          <w:kern w:val="44"/>
          <w:szCs w:val="24"/>
        </w:rPr>
        <w:t>条、第</w:t>
      </w:r>
      <w:r w:rsidRPr="00530A11">
        <w:rPr>
          <w:rFonts w:cs="Times New Roman"/>
          <w:kern w:val="44"/>
          <w:szCs w:val="24"/>
        </w:rPr>
        <w:t>5.2.9</w:t>
      </w:r>
      <w:r w:rsidRPr="00530A11">
        <w:rPr>
          <w:rFonts w:cs="Times New Roman"/>
          <w:kern w:val="44"/>
          <w:szCs w:val="24"/>
        </w:rPr>
        <w:t>条和第</w:t>
      </w:r>
      <w:r w:rsidRPr="00530A11">
        <w:rPr>
          <w:rFonts w:cs="Times New Roman"/>
          <w:kern w:val="44"/>
          <w:szCs w:val="24"/>
        </w:rPr>
        <w:t>5.2.10</w:t>
      </w:r>
      <w:r w:rsidRPr="00530A11">
        <w:rPr>
          <w:rFonts w:cs="Times New Roman"/>
          <w:kern w:val="44"/>
          <w:szCs w:val="24"/>
        </w:rPr>
        <w:t>条</w:t>
      </w:r>
      <w:r w:rsidRPr="00530A11">
        <w:rPr>
          <w:rFonts w:cs="Times New Roman"/>
        </w:rPr>
        <w:t>，地方标准</w:t>
      </w:r>
      <w:r w:rsidRPr="00530A11">
        <w:rPr>
          <w:rFonts w:cs="Times New Roman"/>
        </w:rPr>
        <w:t>2014</w:t>
      </w:r>
      <w:r w:rsidRPr="00530A11">
        <w:rPr>
          <w:rFonts w:cs="Times New Roman"/>
        </w:rPr>
        <w:t>版第</w:t>
      </w:r>
      <w:r w:rsidRPr="00530A11">
        <w:rPr>
          <w:rFonts w:cs="Times New Roman"/>
        </w:rPr>
        <w:t>5.1.7</w:t>
      </w:r>
      <w:r w:rsidRPr="00530A11">
        <w:rPr>
          <w:rFonts w:cs="Times New Roman"/>
        </w:rPr>
        <w:t>条、第</w:t>
      </w:r>
      <w:r w:rsidRPr="00530A11">
        <w:rPr>
          <w:rFonts w:cs="Times New Roman"/>
        </w:rPr>
        <w:t>5.2.10</w:t>
      </w:r>
      <w:r w:rsidRPr="00530A11">
        <w:rPr>
          <w:rFonts w:cs="Times New Roman"/>
        </w:rPr>
        <w:t>条和第</w:t>
      </w:r>
      <w:r w:rsidRPr="00530A11">
        <w:rPr>
          <w:rFonts w:cs="Times New Roman"/>
        </w:rPr>
        <w:t>5.2.11</w:t>
      </w:r>
      <w:r w:rsidRPr="00530A11">
        <w:rPr>
          <w:rFonts w:cs="Times New Roman"/>
        </w:rPr>
        <w:t>条的基础上发展而来。</w:t>
      </w:r>
    </w:p>
    <w:p w14:paraId="43565712" w14:textId="77777777" w:rsidR="00C060F4" w:rsidRPr="00530A11" w:rsidRDefault="00C060F4" w:rsidP="00C060F4">
      <w:pPr>
        <w:ind w:firstLine="420"/>
        <w:rPr>
          <w:rFonts w:cs="Times New Roman"/>
        </w:rPr>
      </w:pPr>
      <w:r w:rsidRPr="00530A11">
        <w:rPr>
          <w:rFonts w:cs="Times New Roman"/>
        </w:rPr>
        <w:t>现行国家标准《建筑照明设计标准》</w:t>
      </w:r>
      <w:r w:rsidRPr="00530A11">
        <w:rPr>
          <w:rFonts w:cs="Times New Roman"/>
        </w:rPr>
        <w:t>GB 50034</w:t>
      </w:r>
      <w:r w:rsidRPr="00530A11">
        <w:rPr>
          <w:rFonts w:cs="Times New Roman"/>
        </w:rPr>
        <w:t>规定了各类房间或场所的照明功率密度值，分为</w:t>
      </w:r>
      <w:r w:rsidRPr="00530A11">
        <w:rPr>
          <w:rFonts w:cs="Times New Roman"/>
        </w:rPr>
        <w:t>“</w:t>
      </w:r>
      <w:r w:rsidRPr="00530A11">
        <w:rPr>
          <w:rFonts w:cs="Times New Roman"/>
        </w:rPr>
        <w:t>现行值</w:t>
      </w:r>
      <w:r w:rsidRPr="00530A11">
        <w:rPr>
          <w:rFonts w:cs="Times New Roman"/>
        </w:rPr>
        <w:t>”</w:t>
      </w:r>
      <w:r w:rsidRPr="00530A11">
        <w:rPr>
          <w:rFonts w:cs="Times New Roman"/>
        </w:rPr>
        <w:t>和</w:t>
      </w:r>
      <w:r w:rsidRPr="00530A11">
        <w:rPr>
          <w:rFonts w:cs="Times New Roman"/>
        </w:rPr>
        <w:t>“</w:t>
      </w:r>
      <w:r w:rsidRPr="00530A11">
        <w:rPr>
          <w:rFonts w:cs="Times New Roman"/>
        </w:rPr>
        <w:t>目标值</w:t>
      </w:r>
      <w:r w:rsidRPr="00530A11">
        <w:rPr>
          <w:rFonts w:cs="Times New Roman"/>
        </w:rPr>
        <w:t>”</w:t>
      </w:r>
      <w:r w:rsidRPr="00530A11">
        <w:rPr>
          <w:rFonts w:cs="Times New Roman"/>
        </w:rPr>
        <w:t>，其中</w:t>
      </w:r>
      <w:r w:rsidRPr="00530A11">
        <w:rPr>
          <w:rFonts w:cs="Times New Roman"/>
        </w:rPr>
        <w:t>“</w:t>
      </w:r>
      <w:r w:rsidRPr="00530A11">
        <w:rPr>
          <w:rFonts w:cs="Times New Roman"/>
        </w:rPr>
        <w:t>现行值</w:t>
      </w:r>
      <w:r w:rsidRPr="00530A11">
        <w:rPr>
          <w:rFonts w:cs="Times New Roman"/>
        </w:rPr>
        <w:t>”</w:t>
      </w:r>
      <w:r w:rsidRPr="00530A11">
        <w:rPr>
          <w:rFonts w:cs="Times New Roman"/>
        </w:rPr>
        <w:t>是新建建筑必须满足的最低要求，</w:t>
      </w:r>
      <w:r w:rsidRPr="00530A11">
        <w:rPr>
          <w:rFonts w:cs="Times New Roman"/>
        </w:rPr>
        <w:t>“</w:t>
      </w:r>
      <w:r w:rsidRPr="00530A11">
        <w:rPr>
          <w:rFonts w:cs="Times New Roman"/>
        </w:rPr>
        <w:t>目标值</w:t>
      </w:r>
      <w:r w:rsidRPr="00530A11">
        <w:rPr>
          <w:rFonts w:cs="Times New Roman"/>
        </w:rPr>
        <w:t>”</w:t>
      </w:r>
      <w:r w:rsidRPr="00530A11">
        <w:rPr>
          <w:rFonts w:cs="Times New Roman"/>
        </w:rPr>
        <w:t>要求更高。</w:t>
      </w:r>
    </w:p>
    <w:p w14:paraId="62572E1F" w14:textId="77777777" w:rsidR="00C060F4" w:rsidRPr="00530A11" w:rsidRDefault="00C060F4" w:rsidP="00C060F4">
      <w:pPr>
        <w:ind w:firstLine="420"/>
        <w:rPr>
          <w:rFonts w:cs="Times New Roman"/>
        </w:rPr>
      </w:pPr>
      <w:r w:rsidRPr="00530A11">
        <w:rPr>
          <w:rFonts w:cs="Times New Roman"/>
        </w:rPr>
        <w:t>在建筑的实际运行过程中，照明系统的分区控制、定时控制、自动感应开关、照度调节等措施对降低照明能耗作用很明显。照明系统分区需满足自然光利用、功能和作息差异的要求。功能差异如办公区、走廊、楼梯间、车库等的分区：作息差异一般指日常工作时间、值班时间等的不同。对于公共区域</w:t>
      </w:r>
      <w:r w:rsidRPr="00530A11">
        <w:rPr>
          <w:rFonts w:cs="Times New Roman"/>
        </w:rPr>
        <w:t>(</w:t>
      </w:r>
      <w:r w:rsidRPr="00530A11">
        <w:rPr>
          <w:rFonts w:cs="Times New Roman"/>
        </w:rPr>
        <w:t>包括走廊、楼梯间、大堂、门厅、地下停车场等场所</w:t>
      </w:r>
      <w:r w:rsidRPr="00530A11">
        <w:rPr>
          <w:rFonts w:cs="Times New Roman"/>
        </w:rPr>
        <w:t>)</w:t>
      </w:r>
      <w:r w:rsidRPr="00530A11">
        <w:rPr>
          <w:rFonts w:cs="Times New Roman"/>
        </w:rPr>
        <w:t>可采取分区、定时、感应等节能控制措施。如楼梯间采取声、光控或人体感应控制；走廊、地下车库可采用定时或其他的集中控制方式。</w:t>
      </w:r>
    </w:p>
    <w:p w14:paraId="45913A45" w14:textId="77777777" w:rsidR="00C060F4" w:rsidRPr="00530A11" w:rsidRDefault="00C060F4" w:rsidP="00C060F4">
      <w:pPr>
        <w:ind w:firstLine="420"/>
        <w:rPr>
          <w:rFonts w:cs="Times New Roman"/>
        </w:rPr>
      </w:pPr>
      <w:r w:rsidRPr="00530A11">
        <w:rPr>
          <w:rFonts w:cs="Times New Roman"/>
        </w:rPr>
        <w:t>采光区域的人工照明控制独立于其他区域的照明控制，有利于单独控制采光区的人工照明，实现照明节能。</w:t>
      </w:r>
    </w:p>
    <w:p w14:paraId="4FDEE040" w14:textId="77777777" w:rsidR="00011E42" w:rsidRPr="006C79E9" w:rsidRDefault="00011E42" w:rsidP="006C79E9">
      <w:pPr>
        <w:pStyle w:val="20"/>
      </w:pPr>
      <w:r w:rsidRPr="0081478A">
        <w:t>【评价要点】</w:t>
      </w:r>
    </w:p>
    <w:p w14:paraId="344DEA57" w14:textId="35319AFD" w:rsidR="00011E42" w:rsidRPr="0081478A" w:rsidRDefault="00AD3B18" w:rsidP="00011E42">
      <w:pPr>
        <w:ind w:firstLine="420"/>
        <w:rPr>
          <w:rFonts w:cs="Times New Roman"/>
        </w:rPr>
      </w:pPr>
      <w:r w:rsidRPr="0081478A">
        <w:rPr>
          <w:rFonts w:cs="Times New Roman"/>
          <w:bCs/>
          <w:kern w:val="44"/>
        </w:rPr>
        <w:t xml:space="preserve">1 </w:t>
      </w:r>
      <w:r w:rsidR="00011E42" w:rsidRPr="0081478A">
        <w:rPr>
          <w:rFonts w:cs="Times New Roman"/>
        </w:rPr>
        <w:t>各房间或场所的照明功率密度值不高于现行国家标准《建筑照明设计标准》</w:t>
      </w:r>
      <w:r w:rsidR="00011E42" w:rsidRPr="0081478A">
        <w:rPr>
          <w:rFonts w:cs="Times New Roman"/>
        </w:rPr>
        <w:t>GB 50034</w:t>
      </w:r>
      <w:r w:rsidR="00011E42" w:rsidRPr="0081478A">
        <w:rPr>
          <w:rFonts w:cs="Times New Roman"/>
        </w:rPr>
        <w:t>规定的现行值。</w:t>
      </w:r>
    </w:p>
    <w:p w14:paraId="4FF3FBA3" w14:textId="47EF6B06" w:rsidR="00304458" w:rsidRPr="0081478A" w:rsidRDefault="00AD3B18" w:rsidP="00011E42">
      <w:pPr>
        <w:ind w:firstLine="420"/>
        <w:rPr>
          <w:rFonts w:cs="Times New Roman"/>
        </w:rPr>
      </w:pPr>
      <w:r w:rsidRPr="0081478A">
        <w:rPr>
          <w:rFonts w:cs="Times New Roman"/>
          <w:bCs/>
          <w:kern w:val="44"/>
        </w:rPr>
        <w:t xml:space="preserve">2 </w:t>
      </w:r>
      <w:r w:rsidR="00C035D8" w:rsidRPr="00C035D8">
        <w:rPr>
          <w:rFonts w:cs="Times New Roman" w:hint="eastAsia"/>
        </w:rPr>
        <w:t>公共区域的照明系统应采用分区、定时、感应等节能控制。</w:t>
      </w:r>
    </w:p>
    <w:p w14:paraId="028CDE58" w14:textId="53787C03" w:rsidR="00304458" w:rsidRDefault="00AD3B18" w:rsidP="006C79E9">
      <w:pPr>
        <w:ind w:firstLine="420"/>
      </w:pPr>
      <w:r w:rsidRPr="00B5169A">
        <w:t>3</w:t>
      </w:r>
      <w:r w:rsidRPr="00643310">
        <w:t xml:space="preserve"> </w:t>
      </w:r>
      <w:r w:rsidR="00C035D8" w:rsidRPr="00B5169A">
        <w:rPr>
          <w:rFonts w:hint="eastAsia"/>
        </w:rPr>
        <w:t>采光区域的照明控制应独立于其他区域的照明控制。</w:t>
      </w:r>
    </w:p>
    <w:p w14:paraId="6004CAA9" w14:textId="1AB08FE4" w:rsidR="00715ABB" w:rsidRPr="006C79E9" w:rsidRDefault="00F44390" w:rsidP="006C79E9">
      <w:pPr>
        <w:pStyle w:val="20"/>
      </w:pPr>
      <w:r w:rsidRPr="0081478A">
        <w:t>【评价方法】</w:t>
      </w:r>
    </w:p>
    <w:p w14:paraId="6891C0DF"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包含电气照明系统图、电气照明平面施工图)、设计说明(需包含照明设计要求、照明设计标准、照明控制措施等)、建筑照明功率密度计算分析报告；评价查阅相关竣工图、设计说明(需包含照明设计要求、照明设计标准、照明控制措施等)、建筑照明功率密度检测报告，组织现场查勘。</w:t>
      </w:r>
    </w:p>
    <w:p w14:paraId="46B774C3" w14:textId="77777777" w:rsidR="00715ABB" w:rsidRPr="00E905A0" w:rsidRDefault="00715ABB">
      <w:pPr>
        <w:snapToGrid w:val="0"/>
        <w:ind w:firstLineChars="0" w:firstLine="0"/>
        <w:jc w:val="left"/>
        <w:rPr>
          <w:rFonts w:cs="Times New Roman"/>
          <w:b/>
          <w:bCs/>
          <w:szCs w:val="24"/>
        </w:rPr>
      </w:pPr>
    </w:p>
    <w:p w14:paraId="1C31CD3F" w14:textId="77777777" w:rsidR="00841AA3" w:rsidRPr="00530A11" w:rsidRDefault="00841AA3" w:rsidP="00841AA3">
      <w:pPr>
        <w:pStyle w:val="4"/>
        <w:rPr>
          <w:rFonts w:cs="Times New Roman"/>
          <w:bCs w:val="0"/>
        </w:rPr>
      </w:pPr>
      <w:r w:rsidRPr="00530A11">
        <w:rPr>
          <w:rFonts w:cs="Times New Roman"/>
          <w:bCs w:val="0"/>
        </w:rPr>
        <w:t xml:space="preserve">7.1.5 </w:t>
      </w:r>
      <w:r w:rsidRPr="00530A11">
        <w:rPr>
          <w:rFonts w:cs="Times New Roman"/>
          <w:bCs w:val="0"/>
        </w:rPr>
        <w:t>冷热源、输配系统和照明等各部分能耗应进行独立分项计量。</w:t>
      </w:r>
    </w:p>
    <w:p w14:paraId="387F1D44" w14:textId="77777777" w:rsidR="00715ABB" w:rsidRPr="0081478A" w:rsidRDefault="00F44390" w:rsidP="006C79E9">
      <w:pPr>
        <w:pStyle w:val="20"/>
      </w:pPr>
      <w:r w:rsidRPr="0081478A">
        <w:t>【条文说明】</w:t>
      </w:r>
    </w:p>
    <w:p w14:paraId="0E5EF44B" w14:textId="77777777" w:rsidR="00C060F4" w:rsidRPr="00530A11" w:rsidRDefault="00C060F4" w:rsidP="00C060F4">
      <w:pPr>
        <w:ind w:firstLine="420"/>
      </w:pPr>
      <w:r w:rsidRPr="00530A11">
        <w:t>本条适用于各类建筑的预评价、评价。</w:t>
      </w:r>
    </w:p>
    <w:p w14:paraId="6BCEAC19"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kern w:val="44"/>
          <w:szCs w:val="24"/>
        </w:rPr>
        <w:t>5.1.3</w:t>
      </w:r>
      <w:r w:rsidRPr="00530A11">
        <w:rPr>
          <w:rFonts w:cs="Times New Roman"/>
        </w:rPr>
        <w:t>条，地方标准</w:t>
      </w:r>
      <w:r w:rsidRPr="00530A11">
        <w:rPr>
          <w:rFonts w:cs="Times New Roman"/>
        </w:rPr>
        <w:t>2014</w:t>
      </w:r>
      <w:r w:rsidRPr="00530A11">
        <w:rPr>
          <w:rFonts w:cs="Times New Roman"/>
        </w:rPr>
        <w:t>版</w:t>
      </w:r>
      <w:r w:rsidRPr="00530A11">
        <w:rPr>
          <w:rFonts w:cs="Times New Roman"/>
          <w:kern w:val="44"/>
          <w:szCs w:val="24"/>
        </w:rPr>
        <w:t>5.1.5</w:t>
      </w:r>
      <w:r w:rsidRPr="00530A11">
        <w:rPr>
          <w:rFonts w:cs="Times New Roman"/>
        </w:rPr>
        <w:t>条的基础上发展而来。</w:t>
      </w:r>
      <w:r w:rsidRPr="00530A11">
        <w:rPr>
          <w:rFonts w:cs="Times New Roman"/>
          <w:kern w:val="44"/>
          <w:szCs w:val="24"/>
        </w:rPr>
        <w:t>建筑能源消耗情况较为复杂，主要包括空调系统、照明系统、其他动力系统等。设置分项或分功能计量系统，有助于统计各类设备系统的能耗分布，发现能耗不合理之处。</w:t>
      </w:r>
    </w:p>
    <w:p w14:paraId="72AD2687" w14:textId="77777777" w:rsidR="00C060F4" w:rsidRPr="00530A11" w:rsidRDefault="00C060F4" w:rsidP="00C060F4">
      <w:pPr>
        <w:ind w:firstLine="420"/>
        <w:rPr>
          <w:rFonts w:cs="Times New Roman"/>
          <w:kern w:val="44"/>
          <w:szCs w:val="24"/>
        </w:rPr>
      </w:pPr>
      <w:r w:rsidRPr="00530A11">
        <w:rPr>
          <w:rFonts w:cs="Times New Roman"/>
          <w:kern w:val="44"/>
          <w:szCs w:val="24"/>
        </w:rPr>
        <w:t>对于公共建筑，要求采用集中冷热源的公共建筑，在系统设计</w:t>
      </w:r>
      <w:r w:rsidRPr="00530A11">
        <w:rPr>
          <w:rFonts w:cs="Times New Roman"/>
          <w:kern w:val="44"/>
          <w:szCs w:val="24"/>
        </w:rPr>
        <w:t>(</w:t>
      </w:r>
      <w:r w:rsidRPr="00530A11">
        <w:rPr>
          <w:rFonts w:cs="Times New Roman"/>
          <w:kern w:val="44"/>
          <w:szCs w:val="24"/>
        </w:rPr>
        <w:t>或既有建筑改造设计</w:t>
      </w:r>
      <w:r w:rsidRPr="00530A11">
        <w:rPr>
          <w:rFonts w:cs="Times New Roman"/>
          <w:kern w:val="44"/>
          <w:szCs w:val="24"/>
        </w:rPr>
        <w:t>)</w:t>
      </w:r>
      <w:r w:rsidRPr="00530A11">
        <w:rPr>
          <w:rFonts w:cs="Times New Roman"/>
          <w:kern w:val="44"/>
          <w:szCs w:val="24"/>
        </w:rPr>
        <w:t>时必须考虑使建筑内各能耗环节如冷热源、输配系统、照明、热水能耗等都能实现独立分项计量；对非集中冷热源的公共建筑，在系统设计</w:t>
      </w:r>
      <w:r w:rsidRPr="00530A11">
        <w:rPr>
          <w:rFonts w:cs="Times New Roman"/>
          <w:kern w:val="44"/>
          <w:szCs w:val="24"/>
        </w:rPr>
        <w:t>(</w:t>
      </w:r>
      <w:r w:rsidRPr="00530A11">
        <w:rPr>
          <w:rFonts w:cs="Times New Roman"/>
          <w:kern w:val="44"/>
          <w:szCs w:val="24"/>
        </w:rPr>
        <w:t>或既有建筑改造设计</w:t>
      </w:r>
      <w:r w:rsidRPr="00530A11">
        <w:rPr>
          <w:rFonts w:cs="Times New Roman"/>
          <w:kern w:val="44"/>
          <w:szCs w:val="24"/>
        </w:rPr>
        <w:t>)</w:t>
      </w:r>
      <w:r w:rsidRPr="00530A11">
        <w:rPr>
          <w:rFonts w:cs="Times New Roman"/>
          <w:kern w:val="44"/>
          <w:szCs w:val="24"/>
        </w:rPr>
        <w:t>时必须考虑使建筑内根据面积或功能等实现分项计量</w:t>
      </w:r>
      <w:r w:rsidRPr="00530A11">
        <w:rPr>
          <w:rFonts w:cs="Times New Roman" w:hint="eastAsia"/>
          <w:kern w:val="44"/>
          <w:szCs w:val="24"/>
        </w:rPr>
        <w:t>，并应至少实现对其中空调能耗、照明能耗进行独立计量</w:t>
      </w:r>
      <w:r w:rsidRPr="00530A11">
        <w:rPr>
          <w:rFonts w:cs="Times New Roman"/>
          <w:kern w:val="44"/>
          <w:szCs w:val="24"/>
        </w:rPr>
        <w:t>。这有助于分析建筑各项能耗水平和能耗结构是否合理，发现问题并提出改进措施，从而有效地实施建筑节能。</w:t>
      </w:r>
    </w:p>
    <w:p w14:paraId="77ABF529" w14:textId="77777777" w:rsidR="00C060F4" w:rsidRPr="00530A11" w:rsidRDefault="00C060F4" w:rsidP="00C060F4">
      <w:pPr>
        <w:ind w:firstLine="420"/>
        <w:rPr>
          <w:rFonts w:cs="Times New Roman"/>
          <w:kern w:val="44"/>
          <w:szCs w:val="24"/>
        </w:rPr>
      </w:pPr>
      <w:r w:rsidRPr="00530A11">
        <w:rPr>
          <w:rFonts w:cs="Times New Roman"/>
          <w:kern w:val="44"/>
          <w:szCs w:val="24"/>
        </w:rPr>
        <w:t>对于住宅建筑，不要求户内各路用电的单独分项计量，但应实现分户计量，且应对室内空调供电设置单独的配电回路，以保证用电安全和便于后续实施计量的需求。</w:t>
      </w:r>
    </w:p>
    <w:p w14:paraId="33D19FE1" w14:textId="77777777" w:rsidR="00011E42" w:rsidRPr="0081478A" w:rsidRDefault="00011E42" w:rsidP="006C79E9">
      <w:pPr>
        <w:pStyle w:val="20"/>
      </w:pPr>
      <w:r w:rsidRPr="0081478A">
        <w:t>【评价要点】</w:t>
      </w:r>
    </w:p>
    <w:p w14:paraId="0BEF4F1C" w14:textId="23326316" w:rsidR="00011E42" w:rsidRPr="0081478A" w:rsidRDefault="00011E42" w:rsidP="00011E42">
      <w:pPr>
        <w:ind w:firstLine="420"/>
        <w:rPr>
          <w:rFonts w:cs="Times New Roman"/>
        </w:rPr>
      </w:pPr>
      <w:r w:rsidRPr="0081478A">
        <w:rPr>
          <w:rFonts w:cs="Times New Roman"/>
        </w:rPr>
        <w:t>建筑的冷热源</w:t>
      </w:r>
      <w:r w:rsidR="00F545B8">
        <w:rPr>
          <w:rFonts w:cs="Times New Roman" w:hint="eastAsia"/>
        </w:rPr>
        <w:t>、</w:t>
      </w:r>
      <w:r w:rsidRPr="0081478A">
        <w:rPr>
          <w:rFonts w:cs="Times New Roman"/>
        </w:rPr>
        <w:t>输配系统</w:t>
      </w:r>
      <w:r w:rsidR="00F545B8">
        <w:rPr>
          <w:rFonts w:cs="Times New Roman" w:hint="eastAsia"/>
        </w:rPr>
        <w:t>和照明</w:t>
      </w:r>
      <w:r w:rsidRPr="0081478A">
        <w:rPr>
          <w:rFonts w:cs="Times New Roman"/>
        </w:rPr>
        <w:t>等各部分能耗应进行独立分项计量。评价依据为《民用建筑供暖通风与空气调节设计规范》</w:t>
      </w:r>
      <w:r w:rsidRPr="0081478A">
        <w:rPr>
          <w:rFonts w:cs="Times New Roman"/>
        </w:rPr>
        <w:t>GB 50736</w:t>
      </w:r>
      <w:r w:rsidRPr="0081478A">
        <w:rPr>
          <w:rFonts w:cs="Times New Roman"/>
        </w:rPr>
        <w:t>、《空气调节系统经济运行》</w:t>
      </w:r>
      <w:r w:rsidRPr="0081478A">
        <w:rPr>
          <w:rFonts w:cs="Times New Roman"/>
        </w:rPr>
        <w:t>GB/T 17981</w:t>
      </w:r>
      <w:r w:rsidR="00802623" w:rsidRPr="0081478A">
        <w:rPr>
          <w:rFonts w:cs="Times New Roman"/>
        </w:rPr>
        <w:t>、《公共建筑能耗监测系统技术规程》</w:t>
      </w:r>
      <w:r w:rsidR="00802623" w:rsidRPr="0081478A">
        <w:rPr>
          <w:rFonts w:cs="Times New Roman"/>
        </w:rPr>
        <w:t>DBJ50/T-153</w:t>
      </w:r>
      <w:r w:rsidR="00F545B8">
        <w:rPr>
          <w:rFonts w:cs="Times New Roman" w:hint="eastAsia"/>
        </w:rPr>
        <w:t>等标准</w:t>
      </w:r>
      <w:r w:rsidRPr="0081478A">
        <w:rPr>
          <w:rFonts w:cs="Times New Roman"/>
        </w:rPr>
        <w:t>的相关规定。对于未设集中空调系统及多联机空调系统的公共建筑，除总层数不超过两层且每单位建筑面积（每个分隔单元建筑面积）不大于</w:t>
      </w:r>
      <w:r w:rsidRPr="0081478A">
        <w:rPr>
          <w:rFonts w:cs="Times New Roman"/>
        </w:rPr>
        <w:t>300m</w:t>
      </w:r>
      <w:r w:rsidRPr="00F545B8">
        <w:rPr>
          <w:rFonts w:cs="Times New Roman"/>
          <w:vertAlign w:val="superscript"/>
        </w:rPr>
        <w:t>2</w:t>
      </w:r>
      <w:r w:rsidRPr="0081478A">
        <w:rPr>
          <w:rFonts w:cs="Times New Roman"/>
        </w:rPr>
        <w:t>的公共建筑外，空调系统均应采用单独计量设计。</w:t>
      </w:r>
    </w:p>
    <w:p w14:paraId="34A5BAA2" w14:textId="217C1D87" w:rsidR="0025203F" w:rsidRPr="0081478A" w:rsidRDefault="0025203F" w:rsidP="00011E42">
      <w:pPr>
        <w:ind w:firstLine="420"/>
        <w:rPr>
          <w:rFonts w:cs="Times New Roman"/>
        </w:rPr>
      </w:pPr>
      <w:r w:rsidRPr="0081478A">
        <w:rPr>
          <w:rFonts w:cs="Times New Roman"/>
        </w:rPr>
        <w:t>对于采用集中供冷、供暖的建筑，参照公共建筑执行。</w:t>
      </w:r>
      <w:r w:rsidR="008B54DD" w:rsidRPr="0081478A">
        <w:rPr>
          <w:rFonts w:cs="Times New Roman"/>
        </w:rPr>
        <w:t>需要特别注意的是，对于集中空调系统，本条要求要实现冷热源、输配系统的独立计量。</w:t>
      </w:r>
    </w:p>
    <w:p w14:paraId="76BAACE0" w14:textId="77777777" w:rsidR="00715ABB" w:rsidRPr="006C79E9" w:rsidRDefault="00F44390" w:rsidP="006C79E9">
      <w:pPr>
        <w:pStyle w:val="20"/>
      </w:pPr>
      <w:r w:rsidRPr="0081478A">
        <w:t>【评价方法】</w:t>
      </w:r>
    </w:p>
    <w:p w14:paraId="1317E67C" w14:textId="34F8277A"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w:t>
      </w:r>
      <w:r w:rsidR="00C035D8" w:rsidRPr="00C035D8">
        <w:rPr>
          <w:rFonts w:cs="Times New Roman" w:hint="eastAsia"/>
          <w:b w:val="0"/>
        </w:rPr>
        <w:t>(暖通、给排水、电气专业设计图)</w:t>
      </w:r>
      <w:r w:rsidRPr="00530A11">
        <w:rPr>
          <w:rFonts w:cs="Times New Roman"/>
          <w:b w:val="0"/>
        </w:rPr>
        <w:t>；评价查阅相关竣工图、分项计量记录。</w:t>
      </w:r>
    </w:p>
    <w:p w14:paraId="4126A3B0" w14:textId="77777777" w:rsidR="00715ABB" w:rsidRPr="00E905A0" w:rsidRDefault="00715ABB">
      <w:pPr>
        <w:snapToGrid w:val="0"/>
        <w:ind w:firstLineChars="0" w:firstLine="0"/>
        <w:jc w:val="left"/>
        <w:rPr>
          <w:rFonts w:cs="Times New Roman"/>
          <w:b/>
          <w:bCs/>
          <w:szCs w:val="24"/>
        </w:rPr>
      </w:pPr>
    </w:p>
    <w:p w14:paraId="76731207" w14:textId="77777777" w:rsidR="00841AA3" w:rsidRPr="00530A11" w:rsidRDefault="00841AA3" w:rsidP="00841AA3">
      <w:pPr>
        <w:pStyle w:val="4"/>
        <w:rPr>
          <w:rFonts w:cs="Times New Roman"/>
          <w:bCs w:val="0"/>
        </w:rPr>
      </w:pPr>
      <w:r w:rsidRPr="00530A11">
        <w:rPr>
          <w:rFonts w:cs="Times New Roman"/>
          <w:bCs w:val="0"/>
        </w:rPr>
        <w:lastRenderedPageBreak/>
        <w:t xml:space="preserve">7.1.6 </w:t>
      </w:r>
      <w:r w:rsidRPr="00530A11">
        <w:rPr>
          <w:rFonts w:cs="Times New Roman"/>
          <w:bCs w:val="0"/>
        </w:rPr>
        <w:t>垂直电梯应采取群控、变频调速、</w:t>
      </w:r>
      <w:r w:rsidRPr="00530A11">
        <w:rPr>
          <w:rFonts w:cs="Times New Roman" w:hint="eastAsia"/>
          <w:bCs w:val="0"/>
        </w:rPr>
        <w:t>轿内误指令取消功能</w:t>
      </w:r>
      <w:r w:rsidRPr="00530A11">
        <w:rPr>
          <w:rFonts w:cs="Times New Roman"/>
          <w:bCs w:val="0"/>
        </w:rPr>
        <w:t>或能量反馈等节能措施；自动扶梯应采用变频感应启动等节能控制措施。</w:t>
      </w:r>
    </w:p>
    <w:p w14:paraId="177BBDB9" w14:textId="77777777" w:rsidR="00715ABB" w:rsidRPr="0081478A" w:rsidRDefault="00F44390" w:rsidP="006C79E9">
      <w:pPr>
        <w:pStyle w:val="20"/>
      </w:pPr>
      <w:r w:rsidRPr="0081478A">
        <w:t>【条文说明】</w:t>
      </w:r>
    </w:p>
    <w:p w14:paraId="08B04991" w14:textId="77777777" w:rsidR="00C060F4" w:rsidRPr="00530A11" w:rsidRDefault="00C060F4" w:rsidP="00C060F4">
      <w:pPr>
        <w:ind w:firstLine="420"/>
        <w:rPr>
          <w:szCs w:val="24"/>
        </w:rPr>
      </w:pPr>
      <w:r w:rsidRPr="00530A11">
        <w:t>本条适用于各类民用建筑的预评价、评价。无电梯和扶梯的建筑，本条不参评。</w:t>
      </w:r>
    </w:p>
    <w:p w14:paraId="6E02E79D" w14:textId="2220EE0C"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5.2.11</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5.2.1</w:t>
      </w:r>
      <w:r w:rsidR="00F545B8">
        <w:rPr>
          <w:rFonts w:cs="Times New Roman"/>
        </w:rPr>
        <w:t>2</w:t>
      </w:r>
      <w:r w:rsidRPr="00530A11">
        <w:rPr>
          <w:rFonts w:cs="Times New Roman"/>
        </w:rPr>
        <w:t>条的基础上发展而来。</w:t>
      </w:r>
    </w:p>
    <w:p w14:paraId="007C5BC1" w14:textId="77777777" w:rsidR="00C060F4" w:rsidRPr="00530A11" w:rsidRDefault="00C060F4" w:rsidP="00C060F4">
      <w:pPr>
        <w:ind w:firstLine="420"/>
        <w:rPr>
          <w:rFonts w:cs="Times New Roman"/>
        </w:rPr>
      </w:pPr>
      <w:r w:rsidRPr="00530A11">
        <w:rPr>
          <w:rFonts w:cs="Times New Roman"/>
        </w:rPr>
        <w:t>本条是对电梯系统的节能控制措施的要求。对垂直电梯，应具有群控、变频调速拖动、</w:t>
      </w:r>
      <w:bookmarkStart w:id="136" w:name="_Hlk25161549"/>
      <w:r w:rsidRPr="00530A11">
        <w:rPr>
          <w:rFonts w:cs="Times New Roman"/>
        </w:rPr>
        <w:t>轿内误指令取消功能或</w:t>
      </w:r>
      <w:bookmarkEnd w:id="136"/>
      <w:r w:rsidRPr="00530A11">
        <w:rPr>
          <w:rFonts w:cs="Times New Roman"/>
        </w:rPr>
        <w:t>能量再生回馈等至少</w:t>
      </w:r>
      <w:r w:rsidRPr="00530A11">
        <w:rPr>
          <w:rFonts w:cs="Times New Roman" w:hint="eastAsia"/>
        </w:rPr>
        <w:t>两</w:t>
      </w:r>
      <w:r w:rsidRPr="00530A11">
        <w:rPr>
          <w:rFonts w:cs="Times New Roman"/>
        </w:rPr>
        <w:t>项技术，实现电梯节能。对于扶梯，应采用变频感应启动技术来降低使用能耗。</w:t>
      </w:r>
    </w:p>
    <w:p w14:paraId="6EB87D0A" w14:textId="583BECF6" w:rsidR="00011E42" w:rsidRPr="006C79E9" w:rsidRDefault="00011E42" w:rsidP="006C79E9">
      <w:pPr>
        <w:pStyle w:val="20"/>
      </w:pPr>
      <w:r w:rsidRPr="0081478A">
        <w:t>【评价要点】</w:t>
      </w:r>
    </w:p>
    <w:p w14:paraId="082ED90D" w14:textId="5163903A" w:rsidR="004F5181" w:rsidRPr="004F5181" w:rsidRDefault="004F5181" w:rsidP="004F5181">
      <w:pPr>
        <w:ind w:firstLine="420"/>
        <w:rPr>
          <w:rFonts w:cs="Times New Roman"/>
        </w:rPr>
      </w:pPr>
      <w:r>
        <w:rPr>
          <w:rFonts w:cs="Times New Roman" w:hint="eastAsia"/>
        </w:rPr>
        <w:t>1</w:t>
      </w:r>
      <w:r>
        <w:rPr>
          <w:rFonts w:cs="Times New Roman"/>
        </w:rPr>
        <w:t>.</w:t>
      </w:r>
      <w:r w:rsidRPr="004F5181">
        <w:rPr>
          <w:rFonts w:cs="Times New Roman" w:hint="eastAsia"/>
        </w:rPr>
        <w:t>电梯、扶梯的选用：充分考虑使用需求和客</w:t>
      </w:r>
      <w:r w:rsidRPr="004F5181">
        <w:rPr>
          <w:rFonts w:cs="Times New Roman" w:hint="eastAsia"/>
        </w:rPr>
        <w:t>/</w:t>
      </w:r>
      <w:r w:rsidRPr="004F5181">
        <w:rPr>
          <w:rFonts w:cs="Times New Roman" w:hint="eastAsia"/>
        </w:rPr>
        <w:t>货流量，电梯台数、载客量、速度等指标。</w:t>
      </w:r>
    </w:p>
    <w:p w14:paraId="08496CF7" w14:textId="057BB085" w:rsidR="004F5181" w:rsidRPr="004F5181" w:rsidRDefault="004F5181" w:rsidP="004F5181">
      <w:pPr>
        <w:ind w:firstLine="420"/>
        <w:rPr>
          <w:rFonts w:cs="Times New Roman"/>
        </w:rPr>
      </w:pPr>
      <w:r>
        <w:rPr>
          <w:rFonts w:cs="Times New Roman" w:hint="eastAsia"/>
        </w:rPr>
        <w:t>2</w:t>
      </w:r>
      <w:r>
        <w:rPr>
          <w:rFonts w:cs="Times New Roman"/>
        </w:rPr>
        <w:t>.</w:t>
      </w:r>
      <w:r w:rsidRPr="004F5181">
        <w:rPr>
          <w:rFonts w:cs="Times New Roman" w:hint="eastAsia"/>
        </w:rPr>
        <w:t>电梯、扶梯产品的节能特性：暂以是否采取变频调速拖动方式</w:t>
      </w:r>
      <w:r>
        <w:rPr>
          <w:rFonts w:cs="Times New Roman" w:hint="eastAsia"/>
        </w:rPr>
        <w:t>、</w:t>
      </w:r>
      <w:r w:rsidRPr="00530A11">
        <w:rPr>
          <w:rFonts w:cs="Times New Roman" w:hint="eastAsia"/>
        </w:rPr>
        <w:t>轿内误指令取消功能</w:t>
      </w:r>
      <w:r w:rsidRPr="004F5181">
        <w:rPr>
          <w:rFonts w:cs="Times New Roman" w:hint="eastAsia"/>
        </w:rPr>
        <w:t>或能量再生回馈等具有显著节能效果的技术作为判定要求。</w:t>
      </w:r>
    </w:p>
    <w:p w14:paraId="0DFE6C8A" w14:textId="2D3FF070" w:rsidR="00E96A9E" w:rsidRPr="009575F0" w:rsidRDefault="004F5181" w:rsidP="004F5181">
      <w:pPr>
        <w:ind w:firstLine="420"/>
        <w:rPr>
          <w:rFonts w:cs="Times New Roman"/>
        </w:rPr>
      </w:pPr>
      <w:r>
        <w:rPr>
          <w:rFonts w:cs="Times New Roman" w:hint="eastAsia"/>
        </w:rPr>
        <w:t>3</w:t>
      </w:r>
      <w:r>
        <w:rPr>
          <w:rFonts w:cs="Times New Roman"/>
        </w:rPr>
        <w:t>.</w:t>
      </w:r>
      <w:r w:rsidRPr="004F5181">
        <w:rPr>
          <w:rFonts w:cs="Times New Roman" w:hint="eastAsia"/>
        </w:rPr>
        <w:t>节能控制措施：包括电梯群控、扶梯感应启停、轿厢无人自动关灯技术、驱动器休眠技术、自动扶梯变频感应技术、群控楼宇智能管理技术等。</w:t>
      </w:r>
    </w:p>
    <w:p w14:paraId="78D09521" w14:textId="77777777" w:rsidR="00715ABB" w:rsidRPr="006C79E9" w:rsidRDefault="00F44390" w:rsidP="006C79E9">
      <w:pPr>
        <w:pStyle w:val="20"/>
      </w:pPr>
      <w:r w:rsidRPr="0081478A">
        <w:t>【评价方法】</w:t>
      </w:r>
    </w:p>
    <w:p w14:paraId="4ACD7B0E"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预评价查阅相关设计文件、电梯与自动扶梯人流平衡计算分析报告；评价查阅相关竣工图、相关产品型式检验报告。</w:t>
      </w:r>
    </w:p>
    <w:p w14:paraId="1DE98062" w14:textId="77777777" w:rsidR="00715ABB" w:rsidRPr="00E905A0" w:rsidRDefault="00715ABB">
      <w:pPr>
        <w:snapToGrid w:val="0"/>
        <w:ind w:firstLineChars="0" w:firstLine="0"/>
        <w:jc w:val="left"/>
        <w:rPr>
          <w:rFonts w:cs="Times New Roman"/>
          <w:b/>
          <w:bCs/>
          <w:szCs w:val="24"/>
        </w:rPr>
      </w:pPr>
    </w:p>
    <w:p w14:paraId="6A268603" w14:textId="77777777" w:rsidR="00841AA3" w:rsidRPr="00530A11" w:rsidRDefault="00841AA3" w:rsidP="00841AA3">
      <w:pPr>
        <w:pStyle w:val="4"/>
        <w:rPr>
          <w:rFonts w:cs="Times New Roman"/>
          <w:bCs w:val="0"/>
        </w:rPr>
      </w:pPr>
      <w:r w:rsidRPr="00530A11">
        <w:rPr>
          <w:rFonts w:cs="Times New Roman"/>
          <w:bCs w:val="0"/>
        </w:rPr>
        <w:t xml:space="preserve">7.1.7 </w:t>
      </w:r>
      <w:r w:rsidRPr="00530A11">
        <w:rPr>
          <w:rFonts w:cs="Times New Roman"/>
          <w:bCs w:val="0"/>
        </w:rPr>
        <w:t>应制定水资源利用方案，统筹利用各种水资源，并应符合下列规定：</w:t>
      </w:r>
    </w:p>
    <w:p w14:paraId="62F01D9E"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 xml:space="preserve">1 </w:t>
      </w:r>
      <w:r w:rsidRPr="00841AA3">
        <w:rPr>
          <w:rFonts w:ascii="Times New Roman" w:hAnsi="Times New Roman" w:cs="Times New Roman"/>
          <w:bCs/>
          <w:color w:val="auto"/>
        </w:rPr>
        <w:t>应按使用用途、付费或管理单元，分别设置用水计量装置；</w:t>
      </w:r>
    </w:p>
    <w:p w14:paraId="30AD3242"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 xml:space="preserve">2 </w:t>
      </w:r>
      <w:r w:rsidRPr="00841AA3">
        <w:rPr>
          <w:rFonts w:ascii="Times New Roman" w:hAnsi="Times New Roman" w:cs="Times New Roman"/>
          <w:bCs/>
          <w:color w:val="auto"/>
        </w:rPr>
        <w:t>用水点处水压大于</w:t>
      </w:r>
      <w:r w:rsidRPr="00841AA3">
        <w:rPr>
          <w:rFonts w:ascii="Times New Roman" w:hAnsi="Times New Roman" w:cs="Times New Roman"/>
          <w:bCs/>
          <w:color w:val="auto"/>
        </w:rPr>
        <w:t>0.2MPa</w:t>
      </w:r>
      <w:r w:rsidRPr="00841AA3">
        <w:rPr>
          <w:rFonts w:ascii="Times New Roman" w:hAnsi="Times New Roman" w:cs="Times New Roman"/>
          <w:bCs/>
          <w:color w:val="auto"/>
        </w:rPr>
        <w:t>的配水支管应设置减压设施，并应满足给水配件最低工作压力的要求；</w:t>
      </w:r>
    </w:p>
    <w:p w14:paraId="7F6DCB1D"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 xml:space="preserve">3 </w:t>
      </w:r>
      <w:r w:rsidRPr="00841AA3">
        <w:rPr>
          <w:rFonts w:ascii="Times New Roman" w:hAnsi="Times New Roman" w:cs="Times New Roman"/>
          <w:bCs/>
          <w:color w:val="auto"/>
        </w:rPr>
        <w:t>用水器具和设备应满足节水产品的要求；</w:t>
      </w:r>
    </w:p>
    <w:p w14:paraId="32162021" w14:textId="77777777" w:rsidR="00841AA3" w:rsidRPr="00841AA3" w:rsidRDefault="00841AA3" w:rsidP="00841AA3">
      <w:pPr>
        <w:pStyle w:val="20"/>
        <w:ind w:firstLineChars="100" w:firstLine="211"/>
        <w:rPr>
          <w:rFonts w:ascii="Times New Roman" w:hAnsi="Times New Roman" w:cs="Times New Roman"/>
          <w:bCs/>
          <w:color w:val="auto"/>
        </w:rPr>
      </w:pPr>
      <w:bookmarkStart w:id="137" w:name="_Hlk25164943"/>
      <w:r w:rsidRPr="00841AA3">
        <w:rPr>
          <w:rFonts w:ascii="Times New Roman" w:hAnsi="Times New Roman" w:cs="Times New Roman"/>
          <w:bCs/>
          <w:color w:val="auto"/>
        </w:rPr>
        <w:t xml:space="preserve">4 </w:t>
      </w:r>
      <w:r w:rsidRPr="00841AA3">
        <w:rPr>
          <w:rFonts w:ascii="Times New Roman" w:hAnsi="Times New Roman" w:cs="Times New Roman" w:hint="eastAsia"/>
          <w:bCs/>
          <w:color w:val="auto"/>
        </w:rPr>
        <w:t>公共浴室采用带恒温控制与温度显示功能的冷热水混合淋浴器，设置用者付费的设施。</w:t>
      </w:r>
    </w:p>
    <w:bookmarkEnd w:id="137"/>
    <w:p w14:paraId="6F903C66" w14:textId="77777777" w:rsidR="00715ABB" w:rsidRPr="0081478A" w:rsidRDefault="00F44390" w:rsidP="006C79E9">
      <w:pPr>
        <w:pStyle w:val="20"/>
      </w:pPr>
      <w:r w:rsidRPr="0081478A">
        <w:t>【条文说明】</w:t>
      </w:r>
    </w:p>
    <w:p w14:paraId="54C6EC7E" w14:textId="77777777" w:rsidR="00C060F4" w:rsidRPr="00530A11" w:rsidRDefault="00C060F4" w:rsidP="00C060F4">
      <w:pPr>
        <w:ind w:firstLine="420"/>
      </w:pPr>
      <w:r w:rsidRPr="00530A11">
        <w:t>本条适用于各类民用建筑的预评价、评价。</w:t>
      </w:r>
    </w:p>
    <w:p w14:paraId="6E6B8818"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6.1.1</w:t>
      </w:r>
      <w:r w:rsidRPr="00530A11">
        <w:rPr>
          <w:rFonts w:cs="Times New Roman"/>
        </w:rPr>
        <w:t>条、第</w:t>
      </w:r>
      <w:r w:rsidRPr="00530A11">
        <w:rPr>
          <w:rFonts w:cs="Times New Roman"/>
        </w:rPr>
        <w:t>6.1.3</w:t>
      </w:r>
      <w:r w:rsidRPr="00530A11">
        <w:rPr>
          <w:rFonts w:cs="Times New Roman"/>
        </w:rPr>
        <w:t>条、第</w:t>
      </w:r>
      <w:r w:rsidRPr="00530A11">
        <w:rPr>
          <w:rFonts w:cs="Times New Roman"/>
        </w:rPr>
        <w:t>6.2.3</w:t>
      </w:r>
      <w:r w:rsidRPr="00530A11">
        <w:rPr>
          <w:rFonts w:cs="Times New Roman"/>
        </w:rPr>
        <w:t>条和第</w:t>
      </w:r>
      <w:r w:rsidRPr="00530A11">
        <w:rPr>
          <w:rFonts w:cs="Times New Roman"/>
        </w:rPr>
        <w:t>6.2.4</w:t>
      </w:r>
      <w:r w:rsidRPr="00530A11">
        <w:rPr>
          <w:rFonts w:cs="Times New Roman"/>
        </w:rPr>
        <w:t>条，</w:t>
      </w:r>
      <w:r w:rsidRPr="00530A11">
        <w:rPr>
          <w:rFonts w:cs="Times New Roman"/>
        </w:rPr>
        <w:lastRenderedPageBreak/>
        <w:t>地方标准</w:t>
      </w:r>
      <w:r w:rsidRPr="00530A11">
        <w:rPr>
          <w:rFonts w:cs="Times New Roman"/>
        </w:rPr>
        <w:t>2014</w:t>
      </w:r>
      <w:r w:rsidRPr="00530A11">
        <w:rPr>
          <w:rFonts w:cs="Times New Roman"/>
        </w:rPr>
        <w:t>版第</w:t>
      </w:r>
      <w:r w:rsidRPr="00530A11">
        <w:rPr>
          <w:rFonts w:cs="Times New Roman"/>
        </w:rPr>
        <w:t>6.1.1</w:t>
      </w:r>
      <w:r w:rsidRPr="00530A11">
        <w:rPr>
          <w:rFonts w:cs="Times New Roman"/>
        </w:rPr>
        <w:t>条、第</w:t>
      </w:r>
      <w:r w:rsidRPr="00530A11">
        <w:rPr>
          <w:rFonts w:cs="Times New Roman"/>
        </w:rPr>
        <w:t>6.1.3</w:t>
      </w:r>
      <w:r w:rsidRPr="00530A11">
        <w:rPr>
          <w:rFonts w:cs="Times New Roman"/>
        </w:rPr>
        <w:t>条、第</w:t>
      </w:r>
      <w:r w:rsidRPr="00530A11">
        <w:rPr>
          <w:rFonts w:cs="Times New Roman"/>
        </w:rPr>
        <w:t>6.2.3</w:t>
      </w:r>
      <w:r w:rsidRPr="00530A11">
        <w:rPr>
          <w:rFonts w:cs="Times New Roman"/>
        </w:rPr>
        <w:t>条和第</w:t>
      </w:r>
      <w:r w:rsidRPr="00530A11">
        <w:rPr>
          <w:rFonts w:cs="Times New Roman"/>
        </w:rPr>
        <w:t>6.2.4</w:t>
      </w:r>
      <w:r w:rsidRPr="00530A11">
        <w:rPr>
          <w:rFonts w:cs="Times New Roman"/>
        </w:rPr>
        <w:t>条的基础上发展而来。</w:t>
      </w:r>
    </w:p>
    <w:p w14:paraId="2E50F742" w14:textId="77777777" w:rsidR="00C060F4" w:rsidRPr="00530A11" w:rsidRDefault="00C060F4" w:rsidP="00C060F4">
      <w:pPr>
        <w:ind w:firstLine="420"/>
        <w:rPr>
          <w:rFonts w:cs="Times New Roman"/>
        </w:rPr>
      </w:pPr>
      <w:r w:rsidRPr="00530A11">
        <w:rPr>
          <w:rFonts w:cs="Times New Roman"/>
        </w:rPr>
        <w:t>在进行绿色建筑设计前，应充分了解项目所在区域的市政给排水条件、水资源状况、气候特点等实际情况，通过全面的分析研究，制定水资源利用方案，提高水资源循环利用率，减少市政供水量和污水排放量。</w:t>
      </w:r>
    </w:p>
    <w:p w14:paraId="732A603C" w14:textId="77777777" w:rsidR="00C060F4" w:rsidRPr="00530A11" w:rsidRDefault="00C060F4" w:rsidP="00C060F4">
      <w:pPr>
        <w:ind w:firstLine="420"/>
        <w:rPr>
          <w:rFonts w:cs="Times New Roman"/>
        </w:rPr>
      </w:pPr>
      <w:r w:rsidRPr="00530A11">
        <w:rPr>
          <w:rFonts w:cs="Times New Roman"/>
        </w:rPr>
        <w:t>水资源利用方案包含项目所在地气候情况、市政条件及节水政策，项目概况，水量计算及水平衡分析，给排水系统设计方案介绍，节水器具及设备说明，非传统水源利用方案等内容。</w:t>
      </w:r>
    </w:p>
    <w:p w14:paraId="3BBAE604" w14:textId="77777777" w:rsidR="00C060F4" w:rsidRPr="00530A11" w:rsidRDefault="00C060F4" w:rsidP="00C060F4">
      <w:pPr>
        <w:ind w:firstLine="420"/>
        <w:rPr>
          <w:rFonts w:cs="Times New Roman"/>
        </w:rPr>
      </w:pPr>
      <w:r w:rsidRPr="00530A11">
        <w:rPr>
          <w:rFonts w:cs="Times New Roman"/>
        </w:rPr>
        <w:t>第</w:t>
      </w:r>
      <w:r w:rsidRPr="00530A11">
        <w:rPr>
          <w:rFonts w:cs="Times New Roman"/>
        </w:rPr>
        <w:t>1</w:t>
      </w:r>
      <w:r w:rsidRPr="00530A11">
        <w:rPr>
          <w:rFonts w:cs="Times New Roman"/>
        </w:rPr>
        <w:t>款，按使用用途、付费或管理单元情况分别设置用水计量装置，可以统计各种用水部门的用水量和分析渗漏水量，达到持续改进节水管理的目的。同时，也可以据此施行计量收费，或节水绩效考核，促进行为节水。</w:t>
      </w:r>
    </w:p>
    <w:p w14:paraId="0C1709FD" w14:textId="77777777" w:rsidR="00C060F4" w:rsidRPr="00530A11" w:rsidRDefault="00C060F4" w:rsidP="00C060F4">
      <w:pPr>
        <w:ind w:firstLine="420"/>
        <w:rPr>
          <w:rFonts w:cs="Times New Roman"/>
        </w:rPr>
      </w:pPr>
      <w:r w:rsidRPr="00530A11">
        <w:rPr>
          <w:rFonts w:cs="Times New Roman"/>
        </w:rPr>
        <w:t>第</w:t>
      </w:r>
      <w:r w:rsidRPr="00530A11">
        <w:rPr>
          <w:rFonts w:cs="Times New Roman"/>
        </w:rPr>
        <w:t>2</w:t>
      </w:r>
      <w:r w:rsidRPr="00530A11">
        <w:rPr>
          <w:rFonts w:cs="Times New Roman"/>
        </w:rPr>
        <w:t>款，用水器具给水配件在单位时间内的出水量超过额定流量的现象，称超压出流现象，该流量与额定流量的差值，为超压出流量。超压出流量未产生使用效益，为无效用水量，即浪费的水量。给水系统设计时应采取措施控制超压出流现象，应合理进行压力分区，并适当地采取减压措施，避免造成浪费。</w:t>
      </w:r>
      <w:bookmarkStart w:id="138" w:name="_Hlk20683243"/>
      <w:r w:rsidRPr="00530A11">
        <w:rPr>
          <w:rFonts w:cs="Times New Roman"/>
        </w:rPr>
        <w:t>为保证正常用水需求，用水点水压宜高于</w:t>
      </w:r>
      <w:r w:rsidRPr="00530A11">
        <w:rPr>
          <w:rFonts w:cs="Times New Roman"/>
        </w:rPr>
        <w:t>0.15MPa</w:t>
      </w:r>
      <w:r w:rsidRPr="00530A11">
        <w:rPr>
          <w:rFonts w:cs="Times New Roman"/>
        </w:rPr>
        <w:t>，最高不应超过</w:t>
      </w:r>
      <w:r w:rsidRPr="00530A11">
        <w:rPr>
          <w:rFonts w:cs="Times New Roman"/>
        </w:rPr>
        <w:t>0.2 MPa</w:t>
      </w:r>
      <w:r w:rsidRPr="00530A11">
        <w:rPr>
          <w:rFonts w:cs="Times New Roman"/>
        </w:rPr>
        <w:t>，且最低不应低于</w:t>
      </w:r>
      <w:r w:rsidRPr="00530A11">
        <w:rPr>
          <w:rFonts w:cs="Times New Roman"/>
        </w:rPr>
        <w:t>0.1MPa</w:t>
      </w:r>
      <w:r w:rsidRPr="00530A11">
        <w:rPr>
          <w:rFonts w:cs="Times New Roman"/>
        </w:rPr>
        <w:t>。对于因建筑功能而产生的特殊供水压力需求的情况，应提供专项设计论证，以说明用水点压力的合理设定。</w:t>
      </w:r>
    </w:p>
    <w:bookmarkEnd w:id="138"/>
    <w:p w14:paraId="6AE6DCEA" w14:textId="77777777" w:rsidR="00C060F4" w:rsidRPr="00530A11" w:rsidRDefault="00C060F4" w:rsidP="00C060F4">
      <w:pPr>
        <w:ind w:firstLine="420"/>
        <w:rPr>
          <w:rFonts w:cs="Times New Roman"/>
        </w:rPr>
      </w:pPr>
      <w:r w:rsidRPr="00530A11">
        <w:rPr>
          <w:rFonts w:cs="Times New Roman"/>
        </w:rPr>
        <w:t>当选用自带减压装置的用水器具时，该部分管线的工作压力满足相关设计规范的要求即可。当建筑因功能需要，选用特殊水压要求的用水器具时，可根据产品要求采用适当的工作压力，但应选用用水效率高的产品，并在说明中做相应描述。</w:t>
      </w:r>
    </w:p>
    <w:p w14:paraId="35B5EB14" w14:textId="77777777" w:rsidR="00C060F4" w:rsidRPr="00530A11" w:rsidRDefault="00C060F4" w:rsidP="00C060F4">
      <w:pPr>
        <w:ind w:firstLine="420"/>
        <w:rPr>
          <w:rFonts w:cs="Times New Roman"/>
        </w:rPr>
      </w:pPr>
      <w:r w:rsidRPr="00530A11">
        <w:rPr>
          <w:rFonts w:cs="Times New Roman"/>
        </w:rPr>
        <w:t>第</w:t>
      </w:r>
      <w:r w:rsidRPr="00530A11">
        <w:rPr>
          <w:rFonts w:cs="Times New Roman"/>
        </w:rPr>
        <w:t>3</w:t>
      </w:r>
      <w:r w:rsidRPr="00530A11">
        <w:rPr>
          <w:rFonts w:cs="Times New Roman"/>
        </w:rPr>
        <w:t>款，所有用水器具应满足现行国家标准《节水型产品技术条件与管理通则》</w:t>
      </w:r>
      <w:r w:rsidRPr="00530A11">
        <w:rPr>
          <w:rFonts w:cs="Times New Roman"/>
        </w:rPr>
        <w:t>GB/T 18870</w:t>
      </w:r>
      <w:r w:rsidRPr="00530A11">
        <w:rPr>
          <w:rFonts w:cs="Times New Roman"/>
        </w:rPr>
        <w:t>的要求。除特殊功能需求外，均应采用节水型用水器具。</w:t>
      </w:r>
    </w:p>
    <w:p w14:paraId="1F0831AA" w14:textId="77777777" w:rsidR="00C060F4" w:rsidRPr="00530A11" w:rsidRDefault="00C060F4" w:rsidP="00C060F4">
      <w:pPr>
        <w:ind w:firstLine="420"/>
        <w:rPr>
          <w:rFonts w:cs="Times New Roman"/>
        </w:rPr>
      </w:pPr>
      <w:bookmarkStart w:id="139" w:name="_Hlk25164909"/>
      <w:r w:rsidRPr="00530A11">
        <w:rPr>
          <w:rFonts w:cs="Times New Roman"/>
        </w:rPr>
        <w:t>第</w:t>
      </w:r>
      <w:r w:rsidRPr="00530A11">
        <w:rPr>
          <w:rFonts w:cs="Times New Roman"/>
        </w:rPr>
        <w:t>4</w:t>
      </w:r>
      <w:r w:rsidRPr="00530A11">
        <w:rPr>
          <w:rFonts w:cs="Times New Roman"/>
        </w:rPr>
        <w:t>款，</w:t>
      </w:r>
      <w:r w:rsidRPr="00530A11">
        <w:rPr>
          <w:rFonts w:cs="Times New Roman"/>
        </w:rPr>
        <w:t>“</w:t>
      </w:r>
      <w:r w:rsidRPr="00530A11">
        <w:rPr>
          <w:rFonts w:cs="Times New Roman"/>
        </w:rPr>
        <w:t>公用浴室</w:t>
      </w:r>
      <w:r w:rsidRPr="00530A11">
        <w:rPr>
          <w:rFonts w:cs="Times New Roman"/>
        </w:rPr>
        <w:t>”</w:t>
      </w:r>
      <w:r w:rsidRPr="00530A11">
        <w:rPr>
          <w:rFonts w:cs="Times New Roman"/>
        </w:rPr>
        <w:t>既包括学校、医院、体育场馆、洗浴中心等建筑为学生、医护人员、病人、健身人员、顾客等设置的公用浴室，也包含住宅小区、办公楼、旅馆、商场等建筑为物业管理人员、餐饮服务人员和其他工作人员设置的公用浴室。</w:t>
      </w:r>
    </w:p>
    <w:p w14:paraId="1866009B" w14:textId="77777777" w:rsidR="00C060F4" w:rsidRPr="00530A11" w:rsidRDefault="00C060F4" w:rsidP="00C060F4">
      <w:pPr>
        <w:ind w:firstLine="420"/>
        <w:rPr>
          <w:rFonts w:cs="Times New Roman"/>
        </w:rPr>
      </w:pPr>
      <w:r w:rsidRPr="00530A11">
        <w:rPr>
          <w:rFonts w:cs="Times New Roman"/>
        </w:rPr>
        <w:t>由于带恒温控制与温度显示功能的冷热水混合淋浴器输出水的恒温精度高</w:t>
      </w:r>
      <w:r w:rsidRPr="00530A11">
        <w:rPr>
          <w:rFonts w:cs="Times New Roman"/>
        </w:rPr>
        <w:t xml:space="preserve">, </w:t>
      </w:r>
      <w:r w:rsidRPr="00530A11">
        <w:rPr>
          <w:rFonts w:cs="Times New Roman"/>
        </w:rPr>
        <w:t>提高了洗浴的舒适性</w:t>
      </w:r>
      <w:r w:rsidRPr="00530A11">
        <w:rPr>
          <w:rFonts w:cs="Times New Roman"/>
        </w:rPr>
        <w:t xml:space="preserve">, </w:t>
      </w:r>
      <w:r w:rsidRPr="00530A11">
        <w:rPr>
          <w:rFonts w:cs="Times New Roman"/>
        </w:rPr>
        <w:t>又能做到人离水停</w:t>
      </w:r>
      <w:r w:rsidRPr="00530A11">
        <w:rPr>
          <w:rFonts w:cs="Times New Roman"/>
        </w:rPr>
        <w:t xml:space="preserve">, </w:t>
      </w:r>
      <w:r w:rsidRPr="00530A11">
        <w:rPr>
          <w:rFonts w:cs="Times New Roman"/>
        </w:rPr>
        <w:t>洗浴过程中无需调节水温</w:t>
      </w:r>
      <w:r w:rsidRPr="00530A11">
        <w:rPr>
          <w:rFonts w:cs="Times New Roman"/>
        </w:rPr>
        <w:t xml:space="preserve">, </w:t>
      </w:r>
      <w:r w:rsidRPr="00530A11">
        <w:rPr>
          <w:rFonts w:cs="Times New Roman"/>
        </w:rPr>
        <w:t>所以比一般双管淋浴器节约用水</w:t>
      </w:r>
      <w:r w:rsidRPr="00530A11">
        <w:rPr>
          <w:rFonts w:cs="Times New Roman"/>
        </w:rPr>
        <w:t>20%</w:t>
      </w:r>
      <w:r w:rsidRPr="00530A11">
        <w:rPr>
          <w:rFonts w:cs="Times New Roman"/>
        </w:rPr>
        <w:t>～</w:t>
      </w:r>
      <w:r w:rsidRPr="00530A11">
        <w:rPr>
          <w:rFonts w:cs="Times New Roman"/>
        </w:rPr>
        <w:t>50%</w:t>
      </w:r>
      <w:r w:rsidRPr="00530A11">
        <w:rPr>
          <w:rFonts w:cs="Times New Roman"/>
        </w:rPr>
        <w:t>。</w:t>
      </w:r>
    </w:p>
    <w:p w14:paraId="1C31F67B" w14:textId="77777777" w:rsidR="00C060F4" w:rsidRPr="00530A11" w:rsidRDefault="00C060F4" w:rsidP="00C060F4">
      <w:pPr>
        <w:ind w:firstLine="420"/>
        <w:rPr>
          <w:rFonts w:cs="Times New Roman"/>
        </w:rPr>
      </w:pPr>
      <w:r w:rsidRPr="00530A11">
        <w:rPr>
          <w:rFonts w:cs="Times New Roman"/>
        </w:rPr>
        <w:t>实现</w:t>
      </w:r>
      <w:r w:rsidRPr="00530A11">
        <w:rPr>
          <w:rFonts w:cs="Times New Roman"/>
        </w:rPr>
        <w:t>“</w:t>
      </w:r>
      <w:r w:rsidRPr="00530A11">
        <w:rPr>
          <w:rFonts w:cs="Times New Roman"/>
        </w:rPr>
        <w:t>用者付费</w:t>
      </w:r>
      <w:r w:rsidRPr="00530A11">
        <w:rPr>
          <w:rFonts w:cs="Times New Roman"/>
        </w:rPr>
        <w:t>”</w:t>
      </w:r>
      <w:r w:rsidRPr="00530A11">
        <w:rPr>
          <w:rFonts w:cs="Times New Roman"/>
        </w:rPr>
        <w:t>，可达到鼓励行为节水的目的。对建筑中有可能实施用者付费的用水场所，应设置用者付费的设施，如采用刷卡用水，实现行为节水。</w:t>
      </w:r>
      <w:bookmarkEnd w:id="139"/>
    </w:p>
    <w:p w14:paraId="6C2CA395" w14:textId="77777777" w:rsidR="00011E42" w:rsidRPr="006C79E9" w:rsidRDefault="00011E42" w:rsidP="006C79E9">
      <w:pPr>
        <w:pStyle w:val="20"/>
      </w:pPr>
      <w:r w:rsidRPr="0081478A">
        <w:t>【评价要点】</w:t>
      </w:r>
    </w:p>
    <w:p w14:paraId="078C72C2" w14:textId="77777777" w:rsidR="00011E42" w:rsidRPr="0081478A" w:rsidRDefault="00AD3B18" w:rsidP="00AD3B18">
      <w:pPr>
        <w:ind w:firstLine="420"/>
        <w:rPr>
          <w:rFonts w:cs="Times New Roman"/>
          <w:kern w:val="21"/>
        </w:rPr>
      </w:pPr>
      <w:r w:rsidRPr="0081478A">
        <w:rPr>
          <w:rFonts w:cs="Times New Roman"/>
        </w:rPr>
        <w:lastRenderedPageBreak/>
        <w:t>1</w:t>
      </w:r>
      <w:r w:rsidRPr="0081478A">
        <w:rPr>
          <w:rFonts w:cs="Times New Roman"/>
          <w:kern w:val="21"/>
        </w:rPr>
        <w:t xml:space="preserve"> </w:t>
      </w:r>
      <w:r w:rsidR="00011E42" w:rsidRPr="0081478A">
        <w:rPr>
          <w:rFonts w:cs="Times New Roman"/>
          <w:kern w:val="21"/>
        </w:rPr>
        <w:t>资源利用方案应包含下列内容</w:t>
      </w:r>
      <w:r w:rsidRPr="0081478A">
        <w:rPr>
          <w:rFonts w:cs="Times New Roman"/>
          <w:kern w:val="21"/>
        </w:rPr>
        <w:t>：</w:t>
      </w:r>
    </w:p>
    <w:p w14:paraId="321B380C" w14:textId="77777777" w:rsidR="00011E42" w:rsidRPr="0081478A" w:rsidRDefault="00011E42" w:rsidP="00011E42">
      <w:pPr>
        <w:ind w:firstLine="420"/>
        <w:rPr>
          <w:rFonts w:cs="Times New Roman"/>
          <w:kern w:val="21"/>
        </w:rPr>
      </w:pPr>
      <w:r w:rsidRPr="0081478A">
        <w:rPr>
          <w:rFonts w:cs="Times New Roman"/>
          <w:kern w:val="21"/>
        </w:rPr>
        <w:t>1</w:t>
      </w:r>
      <w:r w:rsidRPr="0081478A">
        <w:rPr>
          <w:rFonts w:cs="Times New Roman"/>
          <w:kern w:val="21"/>
        </w:rPr>
        <w:t>）</w:t>
      </w:r>
      <w:r w:rsidRPr="0081478A">
        <w:rPr>
          <w:rFonts w:cs="Times New Roman"/>
          <w:kern w:val="21"/>
          <w:vertAlign w:val="superscript"/>
        </w:rPr>
        <w:t> </w:t>
      </w:r>
      <w:r w:rsidRPr="0081478A">
        <w:rPr>
          <w:rFonts w:cs="Times New Roman"/>
          <w:kern w:val="21"/>
        </w:rPr>
        <w:t>当地政府规定的节水要求、地区水资源状况、气象资料、地质条件及市政设施情况等。</w:t>
      </w:r>
    </w:p>
    <w:p w14:paraId="5941E758" w14:textId="77777777" w:rsidR="00011E42" w:rsidRPr="0081478A" w:rsidRDefault="00011E42" w:rsidP="00011E42">
      <w:pPr>
        <w:ind w:firstLine="420"/>
        <w:rPr>
          <w:rFonts w:cs="Times New Roman"/>
          <w:kern w:val="21"/>
        </w:rPr>
      </w:pPr>
      <w:r w:rsidRPr="0081478A">
        <w:rPr>
          <w:rFonts w:cs="Times New Roman"/>
          <w:kern w:val="21"/>
        </w:rPr>
        <w:t>2</w:t>
      </w:r>
      <w:r w:rsidRPr="0081478A">
        <w:rPr>
          <w:rFonts w:cs="Times New Roman"/>
          <w:kern w:val="21"/>
        </w:rPr>
        <w:t>）</w:t>
      </w:r>
      <w:r w:rsidRPr="0081478A">
        <w:rPr>
          <w:rFonts w:cs="Times New Roman"/>
          <w:kern w:val="21"/>
          <w:vertAlign w:val="superscript"/>
        </w:rPr>
        <w:t> </w:t>
      </w:r>
      <w:r w:rsidRPr="0081478A">
        <w:rPr>
          <w:rFonts w:cs="Times New Roman"/>
          <w:kern w:val="21"/>
        </w:rPr>
        <w:t>项目概况。当项目包含多种建筑类型，如住宅、办公建筑、旅馆、商店、会展等时，可统筹考虑项目内水资源的各种情况，确定综合利用方案。</w:t>
      </w:r>
    </w:p>
    <w:p w14:paraId="505503A5" w14:textId="77777777" w:rsidR="00011E42" w:rsidRPr="0081478A" w:rsidRDefault="00011E42" w:rsidP="00011E42">
      <w:pPr>
        <w:ind w:firstLine="420"/>
        <w:rPr>
          <w:rFonts w:cs="Times New Roman"/>
          <w:kern w:val="21"/>
        </w:rPr>
      </w:pPr>
      <w:r w:rsidRPr="0081478A">
        <w:rPr>
          <w:rFonts w:cs="Times New Roman"/>
          <w:kern w:val="21"/>
        </w:rPr>
        <w:t>3</w:t>
      </w:r>
      <w:r w:rsidRPr="0081478A">
        <w:rPr>
          <w:rFonts w:cs="Times New Roman"/>
          <w:kern w:val="21"/>
        </w:rPr>
        <w:t>）</w:t>
      </w:r>
      <w:r w:rsidRPr="0081478A">
        <w:rPr>
          <w:rFonts w:cs="Times New Roman"/>
          <w:kern w:val="21"/>
          <w:vertAlign w:val="superscript"/>
        </w:rPr>
        <w:t> </w:t>
      </w:r>
      <w:r w:rsidRPr="0081478A">
        <w:rPr>
          <w:rFonts w:cs="Times New Roman"/>
          <w:kern w:val="21"/>
        </w:rPr>
        <w:t>确定节水用水定额、编制用水量计算（水量计算表）及水量平衡表。</w:t>
      </w:r>
    </w:p>
    <w:p w14:paraId="6879A143" w14:textId="38342EB4" w:rsidR="00011E42" w:rsidRPr="0081478A" w:rsidRDefault="00011E42" w:rsidP="00011E42">
      <w:pPr>
        <w:ind w:firstLine="420"/>
        <w:rPr>
          <w:rFonts w:cs="Times New Roman"/>
          <w:kern w:val="21"/>
        </w:rPr>
      </w:pPr>
      <w:r w:rsidRPr="0081478A">
        <w:rPr>
          <w:rFonts w:cs="Times New Roman"/>
          <w:kern w:val="21"/>
        </w:rPr>
        <w:t>4</w:t>
      </w:r>
      <w:r w:rsidRPr="0081478A">
        <w:rPr>
          <w:rFonts w:cs="Times New Roman"/>
          <w:kern w:val="21"/>
        </w:rPr>
        <w:t>）</w:t>
      </w:r>
      <w:r w:rsidRPr="0081478A">
        <w:rPr>
          <w:rFonts w:cs="Times New Roman"/>
          <w:kern w:val="21"/>
          <w:vertAlign w:val="superscript"/>
        </w:rPr>
        <w:t> </w:t>
      </w:r>
      <w:r w:rsidR="009160C0" w:rsidRPr="0081478A">
        <w:rPr>
          <w:rFonts w:cs="Times New Roman"/>
          <w:kern w:val="21"/>
        </w:rPr>
        <w:t>建筑、车库内</w:t>
      </w:r>
      <w:r w:rsidRPr="0081478A">
        <w:rPr>
          <w:rFonts w:cs="Times New Roman"/>
          <w:kern w:val="21"/>
        </w:rPr>
        <w:t>给排水系统设计方案介绍。</w:t>
      </w:r>
    </w:p>
    <w:p w14:paraId="1D2C7CC1" w14:textId="77777777" w:rsidR="00011E42" w:rsidRPr="0081478A" w:rsidRDefault="00011E42" w:rsidP="00011E42">
      <w:pPr>
        <w:ind w:firstLine="420"/>
        <w:rPr>
          <w:rFonts w:cs="Times New Roman"/>
          <w:kern w:val="21"/>
        </w:rPr>
      </w:pPr>
      <w:r w:rsidRPr="0081478A">
        <w:rPr>
          <w:rFonts w:cs="Times New Roman"/>
          <w:kern w:val="21"/>
        </w:rPr>
        <w:t>5</w:t>
      </w:r>
      <w:r w:rsidRPr="0081478A">
        <w:rPr>
          <w:rFonts w:cs="Times New Roman"/>
          <w:kern w:val="21"/>
        </w:rPr>
        <w:t>）</w:t>
      </w:r>
      <w:r w:rsidRPr="0081478A">
        <w:rPr>
          <w:rFonts w:cs="Times New Roman"/>
          <w:kern w:val="21"/>
          <w:vertAlign w:val="superscript"/>
        </w:rPr>
        <w:t> </w:t>
      </w:r>
      <w:r w:rsidRPr="0081478A">
        <w:rPr>
          <w:rFonts w:cs="Times New Roman"/>
          <w:kern w:val="21"/>
        </w:rPr>
        <w:t>采用的节水器具、设备和系统的相关说明。</w:t>
      </w:r>
    </w:p>
    <w:p w14:paraId="4EBAC3CA" w14:textId="77777777" w:rsidR="00011E42" w:rsidRPr="0081478A" w:rsidRDefault="00011E42" w:rsidP="00011E42">
      <w:pPr>
        <w:ind w:firstLine="420"/>
        <w:rPr>
          <w:rFonts w:cs="Times New Roman"/>
          <w:kern w:val="21"/>
        </w:rPr>
      </w:pPr>
      <w:r w:rsidRPr="0081478A">
        <w:rPr>
          <w:rFonts w:cs="Times New Roman"/>
          <w:kern w:val="21"/>
        </w:rPr>
        <w:t>6</w:t>
      </w:r>
      <w:r w:rsidRPr="0081478A">
        <w:rPr>
          <w:rFonts w:cs="Times New Roman"/>
          <w:kern w:val="21"/>
        </w:rPr>
        <w:t>）</w:t>
      </w:r>
      <w:r w:rsidRPr="0081478A">
        <w:rPr>
          <w:rFonts w:cs="Times New Roman"/>
          <w:kern w:val="21"/>
          <w:vertAlign w:val="superscript"/>
        </w:rPr>
        <w:t> </w:t>
      </w:r>
      <w:r w:rsidRPr="0081478A">
        <w:rPr>
          <w:rFonts w:cs="Times New Roman"/>
          <w:kern w:val="21"/>
        </w:rPr>
        <w:t>非传统水源利用方案。对雨水、再生水及海水等水资源利用的技术经济可行性进行分析和研究，进行水量平衡计算，确定雨水、再生水及海水等水资源的利用方法、规模、处理工艺流程等。</w:t>
      </w:r>
    </w:p>
    <w:p w14:paraId="6DF607C1" w14:textId="03EEE6E7" w:rsidR="00011E42" w:rsidRDefault="00011E42" w:rsidP="00011E42">
      <w:pPr>
        <w:ind w:firstLine="420"/>
        <w:rPr>
          <w:rFonts w:cs="Times New Roman"/>
          <w:kern w:val="21"/>
        </w:rPr>
      </w:pPr>
      <w:r w:rsidRPr="0081478A">
        <w:rPr>
          <w:rFonts w:cs="Times New Roman"/>
          <w:kern w:val="21"/>
        </w:rPr>
        <w:t>7</w:t>
      </w:r>
      <w:r w:rsidRPr="0081478A">
        <w:rPr>
          <w:rFonts w:cs="Times New Roman"/>
          <w:kern w:val="21"/>
        </w:rPr>
        <w:t>）</w:t>
      </w:r>
      <w:r w:rsidRPr="0081478A">
        <w:rPr>
          <w:rFonts w:cs="Times New Roman"/>
          <w:kern w:val="21"/>
          <w:vertAlign w:val="superscript"/>
        </w:rPr>
        <w:t> </w:t>
      </w:r>
      <w:r w:rsidRPr="0081478A">
        <w:rPr>
          <w:rFonts w:cs="Times New Roman"/>
          <w:kern w:val="21"/>
        </w:rPr>
        <w:t>景观水体补水严禁采用市政供水和自备地下水井供水，可以采用地表水和非传统水源，取用建筑场地外的地表水时，应事先取得当地政府主管部门的许可；采用雨水和建筑中水作为水源时，水景规模应根据设计可收集利用的雨水或中水量来确定。</w:t>
      </w:r>
    </w:p>
    <w:p w14:paraId="13D23EEC" w14:textId="22646F5A" w:rsidR="006F03E7" w:rsidRPr="0081478A" w:rsidRDefault="006F03E7" w:rsidP="006F03E7">
      <w:pPr>
        <w:ind w:firstLine="420"/>
        <w:rPr>
          <w:rFonts w:cs="Times New Roman"/>
          <w:kern w:val="21"/>
        </w:rPr>
      </w:pPr>
      <w:r>
        <w:rPr>
          <w:rFonts w:cs="Times New Roman"/>
        </w:rPr>
        <w:t>2.</w:t>
      </w:r>
      <w:r w:rsidRPr="0081478A">
        <w:rPr>
          <w:rFonts w:cs="Times New Roman"/>
          <w:kern w:val="21"/>
        </w:rPr>
        <w:t>当选用了恒定出流的用水器具时，该部分管线的工作压力满足相关设计规范的要求即可。当建筑因功能需要，选用特殊水压要求的用水器具时，如大流量淋浴喷头，可根据产品要求采用适当的工作压力，但应选用用水效率高的产品，并在说明中做相应描述</w:t>
      </w:r>
      <w:r w:rsidR="002704DE">
        <w:rPr>
          <w:rFonts w:cs="Times New Roman" w:hint="eastAsia"/>
          <w:kern w:val="21"/>
        </w:rPr>
        <w:t>和论证</w:t>
      </w:r>
      <w:r w:rsidRPr="0081478A">
        <w:rPr>
          <w:rFonts w:cs="Times New Roman"/>
          <w:kern w:val="21"/>
        </w:rPr>
        <w:t>。在上述情况下，其他常规用水器具均</w:t>
      </w:r>
      <w:r w:rsidR="002704DE">
        <w:rPr>
          <w:rFonts w:cs="Times New Roman" w:hint="eastAsia"/>
          <w:kern w:val="21"/>
        </w:rPr>
        <w:t>应满足本</w:t>
      </w:r>
      <w:r w:rsidRPr="0081478A">
        <w:rPr>
          <w:rFonts w:cs="Times New Roman"/>
          <w:kern w:val="21"/>
        </w:rPr>
        <w:t>条</w:t>
      </w:r>
      <w:r w:rsidR="002704DE">
        <w:rPr>
          <w:rFonts w:cs="Times New Roman" w:hint="eastAsia"/>
          <w:kern w:val="21"/>
        </w:rPr>
        <w:t>相关</w:t>
      </w:r>
      <w:r w:rsidRPr="0081478A">
        <w:rPr>
          <w:rFonts w:cs="Times New Roman"/>
          <w:kern w:val="21"/>
        </w:rPr>
        <w:t>要求，可评判本条达标。</w:t>
      </w:r>
    </w:p>
    <w:p w14:paraId="26D81E94" w14:textId="77777777" w:rsidR="00715ABB" w:rsidRPr="006C79E9" w:rsidRDefault="00F44390" w:rsidP="006C79E9">
      <w:pPr>
        <w:pStyle w:val="20"/>
      </w:pPr>
      <w:r w:rsidRPr="0081478A">
        <w:t>【评价方法】</w:t>
      </w:r>
    </w:p>
    <w:p w14:paraId="511F29A2" w14:textId="77777777" w:rsidR="00E905A0" w:rsidRPr="00530A11" w:rsidRDefault="00E905A0" w:rsidP="00E905A0">
      <w:pPr>
        <w:pStyle w:val="20"/>
        <w:ind w:firstLineChars="200" w:firstLine="420"/>
        <w:rPr>
          <w:rFonts w:ascii="Times New Roman" w:hAnsi="Times New Roman" w:cs="Times New Roman"/>
          <w:b w:val="0"/>
        </w:rPr>
      </w:pPr>
      <w:r w:rsidRPr="00530A11">
        <w:rPr>
          <w:rFonts w:cs="Times New Roman"/>
          <w:b w:val="0"/>
        </w:rPr>
        <w:t>预评价查阅相关设计文件(含水表分级设置示意图、各层用水点用水压力计算图表、用水器具节水性能要求)、水资源利用方案及其在设计中的落实说明；评价查阅相关竣工图、水资源利用方案及其在设计中的落实说明、用水器具产品说明书或产品节水性能检测报告。</w:t>
      </w:r>
    </w:p>
    <w:p w14:paraId="197B07F5" w14:textId="77777777" w:rsidR="00715ABB" w:rsidRPr="00E905A0" w:rsidRDefault="00715ABB">
      <w:pPr>
        <w:snapToGrid w:val="0"/>
        <w:ind w:firstLineChars="0" w:firstLine="0"/>
        <w:jc w:val="left"/>
        <w:rPr>
          <w:rFonts w:cs="Times New Roman"/>
          <w:b/>
          <w:bCs/>
          <w:szCs w:val="24"/>
        </w:rPr>
      </w:pPr>
    </w:p>
    <w:p w14:paraId="5FB54487" w14:textId="77777777" w:rsidR="00841AA3" w:rsidRPr="00530A11" w:rsidRDefault="00841AA3" w:rsidP="00841AA3">
      <w:pPr>
        <w:pStyle w:val="4"/>
        <w:rPr>
          <w:rFonts w:cs="Times New Roman"/>
          <w:bCs w:val="0"/>
        </w:rPr>
      </w:pPr>
      <w:r w:rsidRPr="00530A11">
        <w:rPr>
          <w:rFonts w:cs="Times New Roman"/>
          <w:bCs w:val="0"/>
        </w:rPr>
        <w:t xml:space="preserve">7.1.8 </w:t>
      </w:r>
      <w:r w:rsidRPr="00530A11">
        <w:rPr>
          <w:rFonts w:cs="Times New Roman"/>
          <w:bCs w:val="0"/>
        </w:rPr>
        <w:t>不应采用建筑形体和布置严重不规则的建筑结构。</w:t>
      </w:r>
    </w:p>
    <w:p w14:paraId="6335C2F6" w14:textId="77777777" w:rsidR="00715ABB" w:rsidRPr="0081478A" w:rsidRDefault="00F44390" w:rsidP="006C79E9">
      <w:pPr>
        <w:pStyle w:val="20"/>
      </w:pPr>
      <w:r w:rsidRPr="0081478A">
        <w:t>【条文说明】</w:t>
      </w:r>
    </w:p>
    <w:p w14:paraId="78BAA2CA" w14:textId="77777777" w:rsidR="00C060F4" w:rsidRPr="00530A11" w:rsidRDefault="00C060F4" w:rsidP="00C060F4">
      <w:pPr>
        <w:ind w:firstLine="420"/>
        <w:rPr>
          <w:szCs w:val="24"/>
        </w:rPr>
      </w:pPr>
      <w:r w:rsidRPr="00530A11">
        <w:t>本条适用于各类民用建筑的预评价、评价。</w:t>
      </w:r>
    </w:p>
    <w:p w14:paraId="2B0410FA"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7.2.1</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7.2.1</w:t>
      </w:r>
      <w:r w:rsidRPr="00530A11">
        <w:rPr>
          <w:rFonts w:cs="Times New Roman"/>
        </w:rPr>
        <w:t>条的基础上发展而来。</w:t>
      </w:r>
    </w:p>
    <w:p w14:paraId="560C0862" w14:textId="77777777" w:rsidR="00C060F4" w:rsidRPr="00530A11" w:rsidRDefault="00C060F4" w:rsidP="00C060F4">
      <w:pPr>
        <w:ind w:firstLine="420"/>
        <w:rPr>
          <w:rFonts w:cs="Times New Roman"/>
        </w:rPr>
      </w:pPr>
      <w:r w:rsidRPr="00530A11">
        <w:rPr>
          <w:rFonts w:cs="Times New Roman"/>
        </w:rPr>
        <w:t>建筑方案的规则性对建筑结构的抗震安全性来说十分重要。国家标准《建筑抗震设计规范》</w:t>
      </w:r>
      <w:r w:rsidRPr="00530A11">
        <w:rPr>
          <w:rFonts w:cs="Times New Roman"/>
        </w:rPr>
        <w:t>GB 50011-2010(2016</w:t>
      </w:r>
      <w:r w:rsidRPr="00530A11">
        <w:rPr>
          <w:rFonts w:cs="Times New Roman"/>
        </w:rPr>
        <w:t>年版</w:t>
      </w:r>
      <w:r w:rsidRPr="00530A11">
        <w:rPr>
          <w:rFonts w:cs="Times New Roman"/>
        </w:rPr>
        <w:t>)</w:t>
      </w:r>
      <w:r w:rsidRPr="00530A11">
        <w:rPr>
          <w:rFonts w:cs="Times New Roman"/>
        </w:rPr>
        <w:t>第</w:t>
      </w:r>
      <w:r w:rsidRPr="00530A11">
        <w:rPr>
          <w:rFonts w:cs="Times New Roman"/>
        </w:rPr>
        <w:t>3.4.1</w:t>
      </w:r>
      <w:r w:rsidRPr="00530A11">
        <w:rPr>
          <w:rFonts w:cs="Times New Roman"/>
        </w:rPr>
        <w:t>条</w:t>
      </w:r>
      <w:r w:rsidRPr="00530A11">
        <w:rPr>
          <w:rFonts w:cs="Times New Roman"/>
        </w:rPr>
        <w:t>(</w:t>
      </w:r>
      <w:r w:rsidRPr="00530A11">
        <w:rPr>
          <w:rFonts w:cs="Times New Roman"/>
        </w:rPr>
        <w:t>强制性条文</w:t>
      </w:r>
      <w:r w:rsidRPr="00530A11">
        <w:rPr>
          <w:rFonts w:cs="Times New Roman"/>
        </w:rPr>
        <w:t>)</w:t>
      </w:r>
      <w:r w:rsidRPr="00530A11">
        <w:rPr>
          <w:rFonts w:cs="Times New Roman"/>
        </w:rPr>
        <w:t>明确规定</w:t>
      </w:r>
      <w:r w:rsidRPr="00530A11">
        <w:rPr>
          <w:rFonts w:cs="Times New Roman"/>
        </w:rPr>
        <w:t>“</w:t>
      </w:r>
      <w:r w:rsidRPr="00530A11">
        <w:rPr>
          <w:rFonts w:cs="Times New Roman"/>
        </w:rPr>
        <w:t>严重不规则的建筑不应采用</w:t>
      </w:r>
      <w:r w:rsidRPr="00530A11">
        <w:rPr>
          <w:rFonts w:cs="Times New Roman"/>
        </w:rPr>
        <w:t>”</w:t>
      </w:r>
      <w:r w:rsidRPr="00530A11">
        <w:rPr>
          <w:rFonts w:cs="Times New Roman"/>
        </w:rPr>
        <w:t>。</w:t>
      </w:r>
    </w:p>
    <w:p w14:paraId="7A7AF6E3" w14:textId="77777777" w:rsidR="00B61A1E" w:rsidRPr="006C79E9" w:rsidRDefault="00B61A1E" w:rsidP="006C79E9">
      <w:pPr>
        <w:pStyle w:val="20"/>
      </w:pPr>
      <w:r w:rsidRPr="0081478A">
        <w:lastRenderedPageBreak/>
        <w:t>【评价要点】</w:t>
      </w:r>
    </w:p>
    <w:p w14:paraId="5A5E558E" w14:textId="73E02D3E" w:rsidR="00B61A1E" w:rsidRPr="0081478A" w:rsidRDefault="00B61A1E" w:rsidP="00B61A1E">
      <w:pPr>
        <w:ind w:firstLine="420"/>
        <w:rPr>
          <w:rFonts w:cs="Times New Roman"/>
        </w:rPr>
      </w:pPr>
      <w:r w:rsidRPr="0081478A">
        <w:rPr>
          <w:rFonts w:cs="Times New Roman"/>
        </w:rPr>
        <w:t>严重不规则，指的是形体和布置复杂，存在多项不规则超过《建筑抗震设计规范》</w:t>
      </w:r>
      <w:r w:rsidRPr="0081478A">
        <w:rPr>
          <w:rFonts w:cs="Times New Roman"/>
        </w:rPr>
        <w:t>GB 50011-2010</w:t>
      </w:r>
      <w:r w:rsidRPr="0081478A">
        <w:rPr>
          <w:rFonts w:cs="Times New Roman"/>
        </w:rPr>
        <w:t>（</w:t>
      </w:r>
      <w:r w:rsidRPr="0081478A">
        <w:rPr>
          <w:rFonts w:cs="Times New Roman"/>
        </w:rPr>
        <w:t>2016</w:t>
      </w:r>
      <w:r w:rsidRPr="0081478A">
        <w:rPr>
          <w:rFonts w:cs="Times New Roman"/>
        </w:rPr>
        <w:t>年版）第</w:t>
      </w:r>
      <w:r w:rsidRPr="0081478A">
        <w:rPr>
          <w:rFonts w:cs="Times New Roman"/>
        </w:rPr>
        <w:t>3.4.3</w:t>
      </w:r>
      <w:r w:rsidRPr="0081478A">
        <w:rPr>
          <w:rFonts w:cs="Times New Roman"/>
        </w:rPr>
        <w:t>条及《重庆市超限高层建筑工程界定规定（</w:t>
      </w:r>
      <w:r w:rsidRPr="0081478A">
        <w:rPr>
          <w:rFonts w:cs="Times New Roman"/>
        </w:rPr>
        <w:t>2016</w:t>
      </w:r>
      <w:r w:rsidRPr="0081478A">
        <w:rPr>
          <w:rFonts w:cs="Times New Roman"/>
        </w:rPr>
        <w:t>年版）》第五条规定指标或某项不规则超过规定指标较多。严重不规则的建筑结构，具有现有技术和经济条件不能克服的严重的抗震薄弱环节，可能导致地震破坏的严重后果。对应抗震概念设计中建筑形体规则性分级的</w:t>
      </w:r>
      <w:r w:rsidRPr="0081478A">
        <w:rPr>
          <w:rFonts w:cs="Times New Roman"/>
        </w:rPr>
        <w:t>“</w:t>
      </w:r>
      <w:r w:rsidRPr="0081478A">
        <w:rPr>
          <w:rFonts w:cs="Times New Roman"/>
        </w:rPr>
        <w:t>不规则</w:t>
      </w:r>
      <w:r w:rsidRPr="0081478A">
        <w:rPr>
          <w:rFonts w:cs="Times New Roman"/>
        </w:rPr>
        <w:t>”</w:t>
      </w:r>
      <w:r w:rsidRPr="0081478A">
        <w:rPr>
          <w:rFonts w:cs="Times New Roman"/>
        </w:rPr>
        <w:t>参考表</w:t>
      </w:r>
      <w:r w:rsidRPr="0081478A">
        <w:rPr>
          <w:rFonts w:cs="Times New Roman"/>
        </w:rPr>
        <w:t>7.1</w:t>
      </w:r>
      <w:r w:rsidR="00976285">
        <w:rPr>
          <w:rFonts w:cs="Times New Roman"/>
        </w:rPr>
        <w:t>.8-1</w:t>
      </w:r>
      <w:r w:rsidRPr="0081478A">
        <w:rPr>
          <w:rFonts w:cs="Times New Roman"/>
        </w:rPr>
        <w:t>、</w:t>
      </w:r>
      <w:r w:rsidR="00976285" w:rsidRPr="0081478A">
        <w:rPr>
          <w:rFonts w:cs="Times New Roman"/>
        </w:rPr>
        <w:t>7.1</w:t>
      </w:r>
      <w:r w:rsidR="00976285">
        <w:rPr>
          <w:rFonts w:cs="Times New Roman"/>
        </w:rPr>
        <w:t>.8-2</w:t>
      </w:r>
      <w:r w:rsidRPr="0081478A">
        <w:rPr>
          <w:rFonts w:cs="Times New Roman"/>
        </w:rPr>
        <w:t>。</w:t>
      </w:r>
    </w:p>
    <w:p w14:paraId="7005026C" w14:textId="55A87B04" w:rsidR="00B61A1E" w:rsidRPr="0081478A" w:rsidRDefault="00B61A1E" w:rsidP="00B61A1E">
      <w:pPr>
        <w:ind w:firstLine="420"/>
        <w:rPr>
          <w:rFonts w:cs="Times New Roman"/>
        </w:rPr>
      </w:pPr>
      <w:r w:rsidRPr="0081478A">
        <w:rPr>
          <w:rFonts w:cs="Times New Roman"/>
        </w:rPr>
        <w:t>1</w:t>
      </w:r>
      <w:r w:rsidRPr="0081478A">
        <w:rPr>
          <w:rFonts w:cs="Times New Roman"/>
        </w:rPr>
        <w:t>）混凝土房屋、钢结构房屋和钢</w:t>
      </w:r>
      <w:r w:rsidRPr="0081478A">
        <w:rPr>
          <w:rFonts w:cs="Times New Roman"/>
        </w:rPr>
        <w:t>-</w:t>
      </w:r>
      <w:r w:rsidRPr="0081478A">
        <w:rPr>
          <w:rFonts w:cs="Times New Roman"/>
        </w:rPr>
        <w:t>混凝土混合结构房屋存在表</w:t>
      </w:r>
      <w:r w:rsidR="00ED3417" w:rsidRPr="00ED3417">
        <w:rPr>
          <w:rFonts w:cs="Times New Roman"/>
        </w:rPr>
        <w:t>7.1.8-1</w:t>
      </w:r>
      <w:r w:rsidRPr="0081478A">
        <w:rPr>
          <w:rFonts w:cs="Times New Roman"/>
        </w:rPr>
        <w:t>所列举的某项平面不规则类型或表</w:t>
      </w:r>
      <w:r w:rsidR="00ED3417" w:rsidRPr="00ED3417">
        <w:rPr>
          <w:rFonts w:cs="Times New Roman"/>
        </w:rPr>
        <w:t>7.1.8-</w:t>
      </w:r>
      <w:r w:rsidR="00ED3417">
        <w:rPr>
          <w:rFonts w:cs="Times New Roman"/>
        </w:rPr>
        <w:t>2</w:t>
      </w:r>
      <w:r w:rsidRPr="0081478A">
        <w:rPr>
          <w:rFonts w:cs="Times New Roman"/>
        </w:rPr>
        <w:t>所列举的某项竖向不规则类型以及类似的不规则类型，应属于不规则的建筑。</w:t>
      </w:r>
    </w:p>
    <w:p w14:paraId="0B3AE146" w14:textId="249ACF0F" w:rsidR="00B61A1E" w:rsidRPr="0081478A" w:rsidRDefault="00B61A1E" w:rsidP="00B61A1E">
      <w:pPr>
        <w:pStyle w:val="ae"/>
        <w:rPr>
          <w:rFonts w:cs="Times New Roman"/>
          <w:b w:val="0"/>
          <w:bCs/>
        </w:rPr>
      </w:pPr>
      <w:r w:rsidRPr="0081478A">
        <w:rPr>
          <w:rFonts w:cs="Times New Roman"/>
          <w:b w:val="0"/>
          <w:bCs/>
        </w:rPr>
        <w:t>表</w:t>
      </w:r>
      <w:r w:rsidR="00976285" w:rsidRPr="00976285">
        <w:rPr>
          <w:rFonts w:cs="Times New Roman"/>
          <w:b w:val="0"/>
          <w:bCs/>
        </w:rPr>
        <w:t>7.1.8-1</w:t>
      </w:r>
      <w:r w:rsidRPr="0081478A">
        <w:rPr>
          <w:rFonts w:cs="Times New Roman"/>
          <w:b w:val="0"/>
          <w:bCs/>
        </w:rPr>
        <w:t xml:space="preserve"> </w:t>
      </w:r>
      <w:r w:rsidRPr="0081478A">
        <w:rPr>
          <w:rFonts w:cs="Times New Roman"/>
          <w:b w:val="0"/>
          <w:bCs/>
        </w:rPr>
        <w:t>平面不规则的主要类型</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2"/>
        <w:gridCol w:w="5848"/>
      </w:tblGrid>
      <w:tr w:rsidR="0081478A" w:rsidRPr="0081478A" w14:paraId="3111F89E" w14:textId="77777777" w:rsidTr="00AD3B18">
        <w:trPr>
          <w:jc w:val="center"/>
        </w:trPr>
        <w:tc>
          <w:tcPr>
            <w:tcW w:w="1705" w:type="dxa"/>
            <w:shd w:val="clear" w:color="auto" w:fill="auto"/>
            <w:vAlign w:val="center"/>
          </w:tcPr>
          <w:p w14:paraId="6CE0ED9A"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不规则类型</w:t>
            </w:r>
          </w:p>
        </w:tc>
        <w:tc>
          <w:tcPr>
            <w:tcW w:w="6680" w:type="dxa"/>
            <w:shd w:val="clear" w:color="auto" w:fill="auto"/>
            <w:vAlign w:val="center"/>
          </w:tcPr>
          <w:p w14:paraId="0C082F79"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定义和参考指标</w:t>
            </w:r>
          </w:p>
        </w:tc>
      </w:tr>
      <w:tr w:rsidR="0081478A" w:rsidRPr="0081478A" w14:paraId="58FE2991" w14:textId="77777777" w:rsidTr="00AD3B18">
        <w:trPr>
          <w:jc w:val="center"/>
        </w:trPr>
        <w:tc>
          <w:tcPr>
            <w:tcW w:w="1705" w:type="dxa"/>
            <w:shd w:val="clear" w:color="auto" w:fill="auto"/>
            <w:vAlign w:val="center"/>
          </w:tcPr>
          <w:p w14:paraId="197BA010"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扭转不规则</w:t>
            </w:r>
          </w:p>
        </w:tc>
        <w:tc>
          <w:tcPr>
            <w:tcW w:w="6680" w:type="dxa"/>
            <w:shd w:val="clear" w:color="auto" w:fill="auto"/>
            <w:vAlign w:val="center"/>
          </w:tcPr>
          <w:p w14:paraId="36B85769"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在具有偶然偏心的规定水平力作用下，楼层两端抗侧力构件弹性水平位移或（层间位移）的最大值与平均值的比值大于</w:t>
            </w:r>
            <w:r w:rsidRPr="0081478A">
              <w:rPr>
                <w:rFonts w:cs="Times New Roman"/>
                <w:b w:val="0"/>
                <w:bCs/>
                <w:sz w:val="18"/>
                <w:szCs w:val="18"/>
              </w:rPr>
              <w:t>1.2</w:t>
            </w:r>
          </w:p>
        </w:tc>
      </w:tr>
      <w:tr w:rsidR="0081478A" w:rsidRPr="0081478A" w14:paraId="129A0C74" w14:textId="77777777" w:rsidTr="00AD3B18">
        <w:trPr>
          <w:jc w:val="center"/>
        </w:trPr>
        <w:tc>
          <w:tcPr>
            <w:tcW w:w="1705" w:type="dxa"/>
            <w:shd w:val="clear" w:color="auto" w:fill="auto"/>
            <w:vAlign w:val="center"/>
          </w:tcPr>
          <w:p w14:paraId="298D7206"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凹凸不规则</w:t>
            </w:r>
          </w:p>
        </w:tc>
        <w:tc>
          <w:tcPr>
            <w:tcW w:w="6680" w:type="dxa"/>
            <w:shd w:val="clear" w:color="auto" w:fill="auto"/>
            <w:vAlign w:val="center"/>
          </w:tcPr>
          <w:p w14:paraId="325C1B8F"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平面凹进的尺寸，大于相应投影方向总尺寸的</w:t>
            </w:r>
            <w:r w:rsidRPr="0081478A">
              <w:rPr>
                <w:rFonts w:cs="Times New Roman"/>
                <w:b w:val="0"/>
                <w:bCs/>
                <w:sz w:val="18"/>
                <w:szCs w:val="18"/>
              </w:rPr>
              <w:t>30%</w:t>
            </w:r>
          </w:p>
        </w:tc>
      </w:tr>
      <w:tr w:rsidR="0081478A" w:rsidRPr="0081478A" w14:paraId="0E584191" w14:textId="77777777" w:rsidTr="00AD3B18">
        <w:trPr>
          <w:jc w:val="center"/>
        </w:trPr>
        <w:tc>
          <w:tcPr>
            <w:tcW w:w="1705" w:type="dxa"/>
            <w:shd w:val="clear" w:color="auto" w:fill="auto"/>
            <w:vAlign w:val="center"/>
          </w:tcPr>
          <w:p w14:paraId="3ADC66E7"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楼板局部不连续</w:t>
            </w:r>
          </w:p>
        </w:tc>
        <w:tc>
          <w:tcPr>
            <w:tcW w:w="6680" w:type="dxa"/>
            <w:shd w:val="clear" w:color="auto" w:fill="auto"/>
            <w:vAlign w:val="center"/>
          </w:tcPr>
          <w:p w14:paraId="34647E91"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楼板的尺寸和平面刚度急剧变化，如有效楼板宽度小于该层楼板典型宽度的</w:t>
            </w:r>
            <w:r w:rsidRPr="0081478A">
              <w:rPr>
                <w:rFonts w:cs="Times New Roman"/>
                <w:b w:val="0"/>
                <w:bCs/>
                <w:sz w:val="18"/>
                <w:szCs w:val="18"/>
              </w:rPr>
              <w:t>50%</w:t>
            </w:r>
            <w:r w:rsidRPr="0081478A">
              <w:rPr>
                <w:rFonts w:cs="Times New Roman"/>
                <w:b w:val="0"/>
                <w:bCs/>
                <w:sz w:val="18"/>
                <w:szCs w:val="18"/>
              </w:rPr>
              <w:t>，或开洞面积大于该层楼面面积的</w:t>
            </w:r>
            <w:r w:rsidRPr="0081478A">
              <w:rPr>
                <w:rFonts w:cs="Times New Roman"/>
                <w:b w:val="0"/>
                <w:bCs/>
                <w:sz w:val="18"/>
                <w:szCs w:val="18"/>
              </w:rPr>
              <w:t>30%</w:t>
            </w:r>
            <w:r w:rsidRPr="0081478A">
              <w:rPr>
                <w:rFonts w:cs="Times New Roman"/>
                <w:b w:val="0"/>
                <w:bCs/>
                <w:sz w:val="18"/>
                <w:szCs w:val="18"/>
              </w:rPr>
              <w:t>，或较大的楼层错层</w:t>
            </w:r>
          </w:p>
        </w:tc>
      </w:tr>
    </w:tbl>
    <w:p w14:paraId="6AD816B0" w14:textId="77777777" w:rsidR="00B61A1E" w:rsidRPr="0081478A" w:rsidRDefault="00B61A1E" w:rsidP="00B61A1E">
      <w:pPr>
        <w:pStyle w:val="ae"/>
        <w:rPr>
          <w:rFonts w:cs="Times New Roman"/>
          <w:kern w:val="21"/>
        </w:rPr>
      </w:pPr>
    </w:p>
    <w:p w14:paraId="7EEB54EC" w14:textId="30F34164" w:rsidR="00B61A1E" w:rsidRPr="0081478A" w:rsidRDefault="00B61A1E" w:rsidP="00B61A1E">
      <w:pPr>
        <w:pStyle w:val="ae"/>
        <w:rPr>
          <w:rFonts w:cs="Times New Roman"/>
          <w:b w:val="0"/>
          <w:bCs/>
        </w:rPr>
      </w:pPr>
      <w:r w:rsidRPr="0081478A">
        <w:rPr>
          <w:rFonts w:cs="Times New Roman"/>
          <w:b w:val="0"/>
          <w:bCs/>
        </w:rPr>
        <w:t>表</w:t>
      </w:r>
      <w:r w:rsidR="00976285" w:rsidRPr="00976285">
        <w:rPr>
          <w:rFonts w:cs="Times New Roman"/>
          <w:b w:val="0"/>
          <w:bCs/>
        </w:rPr>
        <w:t>7.1.8-</w:t>
      </w:r>
      <w:r w:rsidR="00976285">
        <w:rPr>
          <w:rFonts w:cs="Times New Roman"/>
          <w:b w:val="0"/>
          <w:bCs/>
        </w:rPr>
        <w:t>2</w:t>
      </w:r>
      <w:r w:rsidRPr="0081478A">
        <w:rPr>
          <w:rFonts w:cs="Times New Roman"/>
          <w:b w:val="0"/>
          <w:bCs/>
        </w:rPr>
        <w:t xml:space="preserve"> </w:t>
      </w:r>
      <w:r w:rsidRPr="0081478A">
        <w:rPr>
          <w:rFonts w:cs="Times New Roman"/>
          <w:b w:val="0"/>
          <w:bCs/>
        </w:rPr>
        <w:t>竖向不规则的主要类型</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7"/>
        <w:gridCol w:w="5863"/>
      </w:tblGrid>
      <w:tr w:rsidR="0081478A" w:rsidRPr="0081478A" w14:paraId="6456893B" w14:textId="77777777" w:rsidTr="00AD3B18">
        <w:trPr>
          <w:jc w:val="center"/>
        </w:trPr>
        <w:tc>
          <w:tcPr>
            <w:tcW w:w="1546" w:type="dxa"/>
            <w:shd w:val="clear" w:color="auto" w:fill="auto"/>
            <w:vAlign w:val="center"/>
          </w:tcPr>
          <w:p w14:paraId="2525CCA9"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不规则类型</w:t>
            </w:r>
          </w:p>
        </w:tc>
        <w:tc>
          <w:tcPr>
            <w:tcW w:w="6040" w:type="dxa"/>
            <w:shd w:val="clear" w:color="auto" w:fill="auto"/>
            <w:vAlign w:val="center"/>
          </w:tcPr>
          <w:p w14:paraId="36292AAA"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定义和参考指标</w:t>
            </w:r>
          </w:p>
        </w:tc>
      </w:tr>
      <w:tr w:rsidR="0081478A" w:rsidRPr="0081478A" w14:paraId="49A8FE22" w14:textId="77777777" w:rsidTr="00AD3B18">
        <w:trPr>
          <w:jc w:val="center"/>
        </w:trPr>
        <w:tc>
          <w:tcPr>
            <w:tcW w:w="1546" w:type="dxa"/>
            <w:shd w:val="clear" w:color="auto" w:fill="auto"/>
            <w:vAlign w:val="center"/>
          </w:tcPr>
          <w:p w14:paraId="66DB9597"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侧向刚度不规则</w:t>
            </w:r>
          </w:p>
        </w:tc>
        <w:tc>
          <w:tcPr>
            <w:tcW w:w="6040" w:type="dxa"/>
            <w:shd w:val="clear" w:color="auto" w:fill="auto"/>
            <w:vAlign w:val="center"/>
          </w:tcPr>
          <w:p w14:paraId="1106B70C"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该层的侧向刚度小于相邻上一层的</w:t>
            </w:r>
            <w:r w:rsidRPr="0081478A">
              <w:rPr>
                <w:rFonts w:cs="Times New Roman"/>
                <w:b w:val="0"/>
                <w:bCs/>
                <w:sz w:val="18"/>
                <w:szCs w:val="18"/>
              </w:rPr>
              <w:t>70%</w:t>
            </w:r>
            <w:r w:rsidRPr="0081478A">
              <w:rPr>
                <w:rFonts w:cs="Times New Roman"/>
                <w:b w:val="0"/>
                <w:bCs/>
                <w:sz w:val="18"/>
                <w:szCs w:val="18"/>
              </w:rPr>
              <w:t>，或小于其上相邻三个楼层侧向刚度平均值的</w:t>
            </w:r>
            <w:r w:rsidRPr="0081478A">
              <w:rPr>
                <w:rFonts w:cs="Times New Roman"/>
                <w:b w:val="0"/>
                <w:bCs/>
                <w:sz w:val="18"/>
                <w:szCs w:val="18"/>
              </w:rPr>
              <w:t>80%</w:t>
            </w:r>
            <w:r w:rsidRPr="0081478A">
              <w:rPr>
                <w:rFonts w:cs="Times New Roman"/>
                <w:b w:val="0"/>
                <w:bCs/>
                <w:sz w:val="18"/>
                <w:szCs w:val="18"/>
              </w:rPr>
              <w:t>；除顶层或出屋面小建筑外，局部收进的水平向尺寸大于相邻下一层的</w:t>
            </w:r>
            <w:r w:rsidRPr="0081478A">
              <w:rPr>
                <w:rFonts w:cs="Times New Roman"/>
                <w:b w:val="0"/>
                <w:bCs/>
                <w:sz w:val="18"/>
                <w:szCs w:val="18"/>
              </w:rPr>
              <w:t>25%</w:t>
            </w:r>
          </w:p>
        </w:tc>
      </w:tr>
      <w:tr w:rsidR="0081478A" w:rsidRPr="0081478A" w14:paraId="21F11AC7" w14:textId="77777777" w:rsidTr="00AD3B18">
        <w:trPr>
          <w:jc w:val="center"/>
        </w:trPr>
        <w:tc>
          <w:tcPr>
            <w:tcW w:w="1546" w:type="dxa"/>
            <w:shd w:val="clear" w:color="auto" w:fill="auto"/>
            <w:vAlign w:val="center"/>
          </w:tcPr>
          <w:p w14:paraId="732A2FB9"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竖向抗侧力构件不连续</w:t>
            </w:r>
          </w:p>
        </w:tc>
        <w:tc>
          <w:tcPr>
            <w:tcW w:w="6040" w:type="dxa"/>
            <w:shd w:val="clear" w:color="auto" w:fill="auto"/>
            <w:vAlign w:val="center"/>
          </w:tcPr>
          <w:p w14:paraId="3475B016"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竖向抗侧力构件（柱、抗震墙、抗震支撑）的内力由水平转换构件（梁、桁架等）向下传递</w:t>
            </w:r>
          </w:p>
        </w:tc>
      </w:tr>
      <w:tr w:rsidR="0081478A" w:rsidRPr="0081478A" w14:paraId="2D2CBE25" w14:textId="77777777" w:rsidTr="00AD3B18">
        <w:trPr>
          <w:jc w:val="center"/>
        </w:trPr>
        <w:tc>
          <w:tcPr>
            <w:tcW w:w="1546" w:type="dxa"/>
            <w:shd w:val="clear" w:color="auto" w:fill="auto"/>
            <w:vAlign w:val="center"/>
          </w:tcPr>
          <w:p w14:paraId="399D1584"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楼层承载力突变</w:t>
            </w:r>
          </w:p>
        </w:tc>
        <w:tc>
          <w:tcPr>
            <w:tcW w:w="6040" w:type="dxa"/>
            <w:shd w:val="clear" w:color="auto" w:fill="auto"/>
            <w:vAlign w:val="center"/>
          </w:tcPr>
          <w:p w14:paraId="5A4F3EE5" w14:textId="77777777" w:rsidR="00B61A1E" w:rsidRPr="0081478A" w:rsidRDefault="00B61A1E" w:rsidP="00B61A1E">
            <w:pPr>
              <w:pStyle w:val="ae"/>
              <w:rPr>
                <w:rFonts w:cs="Times New Roman"/>
                <w:b w:val="0"/>
                <w:bCs/>
                <w:sz w:val="18"/>
                <w:szCs w:val="18"/>
              </w:rPr>
            </w:pPr>
            <w:r w:rsidRPr="0081478A">
              <w:rPr>
                <w:rFonts w:cs="Times New Roman"/>
                <w:b w:val="0"/>
                <w:bCs/>
                <w:sz w:val="18"/>
                <w:szCs w:val="18"/>
              </w:rPr>
              <w:t>抗侧力结构的层间受剪承载力小于相邻上一楼层的</w:t>
            </w:r>
            <w:r w:rsidRPr="0081478A">
              <w:rPr>
                <w:rFonts w:cs="Times New Roman"/>
                <w:b w:val="0"/>
                <w:bCs/>
                <w:sz w:val="18"/>
                <w:szCs w:val="18"/>
              </w:rPr>
              <w:t>80%</w:t>
            </w:r>
          </w:p>
        </w:tc>
      </w:tr>
    </w:tbl>
    <w:p w14:paraId="28875AF3" w14:textId="77777777" w:rsidR="00B61A1E" w:rsidRPr="0081478A" w:rsidRDefault="00B61A1E" w:rsidP="00B61A1E">
      <w:pPr>
        <w:topLinePunct/>
        <w:adjustRightInd w:val="0"/>
        <w:snapToGrid w:val="0"/>
        <w:spacing w:line="120" w:lineRule="exact"/>
        <w:ind w:firstLine="420"/>
        <w:textAlignment w:val="center"/>
        <w:rPr>
          <w:rFonts w:cs="Times New Roman"/>
          <w:kern w:val="21"/>
          <w:szCs w:val="21"/>
          <w:highlight w:val="yellow"/>
        </w:rPr>
      </w:pPr>
    </w:p>
    <w:p w14:paraId="6BB8D705" w14:textId="77777777" w:rsidR="00B61A1E" w:rsidRPr="0081478A" w:rsidRDefault="00B61A1E" w:rsidP="00B61A1E">
      <w:pPr>
        <w:ind w:firstLine="420"/>
        <w:rPr>
          <w:rFonts w:cs="Times New Roman"/>
          <w:kern w:val="21"/>
        </w:rPr>
      </w:pPr>
      <w:r w:rsidRPr="0081478A">
        <w:rPr>
          <w:rFonts w:cs="Times New Roman"/>
        </w:rPr>
        <w:t>2</w:t>
      </w:r>
      <w:r w:rsidRPr="0081478A">
        <w:rPr>
          <w:rFonts w:cs="Times New Roman"/>
        </w:rPr>
        <w:t>）砌体房屋、单层工业厂房、单层空旷房屋、大跨屋盖建筑和地下建筑的平面和竖向不规则性的划分，应符合《建筑抗震设计规范》</w:t>
      </w:r>
      <w:r w:rsidRPr="0081478A">
        <w:rPr>
          <w:rFonts w:cs="Times New Roman"/>
        </w:rPr>
        <w:t>GB 50011-2010</w:t>
      </w:r>
      <w:r w:rsidRPr="0081478A">
        <w:rPr>
          <w:rFonts w:cs="Times New Roman"/>
        </w:rPr>
        <w:t>（</w:t>
      </w:r>
      <w:r w:rsidRPr="0081478A">
        <w:rPr>
          <w:rFonts w:cs="Times New Roman"/>
        </w:rPr>
        <w:t>2016</w:t>
      </w:r>
      <w:r w:rsidRPr="0081478A">
        <w:rPr>
          <w:rFonts w:cs="Times New Roman"/>
        </w:rPr>
        <w:t>年版）有关章节的规定。</w:t>
      </w:r>
    </w:p>
    <w:p w14:paraId="2D1DC43E" w14:textId="77777777" w:rsidR="00715ABB" w:rsidRPr="006C79E9" w:rsidRDefault="00F44390" w:rsidP="006C79E9">
      <w:pPr>
        <w:pStyle w:val="20"/>
      </w:pPr>
      <w:r w:rsidRPr="0081478A">
        <w:t>【评价方法】</w:t>
      </w:r>
    </w:p>
    <w:p w14:paraId="7F0C8701"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lastRenderedPageBreak/>
        <w:t>预评价查阅相关设计文件(建筑图、结构施工图)、建筑形体规则性判定报告；评价查阅相关竣工图、建筑形体规则性判定报告。</w:t>
      </w:r>
    </w:p>
    <w:p w14:paraId="5B1855E8" w14:textId="77777777" w:rsidR="00715ABB" w:rsidRPr="00E905A0" w:rsidRDefault="00715ABB">
      <w:pPr>
        <w:ind w:firstLine="420"/>
        <w:rPr>
          <w:rFonts w:cs="Times New Roman"/>
        </w:rPr>
      </w:pPr>
    </w:p>
    <w:p w14:paraId="5DC62B85" w14:textId="77777777" w:rsidR="00841AA3" w:rsidRPr="00530A11" w:rsidRDefault="00841AA3" w:rsidP="00841AA3">
      <w:pPr>
        <w:pStyle w:val="4"/>
        <w:rPr>
          <w:rFonts w:cs="Times New Roman"/>
          <w:bCs w:val="0"/>
        </w:rPr>
      </w:pPr>
      <w:r w:rsidRPr="00530A11">
        <w:rPr>
          <w:rFonts w:cs="Times New Roman"/>
          <w:bCs w:val="0"/>
        </w:rPr>
        <w:t xml:space="preserve">7.1.9 </w:t>
      </w:r>
      <w:r w:rsidRPr="00530A11">
        <w:rPr>
          <w:rFonts w:cs="Times New Roman"/>
          <w:bCs w:val="0"/>
        </w:rPr>
        <w:t>建筑造型要素应简约，应无大量装饰性构件，并应符合下列规定：</w:t>
      </w:r>
    </w:p>
    <w:p w14:paraId="1680655C"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 xml:space="preserve">1 </w:t>
      </w:r>
      <w:r w:rsidRPr="00841AA3">
        <w:rPr>
          <w:rFonts w:ascii="Times New Roman" w:hAnsi="Times New Roman" w:cs="Times New Roman"/>
          <w:bCs/>
          <w:color w:val="auto"/>
        </w:rPr>
        <w:t>住宅建筑的装饰性构件造价占建筑总造价的比例不应大于</w:t>
      </w:r>
      <w:r w:rsidRPr="00841AA3">
        <w:rPr>
          <w:rFonts w:ascii="Times New Roman" w:hAnsi="Times New Roman" w:cs="Times New Roman"/>
          <w:bCs/>
          <w:color w:val="auto"/>
        </w:rPr>
        <w:t>2</w:t>
      </w:r>
      <w:r w:rsidRPr="00841AA3">
        <w:rPr>
          <w:rFonts w:ascii="Times New Roman" w:hAnsi="Times New Roman" w:cs="Times New Roman"/>
          <w:bCs/>
          <w:color w:val="auto"/>
        </w:rPr>
        <w:t>％；</w:t>
      </w:r>
    </w:p>
    <w:p w14:paraId="56BD3E4E"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 xml:space="preserve">2 </w:t>
      </w:r>
      <w:r w:rsidRPr="00841AA3">
        <w:rPr>
          <w:rFonts w:ascii="Times New Roman" w:hAnsi="Times New Roman" w:cs="Times New Roman"/>
          <w:bCs/>
          <w:color w:val="auto"/>
        </w:rPr>
        <w:t>公共建筑的装饰性构件造价占建筑总造价的比例不应大于</w:t>
      </w:r>
      <w:r w:rsidRPr="00841AA3">
        <w:rPr>
          <w:rFonts w:ascii="Times New Roman" w:hAnsi="Times New Roman" w:cs="Times New Roman"/>
          <w:bCs/>
          <w:color w:val="auto"/>
        </w:rPr>
        <w:t>1</w:t>
      </w:r>
      <w:r w:rsidRPr="00841AA3">
        <w:rPr>
          <w:rFonts w:ascii="Times New Roman" w:hAnsi="Times New Roman" w:cs="Times New Roman"/>
          <w:bCs/>
          <w:color w:val="auto"/>
        </w:rPr>
        <w:t>％。</w:t>
      </w:r>
    </w:p>
    <w:p w14:paraId="3B0C8FC3" w14:textId="77777777" w:rsidR="00715ABB" w:rsidRPr="0081478A" w:rsidRDefault="00F44390" w:rsidP="006C79E9">
      <w:pPr>
        <w:pStyle w:val="20"/>
      </w:pPr>
      <w:r w:rsidRPr="0081478A">
        <w:t>【条文说明】</w:t>
      </w:r>
    </w:p>
    <w:p w14:paraId="4B1556B4" w14:textId="77777777" w:rsidR="00C060F4" w:rsidRPr="00530A11" w:rsidRDefault="00C060F4" w:rsidP="00C060F4">
      <w:pPr>
        <w:ind w:firstLine="420"/>
        <w:rPr>
          <w:szCs w:val="24"/>
        </w:rPr>
      </w:pPr>
      <w:r w:rsidRPr="00530A11">
        <w:t>本条适用于各类民用建筑的预评价、评价。</w:t>
      </w:r>
    </w:p>
    <w:p w14:paraId="0CAC2730" w14:textId="77777777"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7.1.3</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7.1.3</w:t>
      </w:r>
      <w:r w:rsidRPr="00530A11">
        <w:rPr>
          <w:rFonts w:cs="Times New Roman"/>
        </w:rPr>
        <w:t>条的基础上发展而来。</w:t>
      </w:r>
    </w:p>
    <w:p w14:paraId="43681037" w14:textId="4EC3C5E4" w:rsidR="00C060F4" w:rsidRPr="00530A11" w:rsidRDefault="00C060F4" w:rsidP="00C060F4">
      <w:pPr>
        <w:ind w:firstLine="420"/>
        <w:rPr>
          <w:rFonts w:cs="Times New Roman"/>
        </w:rPr>
      </w:pPr>
      <w:r w:rsidRPr="00530A11">
        <w:rPr>
          <w:rFonts w:cs="Times New Roman"/>
        </w:rPr>
        <w:t>设置大量的没有功能的纯装饰性构件，不符合绿色建筑节约资源的要求。鼓励使用装饰和功能一体化构件，在满足建筑功能的前提之下，体现美学效果、节约资源。同时，设置屋顶装饰性构件时应特别注意鞭梢效应等抗震问题。对于不具备遮阳、导光、导风、载物、辅助绿化等作用的飘板、格栅、构架和塔、球、曲面等装饰性构件</w:t>
      </w:r>
      <w:r w:rsidR="003E2C8A">
        <w:rPr>
          <w:rFonts w:cs="Times New Roman" w:hint="eastAsia"/>
        </w:rPr>
        <w:t>或超出安全防护高度</w:t>
      </w:r>
      <w:r w:rsidR="003E2C8A">
        <w:rPr>
          <w:rFonts w:cs="Times New Roman" w:hint="eastAsia"/>
        </w:rPr>
        <w:t>2</w:t>
      </w:r>
      <w:r w:rsidR="003E2C8A">
        <w:rPr>
          <w:rFonts w:cs="Times New Roman" w:hint="eastAsia"/>
        </w:rPr>
        <w:t>倍的女儿墙</w:t>
      </w:r>
      <w:r w:rsidRPr="00530A11">
        <w:rPr>
          <w:rFonts w:cs="Times New Roman"/>
        </w:rPr>
        <w:t>，应对其造价进行控制。为更好地贯彻新时期建筑方针</w:t>
      </w:r>
      <w:r w:rsidRPr="00530A11">
        <w:rPr>
          <w:rFonts w:cs="Times New Roman"/>
        </w:rPr>
        <w:t>“</w:t>
      </w:r>
      <w:r w:rsidRPr="00530A11">
        <w:rPr>
          <w:rFonts w:cs="Times New Roman"/>
        </w:rPr>
        <w:t>适用、经济、绿色、美观</w:t>
      </w:r>
      <w:r w:rsidRPr="00530A11">
        <w:rPr>
          <w:rFonts w:cs="Times New Roman"/>
        </w:rPr>
        <w:t>”</w:t>
      </w:r>
      <w:r w:rsidRPr="00530A11">
        <w:rPr>
          <w:rFonts w:cs="Times New Roman"/>
        </w:rPr>
        <w:t>，兼顾公共建筑尤其是商业及文娱建筑的特殊性，本次对其装饰性构件造价比定为不应大于</w:t>
      </w:r>
      <w:r w:rsidRPr="00530A11">
        <w:rPr>
          <w:rFonts w:cs="Times New Roman"/>
        </w:rPr>
        <w:t>1</w:t>
      </w:r>
      <w:r w:rsidRPr="00530A11">
        <w:rPr>
          <w:rFonts w:cs="Times New Roman"/>
        </w:rPr>
        <w:t>％。</w:t>
      </w:r>
    </w:p>
    <w:p w14:paraId="7045B0BC" w14:textId="77777777" w:rsidR="00B61A1E" w:rsidRPr="006C79E9" w:rsidRDefault="00B61A1E" w:rsidP="006C79E9">
      <w:pPr>
        <w:pStyle w:val="20"/>
      </w:pPr>
      <w:r w:rsidRPr="0081478A">
        <w:t>【评价要点】</w:t>
      </w:r>
    </w:p>
    <w:p w14:paraId="3C99FF6D" w14:textId="77777777" w:rsidR="00B61A1E" w:rsidRPr="0081478A" w:rsidRDefault="00B61A1E" w:rsidP="00B61A1E">
      <w:pPr>
        <w:ind w:firstLine="420"/>
        <w:rPr>
          <w:rFonts w:cs="Times New Roman"/>
        </w:rPr>
      </w:pPr>
      <w:r w:rsidRPr="0081478A">
        <w:rPr>
          <w:rFonts w:cs="Times New Roman"/>
        </w:rPr>
        <w:t>居住建筑：纯装饰性构件造价不高于所在单栋建筑总造价的</w:t>
      </w:r>
      <w:r w:rsidRPr="0081478A">
        <w:rPr>
          <w:rFonts w:cs="Times New Roman"/>
        </w:rPr>
        <w:t>2%</w:t>
      </w:r>
      <w:r w:rsidRPr="0081478A">
        <w:rPr>
          <w:rFonts w:cs="Times New Roman"/>
        </w:rPr>
        <w:t>。</w:t>
      </w:r>
    </w:p>
    <w:p w14:paraId="7AE8DE6C" w14:textId="478B8A47" w:rsidR="00B61A1E" w:rsidRDefault="00B61A1E" w:rsidP="00B61A1E">
      <w:pPr>
        <w:ind w:firstLine="420"/>
        <w:rPr>
          <w:rFonts w:cs="Times New Roman"/>
        </w:rPr>
      </w:pPr>
      <w:r w:rsidRPr="0081478A">
        <w:rPr>
          <w:rFonts w:cs="Times New Roman"/>
        </w:rPr>
        <w:t>公共建筑：纯装饰性构件造价不高于所在单栋建筑总造价的</w:t>
      </w:r>
      <w:r w:rsidR="00976285">
        <w:rPr>
          <w:rFonts w:cs="Times New Roman"/>
        </w:rPr>
        <w:t>1</w:t>
      </w:r>
      <w:r w:rsidRPr="0081478A">
        <w:rPr>
          <w:rFonts w:cs="Times New Roman"/>
        </w:rPr>
        <w:t>%</w:t>
      </w:r>
      <w:r w:rsidRPr="0081478A">
        <w:rPr>
          <w:rFonts w:cs="Times New Roman"/>
        </w:rPr>
        <w:t>。</w:t>
      </w:r>
    </w:p>
    <w:p w14:paraId="4F44A673" w14:textId="5C661AC8" w:rsidR="003E2C8A" w:rsidRPr="0081478A" w:rsidRDefault="003E2C8A" w:rsidP="00B61A1E">
      <w:pPr>
        <w:ind w:firstLine="420"/>
        <w:rPr>
          <w:rFonts w:cs="Times New Roman"/>
        </w:rPr>
      </w:pPr>
      <w:r>
        <w:rPr>
          <w:rFonts w:cs="Times New Roman" w:hint="eastAsia"/>
        </w:rPr>
        <w:t>计算时，分子为各类装饰性构件造价之和，分母为单栋建筑的土建、安全工程总造价，不包括征地、装修等费用。</w:t>
      </w:r>
    </w:p>
    <w:p w14:paraId="52A9CFAB" w14:textId="77777777" w:rsidR="00715ABB" w:rsidRPr="006C79E9" w:rsidRDefault="00F44390" w:rsidP="006C79E9">
      <w:pPr>
        <w:pStyle w:val="20"/>
      </w:pPr>
      <w:r w:rsidRPr="0081478A">
        <w:t>【评价方法】</w:t>
      </w:r>
    </w:p>
    <w:p w14:paraId="1CE825DF" w14:textId="6A8DD58D"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预评价查阅相关设计文件，有装饰性构件的应提供其功能说明书和造价计算书</w:t>
      </w:r>
      <w:r w:rsidR="003E2C8A">
        <w:rPr>
          <w:rFonts w:cs="Times New Roman" w:hint="eastAsia"/>
          <w:b w:val="0"/>
        </w:rPr>
        <w:t>，重点审查女儿墙高度</w:t>
      </w:r>
      <w:r w:rsidR="001739D3">
        <w:rPr>
          <w:rFonts w:cs="Times New Roman" w:hint="eastAsia"/>
          <w:b w:val="0"/>
        </w:rPr>
        <w:t>、计算数据来源</w:t>
      </w:r>
      <w:r w:rsidRPr="00530A11">
        <w:rPr>
          <w:rFonts w:cs="Times New Roman"/>
          <w:b w:val="0"/>
        </w:rPr>
        <w:t>；评价查阅相关竣工图和造价计算书</w:t>
      </w:r>
      <w:r w:rsidR="003E2C8A">
        <w:rPr>
          <w:rFonts w:cs="Times New Roman" w:hint="eastAsia"/>
          <w:b w:val="0"/>
        </w:rPr>
        <w:t>，重点审查女儿墙高度</w:t>
      </w:r>
      <w:r w:rsidR="001739D3">
        <w:rPr>
          <w:rFonts w:cs="Times New Roman" w:hint="eastAsia"/>
          <w:b w:val="0"/>
        </w:rPr>
        <w:t>、计算数据来源</w:t>
      </w:r>
      <w:r w:rsidRPr="00530A11">
        <w:rPr>
          <w:rFonts w:cs="Times New Roman"/>
          <w:b w:val="0"/>
        </w:rPr>
        <w:t>。</w:t>
      </w:r>
    </w:p>
    <w:p w14:paraId="6328B7F8" w14:textId="77777777" w:rsidR="00715ABB" w:rsidRPr="00E905A0" w:rsidRDefault="00715ABB">
      <w:pPr>
        <w:snapToGrid w:val="0"/>
        <w:ind w:firstLineChars="0" w:firstLine="0"/>
        <w:jc w:val="left"/>
        <w:rPr>
          <w:rFonts w:cs="Times New Roman"/>
          <w:b/>
          <w:bCs/>
          <w:szCs w:val="24"/>
        </w:rPr>
      </w:pPr>
    </w:p>
    <w:p w14:paraId="44D5C59C" w14:textId="77777777" w:rsidR="00841AA3" w:rsidRPr="00530A11" w:rsidRDefault="00841AA3" w:rsidP="00841AA3">
      <w:pPr>
        <w:pStyle w:val="4"/>
        <w:rPr>
          <w:rFonts w:cs="Times New Roman"/>
          <w:bCs w:val="0"/>
        </w:rPr>
      </w:pPr>
      <w:r w:rsidRPr="00530A11">
        <w:rPr>
          <w:rFonts w:cs="Times New Roman"/>
          <w:bCs w:val="0"/>
        </w:rPr>
        <w:t xml:space="preserve">7.1.10 </w:t>
      </w:r>
      <w:r w:rsidRPr="00530A11">
        <w:rPr>
          <w:rFonts w:cs="Times New Roman"/>
          <w:bCs w:val="0"/>
        </w:rPr>
        <w:t>选用的建筑材料应符合下列规定：</w:t>
      </w:r>
    </w:p>
    <w:p w14:paraId="580AB94D"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1 500km</w:t>
      </w:r>
      <w:r w:rsidRPr="00841AA3">
        <w:rPr>
          <w:rFonts w:ascii="Times New Roman" w:hAnsi="Times New Roman" w:cs="Times New Roman"/>
          <w:bCs/>
          <w:color w:val="auto"/>
        </w:rPr>
        <w:t>以内生产的建筑材料重量占建筑材料总重量的比例应大于</w:t>
      </w:r>
      <w:r w:rsidRPr="00841AA3">
        <w:rPr>
          <w:rFonts w:ascii="Times New Roman" w:hAnsi="Times New Roman" w:cs="Times New Roman"/>
          <w:bCs/>
          <w:color w:val="auto"/>
        </w:rPr>
        <w:t>60</w:t>
      </w:r>
      <w:r w:rsidRPr="00841AA3">
        <w:rPr>
          <w:rFonts w:ascii="Times New Roman" w:hAnsi="Times New Roman" w:cs="Times New Roman"/>
          <w:bCs/>
          <w:color w:val="auto"/>
        </w:rPr>
        <w:t>％；</w:t>
      </w:r>
    </w:p>
    <w:p w14:paraId="2E73B1B0" w14:textId="77777777" w:rsidR="00841AA3" w:rsidRPr="00841AA3" w:rsidRDefault="00841AA3" w:rsidP="00841AA3">
      <w:pPr>
        <w:pStyle w:val="20"/>
        <w:ind w:firstLineChars="100" w:firstLine="211"/>
        <w:rPr>
          <w:rFonts w:ascii="Times New Roman" w:hAnsi="Times New Roman" w:cs="Times New Roman"/>
          <w:bCs/>
          <w:color w:val="auto"/>
        </w:rPr>
      </w:pPr>
      <w:r w:rsidRPr="00841AA3">
        <w:rPr>
          <w:rFonts w:ascii="Times New Roman" w:hAnsi="Times New Roman" w:cs="Times New Roman"/>
          <w:bCs/>
          <w:color w:val="auto"/>
        </w:rPr>
        <w:t xml:space="preserve">2 </w:t>
      </w:r>
      <w:r w:rsidRPr="00841AA3">
        <w:rPr>
          <w:rFonts w:ascii="Times New Roman" w:hAnsi="Times New Roman" w:cs="Times New Roman"/>
          <w:bCs/>
          <w:color w:val="auto"/>
        </w:rPr>
        <w:t>现浇混凝土应采用预拌混凝土，建筑砂浆应采用预拌砂浆。</w:t>
      </w:r>
    </w:p>
    <w:p w14:paraId="6A929A1A" w14:textId="77777777" w:rsidR="00715ABB" w:rsidRPr="0081478A" w:rsidRDefault="00F44390" w:rsidP="006C79E9">
      <w:pPr>
        <w:pStyle w:val="20"/>
      </w:pPr>
      <w:r w:rsidRPr="0081478A">
        <w:lastRenderedPageBreak/>
        <w:t>【条文说明】</w:t>
      </w:r>
    </w:p>
    <w:p w14:paraId="4469B75E" w14:textId="77777777" w:rsidR="00C060F4" w:rsidRPr="00530A11" w:rsidRDefault="00C060F4" w:rsidP="00C060F4">
      <w:pPr>
        <w:ind w:firstLine="420"/>
        <w:rPr>
          <w:szCs w:val="24"/>
        </w:rPr>
      </w:pPr>
      <w:r w:rsidRPr="00530A11">
        <w:t>本条适用于各类民用建筑的预评价、评价。</w:t>
      </w:r>
    </w:p>
    <w:p w14:paraId="26AC62E6" w14:textId="77777777" w:rsidR="00C060F4" w:rsidRPr="00530A11" w:rsidRDefault="00C060F4" w:rsidP="00C060F4">
      <w:pPr>
        <w:ind w:firstLine="420"/>
        <w:rPr>
          <w:rFonts w:cs="Times New Roman"/>
        </w:rPr>
      </w:pPr>
      <w:r w:rsidRPr="00530A11">
        <w:rPr>
          <w:rFonts w:cs="Times New Roman"/>
        </w:rPr>
        <w:t>第</w:t>
      </w:r>
      <w:r w:rsidRPr="00530A11">
        <w:rPr>
          <w:rFonts w:cs="Times New Roman"/>
        </w:rPr>
        <w:t>1</w:t>
      </w:r>
      <w:r w:rsidRPr="00530A11">
        <w:rPr>
          <w:rFonts w:cs="Times New Roman"/>
        </w:rPr>
        <w:t>款预评价阶段不参评；特殊地区因客观原因无法达到者提供相关说明可不参评。第</w:t>
      </w:r>
      <w:r w:rsidRPr="00530A11">
        <w:rPr>
          <w:rFonts w:cs="Times New Roman"/>
        </w:rPr>
        <w:t>2</w:t>
      </w:r>
      <w:r w:rsidRPr="00530A11">
        <w:rPr>
          <w:rFonts w:cs="Times New Roman"/>
        </w:rPr>
        <w:t>款，若项目所在地无预拌混凝土或砂浆采购来源者提供相关说明可不参评。</w:t>
      </w:r>
    </w:p>
    <w:p w14:paraId="3E5ACB8D" w14:textId="223BDB02" w:rsidR="00C060F4" w:rsidRPr="00530A11" w:rsidRDefault="00C060F4" w:rsidP="00C060F4">
      <w:pPr>
        <w:ind w:firstLine="420"/>
        <w:rPr>
          <w:rFonts w:cs="Times New Roman"/>
          <w:kern w:val="44"/>
          <w:szCs w:val="24"/>
        </w:rPr>
      </w:pPr>
      <w:r w:rsidRPr="00530A11">
        <w:rPr>
          <w:rFonts w:cs="Times New Roman"/>
        </w:rPr>
        <w:t>本条沿引国家《绿色建筑评价标准》</w:t>
      </w:r>
      <w:r w:rsidRPr="00530A11">
        <w:rPr>
          <w:rFonts w:cs="Times New Roman"/>
        </w:rPr>
        <w:t>GB/T 50378-2019</w:t>
      </w:r>
      <w:r w:rsidRPr="00530A11">
        <w:rPr>
          <w:rFonts w:cs="Times New Roman" w:hint="eastAsia"/>
        </w:rPr>
        <w:t>，并对条文说明进行了局部修改和补充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kern w:val="44"/>
          <w:szCs w:val="24"/>
        </w:rPr>
        <w:t>7.2.7</w:t>
      </w:r>
      <w:r w:rsidRPr="00530A11">
        <w:rPr>
          <w:rFonts w:cs="Times New Roman"/>
          <w:kern w:val="44"/>
          <w:szCs w:val="24"/>
        </w:rPr>
        <w:t>条、第</w:t>
      </w:r>
      <w:r w:rsidRPr="00530A11">
        <w:rPr>
          <w:rFonts w:cs="Times New Roman"/>
          <w:kern w:val="44"/>
          <w:szCs w:val="24"/>
        </w:rPr>
        <w:t>7.2.8</w:t>
      </w:r>
      <w:r w:rsidRPr="00530A11">
        <w:rPr>
          <w:rFonts w:cs="Times New Roman"/>
          <w:kern w:val="44"/>
          <w:szCs w:val="24"/>
        </w:rPr>
        <w:t>条和第</w:t>
      </w:r>
      <w:r w:rsidRPr="00530A11">
        <w:rPr>
          <w:rFonts w:cs="Times New Roman"/>
          <w:kern w:val="44"/>
          <w:szCs w:val="24"/>
        </w:rPr>
        <w:t>7.2.9</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7.2.9</w:t>
      </w:r>
      <w:r w:rsidRPr="00530A11">
        <w:rPr>
          <w:rFonts w:cs="Times New Roman"/>
        </w:rPr>
        <w:t>条、第</w:t>
      </w:r>
      <w:r w:rsidRPr="00530A11">
        <w:rPr>
          <w:rFonts w:cs="Times New Roman"/>
        </w:rPr>
        <w:t>7.2.10</w:t>
      </w:r>
      <w:r w:rsidRPr="00530A11">
        <w:rPr>
          <w:rFonts w:cs="Times New Roman"/>
        </w:rPr>
        <w:t>条</w:t>
      </w:r>
      <w:bookmarkStart w:id="140" w:name="_Hlk39417639"/>
      <w:r w:rsidR="00C0214C">
        <w:rPr>
          <w:rFonts w:cs="Times New Roman" w:hint="eastAsia"/>
        </w:rPr>
        <w:t>和</w:t>
      </w:r>
      <w:r w:rsidR="00C0214C" w:rsidRPr="00C0214C">
        <w:rPr>
          <w:rFonts w:cs="Times New Roman"/>
        </w:rPr>
        <w:t>7.2.17</w:t>
      </w:r>
      <w:r w:rsidR="00C0214C">
        <w:rPr>
          <w:rFonts w:cs="Times New Roman" w:hint="eastAsia"/>
        </w:rPr>
        <w:t>条</w:t>
      </w:r>
      <w:bookmarkEnd w:id="140"/>
      <w:r w:rsidRPr="00530A11">
        <w:rPr>
          <w:rFonts w:cs="Times New Roman"/>
        </w:rPr>
        <w:t>的基础上发展而来。</w:t>
      </w:r>
      <w:r w:rsidRPr="00530A11">
        <w:rPr>
          <w:rFonts w:cs="Times New Roman"/>
        </w:rPr>
        <w:tab/>
      </w:r>
    </w:p>
    <w:p w14:paraId="3C3FAA54" w14:textId="77777777" w:rsidR="00C060F4" w:rsidRPr="00530A11" w:rsidRDefault="00C060F4" w:rsidP="00C060F4">
      <w:pPr>
        <w:ind w:firstLine="420"/>
        <w:rPr>
          <w:rFonts w:cs="Times New Roman"/>
        </w:rPr>
      </w:pPr>
      <w:r w:rsidRPr="00530A11">
        <w:rPr>
          <w:rFonts w:cs="Times New Roman"/>
        </w:rPr>
        <w:t>第</w:t>
      </w:r>
      <w:r w:rsidRPr="00530A11">
        <w:rPr>
          <w:rFonts w:cs="Times New Roman"/>
        </w:rPr>
        <w:t>1</w:t>
      </w:r>
      <w:r w:rsidRPr="00530A11">
        <w:rPr>
          <w:rFonts w:cs="Times New Roman"/>
        </w:rPr>
        <w:t>款，鼓励选用本地化建材，是减少运输过程的资源和能源消耗、降低环境污染的重要手段之一。本条要求就地取材制成的建筑产品所占的比例应大于</w:t>
      </w:r>
      <w:r w:rsidRPr="00530A11">
        <w:rPr>
          <w:rFonts w:cs="Times New Roman"/>
        </w:rPr>
        <w:t>60</w:t>
      </w:r>
      <w:r w:rsidRPr="00530A11">
        <w:rPr>
          <w:rFonts w:cs="Times New Roman"/>
        </w:rPr>
        <w:t>％。</w:t>
      </w:r>
      <w:r w:rsidRPr="00530A11">
        <w:rPr>
          <w:rFonts w:cs="Times New Roman"/>
        </w:rPr>
        <w:t>500km</w:t>
      </w:r>
      <w:r w:rsidRPr="00530A11">
        <w:rPr>
          <w:rFonts w:cs="Times New Roman"/>
        </w:rPr>
        <w:t>是指建筑材料的最后一个生产工厂或场地到施工现场的运输距离。</w:t>
      </w:r>
      <w:r w:rsidRPr="00530A11">
        <w:rPr>
          <w:rFonts w:cs="Times New Roman" w:hint="eastAsia"/>
        </w:rPr>
        <w:t>并优先选用本地的绿色建材。</w:t>
      </w:r>
    </w:p>
    <w:p w14:paraId="717624A4" w14:textId="77777777" w:rsidR="00C060F4" w:rsidRPr="00530A11" w:rsidRDefault="00C060F4" w:rsidP="00C060F4">
      <w:pPr>
        <w:ind w:firstLine="420"/>
        <w:rPr>
          <w:rFonts w:cs="Times New Roman"/>
        </w:rPr>
      </w:pPr>
      <w:r w:rsidRPr="00530A11">
        <w:rPr>
          <w:rFonts w:cs="Times New Roman"/>
        </w:rPr>
        <w:t>第</w:t>
      </w:r>
      <w:r w:rsidRPr="00530A11">
        <w:rPr>
          <w:rFonts w:cs="Times New Roman"/>
        </w:rPr>
        <w:t>2</w:t>
      </w:r>
      <w:r w:rsidRPr="00530A11">
        <w:rPr>
          <w:rFonts w:cs="Times New Roman"/>
        </w:rPr>
        <w:t>款，提倡和推广使用预拌混凝土和预拌砂浆，其应用技术已较为成熟。与现场搅拌混凝土相比，预拌混凝土产品性能稳定，易于保证工程质量，且采用预拌混凝土能够减少施工现场噪声和粉尘污染，节约能源、资源，减少材料损耗。预拌混凝土应符合现行国家标准《预拌混凝土》</w:t>
      </w:r>
      <w:r w:rsidRPr="00530A11">
        <w:rPr>
          <w:rFonts w:cs="Times New Roman"/>
        </w:rPr>
        <w:t>GB/T 14902</w:t>
      </w:r>
      <w:r w:rsidRPr="00530A11">
        <w:rPr>
          <w:rFonts w:cs="Times New Roman"/>
        </w:rPr>
        <w:t>的规定。</w:t>
      </w:r>
    </w:p>
    <w:p w14:paraId="5C689665" w14:textId="77777777" w:rsidR="00C060F4" w:rsidRPr="00530A11" w:rsidRDefault="00C060F4" w:rsidP="00C060F4">
      <w:pPr>
        <w:ind w:firstLine="420"/>
        <w:rPr>
          <w:rFonts w:cs="Times New Roman"/>
        </w:rPr>
      </w:pPr>
      <w:r w:rsidRPr="00530A11">
        <w:rPr>
          <w:rFonts w:cs="Times New Roman"/>
        </w:rPr>
        <w:t>现场拌制砂浆施工后经常出现空鼓、龟裂等质量问题，工程返修率高。预拌砂浆是由专业化工厂规模化生产的，可以很好地满足砂浆保水性、和易性、强度和耐久性要求，减少环境污染、材料损耗小、施工效率高、工程返修率低。预拌砂浆应符合现行国家标准《预拌砂浆》</w:t>
      </w:r>
      <w:r w:rsidRPr="00530A11">
        <w:rPr>
          <w:rFonts w:cs="Times New Roman"/>
        </w:rPr>
        <w:t>GB/T 25181</w:t>
      </w:r>
      <w:r w:rsidRPr="00530A11">
        <w:rPr>
          <w:rFonts w:cs="Times New Roman"/>
        </w:rPr>
        <w:t>及《预拌砂浆应用技术规程》</w:t>
      </w:r>
      <w:r w:rsidRPr="00530A11">
        <w:rPr>
          <w:rFonts w:cs="Times New Roman"/>
        </w:rPr>
        <w:t>JGJ/T 223</w:t>
      </w:r>
      <w:r w:rsidRPr="00530A11">
        <w:rPr>
          <w:rFonts w:cs="Times New Roman"/>
        </w:rPr>
        <w:t>的有关规定。</w:t>
      </w:r>
    </w:p>
    <w:p w14:paraId="5B6313F1" w14:textId="77777777" w:rsidR="00B61A1E" w:rsidRPr="006C79E9" w:rsidRDefault="00B61A1E" w:rsidP="006C79E9">
      <w:pPr>
        <w:pStyle w:val="20"/>
      </w:pPr>
      <w:r w:rsidRPr="0081478A">
        <w:t>【评价要点】</w:t>
      </w:r>
    </w:p>
    <w:p w14:paraId="0300E5F6" w14:textId="77777777" w:rsidR="00B61A1E" w:rsidRPr="0081478A" w:rsidRDefault="00AD3B18" w:rsidP="00AD3B18">
      <w:pPr>
        <w:ind w:firstLine="420"/>
        <w:rPr>
          <w:rFonts w:cs="Times New Roman"/>
        </w:rPr>
      </w:pPr>
      <w:r w:rsidRPr="0081478A">
        <w:rPr>
          <w:rFonts w:cs="Times New Roman"/>
        </w:rPr>
        <w:t xml:space="preserve">1 </w:t>
      </w:r>
      <w:r w:rsidR="00B61A1E" w:rsidRPr="0081478A">
        <w:rPr>
          <w:rFonts w:cs="Times New Roman"/>
        </w:rPr>
        <w:t>运输距离指建筑材料的最后一个生产工厂或场地到施工现场的距离。</w:t>
      </w:r>
    </w:p>
    <w:p w14:paraId="5482C6F0" w14:textId="386DAC94" w:rsidR="00B61A1E" w:rsidRPr="0081478A" w:rsidRDefault="00AD3B18" w:rsidP="00AD3B18">
      <w:pPr>
        <w:ind w:firstLine="420"/>
        <w:rPr>
          <w:rFonts w:cs="Times New Roman"/>
        </w:rPr>
      </w:pPr>
      <w:r w:rsidRPr="0081478A">
        <w:rPr>
          <w:rFonts w:cs="Times New Roman"/>
        </w:rPr>
        <w:t xml:space="preserve">2 </w:t>
      </w:r>
      <w:r w:rsidR="00B61A1E" w:rsidRPr="0081478A">
        <w:rPr>
          <w:rFonts w:cs="Times New Roman"/>
        </w:rPr>
        <w:t>预拌砂浆应符合国家标准《预拌砂浆》</w:t>
      </w:r>
      <w:r w:rsidR="00B61A1E" w:rsidRPr="0081478A">
        <w:rPr>
          <w:rFonts w:cs="Times New Roman"/>
        </w:rPr>
        <w:t>GB/T</w:t>
      </w:r>
      <w:r w:rsidR="00E26752">
        <w:rPr>
          <w:rFonts w:cs="Times New Roman"/>
        </w:rPr>
        <w:t xml:space="preserve"> </w:t>
      </w:r>
      <w:r w:rsidR="00B61A1E" w:rsidRPr="0081478A">
        <w:rPr>
          <w:rFonts w:cs="Times New Roman"/>
        </w:rPr>
        <w:t>25181</w:t>
      </w:r>
      <w:r w:rsidR="00B61A1E" w:rsidRPr="0081478A">
        <w:rPr>
          <w:rFonts w:cs="Times New Roman"/>
        </w:rPr>
        <w:t>及行业标准《预拌砂浆应用技术规程》</w:t>
      </w:r>
      <w:r w:rsidR="00B61A1E" w:rsidRPr="0081478A">
        <w:rPr>
          <w:rFonts w:cs="Times New Roman"/>
        </w:rPr>
        <w:t>JGJ/T</w:t>
      </w:r>
      <w:r w:rsidR="00E26752">
        <w:rPr>
          <w:rFonts w:cs="Times New Roman"/>
        </w:rPr>
        <w:t xml:space="preserve"> </w:t>
      </w:r>
      <w:r w:rsidR="00B61A1E" w:rsidRPr="0081478A">
        <w:rPr>
          <w:rFonts w:cs="Times New Roman"/>
        </w:rPr>
        <w:t>223</w:t>
      </w:r>
      <w:r w:rsidR="00B61A1E" w:rsidRPr="0081478A">
        <w:rPr>
          <w:rFonts w:cs="Times New Roman"/>
        </w:rPr>
        <w:t>的规定。</w:t>
      </w:r>
    </w:p>
    <w:p w14:paraId="3816C459" w14:textId="77777777" w:rsidR="00B61A1E" w:rsidRPr="0081478A" w:rsidRDefault="00B61A1E" w:rsidP="00B61A1E">
      <w:pPr>
        <w:ind w:firstLine="420"/>
        <w:rPr>
          <w:rFonts w:cs="Times New Roman"/>
        </w:rPr>
      </w:pPr>
      <w:r w:rsidRPr="0081478A">
        <w:rPr>
          <w:rFonts w:cs="Times New Roman"/>
        </w:rPr>
        <w:t>如预拌砂浆采用干混砂浆，则需将其重量折算成砂浆的重量。</w:t>
      </w:r>
    </w:p>
    <w:p w14:paraId="5C776F09" w14:textId="26C9D474" w:rsidR="00B61A1E" w:rsidRPr="0081478A" w:rsidRDefault="00E26752" w:rsidP="00B61A1E">
      <w:pPr>
        <w:ind w:firstLine="420"/>
        <w:rPr>
          <w:rFonts w:cs="Times New Roman"/>
        </w:rPr>
      </w:pPr>
      <w:r>
        <w:rPr>
          <w:rFonts w:cs="Times New Roman" w:hint="eastAsia"/>
        </w:rPr>
        <w:t>本</w:t>
      </w:r>
      <w:r w:rsidR="00B61A1E" w:rsidRPr="0081478A">
        <w:rPr>
          <w:rFonts w:cs="Times New Roman"/>
        </w:rPr>
        <w:t>条涉及的材料比例均需按照单体建筑计算。</w:t>
      </w:r>
    </w:p>
    <w:p w14:paraId="6CEB8AE7" w14:textId="77777777" w:rsidR="00715ABB" w:rsidRPr="006C79E9" w:rsidRDefault="00F44390" w:rsidP="006C79E9">
      <w:pPr>
        <w:pStyle w:val="20"/>
      </w:pPr>
      <w:r w:rsidRPr="0081478A">
        <w:t>【评价方法】</w:t>
      </w:r>
    </w:p>
    <w:p w14:paraId="59B60E38" w14:textId="1C430D34" w:rsidR="00E905A0" w:rsidRDefault="00E905A0" w:rsidP="00E905A0">
      <w:pPr>
        <w:pStyle w:val="20"/>
        <w:ind w:firstLineChars="200" w:firstLine="420"/>
        <w:rPr>
          <w:rFonts w:cs="Times New Roman"/>
          <w:b w:val="0"/>
        </w:rPr>
      </w:pPr>
      <w:r w:rsidRPr="00530A11">
        <w:rPr>
          <w:rFonts w:cs="Times New Roman"/>
          <w:b w:val="0"/>
        </w:rPr>
        <w:t>预评价查阅结构施工图及设计说明、工程材料预算清单；评价查阅结构竣工图及设计说明、购销合同及用量清单等有关证明文件。</w:t>
      </w:r>
    </w:p>
    <w:p w14:paraId="535E44A1" w14:textId="74818DB8" w:rsidR="000F33EC" w:rsidRDefault="000F33EC" w:rsidP="00E905A0">
      <w:pPr>
        <w:pStyle w:val="20"/>
        <w:ind w:firstLineChars="200" w:firstLine="420"/>
        <w:rPr>
          <w:rFonts w:cs="Times New Roman"/>
          <w:b w:val="0"/>
        </w:rPr>
      </w:pPr>
    </w:p>
    <w:p w14:paraId="448F41FC" w14:textId="77777777" w:rsidR="0011444E" w:rsidRPr="00B905A9" w:rsidRDefault="0011444E" w:rsidP="0011444E">
      <w:pPr>
        <w:pStyle w:val="4"/>
        <w:rPr>
          <w:rFonts w:cs="Times New Roman"/>
        </w:rPr>
      </w:pPr>
      <w:r w:rsidRPr="00FD027C">
        <w:rPr>
          <w:rFonts w:cs="Times New Roman" w:hint="eastAsia"/>
          <w:bCs w:val="0"/>
        </w:rPr>
        <w:t>7</w:t>
      </w:r>
      <w:r w:rsidRPr="00B905A9">
        <w:rPr>
          <w:rFonts w:cs="Times New Roman"/>
          <w:bCs w:val="0"/>
        </w:rPr>
        <w:t xml:space="preserve">.1.11 </w:t>
      </w:r>
      <w:r w:rsidRPr="00B905A9">
        <w:rPr>
          <w:rFonts w:cs="Times New Roman" w:hint="eastAsia"/>
          <w:bCs w:val="0"/>
        </w:rPr>
        <w:t>积极推进建筑产业化技术措施应用，并满足下列规定：</w:t>
      </w:r>
    </w:p>
    <w:p w14:paraId="46E34879" w14:textId="77777777" w:rsidR="0011444E" w:rsidRPr="005030F0" w:rsidRDefault="0011444E" w:rsidP="0011444E">
      <w:pPr>
        <w:pStyle w:val="20"/>
        <w:ind w:firstLineChars="135" w:firstLine="285"/>
        <w:rPr>
          <w:rFonts w:ascii="Times New Roman" w:hAnsi="Times New Roman" w:cs="Times New Roman"/>
          <w:bCs/>
          <w:color w:val="auto"/>
        </w:rPr>
      </w:pPr>
      <w:r w:rsidRPr="005030F0">
        <w:rPr>
          <w:rFonts w:ascii="Times New Roman" w:hAnsi="Times New Roman" w:cs="Times New Roman" w:hint="eastAsia"/>
          <w:bCs/>
          <w:color w:val="auto"/>
        </w:rPr>
        <w:t>1</w:t>
      </w:r>
      <w:r w:rsidRPr="005030F0">
        <w:rPr>
          <w:rFonts w:ascii="Times New Roman" w:hAnsi="Times New Roman" w:cs="Times New Roman"/>
          <w:bCs/>
          <w:color w:val="auto"/>
        </w:rPr>
        <w:t xml:space="preserve"> </w:t>
      </w:r>
      <w:r w:rsidRPr="005030F0">
        <w:rPr>
          <w:rFonts w:ascii="Times New Roman" w:hAnsi="Times New Roman" w:cs="Times New Roman" w:hint="eastAsia"/>
          <w:bCs/>
          <w:color w:val="auto"/>
        </w:rPr>
        <w:t>内隔墙非砌筑比例≥</w:t>
      </w:r>
      <w:r w:rsidRPr="005030F0">
        <w:rPr>
          <w:rFonts w:ascii="Times New Roman" w:hAnsi="Times New Roman" w:cs="Times New Roman" w:hint="eastAsia"/>
          <w:bCs/>
          <w:color w:val="auto"/>
        </w:rPr>
        <w:t>50%</w:t>
      </w:r>
      <w:r w:rsidRPr="005030F0">
        <w:rPr>
          <w:rFonts w:ascii="Times New Roman" w:hAnsi="Times New Roman" w:cs="Times New Roman" w:hint="eastAsia"/>
          <w:bCs/>
          <w:color w:val="auto"/>
        </w:rPr>
        <w:t>；</w:t>
      </w:r>
    </w:p>
    <w:p w14:paraId="18602153" w14:textId="77777777" w:rsidR="0011444E" w:rsidRPr="005030F0" w:rsidRDefault="0011444E" w:rsidP="0011444E">
      <w:pPr>
        <w:pStyle w:val="20"/>
        <w:ind w:firstLineChars="135" w:firstLine="285"/>
        <w:rPr>
          <w:rFonts w:ascii="Times New Roman" w:hAnsi="Times New Roman" w:cs="Times New Roman"/>
          <w:bCs/>
          <w:color w:val="auto"/>
        </w:rPr>
      </w:pPr>
      <w:r w:rsidRPr="005030F0">
        <w:rPr>
          <w:rFonts w:ascii="Times New Roman" w:hAnsi="Times New Roman" w:cs="Times New Roman"/>
          <w:bCs/>
          <w:color w:val="auto"/>
        </w:rPr>
        <w:lastRenderedPageBreak/>
        <w:t xml:space="preserve">2 </w:t>
      </w:r>
      <w:r w:rsidRPr="005030F0">
        <w:rPr>
          <w:rFonts w:ascii="Times New Roman" w:hAnsi="Times New Roman" w:cs="Times New Roman" w:hint="eastAsia"/>
          <w:bCs/>
          <w:color w:val="auto"/>
        </w:rPr>
        <w:t>预制装配式楼板应用面积不低于单体建筑地上建筑面积的</w:t>
      </w:r>
      <w:r w:rsidRPr="005030F0">
        <w:rPr>
          <w:rFonts w:ascii="Times New Roman" w:hAnsi="Times New Roman" w:cs="Times New Roman" w:hint="eastAsia"/>
          <w:bCs/>
          <w:color w:val="auto"/>
        </w:rPr>
        <w:t>6</w:t>
      </w:r>
      <w:r w:rsidRPr="005030F0">
        <w:rPr>
          <w:rFonts w:ascii="Times New Roman" w:hAnsi="Times New Roman" w:cs="Times New Roman"/>
          <w:bCs/>
          <w:color w:val="auto"/>
        </w:rPr>
        <w:t>0%</w:t>
      </w:r>
      <w:r w:rsidRPr="005030F0">
        <w:rPr>
          <w:rFonts w:ascii="Times New Roman" w:hAnsi="Times New Roman" w:cs="Times New Roman" w:hint="eastAsia"/>
          <w:bCs/>
          <w:color w:val="auto"/>
        </w:rPr>
        <w:t>。</w:t>
      </w:r>
    </w:p>
    <w:p w14:paraId="35B6DEAF" w14:textId="77777777" w:rsidR="000F33EC" w:rsidRPr="0081478A" w:rsidRDefault="000F33EC" w:rsidP="000F33EC">
      <w:pPr>
        <w:pStyle w:val="20"/>
      </w:pPr>
      <w:r w:rsidRPr="0081478A">
        <w:t>【条文说明】</w:t>
      </w:r>
    </w:p>
    <w:p w14:paraId="06BA8D30" w14:textId="77777777" w:rsidR="0011444E" w:rsidRPr="00230100" w:rsidRDefault="0011444E" w:rsidP="0011444E">
      <w:pPr>
        <w:ind w:firstLine="420"/>
      </w:pPr>
      <w:r w:rsidRPr="00230100">
        <w:rPr>
          <w:rFonts w:hint="eastAsia"/>
        </w:rPr>
        <w:t>本条适用于各类民用建筑的预评价、评价。</w:t>
      </w:r>
    </w:p>
    <w:p w14:paraId="3DC71AFE" w14:textId="522C0EE7" w:rsidR="0011444E" w:rsidRPr="00530A11" w:rsidRDefault="0011444E" w:rsidP="0011444E">
      <w:pPr>
        <w:ind w:firstLine="420"/>
        <w:rPr>
          <w:rFonts w:cs="Times New Roman"/>
          <w:kern w:val="44"/>
          <w:szCs w:val="24"/>
        </w:rPr>
      </w:pPr>
      <w:r w:rsidRPr="00530A11">
        <w:rPr>
          <w:rFonts w:cs="Times New Roman"/>
        </w:rPr>
        <w:t>本条</w:t>
      </w:r>
      <w:r>
        <w:rPr>
          <w:rFonts w:cs="Times New Roman" w:hint="eastAsia"/>
        </w:rPr>
        <w:t>为</w:t>
      </w:r>
      <w:r w:rsidRPr="00530A11">
        <w:rPr>
          <w:rFonts w:cs="Times New Roman"/>
        </w:rPr>
        <w:t>地标</w:t>
      </w:r>
      <w:r>
        <w:rPr>
          <w:rFonts w:cs="Times New Roman" w:hint="eastAsia"/>
        </w:rPr>
        <w:t>新增条文</w:t>
      </w:r>
      <w:r w:rsidRPr="00530A11">
        <w:rPr>
          <w:rFonts w:cs="Times New Roman"/>
        </w:rPr>
        <w:t>。</w:t>
      </w:r>
    </w:p>
    <w:p w14:paraId="1A6350BA" w14:textId="77777777" w:rsidR="0011444E" w:rsidRDefault="0011444E" w:rsidP="0011444E">
      <w:pPr>
        <w:pStyle w:val="20"/>
        <w:ind w:firstLineChars="200" w:firstLine="420"/>
        <w:rPr>
          <w:rFonts w:ascii="Times New Roman" w:hAnsi="Times New Roman" w:cs="Times New Roman"/>
          <w:b w:val="0"/>
          <w:color w:val="auto"/>
        </w:rPr>
      </w:pPr>
      <w:r w:rsidRPr="003B42C2">
        <w:rPr>
          <w:rFonts w:ascii="Times New Roman" w:hAnsi="Times New Roman" w:cs="Times New Roman" w:hint="eastAsia"/>
          <w:b w:val="0"/>
          <w:color w:val="auto"/>
        </w:rPr>
        <w:t>本条提出了绿色建筑应达到的建筑产业化发展的基本要求</w:t>
      </w:r>
      <w:r>
        <w:rPr>
          <w:rFonts w:ascii="Times New Roman" w:hAnsi="Times New Roman" w:cs="Times New Roman" w:hint="eastAsia"/>
          <w:b w:val="0"/>
          <w:color w:val="auto"/>
        </w:rPr>
        <w:t>。</w:t>
      </w:r>
    </w:p>
    <w:p w14:paraId="6F1CA9DD" w14:textId="7F44A4C2" w:rsidR="0011444E" w:rsidRDefault="0011444E" w:rsidP="0011444E">
      <w:pPr>
        <w:pStyle w:val="20"/>
        <w:ind w:firstLineChars="200" w:firstLine="420"/>
        <w:rPr>
          <w:rFonts w:ascii="Times New Roman" w:hAnsi="Times New Roman" w:cs="Times New Roman"/>
          <w:b w:val="0"/>
          <w:color w:val="auto"/>
        </w:rPr>
      </w:pPr>
      <w:r>
        <w:rPr>
          <w:rFonts w:ascii="Times New Roman" w:hAnsi="Times New Roman" w:cs="Times New Roman" w:hint="eastAsia"/>
          <w:b w:val="0"/>
          <w:color w:val="auto"/>
        </w:rPr>
        <w:t>根据国家《</w:t>
      </w:r>
      <w:r w:rsidRPr="002821A3">
        <w:rPr>
          <w:rFonts w:ascii="Times New Roman" w:hAnsi="Times New Roman" w:cs="Times New Roman" w:hint="eastAsia"/>
          <w:b w:val="0"/>
          <w:color w:val="auto"/>
        </w:rPr>
        <w:t>装配式建筑评价标准</w:t>
      </w:r>
      <w:r>
        <w:rPr>
          <w:rFonts w:ascii="Times New Roman" w:hAnsi="Times New Roman" w:cs="Times New Roman" w:hint="eastAsia"/>
          <w:b w:val="0"/>
          <w:color w:val="auto"/>
        </w:rPr>
        <w:t>》</w:t>
      </w:r>
      <w:r w:rsidRPr="002821A3">
        <w:rPr>
          <w:rFonts w:ascii="Times New Roman" w:hAnsi="Times New Roman" w:cs="Times New Roman" w:hint="eastAsia"/>
          <w:b w:val="0"/>
          <w:color w:val="auto"/>
        </w:rPr>
        <w:t>GB/T51129-2017</w:t>
      </w:r>
      <w:r>
        <w:rPr>
          <w:rFonts w:ascii="Times New Roman" w:hAnsi="Times New Roman" w:cs="Times New Roman" w:hint="eastAsia"/>
          <w:b w:val="0"/>
          <w:color w:val="auto"/>
        </w:rPr>
        <w:t>所述，装配式建筑是</w:t>
      </w:r>
      <w:r w:rsidR="008F1979">
        <w:rPr>
          <w:rFonts w:ascii="Times New Roman" w:hAnsi="Times New Roman" w:cs="Times New Roman" w:hint="eastAsia"/>
          <w:b w:val="0"/>
          <w:color w:val="auto"/>
        </w:rPr>
        <w:t>指</w:t>
      </w:r>
      <w:r>
        <w:rPr>
          <w:rFonts w:ascii="Times New Roman" w:hAnsi="Times New Roman" w:cs="Times New Roman" w:hint="eastAsia"/>
          <w:b w:val="0"/>
          <w:color w:val="auto"/>
        </w:rPr>
        <w:t>由预制部品部件在工地装配而形成的建筑。建筑装配率主要从主体结构、围护墙和内隔墙、装修和设备管线三个方面进行评判。其中</w:t>
      </w:r>
      <w:r w:rsidRPr="002821A3">
        <w:rPr>
          <w:rFonts w:ascii="Times New Roman" w:hAnsi="Times New Roman" w:cs="Times New Roman" w:hint="eastAsia"/>
          <w:b w:val="0"/>
          <w:color w:val="auto"/>
        </w:rPr>
        <w:t>新型建筑围护墙体的应用对提高建筑质量和品质、建造模式的改变等都具有重要意义，积极引导和逐步推广新型建筑围护墙体也是装配式建筑的重点工作。非砌筑是新型建筑围护墙体的共同特征之一，非砌筑类型墙体包括各种中大型板材、幕墙、木骨架或轻钢骨架复合墙体等</w:t>
      </w:r>
      <w:r>
        <w:rPr>
          <w:rFonts w:ascii="Times New Roman" w:hAnsi="Times New Roman" w:cs="Times New Roman" w:hint="eastAsia"/>
          <w:b w:val="0"/>
          <w:color w:val="auto"/>
        </w:rPr>
        <w:t>，例如蒸压轻质加气混凝土板材（</w:t>
      </w:r>
      <w:r w:rsidRPr="00B715CA">
        <w:rPr>
          <w:rFonts w:ascii="Times New Roman" w:hAnsi="Times New Roman" w:cs="Times New Roman" w:hint="eastAsia"/>
          <w:b w:val="0"/>
          <w:color w:val="auto"/>
        </w:rPr>
        <w:t>ALC</w:t>
      </w:r>
      <w:r w:rsidRPr="00B715CA">
        <w:rPr>
          <w:rFonts w:ascii="Times New Roman" w:hAnsi="Times New Roman" w:cs="Times New Roman" w:hint="eastAsia"/>
          <w:b w:val="0"/>
          <w:color w:val="auto"/>
        </w:rPr>
        <w:t>板</w:t>
      </w:r>
      <w:r>
        <w:rPr>
          <w:rFonts w:ascii="Times New Roman" w:hAnsi="Times New Roman" w:cs="Times New Roman" w:hint="eastAsia"/>
          <w:b w:val="0"/>
          <w:color w:val="auto"/>
        </w:rPr>
        <w:t>）</w:t>
      </w:r>
      <w:r w:rsidRPr="00B715CA">
        <w:rPr>
          <w:rFonts w:ascii="Times New Roman" w:hAnsi="Times New Roman" w:cs="Times New Roman" w:hint="eastAsia"/>
          <w:b w:val="0"/>
          <w:color w:val="auto"/>
        </w:rPr>
        <w:t>、</w:t>
      </w:r>
      <w:r>
        <w:rPr>
          <w:rFonts w:ascii="Times New Roman" w:hAnsi="Times New Roman" w:cs="Times New Roman" w:hint="eastAsia"/>
          <w:b w:val="0"/>
          <w:color w:val="auto"/>
        </w:rPr>
        <w:t>轻质条板等。应用中</w:t>
      </w:r>
      <w:r w:rsidRPr="002821A3">
        <w:rPr>
          <w:rFonts w:ascii="Times New Roman" w:hAnsi="Times New Roman" w:cs="Times New Roman" w:hint="eastAsia"/>
          <w:b w:val="0"/>
          <w:color w:val="auto"/>
        </w:rPr>
        <w:t>应满足工厂生产、现场安装、以“干法”施工为主的要求。</w:t>
      </w:r>
    </w:p>
    <w:p w14:paraId="39AD6943" w14:textId="77777777" w:rsidR="0011444E" w:rsidRPr="002E5118" w:rsidRDefault="0011444E" w:rsidP="0011444E">
      <w:pPr>
        <w:pStyle w:val="20"/>
        <w:ind w:firstLine="420"/>
        <w:rPr>
          <w:rFonts w:ascii="Times New Roman" w:hAnsi="Times New Roman" w:cs="Times New Roman"/>
          <w:b w:val="0"/>
          <w:color w:val="auto"/>
        </w:rPr>
      </w:pPr>
      <w:r>
        <w:rPr>
          <w:rFonts w:ascii="Times New Roman" w:hAnsi="Times New Roman" w:cs="Times New Roman" w:hint="eastAsia"/>
          <w:b w:val="0"/>
          <w:color w:val="auto"/>
        </w:rPr>
        <w:t>对于主体结构，根据国家《</w:t>
      </w:r>
      <w:r w:rsidRPr="002821A3">
        <w:rPr>
          <w:rFonts w:ascii="Times New Roman" w:hAnsi="Times New Roman" w:cs="Times New Roman" w:hint="eastAsia"/>
          <w:b w:val="0"/>
          <w:color w:val="auto"/>
        </w:rPr>
        <w:t>装配式建筑评价标准</w:t>
      </w:r>
      <w:r>
        <w:rPr>
          <w:rFonts w:ascii="Times New Roman" w:hAnsi="Times New Roman" w:cs="Times New Roman" w:hint="eastAsia"/>
          <w:b w:val="0"/>
          <w:color w:val="auto"/>
        </w:rPr>
        <w:t>》</w:t>
      </w:r>
      <w:r w:rsidRPr="002821A3">
        <w:rPr>
          <w:rFonts w:ascii="Times New Roman" w:hAnsi="Times New Roman" w:cs="Times New Roman" w:hint="eastAsia"/>
          <w:b w:val="0"/>
          <w:color w:val="auto"/>
        </w:rPr>
        <w:t>GB/T51129-2017</w:t>
      </w:r>
      <w:r>
        <w:rPr>
          <w:rFonts w:ascii="Times New Roman" w:hAnsi="Times New Roman" w:cs="Times New Roman" w:hint="eastAsia"/>
          <w:b w:val="0"/>
          <w:color w:val="auto"/>
        </w:rPr>
        <w:t>，</w:t>
      </w:r>
      <w:r w:rsidRPr="000F0E7C">
        <w:rPr>
          <w:rFonts w:ascii="Times New Roman" w:hAnsi="Times New Roman" w:cs="Times New Roman" w:hint="eastAsia"/>
          <w:b w:val="0"/>
          <w:color w:val="auto"/>
        </w:rPr>
        <w:t>预制装配式楼板、屋面板</w:t>
      </w:r>
      <w:r>
        <w:rPr>
          <w:rFonts w:ascii="Times New Roman" w:hAnsi="Times New Roman" w:cs="Times New Roman" w:hint="eastAsia"/>
          <w:b w:val="0"/>
          <w:color w:val="auto"/>
        </w:rPr>
        <w:t>的认定主要包括</w:t>
      </w:r>
      <w:r w:rsidRPr="000F0E7C">
        <w:rPr>
          <w:rFonts w:ascii="Times New Roman" w:hAnsi="Times New Roman" w:cs="Times New Roman" w:hint="eastAsia"/>
          <w:b w:val="0"/>
          <w:color w:val="auto"/>
        </w:rPr>
        <w:t>预制装配式叠合楼板</w:t>
      </w:r>
      <w:r>
        <w:rPr>
          <w:rFonts w:ascii="Times New Roman" w:hAnsi="Times New Roman" w:cs="Times New Roman" w:hint="eastAsia"/>
          <w:b w:val="0"/>
          <w:color w:val="auto"/>
        </w:rPr>
        <w:t>和</w:t>
      </w:r>
      <w:r w:rsidRPr="000F0E7C">
        <w:rPr>
          <w:rFonts w:ascii="Times New Roman" w:hAnsi="Times New Roman" w:cs="Times New Roman" w:hint="eastAsia"/>
          <w:b w:val="0"/>
          <w:color w:val="auto"/>
        </w:rPr>
        <w:t>屋面板</w:t>
      </w:r>
      <w:r>
        <w:rPr>
          <w:rFonts w:ascii="Times New Roman" w:hAnsi="Times New Roman" w:cs="Times New Roman" w:hint="eastAsia"/>
          <w:b w:val="0"/>
          <w:color w:val="auto"/>
        </w:rPr>
        <w:t>、</w:t>
      </w:r>
      <w:r w:rsidRPr="000F0E7C">
        <w:rPr>
          <w:rFonts w:ascii="Times New Roman" w:hAnsi="Times New Roman" w:cs="Times New Roman" w:hint="eastAsia"/>
          <w:b w:val="0"/>
          <w:color w:val="auto"/>
        </w:rPr>
        <w:t>金属楼承板和屋面板、木楼盖和屋盖及其他在施工现场免支模的楼盖和屋盖</w:t>
      </w:r>
      <w:r>
        <w:rPr>
          <w:rFonts w:ascii="Times New Roman" w:hAnsi="Times New Roman" w:cs="Times New Roman" w:hint="eastAsia"/>
          <w:b w:val="0"/>
          <w:color w:val="auto"/>
        </w:rPr>
        <w:t>。</w:t>
      </w:r>
      <w:r w:rsidRPr="000F0E7C">
        <w:rPr>
          <w:rFonts w:ascii="Times New Roman" w:hAnsi="Times New Roman" w:cs="Times New Roman" w:hint="eastAsia"/>
          <w:b w:val="0"/>
          <w:color w:val="auto"/>
        </w:rPr>
        <w:t>金属楼承板包括压型钢板、钢筋桁架楼承板等在施工现场免支模的楼</w:t>
      </w:r>
      <w:r w:rsidRPr="000F0E7C">
        <w:rPr>
          <w:rFonts w:ascii="Times New Roman" w:hAnsi="Times New Roman" w:cs="Times New Roman" w:hint="eastAsia"/>
          <w:b w:val="0"/>
          <w:color w:val="auto"/>
        </w:rPr>
        <w:t>(</w:t>
      </w:r>
      <w:r w:rsidRPr="000F0E7C">
        <w:rPr>
          <w:rFonts w:ascii="Times New Roman" w:hAnsi="Times New Roman" w:cs="Times New Roman" w:hint="eastAsia"/>
          <w:b w:val="0"/>
          <w:color w:val="auto"/>
        </w:rPr>
        <w:t>屋</w:t>
      </w:r>
      <w:r w:rsidRPr="000F0E7C">
        <w:rPr>
          <w:rFonts w:ascii="Times New Roman" w:hAnsi="Times New Roman" w:cs="Times New Roman" w:hint="eastAsia"/>
          <w:b w:val="0"/>
          <w:color w:val="auto"/>
        </w:rPr>
        <w:t>)</w:t>
      </w:r>
      <w:r w:rsidRPr="000F0E7C">
        <w:rPr>
          <w:rFonts w:ascii="Times New Roman" w:hAnsi="Times New Roman" w:cs="Times New Roman" w:hint="eastAsia"/>
          <w:b w:val="0"/>
          <w:color w:val="auto"/>
        </w:rPr>
        <w:t>盖体系，是钢结构建筑中最常用的楼板类型</w:t>
      </w:r>
      <w:r>
        <w:rPr>
          <w:rFonts w:ascii="Times New Roman" w:hAnsi="Times New Roman" w:cs="Times New Roman" w:hint="eastAsia"/>
          <w:b w:val="0"/>
          <w:color w:val="auto"/>
        </w:rPr>
        <w:t>。参考《</w:t>
      </w:r>
      <w:r w:rsidRPr="002E5118">
        <w:rPr>
          <w:rFonts w:ascii="Times New Roman" w:hAnsi="Times New Roman" w:cs="Times New Roman" w:hint="eastAsia"/>
          <w:b w:val="0"/>
          <w:color w:val="auto"/>
        </w:rPr>
        <w:t>装配式住宅建筑设计标准</w:t>
      </w:r>
      <w:r>
        <w:rPr>
          <w:rFonts w:ascii="Times New Roman" w:hAnsi="Times New Roman" w:cs="Times New Roman" w:hint="eastAsia"/>
          <w:b w:val="0"/>
          <w:color w:val="auto"/>
        </w:rPr>
        <w:t>》</w:t>
      </w:r>
      <w:r w:rsidRPr="002E5118">
        <w:rPr>
          <w:rFonts w:ascii="Times New Roman" w:hAnsi="Times New Roman" w:cs="Times New Roman" w:hint="eastAsia"/>
          <w:b w:val="0"/>
          <w:color w:val="auto"/>
        </w:rPr>
        <w:t>JGJ/T398-2017</w:t>
      </w:r>
      <w:r>
        <w:rPr>
          <w:rFonts w:ascii="Times New Roman" w:hAnsi="Times New Roman" w:cs="Times New Roman" w:hint="eastAsia"/>
          <w:b w:val="0"/>
          <w:color w:val="auto"/>
        </w:rPr>
        <w:t>中所述，</w:t>
      </w:r>
      <w:r w:rsidRPr="002E5118">
        <w:rPr>
          <w:rFonts w:ascii="Times New Roman" w:hAnsi="Times New Roman" w:cs="Times New Roman" w:hint="eastAsia"/>
          <w:b w:val="0"/>
          <w:color w:val="auto"/>
        </w:rPr>
        <w:t>装配式混凝土结构住宅的楼板宜采用叠合楼板，其结构整体性应符合现行行业标准《装配式混凝土结构技术规程》</w:t>
      </w:r>
      <w:r w:rsidRPr="002E5118">
        <w:rPr>
          <w:rFonts w:ascii="Times New Roman" w:hAnsi="Times New Roman" w:cs="Times New Roman" w:hint="eastAsia"/>
          <w:b w:val="0"/>
          <w:color w:val="auto"/>
        </w:rPr>
        <w:t>JGJ 1</w:t>
      </w:r>
      <w:r w:rsidRPr="002E5118">
        <w:rPr>
          <w:rFonts w:ascii="Times New Roman" w:hAnsi="Times New Roman" w:cs="Times New Roman" w:hint="eastAsia"/>
          <w:b w:val="0"/>
          <w:color w:val="auto"/>
        </w:rPr>
        <w:t>的相关规定</w:t>
      </w:r>
      <w:r>
        <w:rPr>
          <w:rFonts w:ascii="Times New Roman" w:hAnsi="Times New Roman" w:cs="Times New Roman" w:hint="eastAsia"/>
          <w:b w:val="0"/>
          <w:color w:val="auto"/>
        </w:rPr>
        <w:t>；</w:t>
      </w:r>
      <w:r w:rsidRPr="002E5118">
        <w:rPr>
          <w:rFonts w:ascii="Times New Roman" w:hAnsi="Times New Roman" w:cs="Times New Roman" w:hint="eastAsia"/>
          <w:b w:val="0"/>
          <w:color w:val="auto"/>
        </w:rPr>
        <w:t>钢结构住宅宜优先采用钢</w:t>
      </w:r>
      <w:r w:rsidRPr="002E5118">
        <w:rPr>
          <w:rFonts w:ascii="Times New Roman" w:hAnsi="Times New Roman" w:cs="Times New Roman" w:hint="eastAsia"/>
          <w:b w:val="0"/>
          <w:color w:val="auto"/>
        </w:rPr>
        <w:t>-</w:t>
      </w:r>
      <w:r w:rsidRPr="002E5118">
        <w:rPr>
          <w:rFonts w:ascii="Times New Roman" w:hAnsi="Times New Roman" w:cs="Times New Roman" w:hint="eastAsia"/>
          <w:b w:val="0"/>
          <w:color w:val="auto"/>
        </w:rPr>
        <w:t>混凝土组合楼板或混凝土叠合楼板，并应符合国家现行标准的相关规定。</w:t>
      </w:r>
      <w:r>
        <w:rPr>
          <w:rFonts w:ascii="Times New Roman" w:hAnsi="Times New Roman" w:cs="Times New Roman" w:hint="eastAsia"/>
          <w:b w:val="0"/>
          <w:color w:val="auto"/>
        </w:rPr>
        <w:t>其中，</w:t>
      </w:r>
      <w:r w:rsidRPr="002E5118">
        <w:rPr>
          <w:rFonts w:ascii="Times New Roman" w:hAnsi="Times New Roman" w:cs="Times New Roman" w:hint="eastAsia"/>
          <w:b w:val="0"/>
          <w:color w:val="auto"/>
        </w:rPr>
        <w:t>叠合楼板具有效率较高、省时省工、节省模板、支撑简便、湿作业少等生产建造特点，装配式住宅应优先采用叠合楼板。叠合楼板为预制楼板通过现场浇筑组合而成，其工序由工厂预制、现场装配浇筑和建筑构造层施工等组成。建筑构造宜采用管线分离方式的设计使主体结构与管线分离。同时，要保证叠合楼板的防火、防腐、隔声和保温等性能。</w:t>
      </w:r>
    </w:p>
    <w:p w14:paraId="4CAC116C" w14:textId="77777777" w:rsidR="0011444E" w:rsidRDefault="0011444E" w:rsidP="0011444E">
      <w:pPr>
        <w:pStyle w:val="20"/>
        <w:ind w:firstLineChars="200" w:firstLine="420"/>
        <w:rPr>
          <w:rFonts w:ascii="Times New Roman" w:hAnsi="Times New Roman" w:cs="Times New Roman"/>
          <w:b w:val="0"/>
          <w:color w:val="auto"/>
        </w:rPr>
      </w:pPr>
      <w:r>
        <w:rPr>
          <w:rFonts w:ascii="Times New Roman" w:hAnsi="Times New Roman" w:cs="Times New Roman" w:hint="eastAsia"/>
          <w:b w:val="0"/>
          <w:color w:val="auto"/>
        </w:rPr>
        <w:t>结合到国家、地方相关技术标准中关于装配式建筑技术的相关要求，同时在综合考虑重庆市和相邻省市推动建筑产业化发展要求的基础上，经广泛调研和征求意见，内隔墙非砌筑和</w:t>
      </w:r>
      <w:r w:rsidRPr="003B42C2">
        <w:rPr>
          <w:rFonts w:ascii="Times New Roman" w:hAnsi="Times New Roman" w:cs="Times New Roman" w:hint="eastAsia"/>
          <w:b w:val="0"/>
          <w:color w:val="auto"/>
        </w:rPr>
        <w:t>预制装配式楼板</w:t>
      </w:r>
      <w:r>
        <w:rPr>
          <w:rFonts w:ascii="Times New Roman" w:hAnsi="Times New Roman" w:cs="Times New Roman" w:hint="eastAsia"/>
          <w:b w:val="0"/>
          <w:color w:val="auto"/>
        </w:rPr>
        <w:t>两项技术均为当前建筑产业化发展的成熟技术，将这两项技术作为当前重庆市推动建筑产业化发展的典型技术措施，既有利于带动重庆市建筑产业化市场的发展，又有利于促进建筑的产业化转型，因此将上述两项技术作为绿色建筑的控制项予以要求。</w:t>
      </w:r>
      <w:r w:rsidRPr="003B42C2">
        <w:rPr>
          <w:rFonts w:ascii="Times New Roman" w:hAnsi="Times New Roman" w:cs="Times New Roman" w:hint="eastAsia"/>
          <w:b w:val="0"/>
          <w:color w:val="auto"/>
        </w:rPr>
        <w:t>对于国家、地方相关技术标准中关于装配式建筑技术适合应用的部位均应满足要求，相关条文在具体执行过程中，应按照重庆市住房和城乡建委的相关文件要求予以贯彻落实。</w:t>
      </w:r>
      <w:r>
        <w:rPr>
          <w:rFonts w:ascii="Times New Roman" w:hAnsi="Times New Roman" w:cs="Times New Roman" w:hint="eastAsia"/>
          <w:b w:val="0"/>
          <w:color w:val="auto"/>
        </w:rPr>
        <w:t>相关项目除</w:t>
      </w:r>
      <w:r>
        <w:rPr>
          <w:rFonts w:ascii="Times New Roman" w:hAnsi="Times New Roman" w:cs="Times New Roman" w:hint="eastAsia"/>
          <w:b w:val="0"/>
          <w:color w:val="auto"/>
        </w:rPr>
        <w:lastRenderedPageBreak/>
        <w:t>应满足本条技术要求外，尚应满足国家及重庆市现行有关标准的要求。</w:t>
      </w:r>
    </w:p>
    <w:p w14:paraId="00252D29" w14:textId="77777777" w:rsidR="0011444E" w:rsidRDefault="0011444E" w:rsidP="0011444E">
      <w:pPr>
        <w:pStyle w:val="20"/>
        <w:ind w:firstLineChars="200" w:firstLine="420"/>
        <w:rPr>
          <w:rFonts w:ascii="Times New Roman" w:hAnsi="Times New Roman" w:cs="Times New Roman"/>
          <w:b w:val="0"/>
          <w:color w:val="auto"/>
        </w:rPr>
      </w:pPr>
      <w:r>
        <w:rPr>
          <w:rFonts w:ascii="Times New Roman" w:hAnsi="Times New Roman" w:cs="Times New Roman" w:hint="eastAsia"/>
          <w:b w:val="0"/>
          <w:color w:val="auto"/>
        </w:rPr>
        <w:t>按照绿色建筑的技术实施要求，本条要求建筑中应用上述装配式建筑技术，原则上应在所有适合的内隔墙和楼板部位均予以实施，尤其不允许一个项目中只实施部分楼栋的现象出现。本条中所设置的应用比例，也是为了达到上述要求，但又同时考虑到实际工程的情况而设定的，并非单纯的应用比例要求。</w:t>
      </w:r>
    </w:p>
    <w:p w14:paraId="633720BA" w14:textId="77777777" w:rsidR="0011444E" w:rsidRPr="006C79E9" w:rsidRDefault="0011444E" w:rsidP="0011444E">
      <w:pPr>
        <w:pStyle w:val="20"/>
      </w:pPr>
      <w:r w:rsidRPr="0081478A">
        <w:t>【评价要点】</w:t>
      </w:r>
    </w:p>
    <w:p w14:paraId="5655E83A" w14:textId="0DC10269" w:rsidR="0011444E" w:rsidRDefault="0011444E" w:rsidP="0011444E">
      <w:pPr>
        <w:ind w:firstLine="420"/>
        <w:rPr>
          <w:b/>
        </w:rPr>
      </w:pPr>
      <w:r>
        <w:rPr>
          <w:rFonts w:hint="eastAsia"/>
        </w:rPr>
        <w:t>1</w:t>
      </w:r>
      <w:r>
        <w:t>.</w:t>
      </w:r>
      <w:r>
        <w:rPr>
          <w:rFonts w:hint="eastAsia"/>
        </w:rPr>
        <w:t>对于建筑中适合应用装配式建筑技术的部位，均应满足上述条文的要求；</w:t>
      </w:r>
    </w:p>
    <w:p w14:paraId="38BAE378" w14:textId="77D794D5" w:rsidR="0011444E" w:rsidRPr="00543048" w:rsidRDefault="0011444E" w:rsidP="0011444E">
      <w:pPr>
        <w:ind w:firstLine="420"/>
        <w:rPr>
          <w:b/>
        </w:rPr>
      </w:pPr>
      <w:r>
        <w:rPr>
          <w:rFonts w:hint="eastAsia"/>
        </w:rPr>
        <w:t>2</w:t>
      </w:r>
      <w:r>
        <w:t>.</w:t>
      </w:r>
      <w:r>
        <w:rPr>
          <w:rFonts w:hint="eastAsia"/>
        </w:rPr>
        <w:t>项目应提供与建筑设计、竣工资料相吻合的相关应用量的计算证明性材料。</w:t>
      </w:r>
    </w:p>
    <w:p w14:paraId="52259591" w14:textId="77777777" w:rsidR="0011444E" w:rsidRPr="006C79E9" w:rsidRDefault="0011444E" w:rsidP="0011444E">
      <w:pPr>
        <w:pStyle w:val="20"/>
      </w:pPr>
      <w:r w:rsidRPr="0081478A">
        <w:t>【评价方法】</w:t>
      </w:r>
    </w:p>
    <w:p w14:paraId="03E8E695" w14:textId="77777777" w:rsidR="0011444E" w:rsidRPr="00530A11" w:rsidRDefault="0011444E" w:rsidP="0011444E">
      <w:pPr>
        <w:ind w:firstLine="420"/>
        <w:rPr>
          <w:b/>
        </w:rPr>
      </w:pPr>
      <w:r w:rsidRPr="00530A11">
        <w:t>本条的评价方法为：预评价查阅</w:t>
      </w:r>
      <w:r>
        <w:rPr>
          <w:rFonts w:hint="eastAsia"/>
        </w:rPr>
        <w:t>设计图、计算书</w:t>
      </w:r>
      <w:r w:rsidRPr="00530A11">
        <w:t>；评价查阅竣工图及</w:t>
      </w:r>
      <w:r>
        <w:rPr>
          <w:rFonts w:hint="eastAsia"/>
        </w:rPr>
        <w:t>计算书</w:t>
      </w:r>
      <w:r w:rsidRPr="00530A11">
        <w:t>、</w:t>
      </w:r>
      <w:r>
        <w:rPr>
          <w:rFonts w:hint="eastAsia"/>
        </w:rPr>
        <w:t>施工过程材料</w:t>
      </w:r>
      <w:r w:rsidRPr="00530A11">
        <w:t>购销合同及用量清单等有关证明文件。</w:t>
      </w:r>
    </w:p>
    <w:p w14:paraId="6941FE02" w14:textId="77777777" w:rsidR="00715ABB" w:rsidRPr="00E905A0" w:rsidRDefault="00715ABB">
      <w:pPr>
        <w:spacing w:line="312" w:lineRule="auto"/>
        <w:ind w:firstLineChars="0" w:firstLine="0"/>
        <w:jc w:val="left"/>
        <w:rPr>
          <w:rFonts w:cs="Times New Roman"/>
          <w:b/>
          <w:bCs/>
          <w:szCs w:val="24"/>
        </w:rPr>
      </w:pPr>
    </w:p>
    <w:p w14:paraId="23BA86DE" w14:textId="77777777" w:rsidR="00715ABB" w:rsidRPr="0081478A" w:rsidRDefault="00F44390" w:rsidP="001A7E3B">
      <w:pPr>
        <w:pStyle w:val="2"/>
      </w:pPr>
      <w:bookmarkStart w:id="141" w:name="_Toc22221582"/>
      <w:bookmarkStart w:id="142" w:name="_Toc35364749"/>
      <w:r w:rsidRPr="0081478A">
        <w:t xml:space="preserve">7.2 </w:t>
      </w:r>
      <w:r w:rsidRPr="0081478A">
        <w:t>评分项</w:t>
      </w:r>
      <w:bookmarkEnd w:id="141"/>
      <w:bookmarkEnd w:id="142"/>
    </w:p>
    <w:p w14:paraId="45D4BAF4" w14:textId="77777777" w:rsidR="00715ABB" w:rsidRPr="0081478A" w:rsidRDefault="00F44390" w:rsidP="001A7E3B">
      <w:pPr>
        <w:pStyle w:val="3"/>
      </w:pPr>
      <w:bookmarkStart w:id="143" w:name="_Toc22221583"/>
      <w:bookmarkStart w:id="144" w:name="_Toc35364750"/>
      <w:r w:rsidRPr="0081478A">
        <w:t xml:space="preserve">Ⅰ </w:t>
      </w:r>
      <w:r w:rsidRPr="0081478A">
        <w:t>节地与土地利用</w:t>
      </w:r>
      <w:bookmarkEnd w:id="143"/>
      <w:bookmarkEnd w:id="144"/>
    </w:p>
    <w:p w14:paraId="1F149BB8" w14:textId="77777777" w:rsidR="00C060F4" w:rsidRPr="00530A11" w:rsidRDefault="00C060F4" w:rsidP="00C060F4">
      <w:pPr>
        <w:pStyle w:val="4"/>
        <w:rPr>
          <w:rFonts w:cs="Times New Roman"/>
          <w:bCs w:val="0"/>
        </w:rPr>
      </w:pPr>
      <w:r w:rsidRPr="00530A11">
        <w:rPr>
          <w:rFonts w:cs="Times New Roman"/>
          <w:bCs w:val="0"/>
        </w:rPr>
        <w:t xml:space="preserve">7.2.1 </w:t>
      </w:r>
      <w:r w:rsidRPr="00530A11">
        <w:rPr>
          <w:rFonts w:cs="Times New Roman"/>
          <w:bCs w:val="0"/>
        </w:rPr>
        <w:t>节约集约利用土地，评价总分值为</w:t>
      </w:r>
      <w:r w:rsidRPr="00530A11">
        <w:rPr>
          <w:rFonts w:cs="Times New Roman"/>
          <w:bCs w:val="0"/>
        </w:rPr>
        <w:t>20</w:t>
      </w:r>
      <w:r w:rsidRPr="00530A11">
        <w:rPr>
          <w:rFonts w:cs="Times New Roman"/>
          <w:bCs w:val="0"/>
        </w:rPr>
        <w:t>分，并按下列规则评分：</w:t>
      </w:r>
    </w:p>
    <w:p w14:paraId="74A69C82" w14:textId="77777777" w:rsidR="00C060F4" w:rsidRPr="00C060F4" w:rsidRDefault="00C060F4" w:rsidP="00C060F4">
      <w:pPr>
        <w:pStyle w:val="20"/>
        <w:ind w:firstLineChars="100" w:firstLine="211"/>
      </w:pPr>
      <w:r w:rsidRPr="00C060F4">
        <w:t>1 对于住宅建筑，根据其所在居住街坊人均住宅用地指标按表7.2.1-1的规则评分。</w:t>
      </w:r>
    </w:p>
    <w:p w14:paraId="36CF300C" w14:textId="77777777" w:rsidR="00C060F4" w:rsidRPr="00530A11" w:rsidRDefault="00C060F4" w:rsidP="00C060F4">
      <w:pPr>
        <w:pStyle w:val="ae"/>
        <w:rPr>
          <w:rFonts w:cs="Times New Roman"/>
          <w:b w:val="0"/>
        </w:rPr>
      </w:pPr>
      <w:r w:rsidRPr="00530A11">
        <w:rPr>
          <w:rFonts w:cs="Times New Roman"/>
          <w:b w:val="0"/>
        </w:rPr>
        <w:t>表</w:t>
      </w:r>
      <w:r w:rsidRPr="00530A11">
        <w:rPr>
          <w:rFonts w:cs="Times New Roman"/>
          <w:b w:val="0"/>
        </w:rPr>
        <w:t xml:space="preserve">7.2.1-1 </w:t>
      </w:r>
      <w:r w:rsidRPr="00530A11">
        <w:rPr>
          <w:rFonts w:cs="Times New Roman"/>
          <w:b w:val="0"/>
        </w:rPr>
        <w:t>居住街坊人均住宅用地指标评分规则</w:t>
      </w:r>
    </w:p>
    <w:tbl>
      <w:tblPr>
        <w:tblW w:w="8292" w:type="dxa"/>
        <w:jc w:val="center"/>
        <w:tblLayout w:type="fixed"/>
        <w:tblLook w:val="04A0" w:firstRow="1" w:lastRow="0" w:firstColumn="1" w:lastColumn="0" w:noHBand="0" w:noVBand="1"/>
      </w:tblPr>
      <w:tblGrid>
        <w:gridCol w:w="1138"/>
        <w:gridCol w:w="1264"/>
        <w:gridCol w:w="1195"/>
        <w:gridCol w:w="1184"/>
        <w:gridCol w:w="1218"/>
        <w:gridCol w:w="1195"/>
        <w:gridCol w:w="1098"/>
      </w:tblGrid>
      <w:tr w:rsidR="00C060F4" w:rsidRPr="00530A11" w14:paraId="2DEA2158" w14:textId="77777777" w:rsidTr="00C060F4">
        <w:trPr>
          <w:trHeight w:val="510"/>
          <w:jc w:val="center"/>
        </w:trPr>
        <w:tc>
          <w:tcPr>
            <w:tcW w:w="1138"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457309E9" w14:textId="77777777" w:rsidR="00C060F4" w:rsidRPr="00530A11" w:rsidRDefault="00C060F4" w:rsidP="00C060F4">
            <w:pPr>
              <w:pStyle w:val="ae"/>
              <w:rPr>
                <w:rFonts w:cs="Times New Roman"/>
                <w:b w:val="0"/>
              </w:rPr>
            </w:pPr>
            <w:r w:rsidRPr="00530A11">
              <w:rPr>
                <w:rFonts w:cs="Times New Roman"/>
                <w:b w:val="0"/>
              </w:rPr>
              <w:t>建筑气候区</w:t>
            </w:r>
          </w:p>
        </w:tc>
        <w:tc>
          <w:tcPr>
            <w:tcW w:w="6056" w:type="dxa"/>
            <w:gridSpan w:val="5"/>
            <w:tcBorders>
              <w:top w:val="single" w:sz="8" w:space="0" w:color="auto"/>
              <w:left w:val="single" w:sz="8" w:space="0" w:color="auto"/>
              <w:bottom w:val="single" w:sz="8" w:space="0" w:color="auto"/>
              <w:right w:val="single" w:sz="8" w:space="0" w:color="auto"/>
            </w:tcBorders>
            <w:shd w:val="clear" w:color="auto" w:fill="auto"/>
            <w:vAlign w:val="center"/>
          </w:tcPr>
          <w:p w14:paraId="69500968" w14:textId="77777777" w:rsidR="00C060F4" w:rsidRPr="00530A11" w:rsidRDefault="00C060F4" w:rsidP="00C060F4">
            <w:pPr>
              <w:pStyle w:val="ae"/>
              <w:rPr>
                <w:rFonts w:cs="Times New Roman"/>
                <w:b w:val="0"/>
              </w:rPr>
            </w:pPr>
            <w:r w:rsidRPr="00530A11">
              <w:rPr>
                <w:rFonts w:cs="Times New Roman"/>
                <w:b w:val="0"/>
              </w:rPr>
              <w:t>人均住宅用地指标</w:t>
            </w:r>
            <w:r w:rsidRPr="00530A11">
              <w:rPr>
                <w:rFonts w:cs="Times New Roman"/>
                <w:b w:val="0"/>
              </w:rPr>
              <w:t>A</w:t>
            </w:r>
            <w:r w:rsidRPr="00530A11">
              <w:rPr>
                <w:rFonts w:cs="Times New Roman"/>
                <w:b w:val="0"/>
              </w:rPr>
              <w:t>（</w:t>
            </w:r>
            <w:r w:rsidRPr="00530A11">
              <w:rPr>
                <w:rFonts w:cs="Times New Roman"/>
                <w:b w:val="0"/>
              </w:rPr>
              <w:t>m</w:t>
            </w:r>
            <w:r w:rsidRPr="00530A11">
              <w:rPr>
                <w:rFonts w:cs="Times New Roman"/>
                <w:b w:val="0"/>
                <w:vertAlign w:val="superscript"/>
              </w:rPr>
              <w:t>2</w:t>
            </w:r>
            <w:r w:rsidRPr="00530A11">
              <w:rPr>
                <w:rFonts w:cs="Times New Roman"/>
                <w:b w:val="0"/>
              </w:rPr>
              <w:t>）</w:t>
            </w:r>
          </w:p>
        </w:tc>
        <w:tc>
          <w:tcPr>
            <w:tcW w:w="1098"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3E85CBD9" w14:textId="77777777" w:rsidR="00C060F4" w:rsidRPr="00530A11" w:rsidRDefault="00C060F4" w:rsidP="00C060F4">
            <w:pPr>
              <w:pStyle w:val="ae"/>
              <w:rPr>
                <w:rFonts w:cs="Times New Roman"/>
                <w:b w:val="0"/>
              </w:rPr>
            </w:pPr>
            <w:r w:rsidRPr="00530A11">
              <w:rPr>
                <w:rFonts w:cs="Times New Roman"/>
                <w:b w:val="0"/>
              </w:rPr>
              <w:t>得分</w:t>
            </w:r>
          </w:p>
        </w:tc>
      </w:tr>
      <w:tr w:rsidR="00C060F4" w:rsidRPr="00530A11" w14:paraId="25EA496F" w14:textId="77777777" w:rsidTr="00C060F4">
        <w:trPr>
          <w:jc w:val="center"/>
        </w:trPr>
        <w:tc>
          <w:tcPr>
            <w:tcW w:w="113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A0DFAD3" w14:textId="77777777" w:rsidR="00C060F4" w:rsidRPr="00530A11" w:rsidRDefault="00C060F4" w:rsidP="00C060F4">
            <w:pPr>
              <w:pStyle w:val="ae"/>
              <w:rPr>
                <w:rFonts w:cs="Times New Roman"/>
                <w:b w:val="0"/>
              </w:rPr>
            </w:pPr>
          </w:p>
        </w:tc>
        <w:tc>
          <w:tcPr>
            <w:tcW w:w="1264" w:type="dxa"/>
            <w:tcBorders>
              <w:top w:val="single" w:sz="8" w:space="0" w:color="auto"/>
              <w:left w:val="single" w:sz="8" w:space="0" w:color="auto"/>
              <w:bottom w:val="single" w:sz="8" w:space="0" w:color="auto"/>
              <w:right w:val="single" w:sz="8" w:space="0" w:color="auto"/>
            </w:tcBorders>
            <w:shd w:val="clear" w:color="auto" w:fill="auto"/>
            <w:vAlign w:val="center"/>
          </w:tcPr>
          <w:p w14:paraId="555C1990" w14:textId="77777777" w:rsidR="00C060F4" w:rsidRPr="00530A11" w:rsidRDefault="00C060F4" w:rsidP="00C060F4">
            <w:pPr>
              <w:pStyle w:val="ae"/>
              <w:rPr>
                <w:rFonts w:cs="Times New Roman"/>
                <w:b w:val="0"/>
              </w:rPr>
            </w:pPr>
            <w:r w:rsidRPr="00530A11">
              <w:rPr>
                <w:rFonts w:cs="Times New Roman"/>
                <w:b w:val="0"/>
              </w:rPr>
              <w:t>3</w:t>
            </w:r>
            <w:r w:rsidRPr="00530A11">
              <w:rPr>
                <w:rFonts w:cs="Times New Roman"/>
                <w:b w:val="0"/>
              </w:rPr>
              <w:t>层及以下</w:t>
            </w:r>
          </w:p>
        </w:tc>
        <w:tc>
          <w:tcPr>
            <w:tcW w:w="1195" w:type="dxa"/>
            <w:tcBorders>
              <w:top w:val="single" w:sz="8" w:space="0" w:color="auto"/>
              <w:left w:val="single" w:sz="8" w:space="0" w:color="auto"/>
              <w:bottom w:val="single" w:sz="8" w:space="0" w:color="auto"/>
              <w:right w:val="single" w:sz="8" w:space="0" w:color="auto"/>
            </w:tcBorders>
            <w:shd w:val="clear" w:color="auto" w:fill="auto"/>
            <w:vAlign w:val="center"/>
          </w:tcPr>
          <w:p w14:paraId="494D89E5" w14:textId="77777777" w:rsidR="00C060F4" w:rsidRPr="00530A11" w:rsidRDefault="00C060F4" w:rsidP="00C060F4">
            <w:pPr>
              <w:pStyle w:val="ae"/>
              <w:rPr>
                <w:rFonts w:cs="Times New Roman"/>
                <w:b w:val="0"/>
              </w:rPr>
            </w:pPr>
            <w:r w:rsidRPr="00530A11">
              <w:rPr>
                <w:rFonts w:cs="Times New Roman"/>
                <w:b w:val="0"/>
              </w:rPr>
              <w:t>4~6</w:t>
            </w:r>
            <w:r w:rsidRPr="00530A11">
              <w:rPr>
                <w:rFonts w:cs="Times New Roman"/>
                <w:b w:val="0"/>
              </w:rPr>
              <w:t>层</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center"/>
          </w:tcPr>
          <w:p w14:paraId="3EAFF533" w14:textId="77777777" w:rsidR="00C060F4" w:rsidRPr="00530A11" w:rsidRDefault="00C060F4" w:rsidP="00C060F4">
            <w:pPr>
              <w:pStyle w:val="ae"/>
              <w:rPr>
                <w:rFonts w:cs="Times New Roman"/>
                <w:b w:val="0"/>
              </w:rPr>
            </w:pPr>
            <w:r w:rsidRPr="00530A11">
              <w:rPr>
                <w:rFonts w:cs="Times New Roman"/>
                <w:b w:val="0"/>
              </w:rPr>
              <w:t>7~9</w:t>
            </w:r>
            <w:r w:rsidRPr="00530A11">
              <w:rPr>
                <w:rFonts w:cs="Times New Roman"/>
                <w:b w:val="0"/>
              </w:rPr>
              <w:t>层</w:t>
            </w:r>
          </w:p>
        </w:tc>
        <w:tc>
          <w:tcPr>
            <w:tcW w:w="1218" w:type="dxa"/>
            <w:tcBorders>
              <w:top w:val="single" w:sz="8" w:space="0" w:color="auto"/>
              <w:left w:val="single" w:sz="8" w:space="0" w:color="auto"/>
              <w:bottom w:val="single" w:sz="8" w:space="0" w:color="auto"/>
              <w:right w:val="single" w:sz="8" w:space="0" w:color="auto"/>
            </w:tcBorders>
            <w:shd w:val="clear" w:color="auto" w:fill="auto"/>
            <w:vAlign w:val="center"/>
          </w:tcPr>
          <w:p w14:paraId="7F5E8BA7" w14:textId="77777777" w:rsidR="00C060F4" w:rsidRPr="00530A11" w:rsidRDefault="00C060F4" w:rsidP="00C060F4">
            <w:pPr>
              <w:pStyle w:val="ae"/>
              <w:rPr>
                <w:rFonts w:cs="Times New Roman"/>
                <w:b w:val="0"/>
              </w:rPr>
            </w:pPr>
            <w:r w:rsidRPr="00530A11">
              <w:rPr>
                <w:rFonts w:cs="Times New Roman"/>
                <w:b w:val="0"/>
              </w:rPr>
              <w:t>10~18</w:t>
            </w:r>
            <w:r w:rsidRPr="00530A11">
              <w:rPr>
                <w:rFonts w:cs="Times New Roman"/>
                <w:b w:val="0"/>
              </w:rPr>
              <w:t>层</w:t>
            </w:r>
          </w:p>
        </w:tc>
        <w:tc>
          <w:tcPr>
            <w:tcW w:w="1195" w:type="dxa"/>
            <w:tcBorders>
              <w:top w:val="single" w:sz="8" w:space="0" w:color="auto"/>
              <w:left w:val="single" w:sz="8" w:space="0" w:color="auto"/>
              <w:bottom w:val="single" w:sz="8" w:space="0" w:color="auto"/>
              <w:right w:val="single" w:sz="8" w:space="0" w:color="auto"/>
            </w:tcBorders>
            <w:shd w:val="clear" w:color="auto" w:fill="auto"/>
            <w:vAlign w:val="center"/>
          </w:tcPr>
          <w:p w14:paraId="6920759C" w14:textId="77777777" w:rsidR="00C060F4" w:rsidRPr="00530A11" w:rsidRDefault="00C060F4" w:rsidP="00C060F4">
            <w:pPr>
              <w:pStyle w:val="ae"/>
              <w:rPr>
                <w:rFonts w:cs="Times New Roman"/>
                <w:b w:val="0"/>
              </w:rPr>
            </w:pPr>
            <w:r w:rsidRPr="00530A11">
              <w:rPr>
                <w:rFonts w:cs="Times New Roman"/>
                <w:b w:val="0"/>
              </w:rPr>
              <w:t>19</w:t>
            </w:r>
            <w:r w:rsidRPr="00530A11">
              <w:rPr>
                <w:rFonts w:cs="Times New Roman"/>
                <w:b w:val="0"/>
              </w:rPr>
              <w:t>层及以上</w:t>
            </w:r>
          </w:p>
        </w:tc>
        <w:tc>
          <w:tcPr>
            <w:tcW w:w="109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1D4CC9E6" w14:textId="77777777" w:rsidR="00C060F4" w:rsidRPr="00530A11" w:rsidRDefault="00C060F4" w:rsidP="00C060F4">
            <w:pPr>
              <w:pStyle w:val="ae"/>
              <w:rPr>
                <w:rFonts w:cs="Times New Roman"/>
                <w:b w:val="0"/>
              </w:rPr>
            </w:pPr>
          </w:p>
        </w:tc>
      </w:tr>
      <w:tr w:rsidR="00C060F4" w:rsidRPr="00530A11" w14:paraId="4CA606FE" w14:textId="77777777" w:rsidTr="00C060F4">
        <w:trPr>
          <w:trHeight w:val="510"/>
          <w:jc w:val="center"/>
        </w:trPr>
        <w:tc>
          <w:tcPr>
            <w:tcW w:w="1138"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80FE8BD" w14:textId="77777777" w:rsidR="00C060F4" w:rsidRPr="00530A11" w:rsidRDefault="00C060F4" w:rsidP="00C060F4">
            <w:pPr>
              <w:pStyle w:val="ae"/>
              <w:rPr>
                <w:rFonts w:cs="Times New Roman"/>
                <w:b w:val="0"/>
              </w:rPr>
            </w:pPr>
            <w:r w:rsidRPr="00530A11">
              <w:rPr>
                <w:rFonts w:cs="Times New Roman"/>
                <w:b w:val="0"/>
              </w:rPr>
              <w:t>Ⅲ</w:t>
            </w:r>
          </w:p>
        </w:tc>
        <w:tc>
          <w:tcPr>
            <w:tcW w:w="1264" w:type="dxa"/>
            <w:tcBorders>
              <w:top w:val="single" w:sz="8" w:space="0" w:color="auto"/>
              <w:left w:val="single" w:sz="8" w:space="0" w:color="auto"/>
              <w:bottom w:val="single" w:sz="8" w:space="0" w:color="auto"/>
              <w:right w:val="single" w:sz="8" w:space="0" w:color="auto"/>
            </w:tcBorders>
            <w:shd w:val="clear" w:color="auto" w:fill="auto"/>
            <w:vAlign w:val="center"/>
          </w:tcPr>
          <w:p w14:paraId="05606418" w14:textId="77777777" w:rsidR="00C060F4" w:rsidRPr="00530A11" w:rsidRDefault="00C060F4" w:rsidP="00C060F4">
            <w:pPr>
              <w:pStyle w:val="ae"/>
              <w:rPr>
                <w:rFonts w:cs="Times New Roman"/>
                <w:b w:val="0"/>
              </w:rPr>
            </w:pPr>
            <w:r w:rsidRPr="00530A11">
              <w:rPr>
                <w:rFonts w:cs="Times New Roman"/>
                <w:b w:val="0"/>
              </w:rPr>
              <w:t>33&lt;A&lt;36</w:t>
            </w:r>
          </w:p>
        </w:tc>
        <w:tc>
          <w:tcPr>
            <w:tcW w:w="1195" w:type="dxa"/>
            <w:tcBorders>
              <w:top w:val="single" w:sz="8" w:space="0" w:color="auto"/>
              <w:left w:val="single" w:sz="8" w:space="0" w:color="auto"/>
              <w:bottom w:val="single" w:sz="8" w:space="0" w:color="auto"/>
              <w:right w:val="single" w:sz="8" w:space="0" w:color="auto"/>
            </w:tcBorders>
            <w:shd w:val="clear" w:color="auto" w:fill="auto"/>
            <w:vAlign w:val="center"/>
          </w:tcPr>
          <w:p w14:paraId="5DECA07E" w14:textId="77777777" w:rsidR="00C060F4" w:rsidRPr="00530A11" w:rsidRDefault="00C060F4" w:rsidP="00C060F4">
            <w:pPr>
              <w:pStyle w:val="ae"/>
              <w:rPr>
                <w:rFonts w:cs="Times New Roman"/>
                <w:b w:val="0"/>
              </w:rPr>
            </w:pPr>
            <w:r w:rsidRPr="00530A11">
              <w:rPr>
                <w:rFonts w:cs="Times New Roman"/>
                <w:b w:val="0"/>
              </w:rPr>
              <w:t>24&lt;A≤27</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center"/>
          </w:tcPr>
          <w:p w14:paraId="59D5EF51" w14:textId="77777777" w:rsidR="00C060F4" w:rsidRPr="00530A11" w:rsidRDefault="00C060F4" w:rsidP="00C060F4">
            <w:pPr>
              <w:pStyle w:val="ae"/>
              <w:rPr>
                <w:rFonts w:cs="Times New Roman"/>
                <w:b w:val="0"/>
              </w:rPr>
            </w:pPr>
            <w:r w:rsidRPr="00530A11">
              <w:rPr>
                <w:rFonts w:cs="Times New Roman"/>
                <w:b w:val="0"/>
              </w:rPr>
              <w:t>19&lt;A≤20</w:t>
            </w:r>
          </w:p>
        </w:tc>
        <w:tc>
          <w:tcPr>
            <w:tcW w:w="1218" w:type="dxa"/>
            <w:tcBorders>
              <w:top w:val="single" w:sz="8" w:space="0" w:color="auto"/>
              <w:left w:val="single" w:sz="8" w:space="0" w:color="auto"/>
              <w:bottom w:val="single" w:sz="8" w:space="0" w:color="auto"/>
              <w:right w:val="single" w:sz="8" w:space="0" w:color="auto"/>
            </w:tcBorders>
            <w:shd w:val="clear" w:color="auto" w:fill="auto"/>
            <w:vAlign w:val="center"/>
          </w:tcPr>
          <w:p w14:paraId="7F4AE5B1" w14:textId="77777777" w:rsidR="00C060F4" w:rsidRPr="00530A11" w:rsidRDefault="00C060F4" w:rsidP="00C060F4">
            <w:pPr>
              <w:pStyle w:val="ae"/>
              <w:rPr>
                <w:rFonts w:cs="Times New Roman"/>
                <w:b w:val="0"/>
              </w:rPr>
            </w:pPr>
            <w:r w:rsidRPr="00530A11">
              <w:rPr>
                <w:rFonts w:cs="Times New Roman"/>
                <w:b w:val="0"/>
              </w:rPr>
              <w:t>15&lt;A≤16</w:t>
            </w:r>
          </w:p>
        </w:tc>
        <w:tc>
          <w:tcPr>
            <w:tcW w:w="1195" w:type="dxa"/>
            <w:tcBorders>
              <w:top w:val="single" w:sz="8" w:space="0" w:color="auto"/>
              <w:left w:val="single" w:sz="8" w:space="0" w:color="auto"/>
              <w:bottom w:val="single" w:sz="8" w:space="0" w:color="auto"/>
              <w:right w:val="single" w:sz="8" w:space="0" w:color="auto"/>
            </w:tcBorders>
            <w:shd w:val="clear" w:color="auto" w:fill="auto"/>
            <w:vAlign w:val="center"/>
          </w:tcPr>
          <w:p w14:paraId="775AAD62" w14:textId="77777777" w:rsidR="00C060F4" w:rsidRPr="00530A11" w:rsidRDefault="00C060F4" w:rsidP="00C060F4">
            <w:pPr>
              <w:pStyle w:val="ae"/>
              <w:rPr>
                <w:rFonts w:cs="Times New Roman"/>
                <w:b w:val="0"/>
              </w:rPr>
            </w:pPr>
            <w:r w:rsidRPr="00530A11">
              <w:rPr>
                <w:rFonts w:cs="Times New Roman"/>
                <w:b w:val="0"/>
              </w:rPr>
              <w:t>11&lt;A≤12</w:t>
            </w:r>
          </w:p>
        </w:tc>
        <w:tc>
          <w:tcPr>
            <w:tcW w:w="1098" w:type="dxa"/>
            <w:tcBorders>
              <w:top w:val="single" w:sz="8" w:space="0" w:color="auto"/>
              <w:left w:val="single" w:sz="8" w:space="0" w:color="auto"/>
              <w:bottom w:val="single" w:sz="8" w:space="0" w:color="auto"/>
              <w:right w:val="single" w:sz="8" w:space="0" w:color="auto"/>
            </w:tcBorders>
            <w:shd w:val="clear" w:color="auto" w:fill="auto"/>
            <w:vAlign w:val="center"/>
          </w:tcPr>
          <w:p w14:paraId="6CBA92FE" w14:textId="77777777" w:rsidR="00C060F4" w:rsidRPr="00530A11" w:rsidRDefault="00C060F4" w:rsidP="00C060F4">
            <w:pPr>
              <w:pStyle w:val="ae"/>
              <w:rPr>
                <w:rFonts w:cs="Times New Roman"/>
                <w:b w:val="0"/>
              </w:rPr>
            </w:pPr>
            <w:r w:rsidRPr="00530A11">
              <w:rPr>
                <w:rFonts w:cs="Times New Roman"/>
                <w:b w:val="0"/>
              </w:rPr>
              <w:t>15</w:t>
            </w:r>
          </w:p>
        </w:tc>
      </w:tr>
      <w:tr w:rsidR="00C060F4" w:rsidRPr="00530A11" w14:paraId="4FF8A4A3" w14:textId="77777777" w:rsidTr="00C060F4">
        <w:trPr>
          <w:jc w:val="center"/>
        </w:trPr>
        <w:tc>
          <w:tcPr>
            <w:tcW w:w="1138" w:type="dxa"/>
            <w:vMerge/>
            <w:tcBorders>
              <w:top w:val="single" w:sz="8" w:space="0" w:color="auto"/>
              <w:left w:val="single" w:sz="8" w:space="0" w:color="auto"/>
              <w:bottom w:val="single" w:sz="8" w:space="0" w:color="auto"/>
              <w:right w:val="single" w:sz="8" w:space="0" w:color="auto"/>
            </w:tcBorders>
            <w:shd w:val="clear" w:color="auto" w:fill="auto"/>
            <w:vAlign w:val="center"/>
          </w:tcPr>
          <w:p w14:paraId="18672DB2" w14:textId="77777777" w:rsidR="00C060F4" w:rsidRPr="00530A11" w:rsidRDefault="00C060F4" w:rsidP="00C060F4">
            <w:pPr>
              <w:pStyle w:val="ae"/>
              <w:rPr>
                <w:rFonts w:cs="Times New Roman"/>
                <w:b w:val="0"/>
              </w:rPr>
            </w:pPr>
          </w:p>
        </w:tc>
        <w:tc>
          <w:tcPr>
            <w:tcW w:w="1264" w:type="dxa"/>
            <w:tcBorders>
              <w:top w:val="single" w:sz="8" w:space="0" w:color="auto"/>
              <w:left w:val="single" w:sz="8" w:space="0" w:color="auto"/>
              <w:bottom w:val="single" w:sz="8" w:space="0" w:color="auto"/>
              <w:right w:val="single" w:sz="8" w:space="0" w:color="auto"/>
            </w:tcBorders>
            <w:shd w:val="clear" w:color="auto" w:fill="auto"/>
            <w:vAlign w:val="center"/>
          </w:tcPr>
          <w:p w14:paraId="4950BCF6" w14:textId="77777777" w:rsidR="00C060F4" w:rsidRPr="00530A11" w:rsidRDefault="00C060F4" w:rsidP="00C060F4">
            <w:pPr>
              <w:pStyle w:val="ae"/>
              <w:rPr>
                <w:rFonts w:cs="Times New Roman"/>
                <w:b w:val="0"/>
              </w:rPr>
            </w:pPr>
            <w:r w:rsidRPr="00530A11">
              <w:rPr>
                <w:rFonts w:cs="Times New Roman"/>
                <w:b w:val="0"/>
              </w:rPr>
              <w:t>A≤33</w:t>
            </w:r>
          </w:p>
        </w:tc>
        <w:tc>
          <w:tcPr>
            <w:tcW w:w="1195" w:type="dxa"/>
            <w:tcBorders>
              <w:top w:val="single" w:sz="8" w:space="0" w:color="auto"/>
              <w:left w:val="single" w:sz="8" w:space="0" w:color="auto"/>
              <w:bottom w:val="single" w:sz="8" w:space="0" w:color="auto"/>
              <w:right w:val="single" w:sz="8" w:space="0" w:color="auto"/>
            </w:tcBorders>
            <w:shd w:val="clear" w:color="auto" w:fill="auto"/>
            <w:vAlign w:val="center"/>
          </w:tcPr>
          <w:p w14:paraId="396E0528" w14:textId="77777777" w:rsidR="00C060F4" w:rsidRPr="00530A11" w:rsidRDefault="00C060F4" w:rsidP="00C060F4">
            <w:pPr>
              <w:pStyle w:val="ae"/>
              <w:rPr>
                <w:rFonts w:cs="Times New Roman"/>
                <w:b w:val="0"/>
              </w:rPr>
            </w:pPr>
            <w:r w:rsidRPr="00530A11">
              <w:rPr>
                <w:rFonts w:cs="Times New Roman"/>
                <w:b w:val="0"/>
              </w:rPr>
              <w:t>A≤24</w:t>
            </w:r>
          </w:p>
        </w:tc>
        <w:tc>
          <w:tcPr>
            <w:tcW w:w="1184" w:type="dxa"/>
            <w:tcBorders>
              <w:top w:val="single" w:sz="8" w:space="0" w:color="auto"/>
              <w:left w:val="single" w:sz="8" w:space="0" w:color="auto"/>
              <w:bottom w:val="single" w:sz="8" w:space="0" w:color="auto"/>
              <w:right w:val="single" w:sz="8" w:space="0" w:color="auto"/>
            </w:tcBorders>
            <w:shd w:val="clear" w:color="auto" w:fill="auto"/>
            <w:vAlign w:val="center"/>
          </w:tcPr>
          <w:p w14:paraId="4CC89690" w14:textId="77777777" w:rsidR="00C060F4" w:rsidRPr="00530A11" w:rsidRDefault="00C060F4" w:rsidP="00C060F4">
            <w:pPr>
              <w:pStyle w:val="ae"/>
              <w:rPr>
                <w:rFonts w:cs="Times New Roman"/>
                <w:b w:val="0"/>
              </w:rPr>
            </w:pPr>
            <w:r w:rsidRPr="00530A11">
              <w:rPr>
                <w:rFonts w:cs="Times New Roman"/>
                <w:b w:val="0"/>
              </w:rPr>
              <w:t>A≤19</w:t>
            </w:r>
          </w:p>
        </w:tc>
        <w:tc>
          <w:tcPr>
            <w:tcW w:w="1218" w:type="dxa"/>
            <w:tcBorders>
              <w:top w:val="single" w:sz="8" w:space="0" w:color="auto"/>
              <w:left w:val="single" w:sz="8" w:space="0" w:color="auto"/>
              <w:bottom w:val="single" w:sz="8" w:space="0" w:color="auto"/>
              <w:right w:val="single" w:sz="8" w:space="0" w:color="auto"/>
            </w:tcBorders>
            <w:shd w:val="clear" w:color="auto" w:fill="auto"/>
            <w:vAlign w:val="center"/>
          </w:tcPr>
          <w:p w14:paraId="4644F3A5" w14:textId="77777777" w:rsidR="00C060F4" w:rsidRPr="00530A11" w:rsidRDefault="00C060F4" w:rsidP="00C060F4">
            <w:pPr>
              <w:pStyle w:val="ae"/>
              <w:rPr>
                <w:rFonts w:cs="Times New Roman"/>
                <w:b w:val="0"/>
              </w:rPr>
            </w:pPr>
            <w:r w:rsidRPr="00530A11">
              <w:rPr>
                <w:rFonts w:cs="Times New Roman"/>
                <w:b w:val="0"/>
              </w:rPr>
              <w:t>A≤15</w:t>
            </w:r>
          </w:p>
        </w:tc>
        <w:tc>
          <w:tcPr>
            <w:tcW w:w="1195" w:type="dxa"/>
            <w:tcBorders>
              <w:top w:val="single" w:sz="8" w:space="0" w:color="auto"/>
              <w:left w:val="single" w:sz="8" w:space="0" w:color="auto"/>
              <w:bottom w:val="single" w:sz="8" w:space="0" w:color="auto"/>
              <w:right w:val="single" w:sz="8" w:space="0" w:color="auto"/>
            </w:tcBorders>
            <w:shd w:val="clear" w:color="auto" w:fill="auto"/>
            <w:vAlign w:val="center"/>
          </w:tcPr>
          <w:p w14:paraId="5E43D8E8" w14:textId="77777777" w:rsidR="00C060F4" w:rsidRPr="00530A11" w:rsidRDefault="00C060F4" w:rsidP="00C060F4">
            <w:pPr>
              <w:pStyle w:val="ae"/>
              <w:rPr>
                <w:rFonts w:cs="Times New Roman"/>
                <w:b w:val="0"/>
              </w:rPr>
            </w:pPr>
            <w:r w:rsidRPr="00530A11">
              <w:rPr>
                <w:rFonts w:cs="Times New Roman"/>
                <w:b w:val="0"/>
              </w:rPr>
              <w:t>A≤11</w:t>
            </w:r>
          </w:p>
        </w:tc>
        <w:tc>
          <w:tcPr>
            <w:tcW w:w="1098" w:type="dxa"/>
            <w:tcBorders>
              <w:top w:val="single" w:sz="8" w:space="0" w:color="auto"/>
              <w:left w:val="single" w:sz="8" w:space="0" w:color="auto"/>
              <w:bottom w:val="single" w:sz="8" w:space="0" w:color="auto"/>
              <w:right w:val="single" w:sz="8" w:space="0" w:color="auto"/>
            </w:tcBorders>
            <w:shd w:val="clear" w:color="auto" w:fill="auto"/>
            <w:vAlign w:val="center"/>
          </w:tcPr>
          <w:p w14:paraId="6BE51F8F" w14:textId="77777777" w:rsidR="00C060F4" w:rsidRPr="00530A11" w:rsidRDefault="00C060F4" w:rsidP="00C060F4">
            <w:pPr>
              <w:pStyle w:val="ae"/>
              <w:rPr>
                <w:rFonts w:cs="Times New Roman"/>
                <w:b w:val="0"/>
              </w:rPr>
            </w:pPr>
            <w:r w:rsidRPr="00530A11">
              <w:rPr>
                <w:rFonts w:cs="Times New Roman"/>
                <w:b w:val="0"/>
              </w:rPr>
              <w:t>20</w:t>
            </w:r>
          </w:p>
        </w:tc>
      </w:tr>
    </w:tbl>
    <w:p w14:paraId="10D0EC71"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对于公共建筑，根据不同功能建筑的容积率</w:t>
      </w:r>
      <w:r w:rsidRPr="00C060F4">
        <w:rPr>
          <w:rFonts w:ascii="Times New Roman" w:hAnsi="Times New Roman" w:cs="Times New Roman"/>
          <w:bCs/>
          <w:color w:val="auto"/>
        </w:rPr>
        <w:t>(R)</w:t>
      </w:r>
      <w:r w:rsidRPr="00C060F4">
        <w:rPr>
          <w:rFonts w:ascii="Times New Roman" w:hAnsi="Times New Roman" w:cs="Times New Roman"/>
          <w:bCs/>
          <w:color w:val="auto"/>
        </w:rPr>
        <w:t>按表</w:t>
      </w:r>
      <w:r w:rsidRPr="00C060F4">
        <w:rPr>
          <w:rFonts w:ascii="Times New Roman" w:hAnsi="Times New Roman" w:cs="Times New Roman"/>
          <w:bCs/>
          <w:color w:val="auto"/>
        </w:rPr>
        <w:t>7.2.1-2</w:t>
      </w:r>
      <w:r w:rsidRPr="00C060F4">
        <w:rPr>
          <w:rFonts w:ascii="Times New Roman" w:hAnsi="Times New Roman" w:cs="Times New Roman"/>
          <w:bCs/>
          <w:color w:val="auto"/>
        </w:rPr>
        <w:t>的规则评分。</w:t>
      </w:r>
    </w:p>
    <w:p w14:paraId="3A0B5BC1" w14:textId="77777777" w:rsidR="00C060F4" w:rsidRPr="00530A11" w:rsidRDefault="00C060F4" w:rsidP="00C060F4">
      <w:pPr>
        <w:pStyle w:val="ae"/>
        <w:rPr>
          <w:rFonts w:cs="Times New Roman"/>
          <w:b w:val="0"/>
        </w:rPr>
      </w:pPr>
      <w:r w:rsidRPr="00530A11">
        <w:rPr>
          <w:rFonts w:cs="Times New Roman"/>
          <w:b w:val="0"/>
        </w:rPr>
        <w:t>表</w:t>
      </w:r>
      <w:r w:rsidRPr="00530A11">
        <w:rPr>
          <w:rFonts w:cs="Times New Roman"/>
          <w:b w:val="0"/>
        </w:rPr>
        <w:t xml:space="preserve">7.2.1-2 </w:t>
      </w:r>
      <w:r w:rsidRPr="00530A11">
        <w:rPr>
          <w:rFonts w:cs="Times New Roman"/>
          <w:b w:val="0"/>
        </w:rPr>
        <w:t>公共建筑容积率</w:t>
      </w:r>
      <w:r w:rsidRPr="00530A11">
        <w:rPr>
          <w:rFonts w:cs="Times New Roman"/>
          <w:b w:val="0"/>
        </w:rPr>
        <w:t>(R)</w:t>
      </w:r>
      <w:r w:rsidRPr="00530A11">
        <w:rPr>
          <w:rFonts w:cs="Times New Roman"/>
          <w:b w:val="0"/>
        </w:rPr>
        <w:t>评分规则</w:t>
      </w:r>
    </w:p>
    <w:tbl>
      <w:tblPr>
        <w:tblW w:w="83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90"/>
        <w:gridCol w:w="3448"/>
        <w:gridCol w:w="1164"/>
      </w:tblGrid>
      <w:tr w:rsidR="00C060F4" w:rsidRPr="00530A11" w14:paraId="5DC5AB42" w14:textId="77777777" w:rsidTr="00F83296">
        <w:trPr>
          <w:jc w:val="center"/>
        </w:trPr>
        <w:tc>
          <w:tcPr>
            <w:tcW w:w="3690" w:type="dxa"/>
            <w:vAlign w:val="center"/>
          </w:tcPr>
          <w:p w14:paraId="60CBD780" w14:textId="77777777" w:rsidR="00C060F4" w:rsidRPr="00530A11" w:rsidRDefault="00C060F4" w:rsidP="00C060F4">
            <w:pPr>
              <w:pStyle w:val="ae"/>
              <w:rPr>
                <w:rFonts w:cs="Times New Roman"/>
                <w:b w:val="0"/>
              </w:rPr>
            </w:pPr>
            <w:r w:rsidRPr="00530A11">
              <w:rPr>
                <w:rFonts w:cs="Times New Roman"/>
                <w:b w:val="0"/>
              </w:rPr>
              <w:t>行政办公、商务办公、商业金融、旅馆饭店、交通枢纽等</w:t>
            </w:r>
          </w:p>
        </w:tc>
        <w:tc>
          <w:tcPr>
            <w:tcW w:w="3448" w:type="dxa"/>
            <w:vAlign w:val="center"/>
          </w:tcPr>
          <w:p w14:paraId="071721EB" w14:textId="77777777" w:rsidR="00C060F4" w:rsidRPr="00530A11" w:rsidRDefault="00C060F4" w:rsidP="00C060F4">
            <w:pPr>
              <w:pStyle w:val="ae"/>
              <w:rPr>
                <w:rFonts w:cs="Times New Roman"/>
                <w:b w:val="0"/>
              </w:rPr>
            </w:pPr>
            <w:r w:rsidRPr="00530A11">
              <w:rPr>
                <w:rFonts w:cs="Times New Roman"/>
                <w:b w:val="0"/>
              </w:rPr>
              <w:t>教育、文化、体育、医疗卫生、社会福利等</w:t>
            </w:r>
          </w:p>
        </w:tc>
        <w:tc>
          <w:tcPr>
            <w:tcW w:w="1164" w:type="dxa"/>
            <w:vAlign w:val="center"/>
          </w:tcPr>
          <w:p w14:paraId="1D7CF4BD" w14:textId="77777777" w:rsidR="00C060F4" w:rsidRPr="00530A11" w:rsidRDefault="00C060F4" w:rsidP="00C060F4">
            <w:pPr>
              <w:pStyle w:val="ae"/>
              <w:rPr>
                <w:rFonts w:cs="Times New Roman"/>
                <w:b w:val="0"/>
              </w:rPr>
            </w:pPr>
            <w:r w:rsidRPr="00530A11">
              <w:rPr>
                <w:rFonts w:cs="Times New Roman"/>
                <w:b w:val="0"/>
              </w:rPr>
              <w:t>得分</w:t>
            </w:r>
          </w:p>
        </w:tc>
      </w:tr>
      <w:tr w:rsidR="00C060F4" w:rsidRPr="00530A11" w14:paraId="3774FFD0" w14:textId="77777777" w:rsidTr="00F83296">
        <w:trPr>
          <w:jc w:val="center"/>
        </w:trPr>
        <w:tc>
          <w:tcPr>
            <w:tcW w:w="3690" w:type="dxa"/>
            <w:vAlign w:val="center"/>
          </w:tcPr>
          <w:p w14:paraId="0347F073" w14:textId="77777777" w:rsidR="00C060F4" w:rsidRPr="00530A11" w:rsidRDefault="00C060F4" w:rsidP="00C060F4">
            <w:pPr>
              <w:pStyle w:val="ae"/>
              <w:rPr>
                <w:rFonts w:cs="Times New Roman"/>
                <w:b w:val="0"/>
              </w:rPr>
            </w:pPr>
            <w:r w:rsidRPr="00530A11">
              <w:rPr>
                <w:rFonts w:cs="Times New Roman"/>
                <w:b w:val="0"/>
              </w:rPr>
              <w:t>1.0≤R&lt;1.5</w:t>
            </w:r>
          </w:p>
        </w:tc>
        <w:tc>
          <w:tcPr>
            <w:tcW w:w="3448" w:type="dxa"/>
            <w:vAlign w:val="center"/>
          </w:tcPr>
          <w:p w14:paraId="79E02DB6" w14:textId="77777777" w:rsidR="00C060F4" w:rsidRPr="00530A11" w:rsidRDefault="00C060F4" w:rsidP="00C060F4">
            <w:pPr>
              <w:pStyle w:val="ae"/>
              <w:rPr>
                <w:rFonts w:cs="Times New Roman"/>
                <w:b w:val="0"/>
              </w:rPr>
            </w:pPr>
            <w:r w:rsidRPr="00530A11">
              <w:rPr>
                <w:rFonts w:cs="Times New Roman"/>
                <w:b w:val="0"/>
              </w:rPr>
              <w:t>0.5≤R&lt;0.8</w:t>
            </w:r>
          </w:p>
        </w:tc>
        <w:tc>
          <w:tcPr>
            <w:tcW w:w="1164" w:type="dxa"/>
            <w:vAlign w:val="center"/>
          </w:tcPr>
          <w:p w14:paraId="28469954" w14:textId="77777777" w:rsidR="00C060F4" w:rsidRPr="00530A11" w:rsidRDefault="00C060F4" w:rsidP="00C060F4">
            <w:pPr>
              <w:pStyle w:val="ae"/>
              <w:rPr>
                <w:rFonts w:cs="Times New Roman"/>
                <w:b w:val="0"/>
              </w:rPr>
            </w:pPr>
            <w:r w:rsidRPr="00530A11">
              <w:rPr>
                <w:rFonts w:cs="Times New Roman"/>
                <w:b w:val="0"/>
              </w:rPr>
              <w:t>8</w:t>
            </w:r>
          </w:p>
        </w:tc>
      </w:tr>
      <w:tr w:rsidR="00C060F4" w:rsidRPr="00530A11" w14:paraId="726709AF" w14:textId="77777777" w:rsidTr="00F83296">
        <w:trPr>
          <w:jc w:val="center"/>
        </w:trPr>
        <w:tc>
          <w:tcPr>
            <w:tcW w:w="3690" w:type="dxa"/>
            <w:vAlign w:val="center"/>
          </w:tcPr>
          <w:p w14:paraId="1E868F4E" w14:textId="77777777" w:rsidR="00C060F4" w:rsidRPr="00530A11" w:rsidRDefault="00C060F4" w:rsidP="00C060F4">
            <w:pPr>
              <w:pStyle w:val="ae"/>
              <w:rPr>
                <w:rFonts w:cs="Times New Roman"/>
                <w:b w:val="0"/>
              </w:rPr>
            </w:pPr>
            <w:r w:rsidRPr="00530A11">
              <w:rPr>
                <w:rFonts w:cs="Times New Roman"/>
                <w:b w:val="0"/>
              </w:rPr>
              <w:lastRenderedPageBreak/>
              <w:t>1.5≤R&lt;2.5</w:t>
            </w:r>
          </w:p>
        </w:tc>
        <w:tc>
          <w:tcPr>
            <w:tcW w:w="3448" w:type="dxa"/>
            <w:vAlign w:val="center"/>
          </w:tcPr>
          <w:p w14:paraId="2B34546A" w14:textId="77777777" w:rsidR="00C060F4" w:rsidRPr="00530A11" w:rsidRDefault="00C060F4" w:rsidP="00C060F4">
            <w:pPr>
              <w:pStyle w:val="ae"/>
              <w:rPr>
                <w:rFonts w:cs="Times New Roman"/>
                <w:b w:val="0"/>
              </w:rPr>
            </w:pPr>
            <w:r w:rsidRPr="00530A11">
              <w:rPr>
                <w:rFonts w:cs="Times New Roman"/>
                <w:b w:val="0"/>
              </w:rPr>
              <w:t>R≥2.0</w:t>
            </w:r>
          </w:p>
        </w:tc>
        <w:tc>
          <w:tcPr>
            <w:tcW w:w="1164" w:type="dxa"/>
            <w:vAlign w:val="center"/>
          </w:tcPr>
          <w:p w14:paraId="11973F60" w14:textId="77777777" w:rsidR="00C060F4" w:rsidRPr="00530A11" w:rsidRDefault="00C060F4" w:rsidP="00C060F4">
            <w:pPr>
              <w:pStyle w:val="ae"/>
              <w:rPr>
                <w:rFonts w:cs="Times New Roman"/>
                <w:b w:val="0"/>
              </w:rPr>
            </w:pPr>
            <w:r w:rsidRPr="00530A11">
              <w:rPr>
                <w:rFonts w:cs="Times New Roman"/>
                <w:b w:val="0"/>
              </w:rPr>
              <w:t>12</w:t>
            </w:r>
          </w:p>
        </w:tc>
      </w:tr>
      <w:tr w:rsidR="00C060F4" w:rsidRPr="00530A11" w14:paraId="61F35D7C" w14:textId="77777777" w:rsidTr="00F83296">
        <w:trPr>
          <w:jc w:val="center"/>
        </w:trPr>
        <w:tc>
          <w:tcPr>
            <w:tcW w:w="3690" w:type="dxa"/>
            <w:vAlign w:val="center"/>
          </w:tcPr>
          <w:p w14:paraId="75EB672C" w14:textId="77777777" w:rsidR="00C060F4" w:rsidRPr="00530A11" w:rsidRDefault="00C060F4" w:rsidP="00C060F4">
            <w:pPr>
              <w:pStyle w:val="ae"/>
              <w:rPr>
                <w:rFonts w:cs="Times New Roman"/>
                <w:b w:val="0"/>
              </w:rPr>
            </w:pPr>
            <w:r w:rsidRPr="00530A11">
              <w:rPr>
                <w:rFonts w:cs="Times New Roman"/>
                <w:b w:val="0"/>
              </w:rPr>
              <w:t>2.5≤R&lt;3.5</w:t>
            </w:r>
          </w:p>
        </w:tc>
        <w:tc>
          <w:tcPr>
            <w:tcW w:w="3448" w:type="dxa"/>
            <w:vAlign w:val="center"/>
          </w:tcPr>
          <w:p w14:paraId="62E1F2B3" w14:textId="77777777" w:rsidR="00C060F4" w:rsidRPr="00530A11" w:rsidRDefault="00C060F4" w:rsidP="00C060F4">
            <w:pPr>
              <w:pStyle w:val="ae"/>
              <w:rPr>
                <w:rFonts w:cs="Times New Roman"/>
                <w:b w:val="0"/>
              </w:rPr>
            </w:pPr>
            <w:r w:rsidRPr="00530A11">
              <w:rPr>
                <w:rFonts w:cs="Times New Roman"/>
                <w:b w:val="0"/>
              </w:rPr>
              <w:t>0.8≤R&lt;1.5</w:t>
            </w:r>
          </w:p>
        </w:tc>
        <w:tc>
          <w:tcPr>
            <w:tcW w:w="1164" w:type="dxa"/>
            <w:vAlign w:val="center"/>
          </w:tcPr>
          <w:p w14:paraId="1128B6A4" w14:textId="77777777" w:rsidR="00C060F4" w:rsidRPr="00530A11" w:rsidRDefault="00C060F4" w:rsidP="00C060F4">
            <w:pPr>
              <w:pStyle w:val="ae"/>
              <w:rPr>
                <w:rFonts w:cs="Times New Roman"/>
                <w:b w:val="0"/>
              </w:rPr>
            </w:pPr>
            <w:r w:rsidRPr="00530A11">
              <w:rPr>
                <w:rFonts w:cs="Times New Roman"/>
                <w:b w:val="0"/>
              </w:rPr>
              <w:t>16</w:t>
            </w:r>
          </w:p>
        </w:tc>
      </w:tr>
      <w:tr w:rsidR="00C060F4" w:rsidRPr="00530A11" w14:paraId="60FD78DB" w14:textId="77777777" w:rsidTr="00F83296">
        <w:trPr>
          <w:jc w:val="center"/>
        </w:trPr>
        <w:tc>
          <w:tcPr>
            <w:tcW w:w="3690" w:type="dxa"/>
            <w:vAlign w:val="center"/>
          </w:tcPr>
          <w:p w14:paraId="505648D2" w14:textId="77777777" w:rsidR="00C060F4" w:rsidRPr="00530A11" w:rsidRDefault="00C060F4" w:rsidP="00C060F4">
            <w:pPr>
              <w:pStyle w:val="ae"/>
              <w:rPr>
                <w:rFonts w:cs="Times New Roman"/>
                <w:b w:val="0"/>
              </w:rPr>
            </w:pPr>
            <w:r w:rsidRPr="00530A11">
              <w:rPr>
                <w:rFonts w:cs="Times New Roman"/>
                <w:b w:val="0"/>
              </w:rPr>
              <w:t>R≥3.5</w:t>
            </w:r>
          </w:p>
        </w:tc>
        <w:tc>
          <w:tcPr>
            <w:tcW w:w="3448" w:type="dxa"/>
            <w:vAlign w:val="center"/>
          </w:tcPr>
          <w:p w14:paraId="193473E9" w14:textId="77777777" w:rsidR="00C060F4" w:rsidRPr="00530A11" w:rsidRDefault="00C060F4" w:rsidP="00C060F4">
            <w:pPr>
              <w:pStyle w:val="ae"/>
              <w:rPr>
                <w:rFonts w:cs="Times New Roman"/>
                <w:b w:val="0"/>
              </w:rPr>
            </w:pPr>
            <w:r w:rsidRPr="00530A11">
              <w:rPr>
                <w:rFonts w:cs="Times New Roman"/>
                <w:b w:val="0"/>
              </w:rPr>
              <w:t>1.5≤R&lt;2.0</w:t>
            </w:r>
          </w:p>
        </w:tc>
        <w:tc>
          <w:tcPr>
            <w:tcW w:w="1164" w:type="dxa"/>
            <w:vAlign w:val="center"/>
          </w:tcPr>
          <w:p w14:paraId="0C4F8066" w14:textId="77777777" w:rsidR="00C060F4" w:rsidRPr="00530A11" w:rsidRDefault="00C060F4" w:rsidP="00C060F4">
            <w:pPr>
              <w:pStyle w:val="ae"/>
              <w:rPr>
                <w:rFonts w:cs="Times New Roman"/>
                <w:b w:val="0"/>
              </w:rPr>
            </w:pPr>
            <w:r w:rsidRPr="00530A11">
              <w:rPr>
                <w:rFonts w:cs="Times New Roman"/>
                <w:b w:val="0"/>
              </w:rPr>
              <w:t>20</w:t>
            </w:r>
          </w:p>
        </w:tc>
      </w:tr>
    </w:tbl>
    <w:p w14:paraId="5A5FDBBB" w14:textId="77777777" w:rsidR="00715ABB" w:rsidRPr="0081478A" w:rsidRDefault="00F44390" w:rsidP="006C79E9">
      <w:pPr>
        <w:pStyle w:val="20"/>
      </w:pPr>
      <w:r w:rsidRPr="0081478A">
        <w:t>【条文说明】</w:t>
      </w:r>
    </w:p>
    <w:p w14:paraId="5B457CF7" w14:textId="77777777" w:rsidR="00C060F4" w:rsidRPr="00530A11" w:rsidRDefault="00C060F4" w:rsidP="00C060F4">
      <w:pPr>
        <w:ind w:firstLine="420"/>
        <w:rPr>
          <w:szCs w:val="24"/>
        </w:rPr>
      </w:pPr>
      <w:r w:rsidRPr="00530A11">
        <w:t>本条适用于各类民用建筑的预评价、评价。</w:t>
      </w:r>
    </w:p>
    <w:p w14:paraId="13D7EC3C" w14:textId="07719573" w:rsidR="00C060F4" w:rsidRPr="00530A11" w:rsidRDefault="00C060F4" w:rsidP="00C060F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hint="eastAsia"/>
        </w:rPr>
        <w:t>，并对条文和条文说明进行了局部修改。</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4.2.1</w:t>
      </w:r>
      <w:r w:rsidRPr="00530A11">
        <w:rPr>
          <w:rFonts w:cs="Times New Roman"/>
        </w:rPr>
        <w:t>条的基础上发展而来。</w:t>
      </w:r>
    </w:p>
    <w:p w14:paraId="5D8E6328" w14:textId="77777777" w:rsidR="00C060F4" w:rsidRPr="00530A11" w:rsidRDefault="00C060F4" w:rsidP="00C060F4">
      <w:pPr>
        <w:ind w:firstLine="420"/>
        <w:rPr>
          <w:rFonts w:cs="Times New Roman"/>
        </w:rPr>
      </w:pPr>
      <w:r w:rsidRPr="00530A11">
        <w:rPr>
          <w:rFonts w:cs="Times New Roman"/>
        </w:rPr>
        <w:t>对住宅建筑，人均居住用地指标是控制其节地的关键性指标。本标准与现行国家标准《城市居住区规划设计标准》</w:t>
      </w:r>
      <w:r w:rsidRPr="00530A11">
        <w:rPr>
          <w:rFonts w:cs="Times New Roman"/>
        </w:rPr>
        <w:t>GB 50180</w:t>
      </w:r>
      <w:r w:rsidRPr="00530A11">
        <w:rPr>
          <w:rFonts w:cs="Times New Roman"/>
        </w:rPr>
        <w:t>进行了对接，并以居住区的最小规模即居住街坊的控制指标为基础，提出了人均住宅用地指标评分规则。居住街坊是指住宅建筑集中布局、由支路等城市道路围合</w:t>
      </w:r>
      <w:r w:rsidRPr="00530A11">
        <w:rPr>
          <w:rFonts w:cs="Times New Roman"/>
        </w:rPr>
        <w:t>(</w:t>
      </w:r>
      <w:r w:rsidRPr="00530A11">
        <w:rPr>
          <w:rFonts w:cs="Times New Roman"/>
        </w:rPr>
        <w:t>一般为</w:t>
      </w:r>
      <w:r w:rsidRPr="00530A11">
        <w:rPr>
          <w:rFonts w:cs="Times New Roman"/>
        </w:rPr>
        <w:t>2hm</w:t>
      </w:r>
      <w:r w:rsidRPr="00530A11">
        <w:rPr>
          <w:rFonts w:cs="Times New Roman"/>
          <w:vertAlign w:val="superscript"/>
        </w:rPr>
        <w:t>2</w:t>
      </w:r>
      <w:r w:rsidRPr="00530A11">
        <w:rPr>
          <w:rFonts w:cs="Times New Roman"/>
        </w:rPr>
        <w:t>～</w:t>
      </w:r>
      <w:r w:rsidRPr="00530A11">
        <w:rPr>
          <w:rFonts w:cs="Times New Roman"/>
        </w:rPr>
        <w:t>4hm</w:t>
      </w:r>
      <w:r w:rsidRPr="00530A11">
        <w:rPr>
          <w:rFonts w:cs="Times New Roman"/>
          <w:vertAlign w:val="superscript"/>
        </w:rPr>
        <w:t>2</w:t>
      </w:r>
      <w:r w:rsidRPr="00530A11">
        <w:rPr>
          <w:rFonts w:cs="Times New Roman"/>
        </w:rPr>
        <w:t>住宅用地，约</w:t>
      </w:r>
      <w:r w:rsidRPr="00530A11">
        <w:rPr>
          <w:rFonts w:cs="Times New Roman"/>
        </w:rPr>
        <w:t>300</w:t>
      </w:r>
      <w:r w:rsidRPr="00530A11">
        <w:rPr>
          <w:rFonts w:cs="Times New Roman"/>
        </w:rPr>
        <w:t>套～</w:t>
      </w:r>
      <w:r w:rsidRPr="00530A11">
        <w:rPr>
          <w:rFonts w:cs="Times New Roman"/>
        </w:rPr>
        <w:t>1000</w:t>
      </w:r>
      <w:r w:rsidRPr="00530A11">
        <w:rPr>
          <w:rFonts w:cs="Times New Roman"/>
        </w:rPr>
        <w:t>套住宅</w:t>
      </w:r>
      <w:r w:rsidRPr="00530A11">
        <w:rPr>
          <w:rFonts w:cs="Times New Roman"/>
        </w:rPr>
        <w:t>)</w:t>
      </w:r>
      <w:r w:rsidRPr="00530A11">
        <w:rPr>
          <w:rFonts w:cs="Times New Roman"/>
        </w:rPr>
        <w:t>形成的居住基本单元。评价时，如果建设项目规模超过</w:t>
      </w:r>
      <w:r w:rsidRPr="00530A11">
        <w:rPr>
          <w:rFonts w:cs="Times New Roman"/>
        </w:rPr>
        <w:t>4hm</w:t>
      </w:r>
      <w:r w:rsidRPr="00530A11">
        <w:rPr>
          <w:rFonts w:cs="Times New Roman"/>
          <w:vertAlign w:val="superscript"/>
        </w:rPr>
        <w:t>2</w:t>
      </w:r>
      <w:r w:rsidRPr="00530A11">
        <w:rPr>
          <w:rFonts w:cs="Times New Roman"/>
        </w:rPr>
        <w:t>，在项目整体指标满足所在地控制性详细规划要求的基础上，应以其小区路围合形成的居住街坊为评价单元计算人均住宅用地指标。</w:t>
      </w:r>
    </w:p>
    <w:p w14:paraId="5E17C7AD" w14:textId="3A7ED990" w:rsidR="00715ABB" w:rsidRPr="0081478A" w:rsidRDefault="00C060F4" w:rsidP="00C060F4">
      <w:pPr>
        <w:ind w:firstLine="420"/>
        <w:rPr>
          <w:rFonts w:cs="Times New Roman"/>
        </w:rPr>
      </w:pPr>
      <w:r w:rsidRPr="00530A11">
        <w:rPr>
          <w:rFonts w:cs="Times New Roman"/>
        </w:rPr>
        <w:t>对公共建筑，容积率是控制其节地的关键性指标。本标准在充分考虑公共建筑功能特征的基础上进行分类，一类是容积率通常较高的行政办公、商务办公、商业金融、旅馆饭店、交通枢纽等设施，另一类是容积率不宜太高的教育、文化、体育、医疗卫生、社会福利等公共服务设施，并分别制定了评分规则。评价时应根据建筑类型对应的容积率进行赋值。</w:t>
      </w:r>
    </w:p>
    <w:p w14:paraId="51543341" w14:textId="77777777" w:rsidR="00B61A1E" w:rsidRPr="006C79E9" w:rsidRDefault="00B61A1E" w:rsidP="006C79E9">
      <w:pPr>
        <w:pStyle w:val="20"/>
      </w:pPr>
      <w:r w:rsidRPr="0081478A">
        <w:t>【评价要点】</w:t>
      </w:r>
    </w:p>
    <w:p w14:paraId="263F24AC" w14:textId="77777777" w:rsidR="00B61A1E" w:rsidRPr="0081478A" w:rsidRDefault="00B61A1E" w:rsidP="00B61A1E">
      <w:pPr>
        <w:ind w:firstLine="420"/>
        <w:rPr>
          <w:rFonts w:cs="Times New Roman"/>
        </w:rPr>
      </w:pPr>
      <w:r w:rsidRPr="0081478A">
        <w:rPr>
          <w:rFonts w:cs="Times New Roman"/>
        </w:rPr>
        <w:t>应特别注意居住用地的面积通常包括住宅用地和服务设施用地。人均居住用地控制指标和人均绿地指标应采用相同的人口基数。</w:t>
      </w:r>
    </w:p>
    <w:p w14:paraId="5F6EAF14" w14:textId="4B597389" w:rsidR="00B61A1E" w:rsidRPr="0081478A" w:rsidRDefault="00B61A1E" w:rsidP="00B61A1E">
      <w:pPr>
        <w:ind w:firstLine="420"/>
        <w:rPr>
          <w:rFonts w:cs="Times New Roman"/>
        </w:rPr>
      </w:pPr>
      <w:r w:rsidRPr="0081478A">
        <w:rPr>
          <w:rFonts w:cs="Times New Roman"/>
        </w:rPr>
        <w:t>1</w:t>
      </w:r>
      <w:r w:rsidRPr="0081478A">
        <w:rPr>
          <w:rFonts w:cs="Times New Roman"/>
        </w:rPr>
        <w:t>）居住建筑查阅住区总用地面积、总户数、总人口（可按</w:t>
      </w:r>
      <w:r w:rsidRPr="0081478A">
        <w:rPr>
          <w:rFonts w:cs="Times New Roman"/>
        </w:rPr>
        <w:t>3.2</w:t>
      </w:r>
      <w:r w:rsidRPr="0081478A">
        <w:rPr>
          <w:rFonts w:cs="Times New Roman"/>
        </w:rPr>
        <w:t>人</w:t>
      </w:r>
      <w:r w:rsidRPr="0081478A">
        <w:rPr>
          <w:rFonts w:cs="Times New Roman"/>
        </w:rPr>
        <w:t>/</w:t>
      </w:r>
      <w:r w:rsidRPr="0081478A">
        <w:rPr>
          <w:rFonts w:cs="Times New Roman"/>
        </w:rPr>
        <w:t>户换算人口数）等，根据设计指标核算申报项目的人均居住用地控制指标计算书。</w:t>
      </w:r>
    </w:p>
    <w:p w14:paraId="343F6EE1" w14:textId="41B21B0C" w:rsidR="00B61A1E" w:rsidRPr="0081478A" w:rsidRDefault="00B61A1E" w:rsidP="00B61A1E">
      <w:pPr>
        <w:ind w:firstLine="420"/>
        <w:rPr>
          <w:rFonts w:cs="Times New Roman"/>
        </w:rPr>
      </w:pPr>
      <w:r w:rsidRPr="0081478A">
        <w:rPr>
          <w:rFonts w:cs="Times New Roman"/>
        </w:rPr>
        <w:t>2</w:t>
      </w:r>
      <w:r w:rsidRPr="0081478A">
        <w:rPr>
          <w:rFonts w:cs="Times New Roman"/>
        </w:rPr>
        <w:t>）公共建筑查阅总用地面积、地上总建筑面积、容积率等，核查项目的容积率指标计算书。容积率按照所在地城乡规划管理部门核发的建设用地规划许可证的规划条件进行核算。</w:t>
      </w:r>
    </w:p>
    <w:p w14:paraId="008D74B3" w14:textId="77777777" w:rsidR="00715ABB" w:rsidRPr="006C79E9" w:rsidRDefault="00F44390" w:rsidP="006C79E9">
      <w:pPr>
        <w:pStyle w:val="20"/>
      </w:pPr>
      <w:r w:rsidRPr="0081478A">
        <w:t>【评价方法】</w:t>
      </w:r>
    </w:p>
    <w:p w14:paraId="402807A2" w14:textId="10A30C5A" w:rsidR="00715ABB" w:rsidRDefault="00E905A0" w:rsidP="00643310">
      <w:pPr>
        <w:ind w:firstLine="420"/>
      </w:pPr>
      <w:r w:rsidRPr="00530A11">
        <w:t>预评价查阅规划许可的设计条件、相关设计文件、计算书、相关施工图；评价查阅相关设计文件、计算书、相关竣工图。</w:t>
      </w:r>
    </w:p>
    <w:p w14:paraId="5A1D8666" w14:textId="77777777" w:rsidR="006C79E9" w:rsidRPr="0081478A" w:rsidRDefault="006C79E9" w:rsidP="00643310">
      <w:pPr>
        <w:ind w:firstLine="420"/>
        <w:rPr>
          <w:bCs/>
          <w:kern w:val="44"/>
          <w:szCs w:val="24"/>
        </w:rPr>
      </w:pPr>
    </w:p>
    <w:p w14:paraId="0B3757FB" w14:textId="77777777" w:rsidR="00C060F4" w:rsidRPr="00530A11" w:rsidRDefault="00C060F4" w:rsidP="00C060F4">
      <w:pPr>
        <w:pStyle w:val="4"/>
        <w:rPr>
          <w:rFonts w:cs="Times New Roman"/>
          <w:bCs w:val="0"/>
        </w:rPr>
      </w:pPr>
      <w:r w:rsidRPr="00530A11">
        <w:rPr>
          <w:rFonts w:cs="Times New Roman"/>
          <w:bCs w:val="0"/>
        </w:rPr>
        <w:lastRenderedPageBreak/>
        <w:t xml:space="preserve">7.2.2 </w:t>
      </w:r>
      <w:r w:rsidRPr="00530A11">
        <w:rPr>
          <w:rFonts w:cs="Times New Roman"/>
          <w:bCs w:val="0"/>
        </w:rPr>
        <w:t>合理开发利用地下空间，评价总分值为</w:t>
      </w:r>
      <w:r w:rsidRPr="00530A11">
        <w:rPr>
          <w:rFonts w:cs="Times New Roman"/>
          <w:bCs w:val="0"/>
        </w:rPr>
        <w:t>10</w:t>
      </w:r>
      <w:r w:rsidRPr="00530A11">
        <w:rPr>
          <w:rFonts w:cs="Times New Roman"/>
          <w:bCs w:val="0"/>
        </w:rPr>
        <w:t>分，根据地下空间开发利用指标，按表</w:t>
      </w:r>
      <w:r w:rsidRPr="00530A11">
        <w:rPr>
          <w:rFonts w:cs="Times New Roman"/>
          <w:bCs w:val="0"/>
        </w:rPr>
        <w:t>7.2.2</w:t>
      </w:r>
      <w:r w:rsidRPr="00530A11">
        <w:rPr>
          <w:rFonts w:cs="Times New Roman"/>
          <w:bCs w:val="0"/>
        </w:rPr>
        <w:t>的规则评分。</w:t>
      </w:r>
    </w:p>
    <w:p w14:paraId="6536F7A5" w14:textId="77777777" w:rsidR="00C060F4" w:rsidRPr="00530A11" w:rsidRDefault="00C060F4" w:rsidP="00C060F4">
      <w:pPr>
        <w:pStyle w:val="ae"/>
        <w:snapToGrid w:val="0"/>
        <w:rPr>
          <w:rFonts w:cs="Times New Roman"/>
          <w:b w:val="0"/>
        </w:rPr>
      </w:pPr>
      <w:r w:rsidRPr="00530A11">
        <w:rPr>
          <w:rFonts w:cs="Times New Roman"/>
          <w:b w:val="0"/>
        </w:rPr>
        <w:t>表</w:t>
      </w:r>
      <w:r w:rsidRPr="00530A11">
        <w:rPr>
          <w:rFonts w:cs="Times New Roman"/>
          <w:b w:val="0"/>
        </w:rPr>
        <w:t xml:space="preserve">7.2.2 </w:t>
      </w:r>
      <w:r w:rsidRPr="00530A11">
        <w:rPr>
          <w:rFonts w:cs="Times New Roman"/>
          <w:b w:val="0"/>
        </w:rPr>
        <w:t>地下空间开发利用指标评分规则</w:t>
      </w:r>
    </w:p>
    <w:tbl>
      <w:tblPr>
        <w:tblW w:w="79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17"/>
        <w:gridCol w:w="4123"/>
        <w:gridCol w:w="1985"/>
        <w:gridCol w:w="769"/>
      </w:tblGrid>
      <w:tr w:rsidR="00C060F4" w:rsidRPr="00530A11" w14:paraId="21224DB6" w14:textId="77777777" w:rsidTr="00EB74A4">
        <w:trPr>
          <w:jc w:val="center"/>
        </w:trPr>
        <w:tc>
          <w:tcPr>
            <w:tcW w:w="1117" w:type="dxa"/>
            <w:vAlign w:val="center"/>
          </w:tcPr>
          <w:p w14:paraId="08C76F61" w14:textId="77777777" w:rsidR="00C060F4" w:rsidRPr="00530A11" w:rsidRDefault="00C060F4" w:rsidP="00C060F4">
            <w:pPr>
              <w:pStyle w:val="ae"/>
              <w:snapToGrid w:val="0"/>
              <w:rPr>
                <w:rFonts w:cs="Times New Roman"/>
                <w:b w:val="0"/>
              </w:rPr>
            </w:pPr>
            <w:r w:rsidRPr="00530A11">
              <w:rPr>
                <w:rFonts w:cs="Times New Roman"/>
                <w:b w:val="0"/>
              </w:rPr>
              <w:t>建筑类型</w:t>
            </w:r>
          </w:p>
        </w:tc>
        <w:tc>
          <w:tcPr>
            <w:tcW w:w="6108" w:type="dxa"/>
            <w:gridSpan w:val="2"/>
            <w:vAlign w:val="center"/>
          </w:tcPr>
          <w:p w14:paraId="66088812" w14:textId="77777777" w:rsidR="00C060F4" w:rsidRPr="00530A11" w:rsidRDefault="00C060F4" w:rsidP="00C060F4">
            <w:pPr>
              <w:pStyle w:val="ae"/>
              <w:snapToGrid w:val="0"/>
              <w:rPr>
                <w:rFonts w:cs="Times New Roman"/>
                <w:b w:val="0"/>
              </w:rPr>
            </w:pPr>
            <w:r w:rsidRPr="00530A11">
              <w:rPr>
                <w:rFonts w:cs="Times New Roman"/>
                <w:b w:val="0"/>
              </w:rPr>
              <w:t>地下空间开发利用指标</w:t>
            </w:r>
          </w:p>
        </w:tc>
        <w:tc>
          <w:tcPr>
            <w:tcW w:w="769" w:type="dxa"/>
            <w:vAlign w:val="center"/>
          </w:tcPr>
          <w:p w14:paraId="7058FE57" w14:textId="77777777" w:rsidR="00C060F4" w:rsidRPr="00530A11" w:rsidRDefault="00C060F4" w:rsidP="00C060F4">
            <w:pPr>
              <w:pStyle w:val="ae"/>
              <w:snapToGrid w:val="0"/>
              <w:rPr>
                <w:rFonts w:cs="Times New Roman"/>
                <w:b w:val="0"/>
              </w:rPr>
            </w:pPr>
            <w:r w:rsidRPr="00530A11">
              <w:rPr>
                <w:rFonts w:cs="Times New Roman"/>
                <w:b w:val="0"/>
              </w:rPr>
              <w:t>得分</w:t>
            </w:r>
          </w:p>
        </w:tc>
      </w:tr>
      <w:tr w:rsidR="00C060F4" w:rsidRPr="00530A11" w14:paraId="25DF61A2" w14:textId="77777777" w:rsidTr="00EB74A4">
        <w:trPr>
          <w:jc w:val="center"/>
        </w:trPr>
        <w:tc>
          <w:tcPr>
            <w:tcW w:w="1117" w:type="dxa"/>
            <w:vMerge w:val="restart"/>
            <w:vAlign w:val="center"/>
          </w:tcPr>
          <w:p w14:paraId="3C0C0D91" w14:textId="77777777" w:rsidR="00C060F4" w:rsidRPr="00530A11" w:rsidRDefault="00C060F4" w:rsidP="00C060F4">
            <w:pPr>
              <w:pStyle w:val="ae"/>
              <w:snapToGrid w:val="0"/>
              <w:rPr>
                <w:rFonts w:cs="Times New Roman"/>
                <w:b w:val="0"/>
              </w:rPr>
            </w:pPr>
            <w:r w:rsidRPr="00530A11">
              <w:rPr>
                <w:rFonts w:cs="Times New Roman"/>
                <w:b w:val="0"/>
              </w:rPr>
              <w:t>住宅建筑</w:t>
            </w:r>
          </w:p>
        </w:tc>
        <w:tc>
          <w:tcPr>
            <w:tcW w:w="4123" w:type="dxa"/>
            <w:vMerge w:val="restart"/>
            <w:vAlign w:val="center"/>
          </w:tcPr>
          <w:p w14:paraId="3A25D708" w14:textId="77777777" w:rsidR="00546982" w:rsidRDefault="00C060F4" w:rsidP="00C060F4">
            <w:pPr>
              <w:pStyle w:val="ae"/>
              <w:snapToGrid w:val="0"/>
              <w:rPr>
                <w:rFonts w:cs="Times New Roman"/>
                <w:b w:val="0"/>
              </w:rPr>
            </w:pPr>
            <w:r w:rsidRPr="00530A11">
              <w:rPr>
                <w:rFonts w:cs="Times New Roman"/>
                <w:b w:val="0"/>
              </w:rPr>
              <w:t>地下建筑面积与地上建筑面积的比率</w:t>
            </w:r>
            <w:r w:rsidRPr="00530A11">
              <w:rPr>
                <w:rFonts w:cs="Times New Roman"/>
                <w:b w:val="0"/>
              </w:rPr>
              <w:t>Rr</w:t>
            </w:r>
          </w:p>
          <w:p w14:paraId="35715456" w14:textId="6AAE41F9" w:rsidR="00C060F4" w:rsidRPr="00530A11" w:rsidRDefault="00C060F4" w:rsidP="00C060F4">
            <w:pPr>
              <w:pStyle w:val="ae"/>
              <w:snapToGrid w:val="0"/>
              <w:rPr>
                <w:rFonts w:cs="Times New Roman"/>
                <w:b w:val="0"/>
              </w:rPr>
            </w:pPr>
            <w:r w:rsidRPr="00530A11">
              <w:rPr>
                <w:rFonts w:cs="Times New Roman"/>
                <w:b w:val="0"/>
              </w:rPr>
              <w:t>地下一层建筑面积与总用地面积的比率</w:t>
            </w:r>
            <w:r w:rsidRPr="00530A11">
              <w:rPr>
                <w:rFonts w:cs="Times New Roman"/>
                <w:b w:val="0"/>
              </w:rPr>
              <w:t>Rp</w:t>
            </w:r>
          </w:p>
        </w:tc>
        <w:tc>
          <w:tcPr>
            <w:tcW w:w="1985" w:type="dxa"/>
            <w:vAlign w:val="center"/>
          </w:tcPr>
          <w:p w14:paraId="57BD26DB" w14:textId="77777777" w:rsidR="00C060F4" w:rsidRPr="00530A11" w:rsidRDefault="00C060F4" w:rsidP="00C060F4">
            <w:pPr>
              <w:pStyle w:val="ae"/>
              <w:snapToGrid w:val="0"/>
              <w:rPr>
                <w:rFonts w:cs="Times New Roman"/>
                <w:b w:val="0"/>
              </w:rPr>
            </w:pPr>
            <w:r w:rsidRPr="00530A11">
              <w:rPr>
                <w:rFonts w:cs="Times New Roman"/>
                <w:b w:val="0"/>
              </w:rPr>
              <w:t>5%≤Rr&lt;20%</w:t>
            </w:r>
          </w:p>
        </w:tc>
        <w:tc>
          <w:tcPr>
            <w:tcW w:w="769" w:type="dxa"/>
            <w:vAlign w:val="center"/>
          </w:tcPr>
          <w:p w14:paraId="0E888191" w14:textId="77777777" w:rsidR="00C060F4" w:rsidRPr="00530A11" w:rsidRDefault="00C060F4" w:rsidP="00C060F4">
            <w:pPr>
              <w:pStyle w:val="ae"/>
              <w:snapToGrid w:val="0"/>
              <w:rPr>
                <w:rFonts w:cs="Times New Roman"/>
                <w:b w:val="0"/>
              </w:rPr>
            </w:pPr>
            <w:r w:rsidRPr="00530A11">
              <w:rPr>
                <w:rFonts w:cs="Times New Roman"/>
                <w:b w:val="0"/>
              </w:rPr>
              <w:t>5</w:t>
            </w:r>
          </w:p>
        </w:tc>
      </w:tr>
      <w:tr w:rsidR="00C060F4" w:rsidRPr="00530A11" w14:paraId="3B9D940B" w14:textId="77777777" w:rsidTr="00EB74A4">
        <w:trPr>
          <w:jc w:val="center"/>
        </w:trPr>
        <w:tc>
          <w:tcPr>
            <w:tcW w:w="1117" w:type="dxa"/>
            <w:vMerge/>
            <w:vAlign w:val="center"/>
          </w:tcPr>
          <w:p w14:paraId="05B1420C" w14:textId="77777777" w:rsidR="00C060F4" w:rsidRPr="00530A11" w:rsidRDefault="00C060F4" w:rsidP="00C060F4">
            <w:pPr>
              <w:pStyle w:val="ae"/>
              <w:snapToGrid w:val="0"/>
              <w:rPr>
                <w:rFonts w:cs="Times New Roman"/>
                <w:b w:val="0"/>
              </w:rPr>
            </w:pPr>
          </w:p>
        </w:tc>
        <w:tc>
          <w:tcPr>
            <w:tcW w:w="4123" w:type="dxa"/>
            <w:vMerge/>
            <w:vAlign w:val="center"/>
          </w:tcPr>
          <w:p w14:paraId="7C3F70B1" w14:textId="77777777" w:rsidR="00C060F4" w:rsidRPr="00530A11" w:rsidRDefault="00C060F4" w:rsidP="00C060F4">
            <w:pPr>
              <w:pStyle w:val="ae"/>
              <w:snapToGrid w:val="0"/>
              <w:rPr>
                <w:rFonts w:cs="Times New Roman"/>
                <w:b w:val="0"/>
              </w:rPr>
            </w:pPr>
          </w:p>
        </w:tc>
        <w:tc>
          <w:tcPr>
            <w:tcW w:w="1985" w:type="dxa"/>
            <w:vAlign w:val="center"/>
          </w:tcPr>
          <w:p w14:paraId="28D32832" w14:textId="77777777" w:rsidR="00C060F4" w:rsidRPr="00530A11" w:rsidRDefault="00C060F4" w:rsidP="00C060F4">
            <w:pPr>
              <w:pStyle w:val="ae"/>
              <w:snapToGrid w:val="0"/>
              <w:rPr>
                <w:rFonts w:cs="Times New Roman"/>
                <w:b w:val="0"/>
              </w:rPr>
            </w:pPr>
            <w:r w:rsidRPr="00530A11">
              <w:rPr>
                <w:rFonts w:cs="Times New Roman"/>
                <w:b w:val="0"/>
              </w:rPr>
              <w:t>Rr≥20%</w:t>
            </w:r>
          </w:p>
        </w:tc>
        <w:tc>
          <w:tcPr>
            <w:tcW w:w="769" w:type="dxa"/>
            <w:vAlign w:val="center"/>
          </w:tcPr>
          <w:p w14:paraId="47B9BD3C" w14:textId="77777777" w:rsidR="00C060F4" w:rsidRPr="00530A11" w:rsidRDefault="00C060F4" w:rsidP="00C060F4">
            <w:pPr>
              <w:pStyle w:val="ae"/>
              <w:snapToGrid w:val="0"/>
              <w:rPr>
                <w:rFonts w:cs="Times New Roman"/>
                <w:b w:val="0"/>
              </w:rPr>
            </w:pPr>
            <w:r w:rsidRPr="00530A11">
              <w:rPr>
                <w:rFonts w:cs="Times New Roman"/>
                <w:b w:val="0"/>
              </w:rPr>
              <w:t>7</w:t>
            </w:r>
          </w:p>
        </w:tc>
      </w:tr>
      <w:tr w:rsidR="00C060F4" w:rsidRPr="00530A11" w14:paraId="49E370AD" w14:textId="77777777" w:rsidTr="00EB74A4">
        <w:trPr>
          <w:jc w:val="center"/>
        </w:trPr>
        <w:tc>
          <w:tcPr>
            <w:tcW w:w="1117" w:type="dxa"/>
            <w:vMerge/>
            <w:vAlign w:val="center"/>
          </w:tcPr>
          <w:p w14:paraId="27453D65" w14:textId="77777777" w:rsidR="00C060F4" w:rsidRPr="00530A11" w:rsidRDefault="00C060F4" w:rsidP="00C060F4">
            <w:pPr>
              <w:pStyle w:val="ae"/>
              <w:snapToGrid w:val="0"/>
              <w:rPr>
                <w:rFonts w:cs="Times New Roman"/>
                <w:b w:val="0"/>
              </w:rPr>
            </w:pPr>
          </w:p>
        </w:tc>
        <w:tc>
          <w:tcPr>
            <w:tcW w:w="4123" w:type="dxa"/>
            <w:vMerge/>
            <w:vAlign w:val="center"/>
          </w:tcPr>
          <w:p w14:paraId="2651058A" w14:textId="77777777" w:rsidR="00C060F4" w:rsidRPr="00530A11" w:rsidRDefault="00C060F4" w:rsidP="00C060F4">
            <w:pPr>
              <w:pStyle w:val="ae"/>
              <w:snapToGrid w:val="0"/>
              <w:rPr>
                <w:rFonts w:cs="Times New Roman"/>
                <w:b w:val="0"/>
              </w:rPr>
            </w:pPr>
          </w:p>
        </w:tc>
        <w:tc>
          <w:tcPr>
            <w:tcW w:w="1985" w:type="dxa"/>
            <w:vAlign w:val="center"/>
          </w:tcPr>
          <w:p w14:paraId="0D4E3B4E" w14:textId="77777777" w:rsidR="00C060F4" w:rsidRPr="00530A11" w:rsidRDefault="00C060F4" w:rsidP="00C060F4">
            <w:pPr>
              <w:pStyle w:val="ae"/>
              <w:snapToGrid w:val="0"/>
              <w:rPr>
                <w:rFonts w:cs="Times New Roman"/>
                <w:b w:val="0"/>
              </w:rPr>
            </w:pPr>
            <w:r w:rsidRPr="00530A11">
              <w:rPr>
                <w:rFonts w:cs="Times New Roman"/>
                <w:b w:val="0"/>
              </w:rPr>
              <w:t>Rr≥35%</w:t>
            </w:r>
            <w:r w:rsidRPr="00530A11">
              <w:rPr>
                <w:rFonts w:cs="Times New Roman"/>
                <w:b w:val="0"/>
              </w:rPr>
              <w:t>且</w:t>
            </w:r>
            <w:r w:rsidRPr="00530A11">
              <w:rPr>
                <w:rFonts w:cs="Times New Roman"/>
                <w:b w:val="0"/>
              </w:rPr>
              <w:t>Rp&lt;60%</w:t>
            </w:r>
          </w:p>
        </w:tc>
        <w:tc>
          <w:tcPr>
            <w:tcW w:w="769" w:type="dxa"/>
            <w:vAlign w:val="center"/>
          </w:tcPr>
          <w:p w14:paraId="0D45CD58" w14:textId="77777777" w:rsidR="00C060F4" w:rsidRPr="00530A11" w:rsidRDefault="00C060F4" w:rsidP="00C060F4">
            <w:pPr>
              <w:pStyle w:val="ae"/>
              <w:snapToGrid w:val="0"/>
              <w:rPr>
                <w:rFonts w:cs="Times New Roman"/>
                <w:b w:val="0"/>
              </w:rPr>
            </w:pPr>
            <w:r w:rsidRPr="00530A11">
              <w:rPr>
                <w:rFonts w:cs="Times New Roman"/>
                <w:b w:val="0"/>
              </w:rPr>
              <w:t>10</w:t>
            </w:r>
          </w:p>
        </w:tc>
      </w:tr>
      <w:tr w:rsidR="00C060F4" w:rsidRPr="00530A11" w14:paraId="4D4338F4" w14:textId="77777777" w:rsidTr="00EB74A4">
        <w:trPr>
          <w:jc w:val="center"/>
        </w:trPr>
        <w:tc>
          <w:tcPr>
            <w:tcW w:w="1117" w:type="dxa"/>
            <w:vMerge w:val="restart"/>
            <w:vAlign w:val="center"/>
          </w:tcPr>
          <w:p w14:paraId="3566702B" w14:textId="77777777" w:rsidR="00C060F4" w:rsidRPr="00530A11" w:rsidRDefault="00C060F4" w:rsidP="00C060F4">
            <w:pPr>
              <w:pStyle w:val="ae"/>
              <w:snapToGrid w:val="0"/>
              <w:rPr>
                <w:rFonts w:cs="Times New Roman"/>
                <w:b w:val="0"/>
              </w:rPr>
            </w:pPr>
            <w:r w:rsidRPr="00530A11">
              <w:rPr>
                <w:rFonts w:cs="Times New Roman"/>
                <w:b w:val="0"/>
              </w:rPr>
              <w:t>公共建筑</w:t>
            </w:r>
          </w:p>
        </w:tc>
        <w:tc>
          <w:tcPr>
            <w:tcW w:w="4123" w:type="dxa"/>
            <w:vMerge w:val="restart"/>
            <w:vAlign w:val="center"/>
          </w:tcPr>
          <w:p w14:paraId="35E9FADD" w14:textId="77777777" w:rsidR="00C060F4" w:rsidRPr="00530A11" w:rsidRDefault="00C060F4" w:rsidP="00C060F4">
            <w:pPr>
              <w:pStyle w:val="ae"/>
              <w:snapToGrid w:val="0"/>
              <w:rPr>
                <w:rFonts w:cs="Times New Roman"/>
                <w:b w:val="0"/>
              </w:rPr>
            </w:pPr>
            <w:r w:rsidRPr="00530A11">
              <w:rPr>
                <w:rFonts w:cs="Times New Roman"/>
                <w:b w:val="0"/>
              </w:rPr>
              <w:t>地下建筑面积与总用地面积的比率</w:t>
            </w:r>
            <w:r w:rsidRPr="00530A11">
              <w:rPr>
                <w:rFonts w:cs="Times New Roman"/>
                <w:b w:val="0"/>
              </w:rPr>
              <w:t>Rp1</w:t>
            </w:r>
          </w:p>
          <w:p w14:paraId="6C49B092" w14:textId="77777777" w:rsidR="00C060F4" w:rsidRPr="00530A11" w:rsidRDefault="00C060F4" w:rsidP="00C060F4">
            <w:pPr>
              <w:pStyle w:val="ae"/>
              <w:snapToGrid w:val="0"/>
              <w:rPr>
                <w:rFonts w:cs="Times New Roman"/>
                <w:b w:val="0"/>
              </w:rPr>
            </w:pPr>
            <w:r w:rsidRPr="00530A11">
              <w:rPr>
                <w:rFonts w:cs="Times New Roman"/>
                <w:b w:val="0"/>
              </w:rPr>
              <w:t>地下一层建筑面积与总用地面积的比率</w:t>
            </w:r>
            <w:r w:rsidRPr="00530A11">
              <w:rPr>
                <w:rFonts w:cs="Times New Roman"/>
                <w:b w:val="0"/>
              </w:rPr>
              <w:t>Rp</w:t>
            </w:r>
          </w:p>
        </w:tc>
        <w:tc>
          <w:tcPr>
            <w:tcW w:w="1985" w:type="dxa"/>
            <w:vAlign w:val="center"/>
          </w:tcPr>
          <w:p w14:paraId="6207CB65" w14:textId="77777777" w:rsidR="00C060F4" w:rsidRPr="00530A11" w:rsidRDefault="00C060F4" w:rsidP="00C060F4">
            <w:pPr>
              <w:pStyle w:val="ae"/>
              <w:snapToGrid w:val="0"/>
              <w:rPr>
                <w:rFonts w:cs="Times New Roman"/>
                <w:b w:val="0"/>
              </w:rPr>
            </w:pPr>
            <w:r w:rsidRPr="00530A11">
              <w:rPr>
                <w:rFonts w:cs="Times New Roman"/>
                <w:b w:val="0"/>
              </w:rPr>
              <w:t>Rp1≥0.5</w:t>
            </w:r>
          </w:p>
        </w:tc>
        <w:tc>
          <w:tcPr>
            <w:tcW w:w="769" w:type="dxa"/>
            <w:vAlign w:val="center"/>
          </w:tcPr>
          <w:p w14:paraId="6012D35B" w14:textId="77777777" w:rsidR="00C060F4" w:rsidRPr="00530A11" w:rsidRDefault="00C060F4" w:rsidP="00C060F4">
            <w:pPr>
              <w:pStyle w:val="ae"/>
              <w:snapToGrid w:val="0"/>
              <w:rPr>
                <w:rFonts w:cs="Times New Roman"/>
                <w:b w:val="0"/>
              </w:rPr>
            </w:pPr>
            <w:r w:rsidRPr="00530A11">
              <w:rPr>
                <w:rFonts w:cs="Times New Roman"/>
                <w:b w:val="0"/>
              </w:rPr>
              <w:t>5</w:t>
            </w:r>
          </w:p>
        </w:tc>
      </w:tr>
      <w:tr w:rsidR="00C060F4" w:rsidRPr="00530A11" w14:paraId="777489A4" w14:textId="77777777" w:rsidTr="00EB74A4">
        <w:trPr>
          <w:jc w:val="center"/>
        </w:trPr>
        <w:tc>
          <w:tcPr>
            <w:tcW w:w="1117" w:type="dxa"/>
            <w:vMerge/>
            <w:vAlign w:val="center"/>
          </w:tcPr>
          <w:p w14:paraId="26ECBBE3" w14:textId="77777777" w:rsidR="00C060F4" w:rsidRPr="00530A11" w:rsidRDefault="00C060F4" w:rsidP="00C060F4">
            <w:pPr>
              <w:pStyle w:val="ae"/>
              <w:snapToGrid w:val="0"/>
              <w:rPr>
                <w:rFonts w:cs="Times New Roman"/>
                <w:b w:val="0"/>
              </w:rPr>
            </w:pPr>
          </w:p>
        </w:tc>
        <w:tc>
          <w:tcPr>
            <w:tcW w:w="4123" w:type="dxa"/>
            <w:vMerge/>
            <w:vAlign w:val="center"/>
          </w:tcPr>
          <w:p w14:paraId="62F0C5BC" w14:textId="77777777" w:rsidR="00C060F4" w:rsidRPr="00530A11" w:rsidRDefault="00C060F4" w:rsidP="00C060F4">
            <w:pPr>
              <w:pStyle w:val="ae"/>
              <w:snapToGrid w:val="0"/>
              <w:rPr>
                <w:rFonts w:cs="Times New Roman"/>
                <w:b w:val="0"/>
              </w:rPr>
            </w:pPr>
          </w:p>
        </w:tc>
        <w:tc>
          <w:tcPr>
            <w:tcW w:w="1985" w:type="dxa"/>
            <w:vAlign w:val="center"/>
          </w:tcPr>
          <w:p w14:paraId="49DEA812" w14:textId="77777777" w:rsidR="00C060F4" w:rsidRPr="00530A11" w:rsidRDefault="00C060F4" w:rsidP="00C060F4">
            <w:pPr>
              <w:pStyle w:val="ae"/>
              <w:snapToGrid w:val="0"/>
              <w:rPr>
                <w:rFonts w:cs="Times New Roman"/>
                <w:b w:val="0"/>
              </w:rPr>
            </w:pPr>
            <w:r w:rsidRPr="00530A11">
              <w:rPr>
                <w:rFonts w:cs="Times New Roman"/>
                <w:b w:val="0"/>
              </w:rPr>
              <w:t>Rp1≥0.7</w:t>
            </w:r>
            <w:r w:rsidRPr="00530A11">
              <w:rPr>
                <w:rFonts w:cs="Times New Roman"/>
                <w:b w:val="0"/>
              </w:rPr>
              <w:t>且</w:t>
            </w:r>
            <w:r w:rsidRPr="00530A11">
              <w:rPr>
                <w:rFonts w:cs="Times New Roman"/>
                <w:b w:val="0"/>
              </w:rPr>
              <w:t>Rp&lt;70%</w:t>
            </w:r>
          </w:p>
        </w:tc>
        <w:tc>
          <w:tcPr>
            <w:tcW w:w="769" w:type="dxa"/>
            <w:vAlign w:val="center"/>
          </w:tcPr>
          <w:p w14:paraId="7DE28E28" w14:textId="77777777" w:rsidR="00C060F4" w:rsidRPr="00530A11" w:rsidRDefault="00C060F4" w:rsidP="00C060F4">
            <w:pPr>
              <w:pStyle w:val="ae"/>
              <w:snapToGrid w:val="0"/>
              <w:rPr>
                <w:rFonts w:cs="Times New Roman"/>
                <w:b w:val="0"/>
              </w:rPr>
            </w:pPr>
            <w:r w:rsidRPr="00530A11">
              <w:rPr>
                <w:rFonts w:cs="Times New Roman"/>
                <w:b w:val="0"/>
              </w:rPr>
              <w:t>7</w:t>
            </w:r>
          </w:p>
        </w:tc>
      </w:tr>
      <w:tr w:rsidR="00C060F4" w:rsidRPr="00530A11" w14:paraId="141A3079" w14:textId="77777777" w:rsidTr="00EB74A4">
        <w:trPr>
          <w:jc w:val="center"/>
        </w:trPr>
        <w:tc>
          <w:tcPr>
            <w:tcW w:w="1117" w:type="dxa"/>
            <w:vMerge/>
            <w:vAlign w:val="center"/>
          </w:tcPr>
          <w:p w14:paraId="4CD1552F" w14:textId="77777777" w:rsidR="00C060F4" w:rsidRPr="00530A11" w:rsidRDefault="00C060F4" w:rsidP="00C060F4">
            <w:pPr>
              <w:pStyle w:val="ae"/>
              <w:snapToGrid w:val="0"/>
              <w:rPr>
                <w:rFonts w:cs="Times New Roman"/>
                <w:b w:val="0"/>
              </w:rPr>
            </w:pPr>
          </w:p>
        </w:tc>
        <w:tc>
          <w:tcPr>
            <w:tcW w:w="4123" w:type="dxa"/>
            <w:vMerge/>
            <w:vAlign w:val="center"/>
          </w:tcPr>
          <w:p w14:paraId="15BDC89D" w14:textId="77777777" w:rsidR="00C060F4" w:rsidRPr="00530A11" w:rsidRDefault="00C060F4" w:rsidP="00C060F4">
            <w:pPr>
              <w:pStyle w:val="ae"/>
              <w:snapToGrid w:val="0"/>
              <w:rPr>
                <w:rFonts w:cs="Times New Roman"/>
                <w:b w:val="0"/>
              </w:rPr>
            </w:pPr>
          </w:p>
        </w:tc>
        <w:tc>
          <w:tcPr>
            <w:tcW w:w="1985" w:type="dxa"/>
            <w:vAlign w:val="center"/>
          </w:tcPr>
          <w:p w14:paraId="2CC5EF07" w14:textId="77777777" w:rsidR="00C060F4" w:rsidRPr="00530A11" w:rsidRDefault="00C060F4" w:rsidP="00C060F4">
            <w:pPr>
              <w:pStyle w:val="ae"/>
              <w:snapToGrid w:val="0"/>
              <w:rPr>
                <w:rFonts w:cs="Times New Roman"/>
                <w:b w:val="0"/>
              </w:rPr>
            </w:pPr>
            <w:r w:rsidRPr="00530A11">
              <w:rPr>
                <w:rFonts w:cs="Times New Roman"/>
                <w:b w:val="0"/>
              </w:rPr>
              <w:t>Rp1≥1.0</w:t>
            </w:r>
            <w:r w:rsidRPr="00530A11">
              <w:rPr>
                <w:rFonts w:cs="Times New Roman"/>
                <w:b w:val="0"/>
              </w:rPr>
              <w:t>且</w:t>
            </w:r>
            <w:r w:rsidRPr="00530A11">
              <w:rPr>
                <w:rFonts w:cs="Times New Roman"/>
                <w:b w:val="0"/>
              </w:rPr>
              <w:t>Rp&lt;60%</w:t>
            </w:r>
          </w:p>
        </w:tc>
        <w:tc>
          <w:tcPr>
            <w:tcW w:w="769" w:type="dxa"/>
            <w:vAlign w:val="center"/>
          </w:tcPr>
          <w:p w14:paraId="406F97AA" w14:textId="77777777" w:rsidR="00C060F4" w:rsidRPr="00530A11" w:rsidRDefault="00C060F4" w:rsidP="00C060F4">
            <w:pPr>
              <w:pStyle w:val="ae"/>
              <w:snapToGrid w:val="0"/>
              <w:rPr>
                <w:rFonts w:cs="Times New Roman"/>
                <w:b w:val="0"/>
              </w:rPr>
            </w:pPr>
            <w:r w:rsidRPr="00530A11">
              <w:rPr>
                <w:rFonts w:cs="Times New Roman"/>
                <w:b w:val="0"/>
              </w:rPr>
              <w:t>10</w:t>
            </w:r>
          </w:p>
        </w:tc>
      </w:tr>
    </w:tbl>
    <w:p w14:paraId="4FEBAAB1" w14:textId="77777777" w:rsidR="00715ABB" w:rsidRPr="0081478A" w:rsidRDefault="00F44390" w:rsidP="006C79E9">
      <w:pPr>
        <w:pStyle w:val="20"/>
      </w:pPr>
      <w:r w:rsidRPr="0081478A">
        <w:t>【条文说明】</w:t>
      </w:r>
    </w:p>
    <w:p w14:paraId="1DB13F75" w14:textId="77777777" w:rsidR="00C060F4" w:rsidRPr="00530A11" w:rsidRDefault="00C060F4" w:rsidP="00C060F4">
      <w:pPr>
        <w:ind w:firstLine="420"/>
        <w:rPr>
          <w:szCs w:val="24"/>
        </w:rPr>
      </w:pPr>
      <w:r w:rsidRPr="00530A11">
        <w:t>本条适用于各类民用建筑的预评价、评价。</w:t>
      </w:r>
    </w:p>
    <w:p w14:paraId="33DC3F20" w14:textId="77777777" w:rsidR="00C060F4" w:rsidRPr="00530A11" w:rsidRDefault="00C060F4" w:rsidP="00C060F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4.2.3</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4.2.3</w:t>
      </w:r>
      <w:r w:rsidRPr="00530A11">
        <w:rPr>
          <w:rFonts w:cs="Times New Roman"/>
        </w:rPr>
        <w:t>条的基础上发展而来。</w:t>
      </w:r>
    </w:p>
    <w:p w14:paraId="236E7D60" w14:textId="77777777" w:rsidR="00C060F4" w:rsidRPr="00530A11" w:rsidRDefault="00C060F4" w:rsidP="00C060F4">
      <w:pPr>
        <w:ind w:firstLine="420"/>
        <w:rPr>
          <w:rFonts w:cs="Times New Roman"/>
        </w:rPr>
      </w:pPr>
      <w:r w:rsidRPr="00530A11">
        <w:rPr>
          <w:rFonts w:cs="Times New Roman"/>
        </w:rPr>
        <w:t>由于地下空间的利用受诸多因素制约，因此未利用地下空间的项目应提供相关说明。经论证，建筑规模、场地区位、地质等建设条件确实不适宜开发地下空间，并提供经济技术分析报告的，本条可直接得分。</w:t>
      </w:r>
    </w:p>
    <w:p w14:paraId="60CCA20A" w14:textId="77777777" w:rsidR="00C060F4" w:rsidRPr="00530A11" w:rsidRDefault="00C060F4" w:rsidP="00C060F4">
      <w:pPr>
        <w:ind w:firstLine="420"/>
        <w:rPr>
          <w:rFonts w:cs="Times New Roman"/>
        </w:rPr>
      </w:pPr>
      <w:r w:rsidRPr="00530A11">
        <w:rPr>
          <w:rFonts w:cs="Times New Roman"/>
        </w:rPr>
        <w:t>开发利用地下空间是城市节约集约用地的重要措施之一。地下空间的开发利用应与地上建筑及其他相关城市空间紧密结合、统一规划，但从雨水渗透及地下水补给、减少径流外排等生态环保要求出发，地下空间也应利用有度、科学合理。</w:t>
      </w:r>
    </w:p>
    <w:p w14:paraId="173D3DA5" w14:textId="77777777" w:rsidR="00B61A1E" w:rsidRPr="006C79E9" w:rsidRDefault="00B61A1E" w:rsidP="006C79E9">
      <w:pPr>
        <w:pStyle w:val="20"/>
      </w:pPr>
      <w:r w:rsidRPr="0081478A">
        <w:t>【评价要点】</w:t>
      </w:r>
    </w:p>
    <w:p w14:paraId="2372AE06" w14:textId="77777777" w:rsidR="00B61A1E" w:rsidRPr="0081478A" w:rsidRDefault="00B61A1E" w:rsidP="00B61A1E">
      <w:pPr>
        <w:ind w:firstLine="420"/>
        <w:rPr>
          <w:rFonts w:cs="Times New Roman"/>
        </w:rPr>
      </w:pPr>
      <w:r w:rsidRPr="0081478A">
        <w:rPr>
          <w:rFonts w:cs="Times New Roman"/>
        </w:rPr>
        <w:t>查阅地下室平面图，居住建筑核查地上、地下建筑面积比率；公共建筑核查地下建筑面积与总用地面积的比率及地下一层建筑面积与总用地面积的比率。对于地下建筑面积无法划分的建筑，应根据各自对应的建筑功能在设计时予以的地下建筑配置量进行面积划分计算（不能仅由不同功能的建筑面积比例得到）。</w:t>
      </w:r>
    </w:p>
    <w:p w14:paraId="018ACFCF" w14:textId="77777777" w:rsidR="00715ABB" w:rsidRPr="006C79E9" w:rsidRDefault="00F44390" w:rsidP="006C79E9">
      <w:pPr>
        <w:pStyle w:val="20"/>
      </w:pPr>
      <w:r w:rsidRPr="0081478A">
        <w:t>【评价方法】</w:t>
      </w:r>
    </w:p>
    <w:p w14:paraId="1A057391" w14:textId="420131F2" w:rsidR="00715ABB" w:rsidRDefault="00E905A0" w:rsidP="00E26752">
      <w:pPr>
        <w:ind w:firstLine="420"/>
      </w:pPr>
      <w:r w:rsidRPr="00530A11">
        <w:t>预评价查阅相关设计文件、计算书；评价查阅相关竣工图、计算书。</w:t>
      </w:r>
    </w:p>
    <w:p w14:paraId="42E5F445" w14:textId="77777777" w:rsidR="00E26752" w:rsidRPr="0081478A" w:rsidRDefault="00E26752" w:rsidP="00E26752">
      <w:pPr>
        <w:ind w:firstLine="420"/>
        <w:rPr>
          <w:bCs/>
          <w:szCs w:val="21"/>
        </w:rPr>
      </w:pPr>
    </w:p>
    <w:p w14:paraId="36CC8346" w14:textId="77777777" w:rsidR="00C060F4" w:rsidRPr="00530A11" w:rsidRDefault="00C060F4" w:rsidP="00C060F4">
      <w:pPr>
        <w:pStyle w:val="4"/>
        <w:rPr>
          <w:rFonts w:cs="Times New Roman"/>
          <w:bCs w:val="0"/>
        </w:rPr>
      </w:pPr>
      <w:r w:rsidRPr="00530A11">
        <w:rPr>
          <w:rFonts w:cs="Times New Roman"/>
          <w:bCs w:val="0"/>
        </w:rPr>
        <w:t xml:space="preserve">7.2.3 </w:t>
      </w:r>
      <w:r w:rsidRPr="00530A11">
        <w:rPr>
          <w:rFonts w:cs="Times New Roman"/>
          <w:bCs w:val="0"/>
        </w:rPr>
        <w:t>采用机械式停车设施、地下停车库或地面停车楼等方式，评价总分值为</w:t>
      </w:r>
      <w:r w:rsidRPr="00530A11">
        <w:rPr>
          <w:rFonts w:cs="Times New Roman"/>
          <w:bCs w:val="0"/>
        </w:rPr>
        <w:t>8</w:t>
      </w:r>
      <w:r w:rsidRPr="00530A11">
        <w:rPr>
          <w:rFonts w:cs="Times New Roman"/>
          <w:bCs w:val="0"/>
        </w:rPr>
        <w:t>分，并按下列规则分别评分并累计：</w:t>
      </w:r>
    </w:p>
    <w:p w14:paraId="5ED4E760" w14:textId="77777777" w:rsidR="00C060F4" w:rsidRPr="00C060F4" w:rsidRDefault="00C060F4" w:rsidP="00C060F4">
      <w:pPr>
        <w:pStyle w:val="20"/>
        <w:ind w:firstLineChars="100" w:firstLine="211"/>
      </w:pPr>
      <w:r w:rsidRPr="00C060F4">
        <w:t>1 住宅建筑地面停车位数量与住宅总套数的比率小于10％，得4分。</w:t>
      </w:r>
    </w:p>
    <w:p w14:paraId="28BD2AA3" w14:textId="77777777" w:rsidR="00C060F4" w:rsidRPr="00C060F4" w:rsidRDefault="00C060F4" w:rsidP="00C060F4">
      <w:pPr>
        <w:pStyle w:val="20"/>
        <w:ind w:firstLineChars="100" w:firstLine="211"/>
      </w:pPr>
      <w:r w:rsidRPr="00C060F4">
        <w:lastRenderedPageBreak/>
        <w:t>2 公共建筑地面停车占地面积与其总建设用地面积的比率小于8％，得4分。</w:t>
      </w:r>
    </w:p>
    <w:p w14:paraId="7C19841B" w14:textId="77777777" w:rsidR="00C060F4" w:rsidRPr="00C060F4" w:rsidRDefault="00C060F4" w:rsidP="00C060F4">
      <w:pPr>
        <w:pStyle w:val="20"/>
        <w:ind w:firstLineChars="100" w:firstLine="211"/>
      </w:pPr>
      <w:r w:rsidRPr="00C060F4">
        <w:t xml:space="preserve">3 </w:t>
      </w:r>
      <w:r w:rsidRPr="00C060F4">
        <w:rPr>
          <w:rFonts w:hint="eastAsia"/>
        </w:rPr>
        <w:t>地下车库停车效率指标满足表</w:t>
      </w:r>
      <w:r w:rsidRPr="00C060F4">
        <w:t>7.2.3</w:t>
      </w:r>
      <w:r w:rsidRPr="00C060F4">
        <w:rPr>
          <w:rFonts w:hint="eastAsia"/>
        </w:rPr>
        <w:t>的评分规则，得</w:t>
      </w:r>
      <w:r w:rsidRPr="00C060F4">
        <w:t>2</w:t>
      </w:r>
      <w:r w:rsidRPr="00C060F4">
        <w:rPr>
          <w:rFonts w:hint="eastAsia"/>
        </w:rPr>
        <w:t>分。</w:t>
      </w:r>
    </w:p>
    <w:p w14:paraId="79EDF84A" w14:textId="77777777" w:rsidR="00C060F4" w:rsidRPr="00530A11" w:rsidRDefault="00C060F4" w:rsidP="00C060F4">
      <w:pPr>
        <w:pStyle w:val="ae"/>
        <w:rPr>
          <w:rFonts w:cs="Times New Roman"/>
          <w:b w:val="0"/>
          <w:szCs w:val="24"/>
        </w:rPr>
      </w:pPr>
      <w:r w:rsidRPr="00530A11">
        <w:rPr>
          <w:rFonts w:cs="Times New Roman" w:hint="eastAsia"/>
          <w:b w:val="0"/>
        </w:rPr>
        <w:t>表</w:t>
      </w:r>
      <w:r w:rsidRPr="00530A11">
        <w:rPr>
          <w:rFonts w:cs="Times New Roman"/>
          <w:b w:val="0"/>
        </w:rPr>
        <w:t xml:space="preserve">7.2.3 </w:t>
      </w:r>
      <w:r w:rsidRPr="00530A11">
        <w:rPr>
          <w:rFonts w:cs="Times New Roman" w:hint="eastAsia"/>
          <w:b w:val="0"/>
        </w:rPr>
        <w:t>地下车库停车效率指标评分规则</w:t>
      </w:r>
    </w:p>
    <w:tbl>
      <w:tblPr>
        <w:tblW w:w="8292" w:type="dxa"/>
        <w:jc w:val="center"/>
        <w:tblLayout w:type="fixed"/>
        <w:tblLook w:val="04A0" w:firstRow="1" w:lastRow="0" w:firstColumn="1" w:lastColumn="0" w:noHBand="0" w:noVBand="1"/>
      </w:tblPr>
      <w:tblGrid>
        <w:gridCol w:w="1086"/>
        <w:gridCol w:w="3022"/>
        <w:gridCol w:w="2033"/>
        <w:gridCol w:w="2151"/>
      </w:tblGrid>
      <w:tr w:rsidR="00C060F4" w:rsidRPr="00530A11" w14:paraId="7B13492D" w14:textId="77777777" w:rsidTr="00C060F4">
        <w:trPr>
          <w:jc w:val="center"/>
        </w:trPr>
        <w:tc>
          <w:tcPr>
            <w:tcW w:w="410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395B3215" w14:textId="77777777" w:rsidR="00C060F4" w:rsidRPr="00530A11" w:rsidRDefault="00C060F4" w:rsidP="00C060F4">
            <w:pPr>
              <w:pStyle w:val="ae"/>
              <w:rPr>
                <w:rFonts w:cs="Times New Roman"/>
                <w:b w:val="0"/>
                <w:szCs w:val="24"/>
              </w:rPr>
            </w:pPr>
            <w:r w:rsidRPr="00530A11">
              <w:rPr>
                <w:rFonts w:cs="Times New Roman" w:hint="eastAsia"/>
                <w:b w:val="0"/>
              </w:rPr>
              <w:t>类型</w:t>
            </w:r>
          </w:p>
        </w:tc>
        <w:tc>
          <w:tcPr>
            <w:tcW w:w="2033" w:type="dxa"/>
            <w:tcBorders>
              <w:top w:val="single" w:sz="8" w:space="0" w:color="auto"/>
              <w:left w:val="single" w:sz="8" w:space="0" w:color="auto"/>
              <w:bottom w:val="single" w:sz="8" w:space="0" w:color="auto"/>
              <w:right w:val="single" w:sz="8" w:space="0" w:color="auto"/>
            </w:tcBorders>
            <w:shd w:val="clear" w:color="auto" w:fill="auto"/>
            <w:vAlign w:val="center"/>
          </w:tcPr>
          <w:p w14:paraId="7A9D2B90" w14:textId="77777777" w:rsidR="00C060F4" w:rsidRPr="00530A11" w:rsidRDefault="00C060F4" w:rsidP="00C060F4">
            <w:pPr>
              <w:pStyle w:val="ae"/>
              <w:rPr>
                <w:rFonts w:cs="Times New Roman"/>
                <w:b w:val="0"/>
                <w:szCs w:val="24"/>
              </w:rPr>
            </w:pPr>
            <w:r w:rsidRPr="00530A11">
              <w:rPr>
                <w:rFonts w:cs="Times New Roman" w:hint="eastAsia"/>
                <w:b w:val="0"/>
              </w:rPr>
              <w:t>面积指标（</w:t>
            </w:r>
            <w:r w:rsidRPr="00530A11">
              <w:rPr>
                <w:rFonts w:cs="Times New Roman"/>
                <w:b w:val="0"/>
              </w:rPr>
              <w:t>m</w:t>
            </w:r>
            <w:r w:rsidRPr="00530A11">
              <w:rPr>
                <w:rFonts w:cs="Times New Roman"/>
                <w:b w:val="0"/>
                <w:szCs w:val="21"/>
                <w:vertAlign w:val="superscript"/>
              </w:rPr>
              <w:t>2</w:t>
            </w:r>
            <w:r w:rsidRPr="00530A11">
              <w:rPr>
                <w:rFonts w:cs="Times New Roman"/>
                <w:b w:val="0"/>
                <w:szCs w:val="21"/>
              </w:rPr>
              <w:t>/</w:t>
            </w:r>
            <w:r w:rsidRPr="00530A11">
              <w:rPr>
                <w:rFonts w:cs="Times New Roman" w:hint="eastAsia"/>
                <w:b w:val="0"/>
              </w:rPr>
              <w:t>辆）</w:t>
            </w:r>
          </w:p>
        </w:tc>
        <w:tc>
          <w:tcPr>
            <w:tcW w:w="2151" w:type="dxa"/>
            <w:tcBorders>
              <w:top w:val="single" w:sz="8" w:space="0" w:color="auto"/>
              <w:left w:val="single" w:sz="8" w:space="0" w:color="auto"/>
              <w:bottom w:val="single" w:sz="8" w:space="0" w:color="auto"/>
              <w:right w:val="single" w:sz="8" w:space="0" w:color="auto"/>
            </w:tcBorders>
            <w:shd w:val="clear" w:color="auto" w:fill="auto"/>
            <w:vAlign w:val="center"/>
          </w:tcPr>
          <w:p w14:paraId="7A9D2EA4" w14:textId="77777777" w:rsidR="00C060F4" w:rsidRPr="00530A11" w:rsidRDefault="00C060F4" w:rsidP="00C060F4">
            <w:pPr>
              <w:pStyle w:val="ae"/>
              <w:rPr>
                <w:rFonts w:cs="Times New Roman"/>
                <w:b w:val="0"/>
                <w:szCs w:val="24"/>
              </w:rPr>
            </w:pPr>
            <w:r w:rsidRPr="00530A11">
              <w:rPr>
                <w:rFonts w:cs="Times New Roman" w:hint="eastAsia"/>
                <w:b w:val="0"/>
              </w:rPr>
              <w:t>层高指标（</w:t>
            </w:r>
            <w:r w:rsidRPr="00530A11">
              <w:rPr>
                <w:rFonts w:cs="Times New Roman"/>
                <w:b w:val="0"/>
              </w:rPr>
              <w:t>m</w:t>
            </w:r>
            <w:r w:rsidRPr="00530A11">
              <w:rPr>
                <w:rFonts w:cs="Times New Roman" w:hint="eastAsia"/>
                <w:b w:val="0"/>
              </w:rPr>
              <w:t>）</w:t>
            </w:r>
          </w:p>
        </w:tc>
      </w:tr>
      <w:tr w:rsidR="00C060F4" w:rsidRPr="00530A11" w14:paraId="2D11337C" w14:textId="77777777" w:rsidTr="00C060F4">
        <w:trPr>
          <w:jc w:val="center"/>
        </w:trPr>
        <w:tc>
          <w:tcPr>
            <w:tcW w:w="108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2DEB5070" w14:textId="77777777" w:rsidR="00C060F4" w:rsidRPr="00530A11" w:rsidRDefault="00C060F4" w:rsidP="00C060F4">
            <w:pPr>
              <w:pStyle w:val="ae"/>
              <w:rPr>
                <w:rFonts w:cs="Times New Roman"/>
                <w:b w:val="0"/>
                <w:szCs w:val="24"/>
              </w:rPr>
            </w:pPr>
            <w:r w:rsidRPr="00530A11">
              <w:rPr>
                <w:rFonts w:cs="Times New Roman" w:hint="eastAsia"/>
                <w:b w:val="0"/>
              </w:rPr>
              <w:t>不结合人防设计</w:t>
            </w:r>
          </w:p>
        </w:tc>
        <w:tc>
          <w:tcPr>
            <w:tcW w:w="3022" w:type="dxa"/>
            <w:tcBorders>
              <w:top w:val="single" w:sz="8" w:space="0" w:color="auto"/>
              <w:left w:val="single" w:sz="8" w:space="0" w:color="auto"/>
              <w:bottom w:val="single" w:sz="8" w:space="0" w:color="auto"/>
              <w:right w:val="single" w:sz="8" w:space="0" w:color="auto"/>
            </w:tcBorders>
            <w:shd w:val="clear" w:color="auto" w:fill="auto"/>
            <w:vAlign w:val="center"/>
          </w:tcPr>
          <w:p w14:paraId="3779B3BA" w14:textId="77777777" w:rsidR="00C060F4" w:rsidRPr="00530A11" w:rsidRDefault="00C060F4" w:rsidP="00C060F4">
            <w:pPr>
              <w:pStyle w:val="ae"/>
              <w:rPr>
                <w:rFonts w:cs="Times New Roman"/>
                <w:b w:val="0"/>
                <w:szCs w:val="24"/>
              </w:rPr>
            </w:pPr>
            <w:r w:rsidRPr="00530A11">
              <w:rPr>
                <w:rFonts w:cs="Times New Roman" w:hint="eastAsia"/>
                <w:b w:val="0"/>
              </w:rPr>
              <w:t>非顶层</w:t>
            </w:r>
          </w:p>
        </w:tc>
        <w:tc>
          <w:tcPr>
            <w:tcW w:w="2033"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2F0B4A5" w14:textId="77777777" w:rsidR="00C060F4" w:rsidRPr="00530A11" w:rsidRDefault="00C060F4" w:rsidP="00C060F4">
            <w:pPr>
              <w:pStyle w:val="ae"/>
              <w:rPr>
                <w:rFonts w:cs="Times New Roman"/>
                <w:b w:val="0"/>
                <w:szCs w:val="24"/>
              </w:rPr>
            </w:pPr>
            <w:r w:rsidRPr="00530A11">
              <w:rPr>
                <w:rFonts w:cs="Times New Roman" w:hint="eastAsia"/>
                <w:b w:val="0"/>
              </w:rPr>
              <w:t>≤</w:t>
            </w:r>
            <w:r w:rsidRPr="00530A11">
              <w:rPr>
                <w:rFonts w:cs="Times New Roman"/>
                <w:b w:val="0"/>
              </w:rPr>
              <w:t>33</w:t>
            </w:r>
            <w:r w:rsidRPr="00530A11">
              <w:rPr>
                <w:rFonts w:cs="Times New Roman" w:hint="eastAsia"/>
                <w:b w:val="0"/>
              </w:rPr>
              <w:t>（</w:t>
            </w:r>
            <w:r w:rsidRPr="00530A11">
              <w:rPr>
                <w:rFonts w:cs="Times New Roman"/>
                <w:b w:val="0"/>
              </w:rPr>
              <w:t>38</w:t>
            </w:r>
            <w:r w:rsidRPr="00530A11">
              <w:rPr>
                <w:rFonts w:cs="Times New Roman" w:hint="eastAsia"/>
                <w:b w:val="0"/>
              </w:rPr>
              <w:t>）</w:t>
            </w:r>
          </w:p>
        </w:tc>
        <w:tc>
          <w:tcPr>
            <w:tcW w:w="2151" w:type="dxa"/>
            <w:tcBorders>
              <w:top w:val="single" w:sz="8" w:space="0" w:color="auto"/>
              <w:left w:val="single" w:sz="8" w:space="0" w:color="auto"/>
              <w:bottom w:val="single" w:sz="8" w:space="0" w:color="auto"/>
              <w:right w:val="single" w:sz="8" w:space="0" w:color="auto"/>
            </w:tcBorders>
            <w:shd w:val="clear" w:color="auto" w:fill="auto"/>
            <w:vAlign w:val="center"/>
          </w:tcPr>
          <w:p w14:paraId="774F021E" w14:textId="77777777" w:rsidR="00C060F4" w:rsidRPr="00530A11" w:rsidRDefault="00C060F4" w:rsidP="00C060F4">
            <w:pPr>
              <w:pStyle w:val="ae"/>
              <w:rPr>
                <w:rFonts w:cs="Times New Roman"/>
                <w:b w:val="0"/>
                <w:szCs w:val="24"/>
              </w:rPr>
            </w:pPr>
            <w:r w:rsidRPr="00530A11">
              <w:rPr>
                <w:rFonts w:cs="Times New Roman" w:hint="eastAsia"/>
                <w:b w:val="0"/>
              </w:rPr>
              <w:t>≤</w:t>
            </w:r>
            <w:r w:rsidRPr="00530A11">
              <w:rPr>
                <w:rFonts w:cs="Times New Roman"/>
                <w:b w:val="0"/>
              </w:rPr>
              <w:t>3.6</w:t>
            </w:r>
            <w:r w:rsidRPr="00530A11">
              <w:rPr>
                <w:rFonts w:cs="Times New Roman" w:hint="eastAsia"/>
                <w:b w:val="0"/>
              </w:rPr>
              <w:t>（</w:t>
            </w:r>
            <w:r w:rsidRPr="00530A11">
              <w:rPr>
                <w:rFonts w:cs="Times New Roman"/>
                <w:b w:val="0"/>
              </w:rPr>
              <w:t>3.9</w:t>
            </w:r>
            <w:r w:rsidRPr="00530A11">
              <w:rPr>
                <w:rFonts w:cs="Times New Roman" w:hint="eastAsia"/>
                <w:b w:val="0"/>
              </w:rPr>
              <w:t>）</w:t>
            </w:r>
          </w:p>
        </w:tc>
      </w:tr>
      <w:tr w:rsidR="00C060F4" w:rsidRPr="00530A11" w14:paraId="6FF35017" w14:textId="77777777" w:rsidTr="00C060F4">
        <w:trPr>
          <w:jc w:val="center"/>
        </w:trPr>
        <w:tc>
          <w:tcPr>
            <w:tcW w:w="108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07F0D5D2" w14:textId="77777777" w:rsidR="00C060F4" w:rsidRPr="00530A11" w:rsidRDefault="00C060F4" w:rsidP="00C060F4">
            <w:pPr>
              <w:pStyle w:val="ae"/>
              <w:rPr>
                <w:rFonts w:cs="Times New Roman"/>
                <w:b w:val="0"/>
                <w:szCs w:val="24"/>
              </w:rPr>
            </w:pPr>
          </w:p>
        </w:tc>
        <w:tc>
          <w:tcPr>
            <w:tcW w:w="3022" w:type="dxa"/>
            <w:tcBorders>
              <w:top w:val="single" w:sz="8" w:space="0" w:color="auto"/>
              <w:left w:val="single" w:sz="8" w:space="0" w:color="auto"/>
              <w:bottom w:val="single" w:sz="8" w:space="0" w:color="auto"/>
              <w:right w:val="single" w:sz="8" w:space="0" w:color="auto"/>
            </w:tcBorders>
            <w:shd w:val="clear" w:color="auto" w:fill="auto"/>
            <w:vAlign w:val="center"/>
          </w:tcPr>
          <w:p w14:paraId="3D478E7D" w14:textId="77777777" w:rsidR="00C060F4" w:rsidRPr="00530A11" w:rsidRDefault="00C060F4" w:rsidP="00C060F4">
            <w:pPr>
              <w:pStyle w:val="ae"/>
              <w:rPr>
                <w:rFonts w:cs="Times New Roman"/>
                <w:b w:val="0"/>
                <w:szCs w:val="24"/>
              </w:rPr>
            </w:pPr>
            <w:r w:rsidRPr="00530A11">
              <w:rPr>
                <w:rFonts w:cs="Times New Roman" w:hint="eastAsia"/>
                <w:b w:val="0"/>
              </w:rPr>
              <w:t>有绿化覆土或消防车道顶层</w:t>
            </w:r>
          </w:p>
        </w:tc>
        <w:tc>
          <w:tcPr>
            <w:tcW w:w="2033" w:type="dxa"/>
            <w:vMerge/>
            <w:tcBorders>
              <w:top w:val="single" w:sz="8" w:space="0" w:color="auto"/>
              <w:left w:val="single" w:sz="8" w:space="0" w:color="auto"/>
              <w:bottom w:val="single" w:sz="8" w:space="0" w:color="auto"/>
              <w:right w:val="single" w:sz="8" w:space="0" w:color="auto"/>
            </w:tcBorders>
            <w:shd w:val="clear" w:color="auto" w:fill="auto"/>
            <w:vAlign w:val="center"/>
          </w:tcPr>
          <w:p w14:paraId="7D3229E6" w14:textId="77777777" w:rsidR="00C060F4" w:rsidRPr="00530A11" w:rsidRDefault="00C060F4" w:rsidP="00C060F4">
            <w:pPr>
              <w:pStyle w:val="ae"/>
              <w:rPr>
                <w:rFonts w:cs="Times New Roman"/>
                <w:b w:val="0"/>
                <w:szCs w:val="24"/>
              </w:rPr>
            </w:pPr>
          </w:p>
        </w:tc>
        <w:tc>
          <w:tcPr>
            <w:tcW w:w="2151" w:type="dxa"/>
            <w:tcBorders>
              <w:top w:val="single" w:sz="8" w:space="0" w:color="auto"/>
              <w:left w:val="single" w:sz="8" w:space="0" w:color="auto"/>
              <w:bottom w:val="single" w:sz="8" w:space="0" w:color="auto"/>
              <w:right w:val="single" w:sz="8" w:space="0" w:color="auto"/>
            </w:tcBorders>
            <w:shd w:val="clear" w:color="auto" w:fill="auto"/>
            <w:vAlign w:val="center"/>
          </w:tcPr>
          <w:p w14:paraId="087E4A41" w14:textId="77777777" w:rsidR="00C060F4" w:rsidRPr="00530A11" w:rsidRDefault="00C060F4" w:rsidP="00C060F4">
            <w:pPr>
              <w:pStyle w:val="ae"/>
              <w:rPr>
                <w:rFonts w:cs="Times New Roman"/>
                <w:b w:val="0"/>
                <w:szCs w:val="24"/>
              </w:rPr>
            </w:pPr>
            <w:r w:rsidRPr="00530A11">
              <w:rPr>
                <w:rFonts w:cs="Times New Roman" w:hint="eastAsia"/>
                <w:b w:val="0"/>
              </w:rPr>
              <w:t>≤</w:t>
            </w:r>
            <w:r w:rsidRPr="00530A11">
              <w:rPr>
                <w:rFonts w:cs="Times New Roman"/>
                <w:b w:val="0"/>
              </w:rPr>
              <w:t>3.9</w:t>
            </w:r>
            <w:r w:rsidRPr="00530A11">
              <w:rPr>
                <w:rFonts w:cs="Times New Roman" w:hint="eastAsia"/>
                <w:b w:val="0"/>
              </w:rPr>
              <w:t>（</w:t>
            </w:r>
            <w:r w:rsidRPr="00530A11">
              <w:rPr>
                <w:rFonts w:cs="Times New Roman"/>
                <w:b w:val="0"/>
              </w:rPr>
              <w:t>4.2</w:t>
            </w:r>
            <w:r w:rsidRPr="00530A11">
              <w:rPr>
                <w:rFonts w:cs="Times New Roman" w:hint="eastAsia"/>
                <w:b w:val="0"/>
              </w:rPr>
              <w:t>）</w:t>
            </w:r>
          </w:p>
        </w:tc>
      </w:tr>
      <w:tr w:rsidR="00C060F4" w:rsidRPr="00530A11" w14:paraId="39E4F172" w14:textId="77777777" w:rsidTr="00C060F4">
        <w:trPr>
          <w:jc w:val="center"/>
        </w:trPr>
        <w:tc>
          <w:tcPr>
            <w:tcW w:w="1086"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64547033" w14:textId="77777777" w:rsidR="00C060F4" w:rsidRPr="00530A11" w:rsidRDefault="00C060F4" w:rsidP="00C060F4">
            <w:pPr>
              <w:pStyle w:val="ae"/>
              <w:rPr>
                <w:rFonts w:cs="Times New Roman"/>
                <w:b w:val="0"/>
                <w:szCs w:val="24"/>
              </w:rPr>
            </w:pPr>
            <w:r w:rsidRPr="00530A11">
              <w:rPr>
                <w:rFonts w:cs="Times New Roman" w:hint="eastAsia"/>
                <w:b w:val="0"/>
              </w:rPr>
              <w:t>结合人防设计</w:t>
            </w:r>
          </w:p>
        </w:tc>
        <w:tc>
          <w:tcPr>
            <w:tcW w:w="3022" w:type="dxa"/>
            <w:tcBorders>
              <w:top w:val="single" w:sz="8" w:space="0" w:color="auto"/>
              <w:left w:val="single" w:sz="8" w:space="0" w:color="auto"/>
              <w:bottom w:val="single" w:sz="8" w:space="0" w:color="auto"/>
              <w:right w:val="single" w:sz="8" w:space="0" w:color="auto"/>
            </w:tcBorders>
            <w:shd w:val="clear" w:color="auto" w:fill="auto"/>
            <w:vAlign w:val="center"/>
          </w:tcPr>
          <w:p w14:paraId="16613975" w14:textId="77777777" w:rsidR="00C060F4" w:rsidRPr="00530A11" w:rsidRDefault="00C060F4" w:rsidP="00C060F4">
            <w:pPr>
              <w:pStyle w:val="ae"/>
              <w:rPr>
                <w:rFonts w:cs="Times New Roman"/>
                <w:b w:val="0"/>
                <w:szCs w:val="24"/>
              </w:rPr>
            </w:pPr>
            <w:r w:rsidRPr="00530A11">
              <w:rPr>
                <w:rFonts w:cs="Times New Roman" w:hint="eastAsia"/>
                <w:b w:val="0"/>
              </w:rPr>
              <w:t>人防区域总建筑面积</w:t>
            </w:r>
            <w:r w:rsidRPr="00530A11">
              <w:rPr>
                <w:rFonts w:cs="Times New Roman"/>
                <w:b w:val="0"/>
              </w:rPr>
              <w:t>&lt;1/2</w:t>
            </w:r>
            <w:r w:rsidRPr="00530A11">
              <w:rPr>
                <w:rFonts w:cs="Times New Roman" w:hint="eastAsia"/>
                <w:b w:val="0"/>
              </w:rPr>
              <w:t>车库总建筑面积</w:t>
            </w:r>
          </w:p>
        </w:tc>
        <w:tc>
          <w:tcPr>
            <w:tcW w:w="2033" w:type="dxa"/>
            <w:tcBorders>
              <w:top w:val="single" w:sz="8" w:space="0" w:color="auto"/>
              <w:left w:val="single" w:sz="8" w:space="0" w:color="auto"/>
              <w:bottom w:val="single" w:sz="8" w:space="0" w:color="auto"/>
              <w:right w:val="single" w:sz="8" w:space="0" w:color="auto"/>
            </w:tcBorders>
            <w:shd w:val="clear" w:color="auto" w:fill="auto"/>
            <w:vAlign w:val="center"/>
          </w:tcPr>
          <w:p w14:paraId="2AE60AAF" w14:textId="77777777" w:rsidR="00C060F4" w:rsidRPr="00530A11" w:rsidRDefault="00C060F4" w:rsidP="00C060F4">
            <w:pPr>
              <w:pStyle w:val="ae"/>
              <w:rPr>
                <w:rFonts w:cs="Times New Roman"/>
                <w:b w:val="0"/>
                <w:szCs w:val="24"/>
              </w:rPr>
            </w:pPr>
            <w:r w:rsidRPr="00530A11">
              <w:rPr>
                <w:rFonts w:cs="Times New Roman" w:hint="eastAsia"/>
                <w:b w:val="0"/>
              </w:rPr>
              <w:t>≤</w:t>
            </w:r>
            <w:r w:rsidRPr="00530A11">
              <w:rPr>
                <w:rFonts w:cs="Times New Roman"/>
                <w:b w:val="0"/>
              </w:rPr>
              <w:t>36</w:t>
            </w:r>
            <w:r w:rsidRPr="00530A11">
              <w:rPr>
                <w:rFonts w:cs="Times New Roman" w:hint="eastAsia"/>
                <w:b w:val="0"/>
              </w:rPr>
              <w:t>（</w:t>
            </w:r>
            <w:r w:rsidRPr="00530A11">
              <w:rPr>
                <w:rFonts w:cs="Times New Roman"/>
                <w:b w:val="0"/>
              </w:rPr>
              <w:t>40</w:t>
            </w:r>
            <w:r w:rsidRPr="00530A11">
              <w:rPr>
                <w:rFonts w:cs="Times New Roman" w:hint="eastAsia"/>
                <w:b w:val="0"/>
              </w:rPr>
              <w:t>）</w:t>
            </w:r>
          </w:p>
        </w:tc>
        <w:tc>
          <w:tcPr>
            <w:tcW w:w="2151" w:type="dxa"/>
            <w:vMerge w:val="restart"/>
            <w:tcBorders>
              <w:top w:val="single" w:sz="8" w:space="0" w:color="auto"/>
              <w:left w:val="single" w:sz="8" w:space="0" w:color="auto"/>
              <w:bottom w:val="single" w:sz="8" w:space="0" w:color="auto"/>
              <w:right w:val="single" w:sz="8" w:space="0" w:color="auto"/>
            </w:tcBorders>
            <w:shd w:val="clear" w:color="auto" w:fill="auto"/>
            <w:vAlign w:val="center"/>
          </w:tcPr>
          <w:p w14:paraId="5634927F" w14:textId="77777777" w:rsidR="00C060F4" w:rsidRPr="00530A11" w:rsidRDefault="00C060F4" w:rsidP="00C060F4">
            <w:pPr>
              <w:pStyle w:val="ae"/>
              <w:rPr>
                <w:rFonts w:cs="Times New Roman"/>
                <w:b w:val="0"/>
                <w:szCs w:val="24"/>
              </w:rPr>
            </w:pPr>
            <w:r w:rsidRPr="00530A11">
              <w:rPr>
                <w:rFonts w:cs="Times New Roman" w:hint="eastAsia"/>
                <w:b w:val="0"/>
              </w:rPr>
              <w:t>≤</w:t>
            </w:r>
            <w:r w:rsidRPr="00530A11">
              <w:rPr>
                <w:rFonts w:cs="Times New Roman"/>
                <w:b w:val="0"/>
              </w:rPr>
              <w:t>3.9</w:t>
            </w:r>
            <w:r w:rsidRPr="00530A11">
              <w:rPr>
                <w:rFonts w:cs="Times New Roman" w:hint="eastAsia"/>
                <w:b w:val="0"/>
              </w:rPr>
              <w:t>（</w:t>
            </w:r>
            <w:r w:rsidRPr="00530A11">
              <w:rPr>
                <w:rFonts w:cs="Times New Roman"/>
                <w:b w:val="0"/>
              </w:rPr>
              <w:t>4.2</w:t>
            </w:r>
            <w:r w:rsidRPr="00530A11">
              <w:rPr>
                <w:rFonts w:cs="Times New Roman" w:hint="eastAsia"/>
                <w:b w:val="0"/>
              </w:rPr>
              <w:t>）</w:t>
            </w:r>
          </w:p>
        </w:tc>
      </w:tr>
      <w:tr w:rsidR="00C060F4" w:rsidRPr="00530A11" w14:paraId="16AB179F" w14:textId="77777777" w:rsidTr="00C060F4">
        <w:trPr>
          <w:jc w:val="center"/>
        </w:trPr>
        <w:tc>
          <w:tcPr>
            <w:tcW w:w="1086" w:type="dxa"/>
            <w:vMerge/>
            <w:tcBorders>
              <w:top w:val="single" w:sz="8" w:space="0" w:color="auto"/>
              <w:left w:val="single" w:sz="8" w:space="0" w:color="auto"/>
              <w:bottom w:val="single" w:sz="8" w:space="0" w:color="auto"/>
              <w:right w:val="single" w:sz="8" w:space="0" w:color="auto"/>
            </w:tcBorders>
            <w:shd w:val="clear" w:color="auto" w:fill="auto"/>
            <w:vAlign w:val="center"/>
          </w:tcPr>
          <w:p w14:paraId="1F0F7E0E" w14:textId="77777777" w:rsidR="00C060F4" w:rsidRPr="00530A11" w:rsidRDefault="00C060F4" w:rsidP="00C060F4">
            <w:pPr>
              <w:pStyle w:val="ae"/>
              <w:rPr>
                <w:rFonts w:cs="Times New Roman"/>
                <w:b w:val="0"/>
                <w:szCs w:val="24"/>
              </w:rPr>
            </w:pPr>
          </w:p>
        </w:tc>
        <w:tc>
          <w:tcPr>
            <w:tcW w:w="3022" w:type="dxa"/>
            <w:tcBorders>
              <w:top w:val="single" w:sz="8" w:space="0" w:color="auto"/>
              <w:left w:val="single" w:sz="8" w:space="0" w:color="auto"/>
              <w:bottom w:val="single" w:sz="8" w:space="0" w:color="auto"/>
              <w:right w:val="single" w:sz="8" w:space="0" w:color="auto"/>
            </w:tcBorders>
            <w:shd w:val="clear" w:color="auto" w:fill="auto"/>
            <w:vAlign w:val="center"/>
          </w:tcPr>
          <w:p w14:paraId="3063982F" w14:textId="77777777" w:rsidR="00C060F4" w:rsidRPr="00530A11" w:rsidRDefault="00C060F4" w:rsidP="00C060F4">
            <w:pPr>
              <w:pStyle w:val="ae"/>
              <w:rPr>
                <w:rFonts w:cs="Times New Roman"/>
                <w:b w:val="0"/>
                <w:szCs w:val="24"/>
              </w:rPr>
            </w:pPr>
            <w:r w:rsidRPr="00530A11">
              <w:rPr>
                <w:rFonts w:cs="Times New Roman" w:hint="eastAsia"/>
                <w:b w:val="0"/>
              </w:rPr>
              <w:t>人防区域总建筑面积≥</w:t>
            </w:r>
            <w:r w:rsidRPr="00530A11">
              <w:rPr>
                <w:rFonts w:cs="Times New Roman"/>
                <w:b w:val="0"/>
              </w:rPr>
              <w:t>1/2</w:t>
            </w:r>
            <w:r w:rsidRPr="00530A11">
              <w:rPr>
                <w:rFonts w:cs="Times New Roman" w:hint="eastAsia"/>
                <w:b w:val="0"/>
              </w:rPr>
              <w:t>车库总建筑面积</w:t>
            </w:r>
          </w:p>
        </w:tc>
        <w:tc>
          <w:tcPr>
            <w:tcW w:w="2033" w:type="dxa"/>
            <w:tcBorders>
              <w:top w:val="single" w:sz="8" w:space="0" w:color="auto"/>
              <w:left w:val="single" w:sz="8" w:space="0" w:color="auto"/>
              <w:bottom w:val="single" w:sz="8" w:space="0" w:color="auto"/>
              <w:right w:val="single" w:sz="8" w:space="0" w:color="auto"/>
            </w:tcBorders>
            <w:shd w:val="clear" w:color="auto" w:fill="auto"/>
            <w:vAlign w:val="center"/>
          </w:tcPr>
          <w:p w14:paraId="77D20648" w14:textId="77777777" w:rsidR="00C060F4" w:rsidRPr="00530A11" w:rsidRDefault="00C060F4" w:rsidP="00C060F4">
            <w:pPr>
              <w:pStyle w:val="ae"/>
              <w:rPr>
                <w:rFonts w:cs="Times New Roman"/>
                <w:b w:val="0"/>
                <w:szCs w:val="24"/>
              </w:rPr>
            </w:pPr>
            <w:r w:rsidRPr="00530A11">
              <w:rPr>
                <w:rFonts w:cs="Times New Roman" w:hint="eastAsia"/>
                <w:b w:val="0"/>
              </w:rPr>
              <w:t>≤</w:t>
            </w:r>
            <w:r w:rsidRPr="00530A11">
              <w:rPr>
                <w:rFonts w:cs="Times New Roman"/>
                <w:b w:val="0"/>
              </w:rPr>
              <w:t>38</w:t>
            </w:r>
            <w:r w:rsidRPr="00530A11">
              <w:rPr>
                <w:rFonts w:cs="Times New Roman" w:hint="eastAsia"/>
                <w:b w:val="0"/>
              </w:rPr>
              <w:t>（</w:t>
            </w:r>
            <w:r w:rsidRPr="00530A11">
              <w:rPr>
                <w:rFonts w:cs="Times New Roman"/>
                <w:b w:val="0"/>
              </w:rPr>
              <w:t>42</w:t>
            </w:r>
            <w:r w:rsidRPr="00530A11">
              <w:rPr>
                <w:rFonts w:cs="Times New Roman" w:hint="eastAsia"/>
                <w:b w:val="0"/>
              </w:rPr>
              <w:t>）</w:t>
            </w:r>
          </w:p>
        </w:tc>
        <w:tc>
          <w:tcPr>
            <w:tcW w:w="2151" w:type="dxa"/>
            <w:vMerge/>
            <w:tcBorders>
              <w:top w:val="single" w:sz="8" w:space="0" w:color="auto"/>
              <w:left w:val="single" w:sz="8" w:space="0" w:color="auto"/>
              <w:bottom w:val="single" w:sz="8" w:space="0" w:color="auto"/>
              <w:right w:val="single" w:sz="8" w:space="0" w:color="auto"/>
            </w:tcBorders>
            <w:shd w:val="clear" w:color="auto" w:fill="auto"/>
            <w:vAlign w:val="center"/>
          </w:tcPr>
          <w:p w14:paraId="4F47F5BC" w14:textId="77777777" w:rsidR="00C060F4" w:rsidRPr="00530A11" w:rsidRDefault="00C060F4" w:rsidP="00C060F4">
            <w:pPr>
              <w:pStyle w:val="ae"/>
              <w:rPr>
                <w:rFonts w:cs="Times New Roman"/>
                <w:b w:val="0"/>
                <w:szCs w:val="24"/>
              </w:rPr>
            </w:pPr>
          </w:p>
        </w:tc>
      </w:tr>
    </w:tbl>
    <w:p w14:paraId="3CB5FEEF" w14:textId="77777777" w:rsidR="00C060F4" w:rsidRPr="00530A11" w:rsidRDefault="00C060F4" w:rsidP="00C060F4">
      <w:pPr>
        <w:spacing w:line="312" w:lineRule="auto"/>
        <w:ind w:firstLineChars="0" w:firstLine="0"/>
        <w:jc w:val="left"/>
        <w:rPr>
          <w:rFonts w:cs="Times New Roman"/>
          <w:sz w:val="18"/>
          <w:szCs w:val="18"/>
        </w:rPr>
      </w:pPr>
      <w:r w:rsidRPr="00530A11">
        <w:rPr>
          <w:rFonts w:cs="Times New Roman" w:hint="eastAsia"/>
          <w:sz w:val="18"/>
          <w:szCs w:val="18"/>
        </w:rPr>
        <w:t>注：（</w:t>
      </w:r>
      <w:r w:rsidRPr="00530A11">
        <w:rPr>
          <w:rFonts w:cs="Times New Roman" w:hint="eastAsia"/>
          <w:sz w:val="18"/>
          <w:szCs w:val="18"/>
        </w:rPr>
        <w:t>1</w:t>
      </w:r>
      <w:r w:rsidRPr="00530A11">
        <w:rPr>
          <w:rFonts w:cs="Times New Roman" w:hint="eastAsia"/>
          <w:sz w:val="18"/>
          <w:szCs w:val="18"/>
        </w:rPr>
        <w:t>）无括号指标适用于居住建筑配套车库，括号内指标适用于公共建筑配套车库。</w:t>
      </w:r>
    </w:p>
    <w:p w14:paraId="2D01FE4D" w14:textId="77777777" w:rsidR="00C060F4" w:rsidRPr="00530A11" w:rsidRDefault="00C060F4" w:rsidP="00C060F4">
      <w:pPr>
        <w:spacing w:line="312" w:lineRule="auto"/>
        <w:ind w:firstLine="360"/>
        <w:jc w:val="left"/>
        <w:rPr>
          <w:rFonts w:cs="Times New Roman"/>
          <w:sz w:val="18"/>
          <w:szCs w:val="18"/>
        </w:rPr>
      </w:pPr>
      <w:r w:rsidRPr="00530A11">
        <w:rPr>
          <w:rFonts w:cs="Times New Roman" w:hint="eastAsia"/>
          <w:sz w:val="18"/>
          <w:szCs w:val="18"/>
        </w:rPr>
        <w:t>（</w:t>
      </w:r>
      <w:r w:rsidRPr="00530A11">
        <w:rPr>
          <w:rFonts w:cs="Times New Roman" w:hint="eastAsia"/>
          <w:sz w:val="18"/>
          <w:szCs w:val="18"/>
        </w:rPr>
        <w:t>2</w:t>
      </w:r>
      <w:r w:rsidRPr="00530A11">
        <w:rPr>
          <w:rFonts w:cs="Times New Roman" w:hint="eastAsia"/>
          <w:sz w:val="18"/>
          <w:szCs w:val="18"/>
        </w:rPr>
        <w:t>）不结合人防设计的车库顶层，无绿化覆土或消防车道的采用非顶层指标。</w:t>
      </w:r>
    </w:p>
    <w:p w14:paraId="4085A3E5" w14:textId="77777777" w:rsidR="00C060F4" w:rsidRPr="00530A11" w:rsidRDefault="00C060F4" w:rsidP="00C060F4">
      <w:pPr>
        <w:spacing w:line="312" w:lineRule="auto"/>
        <w:ind w:firstLine="360"/>
        <w:jc w:val="left"/>
        <w:rPr>
          <w:rFonts w:cs="Times New Roman"/>
          <w:sz w:val="18"/>
          <w:szCs w:val="18"/>
        </w:rPr>
      </w:pPr>
      <w:r w:rsidRPr="00530A11">
        <w:rPr>
          <w:rFonts w:cs="Times New Roman" w:hint="eastAsia"/>
          <w:sz w:val="18"/>
          <w:szCs w:val="18"/>
        </w:rPr>
        <w:t>（</w:t>
      </w:r>
      <w:r w:rsidRPr="00530A11">
        <w:rPr>
          <w:rFonts w:cs="Times New Roman" w:hint="eastAsia"/>
          <w:sz w:val="18"/>
          <w:szCs w:val="18"/>
        </w:rPr>
        <w:t>3</w:t>
      </w:r>
      <w:r w:rsidRPr="00530A11">
        <w:rPr>
          <w:rFonts w:cs="Times New Roman" w:hint="eastAsia"/>
          <w:sz w:val="18"/>
          <w:szCs w:val="18"/>
        </w:rPr>
        <w:t>）不适用于机械式停车库。</w:t>
      </w:r>
    </w:p>
    <w:p w14:paraId="61ED4C73" w14:textId="77777777" w:rsidR="00C060F4" w:rsidRPr="00530A11" w:rsidRDefault="00C060F4" w:rsidP="00C060F4">
      <w:pPr>
        <w:pStyle w:val="20"/>
        <w:ind w:firstLineChars="100" w:firstLine="211"/>
      </w:pPr>
      <w:r w:rsidRPr="00530A11">
        <w:t>4</w:t>
      </w:r>
      <w:r>
        <w:t xml:space="preserve"> </w:t>
      </w:r>
      <w:r w:rsidRPr="00530A11">
        <w:rPr>
          <w:rFonts w:hint="eastAsia"/>
        </w:rPr>
        <w:t>采用机械式停车设施，其停车数量与总体停车数量的比率大于</w:t>
      </w:r>
      <w:r w:rsidRPr="00530A11">
        <w:t>50%</w:t>
      </w:r>
      <w:r w:rsidRPr="00530A11">
        <w:rPr>
          <w:rFonts w:hint="eastAsia"/>
        </w:rPr>
        <w:t>，得</w:t>
      </w:r>
      <w:r w:rsidRPr="00530A11">
        <w:t>2</w:t>
      </w:r>
      <w:r w:rsidRPr="00530A11">
        <w:rPr>
          <w:rFonts w:hint="eastAsia"/>
        </w:rPr>
        <w:t>分。</w:t>
      </w:r>
    </w:p>
    <w:p w14:paraId="50A11BAA" w14:textId="77777777" w:rsidR="00715ABB" w:rsidRPr="0081478A" w:rsidRDefault="00F44390" w:rsidP="006C79E9">
      <w:pPr>
        <w:pStyle w:val="20"/>
      </w:pPr>
      <w:r w:rsidRPr="0081478A">
        <w:t>【条文说明】</w:t>
      </w:r>
    </w:p>
    <w:p w14:paraId="7CBF8C68" w14:textId="77777777" w:rsidR="0052438D" w:rsidRPr="00530A11" w:rsidRDefault="0052438D" w:rsidP="0052438D">
      <w:pPr>
        <w:ind w:firstLine="420"/>
        <w:rPr>
          <w:szCs w:val="24"/>
        </w:rPr>
      </w:pPr>
      <w:r w:rsidRPr="00530A11">
        <w:t>本条适用于各类民用建筑的预评价、评价。</w:t>
      </w:r>
    </w:p>
    <w:p w14:paraId="5B7A6B50"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4.2.10</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4.2.10</w:t>
      </w:r>
      <w:r w:rsidRPr="00530A11">
        <w:rPr>
          <w:rFonts w:cs="Times New Roman"/>
        </w:rPr>
        <w:t>条的基础上发展而来。</w:t>
      </w:r>
    </w:p>
    <w:p w14:paraId="0273CDE2" w14:textId="77777777" w:rsidR="0052438D" w:rsidRPr="00530A11" w:rsidRDefault="0052438D" w:rsidP="0052438D">
      <w:pPr>
        <w:ind w:firstLine="420"/>
        <w:rPr>
          <w:rFonts w:cs="Times New Roman"/>
        </w:rPr>
      </w:pPr>
      <w:r w:rsidRPr="00530A11">
        <w:rPr>
          <w:rFonts w:cs="Times New Roman"/>
        </w:rPr>
        <w:t>本条鼓励建设立体式停车设施、地下停车节约集约利用土地，提高土地使用效率，让更多的地面空间作为公共活动空间或公共绿地，营造宜居环境。同时，地下车库应合理布局，优化车位布置，提高空间利用率。车库设计应在保障使用功能的前提下，合理控制柱网与结构柱截面尺寸、结构体系选型、车库与上部建筑的结构关系、人防设施及设备用房的位置及尺寸、交通流线组织、屋面消防车道等影响停车效率的因素，相关指标应满足《地下车库停车效率指标评分规则》。</w:t>
      </w:r>
    </w:p>
    <w:p w14:paraId="2FAE0735" w14:textId="77777777" w:rsidR="0052438D" w:rsidRPr="00530A11" w:rsidRDefault="0052438D" w:rsidP="0052438D">
      <w:pPr>
        <w:pStyle w:val="20"/>
        <w:ind w:firstLineChars="200" w:firstLine="420"/>
        <w:rPr>
          <w:rFonts w:ascii="Times New Roman" w:hAnsi="Times New Roman" w:cs="Times New Roman"/>
          <w:b w:val="0"/>
          <w:color w:val="auto"/>
        </w:rPr>
      </w:pPr>
      <w:r w:rsidRPr="00530A11">
        <w:rPr>
          <w:rFonts w:ascii="Times New Roman" w:hAnsi="Times New Roman" w:cs="Times New Roman"/>
          <w:b w:val="0"/>
          <w:color w:val="auto"/>
        </w:rPr>
        <w:t>本条的评价方法为：</w:t>
      </w:r>
      <w:r w:rsidRPr="00530A11">
        <w:rPr>
          <w:rFonts w:cs="Times New Roman"/>
          <w:b w:val="0"/>
        </w:rPr>
        <w:t>预评价查阅相关设计文件、计算书、车位优化分析报告；评价查阅相关竣工图、计算书、车位优化分析报告，组织现场查勘。</w:t>
      </w:r>
    </w:p>
    <w:p w14:paraId="27D10CEC" w14:textId="2145A404" w:rsidR="00B61A1E" w:rsidRPr="006C79E9" w:rsidRDefault="00B61A1E" w:rsidP="006C79E9">
      <w:pPr>
        <w:pStyle w:val="20"/>
      </w:pPr>
      <w:r w:rsidRPr="0081478A">
        <w:t>【评价要点】</w:t>
      </w:r>
    </w:p>
    <w:p w14:paraId="1E4DE9BE" w14:textId="77777777" w:rsidR="00C060F4" w:rsidRDefault="00B61A1E" w:rsidP="00C060F4">
      <w:pPr>
        <w:ind w:firstLine="420"/>
      </w:pPr>
      <w:r w:rsidRPr="0081478A">
        <w:t>第</w:t>
      </w:r>
      <w:r w:rsidRPr="0081478A">
        <w:t>3</w:t>
      </w:r>
      <w:r w:rsidRPr="0081478A">
        <w:t>款，对于部分采用了机械式停车设施的地下车库，在计算面积指标时，应扣除机械式停车设施部分所占的车库面积和停车数量。</w:t>
      </w:r>
    </w:p>
    <w:p w14:paraId="2E25FEBA" w14:textId="7351A5AE" w:rsidR="00715ABB" w:rsidRPr="006C79E9" w:rsidRDefault="00F44390" w:rsidP="006C79E9">
      <w:pPr>
        <w:pStyle w:val="20"/>
      </w:pPr>
      <w:r w:rsidRPr="0081478A">
        <w:lastRenderedPageBreak/>
        <w:t>【评价方法】</w:t>
      </w:r>
    </w:p>
    <w:p w14:paraId="5E6EAA77"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预评价查阅相关设计文件、计算书、车位优化分析报告；评价查阅相关竣工图、计算书、车位优化分析报告，组织现场查勘。</w:t>
      </w:r>
    </w:p>
    <w:p w14:paraId="4B8AB56A" w14:textId="77777777" w:rsidR="00715ABB" w:rsidRPr="00E905A0" w:rsidRDefault="00715ABB">
      <w:pPr>
        <w:snapToGrid w:val="0"/>
        <w:ind w:firstLineChars="0" w:firstLine="0"/>
        <w:jc w:val="left"/>
        <w:rPr>
          <w:rFonts w:cs="Times New Roman"/>
          <w:b/>
          <w:bCs/>
          <w:szCs w:val="24"/>
        </w:rPr>
      </w:pPr>
    </w:p>
    <w:p w14:paraId="235E8C43" w14:textId="77777777" w:rsidR="00715ABB" w:rsidRPr="0081478A" w:rsidRDefault="00F44390" w:rsidP="001A7E3B">
      <w:pPr>
        <w:pStyle w:val="3"/>
      </w:pPr>
      <w:bookmarkStart w:id="145" w:name="_Toc22221584"/>
      <w:bookmarkStart w:id="146" w:name="_Toc35364751"/>
      <w:r w:rsidRPr="0081478A">
        <w:t xml:space="preserve">Ⅱ </w:t>
      </w:r>
      <w:r w:rsidRPr="0081478A">
        <w:t>节能与能源利用</w:t>
      </w:r>
      <w:bookmarkEnd w:id="145"/>
      <w:bookmarkEnd w:id="146"/>
    </w:p>
    <w:p w14:paraId="72F6FFA2" w14:textId="77777777" w:rsidR="00084EEE" w:rsidRPr="00530A11" w:rsidRDefault="00084EEE" w:rsidP="00084EEE">
      <w:pPr>
        <w:pStyle w:val="4"/>
        <w:rPr>
          <w:rFonts w:cs="Times New Roman"/>
          <w:bCs w:val="0"/>
        </w:rPr>
      </w:pPr>
      <w:r w:rsidRPr="00530A11">
        <w:rPr>
          <w:rFonts w:cs="Times New Roman"/>
          <w:bCs w:val="0"/>
        </w:rPr>
        <w:t xml:space="preserve">7.2.4 </w:t>
      </w:r>
      <w:r w:rsidRPr="00530A11">
        <w:rPr>
          <w:rFonts w:cs="Times New Roman"/>
          <w:bCs w:val="0"/>
        </w:rPr>
        <w:t>优化建筑围护结构的热工性能，评价总分值为</w:t>
      </w:r>
      <w:r w:rsidRPr="00530A11">
        <w:rPr>
          <w:rFonts w:cs="Times New Roman"/>
          <w:bCs w:val="0"/>
        </w:rPr>
        <w:t>12</w:t>
      </w:r>
      <w:r w:rsidRPr="00530A11">
        <w:rPr>
          <w:rFonts w:cs="Times New Roman"/>
          <w:bCs w:val="0"/>
        </w:rPr>
        <w:t>分，并按下列规则评分：</w:t>
      </w:r>
    </w:p>
    <w:p w14:paraId="08B9CBC9" w14:textId="77777777" w:rsidR="00084EEE" w:rsidRPr="00C060F4" w:rsidRDefault="00084EEE" w:rsidP="00084EEE">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围护结构热工性能比</w:t>
      </w:r>
      <w:r w:rsidRPr="00C060F4">
        <w:rPr>
          <w:rFonts w:ascii="Times New Roman" w:hAnsi="Times New Roman" w:cs="Times New Roman" w:hint="eastAsia"/>
          <w:bCs/>
          <w:color w:val="auto"/>
        </w:rPr>
        <w:t>国家和重庆现行相关建筑节能设计标准</w:t>
      </w:r>
      <w:r w:rsidRPr="00C060F4">
        <w:rPr>
          <w:rFonts w:ascii="Times New Roman" w:hAnsi="Times New Roman" w:cs="Times New Roman"/>
          <w:bCs/>
          <w:color w:val="auto"/>
        </w:rPr>
        <w:t>规定的提高幅度达到</w:t>
      </w:r>
      <w:r w:rsidRPr="00C060F4">
        <w:rPr>
          <w:rFonts w:ascii="Times New Roman" w:hAnsi="Times New Roman" w:cs="Times New Roman"/>
          <w:bCs/>
          <w:color w:val="auto"/>
        </w:rPr>
        <w:t>5</w:t>
      </w:r>
      <w:r w:rsidRPr="00C060F4">
        <w:rPr>
          <w:rFonts w:ascii="Times New Roman" w:hAnsi="Times New Roman" w:cs="Times New Roman"/>
          <w:bCs/>
          <w:color w:val="auto"/>
        </w:rPr>
        <w:t>％，得</w:t>
      </w:r>
      <w:r w:rsidRPr="00C060F4">
        <w:rPr>
          <w:rFonts w:ascii="Times New Roman" w:hAnsi="Times New Roman" w:cs="Times New Roman"/>
          <w:bCs/>
          <w:color w:val="auto"/>
        </w:rPr>
        <w:t>6</w:t>
      </w:r>
      <w:r w:rsidRPr="00C060F4">
        <w:rPr>
          <w:rFonts w:ascii="Times New Roman" w:hAnsi="Times New Roman" w:cs="Times New Roman"/>
          <w:bCs/>
          <w:color w:val="auto"/>
        </w:rPr>
        <w:t>分；达到</w:t>
      </w:r>
      <w:r w:rsidRPr="00C060F4">
        <w:rPr>
          <w:rFonts w:ascii="Times New Roman" w:hAnsi="Times New Roman" w:cs="Times New Roman"/>
          <w:bCs/>
          <w:color w:val="auto"/>
        </w:rPr>
        <w:t>10</w:t>
      </w:r>
      <w:r w:rsidRPr="00C060F4">
        <w:rPr>
          <w:rFonts w:ascii="Times New Roman" w:hAnsi="Times New Roman" w:cs="Times New Roman"/>
          <w:bCs/>
          <w:color w:val="auto"/>
        </w:rPr>
        <w:t>％，得</w:t>
      </w:r>
      <w:r w:rsidRPr="00C060F4">
        <w:rPr>
          <w:rFonts w:ascii="Times New Roman" w:hAnsi="Times New Roman" w:cs="Times New Roman"/>
          <w:bCs/>
          <w:color w:val="auto"/>
        </w:rPr>
        <w:t>9</w:t>
      </w:r>
      <w:r w:rsidRPr="00C060F4">
        <w:rPr>
          <w:rFonts w:ascii="Times New Roman" w:hAnsi="Times New Roman" w:cs="Times New Roman"/>
          <w:bCs/>
          <w:color w:val="auto"/>
        </w:rPr>
        <w:t>分；达到</w:t>
      </w:r>
      <w:r w:rsidRPr="00C060F4">
        <w:rPr>
          <w:rFonts w:ascii="Times New Roman" w:hAnsi="Times New Roman" w:cs="Times New Roman"/>
          <w:bCs/>
          <w:color w:val="auto"/>
        </w:rPr>
        <w:t>15</w:t>
      </w:r>
      <w:r w:rsidRPr="00C060F4">
        <w:rPr>
          <w:rFonts w:ascii="Times New Roman" w:hAnsi="Times New Roman" w:cs="Times New Roman"/>
          <w:bCs/>
          <w:color w:val="auto"/>
        </w:rPr>
        <w:t>％，得</w:t>
      </w:r>
      <w:r w:rsidRPr="00C060F4">
        <w:rPr>
          <w:rFonts w:ascii="Times New Roman" w:hAnsi="Times New Roman" w:cs="Times New Roman"/>
          <w:bCs/>
          <w:color w:val="auto"/>
        </w:rPr>
        <w:t>12</w:t>
      </w:r>
      <w:r w:rsidRPr="00C060F4">
        <w:rPr>
          <w:rFonts w:ascii="Times New Roman" w:hAnsi="Times New Roman" w:cs="Times New Roman"/>
          <w:bCs/>
          <w:color w:val="auto"/>
        </w:rPr>
        <w:t>分。</w:t>
      </w:r>
    </w:p>
    <w:p w14:paraId="5ACBA114" w14:textId="77777777" w:rsidR="00084EEE" w:rsidRPr="00C060F4" w:rsidRDefault="00084EEE" w:rsidP="00084EEE">
      <w:pPr>
        <w:pStyle w:val="20"/>
        <w:rPr>
          <w:rFonts w:ascii="Times New Roman" w:hAnsi="Times New Roman" w:cs="Times New Roman"/>
          <w:bCs/>
          <w:color w:val="auto"/>
        </w:rPr>
      </w:pPr>
      <w:r w:rsidRPr="00C060F4">
        <w:rPr>
          <w:rFonts w:ascii="Times New Roman" w:hAnsi="Times New Roman" w:cs="Times New Roman"/>
          <w:bCs/>
          <w:color w:val="auto"/>
        </w:rPr>
        <w:t>或者</w:t>
      </w:r>
    </w:p>
    <w:p w14:paraId="50EF6BE8" w14:textId="77777777" w:rsidR="00084EEE" w:rsidRPr="00C060F4" w:rsidRDefault="00084EEE" w:rsidP="00084EEE">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建筑供暖空调负荷降低</w:t>
      </w:r>
      <w:r w:rsidRPr="00C060F4">
        <w:rPr>
          <w:rFonts w:ascii="Times New Roman" w:hAnsi="Times New Roman" w:cs="Times New Roman"/>
          <w:bCs/>
          <w:color w:val="auto"/>
        </w:rPr>
        <w:t>5</w:t>
      </w:r>
      <w:r w:rsidRPr="00C060F4">
        <w:rPr>
          <w:rFonts w:ascii="Times New Roman" w:hAnsi="Times New Roman" w:cs="Times New Roman"/>
          <w:bCs/>
          <w:color w:val="auto"/>
        </w:rPr>
        <w:t>％，得</w:t>
      </w:r>
      <w:r w:rsidRPr="00C060F4">
        <w:rPr>
          <w:rFonts w:ascii="Times New Roman" w:hAnsi="Times New Roman" w:cs="Times New Roman"/>
          <w:bCs/>
          <w:color w:val="auto"/>
        </w:rPr>
        <w:t>6</w:t>
      </w:r>
      <w:r w:rsidRPr="00C060F4">
        <w:rPr>
          <w:rFonts w:ascii="Times New Roman" w:hAnsi="Times New Roman" w:cs="Times New Roman"/>
          <w:bCs/>
          <w:color w:val="auto"/>
        </w:rPr>
        <w:t>分；降低</w:t>
      </w:r>
      <w:r w:rsidRPr="00C060F4">
        <w:rPr>
          <w:rFonts w:ascii="Times New Roman" w:hAnsi="Times New Roman" w:cs="Times New Roman"/>
          <w:bCs/>
          <w:color w:val="auto"/>
        </w:rPr>
        <w:t>10</w:t>
      </w:r>
      <w:r w:rsidRPr="00C060F4">
        <w:rPr>
          <w:rFonts w:ascii="Times New Roman" w:hAnsi="Times New Roman" w:cs="Times New Roman"/>
          <w:bCs/>
          <w:color w:val="auto"/>
        </w:rPr>
        <w:t>％，得</w:t>
      </w:r>
      <w:r w:rsidRPr="00C060F4">
        <w:rPr>
          <w:rFonts w:ascii="Times New Roman" w:hAnsi="Times New Roman" w:cs="Times New Roman"/>
          <w:bCs/>
          <w:color w:val="auto"/>
        </w:rPr>
        <w:t>9</w:t>
      </w:r>
      <w:r w:rsidRPr="00C060F4">
        <w:rPr>
          <w:rFonts w:ascii="Times New Roman" w:hAnsi="Times New Roman" w:cs="Times New Roman"/>
          <w:bCs/>
          <w:color w:val="auto"/>
        </w:rPr>
        <w:t>分；降低</w:t>
      </w:r>
      <w:r w:rsidRPr="00C060F4">
        <w:rPr>
          <w:rFonts w:ascii="Times New Roman" w:hAnsi="Times New Roman" w:cs="Times New Roman"/>
          <w:bCs/>
          <w:color w:val="auto"/>
        </w:rPr>
        <w:t>15</w:t>
      </w:r>
      <w:r w:rsidRPr="00C060F4">
        <w:rPr>
          <w:rFonts w:ascii="Times New Roman" w:hAnsi="Times New Roman" w:cs="Times New Roman"/>
          <w:bCs/>
          <w:color w:val="auto"/>
        </w:rPr>
        <w:t>％，得</w:t>
      </w:r>
      <w:r w:rsidRPr="00C060F4">
        <w:rPr>
          <w:rFonts w:ascii="Times New Roman" w:hAnsi="Times New Roman" w:cs="Times New Roman"/>
          <w:bCs/>
          <w:color w:val="auto"/>
        </w:rPr>
        <w:t>12</w:t>
      </w:r>
      <w:r w:rsidRPr="00C060F4">
        <w:rPr>
          <w:rFonts w:ascii="Times New Roman" w:hAnsi="Times New Roman" w:cs="Times New Roman"/>
          <w:bCs/>
          <w:color w:val="auto"/>
        </w:rPr>
        <w:t>分。</w:t>
      </w:r>
    </w:p>
    <w:p w14:paraId="0C0B95DA" w14:textId="77777777" w:rsidR="00084EEE" w:rsidRPr="0081478A" w:rsidRDefault="00084EEE" w:rsidP="006C79E9">
      <w:pPr>
        <w:pStyle w:val="20"/>
      </w:pPr>
      <w:r w:rsidRPr="0081478A">
        <w:t>【条文说明】</w:t>
      </w:r>
    </w:p>
    <w:p w14:paraId="33807542" w14:textId="77777777" w:rsidR="00084EEE" w:rsidRPr="00530A11" w:rsidRDefault="00084EEE" w:rsidP="00084EEE">
      <w:pPr>
        <w:ind w:firstLine="420"/>
        <w:rPr>
          <w:szCs w:val="24"/>
        </w:rPr>
      </w:pPr>
      <w:r w:rsidRPr="00530A11">
        <w:t>本条适用于各类民用建筑的预评价、评价。</w:t>
      </w:r>
    </w:p>
    <w:p w14:paraId="621F2D21" w14:textId="77777777" w:rsidR="00084EEE" w:rsidRPr="00530A11" w:rsidRDefault="00084EEE" w:rsidP="00084EEE">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5.2.3</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5.2.3</w:t>
      </w:r>
      <w:r w:rsidRPr="00530A11">
        <w:rPr>
          <w:rFonts w:cs="Times New Roman"/>
        </w:rPr>
        <w:t>条的基础上发展而来。</w:t>
      </w:r>
    </w:p>
    <w:p w14:paraId="6113481E" w14:textId="77777777" w:rsidR="00084EEE" w:rsidRPr="00530A11" w:rsidRDefault="00084EEE" w:rsidP="00084EEE">
      <w:pPr>
        <w:ind w:firstLine="420"/>
        <w:rPr>
          <w:rFonts w:cs="Times New Roman"/>
        </w:rPr>
      </w:pPr>
      <w:r w:rsidRPr="00530A11">
        <w:rPr>
          <w:rFonts w:cs="Times New Roman"/>
        </w:rPr>
        <w:t>第</w:t>
      </w:r>
      <w:r w:rsidRPr="00530A11">
        <w:rPr>
          <w:rFonts w:cs="Times New Roman"/>
        </w:rPr>
        <w:t>1</w:t>
      </w:r>
      <w:r w:rsidRPr="00530A11">
        <w:rPr>
          <w:rFonts w:cs="Times New Roman"/>
        </w:rPr>
        <w:t>款，要求就在围护结构热工性能应优于国家和重庆市现行有关建筑节能设计标准对外墙、屋顶、外窗、幕墙等围护结构主要部位的传热系数</w:t>
      </w:r>
      <w:r w:rsidRPr="00530A11">
        <w:rPr>
          <w:rFonts w:cs="Times New Roman"/>
        </w:rPr>
        <w:t>K</w:t>
      </w:r>
      <w:r w:rsidRPr="00530A11">
        <w:rPr>
          <w:rFonts w:cs="Times New Roman"/>
        </w:rPr>
        <w:t>和太阳得热系数</w:t>
      </w:r>
      <w:r w:rsidRPr="00530A11">
        <w:rPr>
          <w:rFonts w:cs="Times New Roman"/>
        </w:rPr>
        <w:t>SHGC</w:t>
      </w:r>
      <w:r w:rsidRPr="00530A11">
        <w:rPr>
          <w:rFonts w:cs="Times New Roman"/>
        </w:rPr>
        <w:t>的要求。具体的标准包括：现行行业标准《夏热冬冷地区居住建筑节能设计标准》</w:t>
      </w:r>
      <w:r w:rsidRPr="00530A11">
        <w:rPr>
          <w:rFonts w:cs="Times New Roman"/>
        </w:rPr>
        <w:t>JGJ 134</w:t>
      </w:r>
      <w:r w:rsidRPr="00530A11">
        <w:rPr>
          <w:rFonts w:cs="Times New Roman"/>
        </w:rPr>
        <w:t>以及现行国家标准《公共建筑节能设计标准》</w:t>
      </w:r>
      <w:r w:rsidRPr="00530A11">
        <w:rPr>
          <w:rFonts w:cs="Times New Roman"/>
        </w:rPr>
        <w:t>GB 50189</w:t>
      </w:r>
      <w:r w:rsidRPr="00530A11">
        <w:rPr>
          <w:rFonts w:cs="Times New Roman"/>
        </w:rPr>
        <w:t>，</w:t>
      </w:r>
      <w:r w:rsidRPr="00530A11">
        <w:rPr>
          <w:rFonts w:cs="Times New Roman" w:hint="eastAsia"/>
        </w:rPr>
        <w:t>和</w:t>
      </w:r>
      <w:r w:rsidRPr="00530A11">
        <w:rPr>
          <w:rFonts w:cs="Times New Roman"/>
        </w:rPr>
        <w:t>重庆市现行居住建筑、公共建筑节能设计标准。在计算时，按照国家、行业、地方标准中要求最高的一个标准作为计算基准。</w:t>
      </w:r>
    </w:p>
    <w:p w14:paraId="3BC28DC7" w14:textId="77777777" w:rsidR="00084EEE" w:rsidRPr="00530A11" w:rsidRDefault="00084EEE" w:rsidP="00084EEE">
      <w:pPr>
        <w:ind w:firstLine="420"/>
        <w:rPr>
          <w:rFonts w:cs="Times New Roman"/>
        </w:rPr>
      </w:pPr>
      <w:r w:rsidRPr="00530A11">
        <w:rPr>
          <w:rFonts w:cs="Times New Roman"/>
        </w:rPr>
        <w:t>第</w:t>
      </w:r>
      <w:r w:rsidRPr="00530A11">
        <w:rPr>
          <w:rFonts w:cs="Times New Roman"/>
        </w:rPr>
        <w:t>2</w:t>
      </w:r>
      <w:r w:rsidRPr="00530A11">
        <w:rPr>
          <w:rFonts w:cs="Times New Roman"/>
        </w:rPr>
        <w:t>款，本条款适用于所有建筑类型。特别是对于围护结构没有限值要求的建筑，以及室内发热量</w:t>
      </w:r>
      <w:r w:rsidRPr="00530A11">
        <w:rPr>
          <w:rFonts w:cs="Times New Roman"/>
        </w:rPr>
        <w:t>(</w:t>
      </w:r>
      <w:r w:rsidRPr="00530A11">
        <w:rPr>
          <w:rFonts w:cs="Times New Roman"/>
        </w:rPr>
        <w:t>包括人员、设备和灯光等</w:t>
      </w:r>
      <w:r w:rsidRPr="00530A11">
        <w:rPr>
          <w:rFonts w:cs="Times New Roman"/>
        </w:rPr>
        <w:t>)</w:t>
      </w:r>
      <w:r w:rsidRPr="00530A11">
        <w:rPr>
          <w:rFonts w:cs="Times New Roman"/>
        </w:rPr>
        <w:t>超过</w:t>
      </w:r>
      <w:r w:rsidRPr="00530A11">
        <w:rPr>
          <w:rFonts w:cs="Times New Roman"/>
        </w:rPr>
        <w:t>40W/m</w:t>
      </w:r>
      <w:r w:rsidRPr="00530A11">
        <w:rPr>
          <w:rFonts w:cs="Times New Roman"/>
          <w:vertAlign w:val="superscript"/>
        </w:rPr>
        <w:t>2</w:t>
      </w:r>
      <w:r w:rsidRPr="00530A11">
        <w:rPr>
          <w:rFonts w:cs="Times New Roman"/>
        </w:rPr>
        <w:t>的公共建筑，应优先采用第</w:t>
      </w:r>
      <w:r w:rsidRPr="00530A11">
        <w:rPr>
          <w:rFonts w:cs="Times New Roman"/>
        </w:rPr>
        <w:t>2</w:t>
      </w:r>
      <w:r w:rsidRPr="00530A11">
        <w:rPr>
          <w:rFonts w:cs="Times New Roman"/>
        </w:rPr>
        <w:t>款判定。</w:t>
      </w:r>
    </w:p>
    <w:p w14:paraId="31C5CDD5" w14:textId="77777777" w:rsidR="00084EEE" w:rsidRPr="00530A11" w:rsidRDefault="00084EEE" w:rsidP="00084EEE">
      <w:pPr>
        <w:ind w:firstLine="420"/>
        <w:rPr>
          <w:rFonts w:cs="Times New Roman"/>
        </w:rPr>
      </w:pPr>
      <w:r w:rsidRPr="00530A11">
        <w:rPr>
          <w:rFonts w:cs="Times New Roman"/>
        </w:rPr>
        <w:t>建筑供暖空调负荷降低比例应按照行业标准《民用建筑绿色性能计算标准》</w:t>
      </w:r>
      <w:r w:rsidRPr="00530A11">
        <w:rPr>
          <w:rFonts w:cs="Times New Roman"/>
        </w:rPr>
        <w:t>JGJ/T 449-2018</w:t>
      </w:r>
      <w:r w:rsidRPr="00530A11">
        <w:rPr>
          <w:rFonts w:cs="Times New Roman"/>
        </w:rPr>
        <w:t>第</w:t>
      </w:r>
      <w:r w:rsidRPr="00530A11">
        <w:rPr>
          <w:rFonts w:cs="Times New Roman"/>
        </w:rPr>
        <w:t>5</w:t>
      </w:r>
      <w:r w:rsidRPr="00530A11">
        <w:rPr>
          <w:rFonts w:cs="Times New Roman"/>
        </w:rPr>
        <w:t>．</w:t>
      </w:r>
      <w:r w:rsidRPr="00530A11">
        <w:rPr>
          <w:rFonts w:cs="Times New Roman"/>
        </w:rPr>
        <w:t>2</w:t>
      </w:r>
      <w:r w:rsidRPr="00530A11">
        <w:rPr>
          <w:rFonts w:cs="Times New Roman"/>
        </w:rPr>
        <w:t>节的规定，通过计算建筑围护结构节能率来判定。建筑围护结构节能率指的是，与参照建筑相比，设计建筑通过围护结构热工性能改善而使全年供暖空调能耗降低的百分数。</w:t>
      </w:r>
      <w:r w:rsidRPr="00530A11">
        <w:rPr>
          <w:rFonts w:cs="Times New Roman" w:hint="eastAsia"/>
        </w:rPr>
        <w:t>所依据的标准同第</w:t>
      </w:r>
      <w:r w:rsidRPr="00530A11">
        <w:rPr>
          <w:rFonts w:cs="Times New Roman" w:hint="eastAsia"/>
        </w:rPr>
        <w:t>1</w:t>
      </w:r>
      <w:r w:rsidRPr="00530A11">
        <w:rPr>
          <w:rFonts w:cs="Times New Roman" w:hint="eastAsia"/>
        </w:rPr>
        <w:t>款要求。</w:t>
      </w:r>
    </w:p>
    <w:p w14:paraId="0C76233F" w14:textId="77777777" w:rsidR="00084EEE" w:rsidRPr="006C79E9" w:rsidRDefault="00084EEE" w:rsidP="006C79E9">
      <w:pPr>
        <w:pStyle w:val="20"/>
      </w:pPr>
      <w:r w:rsidRPr="0081478A">
        <w:t>【评价要点】</w:t>
      </w:r>
    </w:p>
    <w:p w14:paraId="2B32EA93" w14:textId="77777777" w:rsidR="00084EEE" w:rsidRPr="0081478A" w:rsidRDefault="00084EEE" w:rsidP="00084EEE">
      <w:pPr>
        <w:ind w:firstLine="420"/>
        <w:rPr>
          <w:rFonts w:cs="Times New Roman"/>
        </w:rPr>
      </w:pPr>
      <w:r w:rsidRPr="0081478A">
        <w:rPr>
          <w:rFonts w:cs="Times New Roman"/>
        </w:rPr>
        <w:t>第</w:t>
      </w:r>
      <w:r w:rsidRPr="0081478A">
        <w:rPr>
          <w:rFonts w:cs="Times New Roman"/>
        </w:rPr>
        <w:t>1</w:t>
      </w:r>
      <w:r w:rsidRPr="0081478A">
        <w:rPr>
          <w:rFonts w:cs="Times New Roman"/>
        </w:rPr>
        <w:t>款中，围护结构热工性能重点核查传热系数</w:t>
      </w:r>
      <w:r w:rsidRPr="0081478A">
        <w:rPr>
          <w:rFonts w:cs="Times New Roman"/>
        </w:rPr>
        <w:t>K</w:t>
      </w:r>
      <w:r w:rsidRPr="0081478A">
        <w:rPr>
          <w:rFonts w:cs="Times New Roman"/>
        </w:rPr>
        <w:t>和太阳得热系数</w:t>
      </w:r>
      <w:r w:rsidRPr="0081478A">
        <w:rPr>
          <w:rFonts w:cs="Times New Roman"/>
        </w:rPr>
        <w:t>SHGC</w:t>
      </w:r>
      <w:r w:rsidRPr="0081478A">
        <w:rPr>
          <w:rFonts w:cs="Times New Roman"/>
        </w:rPr>
        <w:t>。要求传热</w:t>
      </w:r>
      <w:r w:rsidRPr="0081478A">
        <w:rPr>
          <w:rFonts w:cs="Times New Roman"/>
        </w:rPr>
        <w:lastRenderedPageBreak/>
        <w:t>系数</w:t>
      </w:r>
      <w:r w:rsidRPr="0081478A">
        <w:rPr>
          <w:rFonts w:cs="Times New Roman"/>
        </w:rPr>
        <w:t>K</w:t>
      </w:r>
      <w:r w:rsidRPr="0081478A">
        <w:rPr>
          <w:rFonts w:cs="Times New Roman"/>
        </w:rPr>
        <w:t>和太阳得热系数</w:t>
      </w:r>
      <w:r w:rsidRPr="0081478A">
        <w:rPr>
          <w:rFonts w:cs="Times New Roman"/>
        </w:rPr>
        <w:t>SHGC</w:t>
      </w:r>
      <w:r w:rsidRPr="0081478A">
        <w:rPr>
          <w:rFonts w:cs="Times New Roman"/>
        </w:rPr>
        <w:t>比标准要求的数值均降低</w:t>
      </w:r>
      <w:r w:rsidRPr="0081478A">
        <w:rPr>
          <w:rFonts w:cs="Times New Roman"/>
        </w:rPr>
        <w:t>5%</w:t>
      </w:r>
      <w:r w:rsidRPr="0081478A">
        <w:rPr>
          <w:rFonts w:cs="Times New Roman"/>
        </w:rPr>
        <w:t>得</w:t>
      </w:r>
      <w:r>
        <w:rPr>
          <w:rFonts w:cs="Times New Roman"/>
        </w:rPr>
        <w:t>6</w:t>
      </w:r>
      <w:r w:rsidRPr="0081478A">
        <w:rPr>
          <w:rFonts w:cs="Times New Roman"/>
        </w:rPr>
        <w:t>分；同时降低</w:t>
      </w:r>
      <w:r w:rsidRPr="0081478A">
        <w:rPr>
          <w:rFonts w:cs="Times New Roman"/>
        </w:rPr>
        <w:t>10%</w:t>
      </w:r>
      <w:r w:rsidRPr="0081478A">
        <w:rPr>
          <w:rFonts w:cs="Times New Roman"/>
        </w:rPr>
        <w:t>，得</w:t>
      </w:r>
      <w:r>
        <w:rPr>
          <w:rFonts w:cs="Times New Roman"/>
        </w:rPr>
        <w:t>9</w:t>
      </w:r>
      <w:r w:rsidRPr="0081478A">
        <w:rPr>
          <w:rFonts w:cs="Times New Roman"/>
        </w:rPr>
        <w:t>分，同时降低</w:t>
      </w:r>
      <w:r w:rsidRPr="0081478A">
        <w:rPr>
          <w:rFonts w:cs="Times New Roman"/>
        </w:rPr>
        <w:t>15%</w:t>
      </w:r>
      <w:r w:rsidRPr="0081478A">
        <w:rPr>
          <w:rFonts w:cs="Times New Roman"/>
        </w:rPr>
        <w:t>，得</w:t>
      </w:r>
      <w:r w:rsidRPr="0081478A">
        <w:rPr>
          <w:rFonts w:cs="Times New Roman"/>
        </w:rPr>
        <w:t>1</w:t>
      </w:r>
      <w:r>
        <w:rPr>
          <w:rFonts w:cs="Times New Roman"/>
        </w:rPr>
        <w:t>2</w:t>
      </w:r>
      <w:r w:rsidRPr="0081478A">
        <w:rPr>
          <w:rFonts w:cs="Times New Roman"/>
        </w:rPr>
        <w:t>分。</w:t>
      </w:r>
    </w:p>
    <w:p w14:paraId="5B5DD634" w14:textId="77777777" w:rsidR="00084EEE" w:rsidRPr="0081478A" w:rsidRDefault="00084EEE" w:rsidP="00084EEE">
      <w:pPr>
        <w:ind w:firstLine="420"/>
        <w:rPr>
          <w:rFonts w:cs="Times New Roman"/>
        </w:rPr>
      </w:pPr>
      <w:r w:rsidRPr="0081478A">
        <w:rPr>
          <w:rFonts w:cs="Times New Roman"/>
        </w:rPr>
        <w:t>第</w:t>
      </w:r>
      <w:r w:rsidRPr="0081478A">
        <w:rPr>
          <w:rFonts w:cs="Times New Roman"/>
        </w:rPr>
        <w:t>2</w:t>
      </w:r>
      <w:r w:rsidRPr="0081478A">
        <w:rPr>
          <w:rFonts w:cs="Times New Roman"/>
        </w:rPr>
        <w:t>款中，应该做如下的比较计算：其他条件不变［包括建筑的外形、内部的功能分区、气象参数、建筑的室内供暖空调设计参数、空调供暖系统形式和设计的运行模式（人员、灯光、设备等）、系统设备的参数取同样的设计值］，第一个算例取国家、行业或重庆市建筑节能设计标准规定的建筑围护结构的热工性能参数，第二个算例取实际设计的建筑围护结构的热工性能参数，然后比较两者的负荷差异。</w:t>
      </w:r>
    </w:p>
    <w:p w14:paraId="39EF69B3" w14:textId="77777777" w:rsidR="00084EEE" w:rsidRPr="0081478A" w:rsidRDefault="00084EEE" w:rsidP="00084EEE">
      <w:pPr>
        <w:pStyle w:val="20"/>
        <w:rPr>
          <w:rFonts w:ascii="Times New Roman" w:hAnsi="Times New Roman" w:cs="Times New Roman"/>
          <w:color w:val="auto"/>
        </w:rPr>
      </w:pPr>
      <w:r w:rsidRPr="0081478A">
        <w:rPr>
          <w:rFonts w:ascii="Times New Roman" w:hAnsi="Times New Roman" w:cs="Times New Roman"/>
          <w:color w:val="auto"/>
        </w:rPr>
        <w:t>【评价方法】</w:t>
      </w:r>
    </w:p>
    <w:p w14:paraId="30B6C594" w14:textId="77777777" w:rsidR="00084EEE" w:rsidRPr="00530A11" w:rsidRDefault="00084EEE" w:rsidP="00084EEE">
      <w:pPr>
        <w:pStyle w:val="20"/>
        <w:ind w:firstLineChars="200" w:firstLine="420"/>
        <w:rPr>
          <w:rFonts w:ascii="Times New Roman" w:hAnsi="Times New Roman" w:cs="Times New Roman"/>
          <w:b w:val="0"/>
          <w:color w:val="auto"/>
        </w:rPr>
      </w:pPr>
      <w:r w:rsidRPr="00530A11">
        <w:rPr>
          <w:rFonts w:cs="Times New Roman"/>
          <w:b w:val="0"/>
        </w:rPr>
        <w:t>预评价查阅相关设计文件(设计说明、围护结构施工详图)、节能计算书、建筑围护结构节能率分析报告(第2款评价时)；评价查阅相关竣工图(设计说明、围护结构竣工详图)、节能计算书、建筑围护结构节能率分析报告(第2款评价时)。</w:t>
      </w:r>
    </w:p>
    <w:p w14:paraId="6EC69887" w14:textId="77777777" w:rsidR="00084EEE" w:rsidRPr="00E905A0" w:rsidRDefault="00084EEE" w:rsidP="00084EEE">
      <w:pPr>
        <w:snapToGrid w:val="0"/>
        <w:ind w:firstLineChars="0" w:firstLine="0"/>
        <w:jc w:val="left"/>
        <w:rPr>
          <w:rFonts w:cs="Times New Roman"/>
          <w:b/>
          <w:bCs/>
          <w:szCs w:val="24"/>
        </w:rPr>
      </w:pPr>
    </w:p>
    <w:p w14:paraId="2C2B8732" w14:textId="77777777" w:rsidR="00C060F4" w:rsidRPr="00530A11" w:rsidRDefault="00C060F4" w:rsidP="00C060F4">
      <w:pPr>
        <w:pStyle w:val="4"/>
        <w:rPr>
          <w:rFonts w:cs="Times New Roman"/>
          <w:bCs w:val="0"/>
        </w:rPr>
      </w:pPr>
      <w:r w:rsidRPr="00530A11">
        <w:rPr>
          <w:rFonts w:cs="Times New Roman"/>
          <w:bCs w:val="0"/>
        </w:rPr>
        <w:t xml:space="preserve">7.2.5 </w:t>
      </w:r>
      <w:r w:rsidRPr="00530A11">
        <w:rPr>
          <w:rFonts w:cs="Times New Roman"/>
          <w:bCs w:val="0"/>
        </w:rPr>
        <w:t>供暖空调系统的冷、热源机组能效均优于现行国家标准《公共建筑节能设计标准》</w:t>
      </w:r>
      <w:r w:rsidRPr="00530A11">
        <w:rPr>
          <w:rFonts w:cs="Times New Roman"/>
          <w:bCs w:val="0"/>
        </w:rPr>
        <w:t>GB50189</w:t>
      </w:r>
      <w:r w:rsidRPr="00530A11">
        <w:rPr>
          <w:rFonts w:cs="Times New Roman"/>
          <w:bCs w:val="0"/>
        </w:rPr>
        <w:t>的规定以及现行有关国家标准能效限定值的要求，评价总分值为</w:t>
      </w:r>
      <w:r w:rsidRPr="00530A11">
        <w:rPr>
          <w:rFonts w:cs="Times New Roman"/>
          <w:bCs w:val="0"/>
        </w:rPr>
        <w:t>8</w:t>
      </w:r>
      <w:r w:rsidRPr="00530A11">
        <w:rPr>
          <w:rFonts w:cs="Times New Roman"/>
          <w:bCs w:val="0"/>
        </w:rPr>
        <w:t>分，按表</w:t>
      </w:r>
      <w:r w:rsidRPr="00530A11">
        <w:rPr>
          <w:rFonts w:cs="Times New Roman"/>
          <w:bCs w:val="0"/>
        </w:rPr>
        <w:t>7.2.5</w:t>
      </w:r>
      <w:r w:rsidRPr="00530A11">
        <w:rPr>
          <w:rFonts w:cs="Times New Roman"/>
          <w:bCs w:val="0"/>
        </w:rPr>
        <w:t>的规则评分。</w:t>
      </w:r>
    </w:p>
    <w:p w14:paraId="1CEE5F69" w14:textId="77777777" w:rsidR="00C060F4" w:rsidRPr="00530A11" w:rsidRDefault="00C060F4" w:rsidP="00C060F4">
      <w:pPr>
        <w:pStyle w:val="ae"/>
        <w:rPr>
          <w:rFonts w:cs="Times New Roman"/>
          <w:b w:val="0"/>
        </w:rPr>
      </w:pPr>
      <w:r w:rsidRPr="00530A11">
        <w:rPr>
          <w:rFonts w:cs="Times New Roman"/>
          <w:b w:val="0"/>
        </w:rPr>
        <w:t>表</w:t>
      </w:r>
      <w:r w:rsidRPr="00530A11">
        <w:rPr>
          <w:rFonts w:cs="Times New Roman"/>
          <w:b w:val="0"/>
        </w:rPr>
        <w:t xml:space="preserve">7.2.5 </w:t>
      </w:r>
      <w:r w:rsidRPr="00530A11">
        <w:rPr>
          <w:rFonts w:cs="Times New Roman"/>
          <w:b w:val="0"/>
        </w:rPr>
        <w:t>冷、热源机组能效提升幅度评分规则</w:t>
      </w:r>
    </w:p>
    <w:tbl>
      <w:tblPr>
        <w:tblW w:w="8302" w:type="dxa"/>
        <w:jc w:val="center"/>
        <w:tblLayout w:type="fixed"/>
        <w:tblLook w:val="04A0" w:firstRow="1" w:lastRow="0" w:firstColumn="1" w:lastColumn="0" w:noHBand="0" w:noVBand="1"/>
      </w:tblPr>
      <w:tblGrid>
        <w:gridCol w:w="1071"/>
        <w:gridCol w:w="1372"/>
        <w:gridCol w:w="1854"/>
        <w:gridCol w:w="1374"/>
        <w:gridCol w:w="1313"/>
        <w:gridCol w:w="1318"/>
      </w:tblGrid>
      <w:tr w:rsidR="00C060F4" w:rsidRPr="00530A11" w14:paraId="1D8A3750"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7FCEF53D" w14:textId="77777777" w:rsidR="00C060F4" w:rsidRPr="00530A11" w:rsidRDefault="00C060F4" w:rsidP="00C060F4">
            <w:pPr>
              <w:pStyle w:val="ae"/>
              <w:rPr>
                <w:rFonts w:cs="Times New Roman"/>
                <w:b w:val="0"/>
              </w:rPr>
            </w:pPr>
            <w:r w:rsidRPr="00530A11">
              <w:rPr>
                <w:rFonts w:cs="Times New Roman"/>
                <w:b w:val="0"/>
              </w:rPr>
              <w:t>机组类型</w:t>
            </w:r>
          </w:p>
        </w:tc>
        <w:tc>
          <w:tcPr>
            <w:tcW w:w="1854" w:type="dxa"/>
            <w:tcBorders>
              <w:top w:val="single" w:sz="4" w:space="0" w:color="auto"/>
              <w:left w:val="single" w:sz="4" w:space="0" w:color="auto"/>
              <w:bottom w:val="single" w:sz="4" w:space="0" w:color="auto"/>
              <w:right w:val="single" w:sz="4" w:space="0" w:color="auto"/>
            </w:tcBorders>
            <w:vAlign w:val="center"/>
          </w:tcPr>
          <w:p w14:paraId="41A32AE8" w14:textId="77777777" w:rsidR="00C060F4" w:rsidRPr="00530A11" w:rsidRDefault="00C060F4" w:rsidP="00C060F4">
            <w:pPr>
              <w:pStyle w:val="ae"/>
              <w:rPr>
                <w:rFonts w:cs="Times New Roman"/>
                <w:b w:val="0"/>
              </w:rPr>
            </w:pPr>
            <w:r w:rsidRPr="00530A11">
              <w:rPr>
                <w:rFonts w:cs="Times New Roman"/>
                <w:b w:val="0"/>
              </w:rPr>
              <w:t>能效指标</w:t>
            </w:r>
          </w:p>
        </w:tc>
        <w:tc>
          <w:tcPr>
            <w:tcW w:w="1374" w:type="dxa"/>
            <w:tcBorders>
              <w:top w:val="single" w:sz="4" w:space="0" w:color="auto"/>
              <w:left w:val="single" w:sz="4" w:space="0" w:color="auto"/>
              <w:bottom w:val="single" w:sz="4" w:space="0" w:color="auto"/>
              <w:right w:val="single" w:sz="4" w:space="0" w:color="auto"/>
            </w:tcBorders>
            <w:vAlign w:val="center"/>
          </w:tcPr>
          <w:p w14:paraId="2BB1E8F7" w14:textId="77777777" w:rsidR="00C060F4" w:rsidRPr="00530A11" w:rsidRDefault="00C060F4" w:rsidP="00C060F4">
            <w:pPr>
              <w:pStyle w:val="ae"/>
              <w:rPr>
                <w:rFonts w:cs="Times New Roman"/>
                <w:b w:val="0"/>
              </w:rPr>
            </w:pPr>
            <w:r w:rsidRPr="00530A11">
              <w:rPr>
                <w:rFonts w:cs="Times New Roman"/>
                <w:b w:val="0"/>
              </w:rPr>
              <w:t>参照标准</w:t>
            </w:r>
          </w:p>
        </w:tc>
        <w:tc>
          <w:tcPr>
            <w:tcW w:w="2631" w:type="dxa"/>
            <w:gridSpan w:val="2"/>
            <w:tcBorders>
              <w:top w:val="single" w:sz="4" w:space="0" w:color="auto"/>
              <w:left w:val="single" w:sz="4" w:space="0" w:color="auto"/>
              <w:bottom w:val="single" w:sz="4" w:space="0" w:color="auto"/>
              <w:right w:val="single" w:sz="4" w:space="0" w:color="auto"/>
            </w:tcBorders>
            <w:vAlign w:val="center"/>
          </w:tcPr>
          <w:p w14:paraId="634307AC" w14:textId="77777777" w:rsidR="00C060F4" w:rsidRPr="00530A11" w:rsidRDefault="00C060F4" w:rsidP="00C060F4">
            <w:pPr>
              <w:pStyle w:val="ae"/>
              <w:rPr>
                <w:rFonts w:cs="Times New Roman"/>
                <w:b w:val="0"/>
              </w:rPr>
            </w:pPr>
            <w:r w:rsidRPr="00530A11">
              <w:rPr>
                <w:rFonts w:cs="Times New Roman"/>
                <w:b w:val="0"/>
              </w:rPr>
              <w:t>评分要求</w:t>
            </w:r>
          </w:p>
        </w:tc>
      </w:tr>
      <w:tr w:rsidR="00C060F4" w:rsidRPr="00530A11" w14:paraId="649BCC10"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5A78CC21" w14:textId="77777777" w:rsidR="00C060F4" w:rsidRPr="00530A11" w:rsidRDefault="00C060F4" w:rsidP="00C060F4">
            <w:pPr>
              <w:pStyle w:val="ae"/>
              <w:rPr>
                <w:rFonts w:cs="Times New Roman"/>
                <w:b w:val="0"/>
              </w:rPr>
            </w:pPr>
            <w:r w:rsidRPr="00530A11">
              <w:rPr>
                <w:rFonts w:cs="Times New Roman"/>
                <w:b w:val="0"/>
              </w:rPr>
              <w:t>电机驱动的蒸气压缩循环冷水（热泵）机组</w:t>
            </w:r>
          </w:p>
        </w:tc>
        <w:tc>
          <w:tcPr>
            <w:tcW w:w="1854" w:type="dxa"/>
            <w:tcBorders>
              <w:top w:val="single" w:sz="4" w:space="0" w:color="auto"/>
              <w:left w:val="single" w:sz="4" w:space="0" w:color="auto"/>
              <w:bottom w:val="single" w:sz="4" w:space="0" w:color="auto"/>
              <w:right w:val="single" w:sz="4" w:space="0" w:color="auto"/>
            </w:tcBorders>
            <w:vAlign w:val="center"/>
          </w:tcPr>
          <w:p w14:paraId="673C068C" w14:textId="77777777" w:rsidR="00C060F4" w:rsidRPr="00530A11" w:rsidRDefault="00C060F4" w:rsidP="00C060F4">
            <w:pPr>
              <w:pStyle w:val="ae"/>
              <w:rPr>
                <w:rFonts w:cs="Times New Roman"/>
                <w:b w:val="0"/>
              </w:rPr>
            </w:pPr>
            <w:r w:rsidRPr="00530A11">
              <w:rPr>
                <w:rFonts w:cs="Times New Roman"/>
                <w:b w:val="0"/>
              </w:rPr>
              <w:t>制冷性能系数（</w:t>
            </w:r>
            <w:r w:rsidRPr="00530A11">
              <w:rPr>
                <w:rFonts w:cs="Times New Roman"/>
                <w:b w:val="0"/>
              </w:rPr>
              <w:t>COP</w:t>
            </w:r>
            <w:r w:rsidRPr="00530A11">
              <w:rPr>
                <w:rFonts w:cs="Times New Roman"/>
                <w:b w:val="0"/>
              </w:rPr>
              <w:t>）</w:t>
            </w:r>
          </w:p>
        </w:tc>
        <w:tc>
          <w:tcPr>
            <w:tcW w:w="1374" w:type="dxa"/>
            <w:vMerge w:val="restart"/>
            <w:tcBorders>
              <w:top w:val="single" w:sz="4" w:space="0" w:color="auto"/>
              <w:left w:val="single" w:sz="4" w:space="0" w:color="auto"/>
              <w:bottom w:val="single" w:sz="4" w:space="0" w:color="auto"/>
              <w:right w:val="single" w:sz="4" w:space="0" w:color="auto"/>
            </w:tcBorders>
            <w:vAlign w:val="center"/>
          </w:tcPr>
          <w:p w14:paraId="04D40CAB" w14:textId="77777777" w:rsidR="00C060F4" w:rsidRPr="00530A11" w:rsidRDefault="00C060F4" w:rsidP="00C060F4">
            <w:pPr>
              <w:pStyle w:val="ae"/>
              <w:rPr>
                <w:rFonts w:cs="Times New Roman"/>
                <w:b w:val="0"/>
              </w:rPr>
            </w:pPr>
            <w:r w:rsidRPr="00530A11">
              <w:rPr>
                <w:rFonts w:cs="Times New Roman"/>
                <w:b w:val="0"/>
              </w:rPr>
              <w:t>现行国家标准《公共建筑节能设计标准》</w:t>
            </w:r>
            <w:r w:rsidRPr="00530A11">
              <w:rPr>
                <w:rFonts w:cs="Times New Roman"/>
                <w:b w:val="0"/>
              </w:rPr>
              <w:t>GB 50189</w:t>
            </w:r>
          </w:p>
        </w:tc>
        <w:tc>
          <w:tcPr>
            <w:tcW w:w="1313" w:type="dxa"/>
            <w:tcBorders>
              <w:top w:val="single" w:sz="4" w:space="0" w:color="auto"/>
              <w:left w:val="single" w:sz="4" w:space="0" w:color="auto"/>
              <w:bottom w:val="single" w:sz="4" w:space="0" w:color="auto"/>
              <w:right w:val="single" w:sz="4" w:space="0" w:color="auto"/>
            </w:tcBorders>
            <w:vAlign w:val="center"/>
          </w:tcPr>
          <w:p w14:paraId="55F6AD7F"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6%</w:t>
            </w:r>
          </w:p>
        </w:tc>
        <w:tc>
          <w:tcPr>
            <w:tcW w:w="1318" w:type="dxa"/>
            <w:tcBorders>
              <w:top w:val="single" w:sz="4" w:space="0" w:color="auto"/>
              <w:left w:val="single" w:sz="4" w:space="0" w:color="auto"/>
              <w:bottom w:val="single" w:sz="4" w:space="0" w:color="auto"/>
              <w:right w:val="single" w:sz="4" w:space="0" w:color="auto"/>
            </w:tcBorders>
            <w:vAlign w:val="center"/>
          </w:tcPr>
          <w:p w14:paraId="736AD5DF"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12%</w:t>
            </w:r>
          </w:p>
        </w:tc>
      </w:tr>
      <w:tr w:rsidR="00C060F4" w:rsidRPr="00530A11" w14:paraId="420CD61B"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47F06BFC" w14:textId="77777777" w:rsidR="00C060F4" w:rsidRPr="00530A11" w:rsidRDefault="00C060F4" w:rsidP="00C060F4">
            <w:pPr>
              <w:pStyle w:val="ae"/>
              <w:rPr>
                <w:rFonts w:cs="Times New Roman"/>
                <w:b w:val="0"/>
              </w:rPr>
            </w:pPr>
            <w:r w:rsidRPr="00530A11">
              <w:rPr>
                <w:rFonts w:cs="Times New Roman"/>
                <w:b w:val="0"/>
              </w:rPr>
              <w:t>直燃性溴化锂吸收式冷（温）水机组</w:t>
            </w:r>
          </w:p>
        </w:tc>
        <w:tc>
          <w:tcPr>
            <w:tcW w:w="1854" w:type="dxa"/>
            <w:tcBorders>
              <w:top w:val="single" w:sz="4" w:space="0" w:color="auto"/>
              <w:left w:val="single" w:sz="4" w:space="0" w:color="auto"/>
              <w:bottom w:val="single" w:sz="4" w:space="0" w:color="auto"/>
              <w:right w:val="single" w:sz="4" w:space="0" w:color="auto"/>
            </w:tcBorders>
            <w:vAlign w:val="center"/>
          </w:tcPr>
          <w:p w14:paraId="6D6B8B25" w14:textId="77777777" w:rsidR="00C060F4" w:rsidRPr="00530A11" w:rsidRDefault="00C060F4" w:rsidP="00C060F4">
            <w:pPr>
              <w:pStyle w:val="ae"/>
              <w:rPr>
                <w:rFonts w:cs="Times New Roman"/>
                <w:b w:val="0"/>
              </w:rPr>
            </w:pPr>
            <w:r w:rsidRPr="00530A11">
              <w:rPr>
                <w:rFonts w:cs="Times New Roman"/>
                <w:b w:val="0"/>
              </w:rPr>
              <w:t>制冷、供热性能系数（</w:t>
            </w:r>
            <w:r w:rsidRPr="00530A11">
              <w:rPr>
                <w:rFonts w:cs="Times New Roman"/>
                <w:b w:val="0"/>
              </w:rPr>
              <w:t>COP</w:t>
            </w:r>
            <w:r w:rsidRPr="00530A11">
              <w:rPr>
                <w:rFonts w:cs="Times New Roman"/>
                <w:b w:val="0"/>
              </w:rPr>
              <w:t>）</w:t>
            </w:r>
          </w:p>
        </w:tc>
        <w:tc>
          <w:tcPr>
            <w:tcW w:w="1374" w:type="dxa"/>
            <w:vMerge/>
            <w:tcBorders>
              <w:top w:val="single" w:sz="4" w:space="0" w:color="auto"/>
              <w:left w:val="single" w:sz="4" w:space="0" w:color="auto"/>
              <w:bottom w:val="single" w:sz="4" w:space="0" w:color="auto"/>
              <w:right w:val="single" w:sz="4" w:space="0" w:color="auto"/>
            </w:tcBorders>
            <w:vAlign w:val="center"/>
          </w:tcPr>
          <w:p w14:paraId="51C5FA29" w14:textId="77777777" w:rsidR="00C060F4" w:rsidRPr="00530A11" w:rsidRDefault="00C060F4" w:rsidP="00C060F4">
            <w:pPr>
              <w:pStyle w:val="ae"/>
              <w:rPr>
                <w:rFonts w:cs="Times New Roman"/>
                <w:b w:val="0"/>
              </w:rPr>
            </w:pPr>
          </w:p>
        </w:tc>
        <w:tc>
          <w:tcPr>
            <w:tcW w:w="1313" w:type="dxa"/>
            <w:tcBorders>
              <w:top w:val="single" w:sz="4" w:space="0" w:color="auto"/>
              <w:left w:val="single" w:sz="4" w:space="0" w:color="auto"/>
              <w:bottom w:val="single" w:sz="4" w:space="0" w:color="auto"/>
              <w:right w:val="single" w:sz="4" w:space="0" w:color="auto"/>
            </w:tcBorders>
            <w:vAlign w:val="center"/>
          </w:tcPr>
          <w:p w14:paraId="331ACA24"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6%</w:t>
            </w:r>
          </w:p>
        </w:tc>
        <w:tc>
          <w:tcPr>
            <w:tcW w:w="1318" w:type="dxa"/>
            <w:tcBorders>
              <w:top w:val="single" w:sz="4" w:space="0" w:color="auto"/>
              <w:left w:val="single" w:sz="4" w:space="0" w:color="auto"/>
              <w:bottom w:val="single" w:sz="4" w:space="0" w:color="auto"/>
              <w:right w:val="single" w:sz="4" w:space="0" w:color="auto"/>
            </w:tcBorders>
            <w:vAlign w:val="center"/>
          </w:tcPr>
          <w:p w14:paraId="25C9995A"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12%</w:t>
            </w:r>
          </w:p>
        </w:tc>
      </w:tr>
      <w:tr w:rsidR="00C060F4" w:rsidRPr="00530A11" w14:paraId="7DCF5F9C"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017E9D6F" w14:textId="77777777" w:rsidR="00C060F4" w:rsidRPr="00530A11" w:rsidRDefault="00C060F4" w:rsidP="00C060F4">
            <w:pPr>
              <w:pStyle w:val="ae"/>
              <w:rPr>
                <w:rFonts w:cs="Times New Roman"/>
                <w:b w:val="0"/>
              </w:rPr>
            </w:pPr>
            <w:r w:rsidRPr="00530A11">
              <w:rPr>
                <w:rFonts w:cs="Times New Roman"/>
                <w:b w:val="0"/>
              </w:rPr>
              <w:t>单元式空气调节机、风管送风和屋顶式空调机组</w:t>
            </w:r>
          </w:p>
        </w:tc>
        <w:tc>
          <w:tcPr>
            <w:tcW w:w="1854" w:type="dxa"/>
            <w:tcBorders>
              <w:top w:val="single" w:sz="4" w:space="0" w:color="auto"/>
              <w:left w:val="single" w:sz="4" w:space="0" w:color="auto"/>
              <w:bottom w:val="single" w:sz="4" w:space="0" w:color="auto"/>
              <w:right w:val="single" w:sz="4" w:space="0" w:color="auto"/>
            </w:tcBorders>
            <w:vAlign w:val="center"/>
          </w:tcPr>
          <w:p w14:paraId="716A53B5" w14:textId="77777777" w:rsidR="00C060F4" w:rsidRPr="00530A11" w:rsidRDefault="00C060F4" w:rsidP="00C060F4">
            <w:pPr>
              <w:pStyle w:val="ae"/>
              <w:rPr>
                <w:rFonts w:cs="Times New Roman"/>
                <w:b w:val="0"/>
              </w:rPr>
            </w:pPr>
            <w:r w:rsidRPr="00530A11">
              <w:rPr>
                <w:rFonts w:cs="Times New Roman"/>
                <w:b w:val="0"/>
              </w:rPr>
              <w:t>能效比（</w:t>
            </w:r>
            <w:r w:rsidRPr="00530A11">
              <w:rPr>
                <w:rFonts w:cs="Times New Roman"/>
                <w:b w:val="0"/>
              </w:rPr>
              <w:t>EER</w:t>
            </w:r>
            <w:r w:rsidRPr="00530A11">
              <w:rPr>
                <w:rFonts w:cs="Times New Roman"/>
                <w:b w:val="0"/>
              </w:rPr>
              <w:t>）</w:t>
            </w:r>
          </w:p>
        </w:tc>
        <w:tc>
          <w:tcPr>
            <w:tcW w:w="1374" w:type="dxa"/>
            <w:vMerge/>
            <w:tcBorders>
              <w:top w:val="single" w:sz="4" w:space="0" w:color="auto"/>
              <w:left w:val="single" w:sz="4" w:space="0" w:color="auto"/>
              <w:bottom w:val="single" w:sz="4" w:space="0" w:color="auto"/>
              <w:right w:val="single" w:sz="4" w:space="0" w:color="auto"/>
            </w:tcBorders>
            <w:vAlign w:val="center"/>
          </w:tcPr>
          <w:p w14:paraId="171A434A" w14:textId="77777777" w:rsidR="00C060F4" w:rsidRPr="00530A11" w:rsidRDefault="00C060F4" w:rsidP="00C060F4">
            <w:pPr>
              <w:pStyle w:val="ae"/>
              <w:rPr>
                <w:rFonts w:cs="Times New Roman"/>
                <w:b w:val="0"/>
              </w:rPr>
            </w:pPr>
          </w:p>
        </w:tc>
        <w:tc>
          <w:tcPr>
            <w:tcW w:w="1313" w:type="dxa"/>
            <w:tcBorders>
              <w:top w:val="single" w:sz="4" w:space="0" w:color="auto"/>
              <w:left w:val="single" w:sz="4" w:space="0" w:color="auto"/>
              <w:bottom w:val="single" w:sz="4" w:space="0" w:color="auto"/>
              <w:right w:val="single" w:sz="4" w:space="0" w:color="auto"/>
            </w:tcBorders>
            <w:vAlign w:val="center"/>
          </w:tcPr>
          <w:p w14:paraId="6594288D"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6%</w:t>
            </w:r>
          </w:p>
        </w:tc>
        <w:tc>
          <w:tcPr>
            <w:tcW w:w="1318" w:type="dxa"/>
            <w:tcBorders>
              <w:top w:val="single" w:sz="4" w:space="0" w:color="auto"/>
              <w:left w:val="single" w:sz="4" w:space="0" w:color="auto"/>
              <w:bottom w:val="single" w:sz="4" w:space="0" w:color="auto"/>
              <w:right w:val="single" w:sz="4" w:space="0" w:color="auto"/>
            </w:tcBorders>
            <w:vAlign w:val="center"/>
          </w:tcPr>
          <w:p w14:paraId="7FE48BAD"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12%</w:t>
            </w:r>
          </w:p>
        </w:tc>
      </w:tr>
      <w:tr w:rsidR="00C060F4" w:rsidRPr="00530A11" w14:paraId="7B32A626"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1793D5F1" w14:textId="77777777" w:rsidR="00C060F4" w:rsidRPr="00530A11" w:rsidRDefault="00C060F4" w:rsidP="00C060F4">
            <w:pPr>
              <w:pStyle w:val="ae"/>
              <w:rPr>
                <w:rFonts w:cs="Times New Roman"/>
                <w:b w:val="0"/>
              </w:rPr>
            </w:pPr>
            <w:r w:rsidRPr="00530A11">
              <w:rPr>
                <w:rFonts w:cs="Times New Roman"/>
                <w:b w:val="0"/>
              </w:rPr>
              <w:t>多联式空调（热泵）机组</w:t>
            </w:r>
          </w:p>
        </w:tc>
        <w:tc>
          <w:tcPr>
            <w:tcW w:w="1854" w:type="dxa"/>
            <w:tcBorders>
              <w:top w:val="single" w:sz="4" w:space="0" w:color="auto"/>
              <w:left w:val="single" w:sz="4" w:space="0" w:color="auto"/>
              <w:bottom w:val="single" w:sz="4" w:space="0" w:color="auto"/>
              <w:right w:val="single" w:sz="4" w:space="0" w:color="auto"/>
            </w:tcBorders>
            <w:vAlign w:val="center"/>
          </w:tcPr>
          <w:p w14:paraId="1D83322E" w14:textId="77777777" w:rsidR="00C060F4" w:rsidRPr="00530A11" w:rsidRDefault="00C060F4" w:rsidP="00C060F4">
            <w:pPr>
              <w:pStyle w:val="ae"/>
              <w:rPr>
                <w:rFonts w:cs="Times New Roman"/>
                <w:b w:val="0"/>
              </w:rPr>
            </w:pPr>
            <w:r w:rsidRPr="00530A11">
              <w:rPr>
                <w:rFonts w:cs="Times New Roman"/>
                <w:b w:val="0"/>
              </w:rPr>
              <w:t>制冷综合性能系数（</w:t>
            </w:r>
            <w:r w:rsidRPr="00530A11">
              <w:rPr>
                <w:rFonts w:cs="Times New Roman"/>
                <w:b w:val="0"/>
              </w:rPr>
              <w:t>IPLV</w:t>
            </w:r>
            <w:r w:rsidRPr="00530A11">
              <w:rPr>
                <w:rFonts w:cs="Times New Roman"/>
                <w:b w:val="0"/>
              </w:rPr>
              <w:t>（</w:t>
            </w:r>
            <w:r w:rsidRPr="00530A11">
              <w:rPr>
                <w:rFonts w:cs="Times New Roman"/>
                <w:b w:val="0"/>
              </w:rPr>
              <w:t>C</w:t>
            </w:r>
            <w:r w:rsidRPr="00530A11">
              <w:rPr>
                <w:rFonts w:cs="Times New Roman"/>
                <w:b w:val="0"/>
              </w:rPr>
              <w:t>））</w:t>
            </w:r>
          </w:p>
        </w:tc>
        <w:tc>
          <w:tcPr>
            <w:tcW w:w="1374" w:type="dxa"/>
            <w:vMerge/>
            <w:tcBorders>
              <w:top w:val="single" w:sz="4" w:space="0" w:color="auto"/>
              <w:left w:val="single" w:sz="4" w:space="0" w:color="auto"/>
              <w:bottom w:val="single" w:sz="4" w:space="0" w:color="auto"/>
              <w:right w:val="single" w:sz="4" w:space="0" w:color="auto"/>
            </w:tcBorders>
            <w:vAlign w:val="center"/>
          </w:tcPr>
          <w:p w14:paraId="4D28C7F5" w14:textId="77777777" w:rsidR="00C060F4" w:rsidRPr="00530A11" w:rsidRDefault="00C060F4" w:rsidP="00C060F4">
            <w:pPr>
              <w:pStyle w:val="ae"/>
              <w:rPr>
                <w:rFonts w:cs="Times New Roman"/>
                <w:b w:val="0"/>
              </w:rPr>
            </w:pPr>
          </w:p>
        </w:tc>
        <w:tc>
          <w:tcPr>
            <w:tcW w:w="1313" w:type="dxa"/>
            <w:tcBorders>
              <w:top w:val="single" w:sz="4" w:space="0" w:color="auto"/>
              <w:left w:val="single" w:sz="4" w:space="0" w:color="auto"/>
              <w:bottom w:val="single" w:sz="4" w:space="0" w:color="auto"/>
              <w:right w:val="single" w:sz="4" w:space="0" w:color="auto"/>
            </w:tcBorders>
            <w:vAlign w:val="center"/>
          </w:tcPr>
          <w:p w14:paraId="308BD327"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8%</w:t>
            </w:r>
          </w:p>
        </w:tc>
        <w:tc>
          <w:tcPr>
            <w:tcW w:w="1318" w:type="dxa"/>
            <w:tcBorders>
              <w:top w:val="single" w:sz="4" w:space="0" w:color="auto"/>
              <w:left w:val="single" w:sz="4" w:space="0" w:color="auto"/>
              <w:bottom w:val="single" w:sz="4" w:space="0" w:color="auto"/>
              <w:right w:val="single" w:sz="4" w:space="0" w:color="auto"/>
            </w:tcBorders>
            <w:vAlign w:val="center"/>
          </w:tcPr>
          <w:p w14:paraId="7F304E24"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16%</w:t>
            </w:r>
          </w:p>
        </w:tc>
      </w:tr>
      <w:tr w:rsidR="00C060F4" w:rsidRPr="00530A11" w14:paraId="5D1B490E" w14:textId="77777777" w:rsidTr="00F83296">
        <w:trPr>
          <w:jc w:val="center"/>
        </w:trPr>
        <w:tc>
          <w:tcPr>
            <w:tcW w:w="1071" w:type="dxa"/>
            <w:vMerge w:val="restart"/>
            <w:tcBorders>
              <w:top w:val="single" w:sz="4" w:space="0" w:color="auto"/>
              <w:left w:val="single" w:sz="4" w:space="0" w:color="auto"/>
              <w:bottom w:val="single" w:sz="4" w:space="0" w:color="auto"/>
              <w:right w:val="single" w:sz="4" w:space="0" w:color="auto"/>
            </w:tcBorders>
            <w:vAlign w:val="center"/>
          </w:tcPr>
          <w:p w14:paraId="611CEF5F" w14:textId="77777777" w:rsidR="00C060F4" w:rsidRPr="00530A11" w:rsidRDefault="00C060F4" w:rsidP="00C060F4">
            <w:pPr>
              <w:pStyle w:val="ae"/>
              <w:rPr>
                <w:rFonts w:cs="Times New Roman"/>
                <w:b w:val="0"/>
              </w:rPr>
            </w:pPr>
            <w:r w:rsidRPr="00530A11">
              <w:rPr>
                <w:rFonts w:cs="Times New Roman"/>
                <w:b w:val="0"/>
              </w:rPr>
              <w:t>锅炉</w:t>
            </w:r>
          </w:p>
        </w:tc>
        <w:tc>
          <w:tcPr>
            <w:tcW w:w="1372" w:type="dxa"/>
            <w:tcBorders>
              <w:top w:val="single" w:sz="4" w:space="0" w:color="auto"/>
              <w:left w:val="single" w:sz="4" w:space="0" w:color="auto"/>
              <w:bottom w:val="single" w:sz="4" w:space="0" w:color="auto"/>
              <w:right w:val="single" w:sz="4" w:space="0" w:color="auto"/>
            </w:tcBorders>
            <w:vAlign w:val="center"/>
          </w:tcPr>
          <w:p w14:paraId="2E17FB2F" w14:textId="77777777" w:rsidR="00C060F4" w:rsidRPr="00530A11" w:rsidRDefault="00C060F4" w:rsidP="00C060F4">
            <w:pPr>
              <w:pStyle w:val="ae"/>
              <w:rPr>
                <w:rFonts w:cs="Times New Roman"/>
                <w:b w:val="0"/>
              </w:rPr>
            </w:pPr>
            <w:r w:rsidRPr="00530A11">
              <w:rPr>
                <w:rFonts w:cs="Times New Roman"/>
                <w:b w:val="0"/>
              </w:rPr>
              <w:t>燃煤</w:t>
            </w:r>
          </w:p>
        </w:tc>
        <w:tc>
          <w:tcPr>
            <w:tcW w:w="1854" w:type="dxa"/>
            <w:tcBorders>
              <w:top w:val="single" w:sz="4" w:space="0" w:color="auto"/>
              <w:left w:val="single" w:sz="4" w:space="0" w:color="auto"/>
              <w:bottom w:val="single" w:sz="4" w:space="0" w:color="auto"/>
              <w:right w:val="single" w:sz="4" w:space="0" w:color="auto"/>
            </w:tcBorders>
            <w:vAlign w:val="center"/>
          </w:tcPr>
          <w:p w14:paraId="690C1496" w14:textId="77777777" w:rsidR="00C060F4" w:rsidRPr="00530A11" w:rsidRDefault="00C060F4" w:rsidP="00C060F4">
            <w:pPr>
              <w:pStyle w:val="ae"/>
              <w:rPr>
                <w:rFonts w:cs="Times New Roman"/>
                <w:b w:val="0"/>
              </w:rPr>
            </w:pPr>
            <w:r w:rsidRPr="00530A11">
              <w:rPr>
                <w:rFonts w:cs="Times New Roman"/>
                <w:b w:val="0"/>
              </w:rPr>
              <w:t>热效率</w:t>
            </w:r>
          </w:p>
        </w:tc>
        <w:tc>
          <w:tcPr>
            <w:tcW w:w="1374" w:type="dxa"/>
            <w:vMerge/>
            <w:tcBorders>
              <w:top w:val="single" w:sz="4" w:space="0" w:color="auto"/>
              <w:left w:val="single" w:sz="4" w:space="0" w:color="auto"/>
              <w:bottom w:val="single" w:sz="4" w:space="0" w:color="auto"/>
              <w:right w:val="single" w:sz="4" w:space="0" w:color="auto"/>
            </w:tcBorders>
            <w:vAlign w:val="center"/>
          </w:tcPr>
          <w:p w14:paraId="0F7EA885" w14:textId="77777777" w:rsidR="00C060F4" w:rsidRPr="00530A11" w:rsidRDefault="00C060F4" w:rsidP="00C060F4">
            <w:pPr>
              <w:pStyle w:val="ae"/>
              <w:rPr>
                <w:rFonts w:cs="Times New Roman"/>
                <w:b w:val="0"/>
              </w:rPr>
            </w:pPr>
          </w:p>
        </w:tc>
        <w:tc>
          <w:tcPr>
            <w:tcW w:w="1313" w:type="dxa"/>
            <w:tcBorders>
              <w:top w:val="single" w:sz="4" w:space="0" w:color="auto"/>
              <w:left w:val="single" w:sz="4" w:space="0" w:color="auto"/>
              <w:bottom w:val="single" w:sz="4" w:space="0" w:color="auto"/>
              <w:right w:val="single" w:sz="4" w:space="0" w:color="auto"/>
            </w:tcBorders>
            <w:vAlign w:val="center"/>
          </w:tcPr>
          <w:p w14:paraId="0913AA9F"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3</w:t>
            </w:r>
            <w:r w:rsidRPr="00530A11">
              <w:rPr>
                <w:rFonts w:cs="Times New Roman"/>
                <w:b w:val="0"/>
              </w:rPr>
              <w:t>个百分点</w:t>
            </w:r>
          </w:p>
        </w:tc>
        <w:tc>
          <w:tcPr>
            <w:tcW w:w="1318" w:type="dxa"/>
            <w:tcBorders>
              <w:top w:val="single" w:sz="4" w:space="0" w:color="auto"/>
              <w:left w:val="single" w:sz="4" w:space="0" w:color="auto"/>
              <w:bottom w:val="single" w:sz="4" w:space="0" w:color="auto"/>
              <w:right w:val="single" w:sz="4" w:space="0" w:color="auto"/>
            </w:tcBorders>
            <w:vAlign w:val="center"/>
          </w:tcPr>
          <w:p w14:paraId="528540FF"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6</w:t>
            </w:r>
            <w:r w:rsidRPr="00530A11">
              <w:rPr>
                <w:rFonts w:cs="Times New Roman"/>
                <w:b w:val="0"/>
              </w:rPr>
              <w:t>个百分点</w:t>
            </w:r>
          </w:p>
        </w:tc>
      </w:tr>
      <w:tr w:rsidR="00C060F4" w:rsidRPr="00530A11" w14:paraId="38353CC4" w14:textId="77777777" w:rsidTr="00F83296">
        <w:trPr>
          <w:jc w:val="center"/>
        </w:trPr>
        <w:tc>
          <w:tcPr>
            <w:tcW w:w="1071" w:type="dxa"/>
            <w:vMerge/>
            <w:tcBorders>
              <w:top w:val="single" w:sz="4" w:space="0" w:color="auto"/>
              <w:left w:val="single" w:sz="4" w:space="0" w:color="auto"/>
              <w:bottom w:val="single" w:sz="4" w:space="0" w:color="auto"/>
              <w:right w:val="single" w:sz="4" w:space="0" w:color="auto"/>
            </w:tcBorders>
            <w:vAlign w:val="center"/>
          </w:tcPr>
          <w:p w14:paraId="7ACE96CB" w14:textId="77777777" w:rsidR="00C060F4" w:rsidRPr="00530A11" w:rsidRDefault="00C060F4" w:rsidP="00C060F4">
            <w:pPr>
              <w:pStyle w:val="ae"/>
              <w:rPr>
                <w:rFonts w:cs="Times New Roman"/>
                <w:b w:val="0"/>
              </w:rPr>
            </w:pPr>
          </w:p>
        </w:tc>
        <w:tc>
          <w:tcPr>
            <w:tcW w:w="1372" w:type="dxa"/>
            <w:tcBorders>
              <w:top w:val="single" w:sz="4" w:space="0" w:color="auto"/>
              <w:left w:val="single" w:sz="4" w:space="0" w:color="auto"/>
              <w:bottom w:val="single" w:sz="4" w:space="0" w:color="auto"/>
              <w:right w:val="single" w:sz="4" w:space="0" w:color="auto"/>
            </w:tcBorders>
            <w:vAlign w:val="center"/>
          </w:tcPr>
          <w:p w14:paraId="627BDB7C" w14:textId="77777777" w:rsidR="00C060F4" w:rsidRPr="00530A11" w:rsidRDefault="00C060F4" w:rsidP="00C060F4">
            <w:pPr>
              <w:pStyle w:val="ae"/>
              <w:rPr>
                <w:rFonts w:cs="Times New Roman"/>
                <w:b w:val="0"/>
              </w:rPr>
            </w:pPr>
            <w:r w:rsidRPr="00530A11">
              <w:rPr>
                <w:rFonts w:cs="Times New Roman"/>
                <w:b w:val="0"/>
              </w:rPr>
              <w:t>燃油燃气</w:t>
            </w:r>
          </w:p>
        </w:tc>
        <w:tc>
          <w:tcPr>
            <w:tcW w:w="1854" w:type="dxa"/>
            <w:tcBorders>
              <w:top w:val="single" w:sz="4" w:space="0" w:color="auto"/>
              <w:left w:val="single" w:sz="4" w:space="0" w:color="auto"/>
              <w:bottom w:val="single" w:sz="4" w:space="0" w:color="auto"/>
              <w:right w:val="single" w:sz="4" w:space="0" w:color="auto"/>
            </w:tcBorders>
            <w:vAlign w:val="center"/>
          </w:tcPr>
          <w:p w14:paraId="44A01A0F" w14:textId="77777777" w:rsidR="00C060F4" w:rsidRPr="00530A11" w:rsidRDefault="00C060F4" w:rsidP="00C060F4">
            <w:pPr>
              <w:pStyle w:val="ae"/>
              <w:rPr>
                <w:rFonts w:cs="Times New Roman"/>
                <w:b w:val="0"/>
              </w:rPr>
            </w:pPr>
            <w:r w:rsidRPr="00530A11">
              <w:rPr>
                <w:rFonts w:cs="Times New Roman"/>
                <w:b w:val="0"/>
              </w:rPr>
              <w:t>热效率</w:t>
            </w:r>
          </w:p>
        </w:tc>
        <w:tc>
          <w:tcPr>
            <w:tcW w:w="1374" w:type="dxa"/>
            <w:vMerge/>
            <w:tcBorders>
              <w:top w:val="single" w:sz="4" w:space="0" w:color="auto"/>
              <w:left w:val="single" w:sz="4" w:space="0" w:color="auto"/>
              <w:bottom w:val="single" w:sz="4" w:space="0" w:color="auto"/>
              <w:right w:val="single" w:sz="4" w:space="0" w:color="auto"/>
            </w:tcBorders>
            <w:vAlign w:val="center"/>
          </w:tcPr>
          <w:p w14:paraId="4D148E82" w14:textId="77777777" w:rsidR="00C060F4" w:rsidRPr="00530A11" w:rsidRDefault="00C060F4" w:rsidP="00C060F4">
            <w:pPr>
              <w:pStyle w:val="ae"/>
              <w:rPr>
                <w:rFonts w:cs="Times New Roman"/>
                <w:b w:val="0"/>
              </w:rPr>
            </w:pPr>
          </w:p>
        </w:tc>
        <w:tc>
          <w:tcPr>
            <w:tcW w:w="1313" w:type="dxa"/>
            <w:tcBorders>
              <w:top w:val="single" w:sz="4" w:space="0" w:color="auto"/>
              <w:left w:val="single" w:sz="4" w:space="0" w:color="auto"/>
              <w:bottom w:val="single" w:sz="4" w:space="0" w:color="auto"/>
              <w:right w:val="single" w:sz="4" w:space="0" w:color="auto"/>
            </w:tcBorders>
            <w:vAlign w:val="center"/>
          </w:tcPr>
          <w:p w14:paraId="28AC01FF"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2</w:t>
            </w:r>
            <w:r w:rsidRPr="00530A11">
              <w:rPr>
                <w:rFonts w:cs="Times New Roman"/>
                <w:b w:val="0"/>
              </w:rPr>
              <w:t>个百分点</w:t>
            </w:r>
          </w:p>
        </w:tc>
        <w:tc>
          <w:tcPr>
            <w:tcW w:w="1318" w:type="dxa"/>
            <w:tcBorders>
              <w:top w:val="single" w:sz="4" w:space="0" w:color="auto"/>
              <w:left w:val="single" w:sz="4" w:space="0" w:color="auto"/>
              <w:bottom w:val="single" w:sz="4" w:space="0" w:color="auto"/>
              <w:right w:val="single" w:sz="4" w:space="0" w:color="auto"/>
            </w:tcBorders>
            <w:vAlign w:val="center"/>
          </w:tcPr>
          <w:p w14:paraId="69D55546" w14:textId="77777777" w:rsidR="00C060F4" w:rsidRPr="00530A11" w:rsidRDefault="00C060F4" w:rsidP="00C060F4">
            <w:pPr>
              <w:pStyle w:val="ae"/>
              <w:rPr>
                <w:rFonts w:cs="Times New Roman"/>
                <w:b w:val="0"/>
              </w:rPr>
            </w:pPr>
            <w:r w:rsidRPr="00530A11">
              <w:rPr>
                <w:rFonts w:cs="Times New Roman"/>
                <w:b w:val="0"/>
              </w:rPr>
              <w:t>提高</w:t>
            </w:r>
            <w:r w:rsidRPr="00530A11">
              <w:rPr>
                <w:rFonts w:cs="Times New Roman"/>
                <w:b w:val="0"/>
              </w:rPr>
              <w:t>4</w:t>
            </w:r>
            <w:r w:rsidRPr="00530A11">
              <w:rPr>
                <w:rFonts w:cs="Times New Roman"/>
                <w:b w:val="0"/>
              </w:rPr>
              <w:t>个百分点</w:t>
            </w:r>
          </w:p>
        </w:tc>
      </w:tr>
      <w:tr w:rsidR="00C060F4" w:rsidRPr="00530A11" w14:paraId="69065A58"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6D68F8FA" w14:textId="77777777" w:rsidR="00C060F4" w:rsidRPr="00530A11" w:rsidRDefault="00C060F4" w:rsidP="00C060F4">
            <w:pPr>
              <w:pStyle w:val="ae"/>
              <w:rPr>
                <w:rFonts w:cs="Times New Roman"/>
                <w:b w:val="0"/>
              </w:rPr>
            </w:pPr>
            <w:r w:rsidRPr="00530A11">
              <w:rPr>
                <w:rFonts w:cs="Times New Roman"/>
                <w:b w:val="0"/>
              </w:rPr>
              <w:lastRenderedPageBreak/>
              <w:t>房间空气调节器</w:t>
            </w:r>
          </w:p>
        </w:tc>
        <w:tc>
          <w:tcPr>
            <w:tcW w:w="1854" w:type="dxa"/>
            <w:tcBorders>
              <w:top w:val="single" w:sz="4" w:space="0" w:color="auto"/>
              <w:left w:val="single" w:sz="4" w:space="0" w:color="auto"/>
              <w:bottom w:val="single" w:sz="4" w:space="0" w:color="auto"/>
              <w:right w:val="single" w:sz="4" w:space="0" w:color="auto"/>
            </w:tcBorders>
            <w:vAlign w:val="center"/>
          </w:tcPr>
          <w:p w14:paraId="6F247D7D" w14:textId="77777777" w:rsidR="00C060F4" w:rsidRPr="00530A11" w:rsidRDefault="00C060F4" w:rsidP="00C060F4">
            <w:pPr>
              <w:pStyle w:val="ae"/>
              <w:rPr>
                <w:rFonts w:cs="Times New Roman"/>
                <w:b w:val="0"/>
              </w:rPr>
            </w:pPr>
            <w:r w:rsidRPr="00530A11">
              <w:rPr>
                <w:rFonts w:cs="Times New Roman"/>
                <w:b w:val="0"/>
              </w:rPr>
              <w:t>额定制冷量（</w:t>
            </w:r>
            <w:r w:rsidRPr="00530A11">
              <w:rPr>
                <w:rFonts w:cs="Times New Roman"/>
                <w:b w:val="0"/>
              </w:rPr>
              <w:t>CC</w:t>
            </w:r>
            <w:r w:rsidRPr="00530A11">
              <w:rPr>
                <w:rFonts w:cs="Times New Roman"/>
                <w:b w:val="0"/>
              </w:rPr>
              <w:t>）</w:t>
            </w:r>
          </w:p>
        </w:tc>
        <w:tc>
          <w:tcPr>
            <w:tcW w:w="1374" w:type="dxa"/>
            <w:vMerge w:val="restart"/>
            <w:tcBorders>
              <w:top w:val="single" w:sz="4" w:space="0" w:color="auto"/>
              <w:left w:val="single" w:sz="4" w:space="0" w:color="auto"/>
              <w:bottom w:val="single" w:sz="4" w:space="0" w:color="auto"/>
              <w:right w:val="single" w:sz="4" w:space="0" w:color="auto"/>
            </w:tcBorders>
            <w:vAlign w:val="center"/>
          </w:tcPr>
          <w:p w14:paraId="65EF0930" w14:textId="77777777" w:rsidR="00C060F4" w:rsidRPr="00530A11" w:rsidRDefault="00C060F4" w:rsidP="00C060F4">
            <w:pPr>
              <w:pStyle w:val="ae"/>
              <w:rPr>
                <w:rFonts w:cs="Times New Roman"/>
                <w:b w:val="0"/>
              </w:rPr>
            </w:pPr>
            <w:r w:rsidRPr="00530A11">
              <w:rPr>
                <w:rFonts w:cs="Times New Roman"/>
                <w:b w:val="0"/>
              </w:rPr>
              <w:t>现行有关国家标准</w:t>
            </w:r>
          </w:p>
        </w:tc>
        <w:tc>
          <w:tcPr>
            <w:tcW w:w="1313" w:type="dxa"/>
            <w:vMerge w:val="restart"/>
            <w:tcBorders>
              <w:top w:val="single" w:sz="4" w:space="0" w:color="auto"/>
              <w:left w:val="single" w:sz="4" w:space="0" w:color="auto"/>
              <w:bottom w:val="single" w:sz="4" w:space="0" w:color="auto"/>
              <w:right w:val="single" w:sz="4" w:space="0" w:color="auto"/>
            </w:tcBorders>
            <w:vAlign w:val="center"/>
          </w:tcPr>
          <w:p w14:paraId="1E405C1E" w14:textId="77777777" w:rsidR="00C060F4" w:rsidRPr="00530A11" w:rsidRDefault="00C060F4" w:rsidP="00C060F4">
            <w:pPr>
              <w:pStyle w:val="ae"/>
              <w:rPr>
                <w:rFonts w:cs="Times New Roman"/>
                <w:b w:val="0"/>
              </w:rPr>
            </w:pPr>
            <w:r w:rsidRPr="00530A11">
              <w:rPr>
                <w:rFonts w:cs="Times New Roman"/>
                <w:b w:val="0"/>
              </w:rPr>
              <w:t>节能评价值</w:t>
            </w:r>
          </w:p>
        </w:tc>
        <w:tc>
          <w:tcPr>
            <w:tcW w:w="1318" w:type="dxa"/>
            <w:vMerge w:val="restart"/>
            <w:tcBorders>
              <w:top w:val="single" w:sz="4" w:space="0" w:color="auto"/>
              <w:left w:val="single" w:sz="4" w:space="0" w:color="auto"/>
              <w:bottom w:val="single" w:sz="4" w:space="0" w:color="auto"/>
              <w:right w:val="single" w:sz="4" w:space="0" w:color="auto"/>
            </w:tcBorders>
            <w:vAlign w:val="center"/>
          </w:tcPr>
          <w:p w14:paraId="261AB109" w14:textId="77777777" w:rsidR="00C060F4" w:rsidRPr="00530A11" w:rsidRDefault="00C060F4" w:rsidP="00C060F4">
            <w:pPr>
              <w:pStyle w:val="ae"/>
              <w:rPr>
                <w:rFonts w:cs="Times New Roman"/>
                <w:b w:val="0"/>
              </w:rPr>
            </w:pPr>
            <w:r w:rsidRPr="00530A11">
              <w:rPr>
                <w:rFonts w:cs="Times New Roman"/>
                <w:b w:val="0"/>
              </w:rPr>
              <w:t>1</w:t>
            </w:r>
            <w:r w:rsidRPr="00530A11">
              <w:rPr>
                <w:rFonts w:cs="Times New Roman"/>
                <w:b w:val="0"/>
              </w:rPr>
              <w:t>级能效等级限值</w:t>
            </w:r>
          </w:p>
        </w:tc>
      </w:tr>
      <w:tr w:rsidR="00C060F4" w:rsidRPr="00530A11" w14:paraId="433DFD22"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33C4C506" w14:textId="77777777" w:rsidR="00C060F4" w:rsidRPr="00530A11" w:rsidRDefault="00C060F4" w:rsidP="00C060F4">
            <w:pPr>
              <w:pStyle w:val="ae"/>
              <w:rPr>
                <w:rFonts w:cs="Times New Roman"/>
                <w:b w:val="0"/>
              </w:rPr>
            </w:pPr>
            <w:r w:rsidRPr="00530A11">
              <w:rPr>
                <w:rFonts w:cs="Times New Roman"/>
                <w:b w:val="0"/>
              </w:rPr>
              <w:t>家用燃气热水炉</w:t>
            </w:r>
          </w:p>
        </w:tc>
        <w:tc>
          <w:tcPr>
            <w:tcW w:w="1854" w:type="dxa"/>
            <w:tcBorders>
              <w:top w:val="single" w:sz="4" w:space="0" w:color="auto"/>
              <w:left w:val="single" w:sz="4" w:space="0" w:color="auto"/>
              <w:bottom w:val="single" w:sz="4" w:space="0" w:color="auto"/>
              <w:right w:val="single" w:sz="4" w:space="0" w:color="auto"/>
            </w:tcBorders>
            <w:vAlign w:val="center"/>
          </w:tcPr>
          <w:p w14:paraId="1EC755F7" w14:textId="77777777" w:rsidR="00C060F4" w:rsidRPr="00530A11" w:rsidRDefault="00C060F4" w:rsidP="00C060F4">
            <w:pPr>
              <w:pStyle w:val="ae"/>
              <w:rPr>
                <w:rFonts w:cs="Times New Roman"/>
                <w:b w:val="0"/>
              </w:rPr>
            </w:pPr>
            <w:r w:rsidRPr="00530A11">
              <w:rPr>
                <w:rFonts w:cs="Times New Roman"/>
                <w:b w:val="0"/>
              </w:rPr>
              <w:t>热效率值（</w:t>
            </w:r>
            <w:r w:rsidRPr="00530A11">
              <w:rPr>
                <w:rFonts w:cs="Times New Roman"/>
                <w:b w:val="0"/>
              </w:rPr>
              <w:t>η</w:t>
            </w:r>
            <w:r w:rsidRPr="00530A11">
              <w:rPr>
                <w:rFonts w:cs="Times New Roman"/>
                <w:b w:val="0"/>
              </w:rPr>
              <w:t>）</w:t>
            </w:r>
          </w:p>
        </w:tc>
        <w:tc>
          <w:tcPr>
            <w:tcW w:w="1374" w:type="dxa"/>
            <w:vMerge/>
            <w:tcBorders>
              <w:top w:val="single" w:sz="4" w:space="0" w:color="auto"/>
              <w:left w:val="single" w:sz="4" w:space="0" w:color="auto"/>
              <w:bottom w:val="single" w:sz="4" w:space="0" w:color="auto"/>
              <w:right w:val="single" w:sz="4" w:space="0" w:color="auto"/>
            </w:tcBorders>
            <w:vAlign w:val="center"/>
          </w:tcPr>
          <w:p w14:paraId="6039B5F3" w14:textId="77777777" w:rsidR="00C060F4" w:rsidRPr="00530A11" w:rsidRDefault="00C060F4" w:rsidP="00C060F4">
            <w:pPr>
              <w:pStyle w:val="ae"/>
              <w:rPr>
                <w:rFonts w:cs="Times New Roman"/>
                <w:b w:val="0"/>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21062796" w14:textId="77777777" w:rsidR="00C060F4" w:rsidRPr="00530A11" w:rsidRDefault="00C060F4" w:rsidP="00C060F4">
            <w:pPr>
              <w:pStyle w:val="ae"/>
              <w:rPr>
                <w:rFonts w:cs="Times New Roman"/>
                <w:b w:val="0"/>
              </w:rPr>
            </w:pPr>
          </w:p>
        </w:tc>
        <w:tc>
          <w:tcPr>
            <w:tcW w:w="1318" w:type="dxa"/>
            <w:vMerge/>
            <w:tcBorders>
              <w:top w:val="single" w:sz="4" w:space="0" w:color="auto"/>
              <w:left w:val="single" w:sz="4" w:space="0" w:color="auto"/>
              <w:bottom w:val="single" w:sz="4" w:space="0" w:color="auto"/>
              <w:right w:val="single" w:sz="4" w:space="0" w:color="auto"/>
            </w:tcBorders>
            <w:vAlign w:val="center"/>
          </w:tcPr>
          <w:p w14:paraId="04296616" w14:textId="77777777" w:rsidR="00C060F4" w:rsidRPr="00530A11" w:rsidRDefault="00C060F4" w:rsidP="00C060F4">
            <w:pPr>
              <w:pStyle w:val="ae"/>
              <w:rPr>
                <w:rFonts w:cs="Times New Roman"/>
                <w:b w:val="0"/>
              </w:rPr>
            </w:pPr>
          </w:p>
        </w:tc>
      </w:tr>
      <w:tr w:rsidR="00C060F4" w:rsidRPr="00530A11" w14:paraId="540D0B13" w14:textId="77777777" w:rsidTr="00F83296">
        <w:trPr>
          <w:jc w:val="center"/>
        </w:trPr>
        <w:tc>
          <w:tcPr>
            <w:tcW w:w="2443" w:type="dxa"/>
            <w:gridSpan w:val="2"/>
            <w:tcBorders>
              <w:top w:val="single" w:sz="4" w:space="0" w:color="auto"/>
              <w:left w:val="single" w:sz="4" w:space="0" w:color="auto"/>
              <w:bottom w:val="single" w:sz="4" w:space="0" w:color="auto"/>
              <w:right w:val="single" w:sz="4" w:space="0" w:color="auto"/>
            </w:tcBorders>
            <w:vAlign w:val="center"/>
          </w:tcPr>
          <w:p w14:paraId="3C24E276" w14:textId="77777777" w:rsidR="00C060F4" w:rsidRPr="00530A11" w:rsidRDefault="00C060F4" w:rsidP="00C060F4">
            <w:pPr>
              <w:pStyle w:val="ae"/>
              <w:rPr>
                <w:rFonts w:cs="Times New Roman"/>
                <w:b w:val="0"/>
              </w:rPr>
            </w:pPr>
            <w:r w:rsidRPr="00530A11">
              <w:rPr>
                <w:rFonts w:cs="Times New Roman"/>
                <w:b w:val="0"/>
              </w:rPr>
              <w:t>蒸汽型溴化锂吸收式冷水机组</w:t>
            </w:r>
          </w:p>
        </w:tc>
        <w:tc>
          <w:tcPr>
            <w:tcW w:w="1854" w:type="dxa"/>
            <w:tcBorders>
              <w:top w:val="single" w:sz="4" w:space="0" w:color="auto"/>
              <w:left w:val="single" w:sz="4" w:space="0" w:color="auto"/>
              <w:bottom w:val="single" w:sz="4" w:space="0" w:color="auto"/>
              <w:right w:val="single" w:sz="4" w:space="0" w:color="auto"/>
            </w:tcBorders>
            <w:vAlign w:val="center"/>
          </w:tcPr>
          <w:p w14:paraId="6E108BED" w14:textId="77777777" w:rsidR="00C060F4" w:rsidRPr="00530A11" w:rsidRDefault="00C060F4" w:rsidP="00C060F4">
            <w:pPr>
              <w:pStyle w:val="ae"/>
              <w:rPr>
                <w:rFonts w:cs="Times New Roman"/>
                <w:b w:val="0"/>
              </w:rPr>
            </w:pPr>
            <w:r w:rsidRPr="00530A11">
              <w:rPr>
                <w:rFonts w:cs="Times New Roman"/>
                <w:b w:val="0"/>
              </w:rPr>
              <w:t>制冷、供热性能系数（</w:t>
            </w:r>
            <w:r w:rsidRPr="00530A11">
              <w:rPr>
                <w:rFonts w:cs="Times New Roman"/>
                <w:b w:val="0"/>
              </w:rPr>
              <w:t>COP</w:t>
            </w:r>
            <w:r w:rsidRPr="00530A11">
              <w:rPr>
                <w:rFonts w:cs="Times New Roman"/>
                <w:b w:val="0"/>
              </w:rPr>
              <w:t>）</w:t>
            </w:r>
          </w:p>
        </w:tc>
        <w:tc>
          <w:tcPr>
            <w:tcW w:w="1374" w:type="dxa"/>
            <w:vMerge/>
            <w:tcBorders>
              <w:top w:val="single" w:sz="4" w:space="0" w:color="auto"/>
              <w:left w:val="single" w:sz="4" w:space="0" w:color="auto"/>
              <w:bottom w:val="single" w:sz="4" w:space="0" w:color="auto"/>
              <w:right w:val="single" w:sz="4" w:space="0" w:color="auto"/>
            </w:tcBorders>
            <w:vAlign w:val="center"/>
          </w:tcPr>
          <w:p w14:paraId="0BD4F2BF" w14:textId="77777777" w:rsidR="00C060F4" w:rsidRPr="00530A11" w:rsidRDefault="00C060F4" w:rsidP="00C060F4">
            <w:pPr>
              <w:pStyle w:val="ae"/>
              <w:rPr>
                <w:rFonts w:cs="Times New Roman"/>
                <w:b w:val="0"/>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03712F61" w14:textId="77777777" w:rsidR="00C060F4" w:rsidRPr="00530A11" w:rsidRDefault="00C060F4" w:rsidP="00C060F4">
            <w:pPr>
              <w:pStyle w:val="ae"/>
              <w:rPr>
                <w:rFonts w:cs="Times New Roman"/>
                <w:b w:val="0"/>
              </w:rPr>
            </w:pPr>
          </w:p>
        </w:tc>
        <w:tc>
          <w:tcPr>
            <w:tcW w:w="1318" w:type="dxa"/>
            <w:vMerge/>
            <w:tcBorders>
              <w:top w:val="single" w:sz="4" w:space="0" w:color="auto"/>
              <w:left w:val="single" w:sz="4" w:space="0" w:color="auto"/>
              <w:bottom w:val="single" w:sz="4" w:space="0" w:color="auto"/>
              <w:right w:val="single" w:sz="4" w:space="0" w:color="auto"/>
            </w:tcBorders>
            <w:vAlign w:val="center"/>
          </w:tcPr>
          <w:p w14:paraId="2833533D" w14:textId="77777777" w:rsidR="00C060F4" w:rsidRPr="00530A11" w:rsidRDefault="00C060F4" w:rsidP="00C060F4">
            <w:pPr>
              <w:pStyle w:val="ae"/>
              <w:rPr>
                <w:rFonts w:cs="Times New Roman"/>
                <w:b w:val="0"/>
              </w:rPr>
            </w:pPr>
          </w:p>
        </w:tc>
      </w:tr>
      <w:tr w:rsidR="00C060F4" w:rsidRPr="00530A11" w14:paraId="338F6E07" w14:textId="77777777" w:rsidTr="00F83296">
        <w:trPr>
          <w:jc w:val="center"/>
        </w:trPr>
        <w:tc>
          <w:tcPr>
            <w:tcW w:w="5671" w:type="dxa"/>
            <w:gridSpan w:val="4"/>
            <w:tcBorders>
              <w:top w:val="single" w:sz="4" w:space="0" w:color="auto"/>
              <w:left w:val="single" w:sz="4" w:space="0" w:color="auto"/>
              <w:bottom w:val="single" w:sz="4" w:space="0" w:color="auto"/>
              <w:right w:val="single" w:sz="4" w:space="0" w:color="auto"/>
            </w:tcBorders>
            <w:vAlign w:val="center"/>
          </w:tcPr>
          <w:p w14:paraId="136EAF6C" w14:textId="77777777" w:rsidR="00C060F4" w:rsidRPr="00530A11" w:rsidRDefault="00C060F4" w:rsidP="00C060F4">
            <w:pPr>
              <w:pStyle w:val="ae"/>
              <w:rPr>
                <w:rFonts w:cs="Times New Roman"/>
                <w:b w:val="0"/>
              </w:rPr>
            </w:pPr>
            <w:r w:rsidRPr="00530A11">
              <w:rPr>
                <w:rFonts w:cs="Times New Roman"/>
                <w:b w:val="0"/>
              </w:rPr>
              <w:t>得分</w:t>
            </w:r>
          </w:p>
        </w:tc>
        <w:tc>
          <w:tcPr>
            <w:tcW w:w="1313" w:type="dxa"/>
            <w:tcBorders>
              <w:top w:val="single" w:sz="4" w:space="0" w:color="auto"/>
              <w:left w:val="single" w:sz="4" w:space="0" w:color="auto"/>
              <w:bottom w:val="single" w:sz="4" w:space="0" w:color="auto"/>
              <w:right w:val="single" w:sz="4" w:space="0" w:color="auto"/>
            </w:tcBorders>
            <w:vAlign w:val="center"/>
          </w:tcPr>
          <w:p w14:paraId="184C7BB5" w14:textId="77777777" w:rsidR="00C060F4" w:rsidRPr="00530A11" w:rsidRDefault="00C060F4" w:rsidP="00C060F4">
            <w:pPr>
              <w:pStyle w:val="ae"/>
              <w:rPr>
                <w:rFonts w:cs="Times New Roman"/>
                <w:b w:val="0"/>
              </w:rPr>
            </w:pPr>
            <w:r w:rsidRPr="00530A11">
              <w:rPr>
                <w:rFonts w:cs="Times New Roman"/>
                <w:b w:val="0"/>
              </w:rPr>
              <w:t>4</w:t>
            </w:r>
            <w:r w:rsidRPr="00530A11">
              <w:rPr>
                <w:rFonts w:cs="Times New Roman"/>
                <w:b w:val="0"/>
              </w:rPr>
              <w:t>分</w:t>
            </w:r>
          </w:p>
        </w:tc>
        <w:tc>
          <w:tcPr>
            <w:tcW w:w="1318" w:type="dxa"/>
            <w:tcBorders>
              <w:top w:val="single" w:sz="4" w:space="0" w:color="auto"/>
              <w:left w:val="single" w:sz="4" w:space="0" w:color="auto"/>
              <w:bottom w:val="single" w:sz="4" w:space="0" w:color="auto"/>
              <w:right w:val="single" w:sz="4" w:space="0" w:color="auto"/>
            </w:tcBorders>
            <w:vAlign w:val="center"/>
          </w:tcPr>
          <w:p w14:paraId="49328E71" w14:textId="77777777" w:rsidR="00C060F4" w:rsidRPr="00530A11" w:rsidRDefault="00C060F4" w:rsidP="00C060F4">
            <w:pPr>
              <w:pStyle w:val="ae"/>
              <w:rPr>
                <w:rFonts w:cs="Times New Roman"/>
                <w:b w:val="0"/>
              </w:rPr>
            </w:pPr>
            <w:r w:rsidRPr="00530A11">
              <w:rPr>
                <w:rFonts w:cs="Times New Roman"/>
                <w:b w:val="0"/>
              </w:rPr>
              <w:t>8</w:t>
            </w:r>
            <w:r w:rsidRPr="00530A11">
              <w:rPr>
                <w:rFonts w:cs="Times New Roman"/>
                <w:b w:val="0"/>
              </w:rPr>
              <w:t>分</w:t>
            </w:r>
          </w:p>
        </w:tc>
      </w:tr>
    </w:tbl>
    <w:p w14:paraId="0E40D62F" w14:textId="77777777" w:rsidR="00715ABB" w:rsidRPr="0081478A" w:rsidRDefault="00F44390" w:rsidP="006C79E9">
      <w:pPr>
        <w:pStyle w:val="20"/>
      </w:pPr>
      <w:r w:rsidRPr="0081478A">
        <w:t>【条文说明】</w:t>
      </w:r>
    </w:p>
    <w:p w14:paraId="5352D295" w14:textId="77777777" w:rsidR="0052438D" w:rsidRPr="00530A11" w:rsidRDefault="0052438D" w:rsidP="0052438D">
      <w:pPr>
        <w:ind w:firstLine="420"/>
        <w:rPr>
          <w:szCs w:val="24"/>
        </w:rPr>
      </w:pPr>
      <w:r w:rsidRPr="00530A11">
        <w:t>本条适用于各类民用建筑的预评价、评价。对于城市市政热源，不对其热源机组能效进行评价。</w:t>
      </w:r>
    </w:p>
    <w:p w14:paraId="2B659125"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5.2.4</w:t>
      </w:r>
      <w:r w:rsidRPr="00530A11">
        <w:rPr>
          <w:rFonts w:cs="Times New Roman"/>
        </w:rPr>
        <w:t>条、第</w:t>
      </w:r>
      <w:r w:rsidRPr="00530A11">
        <w:rPr>
          <w:rFonts w:cs="Times New Roman"/>
        </w:rPr>
        <w:t>11.2.2</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5.2.5</w:t>
      </w:r>
      <w:r w:rsidRPr="00530A11">
        <w:rPr>
          <w:rFonts w:cs="Times New Roman"/>
        </w:rPr>
        <w:t>条、第</w:t>
      </w:r>
      <w:r w:rsidRPr="00530A11">
        <w:rPr>
          <w:rFonts w:cs="Times New Roman"/>
        </w:rPr>
        <w:t>11.2.12</w:t>
      </w:r>
      <w:r w:rsidRPr="00530A11">
        <w:rPr>
          <w:rFonts w:cs="Times New Roman"/>
        </w:rPr>
        <w:t>条的基础上发展而来。</w:t>
      </w:r>
    </w:p>
    <w:p w14:paraId="727E0B4F" w14:textId="77777777" w:rsidR="0052438D" w:rsidRPr="00530A11" w:rsidRDefault="0052438D" w:rsidP="0052438D">
      <w:pPr>
        <w:ind w:firstLine="420"/>
        <w:rPr>
          <w:rFonts w:cs="Times New Roman"/>
        </w:rPr>
      </w:pPr>
      <w:r w:rsidRPr="00530A11">
        <w:rPr>
          <w:rFonts w:cs="Times New Roman" w:hint="eastAsia"/>
        </w:rPr>
        <w:t>对于同时存在供暖、空调的项目，冷热源能效提升应同时满足表</w:t>
      </w:r>
      <w:r w:rsidRPr="00530A11">
        <w:rPr>
          <w:rFonts w:cs="Times New Roman"/>
        </w:rPr>
        <w:t>7.2.5</w:t>
      </w:r>
      <w:r w:rsidRPr="00530A11">
        <w:rPr>
          <w:rFonts w:cs="Times New Roman" w:hint="eastAsia"/>
        </w:rPr>
        <w:t>的要求才能得分。</w:t>
      </w:r>
      <w:bookmarkStart w:id="147" w:name="_Hlk25161915"/>
      <w:r w:rsidRPr="00530A11">
        <w:rPr>
          <w:rFonts w:cs="Times New Roman" w:hint="eastAsia"/>
        </w:rPr>
        <w:t>对于双工况机组，应按照标准工况来确定能效指标。</w:t>
      </w:r>
      <w:bookmarkEnd w:id="147"/>
    </w:p>
    <w:p w14:paraId="6884D1DA" w14:textId="77777777" w:rsidR="0052438D" w:rsidRPr="00530A11" w:rsidRDefault="0052438D" w:rsidP="0052438D">
      <w:pPr>
        <w:ind w:firstLine="420"/>
        <w:rPr>
          <w:rFonts w:cs="Times New Roman"/>
        </w:rPr>
      </w:pPr>
      <w:r w:rsidRPr="00530A11">
        <w:rPr>
          <w:rFonts w:cs="Times New Roman"/>
        </w:rPr>
        <w:t>国家标准《公共建筑节能设计标准》</w:t>
      </w:r>
      <w:r w:rsidRPr="00530A11">
        <w:rPr>
          <w:rFonts w:cs="Times New Roman"/>
        </w:rPr>
        <w:t>GB 50189-2015</w:t>
      </w:r>
      <w:r w:rsidRPr="00530A11">
        <w:rPr>
          <w:rFonts w:cs="Times New Roman"/>
        </w:rPr>
        <w:t>强制性条文第</w:t>
      </w:r>
      <w:r w:rsidRPr="00530A11">
        <w:rPr>
          <w:rFonts w:cs="Times New Roman"/>
        </w:rPr>
        <w:t>4.2.5</w:t>
      </w:r>
      <w:r w:rsidRPr="00530A11">
        <w:rPr>
          <w:rFonts w:cs="Times New Roman"/>
        </w:rPr>
        <w:t>、第</w:t>
      </w:r>
      <w:r w:rsidRPr="00530A11">
        <w:rPr>
          <w:rFonts w:cs="Times New Roman"/>
        </w:rPr>
        <w:t>4.2.10</w:t>
      </w:r>
      <w:r w:rsidRPr="00530A11">
        <w:rPr>
          <w:rFonts w:cs="Times New Roman"/>
        </w:rPr>
        <w:t>、第</w:t>
      </w:r>
      <w:r w:rsidRPr="00530A11">
        <w:rPr>
          <w:rFonts w:cs="Times New Roman"/>
        </w:rPr>
        <w:t>4.2.14</w:t>
      </w:r>
      <w:r w:rsidRPr="00530A11">
        <w:rPr>
          <w:rFonts w:cs="Times New Roman"/>
        </w:rPr>
        <w:t>、第</w:t>
      </w:r>
      <w:r w:rsidRPr="00530A11">
        <w:rPr>
          <w:rFonts w:cs="Times New Roman"/>
        </w:rPr>
        <w:t>4.2.17</w:t>
      </w:r>
      <w:r w:rsidRPr="00530A11">
        <w:rPr>
          <w:rFonts w:cs="Times New Roman"/>
        </w:rPr>
        <w:t>和第</w:t>
      </w:r>
      <w:r w:rsidRPr="00530A11">
        <w:rPr>
          <w:rFonts w:cs="Times New Roman"/>
        </w:rPr>
        <w:t>4.2.19</w:t>
      </w:r>
      <w:r w:rsidRPr="00530A11">
        <w:rPr>
          <w:rFonts w:cs="Times New Roman"/>
        </w:rPr>
        <w:t>条，分别对锅炉额定热效率、电机驱动的蒸气压缩循环冷水</w:t>
      </w:r>
      <w:r w:rsidRPr="00530A11">
        <w:rPr>
          <w:rFonts w:cs="Times New Roman"/>
        </w:rPr>
        <w:t>(</w:t>
      </w:r>
      <w:r w:rsidRPr="00530A11">
        <w:rPr>
          <w:rFonts w:cs="Times New Roman"/>
        </w:rPr>
        <w:t>热泵</w:t>
      </w:r>
      <w:r w:rsidRPr="00530A11">
        <w:rPr>
          <w:rFonts w:cs="Times New Roman"/>
        </w:rPr>
        <w:t>)</w:t>
      </w:r>
      <w:r w:rsidRPr="00530A11">
        <w:rPr>
          <w:rFonts w:cs="Times New Roman"/>
        </w:rPr>
        <w:t>机组的性能系数</w:t>
      </w:r>
      <w:r w:rsidRPr="00530A11">
        <w:rPr>
          <w:rFonts w:cs="Times New Roman"/>
        </w:rPr>
        <w:t>(COP)</w:t>
      </w:r>
      <w:r w:rsidRPr="00530A11">
        <w:rPr>
          <w:rFonts w:cs="Times New Roman"/>
        </w:rPr>
        <w:t>、名义制冷量大于</w:t>
      </w:r>
      <w:r w:rsidRPr="00530A11">
        <w:rPr>
          <w:rFonts w:cs="Times New Roman"/>
        </w:rPr>
        <w:t>7100W</w:t>
      </w:r>
      <w:r w:rsidRPr="00530A11">
        <w:rPr>
          <w:rFonts w:cs="Times New Roman"/>
        </w:rPr>
        <w:t>、采用电机驱动压缩机的单元式空气调节机、风管送风式和屋顶式空气调节机组的能效比</w:t>
      </w:r>
      <w:r w:rsidRPr="00530A11">
        <w:rPr>
          <w:rFonts w:cs="Times New Roman"/>
        </w:rPr>
        <w:t>(EER)</w:t>
      </w:r>
      <w:r w:rsidRPr="00530A11">
        <w:rPr>
          <w:rFonts w:cs="Times New Roman"/>
        </w:rPr>
        <w:t>、多联式空调</w:t>
      </w:r>
      <w:r w:rsidRPr="00530A11">
        <w:rPr>
          <w:rFonts w:cs="Times New Roman"/>
        </w:rPr>
        <w:t>(</w:t>
      </w:r>
      <w:r w:rsidRPr="00530A11">
        <w:rPr>
          <w:rFonts w:cs="Times New Roman"/>
        </w:rPr>
        <w:t>热泵</w:t>
      </w:r>
      <w:r w:rsidRPr="00530A11">
        <w:rPr>
          <w:rFonts w:cs="Times New Roman"/>
        </w:rPr>
        <w:t>)</w:t>
      </w:r>
      <w:r w:rsidRPr="00530A11">
        <w:rPr>
          <w:rFonts w:cs="Times New Roman"/>
        </w:rPr>
        <w:t>机组的制冷综合性能系数</w:t>
      </w:r>
      <w:r w:rsidRPr="00530A11">
        <w:rPr>
          <w:rFonts w:cs="Times New Roman"/>
        </w:rPr>
        <w:t>(IPLV(C))</w:t>
      </w:r>
      <w:r w:rsidRPr="00530A11">
        <w:rPr>
          <w:rFonts w:cs="Times New Roman"/>
        </w:rPr>
        <w:t>、直燃型溴化锂吸收式冷</w:t>
      </w:r>
      <w:r w:rsidRPr="00530A11">
        <w:rPr>
          <w:rFonts w:cs="Times New Roman"/>
        </w:rPr>
        <w:t>(</w:t>
      </w:r>
      <w:r w:rsidRPr="00530A11">
        <w:rPr>
          <w:rFonts w:cs="Times New Roman"/>
        </w:rPr>
        <w:t>温</w:t>
      </w:r>
      <w:r w:rsidRPr="00530A11">
        <w:rPr>
          <w:rFonts w:cs="Times New Roman"/>
        </w:rPr>
        <w:t>)</w:t>
      </w:r>
      <w:r w:rsidRPr="00530A11">
        <w:rPr>
          <w:rFonts w:cs="Times New Roman"/>
        </w:rPr>
        <w:t>水机组的性能参数提出了基本要求。本条在此基础上，以比其强制性条文规定值提高百分比</w:t>
      </w:r>
      <w:r w:rsidRPr="00530A11">
        <w:rPr>
          <w:rFonts w:cs="Times New Roman"/>
        </w:rPr>
        <w:t>(</w:t>
      </w:r>
      <w:r w:rsidRPr="00530A11">
        <w:rPr>
          <w:rFonts w:cs="Times New Roman"/>
        </w:rPr>
        <w:t>锅炉热效率以百分点</w:t>
      </w:r>
      <w:r w:rsidRPr="00530A11">
        <w:rPr>
          <w:rFonts w:cs="Times New Roman"/>
        </w:rPr>
        <w:t>)</w:t>
      </w:r>
      <w:r w:rsidRPr="00530A11">
        <w:rPr>
          <w:rFonts w:cs="Times New Roman"/>
        </w:rPr>
        <w:t>的形式，对包括上述机组在内的供暖空调冷热源机组能源效率提出了更高要求。对于国家标准《公共建筑节能设计标准》</w:t>
      </w:r>
      <w:r w:rsidRPr="00530A11">
        <w:rPr>
          <w:rFonts w:cs="Times New Roman"/>
        </w:rPr>
        <w:t>GB 50189-2015</w:t>
      </w:r>
      <w:r w:rsidRPr="00530A11">
        <w:rPr>
          <w:rFonts w:cs="Times New Roman"/>
        </w:rPr>
        <w:t>中未予规定的情况，例如量大面广的住宅或小型公建中采用分体空调器、燃气热水炉、蒸汽型溴化锂吸收式冷</w:t>
      </w:r>
      <w:r w:rsidRPr="00530A11">
        <w:rPr>
          <w:rFonts w:cs="Times New Roman"/>
        </w:rPr>
        <w:t>(</w:t>
      </w:r>
      <w:r w:rsidRPr="00530A11">
        <w:rPr>
          <w:rFonts w:cs="Times New Roman"/>
        </w:rPr>
        <w:t>温</w:t>
      </w:r>
      <w:r w:rsidRPr="00530A11">
        <w:rPr>
          <w:rFonts w:cs="Times New Roman"/>
        </w:rPr>
        <w:t>)</w:t>
      </w:r>
      <w:r w:rsidRPr="00530A11">
        <w:rPr>
          <w:rFonts w:cs="Times New Roman"/>
        </w:rPr>
        <w:t>水机组等其他设备作为供暖空调冷热源</w:t>
      </w:r>
      <w:r w:rsidRPr="00530A11">
        <w:rPr>
          <w:rFonts w:cs="Times New Roman"/>
        </w:rPr>
        <w:t>(</w:t>
      </w:r>
      <w:r w:rsidRPr="00530A11">
        <w:rPr>
          <w:rFonts w:cs="Times New Roman"/>
        </w:rPr>
        <w:t>含热水炉同时作为供暖和生活热水热源的情况</w:t>
      </w:r>
      <w:r w:rsidRPr="00530A11">
        <w:rPr>
          <w:rFonts w:cs="Times New Roman"/>
        </w:rPr>
        <w:t>)</w:t>
      </w:r>
      <w:r w:rsidRPr="00530A11">
        <w:rPr>
          <w:rFonts w:cs="Times New Roman"/>
        </w:rPr>
        <w:t>，应以现行国家标准《房间空气调节器能效限定值及能效等级》</w:t>
      </w:r>
      <w:r w:rsidRPr="00530A11">
        <w:rPr>
          <w:rFonts w:cs="Times New Roman"/>
        </w:rPr>
        <w:t>GB 12021.3</w:t>
      </w:r>
      <w:r w:rsidRPr="00530A11">
        <w:rPr>
          <w:rFonts w:cs="Times New Roman"/>
        </w:rPr>
        <w:t>、《转速可控型房间空气调节器能效限定值及能效等级》</w:t>
      </w:r>
      <w:r w:rsidRPr="00530A11">
        <w:rPr>
          <w:rFonts w:cs="Times New Roman"/>
        </w:rPr>
        <w:t>GB 21455</w:t>
      </w:r>
      <w:r w:rsidRPr="00530A11">
        <w:rPr>
          <w:rFonts w:cs="Times New Roman"/>
        </w:rPr>
        <w:t>、《家用燃气快速热水器和燃气采暖热水炉能效限定值及能效等级》</w:t>
      </w:r>
      <w:r w:rsidRPr="00530A11">
        <w:rPr>
          <w:rFonts w:cs="Times New Roman"/>
        </w:rPr>
        <w:t>GB 20665</w:t>
      </w:r>
      <w:r w:rsidRPr="00530A11">
        <w:rPr>
          <w:rFonts w:cs="Times New Roman"/>
        </w:rPr>
        <w:t>、《溴化锂吸收式冷水机组能效限定值及能效等级》</w:t>
      </w:r>
      <w:r w:rsidRPr="00530A11">
        <w:rPr>
          <w:rFonts w:cs="Times New Roman"/>
        </w:rPr>
        <w:t>GB 29540</w:t>
      </w:r>
      <w:r w:rsidRPr="00530A11">
        <w:rPr>
          <w:rFonts w:cs="Times New Roman"/>
        </w:rPr>
        <w:t>等中的节能评价值作为本条得分的依据，若在节能评价值上再提高一级，可以得到更高的分值。</w:t>
      </w:r>
    </w:p>
    <w:p w14:paraId="4A7397A6" w14:textId="77777777" w:rsidR="0052438D" w:rsidRPr="00530A11" w:rsidRDefault="0052438D" w:rsidP="0052438D">
      <w:pPr>
        <w:ind w:firstLine="420"/>
        <w:rPr>
          <w:rFonts w:cs="Times New Roman"/>
        </w:rPr>
      </w:pPr>
      <w:r w:rsidRPr="00530A11">
        <w:rPr>
          <w:rFonts w:cs="Times New Roman"/>
        </w:rPr>
        <w:t>如重庆市相关标准要求高于国家标准，则计算基准应以重庆市相关标准要求确定。</w:t>
      </w:r>
    </w:p>
    <w:p w14:paraId="72D57288" w14:textId="77777777" w:rsidR="00B61A1E" w:rsidRPr="006C79E9" w:rsidRDefault="00B61A1E" w:rsidP="006C79E9">
      <w:pPr>
        <w:pStyle w:val="20"/>
      </w:pPr>
      <w:r w:rsidRPr="0081478A">
        <w:t>【评价要点】</w:t>
      </w:r>
    </w:p>
    <w:p w14:paraId="4CC7FDB0" w14:textId="060DED5A" w:rsidR="00E31FF0" w:rsidRPr="0081478A" w:rsidRDefault="00E31FF0" w:rsidP="00E84DE6">
      <w:pPr>
        <w:ind w:firstLine="420"/>
        <w:rPr>
          <w:rFonts w:cs="Times New Roman"/>
        </w:rPr>
      </w:pPr>
      <w:r w:rsidRPr="0081478A">
        <w:rPr>
          <w:rFonts w:cs="Times New Roman"/>
        </w:rPr>
        <w:t>对于冷水机组，根据机组的性能系数测试结果，依据表</w:t>
      </w:r>
      <w:r w:rsidR="000B54A2" w:rsidRPr="0081478A">
        <w:rPr>
          <w:rFonts w:cs="Times New Roman"/>
        </w:rPr>
        <w:t>7.2.5-1</w:t>
      </w:r>
      <w:r w:rsidRPr="0081478A">
        <w:rPr>
          <w:rFonts w:cs="Times New Roman"/>
        </w:rPr>
        <w:t>，判定其额定能效等级</w:t>
      </w:r>
      <w:r w:rsidRPr="0081478A">
        <w:rPr>
          <w:rFonts w:cs="Times New Roman"/>
        </w:rPr>
        <w:lastRenderedPageBreak/>
        <w:t>提高幅度。</w:t>
      </w:r>
    </w:p>
    <w:p w14:paraId="7651A4D7" w14:textId="26B90890" w:rsidR="00E31FF0" w:rsidRPr="0081478A" w:rsidRDefault="00E31FF0" w:rsidP="00921836">
      <w:pPr>
        <w:pStyle w:val="ae"/>
        <w:rPr>
          <w:rFonts w:cs="Times New Roman"/>
          <w:bCs/>
        </w:rPr>
      </w:pPr>
      <w:r w:rsidRPr="0081478A">
        <w:rPr>
          <w:rFonts w:cs="Times New Roman"/>
          <w:b w:val="0"/>
          <w:bCs/>
        </w:rPr>
        <w:t>表</w:t>
      </w:r>
      <w:r w:rsidR="000B54A2" w:rsidRPr="0081478A">
        <w:rPr>
          <w:rFonts w:cs="Times New Roman"/>
          <w:b w:val="0"/>
          <w:bCs/>
        </w:rPr>
        <w:t>7.2.5-1</w:t>
      </w:r>
      <w:r w:rsidRPr="0081478A">
        <w:rPr>
          <w:rFonts w:cs="Times New Roman"/>
          <w:b w:val="0"/>
          <w:bCs/>
        </w:rPr>
        <w:t xml:space="preserve"> </w:t>
      </w:r>
      <w:r w:rsidRPr="0081478A">
        <w:rPr>
          <w:rFonts w:cs="Times New Roman"/>
          <w:b w:val="0"/>
          <w:bCs/>
        </w:rPr>
        <w:t>能效等级指标（冷水机组）</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2992"/>
        <w:gridCol w:w="2270"/>
        <w:gridCol w:w="1634"/>
        <w:gridCol w:w="1632"/>
      </w:tblGrid>
      <w:tr w:rsidR="006E08A4" w:rsidRPr="0081478A" w14:paraId="75133823" w14:textId="77777777" w:rsidTr="006E08A4">
        <w:trPr>
          <w:jc w:val="center"/>
        </w:trPr>
        <w:tc>
          <w:tcPr>
            <w:tcW w:w="1754" w:type="pct"/>
            <w:vMerge w:val="restart"/>
            <w:shd w:val="clear" w:color="auto" w:fill="auto"/>
            <w:vAlign w:val="center"/>
            <w:hideMark/>
          </w:tcPr>
          <w:p w14:paraId="352DC62A" w14:textId="77777777" w:rsidR="006E08A4" w:rsidRPr="0081478A" w:rsidRDefault="006E08A4" w:rsidP="006E08A4">
            <w:pPr>
              <w:pStyle w:val="ae"/>
              <w:rPr>
                <w:rFonts w:cs="Times New Roman"/>
                <w:bCs/>
              </w:rPr>
            </w:pPr>
            <w:r w:rsidRPr="0081478A">
              <w:rPr>
                <w:rFonts w:cs="Times New Roman"/>
                <w:b w:val="0"/>
                <w:bCs/>
              </w:rPr>
              <w:t>类型</w:t>
            </w:r>
          </w:p>
        </w:tc>
        <w:tc>
          <w:tcPr>
            <w:tcW w:w="1331" w:type="pct"/>
            <w:vMerge w:val="restart"/>
            <w:shd w:val="clear" w:color="auto" w:fill="auto"/>
            <w:vAlign w:val="center"/>
            <w:hideMark/>
          </w:tcPr>
          <w:p w14:paraId="38180F0D" w14:textId="77777777" w:rsidR="006E08A4" w:rsidRPr="0081478A" w:rsidRDefault="006E08A4" w:rsidP="006E08A4">
            <w:pPr>
              <w:pStyle w:val="ae"/>
              <w:rPr>
                <w:rFonts w:cs="Times New Roman"/>
                <w:bCs/>
              </w:rPr>
            </w:pPr>
            <w:r w:rsidRPr="0081478A">
              <w:rPr>
                <w:rFonts w:cs="Times New Roman"/>
                <w:b w:val="0"/>
                <w:bCs/>
              </w:rPr>
              <w:t>名义制冷量</w:t>
            </w:r>
            <w:r w:rsidRPr="0081478A">
              <w:rPr>
                <w:rFonts w:cs="Times New Roman"/>
                <w:b w:val="0"/>
                <w:bCs/>
              </w:rPr>
              <w:t>CC</w:t>
            </w:r>
          </w:p>
          <w:p w14:paraId="0E063EBE" w14:textId="77777777" w:rsidR="006E08A4" w:rsidRPr="0081478A" w:rsidRDefault="006E08A4" w:rsidP="006E08A4">
            <w:pPr>
              <w:pStyle w:val="ae"/>
              <w:rPr>
                <w:rFonts w:cs="Times New Roman"/>
                <w:bCs/>
              </w:rPr>
            </w:pPr>
            <w:r w:rsidRPr="0081478A">
              <w:rPr>
                <w:rFonts w:cs="Times New Roman"/>
                <w:b w:val="0"/>
                <w:bCs/>
              </w:rPr>
              <w:t>/kW</w:t>
            </w:r>
          </w:p>
        </w:tc>
        <w:tc>
          <w:tcPr>
            <w:tcW w:w="1915" w:type="pct"/>
            <w:gridSpan w:val="2"/>
            <w:shd w:val="clear" w:color="auto" w:fill="auto"/>
            <w:vAlign w:val="center"/>
            <w:hideMark/>
          </w:tcPr>
          <w:p w14:paraId="042C9672" w14:textId="77777777" w:rsidR="006E08A4" w:rsidRPr="0081478A" w:rsidRDefault="006E08A4" w:rsidP="006E08A4">
            <w:pPr>
              <w:pStyle w:val="ae"/>
              <w:rPr>
                <w:rFonts w:cs="Times New Roman"/>
                <w:bCs/>
              </w:rPr>
            </w:pPr>
            <w:r w:rsidRPr="0081478A">
              <w:rPr>
                <w:rFonts w:cs="Times New Roman"/>
                <w:b w:val="0"/>
                <w:bCs/>
              </w:rPr>
              <w:t>能效等级</w:t>
            </w:r>
          </w:p>
        </w:tc>
      </w:tr>
      <w:tr w:rsidR="006E08A4" w:rsidRPr="0081478A" w14:paraId="0C9985C9" w14:textId="77777777" w:rsidTr="006E08A4">
        <w:trPr>
          <w:jc w:val="center"/>
        </w:trPr>
        <w:tc>
          <w:tcPr>
            <w:tcW w:w="1754" w:type="pct"/>
            <w:vMerge/>
            <w:shd w:val="clear" w:color="auto" w:fill="auto"/>
            <w:vAlign w:val="center"/>
            <w:hideMark/>
          </w:tcPr>
          <w:p w14:paraId="7D5D872E" w14:textId="77777777" w:rsidR="006E08A4" w:rsidRPr="0081478A" w:rsidRDefault="006E08A4" w:rsidP="006E08A4">
            <w:pPr>
              <w:pStyle w:val="ae"/>
              <w:rPr>
                <w:rFonts w:cs="Times New Roman"/>
                <w:bCs/>
              </w:rPr>
            </w:pPr>
          </w:p>
        </w:tc>
        <w:tc>
          <w:tcPr>
            <w:tcW w:w="1331" w:type="pct"/>
            <w:vMerge/>
            <w:shd w:val="clear" w:color="auto" w:fill="auto"/>
            <w:vAlign w:val="center"/>
            <w:hideMark/>
          </w:tcPr>
          <w:p w14:paraId="0817E248" w14:textId="77777777" w:rsidR="006E08A4" w:rsidRPr="0081478A" w:rsidRDefault="006E08A4" w:rsidP="006E08A4">
            <w:pPr>
              <w:pStyle w:val="ae"/>
              <w:rPr>
                <w:rFonts w:cs="Times New Roman"/>
                <w:bCs/>
              </w:rPr>
            </w:pPr>
          </w:p>
        </w:tc>
        <w:tc>
          <w:tcPr>
            <w:tcW w:w="1915" w:type="pct"/>
            <w:gridSpan w:val="2"/>
            <w:shd w:val="clear" w:color="auto" w:fill="auto"/>
            <w:vAlign w:val="center"/>
            <w:hideMark/>
          </w:tcPr>
          <w:p w14:paraId="7DF72027" w14:textId="77777777" w:rsidR="006E08A4" w:rsidRPr="0081478A" w:rsidRDefault="006E08A4" w:rsidP="006E08A4">
            <w:pPr>
              <w:pStyle w:val="ae"/>
              <w:rPr>
                <w:rFonts w:cs="Times New Roman"/>
                <w:bCs/>
              </w:rPr>
            </w:pPr>
            <w:r w:rsidRPr="0081478A">
              <w:rPr>
                <w:rFonts w:cs="Times New Roman"/>
                <w:b w:val="0"/>
                <w:bCs/>
              </w:rPr>
              <w:t>3</w:t>
            </w:r>
            <w:r w:rsidRPr="0081478A">
              <w:rPr>
                <w:rFonts w:cs="Times New Roman"/>
                <w:b w:val="0"/>
                <w:bCs/>
              </w:rPr>
              <w:t>级</w:t>
            </w:r>
          </w:p>
        </w:tc>
      </w:tr>
      <w:tr w:rsidR="006E08A4" w:rsidRPr="0081478A" w14:paraId="6093B263" w14:textId="77777777" w:rsidTr="006E08A4">
        <w:trPr>
          <w:jc w:val="center"/>
        </w:trPr>
        <w:tc>
          <w:tcPr>
            <w:tcW w:w="1754" w:type="pct"/>
            <w:vMerge/>
            <w:shd w:val="clear" w:color="auto" w:fill="auto"/>
            <w:vAlign w:val="center"/>
            <w:hideMark/>
          </w:tcPr>
          <w:p w14:paraId="78AE2F2E" w14:textId="77777777" w:rsidR="006E08A4" w:rsidRPr="0081478A" w:rsidRDefault="006E08A4" w:rsidP="006E08A4">
            <w:pPr>
              <w:pStyle w:val="ae"/>
              <w:rPr>
                <w:rFonts w:cs="Times New Roman"/>
                <w:bCs/>
              </w:rPr>
            </w:pPr>
          </w:p>
        </w:tc>
        <w:tc>
          <w:tcPr>
            <w:tcW w:w="1331" w:type="pct"/>
            <w:vMerge/>
            <w:shd w:val="clear" w:color="auto" w:fill="auto"/>
            <w:vAlign w:val="center"/>
            <w:hideMark/>
          </w:tcPr>
          <w:p w14:paraId="4D54FCA2" w14:textId="77777777" w:rsidR="006E08A4" w:rsidRPr="0081478A" w:rsidRDefault="006E08A4" w:rsidP="006E08A4">
            <w:pPr>
              <w:pStyle w:val="ae"/>
              <w:rPr>
                <w:rFonts w:cs="Times New Roman"/>
                <w:bCs/>
              </w:rPr>
            </w:pPr>
          </w:p>
        </w:tc>
        <w:tc>
          <w:tcPr>
            <w:tcW w:w="958" w:type="pct"/>
            <w:shd w:val="clear" w:color="auto" w:fill="auto"/>
            <w:vAlign w:val="center"/>
            <w:hideMark/>
          </w:tcPr>
          <w:p w14:paraId="2490565B" w14:textId="77777777" w:rsidR="006E08A4" w:rsidRPr="0081478A" w:rsidRDefault="006E08A4" w:rsidP="006E08A4">
            <w:pPr>
              <w:pStyle w:val="ae"/>
              <w:rPr>
                <w:rFonts w:cs="Times New Roman"/>
                <w:bCs/>
              </w:rPr>
            </w:pPr>
            <w:r w:rsidRPr="0081478A">
              <w:rPr>
                <w:rFonts w:cs="Times New Roman"/>
                <w:b w:val="0"/>
                <w:bCs/>
              </w:rPr>
              <w:t>COP</w:t>
            </w:r>
          </w:p>
          <w:p w14:paraId="504D9788" w14:textId="77777777" w:rsidR="006E08A4" w:rsidRPr="0081478A" w:rsidRDefault="006E08A4" w:rsidP="006E08A4">
            <w:pPr>
              <w:pStyle w:val="ae"/>
              <w:rPr>
                <w:rFonts w:cs="Times New Roman"/>
                <w:bCs/>
              </w:rPr>
            </w:pPr>
            <w:r w:rsidRPr="0081478A">
              <w:rPr>
                <w:rFonts w:cs="Times New Roman"/>
                <w:b w:val="0"/>
                <w:bCs/>
              </w:rPr>
              <w:t>/</w:t>
            </w:r>
            <w:r w:rsidRPr="0081478A">
              <w:rPr>
                <w:rFonts w:cs="Times New Roman"/>
                <w:b w:val="0"/>
                <w:bCs/>
              </w:rPr>
              <w:t>（</w:t>
            </w:r>
            <w:r w:rsidRPr="0081478A">
              <w:rPr>
                <w:rFonts w:cs="Times New Roman"/>
                <w:b w:val="0"/>
                <w:bCs/>
              </w:rPr>
              <w:t>W/W</w:t>
            </w:r>
            <w:r w:rsidRPr="0081478A">
              <w:rPr>
                <w:rFonts w:cs="Times New Roman"/>
                <w:b w:val="0"/>
                <w:bCs/>
              </w:rPr>
              <w:t>）</w:t>
            </w:r>
          </w:p>
        </w:tc>
        <w:tc>
          <w:tcPr>
            <w:tcW w:w="958" w:type="pct"/>
            <w:shd w:val="clear" w:color="auto" w:fill="auto"/>
            <w:vAlign w:val="center"/>
            <w:hideMark/>
          </w:tcPr>
          <w:p w14:paraId="4BBB1845" w14:textId="77777777" w:rsidR="006E08A4" w:rsidRPr="0081478A" w:rsidRDefault="006E08A4" w:rsidP="006E08A4">
            <w:pPr>
              <w:pStyle w:val="ae"/>
              <w:rPr>
                <w:rFonts w:cs="Times New Roman"/>
                <w:bCs/>
              </w:rPr>
            </w:pPr>
            <w:r w:rsidRPr="0081478A">
              <w:rPr>
                <w:rFonts w:cs="Times New Roman"/>
                <w:b w:val="0"/>
                <w:bCs/>
              </w:rPr>
              <w:t>IPLV</w:t>
            </w:r>
          </w:p>
          <w:p w14:paraId="639EDD11" w14:textId="77777777" w:rsidR="006E08A4" w:rsidRPr="0081478A" w:rsidRDefault="006E08A4" w:rsidP="006E08A4">
            <w:pPr>
              <w:pStyle w:val="ae"/>
              <w:rPr>
                <w:rFonts w:cs="Times New Roman"/>
                <w:bCs/>
              </w:rPr>
            </w:pPr>
            <w:r w:rsidRPr="0081478A">
              <w:rPr>
                <w:rFonts w:cs="Times New Roman"/>
                <w:b w:val="0"/>
                <w:bCs/>
              </w:rPr>
              <w:t>/</w:t>
            </w:r>
            <w:r w:rsidRPr="0081478A">
              <w:rPr>
                <w:rFonts w:cs="Times New Roman"/>
                <w:b w:val="0"/>
                <w:bCs/>
              </w:rPr>
              <w:t>（</w:t>
            </w:r>
            <w:r w:rsidRPr="0081478A">
              <w:rPr>
                <w:rFonts w:cs="Times New Roman"/>
                <w:b w:val="0"/>
                <w:bCs/>
              </w:rPr>
              <w:t>W/W</w:t>
            </w:r>
            <w:r w:rsidRPr="0081478A">
              <w:rPr>
                <w:rFonts w:cs="Times New Roman"/>
                <w:b w:val="0"/>
                <w:bCs/>
              </w:rPr>
              <w:t>）</w:t>
            </w:r>
          </w:p>
        </w:tc>
      </w:tr>
      <w:tr w:rsidR="006E08A4" w:rsidRPr="0081478A" w14:paraId="30D12A6D" w14:textId="77777777" w:rsidTr="006E08A4">
        <w:trPr>
          <w:jc w:val="center"/>
        </w:trPr>
        <w:tc>
          <w:tcPr>
            <w:tcW w:w="1754" w:type="pct"/>
            <w:vMerge w:val="restart"/>
            <w:shd w:val="clear" w:color="auto" w:fill="auto"/>
            <w:vAlign w:val="center"/>
            <w:hideMark/>
          </w:tcPr>
          <w:p w14:paraId="1D2F584F" w14:textId="77777777" w:rsidR="006E08A4" w:rsidRPr="0081478A" w:rsidRDefault="006E08A4" w:rsidP="006E08A4">
            <w:pPr>
              <w:pStyle w:val="ae"/>
              <w:rPr>
                <w:rFonts w:cs="Times New Roman"/>
                <w:bCs/>
              </w:rPr>
            </w:pPr>
            <w:r w:rsidRPr="0081478A">
              <w:rPr>
                <w:rFonts w:cs="Times New Roman"/>
                <w:b w:val="0"/>
                <w:bCs/>
              </w:rPr>
              <w:t>风冷式或蒸发冷却式</w:t>
            </w:r>
          </w:p>
        </w:tc>
        <w:tc>
          <w:tcPr>
            <w:tcW w:w="1331" w:type="pct"/>
            <w:shd w:val="clear" w:color="auto" w:fill="auto"/>
            <w:vAlign w:val="center"/>
            <w:hideMark/>
          </w:tcPr>
          <w:p w14:paraId="3C5B8818" w14:textId="77777777" w:rsidR="006E08A4" w:rsidRPr="0081478A" w:rsidRDefault="006E08A4" w:rsidP="006E08A4">
            <w:pPr>
              <w:pStyle w:val="ae"/>
              <w:rPr>
                <w:rFonts w:cs="Times New Roman"/>
                <w:bCs/>
              </w:rPr>
            </w:pPr>
            <w:r w:rsidRPr="0081478A">
              <w:rPr>
                <w:rFonts w:cs="Times New Roman"/>
                <w:b w:val="0"/>
                <w:bCs/>
              </w:rPr>
              <w:t>CC≤50</w:t>
            </w:r>
          </w:p>
        </w:tc>
        <w:tc>
          <w:tcPr>
            <w:tcW w:w="958" w:type="pct"/>
            <w:shd w:val="clear" w:color="auto" w:fill="auto"/>
            <w:vAlign w:val="center"/>
            <w:hideMark/>
          </w:tcPr>
          <w:p w14:paraId="6D4DAE7F" w14:textId="77777777" w:rsidR="006E08A4" w:rsidRPr="0081478A" w:rsidRDefault="006E08A4" w:rsidP="006E08A4">
            <w:pPr>
              <w:pStyle w:val="ae"/>
              <w:rPr>
                <w:rFonts w:cs="Times New Roman"/>
                <w:bCs/>
              </w:rPr>
            </w:pPr>
            <w:r w:rsidRPr="0081478A">
              <w:rPr>
                <w:rFonts w:cs="Times New Roman"/>
                <w:b w:val="0"/>
                <w:bCs/>
              </w:rPr>
              <w:t>2.50</w:t>
            </w:r>
          </w:p>
        </w:tc>
        <w:tc>
          <w:tcPr>
            <w:tcW w:w="958" w:type="pct"/>
            <w:shd w:val="clear" w:color="auto" w:fill="auto"/>
            <w:vAlign w:val="center"/>
            <w:hideMark/>
          </w:tcPr>
          <w:p w14:paraId="582C2696" w14:textId="77777777" w:rsidR="006E08A4" w:rsidRPr="0081478A" w:rsidRDefault="006E08A4" w:rsidP="006E08A4">
            <w:pPr>
              <w:pStyle w:val="ae"/>
              <w:rPr>
                <w:rFonts w:cs="Times New Roman"/>
                <w:bCs/>
              </w:rPr>
            </w:pPr>
            <w:r w:rsidRPr="0081478A">
              <w:rPr>
                <w:rFonts w:cs="Times New Roman"/>
                <w:b w:val="0"/>
                <w:bCs/>
              </w:rPr>
              <w:t>2.80</w:t>
            </w:r>
          </w:p>
        </w:tc>
      </w:tr>
      <w:tr w:rsidR="006E08A4" w:rsidRPr="0081478A" w14:paraId="56CD2D13" w14:textId="77777777" w:rsidTr="006E08A4">
        <w:trPr>
          <w:jc w:val="center"/>
        </w:trPr>
        <w:tc>
          <w:tcPr>
            <w:tcW w:w="1754" w:type="pct"/>
            <w:vMerge/>
            <w:shd w:val="clear" w:color="auto" w:fill="auto"/>
            <w:vAlign w:val="center"/>
            <w:hideMark/>
          </w:tcPr>
          <w:p w14:paraId="63555A95" w14:textId="77777777" w:rsidR="006E08A4" w:rsidRPr="0081478A" w:rsidRDefault="006E08A4" w:rsidP="006E08A4">
            <w:pPr>
              <w:pStyle w:val="ae"/>
              <w:rPr>
                <w:rFonts w:cs="Times New Roman"/>
                <w:bCs/>
              </w:rPr>
            </w:pPr>
          </w:p>
        </w:tc>
        <w:tc>
          <w:tcPr>
            <w:tcW w:w="1331" w:type="pct"/>
            <w:shd w:val="clear" w:color="auto" w:fill="auto"/>
            <w:vAlign w:val="center"/>
            <w:hideMark/>
          </w:tcPr>
          <w:p w14:paraId="5C80EECD" w14:textId="77777777" w:rsidR="006E08A4" w:rsidRPr="0081478A" w:rsidRDefault="006E08A4" w:rsidP="006E08A4">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50</w:t>
            </w:r>
          </w:p>
        </w:tc>
        <w:tc>
          <w:tcPr>
            <w:tcW w:w="958" w:type="pct"/>
            <w:shd w:val="clear" w:color="auto" w:fill="auto"/>
            <w:vAlign w:val="center"/>
            <w:hideMark/>
          </w:tcPr>
          <w:p w14:paraId="1A196398" w14:textId="77777777" w:rsidR="006E08A4" w:rsidRPr="0081478A" w:rsidRDefault="006E08A4" w:rsidP="006E08A4">
            <w:pPr>
              <w:pStyle w:val="ae"/>
              <w:rPr>
                <w:rFonts w:cs="Times New Roman"/>
                <w:bCs/>
              </w:rPr>
            </w:pPr>
            <w:r w:rsidRPr="0081478A">
              <w:rPr>
                <w:rFonts w:cs="Times New Roman"/>
                <w:b w:val="0"/>
                <w:bCs/>
              </w:rPr>
              <w:t>2.70</w:t>
            </w:r>
          </w:p>
        </w:tc>
        <w:tc>
          <w:tcPr>
            <w:tcW w:w="958" w:type="pct"/>
            <w:shd w:val="clear" w:color="auto" w:fill="auto"/>
            <w:vAlign w:val="center"/>
            <w:hideMark/>
          </w:tcPr>
          <w:p w14:paraId="5B0E833A" w14:textId="77777777" w:rsidR="006E08A4" w:rsidRPr="0081478A" w:rsidRDefault="006E08A4" w:rsidP="006E08A4">
            <w:pPr>
              <w:pStyle w:val="ae"/>
              <w:rPr>
                <w:rFonts w:cs="Times New Roman"/>
                <w:bCs/>
              </w:rPr>
            </w:pPr>
            <w:r w:rsidRPr="0081478A">
              <w:rPr>
                <w:rFonts w:cs="Times New Roman"/>
                <w:b w:val="0"/>
                <w:bCs/>
              </w:rPr>
              <w:t>2.90</w:t>
            </w:r>
          </w:p>
        </w:tc>
      </w:tr>
      <w:tr w:rsidR="006E08A4" w:rsidRPr="0081478A" w14:paraId="3F26D244" w14:textId="77777777" w:rsidTr="006E08A4">
        <w:trPr>
          <w:jc w:val="center"/>
        </w:trPr>
        <w:tc>
          <w:tcPr>
            <w:tcW w:w="1754" w:type="pct"/>
            <w:vMerge w:val="restart"/>
            <w:shd w:val="clear" w:color="auto" w:fill="auto"/>
            <w:vAlign w:val="center"/>
            <w:hideMark/>
          </w:tcPr>
          <w:p w14:paraId="1847060D" w14:textId="77777777" w:rsidR="006E08A4" w:rsidRPr="0081478A" w:rsidRDefault="006E08A4" w:rsidP="006E08A4">
            <w:pPr>
              <w:pStyle w:val="ae"/>
              <w:rPr>
                <w:rFonts w:cs="Times New Roman"/>
                <w:bCs/>
              </w:rPr>
            </w:pPr>
            <w:r w:rsidRPr="0081478A">
              <w:rPr>
                <w:rFonts w:cs="Times New Roman"/>
                <w:b w:val="0"/>
                <w:bCs/>
              </w:rPr>
              <w:t>水冷式</w:t>
            </w:r>
          </w:p>
        </w:tc>
        <w:tc>
          <w:tcPr>
            <w:tcW w:w="1331" w:type="pct"/>
            <w:shd w:val="clear" w:color="auto" w:fill="auto"/>
            <w:vAlign w:val="center"/>
            <w:hideMark/>
          </w:tcPr>
          <w:p w14:paraId="77BFD385" w14:textId="77777777" w:rsidR="006E08A4" w:rsidRPr="0081478A" w:rsidRDefault="006E08A4" w:rsidP="006E08A4">
            <w:pPr>
              <w:pStyle w:val="ae"/>
              <w:rPr>
                <w:rFonts w:cs="Times New Roman"/>
                <w:bCs/>
              </w:rPr>
            </w:pPr>
            <w:r w:rsidRPr="0081478A">
              <w:rPr>
                <w:rFonts w:cs="Times New Roman"/>
                <w:b w:val="0"/>
                <w:bCs/>
              </w:rPr>
              <w:t>CC≤528</w:t>
            </w:r>
          </w:p>
        </w:tc>
        <w:tc>
          <w:tcPr>
            <w:tcW w:w="958" w:type="pct"/>
            <w:shd w:val="clear" w:color="auto" w:fill="auto"/>
            <w:vAlign w:val="center"/>
            <w:hideMark/>
          </w:tcPr>
          <w:p w14:paraId="371146A5" w14:textId="77777777" w:rsidR="006E08A4" w:rsidRPr="0081478A" w:rsidRDefault="006E08A4" w:rsidP="006E08A4">
            <w:pPr>
              <w:pStyle w:val="ae"/>
              <w:rPr>
                <w:rFonts w:cs="Times New Roman"/>
                <w:bCs/>
              </w:rPr>
            </w:pPr>
            <w:r w:rsidRPr="0081478A">
              <w:rPr>
                <w:rFonts w:cs="Times New Roman"/>
                <w:b w:val="0"/>
                <w:bCs/>
              </w:rPr>
              <w:t>4.20</w:t>
            </w:r>
          </w:p>
        </w:tc>
        <w:tc>
          <w:tcPr>
            <w:tcW w:w="958" w:type="pct"/>
            <w:shd w:val="clear" w:color="auto" w:fill="auto"/>
            <w:vAlign w:val="center"/>
            <w:hideMark/>
          </w:tcPr>
          <w:p w14:paraId="2CCFE8E8" w14:textId="77777777" w:rsidR="006E08A4" w:rsidRPr="0081478A" w:rsidRDefault="006E08A4" w:rsidP="006E08A4">
            <w:pPr>
              <w:pStyle w:val="ae"/>
              <w:rPr>
                <w:rFonts w:cs="Times New Roman"/>
                <w:bCs/>
              </w:rPr>
            </w:pPr>
            <w:r w:rsidRPr="0081478A">
              <w:rPr>
                <w:rFonts w:cs="Times New Roman"/>
                <w:b w:val="0"/>
                <w:bCs/>
              </w:rPr>
              <w:t>5.00</w:t>
            </w:r>
          </w:p>
        </w:tc>
      </w:tr>
      <w:tr w:rsidR="006E08A4" w:rsidRPr="0081478A" w14:paraId="5C6A9E53" w14:textId="77777777" w:rsidTr="006E08A4">
        <w:trPr>
          <w:jc w:val="center"/>
        </w:trPr>
        <w:tc>
          <w:tcPr>
            <w:tcW w:w="1754" w:type="pct"/>
            <w:vMerge/>
            <w:shd w:val="clear" w:color="auto" w:fill="auto"/>
            <w:vAlign w:val="center"/>
            <w:hideMark/>
          </w:tcPr>
          <w:p w14:paraId="4F5D4734" w14:textId="77777777" w:rsidR="006E08A4" w:rsidRPr="0081478A" w:rsidRDefault="006E08A4" w:rsidP="006E08A4">
            <w:pPr>
              <w:pStyle w:val="ae"/>
              <w:rPr>
                <w:rFonts w:cs="Times New Roman"/>
                <w:bCs/>
              </w:rPr>
            </w:pPr>
          </w:p>
        </w:tc>
        <w:tc>
          <w:tcPr>
            <w:tcW w:w="1331" w:type="pct"/>
            <w:shd w:val="clear" w:color="auto" w:fill="auto"/>
            <w:vAlign w:val="center"/>
            <w:hideMark/>
          </w:tcPr>
          <w:p w14:paraId="48818130" w14:textId="77777777" w:rsidR="006E08A4" w:rsidRPr="0081478A" w:rsidRDefault="006E08A4" w:rsidP="006E08A4">
            <w:pPr>
              <w:pStyle w:val="ae"/>
              <w:rPr>
                <w:rFonts w:cs="Times New Roman"/>
                <w:bCs/>
              </w:rPr>
            </w:pPr>
            <w:r w:rsidRPr="0081478A">
              <w:rPr>
                <w:rFonts w:cs="Times New Roman"/>
                <w:b w:val="0"/>
                <w:bCs/>
              </w:rPr>
              <w:t>528</w:t>
            </w:r>
            <w:r w:rsidRPr="0081478A">
              <w:rPr>
                <w:rFonts w:cs="Times New Roman"/>
                <w:b w:val="0"/>
                <w:bCs/>
              </w:rPr>
              <w:t>＜</w:t>
            </w:r>
            <w:r w:rsidRPr="0081478A">
              <w:rPr>
                <w:rFonts w:cs="Times New Roman"/>
                <w:b w:val="0"/>
                <w:bCs/>
              </w:rPr>
              <w:t>CC≤1163</w:t>
            </w:r>
          </w:p>
        </w:tc>
        <w:tc>
          <w:tcPr>
            <w:tcW w:w="958" w:type="pct"/>
            <w:shd w:val="clear" w:color="auto" w:fill="auto"/>
            <w:vAlign w:val="center"/>
            <w:hideMark/>
          </w:tcPr>
          <w:p w14:paraId="3B94817F" w14:textId="77777777" w:rsidR="006E08A4" w:rsidRPr="0081478A" w:rsidRDefault="006E08A4" w:rsidP="006E08A4">
            <w:pPr>
              <w:pStyle w:val="ae"/>
              <w:rPr>
                <w:rFonts w:cs="Times New Roman"/>
                <w:bCs/>
              </w:rPr>
            </w:pPr>
            <w:r w:rsidRPr="0081478A">
              <w:rPr>
                <w:rFonts w:cs="Times New Roman"/>
                <w:b w:val="0"/>
                <w:bCs/>
              </w:rPr>
              <w:t>4.70</w:t>
            </w:r>
          </w:p>
        </w:tc>
        <w:tc>
          <w:tcPr>
            <w:tcW w:w="958" w:type="pct"/>
            <w:shd w:val="clear" w:color="auto" w:fill="auto"/>
            <w:vAlign w:val="center"/>
            <w:hideMark/>
          </w:tcPr>
          <w:p w14:paraId="4B38C857" w14:textId="77777777" w:rsidR="006E08A4" w:rsidRPr="0081478A" w:rsidRDefault="006E08A4" w:rsidP="006E08A4">
            <w:pPr>
              <w:pStyle w:val="ae"/>
              <w:rPr>
                <w:rFonts w:cs="Times New Roman"/>
                <w:bCs/>
              </w:rPr>
            </w:pPr>
            <w:r w:rsidRPr="0081478A">
              <w:rPr>
                <w:rFonts w:cs="Times New Roman"/>
                <w:b w:val="0"/>
                <w:bCs/>
              </w:rPr>
              <w:t>5.50</w:t>
            </w:r>
          </w:p>
        </w:tc>
      </w:tr>
      <w:tr w:rsidR="006E08A4" w:rsidRPr="0081478A" w14:paraId="26BFF368" w14:textId="77777777" w:rsidTr="006E08A4">
        <w:trPr>
          <w:jc w:val="center"/>
        </w:trPr>
        <w:tc>
          <w:tcPr>
            <w:tcW w:w="1754" w:type="pct"/>
            <w:vMerge/>
            <w:shd w:val="clear" w:color="auto" w:fill="auto"/>
            <w:vAlign w:val="center"/>
            <w:hideMark/>
          </w:tcPr>
          <w:p w14:paraId="0148C580" w14:textId="77777777" w:rsidR="006E08A4" w:rsidRPr="0081478A" w:rsidRDefault="006E08A4" w:rsidP="006E08A4">
            <w:pPr>
              <w:pStyle w:val="ae"/>
              <w:rPr>
                <w:rFonts w:cs="Times New Roman"/>
                <w:bCs/>
              </w:rPr>
            </w:pPr>
          </w:p>
        </w:tc>
        <w:tc>
          <w:tcPr>
            <w:tcW w:w="1331" w:type="pct"/>
            <w:shd w:val="clear" w:color="auto" w:fill="auto"/>
            <w:vAlign w:val="center"/>
            <w:hideMark/>
          </w:tcPr>
          <w:p w14:paraId="5FCD6FD4" w14:textId="77777777" w:rsidR="006E08A4" w:rsidRPr="0081478A" w:rsidRDefault="006E08A4" w:rsidP="006E08A4">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1163</w:t>
            </w:r>
          </w:p>
        </w:tc>
        <w:tc>
          <w:tcPr>
            <w:tcW w:w="958" w:type="pct"/>
            <w:shd w:val="clear" w:color="auto" w:fill="auto"/>
            <w:vAlign w:val="center"/>
            <w:hideMark/>
          </w:tcPr>
          <w:p w14:paraId="2A446E2E" w14:textId="77777777" w:rsidR="006E08A4" w:rsidRPr="0081478A" w:rsidRDefault="006E08A4" w:rsidP="006E08A4">
            <w:pPr>
              <w:pStyle w:val="ae"/>
              <w:rPr>
                <w:rFonts w:cs="Times New Roman"/>
                <w:bCs/>
              </w:rPr>
            </w:pPr>
            <w:r w:rsidRPr="0081478A">
              <w:rPr>
                <w:rFonts w:cs="Times New Roman"/>
                <w:b w:val="0"/>
                <w:bCs/>
              </w:rPr>
              <w:t>5.20</w:t>
            </w:r>
          </w:p>
        </w:tc>
        <w:tc>
          <w:tcPr>
            <w:tcW w:w="958" w:type="pct"/>
            <w:shd w:val="clear" w:color="auto" w:fill="auto"/>
            <w:vAlign w:val="center"/>
            <w:hideMark/>
          </w:tcPr>
          <w:p w14:paraId="1E43B693" w14:textId="77777777" w:rsidR="006E08A4" w:rsidRPr="0081478A" w:rsidRDefault="006E08A4" w:rsidP="006E08A4">
            <w:pPr>
              <w:pStyle w:val="ae"/>
              <w:rPr>
                <w:rFonts w:cs="Times New Roman"/>
                <w:bCs/>
              </w:rPr>
            </w:pPr>
            <w:r w:rsidRPr="0081478A">
              <w:rPr>
                <w:rFonts w:cs="Times New Roman"/>
                <w:b w:val="0"/>
                <w:bCs/>
              </w:rPr>
              <w:t>5.90</w:t>
            </w:r>
          </w:p>
        </w:tc>
      </w:tr>
    </w:tbl>
    <w:p w14:paraId="2CE993A1" w14:textId="77777777" w:rsidR="00E31FF0" w:rsidRPr="0081478A" w:rsidRDefault="00E31FF0" w:rsidP="00E31FF0">
      <w:pPr>
        <w:pStyle w:val="9"/>
        <w:ind w:firstLine="420"/>
        <w:rPr>
          <w:bCs/>
        </w:rPr>
      </w:pPr>
    </w:p>
    <w:p w14:paraId="2F5C2C12" w14:textId="26D1F5CF" w:rsidR="00E31FF0" w:rsidRPr="0081478A" w:rsidRDefault="00E31FF0" w:rsidP="00E31FF0">
      <w:pPr>
        <w:ind w:firstLine="420"/>
        <w:rPr>
          <w:rFonts w:cs="Times New Roman"/>
        </w:rPr>
      </w:pPr>
      <w:r w:rsidRPr="0081478A">
        <w:rPr>
          <w:rFonts w:cs="Times New Roman"/>
          <w:bCs/>
        </w:rPr>
        <w:t>对于单元式空气调节机，根据机组的性能系数测试结果，依据表</w:t>
      </w:r>
      <w:r w:rsidR="000B54A2" w:rsidRPr="0081478A">
        <w:rPr>
          <w:rFonts w:cs="Times New Roman"/>
        </w:rPr>
        <w:t>7.2.5-2</w:t>
      </w:r>
      <w:r w:rsidRPr="0081478A">
        <w:rPr>
          <w:rFonts w:cs="Times New Roman"/>
          <w:bCs/>
        </w:rPr>
        <w:t>，判定其额定能效</w:t>
      </w:r>
      <w:r w:rsidRPr="0081478A">
        <w:rPr>
          <w:rFonts w:cs="Times New Roman"/>
        </w:rPr>
        <w:t>等级提高幅度。</w:t>
      </w:r>
    </w:p>
    <w:p w14:paraId="5FC3DDF4" w14:textId="1B8EBA47" w:rsidR="00E31FF0" w:rsidRPr="0081478A" w:rsidRDefault="00E31FF0" w:rsidP="00921836">
      <w:pPr>
        <w:pStyle w:val="ae"/>
        <w:rPr>
          <w:rFonts w:cs="Times New Roman"/>
          <w:b w:val="0"/>
          <w:bCs/>
        </w:rPr>
      </w:pPr>
      <w:r w:rsidRPr="0081478A">
        <w:rPr>
          <w:rFonts w:cs="Times New Roman"/>
          <w:b w:val="0"/>
          <w:bCs/>
        </w:rPr>
        <w:t>表</w:t>
      </w:r>
      <w:r w:rsidR="000B54A2" w:rsidRPr="0081478A">
        <w:rPr>
          <w:rFonts w:cs="Times New Roman"/>
          <w:b w:val="0"/>
          <w:bCs/>
        </w:rPr>
        <w:t>7.2.5-2</w:t>
      </w:r>
      <w:r w:rsidRPr="0081478A">
        <w:rPr>
          <w:rFonts w:cs="Times New Roman"/>
          <w:b w:val="0"/>
          <w:bCs/>
        </w:rPr>
        <w:t xml:space="preserve">  </w:t>
      </w:r>
      <w:r w:rsidRPr="0081478A">
        <w:rPr>
          <w:rFonts w:cs="Times New Roman"/>
          <w:b w:val="0"/>
          <w:bCs/>
        </w:rPr>
        <w:t>能效等级指标（单元式空气调节机）</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2333"/>
        <w:gridCol w:w="3599"/>
        <w:gridCol w:w="2596"/>
      </w:tblGrid>
      <w:tr w:rsidR="008A0ADA" w:rsidRPr="0081478A" w14:paraId="6C566DD5" w14:textId="77777777" w:rsidTr="008A0ADA">
        <w:trPr>
          <w:jc w:val="center"/>
        </w:trPr>
        <w:tc>
          <w:tcPr>
            <w:tcW w:w="3478" w:type="pct"/>
            <w:gridSpan w:val="2"/>
            <w:vMerge w:val="restart"/>
            <w:shd w:val="clear" w:color="auto" w:fill="auto"/>
            <w:vAlign w:val="center"/>
            <w:hideMark/>
          </w:tcPr>
          <w:p w14:paraId="7826CEAD" w14:textId="77777777" w:rsidR="008A0ADA" w:rsidRPr="0081478A" w:rsidRDefault="008A0ADA" w:rsidP="008A0ADA">
            <w:pPr>
              <w:pStyle w:val="ae"/>
              <w:rPr>
                <w:rFonts w:cs="Times New Roman"/>
                <w:bCs/>
              </w:rPr>
            </w:pPr>
            <w:r w:rsidRPr="0081478A">
              <w:rPr>
                <w:rFonts w:cs="Times New Roman"/>
                <w:b w:val="0"/>
                <w:bCs/>
              </w:rPr>
              <w:t>类型</w:t>
            </w:r>
          </w:p>
        </w:tc>
        <w:tc>
          <w:tcPr>
            <w:tcW w:w="1522" w:type="pct"/>
            <w:shd w:val="clear" w:color="auto" w:fill="auto"/>
            <w:vAlign w:val="center"/>
            <w:hideMark/>
          </w:tcPr>
          <w:p w14:paraId="119C29BD" w14:textId="77777777" w:rsidR="008A0ADA" w:rsidRPr="0081478A" w:rsidRDefault="008A0ADA" w:rsidP="008A0ADA">
            <w:pPr>
              <w:pStyle w:val="ae"/>
              <w:rPr>
                <w:rFonts w:cs="Times New Roman"/>
                <w:bCs/>
              </w:rPr>
            </w:pPr>
            <w:r w:rsidRPr="0081478A">
              <w:rPr>
                <w:rFonts w:cs="Times New Roman"/>
                <w:b w:val="0"/>
                <w:bCs/>
              </w:rPr>
              <w:t>能效等级（</w:t>
            </w:r>
            <w:r w:rsidRPr="0081478A">
              <w:rPr>
                <w:rFonts w:cs="Times New Roman"/>
                <w:b w:val="0"/>
                <w:bCs/>
              </w:rPr>
              <w:t>EER</w:t>
            </w:r>
            <w:r w:rsidRPr="0081478A">
              <w:rPr>
                <w:rFonts w:cs="Times New Roman"/>
                <w:b w:val="0"/>
                <w:bCs/>
              </w:rPr>
              <w:t>）</w:t>
            </w:r>
            <w:r w:rsidRPr="0081478A">
              <w:rPr>
                <w:rFonts w:cs="Times New Roman"/>
                <w:b w:val="0"/>
                <w:bCs/>
              </w:rPr>
              <w:t>/</w:t>
            </w:r>
            <w:r w:rsidRPr="0081478A">
              <w:rPr>
                <w:rFonts w:cs="Times New Roman"/>
                <w:b w:val="0"/>
                <w:bCs/>
              </w:rPr>
              <w:t>（</w:t>
            </w:r>
            <w:r w:rsidRPr="0081478A">
              <w:rPr>
                <w:rFonts w:cs="Times New Roman"/>
                <w:b w:val="0"/>
                <w:bCs/>
              </w:rPr>
              <w:t>W/W</w:t>
            </w:r>
            <w:r w:rsidRPr="0081478A">
              <w:rPr>
                <w:rFonts w:cs="Times New Roman"/>
                <w:b w:val="0"/>
                <w:bCs/>
              </w:rPr>
              <w:t>）</w:t>
            </w:r>
          </w:p>
        </w:tc>
      </w:tr>
      <w:tr w:rsidR="008A0ADA" w:rsidRPr="0081478A" w14:paraId="2CD89D3C" w14:textId="77777777" w:rsidTr="008A0ADA">
        <w:trPr>
          <w:jc w:val="center"/>
        </w:trPr>
        <w:tc>
          <w:tcPr>
            <w:tcW w:w="3478" w:type="pct"/>
            <w:gridSpan w:val="2"/>
            <w:vMerge/>
            <w:shd w:val="clear" w:color="auto" w:fill="auto"/>
            <w:vAlign w:val="center"/>
            <w:hideMark/>
          </w:tcPr>
          <w:p w14:paraId="4AC06E7A" w14:textId="77777777" w:rsidR="008A0ADA" w:rsidRPr="0081478A" w:rsidRDefault="008A0ADA" w:rsidP="008A0ADA">
            <w:pPr>
              <w:pStyle w:val="ae"/>
              <w:rPr>
                <w:rFonts w:cs="Times New Roman"/>
                <w:bCs/>
              </w:rPr>
            </w:pPr>
          </w:p>
        </w:tc>
        <w:tc>
          <w:tcPr>
            <w:tcW w:w="1522" w:type="pct"/>
            <w:shd w:val="clear" w:color="auto" w:fill="auto"/>
            <w:vAlign w:val="center"/>
            <w:hideMark/>
          </w:tcPr>
          <w:p w14:paraId="7763058B" w14:textId="77777777" w:rsidR="008A0ADA" w:rsidRPr="0081478A" w:rsidRDefault="008A0ADA" w:rsidP="008A0ADA">
            <w:pPr>
              <w:pStyle w:val="ae"/>
              <w:rPr>
                <w:rFonts w:cs="Times New Roman"/>
                <w:bCs/>
              </w:rPr>
            </w:pPr>
            <w:r w:rsidRPr="0081478A">
              <w:rPr>
                <w:rFonts w:cs="Times New Roman"/>
                <w:b w:val="0"/>
                <w:bCs/>
              </w:rPr>
              <w:t>5</w:t>
            </w:r>
            <w:r w:rsidRPr="0081478A">
              <w:rPr>
                <w:rFonts w:cs="Times New Roman"/>
                <w:b w:val="0"/>
                <w:bCs/>
              </w:rPr>
              <w:t>级</w:t>
            </w:r>
          </w:p>
        </w:tc>
      </w:tr>
      <w:tr w:rsidR="008A0ADA" w:rsidRPr="0081478A" w14:paraId="1213C436" w14:textId="77777777" w:rsidTr="008A0ADA">
        <w:trPr>
          <w:jc w:val="center"/>
        </w:trPr>
        <w:tc>
          <w:tcPr>
            <w:tcW w:w="1368" w:type="pct"/>
            <w:vMerge w:val="restart"/>
            <w:shd w:val="clear" w:color="auto" w:fill="auto"/>
            <w:vAlign w:val="center"/>
            <w:hideMark/>
          </w:tcPr>
          <w:p w14:paraId="0D14C477" w14:textId="77777777" w:rsidR="008A0ADA" w:rsidRPr="0081478A" w:rsidRDefault="008A0ADA" w:rsidP="008A0ADA">
            <w:pPr>
              <w:pStyle w:val="ae"/>
              <w:rPr>
                <w:rFonts w:cs="Times New Roman"/>
                <w:bCs/>
              </w:rPr>
            </w:pPr>
            <w:r w:rsidRPr="0081478A">
              <w:rPr>
                <w:rFonts w:cs="Times New Roman"/>
                <w:b w:val="0"/>
                <w:bCs/>
              </w:rPr>
              <w:t>风冷式</w:t>
            </w:r>
          </w:p>
        </w:tc>
        <w:tc>
          <w:tcPr>
            <w:tcW w:w="2110" w:type="pct"/>
            <w:shd w:val="clear" w:color="auto" w:fill="auto"/>
            <w:vAlign w:val="center"/>
            <w:hideMark/>
          </w:tcPr>
          <w:p w14:paraId="70C1CF83" w14:textId="77777777" w:rsidR="008A0ADA" w:rsidRPr="0081478A" w:rsidRDefault="008A0ADA" w:rsidP="008A0ADA">
            <w:pPr>
              <w:pStyle w:val="ae"/>
              <w:rPr>
                <w:rFonts w:cs="Times New Roman"/>
                <w:bCs/>
              </w:rPr>
            </w:pPr>
            <w:r w:rsidRPr="0081478A">
              <w:rPr>
                <w:rFonts w:cs="Times New Roman"/>
                <w:b w:val="0"/>
                <w:bCs/>
              </w:rPr>
              <w:t>不接风管</w:t>
            </w:r>
          </w:p>
        </w:tc>
        <w:tc>
          <w:tcPr>
            <w:tcW w:w="1522" w:type="pct"/>
            <w:shd w:val="clear" w:color="auto" w:fill="auto"/>
            <w:vAlign w:val="center"/>
            <w:hideMark/>
          </w:tcPr>
          <w:p w14:paraId="3EE27E4A" w14:textId="77777777" w:rsidR="008A0ADA" w:rsidRPr="0081478A" w:rsidRDefault="008A0ADA" w:rsidP="008A0ADA">
            <w:pPr>
              <w:pStyle w:val="ae"/>
              <w:rPr>
                <w:rFonts w:cs="Times New Roman"/>
                <w:bCs/>
              </w:rPr>
            </w:pPr>
            <w:r w:rsidRPr="0081478A">
              <w:rPr>
                <w:rFonts w:cs="Times New Roman"/>
                <w:b w:val="0"/>
                <w:bCs/>
              </w:rPr>
              <w:t>2.40</w:t>
            </w:r>
          </w:p>
        </w:tc>
      </w:tr>
      <w:tr w:rsidR="008A0ADA" w:rsidRPr="0081478A" w14:paraId="7D3F5A61" w14:textId="77777777" w:rsidTr="008A0ADA">
        <w:trPr>
          <w:jc w:val="center"/>
        </w:trPr>
        <w:tc>
          <w:tcPr>
            <w:tcW w:w="1368" w:type="pct"/>
            <w:vMerge/>
            <w:shd w:val="clear" w:color="auto" w:fill="auto"/>
            <w:vAlign w:val="center"/>
            <w:hideMark/>
          </w:tcPr>
          <w:p w14:paraId="1B5B119A" w14:textId="77777777" w:rsidR="008A0ADA" w:rsidRPr="0081478A" w:rsidRDefault="008A0ADA" w:rsidP="008A0ADA">
            <w:pPr>
              <w:pStyle w:val="ae"/>
              <w:rPr>
                <w:rFonts w:cs="Times New Roman"/>
                <w:bCs/>
              </w:rPr>
            </w:pPr>
          </w:p>
        </w:tc>
        <w:tc>
          <w:tcPr>
            <w:tcW w:w="2110" w:type="pct"/>
            <w:shd w:val="clear" w:color="auto" w:fill="auto"/>
            <w:vAlign w:val="center"/>
            <w:hideMark/>
          </w:tcPr>
          <w:p w14:paraId="0FBF0D73" w14:textId="77777777" w:rsidR="008A0ADA" w:rsidRPr="0081478A" w:rsidRDefault="008A0ADA" w:rsidP="008A0ADA">
            <w:pPr>
              <w:pStyle w:val="ae"/>
              <w:rPr>
                <w:rFonts w:cs="Times New Roman"/>
                <w:bCs/>
              </w:rPr>
            </w:pPr>
            <w:r w:rsidRPr="0081478A">
              <w:rPr>
                <w:rFonts w:cs="Times New Roman"/>
                <w:b w:val="0"/>
                <w:bCs/>
              </w:rPr>
              <w:t>接风管</w:t>
            </w:r>
          </w:p>
        </w:tc>
        <w:tc>
          <w:tcPr>
            <w:tcW w:w="1522" w:type="pct"/>
            <w:shd w:val="clear" w:color="auto" w:fill="auto"/>
            <w:vAlign w:val="center"/>
            <w:hideMark/>
          </w:tcPr>
          <w:p w14:paraId="2F76D7BE" w14:textId="77777777" w:rsidR="008A0ADA" w:rsidRPr="0081478A" w:rsidRDefault="008A0ADA" w:rsidP="008A0ADA">
            <w:pPr>
              <w:pStyle w:val="ae"/>
              <w:rPr>
                <w:rFonts w:cs="Times New Roman"/>
                <w:bCs/>
              </w:rPr>
            </w:pPr>
            <w:r w:rsidRPr="0081478A">
              <w:rPr>
                <w:rFonts w:cs="Times New Roman"/>
                <w:b w:val="0"/>
                <w:bCs/>
              </w:rPr>
              <w:t>2.10</w:t>
            </w:r>
          </w:p>
        </w:tc>
      </w:tr>
      <w:tr w:rsidR="008A0ADA" w:rsidRPr="0081478A" w14:paraId="5728B791" w14:textId="77777777" w:rsidTr="008A0ADA">
        <w:trPr>
          <w:jc w:val="center"/>
        </w:trPr>
        <w:tc>
          <w:tcPr>
            <w:tcW w:w="1368" w:type="pct"/>
            <w:vMerge w:val="restart"/>
            <w:shd w:val="clear" w:color="auto" w:fill="auto"/>
            <w:vAlign w:val="center"/>
            <w:hideMark/>
          </w:tcPr>
          <w:p w14:paraId="027B2A96" w14:textId="77777777" w:rsidR="008A0ADA" w:rsidRPr="0081478A" w:rsidRDefault="008A0ADA" w:rsidP="008A0ADA">
            <w:pPr>
              <w:pStyle w:val="ae"/>
              <w:rPr>
                <w:rFonts w:cs="Times New Roman"/>
                <w:bCs/>
              </w:rPr>
            </w:pPr>
            <w:r w:rsidRPr="0081478A">
              <w:rPr>
                <w:rFonts w:cs="Times New Roman"/>
                <w:b w:val="0"/>
                <w:bCs/>
              </w:rPr>
              <w:t>水冷式</w:t>
            </w:r>
          </w:p>
        </w:tc>
        <w:tc>
          <w:tcPr>
            <w:tcW w:w="2110" w:type="pct"/>
            <w:shd w:val="clear" w:color="auto" w:fill="auto"/>
            <w:vAlign w:val="center"/>
            <w:hideMark/>
          </w:tcPr>
          <w:p w14:paraId="4A1D6CF8" w14:textId="77777777" w:rsidR="008A0ADA" w:rsidRPr="0081478A" w:rsidRDefault="008A0ADA" w:rsidP="008A0ADA">
            <w:pPr>
              <w:pStyle w:val="ae"/>
              <w:rPr>
                <w:rFonts w:cs="Times New Roman"/>
                <w:bCs/>
              </w:rPr>
            </w:pPr>
            <w:r w:rsidRPr="0081478A">
              <w:rPr>
                <w:rFonts w:cs="Times New Roman"/>
                <w:b w:val="0"/>
                <w:bCs/>
              </w:rPr>
              <w:t>不接风管</w:t>
            </w:r>
          </w:p>
        </w:tc>
        <w:tc>
          <w:tcPr>
            <w:tcW w:w="1522" w:type="pct"/>
            <w:shd w:val="clear" w:color="auto" w:fill="auto"/>
            <w:vAlign w:val="center"/>
            <w:hideMark/>
          </w:tcPr>
          <w:p w14:paraId="4FF07797" w14:textId="77777777" w:rsidR="008A0ADA" w:rsidRPr="0081478A" w:rsidRDefault="008A0ADA" w:rsidP="008A0ADA">
            <w:pPr>
              <w:pStyle w:val="ae"/>
              <w:rPr>
                <w:rFonts w:cs="Times New Roman"/>
                <w:bCs/>
              </w:rPr>
            </w:pPr>
            <w:r w:rsidRPr="0081478A">
              <w:rPr>
                <w:rFonts w:cs="Times New Roman"/>
                <w:b w:val="0"/>
                <w:bCs/>
              </w:rPr>
              <w:t>2.80</w:t>
            </w:r>
          </w:p>
        </w:tc>
      </w:tr>
      <w:tr w:rsidR="008A0ADA" w:rsidRPr="0081478A" w14:paraId="31E7AA51" w14:textId="77777777" w:rsidTr="008A0ADA">
        <w:trPr>
          <w:jc w:val="center"/>
        </w:trPr>
        <w:tc>
          <w:tcPr>
            <w:tcW w:w="1368" w:type="pct"/>
            <w:vMerge/>
            <w:shd w:val="clear" w:color="auto" w:fill="auto"/>
            <w:vAlign w:val="center"/>
            <w:hideMark/>
          </w:tcPr>
          <w:p w14:paraId="50171C1A" w14:textId="77777777" w:rsidR="008A0ADA" w:rsidRPr="0081478A" w:rsidRDefault="008A0ADA" w:rsidP="008A0ADA">
            <w:pPr>
              <w:pStyle w:val="ae"/>
              <w:rPr>
                <w:rFonts w:cs="Times New Roman"/>
                <w:bCs/>
              </w:rPr>
            </w:pPr>
          </w:p>
        </w:tc>
        <w:tc>
          <w:tcPr>
            <w:tcW w:w="2110" w:type="pct"/>
            <w:shd w:val="clear" w:color="auto" w:fill="auto"/>
            <w:vAlign w:val="center"/>
            <w:hideMark/>
          </w:tcPr>
          <w:p w14:paraId="219DF6E7" w14:textId="77777777" w:rsidR="008A0ADA" w:rsidRPr="0081478A" w:rsidRDefault="008A0ADA" w:rsidP="008A0ADA">
            <w:pPr>
              <w:pStyle w:val="ae"/>
              <w:rPr>
                <w:rFonts w:cs="Times New Roman"/>
                <w:bCs/>
              </w:rPr>
            </w:pPr>
            <w:r w:rsidRPr="0081478A">
              <w:rPr>
                <w:rFonts w:cs="Times New Roman"/>
                <w:b w:val="0"/>
                <w:bCs/>
              </w:rPr>
              <w:t>接风管</w:t>
            </w:r>
          </w:p>
        </w:tc>
        <w:tc>
          <w:tcPr>
            <w:tcW w:w="1522" w:type="pct"/>
            <w:shd w:val="clear" w:color="auto" w:fill="auto"/>
            <w:vAlign w:val="center"/>
            <w:hideMark/>
          </w:tcPr>
          <w:p w14:paraId="3FE0E616" w14:textId="77777777" w:rsidR="008A0ADA" w:rsidRPr="0081478A" w:rsidRDefault="008A0ADA" w:rsidP="008A0ADA">
            <w:pPr>
              <w:pStyle w:val="ae"/>
              <w:rPr>
                <w:rFonts w:cs="Times New Roman"/>
                <w:bCs/>
              </w:rPr>
            </w:pPr>
            <w:r w:rsidRPr="0081478A">
              <w:rPr>
                <w:rFonts w:cs="Times New Roman"/>
                <w:b w:val="0"/>
                <w:bCs/>
              </w:rPr>
              <w:t>2.50</w:t>
            </w:r>
          </w:p>
        </w:tc>
      </w:tr>
    </w:tbl>
    <w:p w14:paraId="005CBCE6" w14:textId="77777777" w:rsidR="00E31FF0" w:rsidRPr="0081478A" w:rsidRDefault="00E31FF0" w:rsidP="00E31FF0">
      <w:pPr>
        <w:ind w:firstLine="420"/>
        <w:rPr>
          <w:rFonts w:cs="Times New Roman"/>
        </w:rPr>
      </w:pPr>
    </w:p>
    <w:p w14:paraId="7E136DED" w14:textId="0EFE00D2" w:rsidR="00E31FF0" w:rsidRPr="0081478A" w:rsidRDefault="00E31FF0" w:rsidP="00E31FF0">
      <w:pPr>
        <w:ind w:firstLine="420"/>
        <w:rPr>
          <w:rFonts w:cs="Times New Roman"/>
        </w:rPr>
      </w:pPr>
      <w:r w:rsidRPr="0081478A">
        <w:rPr>
          <w:rFonts w:cs="Times New Roman"/>
        </w:rPr>
        <w:t>电机驱动的蒸气压缩循环冷水（热泵）机组的综合部分负荷性能系数（</w:t>
      </w:r>
      <w:r w:rsidRPr="0081478A">
        <w:rPr>
          <w:rFonts w:cs="Times New Roman"/>
        </w:rPr>
        <w:t>IPLV</w:t>
      </w:r>
      <w:r w:rsidRPr="0081478A">
        <w:rPr>
          <w:rFonts w:cs="Times New Roman"/>
        </w:rPr>
        <w:t>）</w:t>
      </w:r>
      <w:r w:rsidRPr="0081478A">
        <w:rPr>
          <w:rFonts w:cs="Times New Roman"/>
        </w:rPr>
        <w:t>,</w:t>
      </w:r>
      <w:r w:rsidRPr="0081478A">
        <w:rPr>
          <w:rFonts w:cs="Times New Roman"/>
        </w:rPr>
        <w:t>依据表</w:t>
      </w:r>
      <w:r w:rsidR="000B54A2" w:rsidRPr="0081478A">
        <w:rPr>
          <w:rFonts w:cs="Times New Roman"/>
        </w:rPr>
        <w:t>7.2.5-3</w:t>
      </w:r>
      <w:r w:rsidRPr="0081478A">
        <w:rPr>
          <w:rFonts w:cs="Times New Roman"/>
        </w:rPr>
        <w:t>，判定其冷水（热泵）机组综合部分负荷性能系数提高幅度。</w:t>
      </w:r>
    </w:p>
    <w:p w14:paraId="3828D20C" w14:textId="3333F39F" w:rsidR="00E31FF0" w:rsidRPr="0081478A" w:rsidRDefault="00E31FF0" w:rsidP="00921836">
      <w:pPr>
        <w:pStyle w:val="ae"/>
        <w:rPr>
          <w:rFonts w:cs="Times New Roman"/>
          <w:bCs/>
        </w:rPr>
      </w:pPr>
      <w:r w:rsidRPr="0081478A">
        <w:rPr>
          <w:rFonts w:cs="Times New Roman"/>
          <w:b w:val="0"/>
          <w:bCs/>
        </w:rPr>
        <w:t>表</w:t>
      </w:r>
      <w:r w:rsidR="000B54A2" w:rsidRPr="0081478A">
        <w:rPr>
          <w:rFonts w:cs="Times New Roman"/>
          <w:b w:val="0"/>
          <w:bCs/>
        </w:rPr>
        <w:t>7.2.5-3</w:t>
      </w:r>
      <w:r w:rsidRPr="0081478A">
        <w:rPr>
          <w:rFonts w:cs="Times New Roman"/>
          <w:b w:val="0"/>
          <w:bCs/>
        </w:rPr>
        <w:t xml:space="preserve">  </w:t>
      </w:r>
      <w:r w:rsidRPr="0081478A">
        <w:rPr>
          <w:rFonts w:cs="Times New Roman"/>
          <w:b w:val="0"/>
          <w:bCs/>
        </w:rPr>
        <w:t>冷水（热泵）机组综合部分负荷性能系数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57" w:type="dxa"/>
          <w:bottom w:w="23" w:type="dxa"/>
          <w:right w:w="57" w:type="dxa"/>
        </w:tblCellMar>
        <w:tblLook w:val="04A0" w:firstRow="1" w:lastRow="0" w:firstColumn="1" w:lastColumn="0" w:noHBand="0" w:noVBand="1"/>
      </w:tblPr>
      <w:tblGrid>
        <w:gridCol w:w="1758"/>
        <w:gridCol w:w="1591"/>
        <w:gridCol w:w="2064"/>
        <w:gridCol w:w="3013"/>
      </w:tblGrid>
      <w:tr w:rsidR="0081478A" w:rsidRPr="0081478A" w14:paraId="3C8CD593" w14:textId="77777777" w:rsidTr="008A0ADA">
        <w:trPr>
          <w:jc w:val="center"/>
        </w:trPr>
        <w:tc>
          <w:tcPr>
            <w:tcW w:w="1987" w:type="pct"/>
            <w:gridSpan w:val="2"/>
            <w:vMerge w:val="restart"/>
            <w:shd w:val="clear" w:color="auto" w:fill="auto"/>
            <w:vAlign w:val="center"/>
            <w:hideMark/>
          </w:tcPr>
          <w:p w14:paraId="110EE4BD" w14:textId="77777777" w:rsidR="00E31FF0" w:rsidRPr="0081478A" w:rsidRDefault="00E31FF0" w:rsidP="00921836">
            <w:pPr>
              <w:pStyle w:val="ae"/>
              <w:rPr>
                <w:rFonts w:cs="Times New Roman"/>
                <w:bCs/>
              </w:rPr>
            </w:pPr>
            <w:r w:rsidRPr="0081478A">
              <w:rPr>
                <w:rFonts w:cs="Times New Roman"/>
                <w:b w:val="0"/>
                <w:bCs/>
              </w:rPr>
              <w:t>类型</w:t>
            </w:r>
          </w:p>
        </w:tc>
        <w:tc>
          <w:tcPr>
            <w:tcW w:w="1225" w:type="pct"/>
            <w:vMerge w:val="restart"/>
            <w:shd w:val="clear" w:color="auto" w:fill="auto"/>
            <w:vAlign w:val="center"/>
            <w:hideMark/>
          </w:tcPr>
          <w:p w14:paraId="0369D9FD" w14:textId="77777777" w:rsidR="00E31FF0" w:rsidRPr="0081478A" w:rsidRDefault="00E31FF0" w:rsidP="00921836">
            <w:pPr>
              <w:pStyle w:val="ae"/>
              <w:rPr>
                <w:rFonts w:cs="Times New Roman"/>
                <w:bCs/>
              </w:rPr>
            </w:pPr>
            <w:r w:rsidRPr="0081478A">
              <w:rPr>
                <w:rFonts w:cs="Times New Roman"/>
                <w:b w:val="0"/>
                <w:bCs/>
              </w:rPr>
              <w:t>额定制冷量</w:t>
            </w:r>
            <w:r w:rsidRPr="0081478A">
              <w:rPr>
                <w:rFonts w:cs="Times New Roman"/>
                <w:b w:val="0"/>
                <w:bCs/>
              </w:rPr>
              <w:t>CC/kW</w:t>
            </w:r>
          </w:p>
        </w:tc>
        <w:tc>
          <w:tcPr>
            <w:tcW w:w="1788" w:type="pct"/>
            <w:shd w:val="clear" w:color="auto" w:fill="auto"/>
            <w:vAlign w:val="center"/>
            <w:hideMark/>
          </w:tcPr>
          <w:p w14:paraId="0EDC82A6" w14:textId="77777777" w:rsidR="00E31FF0" w:rsidRPr="0081478A" w:rsidRDefault="00E31FF0" w:rsidP="00921836">
            <w:pPr>
              <w:pStyle w:val="ae"/>
              <w:rPr>
                <w:rFonts w:cs="Times New Roman"/>
                <w:bCs/>
              </w:rPr>
            </w:pPr>
            <w:r w:rsidRPr="0081478A">
              <w:rPr>
                <w:rFonts w:cs="Times New Roman"/>
                <w:b w:val="0"/>
                <w:bCs/>
              </w:rPr>
              <w:t>综合部分负荷性能系数</w:t>
            </w:r>
            <w:r w:rsidRPr="0081478A">
              <w:rPr>
                <w:rFonts w:cs="Times New Roman"/>
                <w:b w:val="0"/>
                <w:bCs/>
              </w:rPr>
              <w:t>IPLV</w:t>
            </w:r>
          </w:p>
        </w:tc>
      </w:tr>
      <w:tr w:rsidR="008A0ADA" w:rsidRPr="0081478A" w14:paraId="7292DD0D" w14:textId="77777777" w:rsidTr="008A0ADA">
        <w:trPr>
          <w:jc w:val="center"/>
        </w:trPr>
        <w:tc>
          <w:tcPr>
            <w:tcW w:w="1987" w:type="pct"/>
            <w:gridSpan w:val="2"/>
            <w:vMerge/>
            <w:shd w:val="clear" w:color="auto" w:fill="auto"/>
            <w:vAlign w:val="center"/>
            <w:hideMark/>
          </w:tcPr>
          <w:p w14:paraId="01EA35E2" w14:textId="77777777" w:rsidR="008A0ADA" w:rsidRPr="0081478A" w:rsidRDefault="008A0ADA" w:rsidP="00921836">
            <w:pPr>
              <w:pStyle w:val="ae"/>
              <w:rPr>
                <w:rFonts w:cs="Times New Roman"/>
                <w:bCs/>
              </w:rPr>
            </w:pPr>
          </w:p>
        </w:tc>
        <w:tc>
          <w:tcPr>
            <w:tcW w:w="1225" w:type="pct"/>
            <w:vMerge/>
            <w:shd w:val="clear" w:color="auto" w:fill="auto"/>
            <w:vAlign w:val="center"/>
            <w:hideMark/>
          </w:tcPr>
          <w:p w14:paraId="1121CB8A" w14:textId="77777777" w:rsidR="008A0ADA" w:rsidRPr="0081478A" w:rsidRDefault="008A0ADA" w:rsidP="00921836">
            <w:pPr>
              <w:pStyle w:val="ae"/>
              <w:rPr>
                <w:rFonts w:cs="Times New Roman"/>
                <w:bCs/>
              </w:rPr>
            </w:pPr>
          </w:p>
        </w:tc>
        <w:tc>
          <w:tcPr>
            <w:tcW w:w="1788" w:type="pct"/>
            <w:shd w:val="clear" w:color="auto" w:fill="auto"/>
            <w:vAlign w:val="center"/>
            <w:hideMark/>
          </w:tcPr>
          <w:p w14:paraId="23E03511" w14:textId="77777777" w:rsidR="008A0ADA" w:rsidRPr="0081478A" w:rsidRDefault="008A0ADA" w:rsidP="00921836">
            <w:pPr>
              <w:pStyle w:val="ae"/>
              <w:rPr>
                <w:rFonts w:cs="Times New Roman"/>
                <w:bCs/>
              </w:rPr>
            </w:pPr>
            <w:r w:rsidRPr="0081478A">
              <w:rPr>
                <w:rFonts w:cs="Times New Roman"/>
                <w:b w:val="0"/>
                <w:bCs/>
              </w:rPr>
              <w:t>夏热冬</w:t>
            </w:r>
            <w:r w:rsidRPr="0081478A">
              <w:rPr>
                <w:rFonts w:cs="Times New Roman"/>
                <w:b w:val="0"/>
                <w:bCs/>
              </w:rPr>
              <w:br/>
            </w:r>
            <w:r w:rsidRPr="0081478A">
              <w:rPr>
                <w:rFonts w:cs="Times New Roman"/>
                <w:b w:val="0"/>
                <w:bCs/>
              </w:rPr>
              <w:t>冷地区</w:t>
            </w:r>
          </w:p>
        </w:tc>
      </w:tr>
      <w:tr w:rsidR="008A0ADA" w:rsidRPr="0081478A" w14:paraId="6E3128FB" w14:textId="77777777" w:rsidTr="008A0ADA">
        <w:trPr>
          <w:jc w:val="center"/>
        </w:trPr>
        <w:tc>
          <w:tcPr>
            <w:tcW w:w="1043" w:type="pct"/>
            <w:vMerge w:val="restart"/>
            <w:shd w:val="clear" w:color="auto" w:fill="auto"/>
            <w:vAlign w:val="center"/>
            <w:hideMark/>
          </w:tcPr>
          <w:p w14:paraId="07372201" w14:textId="77777777" w:rsidR="008A0ADA" w:rsidRPr="0081478A" w:rsidRDefault="008A0ADA" w:rsidP="00921836">
            <w:pPr>
              <w:pStyle w:val="ae"/>
              <w:rPr>
                <w:rFonts w:cs="Times New Roman"/>
                <w:bCs/>
              </w:rPr>
            </w:pPr>
            <w:r w:rsidRPr="0081478A">
              <w:rPr>
                <w:rFonts w:cs="Times New Roman"/>
                <w:b w:val="0"/>
                <w:bCs/>
              </w:rPr>
              <w:t>水冷</w:t>
            </w:r>
          </w:p>
        </w:tc>
        <w:tc>
          <w:tcPr>
            <w:tcW w:w="944" w:type="pct"/>
            <w:shd w:val="clear" w:color="auto" w:fill="auto"/>
            <w:vAlign w:val="center"/>
            <w:hideMark/>
          </w:tcPr>
          <w:p w14:paraId="69203197" w14:textId="77777777" w:rsidR="008A0ADA" w:rsidRPr="0081478A" w:rsidRDefault="008A0ADA" w:rsidP="00921836">
            <w:pPr>
              <w:pStyle w:val="ae"/>
              <w:rPr>
                <w:rFonts w:cs="Times New Roman"/>
                <w:bCs/>
              </w:rPr>
            </w:pPr>
            <w:r w:rsidRPr="0081478A">
              <w:rPr>
                <w:rFonts w:cs="Times New Roman"/>
                <w:b w:val="0"/>
                <w:bCs/>
              </w:rPr>
              <w:t>活塞式</w:t>
            </w:r>
            <w:r w:rsidRPr="0081478A">
              <w:rPr>
                <w:rFonts w:cs="Times New Roman"/>
                <w:b w:val="0"/>
                <w:bCs/>
              </w:rPr>
              <w:t>/</w:t>
            </w:r>
            <w:r w:rsidRPr="0081478A">
              <w:rPr>
                <w:rFonts w:cs="Times New Roman"/>
                <w:b w:val="0"/>
                <w:bCs/>
              </w:rPr>
              <w:t>涡旋式</w:t>
            </w:r>
          </w:p>
        </w:tc>
        <w:tc>
          <w:tcPr>
            <w:tcW w:w="1225" w:type="pct"/>
            <w:shd w:val="clear" w:color="auto" w:fill="auto"/>
            <w:vAlign w:val="center"/>
            <w:hideMark/>
          </w:tcPr>
          <w:p w14:paraId="131B54A9" w14:textId="77777777" w:rsidR="008A0ADA" w:rsidRPr="0081478A" w:rsidRDefault="008A0ADA" w:rsidP="00921836">
            <w:pPr>
              <w:pStyle w:val="ae"/>
              <w:rPr>
                <w:rFonts w:cs="Times New Roman"/>
                <w:bCs/>
              </w:rPr>
            </w:pPr>
            <w:r w:rsidRPr="0081478A">
              <w:rPr>
                <w:rFonts w:cs="Times New Roman"/>
                <w:b w:val="0"/>
                <w:bCs/>
              </w:rPr>
              <w:t>CC≤528</w:t>
            </w:r>
          </w:p>
        </w:tc>
        <w:tc>
          <w:tcPr>
            <w:tcW w:w="1788" w:type="pct"/>
            <w:shd w:val="clear" w:color="auto" w:fill="auto"/>
            <w:vAlign w:val="center"/>
            <w:hideMark/>
          </w:tcPr>
          <w:p w14:paraId="705E237A" w14:textId="77777777" w:rsidR="008A0ADA" w:rsidRPr="0081478A" w:rsidRDefault="008A0ADA" w:rsidP="00921836">
            <w:pPr>
              <w:pStyle w:val="ae"/>
              <w:rPr>
                <w:rFonts w:cs="Times New Roman"/>
                <w:bCs/>
              </w:rPr>
            </w:pPr>
            <w:r w:rsidRPr="0081478A">
              <w:rPr>
                <w:rFonts w:cs="Times New Roman"/>
                <w:b w:val="0"/>
                <w:bCs/>
              </w:rPr>
              <w:t>5.05</w:t>
            </w:r>
          </w:p>
        </w:tc>
      </w:tr>
      <w:tr w:rsidR="008A0ADA" w:rsidRPr="0081478A" w14:paraId="0B87B238" w14:textId="77777777" w:rsidTr="008A0ADA">
        <w:trPr>
          <w:jc w:val="center"/>
        </w:trPr>
        <w:tc>
          <w:tcPr>
            <w:tcW w:w="1043" w:type="pct"/>
            <w:vMerge/>
            <w:shd w:val="clear" w:color="auto" w:fill="auto"/>
            <w:vAlign w:val="center"/>
            <w:hideMark/>
          </w:tcPr>
          <w:p w14:paraId="6EFE0DA2" w14:textId="77777777" w:rsidR="008A0ADA" w:rsidRPr="0081478A" w:rsidRDefault="008A0ADA" w:rsidP="00921836">
            <w:pPr>
              <w:pStyle w:val="ae"/>
              <w:rPr>
                <w:rFonts w:cs="Times New Roman"/>
                <w:bCs/>
              </w:rPr>
            </w:pPr>
          </w:p>
        </w:tc>
        <w:tc>
          <w:tcPr>
            <w:tcW w:w="944" w:type="pct"/>
            <w:vMerge w:val="restart"/>
            <w:shd w:val="clear" w:color="auto" w:fill="auto"/>
            <w:vAlign w:val="center"/>
            <w:hideMark/>
          </w:tcPr>
          <w:p w14:paraId="235DE1C9" w14:textId="77777777" w:rsidR="008A0ADA" w:rsidRPr="0081478A" w:rsidRDefault="008A0ADA" w:rsidP="00921836">
            <w:pPr>
              <w:pStyle w:val="ae"/>
              <w:rPr>
                <w:rFonts w:cs="Times New Roman"/>
                <w:bCs/>
              </w:rPr>
            </w:pPr>
            <w:r w:rsidRPr="0081478A">
              <w:rPr>
                <w:rFonts w:cs="Times New Roman"/>
                <w:b w:val="0"/>
                <w:bCs/>
              </w:rPr>
              <w:t>螺杆式</w:t>
            </w:r>
          </w:p>
        </w:tc>
        <w:tc>
          <w:tcPr>
            <w:tcW w:w="1225" w:type="pct"/>
            <w:shd w:val="clear" w:color="auto" w:fill="auto"/>
            <w:vAlign w:val="center"/>
            <w:hideMark/>
          </w:tcPr>
          <w:p w14:paraId="63AB9F14" w14:textId="77777777" w:rsidR="008A0ADA" w:rsidRPr="0081478A" w:rsidRDefault="008A0ADA" w:rsidP="00921836">
            <w:pPr>
              <w:pStyle w:val="ae"/>
              <w:rPr>
                <w:rFonts w:cs="Times New Roman"/>
                <w:bCs/>
              </w:rPr>
            </w:pPr>
            <w:r w:rsidRPr="0081478A">
              <w:rPr>
                <w:rFonts w:cs="Times New Roman"/>
                <w:b w:val="0"/>
                <w:bCs/>
              </w:rPr>
              <w:t>CC≤528</w:t>
            </w:r>
          </w:p>
        </w:tc>
        <w:tc>
          <w:tcPr>
            <w:tcW w:w="1788" w:type="pct"/>
            <w:shd w:val="clear" w:color="auto" w:fill="auto"/>
            <w:vAlign w:val="center"/>
            <w:hideMark/>
          </w:tcPr>
          <w:p w14:paraId="3AF96E1F" w14:textId="77777777" w:rsidR="008A0ADA" w:rsidRPr="0081478A" w:rsidRDefault="008A0ADA" w:rsidP="00921836">
            <w:pPr>
              <w:pStyle w:val="ae"/>
              <w:rPr>
                <w:rFonts w:cs="Times New Roman"/>
                <w:bCs/>
              </w:rPr>
            </w:pPr>
            <w:r w:rsidRPr="0081478A">
              <w:rPr>
                <w:rFonts w:cs="Times New Roman"/>
                <w:b w:val="0"/>
                <w:bCs/>
              </w:rPr>
              <w:t>5.55</w:t>
            </w:r>
          </w:p>
        </w:tc>
      </w:tr>
      <w:tr w:rsidR="008A0ADA" w:rsidRPr="0081478A" w14:paraId="35614BE6" w14:textId="77777777" w:rsidTr="008A0ADA">
        <w:trPr>
          <w:jc w:val="center"/>
        </w:trPr>
        <w:tc>
          <w:tcPr>
            <w:tcW w:w="1043" w:type="pct"/>
            <w:vMerge/>
            <w:shd w:val="clear" w:color="auto" w:fill="auto"/>
            <w:vAlign w:val="center"/>
            <w:hideMark/>
          </w:tcPr>
          <w:p w14:paraId="6FCCC869" w14:textId="77777777" w:rsidR="008A0ADA" w:rsidRPr="0081478A" w:rsidRDefault="008A0ADA" w:rsidP="00921836">
            <w:pPr>
              <w:pStyle w:val="ae"/>
              <w:rPr>
                <w:rFonts w:cs="Times New Roman"/>
                <w:bCs/>
              </w:rPr>
            </w:pPr>
          </w:p>
        </w:tc>
        <w:tc>
          <w:tcPr>
            <w:tcW w:w="944" w:type="pct"/>
            <w:vMerge/>
            <w:shd w:val="clear" w:color="auto" w:fill="auto"/>
            <w:vAlign w:val="center"/>
            <w:hideMark/>
          </w:tcPr>
          <w:p w14:paraId="1E315B95" w14:textId="77777777" w:rsidR="008A0ADA" w:rsidRPr="0081478A" w:rsidRDefault="008A0ADA" w:rsidP="00921836">
            <w:pPr>
              <w:pStyle w:val="ae"/>
              <w:rPr>
                <w:rFonts w:cs="Times New Roman"/>
                <w:bCs/>
              </w:rPr>
            </w:pPr>
          </w:p>
        </w:tc>
        <w:tc>
          <w:tcPr>
            <w:tcW w:w="1225" w:type="pct"/>
            <w:shd w:val="clear" w:color="auto" w:fill="auto"/>
            <w:vAlign w:val="center"/>
            <w:hideMark/>
          </w:tcPr>
          <w:p w14:paraId="66932B48" w14:textId="77777777" w:rsidR="008A0ADA" w:rsidRPr="0081478A" w:rsidRDefault="008A0ADA" w:rsidP="00921836">
            <w:pPr>
              <w:pStyle w:val="ae"/>
              <w:rPr>
                <w:rFonts w:cs="Times New Roman"/>
                <w:bCs/>
              </w:rPr>
            </w:pPr>
            <w:r w:rsidRPr="0081478A">
              <w:rPr>
                <w:rFonts w:cs="Times New Roman"/>
                <w:b w:val="0"/>
                <w:bCs/>
              </w:rPr>
              <w:t>528</w:t>
            </w:r>
            <w:r w:rsidRPr="0081478A">
              <w:rPr>
                <w:rFonts w:cs="Times New Roman"/>
                <w:b w:val="0"/>
                <w:bCs/>
              </w:rPr>
              <w:t>＜</w:t>
            </w:r>
            <w:r w:rsidRPr="0081478A">
              <w:rPr>
                <w:rFonts w:cs="Times New Roman"/>
                <w:b w:val="0"/>
                <w:bCs/>
              </w:rPr>
              <w:t>CC≤1163</w:t>
            </w:r>
          </w:p>
        </w:tc>
        <w:tc>
          <w:tcPr>
            <w:tcW w:w="1788" w:type="pct"/>
            <w:shd w:val="clear" w:color="auto" w:fill="auto"/>
            <w:vAlign w:val="center"/>
            <w:hideMark/>
          </w:tcPr>
          <w:p w14:paraId="1EBBD8AE" w14:textId="77777777" w:rsidR="008A0ADA" w:rsidRPr="0081478A" w:rsidRDefault="008A0ADA" w:rsidP="00921836">
            <w:pPr>
              <w:pStyle w:val="ae"/>
              <w:rPr>
                <w:rFonts w:cs="Times New Roman"/>
                <w:bCs/>
              </w:rPr>
            </w:pPr>
            <w:r w:rsidRPr="0081478A">
              <w:rPr>
                <w:rFonts w:cs="Times New Roman"/>
                <w:b w:val="0"/>
                <w:bCs/>
              </w:rPr>
              <w:t>5.90</w:t>
            </w:r>
          </w:p>
        </w:tc>
      </w:tr>
      <w:tr w:rsidR="008A0ADA" w:rsidRPr="0081478A" w14:paraId="790D29DE" w14:textId="77777777" w:rsidTr="008A0ADA">
        <w:trPr>
          <w:jc w:val="center"/>
        </w:trPr>
        <w:tc>
          <w:tcPr>
            <w:tcW w:w="1043" w:type="pct"/>
            <w:vMerge/>
            <w:shd w:val="clear" w:color="auto" w:fill="auto"/>
            <w:vAlign w:val="center"/>
            <w:hideMark/>
          </w:tcPr>
          <w:p w14:paraId="70A9841A" w14:textId="77777777" w:rsidR="008A0ADA" w:rsidRPr="0081478A" w:rsidRDefault="008A0ADA" w:rsidP="00921836">
            <w:pPr>
              <w:pStyle w:val="ae"/>
              <w:rPr>
                <w:rFonts w:cs="Times New Roman"/>
                <w:bCs/>
              </w:rPr>
            </w:pPr>
          </w:p>
        </w:tc>
        <w:tc>
          <w:tcPr>
            <w:tcW w:w="944" w:type="pct"/>
            <w:vMerge/>
            <w:shd w:val="clear" w:color="auto" w:fill="auto"/>
            <w:vAlign w:val="center"/>
            <w:hideMark/>
          </w:tcPr>
          <w:p w14:paraId="323DD993" w14:textId="77777777" w:rsidR="008A0ADA" w:rsidRPr="0081478A" w:rsidRDefault="008A0ADA" w:rsidP="00921836">
            <w:pPr>
              <w:pStyle w:val="ae"/>
              <w:rPr>
                <w:rFonts w:cs="Times New Roman"/>
                <w:bCs/>
              </w:rPr>
            </w:pPr>
          </w:p>
        </w:tc>
        <w:tc>
          <w:tcPr>
            <w:tcW w:w="1225" w:type="pct"/>
            <w:shd w:val="clear" w:color="auto" w:fill="auto"/>
            <w:vAlign w:val="center"/>
            <w:hideMark/>
          </w:tcPr>
          <w:p w14:paraId="09D0A742" w14:textId="77777777" w:rsidR="008A0ADA" w:rsidRPr="0081478A" w:rsidRDefault="008A0ADA"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1163</w:t>
            </w:r>
          </w:p>
        </w:tc>
        <w:tc>
          <w:tcPr>
            <w:tcW w:w="1788" w:type="pct"/>
            <w:shd w:val="clear" w:color="auto" w:fill="auto"/>
            <w:vAlign w:val="center"/>
            <w:hideMark/>
          </w:tcPr>
          <w:p w14:paraId="45A9EF1D" w14:textId="77777777" w:rsidR="008A0ADA" w:rsidRPr="0081478A" w:rsidRDefault="008A0ADA" w:rsidP="00921836">
            <w:pPr>
              <w:pStyle w:val="ae"/>
              <w:rPr>
                <w:rFonts w:cs="Times New Roman"/>
                <w:bCs/>
              </w:rPr>
            </w:pPr>
            <w:r w:rsidRPr="0081478A">
              <w:rPr>
                <w:rFonts w:cs="Times New Roman"/>
                <w:b w:val="0"/>
                <w:bCs/>
              </w:rPr>
              <w:t>6.30</w:t>
            </w:r>
          </w:p>
        </w:tc>
      </w:tr>
      <w:tr w:rsidR="008A0ADA" w:rsidRPr="0081478A" w14:paraId="00AFEDB4" w14:textId="77777777" w:rsidTr="008A0ADA">
        <w:trPr>
          <w:jc w:val="center"/>
        </w:trPr>
        <w:tc>
          <w:tcPr>
            <w:tcW w:w="1043" w:type="pct"/>
            <w:vMerge/>
            <w:shd w:val="clear" w:color="auto" w:fill="auto"/>
            <w:vAlign w:val="center"/>
            <w:hideMark/>
          </w:tcPr>
          <w:p w14:paraId="090C29DB" w14:textId="77777777" w:rsidR="008A0ADA" w:rsidRPr="0081478A" w:rsidRDefault="008A0ADA" w:rsidP="00921836">
            <w:pPr>
              <w:pStyle w:val="ae"/>
              <w:rPr>
                <w:rFonts w:cs="Times New Roman"/>
                <w:bCs/>
              </w:rPr>
            </w:pPr>
          </w:p>
        </w:tc>
        <w:tc>
          <w:tcPr>
            <w:tcW w:w="944" w:type="pct"/>
            <w:vMerge w:val="restart"/>
            <w:shd w:val="clear" w:color="auto" w:fill="auto"/>
            <w:vAlign w:val="center"/>
            <w:hideMark/>
          </w:tcPr>
          <w:p w14:paraId="32AE61F1" w14:textId="77777777" w:rsidR="008A0ADA" w:rsidRPr="0081478A" w:rsidRDefault="008A0ADA" w:rsidP="00921836">
            <w:pPr>
              <w:pStyle w:val="ae"/>
              <w:rPr>
                <w:rFonts w:cs="Times New Roman"/>
                <w:bCs/>
              </w:rPr>
            </w:pPr>
            <w:r w:rsidRPr="0081478A">
              <w:rPr>
                <w:rFonts w:cs="Times New Roman"/>
                <w:b w:val="0"/>
                <w:bCs/>
              </w:rPr>
              <w:t>离心式</w:t>
            </w:r>
          </w:p>
        </w:tc>
        <w:tc>
          <w:tcPr>
            <w:tcW w:w="1225" w:type="pct"/>
            <w:shd w:val="clear" w:color="auto" w:fill="auto"/>
            <w:vAlign w:val="center"/>
            <w:hideMark/>
          </w:tcPr>
          <w:p w14:paraId="66F03AE8" w14:textId="77777777" w:rsidR="008A0ADA" w:rsidRPr="0081478A" w:rsidRDefault="008A0ADA" w:rsidP="00921836">
            <w:pPr>
              <w:pStyle w:val="ae"/>
              <w:rPr>
                <w:rFonts w:cs="Times New Roman"/>
                <w:bCs/>
              </w:rPr>
            </w:pPr>
            <w:r w:rsidRPr="0081478A">
              <w:rPr>
                <w:rFonts w:cs="Times New Roman"/>
                <w:b w:val="0"/>
                <w:bCs/>
              </w:rPr>
              <w:t>CC≤1163</w:t>
            </w:r>
          </w:p>
        </w:tc>
        <w:tc>
          <w:tcPr>
            <w:tcW w:w="1788" w:type="pct"/>
            <w:shd w:val="clear" w:color="auto" w:fill="auto"/>
            <w:vAlign w:val="center"/>
            <w:hideMark/>
          </w:tcPr>
          <w:p w14:paraId="2AEEA298" w14:textId="77777777" w:rsidR="008A0ADA" w:rsidRPr="0081478A" w:rsidRDefault="008A0ADA" w:rsidP="00921836">
            <w:pPr>
              <w:pStyle w:val="ae"/>
              <w:rPr>
                <w:rFonts w:cs="Times New Roman"/>
                <w:bCs/>
              </w:rPr>
            </w:pPr>
            <w:r w:rsidRPr="0081478A">
              <w:rPr>
                <w:rFonts w:cs="Times New Roman"/>
                <w:b w:val="0"/>
                <w:bCs/>
              </w:rPr>
              <w:t>5.45</w:t>
            </w:r>
          </w:p>
        </w:tc>
      </w:tr>
      <w:tr w:rsidR="008A0ADA" w:rsidRPr="0081478A" w14:paraId="2909C528" w14:textId="77777777" w:rsidTr="008A0ADA">
        <w:trPr>
          <w:jc w:val="center"/>
        </w:trPr>
        <w:tc>
          <w:tcPr>
            <w:tcW w:w="1043" w:type="pct"/>
            <w:vMerge/>
            <w:shd w:val="clear" w:color="auto" w:fill="auto"/>
            <w:vAlign w:val="center"/>
            <w:hideMark/>
          </w:tcPr>
          <w:p w14:paraId="783ED021" w14:textId="77777777" w:rsidR="008A0ADA" w:rsidRPr="0081478A" w:rsidRDefault="008A0ADA" w:rsidP="00921836">
            <w:pPr>
              <w:pStyle w:val="ae"/>
              <w:rPr>
                <w:rFonts w:cs="Times New Roman"/>
                <w:bCs/>
              </w:rPr>
            </w:pPr>
          </w:p>
        </w:tc>
        <w:tc>
          <w:tcPr>
            <w:tcW w:w="944" w:type="pct"/>
            <w:vMerge/>
            <w:shd w:val="clear" w:color="auto" w:fill="auto"/>
            <w:vAlign w:val="center"/>
            <w:hideMark/>
          </w:tcPr>
          <w:p w14:paraId="1CC3759B" w14:textId="77777777" w:rsidR="008A0ADA" w:rsidRPr="0081478A" w:rsidRDefault="008A0ADA" w:rsidP="00921836">
            <w:pPr>
              <w:pStyle w:val="ae"/>
              <w:rPr>
                <w:rFonts w:cs="Times New Roman"/>
                <w:bCs/>
              </w:rPr>
            </w:pPr>
          </w:p>
        </w:tc>
        <w:tc>
          <w:tcPr>
            <w:tcW w:w="1225" w:type="pct"/>
            <w:shd w:val="clear" w:color="auto" w:fill="auto"/>
            <w:vAlign w:val="center"/>
            <w:hideMark/>
          </w:tcPr>
          <w:p w14:paraId="118384D1" w14:textId="77777777" w:rsidR="008A0ADA" w:rsidRPr="0081478A" w:rsidRDefault="008A0ADA" w:rsidP="00921836">
            <w:pPr>
              <w:pStyle w:val="ae"/>
              <w:rPr>
                <w:rFonts w:cs="Times New Roman"/>
                <w:bCs/>
              </w:rPr>
            </w:pPr>
            <w:r w:rsidRPr="0081478A">
              <w:rPr>
                <w:rFonts w:cs="Times New Roman"/>
                <w:b w:val="0"/>
                <w:bCs/>
              </w:rPr>
              <w:t>1163</w:t>
            </w:r>
            <w:r w:rsidRPr="0081478A">
              <w:rPr>
                <w:rFonts w:cs="Times New Roman"/>
                <w:b w:val="0"/>
                <w:bCs/>
              </w:rPr>
              <w:t>＜</w:t>
            </w:r>
            <w:r w:rsidRPr="0081478A">
              <w:rPr>
                <w:rFonts w:cs="Times New Roman"/>
                <w:b w:val="0"/>
                <w:bCs/>
              </w:rPr>
              <w:t>CC≤2110</w:t>
            </w:r>
          </w:p>
        </w:tc>
        <w:tc>
          <w:tcPr>
            <w:tcW w:w="1788" w:type="pct"/>
            <w:shd w:val="clear" w:color="auto" w:fill="auto"/>
            <w:vAlign w:val="center"/>
            <w:hideMark/>
          </w:tcPr>
          <w:p w14:paraId="02BA617A" w14:textId="77777777" w:rsidR="008A0ADA" w:rsidRPr="0081478A" w:rsidRDefault="008A0ADA" w:rsidP="00921836">
            <w:pPr>
              <w:pStyle w:val="ae"/>
              <w:rPr>
                <w:rFonts w:cs="Times New Roman"/>
                <w:bCs/>
              </w:rPr>
            </w:pPr>
            <w:r w:rsidRPr="0081478A">
              <w:rPr>
                <w:rFonts w:cs="Times New Roman"/>
                <w:b w:val="0"/>
                <w:bCs/>
              </w:rPr>
              <w:t>5.75</w:t>
            </w:r>
          </w:p>
        </w:tc>
      </w:tr>
      <w:tr w:rsidR="008A0ADA" w:rsidRPr="0081478A" w14:paraId="483A351F" w14:textId="77777777" w:rsidTr="008A0ADA">
        <w:trPr>
          <w:jc w:val="center"/>
        </w:trPr>
        <w:tc>
          <w:tcPr>
            <w:tcW w:w="1043" w:type="pct"/>
            <w:vMerge/>
            <w:shd w:val="clear" w:color="auto" w:fill="auto"/>
            <w:vAlign w:val="center"/>
            <w:hideMark/>
          </w:tcPr>
          <w:p w14:paraId="76DD597C" w14:textId="77777777" w:rsidR="008A0ADA" w:rsidRPr="0081478A" w:rsidRDefault="008A0ADA" w:rsidP="00921836">
            <w:pPr>
              <w:pStyle w:val="ae"/>
              <w:rPr>
                <w:rFonts w:cs="Times New Roman"/>
                <w:bCs/>
              </w:rPr>
            </w:pPr>
          </w:p>
        </w:tc>
        <w:tc>
          <w:tcPr>
            <w:tcW w:w="944" w:type="pct"/>
            <w:vMerge/>
            <w:shd w:val="clear" w:color="auto" w:fill="auto"/>
            <w:vAlign w:val="center"/>
            <w:hideMark/>
          </w:tcPr>
          <w:p w14:paraId="24BECE9A" w14:textId="77777777" w:rsidR="008A0ADA" w:rsidRPr="0081478A" w:rsidRDefault="008A0ADA" w:rsidP="00921836">
            <w:pPr>
              <w:pStyle w:val="ae"/>
              <w:rPr>
                <w:rFonts w:cs="Times New Roman"/>
                <w:bCs/>
              </w:rPr>
            </w:pPr>
          </w:p>
        </w:tc>
        <w:tc>
          <w:tcPr>
            <w:tcW w:w="1225" w:type="pct"/>
            <w:shd w:val="clear" w:color="auto" w:fill="auto"/>
            <w:vAlign w:val="center"/>
            <w:hideMark/>
          </w:tcPr>
          <w:p w14:paraId="4708BACB" w14:textId="77777777" w:rsidR="008A0ADA" w:rsidRPr="0081478A" w:rsidRDefault="008A0ADA"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2110</w:t>
            </w:r>
          </w:p>
        </w:tc>
        <w:tc>
          <w:tcPr>
            <w:tcW w:w="1788" w:type="pct"/>
            <w:shd w:val="clear" w:color="auto" w:fill="auto"/>
            <w:vAlign w:val="center"/>
            <w:hideMark/>
          </w:tcPr>
          <w:p w14:paraId="3BEF7550" w14:textId="77777777" w:rsidR="008A0ADA" w:rsidRPr="0081478A" w:rsidRDefault="008A0ADA" w:rsidP="00921836">
            <w:pPr>
              <w:pStyle w:val="ae"/>
              <w:rPr>
                <w:rFonts w:cs="Times New Roman"/>
                <w:bCs/>
              </w:rPr>
            </w:pPr>
            <w:r w:rsidRPr="0081478A">
              <w:rPr>
                <w:rFonts w:cs="Times New Roman"/>
                <w:b w:val="0"/>
                <w:bCs/>
              </w:rPr>
              <w:t>6.20</w:t>
            </w:r>
          </w:p>
        </w:tc>
      </w:tr>
      <w:tr w:rsidR="008A0ADA" w:rsidRPr="0081478A" w14:paraId="7FBCD13F" w14:textId="77777777" w:rsidTr="008A0ADA">
        <w:trPr>
          <w:jc w:val="center"/>
        </w:trPr>
        <w:tc>
          <w:tcPr>
            <w:tcW w:w="1043" w:type="pct"/>
            <w:vMerge w:val="restart"/>
            <w:shd w:val="clear" w:color="auto" w:fill="auto"/>
            <w:vAlign w:val="center"/>
            <w:hideMark/>
          </w:tcPr>
          <w:p w14:paraId="7C14C617" w14:textId="77777777" w:rsidR="008A0ADA" w:rsidRPr="0081478A" w:rsidRDefault="008A0ADA" w:rsidP="00921836">
            <w:pPr>
              <w:pStyle w:val="ae"/>
              <w:rPr>
                <w:rFonts w:cs="Times New Roman"/>
                <w:bCs/>
              </w:rPr>
            </w:pPr>
            <w:r w:rsidRPr="0081478A">
              <w:rPr>
                <w:rFonts w:cs="Times New Roman"/>
                <w:b w:val="0"/>
                <w:bCs/>
              </w:rPr>
              <w:t>风冷或蒸发冷却</w:t>
            </w:r>
          </w:p>
        </w:tc>
        <w:tc>
          <w:tcPr>
            <w:tcW w:w="944" w:type="pct"/>
            <w:vMerge w:val="restart"/>
            <w:shd w:val="clear" w:color="auto" w:fill="auto"/>
            <w:vAlign w:val="center"/>
            <w:hideMark/>
          </w:tcPr>
          <w:p w14:paraId="44006CC5" w14:textId="77777777" w:rsidR="008A0ADA" w:rsidRPr="0081478A" w:rsidRDefault="008A0ADA" w:rsidP="00921836">
            <w:pPr>
              <w:pStyle w:val="ae"/>
              <w:rPr>
                <w:rFonts w:cs="Times New Roman"/>
                <w:bCs/>
              </w:rPr>
            </w:pPr>
            <w:r w:rsidRPr="0081478A">
              <w:rPr>
                <w:rFonts w:cs="Times New Roman"/>
                <w:b w:val="0"/>
                <w:bCs/>
              </w:rPr>
              <w:t>活塞式</w:t>
            </w:r>
            <w:r w:rsidRPr="0081478A">
              <w:rPr>
                <w:rFonts w:cs="Times New Roman"/>
                <w:b w:val="0"/>
                <w:bCs/>
              </w:rPr>
              <w:t>/</w:t>
            </w:r>
            <w:r w:rsidRPr="0081478A">
              <w:rPr>
                <w:rFonts w:cs="Times New Roman"/>
                <w:b w:val="0"/>
                <w:bCs/>
              </w:rPr>
              <w:t>涡旋式</w:t>
            </w:r>
          </w:p>
        </w:tc>
        <w:tc>
          <w:tcPr>
            <w:tcW w:w="1225" w:type="pct"/>
            <w:shd w:val="clear" w:color="auto" w:fill="auto"/>
            <w:vAlign w:val="center"/>
            <w:hideMark/>
          </w:tcPr>
          <w:p w14:paraId="5F59AAB0" w14:textId="77777777" w:rsidR="008A0ADA" w:rsidRPr="0081478A" w:rsidRDefault="008A0ADA" w:rsidP="00921836">
            <w:pPr>
              <w:pStyle w:val="ae"/>
              <w:rPr>
                <w:rFonts w:cs="Times New Roman"/>
                <w:bCs/>
              </w:rPr>
            </w:pPr>
            <w:r w:rsidRPr="0081478A">
              <w:rPr>
                <w:rFonts w:cs="Times New Roman"/>
                <w:b w:val="0"/>
                <w:bCs/>
              </w:rPr>
              <w:t>CC≤50</w:t>
            </w:r>
          </w:p>
        </w:tc>
        <w:tc>
          <w:tcPr>
            <w:tcW w:w="1788" w:type="pct"/>
            <w:shd w:val="clear" w:color="auto" w:fill="auto"/>
            <w:vAlign w:val="center"/>
            <w:hideMark/>
          </w:tcPr>
          <w:p w14:paraId="2B9E8534" w14:textId="77777777" w:rsidR="008A0ADA" w:rsidRPr="0081478A" w:rsidRDefault="008A0ADA" w:rsidP="00921836">
            <w:pPr>
              <w:pStyle w:val="ae"/>
              <w:rPr>
                <w:rFonts w:cs="Times New Roman"/>
                <w:bCs/>
              </w:rPr>
            </w:pPr>
            <w:r w:rsidRPr="0081478A">
              <w:rPr>
                <w:rFonts w:cs="Times New Roman"/>
                <w:b w:val="0"/>
                <w:bCs/>
              </w:rPr>
              <w:t>3.20</w:t>
            </w:r>
          </w:p>
        </w:tc>
      </w:tr>
      <w:tr w:rsidR="008A0ADA" w:rsidRPr="0081478A" w14:paraId="23D3CD37" w14:textId="77777777" w:rsidTr="008A0ADA">
        <w:trPr>
          <w:jc w:val="center"/>
        </w:trPr>
        <w:tc>
          <w:tcPr>
            <w:tcW w:w="1043" w:type="pct"/>
            <w:vMerge/>
            <w:shd w:val="clear" w:color="auto" w:fill="auto"/>
            <w:vAlign w:val="center"/>
            <w:hideMark/>
          </w:tcPr>
          <w:p w14:paraId="09B45F97" w14:textId="77777777" w:rsidR="008A0ADA" w:rsidRPr="0081478A" w:rsidRDefault="008A0ADA" w:rsidP="00921836">
            <w:pPr>
              <w:pStyle w:val="ae"/>
              <w:rPr>
                <w:rFonts w:cs="Times New Roman"/>
                <w:bCs/>
              </w:rPr>
            </w:pPr>
          </w:p>
        </w:tc>
        <w:tc>
          <w:tcPr>
            <w:tcW w:w="944" w:type="pct"/>
            <w:vMerge/>
            <w:shd w:val="clear" w:color="auto" w:fill="auto"/>
            <w:vAlign w:val="center"/>
            <w:hideMark/>
          </w:tcPr>
          <w:p w14:paraId="67C3E783" w14:textId="77777777" w:rsidR="008A0ADA" w:rsidRPr="0081478A" w:rsidRDefault="008A0ADA" w:rsidP="00921836">
            <w:pPr>
              <w:pStyle w:val="ae"/>
              <w:rPr>
                <w:rFonts w:cs="Times New Roman"/>
                <w:bCs/>
              </w:rPr>
            </w:pPr>
          </w:p>
        </w:tc>
        <w:tc>
          <w:tcPr>
            <w:tcW w:w="1225" w:type="pct"/>
            <w:shd w:val="clear" w:color="auto" w:fill="auto"/>
            <w:vAlign w:val="center"/>
            <w:hideMark/>
          </w:tcPr>
          <w:p w14:paraId="61958D9D" w14:textId="77777777" w:rsidR="008A0ADA" w:rsidRPr="0081478A" w:rsidRDefault="008A0ADA"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50</w:t>
            </w:r>
          </w:p>
        </w:tc>
        <w:tc>
          <w:tcPr>
            <w:tcW w:w="1788" w:type="pct"/>
            <w:shd w:val="clear" w:color="auto" w:fill="auto"/>
            <w:vAlign w:val="center"/>
            <w:hideMark/>
          </w:tcPr>
          <w:p w14:paraId="619340E8" w14:textId="77777777" w:rsidR="008A0ADA" w:rsidRPr="0081478A" w:rsidRDefault="008A0ADA" w:rsidP="00921836">
            <w:pPr>
              <w:pStyle w:val="ae"/>
              <w:rPr>
                <w:rFonts w:cs="Times New Roman"/>
                <w:bCs/>
              </w:rPr>
            </w:pPr>
            <w:r w:rsidRPr="0081478A">
              <w:rPr>
                <w:rFonts w:cs="Times New Roman"/>
                <w:b w:val="0"/>
                <w:bCs/>
              </w:rPr>
              <w:t>3.40</w:t>
            </w:r>
          </w:p>
        </w:tc>
      </w:tr>
      <w:tr w:rsidR="008A0ADA" w:rsidRPr="0081478A" w14:paraId="3644FD42" w14:textId="77777777" w:rsidTr="008A0ADA">
        <w:trPr>
          <w:jc w:val="center"/>
        </w:trPr>
        <w:tc>
          <w:tcPr>
            <w:tcW w:w="1043" w:type="pct"/>
            <w:vMerge/>
            <w:shd w:val="clear" w:color="auto" w:fill="auto"/>
            <w:vAlign w:val="center"/>
            <w:hideMark/>
          </w:tcPr>
          <w:p w14:paraId="0F7477DF" w14:textId="77777777" w:rsidR="008A0ADA" w:rsidRPr="0081478A" w:rsidRDefault="008A0ADA" w:rsidP="00921836">
            <w:pPr>
              <w:pStyle w:val="ae"/>
              <w:rPr>
                <w:rFonts w:cs="Times New Roman"/>
                <w:bCs/>
              </w:rPr>
            </w:pPr>
          </w:p>
        </w:tc>
        <w:tc>
          <w:tcPr>
            <w:tcW w:w="944" w:type="pct"/>
            <w:vMerge w:val="restart"/>
            <w:shd w:val="clear" w:color="auto" w:fill="auto"/>
            <w:vAlign w:val="center"/>
            <w:hideMark/>
          </w:tcPr>
          <w:p w14:paraId="02276508" w14:textId="77777777" w:rsidR="008A0ADA" w:rsidRPr="0081478A" w:rsidRDefault="008A0ADA" w:rsidP="00921836">
            <w:pPr>
              <w:pStyle w:val="ae"/>
              <w:rPr>
                <w:rFonts w:cs="Times New Roman"/>
                <w:bCs/>
              </w:rPr>
            </w:pPr>
            <w:r w:rsidRPr="0081478A">
              <w:rPr>
                <w:rFonts w:cs="Times New Roman"/>
                <w:b w:val="0"/>
                <w:bCs/>
              </w:rPr>
              <w:t>螺杆式</w:t>
            </w:r>
          </w:p>
        </w:tc>
        <w:tc>
          <w:tcPr>
            <w:tcW w:w="1225" w:type="pct"/>
            <w:shd w:val="clear" w:color="auto" w:fill="auto"/>
            <w:vAlign w:val="center"/>
            <w:hideMark/>
          </w:tcPr>
          <w:p w14:paraId="3C5B8E2B" w14:textId="77777777" w:rsidR="008A0ADA" w:rsidRPr="0081478A" w:rsidRDefault="008A0ADA" w:rsidP="00921836">
            <w:pPr>
              <w:pStyle w:val="ae"/>
              <w:rPr>
                <w:rFonts w:cs="Times New Roman"/>
                <w:bCs/>
              </w:rPr>
            </w:pPr>
            <w:r w:rsidRPr="0081478A">
              <w:rPr>
                <w:rFonts w:cs="Times New Roman"/>
                <w:b w:val="0"/>
                <w:bCs/>
              </w:rPr>
              <w:t>CC≤50</w:t>
            </w:r>
          </w:p>
        </w:tc>
        <w:tc>
          <w:tcPr>
            <w:tcW w:w="1788" w:type="pct"/>
            <w:shd w:val="clear" w:color="auto" w:fill="auto"/>
            <w:vAlign w:val="center"/>
            <w:hideMark/>
          </w:tcPr>
          <w:p w14:paraId="73511B7C" w14:textId="77777777" w:rsidR="008A0ADA" w:rsidRPr="0081478A" w:rsidRDefault="008A0ADA" w:rsidP="00921836">
            <w:pPr>
              <w:pStyle w:val="ae"/>
              <w:rPr>
                <w:rFonts w:cs="Times New Roman"/>
                <w:bCs/>
              </w:rPr>
            </w:pPr>
            <w:r w:rsidRPr="0081478A">
              <w:rPr>
                <w:rFonts w:cs="Times New Roman"/>
                <w:b w:val="0"/>
                <w:bCs/>
              </w:rPr>
              <w:t>3.10</w:t>
            </w:r>
          </w:p>
        </w:tc>
      </w:tr>
      <w:tr w:rsidR="008A0ADA" w:rsidRPr="0081478A" w14:paraId="3070DF1D" w14:textId="77777777" w:rsidTr="008A0ADA">
        <w:trPr>
          <w:jc w:val="center"/>
        </w:trPr>
        <w:tc>
          <w:tcPr>
            <w:tcW w:w="1043" w:type="pct"/>
            <w:vMerge/>
            <w:shd w:val="clear" w:color="auto" w:fill="auto"/>
            <w:vAlign w:val="center"/>
            <w:hideMark/>
          </w:tcPr>
          <w:p w14:paraId="0FB48F37" w14:textId="77777777" w:rsidR="008A0ADA" w:rsidRPr="0081478A" w:rsidRDefault="008A0ADA" w:rsidP="00921836">
            <w:pPr>
              <w:pStyle w:val="ae"/>
              <w:rPr>
                <w:rFonts w:cs="Times New Roman"/>
                <w:bCs/>
              </w:rPr>
            </w:pPr>
          </w:p>
        </w:tc>
        <w:tc>
          <w:tcPr>
            <w:tcW w:w="944" w:type="pct"/>
            <w:vMerge/>
            <w:shd w:val="clear" w:color="auto" w:fill="auto"/>
            <w:vAlign w:val="center"/>
            <w:hideMark/>
          </w:tcPr>
          <w:p w14:paraId="1CE6FA56" w14:textId="77777777" w:rsidR="008A0ADA" w:rsidRPr="0081478A" w:rsidRDefault="008A0ADA" w:rsidP="00921836">
            <w:pPr>
              <w:pStyle w:val="ae"/>
              <w:rPr>
                <w:rFonts w:cs="Times New Roman"/>
                <w:bCs/>
              </w:rPr>
            </w:pPr>
          </w:p>
        </w:tc>
        <w:tc>
          <w:tcPr>
            <w:tcW w:w="1225" w:type="pct"/>
            <w:shd w:val="clear" w:color="auto" w:fill="auto"/>
            <w:vAlign w:val="center"/>
            <w:hideMark/>
          </w:tcPr>
          <w:p w14:paraId="641E8869" w14:textId="77777777" w:rsidR="008A0ADA" w:rsidRPr="0081478A" w:rsidRDefault="008A0ADA"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50</w:t>
            </w:r>
          </w:p>
        </w:tc>
        <w:tc>
          <w:tcPr>
            <w:tcW w:w="1788" w:type="pct"/>
            <w:shd w:val="clear" w:color="auto" w:fill="auto"/>
            <w:vAlign w:val="center"/>
            <w:hideMark/>
          </w:tcPr>
          <w:p w14:paraId="6BE50D24" w14:textId="77777777" w:rsidR="008A0ADA" w:rsidRPr="0081478A" w:rsidRDefault="008A0ADA" w:rsidP="00921836">
            <w:pPr>
              <w:pStyle w:val="ae"/>
              <w:rPr>
                <w:rFonts w:cs="Times New Roman"/>
                <w:bCs/>
              </w:rPr>
            </w:pPr>
            <w:r w:rsidRPr="0081478A">
              <w:rPr>
                <w:rFonts w:cs="Times New Roman"/>
                <w:b w:val="0"/>
                <w:bCs/>
              </w:rPr>
              <w:t>3.20</w:t>
            </w:r>
          </w:p>
        </w:tc>
      </w:tr>
    </w:tbl>
    <w:p w14:paraId="752C2B1B" w14:textId="77777777" w:rsidR="00E31FF0" w:rsidRPr="0081478A" w:rsidRDefault="00E31FF0" w:rsidP="00921836">
      <w:pPr>
        <w:pStyle w:val="ae"/>
        <w:jc w:val="left"/>
        <w:rPr>
          <w:rFonts w:cs="Times New Roman"/>
          <w:bCs/>
        </w:rPr>
      </w:pPr>
      <w:r w:rsidRPr="0081478A">
        <w:rPr>
          <w:rFonts w:cs="Times New Roman"/>
          <w:b w:val="0"/>
          <w:bCs/>
        </w:rPr>
        <w:t xml:space="preserve">  </w:t>
      </w:r>
      <w:r w:rsidRPr="0081478A">
        <w:rPr>
          <w:rFonts w:cs="Times New Roman"/>
          <w:b w:val="0"/>
          <w:bCs/>
        </w:rPr>
        <w:t>注：重庆属于夏热冬冷地区，因此表中重点为粗框部分。下同。</w:t>
      </w:r>
    </w:p>
    <w:p w14:paraId="6A865655" w14:textId="77777777" w:rsidR="00E31FF0" w:rsidRPr="0081478A" w:rsidRDefault="00E31FF0" w:rsidP="00E31FF0">
      <w:pPr>
        <w:ind w:firstLine="420"/>
        <w:rPr>
          <w:rFonts w:cs="Times New Roman"/>
        </w:rPr>
      </w:pPr>
    </w:p>
    <w:p w14:paraId="4A6D1090" w14:textId="50151000" w:rsidR="00E31FF0" w:rsidRPr="0081478A" w:rsidRDefault="00E31FF0" w:rsidP="00E31FF0">
      <w:pPr>
        <w:ind w:firstLine="420"/>
        <w:rPr>
          <w:rFonts w:cs="Times New Roman"/>
        </w:rPr>
      </w:pPr>
      <w:r w:rsidRPr="0081478A">
        <w:rPr>
          <w:rFonts w:cs="Times New Roman"/>
        </w:rPr>
        <w:t>对于名义制冷量大于</w:t>
      </w:r>
      <w:r w:rsidRPr="0081478A">
        <w:rPr>
          <w:rFonts w:cs="Times New Roman"/>
        </w:rPr>
        <w:t>7100W</w:t>
      </w:r>
      <w:r w:rsidRPr="0081478A">
        <w:rPr>
          <w:rFonts w:cs="Times New Roman"/>
        </w:rPr>
        <w:t>、采用电动驱动压缩机的单元式空气调节机、风管送风式和屋顶式空气调节机组，依据表</w:t>
      </w:r>
      <w:r w:rsidR="000B54A2" w:rsidRPr="0081478A">
        <w:rPr>
          <w:rFonts w:cs="Times New Roman"/>
        </w:rPr>
        <w:t>7.2.5-4</w:t>
      </w:r>
      <w:r w:rsidRPr="0081478A">
        <w:rPr>
          <w:rFonts w:cs="Times New Roman"/>
        </w:rPr>
        <w:t>，判定其机组能效比（</w:t>
      </w:r>
      <w:r w:rsidRPr="0081478A">
        <w:rPr>
          <w:rFonts w:cs="Times New Roman"/>
        </w:rPr>
        <w:t>EER</w:t>
      </w:r>
      <w:r w:rsidRPr="0081478A">
        <w:rPr>
          <w:rFonts w:cs="Times New Roman"/>
        </w:rPr>
        <w:t>）提高幅度。</w:t>
      </w:r>
    </w:p>
    <w:p w14:paraId="08B1A049" w14:textId="1E3CDA8A" w:rsidR="00E31FF0" w:rsidRPr="0081478A" w:rsidRDefault="00E31FF0" w:rsidP="00921836">
      <w:pPr>
        <w:pStyle w:val="ae"/>
        <w:rPr>
          <w:rFonts w:cs="Times New Roman"/>
          <w:bCs/>
          <w:szCs w:val="21"/>
        </w:rPr>
      </w:pPr>
      <w:r w:rsidRPr="0081478A">
        <w:rPr>
          <w:rFonts w:cs="Times New Roman"/>
          <w:b w:val="0"/>
          <w:bCs/>
        </w:rPr>
        <w:t>表</w:t>
      </w:r>
      <w:r w:rsidR="000B54A2" w:rsidRPr="0081478A">
        <w:rPr>
          <w:rFonts w:cs="Times New Roman"/>
          <w:b w:val="0"/>
          <w:bCs/>
        </w:rPr>
        <w:t>7.2.5-4</w:t>
      </w:r>
      <w:r w:rsidRPr="0081478A">
        <w:rPr>
          <w:rFonts w:cs="Times New Roman"/>
          <w:b w:val="0"/>
          <w:bCs/>
        </w:rPr>
        <w:t xml:space="preserve">  </w:t>
      </w:r>
      <w:r w:rsidRPr="0081478A">
        <w:rPr>
          <w:rFonts w:cs="Times New Roman"/>
          <w:b w:val="0"/>
          <w:bCs/>
        </w:rPr>
        <w:t>名义制冷工况和规定条件下单元式空气调节机、风管送风式</w:t>
      </w:r>
      <w:r w:rsidRPr="0081478A">
        <w:rPr>
          <w:rFonts w:cs="Times New Roman"/>
          <w:b w:val="0"/>
          <w:bCs/>
          <w:szCs w:val="21"/>
        </w:rPr>
        <w:t>和</w:t>
      </w:r>
      <w:r w:rsidRPr="0081478A">
        <w:rPr>
          <w:rFonts w:cs="Times New Roman"/>
          <w:b w:val="0"/>
          <w:bCs/>
          <w:szCs w:val="21"/>
        </w:rPr>
        <w:br/>
      </w:r>
      <w:r w:rsidRPr="0081478A">
        <w:rPr>
          <w:rFonts w:cs="Times New Roman"/>
          <w:b w:val="0"/>
          <w:bCs/>
          <w:szCs w:val="21"/>
        </w:rPr>
        <w:t>屋顶式空气调节机组能效比（</w:t>
      </w:r>
      <w:r w:rsidRPr="0081478A">
        <w:rPr>
          <w:rStyle w:val="14Char"/>
          <w:b w:val="0"/>
          <w:bCs/>
        </w:rPr>
        <w:t>EER</w:t>
      </w:r>
      <w:r w:rsidRPr="0081478A">
        <w:rPr>
          <w:rFonts w:cs="Times New Roman"/>
          <w:b w:val="0"/>
          <w:bCs/>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57" w:type="dxa"/>
          <w:bottom w:w="34" w:type="dxa"/>
          <w:right w:w="57" w:type="dxa"/>
        </w:tblCellMar>
        <w:tblLook w:val="04A0" w:firstRow="1" w:lastRow="0" w:firstColumn="1" w:lastColumn="0" w:noHBand="0" w:noVBand="1"/>
      </w:tblPr>
      <w:tblGrid>
        <w:gridCol w:w="1065"/>
        <w:gridCol w:w="1930"/>
        <w:gridCol w:w="3387"/>
        <w:gridCol w:w="2044"/>
      </w:tblGrid>
      <w:tr w:rsidR="0081478A" w:rsidRPr="0081478A" w14:paraId="5A8DD2F2" w14:textId="77777777" w:rsidTr="005060B2">
        <w:trPr>
          <w:trHeight w:val="193"/>
          <w:jc w:val="center"/>
        </w:trPr>
        <w:tc>
          <w:tcPr>
            <w:tcW w:w="1777" w:type="pct"/>
            <w:gridSpan w:val="2"/>
            <w:vMerge w:val="restart"/>
            <w:shd w:val="clear" w:color="auto" w:fill="auto"/>
            <w:vAlign w:val="center"/>
            <w:hideMark/>
          </w:tcPr>
          <w:p w14:paraId="215ECC8A" w14:textId="77777777" w:rsidR="00E31FF0" w:rsidRPr="0081478A" w:rsidRDefault="00E31FF0" w:rsidP="00921836">
            <w:pPr>
              <w:pStyle w:val="ae"/>
              <w:rPr>
                <w:rFonts w:cs="Times New Roman"/>
                <w:bCs/>
              </w:rPr>
            </w:pPr>
            <w:r w:rsidRPr="0081478A">
              <w:rPr>
                <w:rFonts w:cs="Times New Roman"/>
                <w:b w:val="0"/>
                <w:bCs/>
              </w:rPr>
              <w:t>类型</w:t>
            </w:r>
          </w:p>
        </w:tc>
        <w:tc>
          <w:tcPr>
            <w:tcW w:w="2010" w:type="pct"/>
            <w:vMerge w:val="restart"/>
            <w:shd w:val="clear" w:color="auto" w:fill="auto"/>
            <w:vAlign w:val="center"/>
            <w:hideMark/>
          </w:tcPr>
          <w:p w14:paraId="4CD99091" w14:textId="77777777" w:rsidR="00E31FF0" w:rsidRPr="0081478A" w:rsidRDefault="00E31FF0" w:rsidP="00921836">
            <w:pPr>
              <w:pStyle w:val="ae"/>
              <w:rPr>
                <w:rFonts w:cs="Times New Roman"/>
                <w:bCs/>
              </w:rPr>
            </w:pPr>
            <w:r w:rsidRPr="0081478A">
              <w:rPr>
                <w:rFonts w:cs="Times New Roman"/>
                <w:b w:val="0"/>
                <w:bCs/>
              </w:rPr>
              <w:t>名义制冷量</w:t>
            </w:r>
            <w:r w:rsidRPr="0081478A">
              <w:rPr>
                <w:rFonts w:cs="Times New Roman"/>
                <w:b w:val="0"/>
                <w:bCs/>
              </w:rPr>
              <w:t>CC</w:t>
            </w:r>
          </w:p>
          <w:p w14:paraId="518BDAA0" w14:textId="77777777" w:rsidR="00E31FF0" w:rsidRPr="0081478A" w:rsidRDefault="00E31FF0" w:rsidP="00921836">
            <w:pPr>
              <w:pStyle w:val="ae"/>
              <w:rPr>
                <w:rFonts w:cs="Times New Roman"/>
                <w:bCs/>
              </w:rPr>
            </w:pPr>
            <w:r w:rsidRPr="0081478A">
              <w:rPr>
                <w:rFonts w:cs="Times New Roman"/>
                <w:b w:val="0"/>
                <w:bCs/>
              </w:rPr>
              <w:t>/kW</w:t>
            </w:r>
          </w:p>
        </w:tc>
        <w:tc>
          <w:tcPr>
            <w:tcW w:w="1213" w:type="pct"/>
            <w:shd w:val="clear" w:color="auto" w:fill="auto"/>
            <w:vAlign w:val="center"/>
            <w:hideMark/>
          </w:tcPr>
          <w:p w14:paraId="7D4EFEB1" w14:textId="77777777" w:rsidR="00E31FF0" w:rsidRPr="0081478A" w:rsidRDefault="00E31FF0" w:rsidP="00921836">
            <w:pPr>
              <w:pStyle w:val="ae"/>
              <w:rPr>
                <w:rFonts w:cs="Times New Roman"/>
                <w:bCs/>
              </w:rPr>
            </w:pPr>
            <w:r w:rsidRPr="0081478A">
              <w:rPr>
                <w:rFonts w:cs="Times New Roman"/>
                <w:b w:val="0"/>
                <w:bCs/>
              </w:rPr>
              <w:t>能效比</w:t>
            </w:r>
            <w:r w:rsidRPr="0081478A">
              <w:rPr>
                <w:rFonts w:cs="Times New Roman"/>
                <w:b w:val="0"/>
                <w:bCs/>
              </w:rPr>
              <w:t>EER/</w:t>
            </w:r>
            <w:r w:rsidRPr="0081478A">
              <w:rPr>
                <w:rFonts w:cs="Times New Roman"/>
                <w:b w:val="0"/>
                <w:bCs/>
              </w:rPr>
              <w:t>（</w:t>
            </w:r>
            <w:r w:rsidRPr="0081478A">
              <w:rPr>
                <w:rFonts w:cs="Times New Roman"/>
                <w:b w:val="0"/>
                <w:bCs/>
              </w:rPr>
              <w:t>W/W</w:t>
            </w:r>
            <w:r w:rsidRPr="0081478A">
              <w:rPr>
                <w:rFonts w:cs="Times New Roman"/>
                <w:b w:val="0"/>
                <w:bCs/>
              </w:rPr>
              <w:t>）</w:t>
            </w:r>
          </w:p>
        </w:tc>
      </w:tr>
      <w:tr w:rsidR="005060B2" w:rsidRPr="0081478A" w14:paraId="1E465E59" w14:textId="77777777" w:rsidTr="005060B2">
        <w:trPr>
          <w:trHeight w:val="388"/>
          <w:jc w:val="center"/>
        </w:trPr>
        <w:tc>
          <w:tcPr>
            <w:tcW w:w="1777" w:type="pct"/>
            <w:gridSpan w:val="2"/>
            <w:vMerge/>
            <w:vAlign w:val="center"/>
            <w:hideMark/>
          </w:tcPr>
          <w:p w14:paraId="0DE2777E" w14:textId="77777777" w:rsidR="005060B2" w:rsidRPr="0081478A" w:rsidRDefault="005060B2" w:rsidP="00921836">
            <w:pPr>
              <w:pStyle w:val="ae"/>
              <w:rPr>
                <w:rFonts w:cs="Times New Roman"/>
                <w:bCs/>
              </w:rPr>
            </w:pPr>
          </w:p>
        </w:tc>
        <w:tc>
          <w:tcPr>
            <w:tcW w:w="2010" w:type="pct"/>
            <w:vMerge/>
            <w:vAlign w:val="center"/>
            <w:hideMark/>
          </w:tcPr>
          <w:p w14:paraId="440ECDA0" w14:textId="77777777" w:rsidR="005060B2" w:rsidRPr="0081478A" w:rsidRDefault="005060B2" w:rsidP="00921836">
            <w:pPr>
              <w:pStyle w:val="ae"/>
              <w:rPr>
                <w:rFonts w:cs="Times New Roman"/>
                <w:bCs/>
              </w:rPr>
            </w:pPr>
          </w:p>
        </w:tc>
        <w:tc>
          <w:tcPr>
            <w:tcW w:w="1213" w:type="pct"/>
            <w:shd w:val="clear" w:color="auto" w:fill="auto"/>
            <w:vAlign w:val="center"/>
            <w:hideMark/>
          </w:tcPr>
          <w:p w14:paraId="25869A88" w14:textId="77777777" w:rsidR="005060B2" w:rsidRPr="0081478A" w:rsidRDefault="005060B2" w:rsidP="00921836">
            <w:pPr>
              <w:pStyle w:val="ae"/>
              <w:rPr>
                <w:rFonts w:cs="Times New Roman"/>
                <w:bCs/>
              </w:rPr>
            </w:pPr>
            <w:r w:rsidRPr="0081478A">
              <w:rPr>
                <w:rFonts w:cs="Times New Roman"/>
                <w:b w:val="0"/>
                <w:bCs/>
              </w:rPr>
              <w:t>夏热冬冷地区</w:t>
            </w:r>
          </w:p>
        </w:tc>
      </w:tr>
      <w:tr w:rsidR="005060B2" w:rsidRPr="0081478A" w14:paraId="37D4681D" w14:textId="77777777" w:rsidTr="005060B2">
        <w:trPr>
          <w:trHeight w:val="193"/>
          <w:jc w:val="center"/>
        </w:trPr>
        <w:tc>
          <w:tcPr>
            <w:tcW w:w="632" w:type="pct"/>
            <w:vMerge w:val="restart"/>
            <w:shd w:val="clear" w:color="auto" w:fill="auto"/>
            <w:vAlign w:val="center"/>
            <w:hideMark/>
          </w:tcPr>
          <w:p w14:paraId="0C9E51C1" w14:textId="77777777" w:rsidR="005060B2" w:rsidRPr="0081478A" w:rsidRDefault="005060B2" w:rsidP="00921836">
            <w:pPr>
              <w:pStyle w:val="ae"/>
              <w:rPr>
                <w:rFonts w:cs="Times New Roman"/>
                <w:bCs/>
              </w:rPr>
            </w:pPr>
            <w:r w:rsidRPr="0081478A">
              <w:rPr>
                <w:rFonts w:cs="Times New Roman"/>
                <w:b w:val="0"/>
                <w:bCs/>
              </w:rPr>
              <w:t>风冷式</w:t>
            </w:r>
          </w:p>
        </w:tc>
        <w:tc>
          <w:tcPr>
            <w:tcW w:w="1145" w:type="pct"/>
            <w:vMerge w:val="restart"/>
            <w:shd w:val="clear" w:color="auto" w:fill="auto"/>
            <w:vAlign w:val="center"/>
            <w:hideMark/>
          </w:tcPr>
          <w:p w14:paraId="30B30F4A" w14:textId="77777777" w:rsidR="005060B2" w:rsidRPr="0081478A" w:rsidRDefault="005060B2" w:rsidP="00921836">
            <w:pPr>
              <w:pStyle w:val="ae"/>
              <w:rPr>
                <w:rFonts w:cs="Times New Roman"/>
                <w:bCs/>
              </w:rPr>
            </w:pPr>
            <w:r w:rsidRPr="0081478A">
              <w:rPr>
                <w:rFonts w:cs="Times New Roman"/>
                <w:b w:val="0"/>
                <w:bCs/>
              </w:rPr>
              <w:t>不接风管</w:t>
            </w:r>
          </w:p>
        </w:tc>
        <w:tc>
          <w:tcPr>
            <w:tcW w:w="2010" w:type="pct"/>
            <w:shd w:val="clear" w:color="auto" w:fill="auto"/>
            <w:vAlign w:val="center"/>
            <w:hideMark/>
          </w:tcPr>
          <w:p w14:paraId="605E49DF" w14:textId="77777777" w:rsidR="005060B2" w:rsidRPr="0081478A" w:rsidRDefault="005060B2" w:rsidP="00921836">
            <w:pPr>
              <w:pStyle w:val="ae"/>
              <w:rPr>
                <w:rFonts w:cs="Times New Roman"/>
                <w:bCs/>
              </w:rPr>
            </w:pPr>
            <w:r w:rsidRPr="0081478A">
              <w:rPr>
                <w:rFonts w:cs="Times New Roman"/>
                <w:b w:val="0"/>
                <w:bCs/>
              </w:rPr>
              <w:t>7.1</w:t>
            </w:r>
            <w:r w:rsidRPr="0081478A">
              <w:rPr>
                <w:rFonts w:cs="Times New Roman"/>
                <w:b w:val="0"/>
                <w:bCs/>
              </w:rPr>
              <w:t>＜</w:t>
            </w:r>
            <w:r w:rsidRPr="0081478A">
              <w:rPr>
                <w:rFonts w:cs="Times New Roman"/>
                <w:b w:val="0"/>
                <w:bCs/>
              </w:rPr>
              <w:t>CC≤14.0</w:t>
            </w:r>
          </w:p>
        </w:tc>
        <w:tc>
          <w:tcPr>
            <w:tcW w:w="1213" w:type="pct"/>
            <w:shd w:val="clear" w:color="auto" w:fill="auto"/>
            <w:noWrap/>
            <w:vAlign w:val="center"/>
            <w:hideMark/>
          </w:tcPr>
          <w:p w14:paraId="14E7F88E" w14:textId="77777777" w:rsidR="005060B2" w:rsidRPr="0081478A" w:rsidRDefault="005060B2" w:rsidP="00921836">
            <w:pPr>
              <w:pStyle w:val="ae"/>
              <w:rPr>
                <w:rFonts w:cs="Times New Roman"/>
                <w:bCs/>
              </w:rPr>
            </w:pPr>
            <w:r w:rsidRPr="0081478A">
              <w:rPr>
                <w:rFonts w:cs="Times New Roman"/>
                <w:b w:val="0"/>
                <w:bCs/>
              </w:rPr>
              <w:t>2.80</w:t>
            </w:r>
          </w:p>
        </w:tc>
      </w:tr>
      <w:tr w:rsidR="005060B2" w:rsidRPr="0081478A" w14:paraId="63565AF0" w14:textId="77777777" w:rsidTr="005060B2">
        <w:trPr>
          <w:trHeight w:val="193"/>
          <w:jc w:val="center"/>
        </w:trPr>
        <w:tc>
          <w:tcPr>
            <w:tcW w:w="632" w:type="pct"/>
            <w:vMerge/>
            <w:vAlign w:val="center"/>
            <w:hideMark/>
          </w:tcPr>
          <w:p w14:paraId="6AAAE385" w14:textId="77777777" w:rsidR="005060B2" w:rsidRPr="0081478A" w:rsidRDefault="005060B2" w:rsidP="00921836">
            <w:pPr>
              <w:pStyle w:val="ae"/>
              <w:rPr>
                <w:rFonts w:cs="Times New Roman"/>
                <w:bCs/>
              </w:rPr>
            </w:pPr>
          </w:p>
        </w:tc>
        <w:tc>
          <w:tcPr>
            <w:tcW w:w="1145" w:type="pct"/>
            <w:vMerge/>
            <w:vAlign w:val="center"/>
            <w:hideMark/>
          </w:tcPr>
          <w:p w14:paraId="38E74DFE" w14:textId="77777777" w:rsidR="005060B2" w:rsidRPr="0081478A" w:rsidRDefault="005060B2" w:rsidP="00921836">
            <w:pPr>
              <w:pStyle w:val="ae"/>
              <w:rPr>
                <w:rFonts w:cs="Times New Roman"/>
                <w:bCs/>
              </w:rPr>
            </w:pPr>
          </w:p>
        </w:tc>
        <w:tc>
          <w:tcPr>
            <w:tcW w:w="2010" w:type="pct"/>
            <w:shd w:val="clear" w:color="auto" w:fill="auto"/>
            <w:vAlign w:val="center"/>
            <w:hideMark/>
          </w:tcPr>
          <w:p w14:paraId="1CA7D999"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14.0</w:t>
            </w:r>
          </w:p>
        </w:tc>
        <w:tc>
          <w:tcPr>
            <w:tcW w:w="1213" w:type="pct"/>
            <w:shd w:val="clear" w:color="auto" w:fill="auto"/>
            <w:noWrap/>
            <w:vAlign w:val="center"/>
            <w:hideMark/>
          </w:tcPr>
          <w:p w14:paraId="5C1A25AA" w14:textId="77777777" w:rsidR="005060B2" w:rsidRPr="0081478A" w:rsidRDefault="005060B2" w:rsidP="00921836">
            <w:pPr>
              <w:pStyle w:val="ae"/>
              <w:rPr>
                <w:rFonts w:cs="Times New Roman"/>
                <w:bCs/>
              </w:rPr>
            </w:pPr>
            <w:r w:rsidRPr="0081478A">
              <w:rPr>
                <w:rFonts w:cs="Times New Roman"/>
                <w:b w:val="0"/>
                <w:bCs/>
              </w:rPr>
              <w:t>2.75</w:t>
            </w:r>
          </w:p>
        </w:tc>
      </w:tr>
      <w:tr w:rsidR="005060B2" w:rsidRPr="0081478A" w14:paraId="10754B01" w14:textId="77777777" w:rsidTr="005060B2">
        <w:trPr>
          <w:trHeight w:val="193"/>
          <w:jc w:val="center"/>
        </w:trPr>
        <w:tc>
          <w:tcPr>
            <w:tcW w:w="632" w:type="pct"/>
            <w:vMerge/>
            <w:vAlign w:val="center"/>
            <w:hideMark/>
          </w:tcPr>
          <w:p w14:paraId="02EBA19A" w14:textId="77777777" w:rsidR="005060B2" w:rsidRPr="0081478A" w:rsidRDefault="005060B2" w:rsidP="00921836">
            <w:pPr>
              <w:pStyle w:val="ae"/>
              <w:rPr>
                <w:rFonts w:cs="Times New Roman"/>
                <w:bCs/>
              </w:rPr>
            </w:pPr>
          </w:p>
        </w:tc>
        <w:tc>
          <w:tcPr>
            <w:tcW w:w="1145" w:type="pct"/>
            <w:vMerge w:val="restart"/>
            <w:shd w:val="clear" w:color="auto" w:fill="auto"/>
            <w:vAlign w:val="center"/>
            <w:hideMark/>
          </w:tcPr>
          <w:p w14:paraId="24A34074" w14:textId="77777777" w:rsidR="005060B2" w:rsidRPr="0081478A" w:rsidRDefault="005060B2" w:rsidP="00921836">
            <w:pPr>
              <w:pStyle w:val="ae"/>
              <w:rPr>
                <w:rFonts w:cs="Times New Roman"/>
                <w:bCs/>
              </w:rPr>
            </w:pPr>
            <w:r w:rsidRPr="0081478A">
              <w:rPr>
                <w:rFonts w:cs="Times New Roman"/>
                <w:b w:val="0"/>
                <w:bCs/>
              </w:rPr>
              <w:t>接风管</w:t>
            </w:r>
          </w:p>
        </w:tc>
        <w:tc>
          <w:tcPr>
            <w:tcW w:w="2010" w:type="pct"/>
            <w:shd w:val="clear" w:color="auto" w:fill="auto"/>
            <w:vAlign w:val="center"/>
            <w:hideMark/>
          </w:tcPr>
          <w:p w14:paraId="25EC5BC4" w14:textId="77777777" w:rsidR="005060B2" w:rsidRPr="0081478A" w:rsidRDefault="005060B2" w:rsidP="00921836">
            <w:pPr>
              <w:pStyle w:val="ae"/>
              <w:rPr>
                <w:rFonts w:cs="Times New Roman"/>
                <w:bCs/>
              </w:rPr>
            </w:pPr>
            <w:r w:rsidRPr="0081478A">
              <w:rPr>
                <w:rFonts w:cs="Times New Roman"/>
                <w:b w:val="0"/>
                <w:bCs/>
              </w:rPr>
              <w:t>7.1</w:t>
            </w:r>
            <w:r w:rsidRPr="0081478A">
              <w:rPr>
                <w:rFonts w:cs="Times New Roman"/>
                <w:b w:val="0"/>
                <w:bCs/>
              </w:rPr>
              <w:t>＜</w:t>
            </w:r>
            <w:r w:rsidRPr="0081478A">
              <w:rPr>
                <w:rFonts w:cs="Times New Roman"/>
                <w:b w:val="0"/>
                <w:bCs/>
              </w:rPr>
              <w:t>CC≤14.0</w:t>
            </w:r>
          </w:p>
        </w:tc>
        <w:tc>
          <w:tcPr>
            <w:tcW w:w="1213" w:type="pct"/>
            <w:shd w:val="clear" w:color="auto" w:fill="auto"/>
            <w:noWrap/>
            <w:vAlign w:val="center"/>
            <w:hideMark/>
          </w:tcPr>
          <w:p w14:paraId="579BC8D1" w14:textId="77777777" w:rsidR="005060B2" w:rsidRPr="0081478A" w:rsidRDefault="005060B2" w:rsidP="00921836">
            <w:pPr>
              <w:pStyle w:val="ae"/>
              <w:rPr>
                <w:rFonts w:cs="Times New Roman"/>
                <w:bCs/>
              </w:rPr>
            </w:pPr>
            <w:r w:rsidRPr="0081478A">
              <w:rPr>
                <w:rFonts w:cs="Times New Roman"/>
                <w:b w:val="0"/>
                <w:bCs/>
              </w:rPr>
              <w:t>2.60</w:t>
            </w:r>
          </w:p>
        </w:tc>
      </w:tr>
      <w:tr w:rsidR="005060B2" w:rsidRPr="0081478A" w14:paraId="735F60C4" w14:textId="77777777" w:rsidTr="005060B2">
        <w:trPr>
          <w:trHeight w:val="193"/>
          <w:jc w:val="center"/>
        </w:trPr>
        <w:tc>
          <w:tcPr>
            <w:tcW w:w="632" w:type="pct"/>
            <w:vMerge/>
            <w:vAlign w:val="center"/>
            <w:hideMark/>
          </w:tcPr>
          <w:p w14:paraId="7ECB0DD2" w14:textId="77777777" w:rsidR="005060B2" w:rsidRPr="0081478A" w:rsidRDefault="005060B2" w:rsidP="00921836">
            <w:pPr>
              <w:pStyle w:val="ae"/>
              <w:rPr>
                <w:rFonts w:cs="Times New Roman"/>
                <w:bCs/>
              </w:rPr>
            </w:pPr>
          </w:p>
        </w:tc>
        <w:tc>
          <w:tcPr>
            <w:tcW w:w="1145" w:type="pct"/>
            <w:vMerge/>
            <w:vAlign w:val="center"/>
            <w:hideMark/>
          </w:tcPr>
          <w:p w14:paraId="4EDE34CA" w14:textId="77777777" w:rsidR="005060B2" w:rsidRPr="0081478A" w:rsidRDefault="005060B2" w:rsidP="00921836">
            <w:pPr>
              <w:pStyle w:val="ae"/>
              <w:rPr>
                <w:rFonts w:cs="Times New Roman"/>
                <w:bCs/>
              </w:rPr>
            </w:pPr>
          </w:p>
        </w:tc>
        <w:tc>
          <w:tcPr>
            <w:tcW w:w="2010" w:type="pct"/>
            <w:shd w:val="clear" w:color="auto" w:fill="auto"/>
            <w:vAlign w:val="center"/>
            <w:hideMark/>
          </w:tcPr>
          <w:p w14:paraId="3D9BFAD5"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14.0</w:t>
            </w:r>
          </w:p>
        </w:tc>
        <w:tc>
          <w:tcPr>
            <w:tcW w:w="1213" w:type="pct"/>
            <w:shd w:val="clear" w:color="auto" w:fill="auto"/>
            <w:noWrap/>
            <w:vAlign w:val="center"/>
            <w:hideMark/>
          </w:tcPr>
          <w:p w14:paraId="76298740" w14:textId="77777777" w:rsidR="005060B2" w:rsidRPr="0081478A" w:rsidRDefault="005060B2" w:rsidP="00921836">
            <w:pPr>
              <w:pStyle w:val="ae"/>
              <w:rPr>
                <w:rFonts w:cs="Times New Roman"/>
                <w:bCs/>
              </w:rPr>
            </w:pPr>
            <w:r w:rsidRPr="0081478A">
              <w:rPr>
                <w:rFonts w:cs="Times New Roman"/>
                <w:b w:val="0"/>
                <w:bCs/>
              </w:rPr>
              <w:t>2.55</w:t>
            </w:r>
          </w:p>
        </w:tc>
      </w:tr>
      <w:tr w:rsidR="005060B2" w:rsidRPr="0081478A" w14:paraId="42C622CD" w14:textId="77777777" w:rsidTr="005060B2">
        <w:trPr>
          <w:trHeight w:val="193"/>
          <w:jc w:val="center"/>
        </w:trPr>
        <w:tc>
          <w:tcPr>
            <w:tcW w:w="632" w:type="pct"/>
            <w:vMerge w:val="restart"/>
            <w:shd w:val="clear" w:color="auto" w:fill="auto"/>
            <w:vAlign w:val="center"/>
            <w:hideMark/>
          </w:tcPr>
          <w:p w14:paraId="2D1039CA" w14:textId="77777777" w:rsidR="005060B2" w:rsidRPr="0081478A" w:rsidRDefault="005060B2" w:rsidP="00921836">
            <w:pPr>
              <w:pStyle w:val="ae"/>
              <w:rPr>
                <w:rFonts w:cs="Times New Roman"/>
                <w:bCs/>
              </w:rPr>
            </w:pPr>
            <w:r w:rsidRPr="0081478A">
              <w:rPr>
                <w:rFonts w:cs="Times New Roman"/>
                <w:b w:val="0"/>
                <w:bCs/>
              </w:rPr>
              <w:t>水冷式</w:t>
            </w:r>
          </w:p>
        </w:tc>
        <w:tc>
          <w:tcPr>
            <w:tcW w:w="1145" w:type="pct"/>
            <w:vMerge w:val="restart"/>
            <w:shd w:val="clear" w:color="auto" w:fill="auto"/>
            <w:vAlign w:val="center"/>
            <w:hideMark/>
          </w:tcPr>
          <w:p w14:paraId="6285B427" w14:textId="77777777" w:rsidR="005060B2" w:rsidRPr="0081478A" w:rsidRDefault="005060B2" w:rsidP="00921836">
            <w:pPr>
              <w:pStyle w:val="ae"/>
              <w:rPr>
                <w:rFonts w:cs="Times New Roman"/>
                <w:bCs/>
              </w:rPr>
            </w:pPr>
            <w:r w:rsidRPr="0081478A">
              <w:rPr>
                <w:rFonts w:cs="Times New Roman"/>
                <w:b w:val="0"/>
                <w:bCs/>
              </w:rPr>
              <w:t>不接风管</w:t>
            </w:r>
          </w:p>
        </w:tc>
        <w:tc>
          <w:tcPr>
            <w:tcW w:w="2010" w:type="pct"/>
            <w:shd w:val="clear" w:color="auto" w:fill="auto"/>
            <w:vAlign w:val="center"/>
            <w:hideMark/>
          </w:tcPr>
          <w:p w14:paraId="3E5D17BB" w14:textId="77777777" w:rsidR="005060B2" w:rsidRPr="0081478A" w:rsidRDefault="005060B2" w:rsidP="00921836">
            <w:pPr>
              <w:pStyle w:val="ae"/>
              <w:rPr>
                <w:rFonts w:cs="Times New Roman"/>
                <w:bCs/>
              </w:rPr>
            </w:pPr>
            <w:r w:rsidRPr="0081478A">
              <w:rPr>
                <w:rFonts w:cs="Times New Roman"/>
                <w:b w:val="0"/>
                <w:bCs/>
              </w:rPr>
              <w:t>7.1</w:t>
            </w:r>
            <w:r w:rsidRPr="0081478A">
              <w:rPr>
                <w:rFonts w:cs="Times New Roman"/>
                <w:b w:val="0"/>
                <w:bCs/>
              </w:rPr>
              <w:t>＜</w:t>
            </w:r>
            <w:r w:rsidRPr="0081478A">
              <w:rPr>
                <w:rFonts w:cs="Times New Roman"/>
                <w:b w:val="0"/>
                <w:bCs/>
              </w:rPr>
              <w:t>CC≤14.0</w:t>
            </w:r>
          </w:p>
        </w:tc>
        <w:tc>
          <w:tcPr>
            <w:tcW w:w="1213" w:type="pct"/>
            <w:shd w:val="clear" w:color="auto" w:fill="auto"/>
            <w:noWrap/>
            <w:vAlign w:val="center"/>
            <w:hideMark/>
          </w:tcPr>
          <w:p w14:paraId="6E3ECFB4" w14:textId="77777777" w:rsidR="005060B2" w:rsidRPr="0081478A" w:rsidRDefault="005060B2" w:rsidP="00921836">
            <w:pPr>
              <w:pStyle w:val="ae"/>
              <w:rPr>
                <w:rFonts w:cs="Times New Roman"/>
                <w:bCs/>
              </w:rPr>
            </w:pPr>
            <w:r w:rsidRPr="0081478A">
              <w:rPr>
                <w:rFonts w:cs="Times New Roman"/>
                <w:b w:val="0"/>
                <w:bCs/>
              </w:rPr>
              <w:t>3.55</w:t>
            </w:r>
          </w:p>
        </w:tc>
      </w:tr>
      <w:tr w:rsidR="005060B2" w:rsidRPr="0081478A" w14:paraId="4331562A" w14:textId="77777777" w:rsidTr="005060B2">
        <w:trPr>
          <w:trHeight w:val="193"/>
          <w:jc w:val="center"/>
        </w:trPr>
        <w:tc>
          <w:tcPr>
            <w:tcW w:w="632" w:type="pct"/>
            <w:vMerge/>
            <w:vAlign w:val="center"/>
            <w:hideMark/>
          </w:tcPr>
          <w:p w14:paraId="4631F11B" w14:textId="77777777" w:rsidR="005060B2" w:rsidRPr="0081478A" w:rsidRDefault="005060B2" w:rsidP="00921836">
            <w:pPr>
              <w:pStyle w:val="ae"/>
              <w:rPr>
                <w:rFonts w:cs="Times New Roman"/>
                <w:bCs/>
              </w:rPr>
            </w:pPr>
          </w:p>
        </w:tc>
        <w:tc>
          <w:tcPr>
            <w:tcW w:w="1145" w:type="pct"/>
            <w:vMerge/>
            <w:vAlign w:val="center"/>
            <w:hideMark/>
          </w:tcPr>
          <w:p w14:paraId="04FB8276" w14:textId="77777777" w:rsidR="005060B2" w:rsidRPr="0081478A" w:rsidRDefault="005060B2" w:rsidP="00921836">
            <w:pPr>
              <w:pStyle w:val="ae"/>
              <w:rPr>
                <w:rFonts w:cs="Times New Roman"/>
                <w:bCs/>
              </w:rPr>
            </w:pPr>
          </w:p>
        </w:tc>
        <w:tc>
          <w:tcPr>
            <w:tcW w:w="2010" w:type="pct"/>
            <w:shd w:val="clear" w:color="auto" w:fill="auto"/>
            <w:vAlign w:val="center"/>
            <w:hideMark/>
          </w:tcPr>
          <w:p w14:paraId="3FC8A0B0"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14.0</w:t>
            </w:r>
          </w:p>
        </w:tc>
        <w:tc>
          <w:tcPr>
            <w:tcW w:w="1213" w:type="pct"/>
            <w:shd w:val="clear" w:color="auto" w:fill="auto"/>
            <w:noWrap/>
            <w:vAlign w:val="center"/>
            <w:hideMark/>
          </w:tcPr>
          <w:p w14:paraId="3FE07B0C" w14:textId="77777777" w:rsidR="005060B2" w:rsidRPr="0081478A" w:rsidRDefault="005060B2" w:rsidP="00921836">
            <w:pPr>
              <w:pStyle w:val="ae"/>
              <w:rPr>
                <w:rFonts w:cs="Times New Roman"/>
                <w:bCs/>
              </w:rPr>
            </w:pPr>
            <w:r w:rsidRPr="0081478A">
              <w:rPr>
                <w:rFonts w:cs="Times New Roman"/>
                <w:b w:val="0"/>
                <w:bCs/>
              </w:rPr>
              <w:t>3.40</w:t>
            </w:r>
          </w:p>
        </w:tc>
      </w:tr>
      <w:tr w:rsidR="005060B2" w:rsidRPr="0081478A" w14:paraId="72DA4742" w14:textId="77777777" w:rsidTr="005060B2">
        <w:trPr>
          <w:trHeight w:val="193"/>
          <w:jc w:val="center"/>
        </w:trPr>
        <w:tc>
          <w:tcPr>
            <w:tcW w:w="632" w:type="pct"/>
            <w:vMerge/>
            <w:vAlign w:val="center"/>
            <w:hideMark/>
          </w:tcPr>
          <w:p w14:paraId="56C3680B" w14:textId="77777777" w:rsidR="005060B2" w:rsidRPr="0081478A" w:rsidRDefault="005060B2" w:rsidP="00921836">
            <w:pPr>
              <w:pStyle w:val="ae"/>
              <w:rPr>
                <w:rFonts w:cs="Times New Roman"/>
                <w:bCs/>
              </w:rPr>
            </w:pPr>
          </w:p>
        </w:tc>
        <w:tc>
          <w:tcPr>
            <w:tcW w:w="1145" w:type="pct"/>
            <w:vMerge w:val="restart"/>
            <w:shd w:val="clear" w:color="auto" w:fill="auto"/>
            <w:vAlign w:val="center"/>
            <w:hideMark/>
          </w:tcPr>
          <w:p w14:paraId="217B3F38" w14:textId="77777777" w:rsidR="005060B2" w:rsidRPr="0081478A" w:rsidRDefault="005060B2" w:rsidP="00921836">
            <w:pPr>
              <w:pStyle w:val="ae"/>
              <w:rPr>
                <w:rFonts w:cs="Times New Roman"/>
                <w:bCs/>
              </w:rPr>
            </w:pPr>
            <w:r w:rsidRPr="0081478A">
              <w:rPr>
                <w:rFonts w:cs="Times New Roman"/>
                <w:b w:val="0"/>
                <w:bCs/>
              </w:rPr>
              <w:t>接风管</w:t>
            </w:r>
          </w:p>
        </w:tc>
        <w:tc>
          <w:tcPr>
            <w:tcW w:w="2010" w:type="pct"/>
            <w:shd w:val="clear" w:color="auto" w:fill="auto"/>
            <w:vAlign w:val="center"/>
            <w:hideMark/>
          </w:tcPr>
          <w:p w14:paraId="10351D4A" w14:textId="77777777" w:rsidR="005060B2" w:rsidRPr="0081478A" w:rsidRDefault="005060B2" w:rsidP="00921836">
            <w:pPr>
              <w:pStyle w:val="ae"/>
              <w:rPr>
                <w:rFonts w:cs="Times New Roman"/>
                <w:bCs/>
              </w:rPr>
            </w:pPr>
            <w:r w:rsidRPr="0081478A">
              <w:rPr>
                <w:rFonts w:cs="Times New Roman"/>
                <w:b w:val="0"/>
                <w:bCs/>
              </w:rPr>
              <w:t>7.1</w:t>
            </w:r>
            <w:r w:rsidRPr="0081478A">
              <w:rPr>
                <w:rFonts w:cs="Times New Roman"/>
                <w:b w:val="0"/>
                <w:bCs/>
              </w:rPr>
              <w:t>＜</w:t>
            </w:r>
            <w:r w:rsidRPr="0081478A">
              <w:rPr>
                <w:rFonts w:cs="Times New Roman"/>
                <w:b w:val="0"/>
                <w:bCs/>
              </w:rPr>
              <w:t>CC≤14.0</w:t>
            </w:r>
          </w:p>
        </w:tc>
        <w:tc>
          <w:tcPr>
            <w:tcW w:w="1213" w:type="pct"/>
            <w:shd w:val="clear" w:color="auto" w:fill="auto"/>
            <w:noWrap/>
            <w:vAlign w:val="center"/>
            <w:hideMark/>
          </w:tcPr>
          <w:p w14:paraId="2B169A62" w14:textId="77777777" w:rsidR="005060B2" w:rsidRPr="0081478A" w:rsidRDefault="005060B2" w:rsidP="00921836">
            <w:pPr>
              <w:pStyle w:val="ae"/>
              <w:rPr>
                <w:rFonts w:cs="Times New Roman"/>
                <w:bCs/>
              </w:rPr>
            </w:pPr>
            <w:r w:rsidRPr="0081478A">
              <w:rPr>
                <w:rFonts w:cs="Times New Roman"/>
                <w:b w:val="0"/>
                <w:bCs/>
              </w:rPr>
              <w:t>3.25</w:t>
            </w:r>
          </w:p>
        </w:tc>
      </w:tr>
      <w:tr w:rsidR="005060B2" w:rsidRPr="0081478A" w14:paraId="2CE993BD" w14:textId="77777777" w:rsidTr="005060B2">
        <w:trPr>
          <w:trHeight w:val="193"/>
          <w:jc w:val="center"/>
        </w:trPr>
        <w:tc>
          <w:tcPr>
            <w:tcW w:w="632" w:type="pct"/>
            <w:vMerge/>
            <w:vAlign w:val="center"/>
            <w:hideMark/>
          </w:tcPr>
          <w:p w14:paraId="3AEC9D7F" w14:textId="77777777" w:rsidR="005060B2" w:rsidRPr="0081478A" w:rsidRDefault="005060B2" w:rsidP="00921836">
            <w:pPr>
              <w:pStyle w:val="ae"/>
              <w:rPr>
                <w:rFonts w:cs="Times New Roman"/>
                <w:bCs/>
              </w:rPr>
            </w:pPr>
          </w:p>
        </w:tc>
        <w:tc>
          <w:tcPr>
            <w:tcW w:w="1145" w:type="pct"/>
            <w:vMerge/>
            <w:vAlign w:val="center"/>
            <w:hideMark/>
          </w:tcPr>
          <w:p w14:paraId="2262E7FB" w14:textId="77777777" w:rsidR="005060B2" w:rsidRPr="0081478A" w:rsidRDefault="005060B2" w:rsidP="00921836">
            <w:pPr>
              <w:pStyle w:val="ae"/>
              <w:rPr>
                <w:rFonts w:cs="Times New Roman"/>
                <w:bCs/>
              </w:rPr>
            </w:pPr>
          </w:p>
        </w:tc>
        <w:tc>
          <w:tcPr>
            <w:tcW w:w="2010" w:type="pct"/>
            <w:shd w:val="clear" w:color="auto" w:fill="auto"/>
            <w:vAlign w:val="center"/>
            <w:hideMark/>
          </w:tcPr>
          <w:p w14:paraId="476A4FAA"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14.0</w:t>
            </w:r>
          </w:p>
        </w:tc>
        <w:tc>
          <w:tcPr>
            <w:tcW w:w="1213" w:type="pct"/>
            <w:shd w:val="clear" w:color="auto" w:fill="auto"/>
            <w:noWrap/>
            <w:vAlign w:val="center"/>
            <w:hideMark/>
          </w:tcPr>
          <w:p w14:paraId="770B147A" w14:textId="77777777" w:rsidR="005060B2" w:rsidRPr="0081478A" w:rsidRDefault="005060B2" w:rsidP="00921836">
            <w:pPr>
              <w:pStyle w:val="ae"/>
              <w:rPr>
                <w:rFonts w:cs="Times New Roman"/>
                <w:bCs/>
              </w:rPr>
            </w:pPr>
            <w:r w:rsidRPr="0081478A">
              <w:rPr>
                <w:rFonts w:cs="Times New Roman"/>
                <w:b w:val="0"/>
                <w:bCs/>
              </w:rPr>
              <w:t>3.15</w:t>
            </w:r>
          </w:p>
        </w:tc>
      </w:tr>
    </w:tbl>
    <w:p w14:paraId="17D58DCF" w14:textId="77777777" w:rsidR="00E31FF0" w:rsidRPr="0081478A" w:rsidRDefault="00E31FF0" w:rsidP="00E31FF0">
      <w:pPr>
        <w:pStyle w:val="9"/>
        <w:ind w:firstLine="420"/>
      </w:pPr>
    </w:p>
    <w:p w14:paraId="03BA2683" w14:textId="16B13DB6" w:rsidR="00E31FF0" w:rsidRPr="0081478A" w:rsidRDefault="00E31FF0" w:rsidP="00921836">
      <w:pPr>
        <w:pStyle w:val="7"/>
        <w:tabs>
          <w:tab w:val="center" w:pos="3686"/>
          <w:tab w:val="right" w:pos="7371"/>
        </w:tabs>
        <w:ind w:firstLine="420"/>
        <w:rPr>
          <w:rFonts w:ascii="Times New Roman" w:hAnsi="Times New Roman" w:cs="Times New Roman"/>
        </w:rPr>
      </w:pPr>
      <w:r w:rsidRPr="0081478A">
        <w:rPr>
          <w:rFonts w:ascii="Times New Roman" w:hAnsi="Times New Roman" w:cs="Times New Roman"/>
        </w:rPr>
        <w:tab/>
      </w:r>
    </w:p>
    <w:p w14:paraId="55213AB4" w14:textId="385BF1D5" w:rsidR="00E31FF0" w:rsidRPr="0081478A" w:rsidRDefault="00E31FF0" w:rsidP="00E31FF0">
      <w:pPr>
        <w:ind w:firstLine="420"/>
        <w:rPr>
          <w:rFonts w:cs="Times New Roman"/>
        </w:rPr>
      </w:pPr>
      <w:r w:rsidRPr="0081478A">
        <w:rPr>
          <w:rFonts w:cs="Times New Roman"/>
        </w:rPr>
        <w:lastRenderedPageBreak/>
        <w:t>对于锅炉在名义工况和额定条件下，依据表</w:t>
      </w:r>
      <w:r w:rsidR="000B54A2" w:rsidRPr="0081478A">
        <w:rPr>
          <w:rFonts w:cs="Times New Roman"/>
        </w:rPr>
        <w:t>7.2.5-5</w:t>
      </w:r>
      <w:r w:rsidRPr="0081478A">
        <w:rPr>
          <w:rFonts w:cs="Times New Roman"/>
        </w:rPr>
        <w:t>，判定其热效率提高幅度。</w:t>
      </w:r>
    </w:p>
    <w:p w14:paraId="0B483F94" w14:textId="75027715" w:rsidR="00E31FF0" w:rsidRPr="0081478A" w:rsidRDefault="00E31FF0" w:rsidP="00921836">
      <w:pPr>
        <w:pStyle w:val="ae"/>
        <w:rPr>
          <w:rFonts w:cs="Times New Roman"/>
          <w:bCs/>
        </w:rPr>
      </w:pPr>
      <w:r w:rsidRPr="0081478A">
        <w:rPr>
          <w:rFonts w:cs="Times New Roman"/>
          <w:b w:val="0"/>
          <w:bCs/>
        </w:rPr>
        <w:t>表</w:t>
      </w:r>
      <w:r w:rsidR="000B54A2" w:rsidRPr="0081478A">
        <w:rPr>
          <w:rFonts w:cs="Times New Roman"/>
          <w:b w:val="0"/>
          <w:bCs/>
        </w:rPr>
        <w:t>7.2.5-5</w:t>
      </w:r>
      <w:r w:rsidRPr="0081478A">
        <w:rPr>
          <w:rFonts w:cs="Times New Roman"/>
          <w:b w:val="0"/>
          <w:bCs/>
        </w:rPr>
        <w:t xml:space="preserve"> </w:t>
      </w:r>
      <w:r w:rsidRPr="0081478A">
        <w:rPr>
          <w:rFonts w:cs="Times New Roman"/>
          <w:b w:val="0"/>
          <w:bCs/>
        </w:rPr>
        <w:t>名义工况和规定条件下锅炉的热效率</w:t>
      </w:r>
      <w:r w:rsidRPr="0081478A">
        <w:rPr>
          <w:rFonts w:cs="Times New Roman"/>
          <w:b w:val="0"/>
          <w:bCs/>
        </w:rPr>
        <w:tab/>
      </w:r>
      <w:r w:rsidRPr="0081478A">
        <w:rPr>
          <w:rFonts w:cs="Times New Roman"/>
          <w:b w:val="0"/>
          <w:bCs/>
        </w:rPr>
        <w:t>单位：</w:t>
      </w:r>
      <w:r w:rsidRPr="0081478A">
        <w:rPr>
          <w:rFonts w:cs="Times New Roman"/>
          <w:b w:val="0"/>
          <w:bCs/>
        </w:rPr>
        <w:t>%</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left w:w="57" w:type="dxa"/>
          <w:bottom w:w="34" w:type="dxa"/>
          <w:right w:w="57" w:type="dxa"/>
        </w:tblCellMar>
        <w:tblLook w:val="04A0" w:firstRow="1" w:lastRow="0" w:firstColumn="1" w:lastColumn="0" w:noHBand="0" w:noVBand="1"/>
      </w:tblPr>
      <w:tblGrid>
        <w:gridCol w:w="1190"/>
        <w:gridCol w:w="756"/>
        <w:gridCol w:w="728"/>
        <w:gridCol w:w="994"/>
        <w:gridCol w:w="952"/>
        <w:gridCol w:w="994"/>
        <w:gridCol w:w="979"/>
        <w:gridCol w:w="777"/>
      </w:tblGrid>
      <w:tr w:rsidR="0081478A" w:rsidRPr="0081478A" w14:paraId="4FA2894F" w14:textId="77777777" w:rsidTr="00921836">
        <w:trPr>
          <w:jc w:val="center"/>
        </w:trPr>
        <w:tc>
          <w:tcPr>
            <w:tcW w:w="1946" w:type="dxa"/>
            <w:gridSpan w:val="2"/>
            <w:vMerge w:val="restart"/>
            <w:shd w:val="clear" w:color="auto" w:fill="auto"/>
            <w:vAlign w:val="center"/>
            <w:hideMark/>
          </w:tcPr>
          <w:p w14:paraId="6DBBD7A5" w14:textId="77777777" w:rsidR="00E31FF0" w:rsidRPr="0081478A" w:rsidRDefault="00E31FF0" w:rsidP="00921836">
            <w:pPr>
              <w:pStyle w:val="ae"/>
              <w:rPr>
                <w:rFonts w:cs="Times New Roman"/>
                <w:bCs/>
              </w:rPr>
            </w:pPr>
            <w:r w:rsidRPr="0081478A">
              <w:rPr>
                <w:rFonts w:cs="Times New Roman"/>
                <w:b w:val="0"/>
                <w:bCs/>
              </w:rPr>
              <w:t>锅炉类型及燃料种类</w:t>
            </w:r>
          </w:p>
        </w:tc>
        <w:tc>
          <w:tcPr>
            <w:tcW w:w="5424" w:type="dxa"/>
            <w:gridSpan w:val="6"/>
            <w:shd w:val="clear" w:color="auto" w:fill="auto"/>
            <w:vAlign w:val="center"/>
            <w:hideMark/>
          </w:tcPr>
          <w:p w14:paraId="5A4CCEB3" w14:textId="77777777" w:rsidR="00E31FF0" w:rsidRPr="0081478A" w:rsidRDefault="00E31FF0" w:rsidP="00921836">
            <w:pPr>
              <w:pStyle w:val="ae"/>
              <w:rPr>
                <w:rFonts w:cs="Times New Roman"/>
                <w:bCs/>
              </w:rPr>
            </w:pPr>
            <w:r w:rsidRPr="0081478A">
              <w:rPr>
                <w:rFonts w:cs="Times New Roman"/>
                <w:b w:val="0"/>
                <w:bCs/>
              </w:rPr>
              <w:t>锅炉额定蒸发量</w:t>
            </w:r>
            <w:r w:rsidRPr="0081478A">
              <w:rPr>
                <w:rFonts w:cs="Times New Roman"/>
                <w:b w:val="0"/>
                <w:bCs/>
              </w:rPr>
              <w:t>D /</w:t>
            </w:r>
            <w:r w:rsidRPr="0081478A">
              <w:rPr>
                <w:rFonts w:cs="Times New Roman"/>
                <w:b w:val="0"/>
                <w:bCs/>
              </w:rPr>
              <w:t>（</w:t>
            </w:r>
            <w:r w:rsidRPr="0081478A">
              <w:rPr>
                <w:rFonts w:cs="Times New Roman"/>
                <w:b w:val="0"/>
                <w:bCs/>
              </w:rPr>
              <w:t>t/h</w:t>
            </w:r>
            <w:r w:rsidRPr="0081478A">
              <w:rPr>
                <w:rFonts w:cs="Times New Roman"/>
                <w:b w:val="0"/>
                <w:bCs/>
              </w:rPr>
              <w:t>）或额定热功率</w:t>
            </w:r>
            <w:r w:rsidRPr="0081478A">
              <w:rPr>
                <w:rFonts w:cs="Times New Roman"/>
                <w:b w:val="0"/>
                <w:bCs/>
              </w:rPr>
              <w:t>Q/</w:t>
            </w:r>
            <w:r w:rsidRPr="0081478A">
              <w:rPr>
                <w:rFonts w:cs="Times New Roman"/>
                <w:b w:val="0"/>
                <w:bCs/>
              </w:rPr>
              <w:t>（</w:t>
            </w:r>
            <w:r w:rsidRPr="0081478A">
              <w:rPr>
                <w:rFonts w:cs="Times New Roman"/>
                <w:b w:val="0"/>
                <w:bCs/>
              </w:rPr>
              <w:t>MW</w:t>
            </w:r>
            <w:r w:rsidRPr="0081478A">
              <w:rPr>
                <w:rFonts w:cs="Times New Roman"/>
                <w:b w:val="0"/>
                <w:bCs/>
              </w:rPr>
              <w:t>）</w:t>
            </w:r>
          </w:p>
        </w:tc>
      </w:tr>
      <w:tr w:rsidR="0081478A" w:rsidRPr="0081478A" w14:paraId="3F438713" w14:textId="77777777" w:rsidTr="00921836">
        <w:trPr>
          <w:jc w:val="center"/>
        </w:trPr>
        <w:tc>
          <w:tcPr>
            <w:tcW w:w="1946" w:type="dxa"/>
            <w:gridSpan w:val="2"/>
            <w:vMerge/>
            <w:shd w:val="clear" w:color="auto" w:fill="auto"/>
            <w:vAlign w:val="center"/>
            <w:hideMark/>
          </w:tcPr>
          <w:p w14:paraId="297A8533" w14:textId="77777777" w:rsidR="00E31FF0" w:rsidRPr="0081478A" w:rsidRDefault="00E31FF0" w:rsidP="00921836">
            <w:pPr>
              <w:pStyle w:val="ae"/>
              <w:rPr>
                <w:rFonts w:cs="Times New Roman"/>
                <w:bCs/>
              </w:rPr>
            </w:pPr>
          </w:p>
        </w:tc>
        <w:tc>
          <w:tcPr>
            <w:tcW w:w="728" w:type="dxa"/>
            <w:shd w:val="clear" w:color="auto" w:fill="auto"/>
            <w:vAlign w:val="center"/>
            <w:hideMark/>
          </w:tcPr>
          <w:p w14:paraId="5C54C5C6" w14:textId="77777777" w:rsidR="00E31FF0" w:rsidRPr="0081478A" w:rsidRDefault="00E31FF0" w:rsidP="00921836">
            <w:pPr>
              <w:pStyle w:val="ae"/>
              <w:rPr>
                <w:rFonts w:cs="Times New Roman"/>
                <w:bCs/>
              </w:rPr>
            </w:pPr>
            <w:r w:rsidRPr="0081478A">
              <w:rPr>
                <w:rFonts w:cs="Times New Roman"/>
                <w:b w:val="0"/>
                <w:bCs/>
              </w:rPr>
              <w:t>D</w:t>
            </w:r>
            <w:r w:rsidRPr="0081478A">
              <w:rPr>
                <w:rFonts w:cs="Times New Roman"/>
                <w:b w:val="0"/>
                <w:bCs/>
              </w:rPr>
              <w:t>＜</w:t>
            </w:r>
            <w:r w:rsidRPr="0081478A">
              <w:rPr>
                <w:rFonts w:cs="Times New Roman"/>
                <w:b w:val="0"/>
                <w:bCs/>
              </w:rPr>
              <w:t>1</w:t>
            </w:r>
            <w:r w:rsidRPr="0081478A">
              <w:rPr>
                <w:rFonts w:cs="Times New Roman"/>
                <w:b w:val="0"/>
                <w:bCs/>
              </w:rPr>
              <w:t>或</w:t>
            </w:r>
          </w:p>
          <w:p w14:paraId="3B342B60" w14:textId="77777777" w:rsidR="00E31FF0" w:rsidRPr="0081478A" w:rsidRDefault="00E31FF0" w:rsidP="00921836">
            <w:pPr>
              <w:pStyle w:val="ae"/>
              <w:rPr>
                <w:rFonts w:cs="Times New Roman"/>
                <w:bCs/>
              </w:rPr>
            </w:pPr>
            <w:r w:rsidRPr="0081478A">
              <w:rPr>
                <w:rFonts w:cs="Times New Roman"/>
                <w:b w:val="0"/>
                <w:bCs/>
              </w:rPr>
              <w:t>Q</w:t>
            </w:r>
            <w:r w:rsidRPr="0081478A">
              <w:rPr>
                <w:rFonts w:cs="Times New Roman"/>
                <w:b w:val="0"/>
                <w:bCs/>
              </w:rPr>
              <w:t>＜</w:t>
            </w:r>
            <w:r w:rsidRPr="0081478A">
              <w:rPr>
                <w:rFonts w:cs="Times New Roman"/>
                <w:b w:val="0"/>
                <w:bCs/>
              </w:rPr>
              <w:t>0.7</w:t>
            </w:r>
          </w:p>
        </w:tc>
        <w:tc>
          <w:tcPr>
            <w:tcW w:w="994" w:type="dxa"/>
            <w:shd w:val="clear" w:color="auto" w:fill="auto"/>
            <w:vAlign w:val="center"/>
            <w:hideMark/>
          </w:tcPr>
          <w:p w14:paraId="5B70D1AC" w14:textId="77777777" w:rsidR="00E31FF0" w:rsidRPr="0081478A" w:rsidRDefault="00E31FF0" w:rsidP="00921836">
            <w:pPr>
              <w:pStyle w:val="ae"/>
              <w:rPr>
                <w:rFonts w:cs="Times New Roman"/>
                <w:bCs/>
              </w:rPr>
            </w:pPr>
            <w:r w:rsidRPr="0081478A">
              <w:rPr>
                <w:rFonts w:cs="Times New Roman"/>
                <w:b w:val="0"/>
                <w:bCs/>
              </w:rPr>
              <w:t>1≤D≤2</w:t>
            </w:r>
            <w:r w:rsidRPr="0081478A">
              <w:rPr>
                <w:rFonts w:cs="Times New Roman"/>
                <w:b w:val="0"/>
                <w:bCs/>
              </w:rPr>
              <w:t>或</w:t>
            </w:r>
          </w:p>
          <w:p w14:paraId="12289E7C" w14:textId="77777777" w:rsidR="00E31FF0" w:rsidRPr="0081478A" w:rsidRDefault="00E31FF0" w:rsidP="00921836">
            <w:pPr>
              <w:pStyle w:val="ae"/>
              <w:rPr>
                <w:rFonts w:cs="Times New Roman"/>
                <w:bCs/>
              </w:rPr>
            </w:pPr>
            <w:r w:rsidRPr="0081478A">
              <w:rPr>
                <w:rFonts w:cs="Times New Roman"/>
                <w:b w:val="0"/>
                <w:bCs/>
              </w:rPr>
              <w:t>0.7≤Q≤1.4</w:t>
            </w:r>
          </w:p>
        </w:tc>
        <w:tc>
          <w:tcPr>
            <w:tcW w:w="952" w:type="dxa"/>
            <w:shd w:val="clear" w:color="auto" w:fill="auto"/>
            <w:vAlign w:val="center"/>
            <w:hideMark/>
          </w:tcPr>
          <w:p w14:paraId="3B54BD36" w14:textId="77777777" w:rsidR="00E31FF0" w:rsidRPr="0081478A" w:rsidRDefault="00E31FF0" w:rsidP="00921836">
            <w:pPr>
              <w:pStyle w:val="ae"/>
              <w:rPr>
                <w:rFonts w:cs="Times New Roman"/>
                <w:bCs/>
              </w:rPr>
            </w:pPr>
            <w:r w:rsidRPr="0081478A">
              <w:rPr>
                <w:rFonts w:cs="Times New Roman"/>
                <w:b w:val="0"/>
                <w:bCs/>
              </w:rPr>
              <w:t>2</w:t>
            </w:r>
            <w:r w:rsidRPr="0081478A">
              <w:rPr>
                <w:rFonts w:cs="Times New Roman"/>
                <w:b w:val="0"/>
                <w:bCs/>
              </w:rPr>
              <w:t>＜</w:t>
            </w:r>
            <w:r w:rsidRPr="0081478A">
              <w:rPr>
                <w:rFonts w:cs="Times New Roman"/>
                <w:b w:val="0"/>
                <w:bCs/>
              </w:rPr>
              <w:t>D</w:t>
            </w:r>
            <w:r w:rsidRPr="0081478A">
              <w:rPr>
                <w:rFonts w:cs="Times New Roman"/>
                <w:b w:val="0"/>
                <w:bCs/>
              </w:rPr>
              <w:t>＜</w:t>
            </w:r>
            <w:r w:rsidRPr="0081478A">
              <w:rPr>
                <w:rFonts w:cs="Times New Roman"/>
                <w:b w:val="0"/>
                <w:bCs/>
              </w:rPr>
              <w:t>6</w:t>
            </w:r>
            <w:r w:rsidRPr="0081478A">
              <w:rPr>
                <w:rFonts w:cs="Times New Roman"/>
                <w:b w:val="0"/>
                <w:bCs/>
              </w:rPr>
              <w:t>或</w:t>
            </w:r>
          </w:p>
          <w:p w14:paraId="3CEB8301" w14:textId="77777777" w:rsidR="00E31FF0" w:rsidRPr="0081478A" w:rsidRDefault="00E31FF0" w:rsidP="00921836">
            <w:pPr>
              <w:pStyle w:val="ae"/>
              <w:rPr>
                <w:rFonts w:cs="Times New Roman"/>
                <w:bCs/>
              </w:rPr>
            </w:pPr>
            <w:r w:rsidRPr="0081478A">
              <w:rPr>
                <w:rFonts w:cs="Times New Roman"/>
                <w:b w:val="0"/>
                <w:bCs/>
              </w:rPr>
              <w:t>1.4</w:t>
            </w:r>
            <w:r w:rsidRPr="0081478A">
              <w:rPr>
                <w:rFonts w:cs="Times New Roman"/>
                <w:b w:val="0"/>
                <w:bCs/>
              </w:rPr>
              <w:t>＜</w:t>
            </w:r>
            <w:r w:rsidRPr="0081478A">
              <w:rPr>
                <w:rFonts w:cs="Times New Roman"/>
                <w:b w:val="0"/>
                <w:bCs/>
              </w:rPr>
              <w:t>Q</w:t>
            </w:r>
            <w:r w:rsidRPr="0081478A">
              <w:rPr>
                <w:rFonts w:cs="Times New Roman"/>
                <w:b w:val="0"/>
                <w:bCs/>
              </w:rPr>
              <w:t>＜</w:t>
            </w:r>
            <w:r w:rsidRPr="0081478A">
              <w:rPr>
                <w:rFonts w:cs="Times New Roman"/>
                <w:b w:val="0"/>
                <w:bCs/>
              </w:rPr>
              <w:t>4.2</w:t>
            </w:r>
          </w:p>
        </w:tc>
        <w:tc>
          <w:tcPr>
            <w:tcW w:w="994" w:type="dxa"/>
            <w:shd w:val="clear" w:color="auto" w:fill="auto"/>
            <w:vAlign w:val="center"/>
            <w:hideMark/>
          </w:tcPr>
          <w:p w14:paraId="320D94A8" w14:textId="77777777" w:rsidR="00E31FF0" w:rsidRPr="0081478A" w:rsidRDefault="00E31FF0" w:rsidP="00921836">
            <w:pPr>
              <w:pStyle w:val="ae"/>
              <w:rPr>
                <w:rFonts w:cs="Times New Roman"/>
                <w:bCs/>
              </w:rPr>
            </w:pPr>
            <w:r w:rsidRPr="0081478A">
              <w:rPr>
                <w:rFonts w:cs="Times New Roman"/>
                <w:b w:val="0"/>
                <w:bCs/>
              </w:rPr>
              <w:t>6≤D≤8</w:t>
            </w:r>
            <w:r w:rsidRPr="0081478A">
              <w:rPr>
                <w:rFonts w:cs="Times New Roman"/>
                <w:b w:val="0"/>
                <w:bCs/>
              </w:rPr>
              <w:t>或</w:t>
            </w:r>
          </w:p>
          <w:p w14:paraId="4E0CBBF6" w14:textId="77777777" w:rsidR="00E31FF0" w:rsidRPr="0081478A" w:rsidRDefault="00E31FF0" w:rsidP="00921836">
            <w:pPr>
              <w:pStyle w:val="ae"/>
              <w:rPr>
                <w:rFonts w:cs="Times New Roman"/>
                <w:bCs/>
              </w:rPr>
            </w:pPr>
            <w:r w:rsidRPr="0081478A">
              <w:rPr>
                <w:rFonts w:cs="Times New Roman"/>
                <w:b w:val="0"/>
                <w:bCs/>
              </w:rPr>
              <w:t>4.2≤Q≤5.6</w:t>
            </w:r>
          </w:p>
        </w:tc>
        <w:tc>
          <w:tcPr>
            <w:tcW w:w="979" w:type="dxa"/>
            <w:shd w:val="clear" w:color="auto" w:fill="auto"/>
            <w:vAlign w:val="center"/>
            <w:hideMark/>
          </w:tcPr>
          <w:p w14:paraId="5993986B" w14:textId="77777777" w:rsidR="00E31FF0" w:rsidRPr="0081478A" w:rsidRDefault="00E31FF0" w:rsidP="00921836">
            <w:pPr>
              <w:pStyle w:val="ae"/>
              <w:rPr>
                <w:rFonts w:cs="Times New Roman"/>
                <w:bCs/>
              </w:rPr>
            </w:pPr>
            <w:r w:rsidRPr="0081478A">
              <w:rPr>
                <w:rFonts w:cs="Times New Roman"/>
                <w:b w:val="0"/>
                <w:bCs/>
              </w:rPr>
              <w:t>8</w:t>
            </w:r>
            <w:r w:rsidRPr="0081478A">
              <w:rPr>
                <w:rFonts w:cs="Times New Roman"/>
                <w:b w:val="0"/>
                <w:bCs/>
              </w:rPr>
              <w:t>＜</w:t>
            </w:r>
            <w:r w:rsidRPr="0081478A">
              <w:rPr>
                <w:rFonts w:cs="Times New Roman"/>
                <w:b w:val="0"/>
                <w:bCs/>
              </w:rPr>
              <w:t>D≤20</w:t>
            </w:r>
            <w:r w:rsidRPr="0081478A">
              <w:rPr>
                <w:rFonts w:cs="Times New Roman"/>
                <w:b w:val="0"/>
                <w:bCs/>
              </w:rPr>
              <w:t>或</w:t>
            </w:r>
          </w:p>
          <w:p w14:paraId="0E4B28BA" w14:textId="77777777" w:rsidR="00E31FF0" w:rsidRPr="0081478A" w:rsidRDefault="00E31FF0" w:rsidP="00921836">
            <w:pPr>
              <w:pStyle w:val="ae"/>
              <w:rPr>
                <w:rFonts w:cs="Times New Roman"/>
                <w:bCs/>
              </w:rPr>
            </w:pPr>
            <w:r w:rsidRPr="0081478A">
              <w:rPr>
                <w:rFonts w:cs="Times New Roman"/>
                <w:b w:val="0"/>
                <w:bCs/>
              </w:rPr>
              <w:t>5.6</w:t>
            </w:r>
            <w:r w:rsidRPr="0081478A">
              <w:rPr>
                <w:rFonts w:cs="Times New Roman"/>
                <w:b w:val="0"/>
                <w:bCs/>
              </w:rPr>
              <w:t>＜</w:t>
            </w:r>
            <w:r w:rsidRPr="0081478A">
              <w:rPr>
                <w:rFonts w:cs="Times New Roman"/>
                <w:b w:val="0"/>
                <w:bCs/>
              </w:rPr>
              <w:t>Q≤14.0</w:t>
            </w:r>
          </w:p>
        </w:tc>
        <w:tc>
          <w:tcPr>
            <w:tcW w:w="777" w:type="dxa"/>
            <w:shd w:val="clear" w:color="auto" w:fill="auto"/>
            <w:vAlign w:val="center"/>
            <w:hideMark/>
          </w:tcPr>
          <w:p w14:paraId="7466119A" w14:textId="77777777" w:rsidR="00E31FF0" w:rsidRPr="0081478A" w:rsidRDefault="00E31FF0" w:rsidP="00921836">
            <w:pPr>
              <w:pStyle w:val="ae"/>
              <w:rPr>
                <w:rFonts w:cs="Times New Roman"/>
                <w:bCs/>
              </w:rPr>
            </w:pPr>
            <w:r w:rsidRPr="0081478A">
              <w:rPr>
                <w:rFonts w:cs="Times New Roman"/>
                <w:b w:val="0"/>
                <w:bCs/>
              </w:rPr>
              <w:t>D</w:t>
            </w:r>
            <w:r w:rsidRPr="0081478A">
              <w:rPr>
                <w:rFonts w:cs="Times New Roman"/>
                <w:b w:val="0"/>
                <w:bCs/>
              </w:rPr>
              <w:t>＞</w:t>
            </w:r>
            <w:r w:rsidRPr="0081478A">
              <w:rPr>
                <w:rFonts w:cs="Times New Roman"/>
                <w:b w:val="0"/>
                <w:bCs/>
              </w:rPr>
              <w:t>20</w:t>
            </w:r>
            <w:r w:rsidRPr="0081478A">
              <w:rPr>
                <w:rFonts w:cs="Times New Roman"/>
                <w:b w:val="0"/>
                <w:bCs/>
              </w:rPr>
              <w:t>或</w:t>
            </w:r>
          </w:p>
          <w:p w14:paraId="0ABE3D54" w14:textId="77777777" w:rsidR="00E31FF0" w:rsidRPr="0081478A" w:rsidRDefault="00E31FF0" w:rsidP="00921836">
            <w:pPr>
              <w:pStyle w:val="ae"/>
              <w:rPr>
                <w:rFonts w:cs="Times New Roman"/>
                <w:bCs/>
              </w:rPr>
            </w:pPr>
            <w:r w:rsidRPr="0081478A">
              <w:rPr>
                <w:rFonts w:cs="Times New Roman"/>
                <w:b w:val="0"/>
                <w:bCs/>
              </w:rPr>
              <w:t>Q</w:t>
            </w:r>
            <w:r w:rsidRPr="0081478A">
              <w:rPr>
                <w:rFonts w:cs="Times New Roman"/>
                <w:b w:val="0"/>
                <w:bCs/>
              </w:rPr>
              <w:t>＞</w:t>
            </w:r>
            <w:r w:rsidRPr="0081478A">
              <w:rPr>
                <w:rFonts w:cs="Times New Roman"/>
                <w:b w:val="0"/>
                <w:bCs/>
              </w:rPr>
              <w:t>14.0</w:t>
            </w:r>
          </w:p>
        </w:tc>
      </w:tr>
      <w:tr w:rsidR="0081478A" w:rsidRPr="0081478A" w14:paraId="68F2088B" w14:textId="77777777" w:rsidTr="00921836">
        <w:trPr>
          <w:jc w:val="center"/>
        </w:trPr>
        <w:tc>
          <w:tcPr>
            <w:tcW w:w="1190" w:type="dxa"/>
            <w:vMerge w:val="restart"/>
            <w:shd w:val="clear" w:color="auto" w:fill="auto"/>
            <w:vAlign w:val="center"/>
            <w:hideMark/>
          </w:tcPr>
          <w:p w14:paraId="1CA1A94A" w14:textId="77777777" w:rsidR="00E31FF0" w:rsidRPr="0081478A" w:rsidRDefault="00E31FF0" w:rsidP="00921836">
            <w:pPr>
              <w:pStyle w:val="ae"/>
              <w:rPr>
                <w:rFonts w:cs="Times New Roman"/>
                <w:bCs/>
              </w:rPr>
            </w:pPr>
            <w:r w:rsidRPr="0081478A">
              <w:rPr>
                <w:rFonts w:cs="Times New Roman"/>
                <w:b w:val="0"/>
                <w:bCs/>
              </w:rPr>
              <w:t>燃油燃气锅炉</w:t>
            </w:r>
          </w:p>
        </w:tc>
        <w:tc>
          <w:tcPr>
            <w:tcW w:w="756" w:type="dxa"/>
            <w:shd w:val="clear" w:color="auto" w:fill="auto"/>
            <w:vAlign w:val="center"/>
            <w:hideMark/>
          </w:tcPr>
          <w:p w14:paraId="00E83701" w14:textId="77777777" w:rsidR="00E31FF0" w:rsidRPr="0081478A" w:rsidRDefault="00E31FF0" w:rsidP="00921836">
            <w:pPr>
              <w:pStyle w:val="ae"/>
              <w:rPr>
                <w:rFonts w:cs="Times New Roman"/>
                <w:bCs/>
              </w:rPr>
            </w:pPr>
            <w:r w:rsidRPr="0081478A">
              <w:rPr>
                <w:rFonts w:cs="Times New Roman"/>
                <w:b w:val="0"/>
                <w:bCs/>
              </w:rPr>
              <w:t>重油</w:t>
            </w:r>
          </w:p>
        </w:tc>
        <w:tc>
          <w:tcPr>
            <w:tcW w:w="1722" w:type="dxa"/>
            <w:gridSpan w:val="2"/>
            <w:shd w:val="clear" w:color="auto" w:fill="auto"/>
            <w:vAlign w:val="center"/>
            <w:hideMark/>
          </w:tcPr>
          <w:p w14:paraId="6792E0E6" w14:textId="77777777" w:rsidR="00E31FF0" w:rsidRPr="0081478A" w:rsidRDefault="00E31FF0" w:rsidP="00921836">
            <w:pPr>
              <w:pStyle w:val="ae"/>
              <w:rPr>
                <w:rFonts w:cs="Times New Roman"/>
                <w:bCs/>
              </w:rPr>
            </w:pPr>
            <w:r w:rsidRPr="0081478A">
              <w:rPr>
                <w:rFonts w:cs="Times New Roman"/>
                <w:b w:val="0"/>
                <w:bCs/>
              </w:rPr>
              <w:t>86</w:t>
            </w:r>
          </w:p>
        </w:tc>
        <w:tc>
          <w:tcPr>
            <w:tcW w:w="3702" w:type="dxa"/>
            <w:gridSpan w:val="4"/>
            <w:shd w:val="clear" w:color="auto" w:fill="auto"/>
            <w:vAlign w:val="center"/>
            <w:hideMark/>
          </w:tcPr>
          <w:p w14:paraId="08CAD8F6" w14:textId="77777777" w:rsidR="00E31FF0" w:rsidRPr="0081478A" w:rsidRDefault="00E31FF0" w:rsidP="00921836">
            <w:pPr>
              <w:pStyle w:val="ae"/>
              <w:rPr>
                <w:rFonts w:cs="Times New Roman"/>
                <w:bCs/>
              </w:rPr>
            </w:pPr>
            <w:r w:rsidRPr="0081478A">
              <w:rPr>
                <w:rFonts w:cs="Times New Roman"/>
                <w:b w:val="0"/>
                <w:bCs/>
              </w:rPr>
              <w:t>88</w:t>
            </w:r>
          </w:p>
        </w:tc>
      </w:tr>
      <w:tr w:rsidR="0081478A" w:rsidRPr="0081478A" w14:paraId="7D23B958" w14:textId="77777777" w:rsidTr="00921836">
        <w:trPr>
          <w:jc w:val="center"/>
        </w:trPr>
        <w:tc>
          <w:tcPr>
            <w:tcW w:w="1190" w:type="dxa"/>
            <w:vMerge/>
            <w:shd w:val="clear" w:color="auto" w:fill="auto"/>
            <w:vAlign w:val="center"/>
            <w:hideMark/>
          </w:tcPr>
          <w:p w14:paraId="283E98A9" w14:textId="77777777" w:rsidR="00E31FF0" w:rsidRPr="0081478A" w:rsidRDefault="00E31FF0" w:rsidP="00921836">
            <w:pPr>
              <w:pStyle w:val="ae"/>
              <w:rPr>
                <w:rFonts w:cs="Times New Roman"/>
                <w:bCs/>
              </w:rPr>
            </w:pPr>
          </w:p>
        </w:tc>
        <w:tc>
          <w:tcPr>
            <w:tcW w:w="756" w:type="dxa"/>
            <w:shd w:val="clear" w:color="auto" w:fill="auto"/>
            <w:vAlign w:val="center"/>
            <w:hideMark/>
          </w:tcPr>
          <w:p w14:paraId="04734EE9" w14:textId="77777777" w:rsidR="00E31FF0" w:rsidRPr="0081478A" w:rsidRDefault="00E31FF0" w:rsidP="00921836">
            <w:pPr>
              <w:pStyle w:val="ae"/>
              <w:rPr>
                <w:rFonts w:cs="Times New Roman"/>
                <w:bCs/>
              </w:rPr>
            </w:pPr>
            <w:r w:rsidRPr="0081478A">
              <w:rPr>
                <w:rFonts w:cs="Times New Roman"/>
                <w:b w:val="0"/>
                <w:bCs/>
              </w:rPr>
              <w:t>轻油</w:t>
            </w:r>
          </w:p>
        </w:tc>
        <w:tc>
          <w:tcPr>
            <w:tcW w:w="1722" w:type="dxa"/>
            <w:gridSpan w:val="2"/>
            <w:shd w:val="clear" w:color="auto" w:fill="auto"/>
            <w:vAlign w:val="center"/>
            <w:hideMark/>
          </w:tcPr>
          <w:p w14:paraId="56A6E702" w14:textId="77777777" w:rsidR="00E31FF0" w:rsidRPr="0081478A" w:rsidRDefault="00E31FF0" w:rsidP="00921836">
            <w:pPr>
              <w:pStyle w:val="ae"/>
              <w:rPr>
                <w:rFonts w:cs="Times New Roman"/>
                <w:bCs/>
              </w:rPr>
            </w:pPr>
            <w:r w:rsidRPr="0081478A">
              <w:rPr>
                <w:rFonts w:cs="Times New Roman"/>
                <w:b w:val="0"/>
                <w:bCs/>
              </w:rPr>
              <w:t>88</w:t>
            </w:r>
          </w:p>
        </w:tc>
        <w:tc>
          <w:tcPr>
            <w:tcW w:w="3702" w:type="dxa"/>
            <w:gridSpan w:val="4"/>
            <w:shd w:val="clear" w:color="auto" w:fill="auto"/>
            <w:vAlign w:val="center"/>
            <w:hideMark/>
          </w:tcPr>
          <w:p w14:paraId="5BF91190" w14:textId="77777777" w:rsidR="00E31FF0" w:rsidRPr="0081478A" w:rsidRDefault="00E31FF0" w:rsidP="00921836">
            <w:pPr>
              <w:pStyle w:val="ae"/>
              <w:rPr>
                <w:rFonts w:cs="Times New Roman"/>
                <w:bCs/>
              </w:rPr>
            </w:pPr>
            <w:r w:rsidRPr="0081478A">
              <w:rPr>
                <w:rFonts w:cs="Times New Roman"/>
                <w:b w:val="0"/>
                <w:bCs/>
              </w:rPr>
              <w:t>90</w:t>
            </w:r>
          </w:p>
        </w:tc>
      </w:tr>
      <w:tr w:rsidR="0081478A" w:rsidRPr="0081478A" w14:paraId="350CDFAF" w14:textId="77777777" w:rsidTr="00921836">
        <w:trPr>
          <w:jc w:val="center"/>
        </w:trPr>
        <w:tc>
          <w:tcPr>
            <w:tcW w:w="1190" w:type="dxa"/>
            <w:vMerge/>
            <w:shd w:val="clear" w:color="auto" w:fill="auto"/>
            <w:vAlign w:val="center"/>
            <w:hideMark/>
          </w:tcPr>
          <w:p w14:paraId="5E8A64B8" w14:textId="77777777" w:rsidR="00E31FF0" w:rsidRPr="0081478A" w:rsidRDefault="00E31FF0" w:rsidP="00921836">
            <w:pPr>
              <w:pStyle w:val="ae"/>
              <w:rPr>
                <w:rFonts w:cs="Times New Roman"/>
                <w:bCs/>
              </w:rPr>
            </w:pPr>
          </w:p>
        </w:tc>
        <w:tc>
          <w:tcPr>
            <w:tcW w:w="756" w:type="dxa"/>
            <w:shd w:val="clear" w:color="auto" w:fill="auto"/>
            <w:vAlign w:val="center"/>
            <w:hideMark/>
          </w:tcPr>
          <w:p w14:paraId="7E46DB81" w14:textId="77777777" w:rsidR="00E31FF0" w:rsidRPr="0081478A" w:rsidRDefault="00E31FF0" w:rsidP="00921836">
            <w:pPr>
              <w:pStyle w:val="ae"/>
              <w:rPr>
                <w:rFonts w:cs="Times New Roman"/>
                <w:bCs/>
              </w:rPr>
            </w:pPr>
            <w:r w:rsidRPr="0081478A">
              <w:rPr>
                <w:rFonts w:cs="Times New Roman"/>
                <w:b w:val="0"/>
                <w:bCs/>
              </w:rPr>
              <w:t>燃气</w:t>
            </w:r>
          </w:p>
        </w:tc>
        <w:tc>
          <w:tcPr>
            <w:tcW w:w="1722" w:type="dxa"/>
            <w:gridSpan w:val="2"/>
            <w:shd w:val="clear" w:color="auto" w:fill="auto"/>
            <w:vAlign w:val="center"/>
            <w:hideMark/>
          </w:tcPr>
          <w:p w14:paraId="7F5FDCF2" w14:textId="77777777" w:rsidR="00E31FF0" w:rsidRPr="0081478A" w:rsidRDefault="00E31FF0" w:rsidP="00921836">
            <w:pPr>
              <w:pStyle w:val="ae"/>
              <w:rPr>
                <w:rFonts w:cs="Times New Roman"/>
                <w:bCs/>
              </w:rPr>
            </w:pPr>
            <w:r w:rsidRPr="0081478A">
              <w:rPr>
                <w:rFonts w:cs="Times New Roman"/>
                <w:b w:val="0"/>
                <w:bCs/>
              </w:rPr>
              <w:t>88</w:t>
            </w:r>
          </w:p>
        </w:tc>
        <w:tc>
          <w:tcPr>
            <w:tcW w:w="3702" w:type="dxa"/>
            <w:gridSpan w:val="4"/>
            <w:shd w:val="clear" w:color="auto" w:fill="auto"/>
            <w:vAlign w:val="center"/>
            <w:hideMark/>
          </w:tcPr>
          <w:p w14:paraId="1BAC1E23" w14:textId="77777777" w:rsidR="00E31FF0" w:rsidRPr="0081478A" w:rsidRDefault="00E31FF0" w:rsidP="00921836">
            <w:pPr>
              <w:pStyle w:val="ae"/>
              <w:rPr>
                <w:rFonts w:cs="Times New Roman"/>
                <w:bCs/>
              </w:rPr>
            </w:pPr>
            <w:r w:rsidRPr="0081478A">
              <w:rPr>
                <w:rFonts w:cs="Times New Roman"/>
                <w:b w:val="0"/>
                <w:bCs/>
              </w:rPr>
              <w:t>90</w:t>
            </w:r>
          </w:p>
        </w:tc>
      </w:tr>
      <w:tr w:rsidR="0081478A" w:rsidRPr="0081478A" w14:paraId="3DDAD706" w14:textId="77777777" w:rsidTr="00921836">
        <w:trPr>
          <w:jc w:val="center"/>
        </w:trPr>
        <w:tc>
          <w:tcPr>
            <w:tcW w:w="1190" w:type="dxa"/>
            <w:shd w:val="clear" w:color="auto" w:fill="auto"/>
            <w:vAlign w:val="center"/>
            <w:hideMark/>
          </w:tcPr>
          <w:p w14:paraId="49EE148A" w14:textId="77777777" w:rsidR="00E31FF0" w:rsidRPr="0081478A" w:rsidRDefault="00E31FF0" w:rsidP="00921836">
            <w:pPr>
              <w:pStyle w:val="ae"/>
              <w:rPr>
                <w:rFonts w:cs="Times New Roman"/>
                <w:bCs/>
              </w:rPr>
            </w:pPr>
            <w:r w:rsidRPr="0081478A">
              <w:rPr>
                <w:rFonts w:cs="Times New Roman"/>
                <w:b w:val="0"/>
                <w:bCs/>
              </w:rPr>
              <w:t>层状燃烧锅炉</w:t>
            </w:r>
          </w:p>
        </w:tc>
        <w:tc>
          <w:tcPr>
            <w:tcW w:w="756" w:type="dxa"/>
            <w:vMerge w:val="restart"/>
            <w:shd w:val="clear" w:color="auto" w:fill="auto"/>
            <w:vAlign w:val="center"/>
            <w:hideMark/>
          </w:tcPr>
          <w:p w14:paraId="4D96D56A" w14:textId="77777777" w:rsidR="00E31FF0" w:rsidRPr="0081478A" w:rsidRDefault="00E31FF0" w:rsidP="00921836">
            <w:pPr>
              <w:pStyle w:val="ae"/>
              <w:rPr>
                <w:rFonts w:cs="Times New Roman"/>
                <w:bCs/>
              </w:rPr>
            </w:pPr>
            <w:r w:rsidRPr="0081478A">
              <w:rPr>
                <w:rFonts w:cs="Times New Roman"/>
                <w:b w:val="0"/>
                <w:bCs/>
              </w:rPr>
              <w:t>Ⅲ</w:t>
            </w:r>
            <w:r w:rsidRPr="0081478A">
              <w:rPr>
                <w:rFonts w:cs="Times New Roman"/>
                <w:b w:val="0"/>
                <w:bCs/>
              </w:rPr>
              <w:t>类烟煤</w:t>
            </w:r>
          </w:p>
        </w:tc>
        <w:tc>
          <w:tcPr>
            <w:tcW w:w="728" w:type="dxa"/>
            <w:shd w:val="clear" w:color="auto" w:fill="auto"/>
            <w:vAlign w:val="center"/>
            <w:hideMark/>
          </w:tcPr>
          <w:p w14:paraId="2E8610D6" w14:textId="77777777" w:rsidR="00E31FF0" w:rsidRPr="0081478A" w:rsidRDefault="00E31FF0" w:rsidP="00921836">
            <w:pPr>
              <w:pStyle w:val="ae"/>
              <w:rPr>
                <w:rFonts w:cs="Times New Roman"/>
                <w:bCs/>
              </w:rPr>
            </w:pPr>
            <w:r w:rsidRPr="0081478A">
              <w:rPr>
                <w:rFonts w:cs="Times New Roman"/>
                <w:b w:val="0"/>
                <w:bCs/>
              </w:rPr>
              <w:t>75</w:t>
            </w:r>
          </w:p>
        </w:tc>
        <w:tc>
          <w:tcPr>
            <w:tcW w:w="994" w:type="dxa"/>
            <w:shd w:val="clear" w:color="auto" w:fill="auto"/>
            <w:vAlign w:val="center"/>
            <w:hideMark/>
          </w:tcPr>
          <w:p w14:paraId="6840A699" w14:textId="77777777" w:rsidR="00E31FF0" w:rsidRPr="0081478A" w:rsidRDefault="00E31FF0" w:rsidP="00921836">
            <w:pPr>
              <w:pStyle w:val="ae"/>
              <w:rPr>
                <w:rFonts w:cs="Times New Roman"/>
                <w:bCs/>
              </w:rPr>
            </w:pPr>
            <w:r w:rsidRPr="0081478A">
              <w:rPr>
                <w:rFonts w:cs="Times New Roman"/>
                <w:b w:val="0"/>
                <w:bCs/>
              </w:rPr>
              <w:t>78</w:t>
            </w:r>
          </w:p>
        </w:tc>
        <w:tc>
          <w:tcPr>
            <w:tcW w:w="1946" w:type="dxa"/>
            <w:gridSpan w:val="2"/>
            <w:shd w:val="clear" w:color="auto" w:fill="auto"/>
            <w:vAlign w:val="center"/>
            <w:hideMark/>
          </w:tcPr>
          <w:p w14:paraId="13443904" w14:textId="77777777" w:rsidR="00E31FF0" w:rsidRPr="0081478A" w:rsidRDefault="00E31FF0" w:rsidP="00921836">
            <w:pPr>
              <w:pStyle w:val="ae"/>
              <w:rPr>
                <w:rFonts w:cs="Times New Roman"/>
                <w:bCs/>
              </w:rPr>
            </w:pPr>
            <w:r w:rsidRPr="0081478A">
              <w:rPr>
                <w:rFonts w:cs="Times New Roman"/>
                <w:b w:val="0"/>
                <w:bCs/>
              </w:rPr>
              <w:t>80</w:t>
            </w:r>
          </w:p>
        </w:tc>
        <w:tc>
          <w:tcPr>
            <w:tcW w:w="979" w:type="dxa"/>
            <w:shd w:val="clear" w:color="auto" w:fill="auto"/>
            <w:vAlign w:val="center"/>
            <w:hideMark/>
          </w:tcPr>
          <w:p w14:paraId="3B4C047A" w14:textId="77777777" w:rsidR="00E31FF0" w:rsidRPr="0081478A" w:rsidRDefault="00E31FF0" w:rsidP="00921836">
            <w:pPr>
              <w:pStyle w:val="ae"/>
              <w:rPr>
                <w:rFonts w:cs="Times New Roman"/>
                <w:bCs/>
              </w:rPr>
            </w:pPr>
            <w:r w:rsidRPr="0081478A">
              <w:rPr>
                <w:rFonts w:cs="Times New Roman"/>
                <w:b w:val="0"/>
                <w:bCs/>
              </w:rPr>
              <w:t>81</w:t>
            </w:r>
          </w:p>
        </w:tc>
        <w:tc>
          <w:tcPr>
            <w:tcW w:w="777" w:type="dxa"/>
            <w:shd w:val="clear" w:color="auto" w:fill="auto"/>
            <w:vAlign w:val="center"/>
            <w:hideMark/>
          </w:tcPr>
          <w:p w14:paraId="6E5494BC" w14:textId="77777777" w:rsidR="00E31FF0" w:rsidRPr="0081478A" w:rsidRDefault="00E31FF0" w:rsidP="00921836">
            <w:pPr>
              <w:pStyle w:val="ae"/>
              <w:rPr>
                <w:rFonts w:cs="Times New Roman"/>
                <w:bCs/>
              </w:rPr>
            </w:pPr>
            <w:r w:rsidRPr="0081478A">
              <w:rPr>
                <w:rFonts w:cs="Times New Roman"/>
                <w:b w:val="0"/>
                <w:bCs/>
              </w:rPr>
              <w:t>82</w:t>
            </w:r>
          </w:p>
        </w:tc>
      </w:tr>
      <w:tr w:rsidR="0081478A" w:rsidRPr="0081478A" w14:paraId="1BD67E97" w14:textId="77777777" w:rsidTr="00921836">
        <w:trPr>
          <w:jc w:val="center"/>
        </w:trPr>
        <w:tc>
          <w:tcPr>
            <w:tcW w:w="1190" w:type="dxa"/>
            <w:shd w:val="clear" w:color="auto" w:fill="auto"/>
            <w:vAlign w:val="center"/>
            <w:hideMark/>
          </w:tcPr>
          <w:p w14:paraId="0F77DC39" w14:textId="77777777" w:rsidR="00E31FF0" w:rsidRPr="0081478A" w:rsidRDefault="00E31FF0" w:rsidP="00921836">
            <w:pPr>
              <w:pStyle w:val="ae"/>
              <w:rPr>
                <w:rFonts w:cs="Times New Roman"/>
                <w:bCs/>
              </w:rPr>
            </w:pPr>
            <w:r w:rsidRPr="0081478A">
              <w:rPr>
                <w:rFonts w:cs="Times New Roman"/>
                <w:b w:val="0"/>
                <w:bCs/>
              </w:rPr>
              <w:t>抛煤机链条</w:t>
            </w:r>
            <w:r w:rsidRPr="0081478A">
              <w:rPr>
                <w:rFonts w:cs="Times New Roman"/>
                <w:b w:val="0"/>
                <w:bCs/>
              </w:rPr>
              <w:br/>
            </w:r>
            <w:r w:rsidRPr="0081478A">
              <w:rPr>
                <w:rFonts w:cs="Times New Roman"/>
                <w:b w:val="0"/>
                <w:bCs/>
              </w:rPr>
              <w:t>炉排锅炉</w:t>
            </w:r>
          </w:p>
        </w:tc>
        <w:tc>
          <w:tcPr>
            <w:tcW w:w="756" w:type="dxa"/>
            <w:vMerge/>
            <w:shd w:val="clear" w:color="auto" w:fill="auto"/>
            <w:vAlign w:val="center"/>
            <w:hideMark/>
          </w:tcPr>
          <w:p w14:paraId="04481E6C" w14:textId="77777777" w:rsidR="00E31FF0" w:rsidRPr="0081478A" w:rsidRDefault="00E31FF0" w:rsidP="00921836">
            <w:pPr>
              <w:pStyle w:val="ae"/>
              <w:rPr>
                <w:rFonts w:cs="Times New Roman"/>
                <w:bCs/>
              </w:rPr>
            </w:pPr>
          </w:p>
        </w:tc>
        <w:tc>
          <w:tcPr>
            <w:tcW w:w="728" w:type="dxa"/>
            <w:shd w:val="clear" w:color="auto" w:fill="auto"/>
            <w:vAlign w:val="center"/>
            <w:hideMark/>
          </w:tcPr>
          <w:p w14:paraId="5DC3D30C" w14:textId="77777777" w:rsidR="00E31FF0" w:rsidRPr="0081478A" w:rsidRDefault="00E31FF0" w:rsidP="00921836">
            <w:pPr>
              <w:pStyle w:val="ae"/>
              <w:rPr>
                <w:rFonts w:cs="Times New Roman"/>
                <w:bCs/>
              </w:rPr>
            </w:pPr>
            <w:r w:rsidRPr="0081478A">
              <w:rPr>
                <w:rFonts w:cs="Times New Roman"/>
                <w:b w:val="0"/>
                <w:bCs/>
              </w:rPr>
              <w:t>—</w:t>
            </w:r>
          </w:p>
        </w:tc>
        <w:tc>
          <w:tcPr>
            <w:tcW w:w="994" w:type="dxa"/>
            <w:shd w:val="clear" w:color="auto" w:fill="auto"/>
            <w:vAlign w:val="center"/>
            <w:hideMark/>
          </w:tcPr>
          <w:p w14:paraId="3C846DF1" w14:textId="77777777" w:rsidR="00E31FF0" w:rsidRPr="0081478A" w:rsidRDefault="00E31FF0" w:rsidP="00921836">
            <w:pPr>
              <w:pStyle w:val="ae"/>
              <w:rPr>
                <w:rFonts w:cs="Times New Roman"/>
                <w:bCs/>
              </w:rPr>
            </w:pPr>
            <w:r w:rsidRPr="0081478A">
              <w:rPr>
                <w:rFonts w:cs="Times New Roman"/>
                <w:b w:val="0"/>
                <w:bCs/>
              </w:rPr>
              <w:t>—</w:t>
            </w:r>
          </w:p>
        </w:tc>
        <w:tc>
          <w:tcPr>
            <w:tcW w:w="952" w:type="dxa"/>
            <w:shd w:val="clear" w:color="auto" w:fill="auto"/>
            <w:vAlign w:val="center"/>
            <w:hideMark/>
          </w:tcPr>
          <w:p w14:paraId="3F7A96AF" w14:textId="77777777" w:rsidR="00E31FF0" w:rsidRPr="0081478A" w:rsidRDefault="00E31FF0" w:rsidP="00921836">
            <w:pPr>
              <w:pStyle w:val="ae"/>
              <w:rPr>
                <w:rFonts w:cs="Times New Roman"/>
                <w:bCs/>
              </w:rPr>
            </w:pPr>
            <w:r w:rsidRPr="0081478A">
              <w:rPr>
                <w:rFonts w:cs="Times New Roman"/>
                <w:b w:val="0"/>
                <w:bCs/>
              </w:rPr>
              <w:t>—</w:t>
            </w:r>
          </w:p>
        </w:tc>
        <w:tc>
          <w:tcPr>
            <w:tcW w:w="1973" w:type="dxa"/>
            <w:gridSpan w:val="2"/>
            <w:shd w:val="clear" w:color="auto" w:fill="auto"/>
            <w:vAlign w:val="center"/>
            <w:hideMark/>
          </w:tcPr>
          <w:p w14:paraId="5CF39323" w14:textId="77777777" w:rsidR="00E31FF0" w:rsidRPr="0081478A" w:rsidRDefault="00E31FF0" w:rsidP="00921836">
            <w:pPr>
              <w:pStyle w:val="ae"/>
              <w:rPr>
                <w:rFonts w:cs="Times New Roman"/>
                <w:bCs/>
              </w:rPr>
            </w:pPr>
            <w:r w:rsidRPr="0081478A">
              <w:rPr>
                <w:rFonts w:cs="Times New Roman"/>
                <w:b w:val="0"/>
                <w:bCs/>
              </w:rPr>
              <w:t>82</w:t>
            </w:r>
          </w:p>
        </w:tc>
        <w:tc>
          <w:tcPr>
            <w:tcW w:w="777" w:type="dxa"/>
            <w:shd w:val="clear" w:color="auto" w:fill="auto"/>
            <w:vAlign w:val="center"/>
            <w:hideMark/>
          </w:tcPr>
          <w:p w14:paraId="07607E35" w14:textId="77777777" w:rsidR="00E31FF0" w:rsidRPr="0081478A" w:rsidRDefault="00E31FF0" w:rsidP="00921836">
            <w:pPr>
              <w:pStyle w:val="ae"/>
              <w:rPr>
                <w:rFonts w:cs="Times New Roman"/>
                <w:bCs/>
              </w:rPr>
            </w:pPr>
            <w:r w:rsidRPr="0081478A">
              <w:rPr>
                <w:rFonts w:cs="Times New Roman"/>
                <w:b w:val="0"/>
                <w:bCs/>
              </w:rPr>
              <w:t>83</w:t>
            </w:r>
          </w:p>
        </w:tc>
      </w:tr>
      <w:tr w:rsidR="0081478A" w:rsidRPr="0081478A" w14:paraId="547CF492" w14:textId="77777777" w:rsidTr="00921836">
        <w:trPr>
          <w:jc w:val="center"/>
        </w:trPr>
        <w:tc>
          <w:tcPr>
            <w:tcW w:w="1190" w:type="dxa"/>
            <w:shd w:val="clear" w:color="auto" w:fill="auto"/>
            <w:vAlign w:val="center"/>
            <w:hideMark/>
          </w:tcPr>
          <w:p w14:paraId="0EC31756" w14:textId="77777777" w:rsidR="00E31FF0" w:rsidRPr="0081478A" w:rsidRDefault="00E31FF0" w:rsidP="00921836">
            <w:pPr>
              <w:pStyle w:val="ae"/>
              <w:rPr>
                <w:rFonts w:cs="Times New Roman"/>
                <w:bCs/>
              </w:rPr>
            </w:pPr>
            <w:r w:rsidRPr="0081478A">
              <w:rPr>
                <w:rFonts w:cs="Times New Roman"/>
                <w:b w:val="0"/>
                <w:bCs/>
              </w:rPr>
              <w:t>流化床燃烧锅炉</w:t>
            </w:r>
          </w:p>
        </w:tc>
        <w:tc>
          <w:tcPr>
            <w:tcW w:w="756" w:type="dxa"/>
            <w:vMerge/>
            <w:shd w:val="clear" w:color="auto" w:fill="auto"/>
            <w:vAlign w:val="center"/>
            <w:hideMark/>
          </w:tcPr>
          <w:p w14:paraId="6D6305B9" w14:textId="77777777" w:rsidR="00E31FF0" w:rsidRPr="0081478A" w:rsidRDefault="00E31FF0" w:rsidP="00921836">
            <w:pPr>
              <w:pStyle w:val="ae"/>
              <w:rPr>
                <w:rFonts w:cs="Times New Roman"/>
                <w:bCs/>
              </w:rPr>
            </w:pPr>
          </w:p>
        </w:tc>
        <w:tc>
          <w:tcPr>
            <w:tcW w:w="728" w:type="dxa"/>
            <w:shd w:val="clear" w:color="auto" w:fill="auto"/>
            <w:vAlign w:val="center"/>
            <w:hideMark/>
          </w:tcPr>
          <w:p w14:paraId="0ADF6EFD" w14:textId="77777777" w:rsidR="00E31FF0" w:rsidRPr="0081478A" w:rsidRDefault="00E31FF0" w:rsidP="00921836">
            <w:pPr>
              <w:pStyle w:val="ae"/>
              <w:rPr>
                <w:rFonts w:cs="Times New Roman"/>
                <w:bCs/>
              </w:rPr>
            </w:pPr>
            <w:r w:rsidRPr="0081478A">
              <w:rPr>
                <w:rFonts w:cs="Times New Roman"/>
                <w:b w:val="0"/>
                <w:bCs/>
              </w:rPr>
              <w:t>—</w:t>
            </w:r>
          </w:p>
        </w:tc>
        <w:tc>
          <w:tcPr>
            <w:tcW w:w="994" w:type="dxa"/>
            <w:shd w:val="clear" w:color="auto" w:fill="auto"/>
            <w:vAlign w:val="center"/>
            <w:hideMark/>
          </w:tcPr>
          <w:p w14:paraId="38B19F3A" w14:textId="77777777" w:rsidR="00E31FF0" w:rsidRPr="0081478A" w:rsidRDefault="00E31FF0" w:rsidP="00921836">
            <w:pPr>
              <w:pStyle w:val="ae"/>
              <w:rPr>
                <w:rFonts w:cs="Times New Roman"/>
                <w:bCs/>
              </w:rPr>
            </w:pPr>
            <w:r w:rsidRPr="0081478A">
              <w:rPr>
                <w:rFonts w:cs="Times New Roman"/>
                <w:b w:val="0"/>
                <w:bCs/>
              </w:rPr>
              <w:t>—</w:t>
            </w:r>
          </w:p>
        </w:tc>
        <w:tc>
          <w:tcPr>
            <w:tcW w:w="952" w:type="dxa"/>
            <w:shd w:val="clear" w:color="auto" w:fill="auto"/>
            <w:vAlign w:val="center"/>
            <w:hideMark/>
          </w:tcPr>
          <w:p w14:paraId="11363A35" w14:textId="77777777" w:rsidR="00E31FF0" w:rsidRPr="0081478A" w:rsidRDefault="00E31FF0" w:rsidP="00921836">
            <w:pPr>
              <w:pStyle w:val="ae"/>
              <w:rPr>
                <w:rFonts w:cs="Times New Roman"/>
                <w:bCs/>
              </w:rPr>
            </w:pPr>
            <w:r w:rsidRPr="0081478A">
              <w:rPr>
                <w:rFonts w:cs="Times New Roman"/>
                <w:b w:val="0"/>
                <w:bCs/>
              </w:rPr>
              <w:t>—</w:t>
            </w:r>
          </w:p>
        </w:tc>
        <w:tc>
          <w:tcPr>
            <w:tcW w:w="2750" w:type="dxa"/>
            <w:gridSpan w:val="3"/>
            <w:shd w:val="clear" w:color="auto" w:fill="auto"/>
            <w:vAlign w:val="center"/>
            <w:hideMark/>
          </w:tcPr>
          <w:p w14:paraId="6863B754" w14:textId="77777777" w:rsidR="00E31FF0" w:rsidRPr="0081478A" w:rsidRDefault="00E31FF0" w:rsidP="00921836">
            <w:pPr>
              <w:pStyle w:val="ae"/>
              <w:rPr>
                <w:rFonts w:cs="Times New Roman"/>
                <w:bCs/>
              </w:rPr>
            </w:pPr>
            <w:r w:rsidRPr="0081478A">
              <w:rPr>
                <w:rFonts w:cs="Times New Roman"/>
                <w:b w:val="0"/>
                <w:bCs/>
              </w:rPr>
              <w:t>84</w:t>
            </w:r>
          </w:p>
        </w:tc>
      </w:tr>
    </w:tbl>
    <w:p w14:paraId="1A320075" w14:textId="77777777" w:rsidR="00E31FF0" w:rsidRPr="0081478A" w:rsidRDefault="00E31FF0" w:rsidP="00E31FF0">
      <w:pPr>
        <w:ind w:firstLine="420"/>
        <w:rPr>
          <w:rFonts w:cs="Times New Roman"/>
        </w:rPr>
      </w:pPr>
    </w:p>
    <w:p w14:paraId="76D5F5C9" w14:textId="0C000695" w:rsidR="00E31FF0" w:rsidRPr="0081478A" w:rsidRDefault="00E31FF0" w:rsidP="00E31FF0">
      <w:pPr>
        <w:ind w:firstLine="420"/>
        <w:rPr>
          <w:rFonts w:cs="Times New Roman"/>
        </w:rPr>
      </w:pPr>
      <w:r w:rsidRPr="0081478A">
        <w:rPr>
          <w:rFonts w:cs="Times New Roman"/>
        </w:rPr>
        <w:t>采用电机驱动的蒸气压缩循环冷水（热泵）机组时，依据表</w:t>
      </w:r>
      <w:r w:rsidR="000B54A2" w:rsidRPr="0081478A">
        <w:rPr>
          <w:rFonts w:cs="Times New Roman"/>
        </w:rPr>
        <w:t>7.2.5-6</w:t>
      </w:r>
      <w:r w:rsidRPr="0081478A">
        <w:rPr>
          <w:rFonts w:cs="Times New Roman"/>
        </w:rPr>
        <w:t>，判定其制冷性能系数（</w:t>
      </w:r>
      <w:r w:rsidRPr="0081478A">
        <w:rPr>
          <w:rFonts w:cs="Times New Roman"/>
        </w:rPr>
        <w:t>COP</w:t>
      </w:r>
      <w:r w:rsidRPr="0081478A">
        <w:rPr>
          <w:rFonts w:cs="Times New Roman"/>
        </w:rPr>
        <w:t>）提高幅度。</w:t>
      </w:r>
    </w:p>
    <w:p w14:paraId="365F0ACC" w14:textId="215CC6BF" w:rsidR="00E31FF0" w:rsidRPr="00F83296" w:rsidRDefault="00E31FF0" w:rsidP="00E31FF0">
      <w:pPr>
        <w:pStyle w:val="7"/>
        <w:ind w:firstLine="420"/>
        <w:rPr>
          <w:rFonts w:ascii="Times New Roman" w:eastAsia="宋体" w:hAnsi="Times New Roman" w:cs="Times New Roman"/>
        </w:rPr>
      </w:pPr>
      <w:r w:rsidRPr="00F83296">
        <w:rPr>
          <w:rFonts w:ascii="Times New Roman" w:eastAsia="宋体" w:hAnsi="Times New Roman" w:cs="Times New Roman" w:hint="eastAsia"/>
        </w:rPr>
        <w:t>表</w:t>
      </w:r>
      <w:r w:rsidR="000B54A2" w:rsidRPr="00F83296">
        <w:rPr>
          <w:rFonts w:ascii="Times New Roman" w:eastAsia="宋体" w:hAnsi="Times New Roman" w:cs="Times New Roman"/>
        </w:rPr>
        <w:t>7.2.5-6</w:t>
      </w:r>
      <w:r w:rsidRPr="00F83296">
        <w:rPr>
          <w:rFonts w:ascii="Times New Roman" w:eastAsia="宋体" w:hAnsi="Times New Roman" w:cs="Times New Roman"/>
        </w:rPr>
        <w:t xml:space="preserve"> </w:t>
      </w:r>
      <w:r w:rsidRPr="00F83296">
        <w:rPr>
          <w:rFonts w:ascii="Times New Roman" w:eastAsia="宋体" w:hAnsi="Times New Roman" w:cs="Times New Roman" w:hint="eastAsia"/>
        </w:rPr>
        <w:t>名义制冷工况和规定条件下冷水（热泵）机组的制冷性能系数（</w:t>
      </w:r>
      <w:r w:rsidRPr="00F83296">
        <w:rPr>
          <w:rFonts w:ascii="Times New Roman" w:eastAsia="宋体" w:hAnsi="Times New Roman" w:cs="Times New Roman"/>
        </w:rPr>
        <w:t>COP</w:t>
      </w:r>
      <w:r w:rsidRPr="00F83296">
        <w:rPr>
          <w:rFonts w:ascii="Times New Roman" w:eastAsia="宋体" w:hAnsi="Times New Roman" w:cs="Times New Roman" w:hint="eastAsi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left w:w="57" w:type="dxa"/>
          <w:bottom w:w="28" w:type="dxa"/>
          <w:right w:w="57" w:type="dxa"/>
        </w:tblCellMar>
        <w:tblLook w:val="04A0" w:firstRow="1" w:lastRow="0" w:firstColumn="1" w:lastColumn="0" w:noHBand="0" w:noVBand="1"/>
      </w:tblPr>
      <w:tblGrid>
        <w:gridCol w:w="1423"/>
        <w:gridCol w:w="1673"/>
        <w:gridCol w:w="3274"/>
        <w:gridCol w:w="2056"/>
      </w:tblGrid>
      <w:tr w:rsidR="0081478A" w:rsidRPr="0081478A" w14:paraId="47BD7D83" w14:textId="77777777" w:rsidTr="005060B2">
        <w:trPr>
          <w:jc w:val="center"/>
        </w:trPr>
        <w:tc>
          <w:tcPr>
            <w:tcW w:w="1837" w:type="pct"/>
            <w:gridSpan w:val="2"/>
            <w:vMerge w:val="restart"/>
            <w:shd w:val="clear" w:color="auto" w:fill="auto"/>
            <w:vAlign w:val="center"/>
            <w:hideMark/>
          </w:tcPr>
          <w:p w14:paraId="772E03C1" w14:textId="77777777" w:rsidR="00E31FF0" w:rsidRPr="0081478A" w:rsidRDefault="00E31FF0" w:rsidP="00921836">
            <w:pPr>
              <w:pStyle w:val="ae"/>
              <w:rPr>
                <w:rFonts w:cs="Times New Roman"/>
                <w:bCs/>
              </w:rPr>
            </w:pPr>
            <w:r w:rsidRPr="0081478A">
              <w:rPr>
                <w:rFonts w:cs="Times New Roman"/>
                <w:b w:val="0"/>
                <w:bCs/>
              </w:rPr>
              <w:t>类型</w:t>
            </w:r>
          </w:p>
        </w:tc>
        <w:tc>
          <w:tcPr>
            <w:tcW w:w="1943" w:type="pct"/>
            <w:vMerge w:val="restart"/>
            <w:shd w:val="clear" w:color="auto" w:fill="auto"/>
            <w:vAlign w:val="center"/>
            <w:hideMark/>
          </w:tcPr>
          <w:p w14:paraId="3B53068A" w14:textId="77777777" w:rsidR="00E31FF0" w:rsidRPr="0081478A" w:rsidRDefault="00E31FF0" w:rsidP="00921836">
            <w:pPr>
              <w:pStyle w:val="ae"/>
              <w:rPr>
                <w:rFonts w:cs="Times New Roman"/>
                <w:bCs/>
              </w:rPr>
            </w:pPr>
            <w:r w:rsidRPr="0081478A">
              <w:rPr>
                <w:rFonts w:cs="Times New Roman"/>
                <w:b w:val="0"/>
                <w:bCs/>
              </w:rPr>
              <w:t>名义制冷量</w:t>
            </w:r>
            <w:r w:rsidRPr="0081478A">
              <w:rPr>
                <w:rFonts w:cs="Times New Roman"/>
                <w:b w:val="0"/>
                <w:bCs/>
              </w:rPr>
              <w:t>CC/kW</w:t>
            </w:r>
          </w:p>
        </w:tc>
        <w:tc>
          <w:tcPr>
            <w:tcW w:w="1220" w:type="pct"/>
            <w:shd w:val="clear" w:color="auto" w:fill="auto"/>
            <w:vAlign w:val="center"/>
            <w:hideMark/>
          </w:tcPr>
          <w:p w14:paraId="7B2EA6AF" w14:textId="77777777" w:rsidR="00E31FF0" w:rsidRPr="0081478A" w:rsidRDefault="00E31FF0" w:rsidP="00921836">
            <w:pPr>
              <w:pStyle w:val="ae"/>
              <w:rPr>
                <w:rFonts w:cs="Times New Roman"/>
                <w:bCs/>
              </w:rPr>
            </w:pPr>
            <w:r w:rsidRPr="0081478A">
              <w:rPr>
                <w:rFonts w:cs="Times New Roman"/>
                <w:b w:val="0"/>
                <w:bCs/>
              </w:rPr>
              <w:t>性能系数</w:t>
            </w:r>
            <w:r w:rsidRPr="0081478A">
              <w:rPr>
                <w:rFonts w:cs="Times New Roman"/>
                <w:b w:val="0"/>
                <w:bCs/>
              </w:rPr>
              <w:t>COP/</w:t>
            </w:r>
            <w:r w:rsidRPr="0081478A">
              <w:rPr>
                <w:rFonts w:cs="Times New Roman"/>
                <w:b w:val="0"/>
                <w:bCs/>
              </w:rPr>
              <w:t>（</w:t>
            </w:r>
            <w:r w:rsidRPr="0081478A">
              <w:rPr>
                <w:rFonts w:cs="Times New Roman"/>
                <w:b w:val="0"/>
                <w:bCs/>
              </w:rPr>
              <w:t>W/W</w:t>
            </w:r>
            <w:r w:rsidRPr="0081478A">
              <w:rPr>
                <w:rFonts w:cs="Times New Roman"/>
                <w:b w:val="0"/>
                <w:bCs/>
              </w:rPr>
              <w:t>）</w:t>
            </w:r>
          </w:p>
        </w:tc>
      </w:tr>
      <w:tr w:rsidR="005060B2" w:rsidRPr="0081478A" w14:paraId="3B803741" w14:textId="77777777" w:rsidTr="005060B2">
        <w:trPr>
          <w:jc w:val="center"/>
        </w:trPr>
        <w:tc>
          <w:tcPr>
            <w:tcW w:w="1837" w:type="pct"/>
            <w:gridSpan w:val="2"/>
            <w:vMerge/>
            <w:vAlign w:val="center"/>
            <w:hideMark/>
          </w:tcPr>
          <w:p w14:paraId="4B84E0D5" w14:textId="77777777" w:rsidR="005060B2" w:rsidRPr="0081478A" w:rsidRDefault="005060B2" w:rsidP="00921836">
            <w:pPr>
              <w:pStyle w:val="ae"/>
              <w:rPr>
                <w:rFonts w:cs="Times New Roman"/>
                <w:bCs/>
              </w:rPr>
            </w:pPr>
          </w:p>
        </w:tc>
        <w:tc>
          <w:tcPr>
            <w:tcW w:w="1943" w:type="pct"/>
            <w:vMerge/>
            <w:vAlign w:val="center"/>
            <w:hideMark/>
          </w:tcPr>
          <w:p w14:paraId="43B227D7" w14:textId="77777777" w:rsidR="005060B2" w:rsidRPr="0081478A" w:rsidRDefault="005060B2" w:rsidP="00921836">
            <w:pPr>
              <w:pStyle w:val="ae"/>
              <w:rPr>
                <w:rFonts w:cs="Times New Roman"/>
                <w:bCs/>
              </w:rPr>
            </w:pPr>
          </w:p>
        </w:tc>
        <w:tc>
          <w:tcPr>
            <w:tcW w:w="1220" w:type="pct"/>
            <w:shd w:val="clear" w:color="auto" w:fill="auto"/>
            <w:vAlign w:val="center"/>
            <w:hideMark/>
          </w:tcPr>
          <w:p w14:paraId="46AB8F72" w14:textId="77777777" w:rsidR="005060B2" w:rsidRPr="0081478A" w:rsidRDefault="005060B2" w:rsidP="00921836">
            <w:pPr>
              <w:pStyle w:val="ae"/>
              <w:rPr>
                <w:rFonts w:cs="Times New Roman"/>
                <w:bCs/>
              </w:rPr>
            </w:pPr>
            <w:r w:rsidRPr="0081478A">
              <w:rPr>
                <w:rFonts w:cs="Times New Roman"/>
                <w:b w:val="0"/>
                <w:bCs/>
              </w:rPr>
              <w:t>夏热冬冷地区</w:t>
            </w:r>
          </w:p>
        </w:tc>
      </w:tr>
      <w:tr w:rsidR="005060B2" w:rsidRPr="0081478A" w14:paraId="188CFB8F" w14:textId="77777777" w:rsidTr="005060B2">
        <w:trPr>
          <w:jc w:val="center"/>
        </w:trPr>
        <w:tc>
          <w:tcPr>
            <w:tcW w:w="844" w:type="pct"/>
            <w:vMerge w:val="restart"/>
            <w:shd w:val="clear" w:color="auto" w:fill="auto"/>
            <w:vAlign w:val="center"/>
            <w:hideMark/>
          </w:tcPr>
          <w:p w14:paraId="40D482B8" w14:textId="77777777" w:rsidR="005060B2" w:rsidRPr="0081478A" w:rsidRDefault="005060B2" w:rsidP="00921836">
            <w:pPr>
              <w:pStyle w:val="ae"/>
              <w:rPr>
                <w:rFonts w:cs="Times New Roman"/>
                <w:bCs/>
              </w:rPr>
            </w:pPr>
            <w:r w:rsidRPr="0081478A">
              <w:rPr>
                <w:rFonts w:cs="Times New Roman"/>
                <w:b w:val="0"/>
                <w:bCs/>
              </w:rPr>
              <w:t>水冷</w:t>
            </w:r>
          </w:p>
        </w:tc>
        <w:tc>
          <w:tcPr>
            <w:tcW w:w="993" w:type="pct"/>
            <w:shd w:val="clear" w:color="auto" w:fill="auto"/>
            <w:vAlign w:val="center"/>
            <w:hideMark/>
          </w:tcPr>
          <w:p w14:paraId="33A798F9" w14:textId="77777777" w:rsidR="005060B2" w:rsidRPr="0081478A" w:rsidRDefault="005060B2" w:rsidP="00921836">
            <w:pPr>
              <w:pStyle w:val="ae"/>
              <w:rPr>
                <w:rFonts w:cs="Times New Roman"/>
                <w:bCs/>
              </w:rPr>
            </w:pPr>
            <w:r w:rsidRPr="0081478A">
              <w:rPr>
                <w:rFonts w:cs="Times New Roman"/>
                <w:b w:val="0"/>
                <w:bCs/>
              </w:rPr>
              <w:t>活塞式</w:t>
            </w:r>
            <w:r w:rsidRPr="0081478A">
              <w:rPr>
                <w:rFonts w:cs="Times New Roman"/>
                <w:b w:val="0"/>
                <w:bCs/>
              </w:rPr>
              <w:t>/</w:t>
            </w:r>
            <w:r w:rsidRPr="0081478A">
              <w:rPr>
                <w:rFonts w:cs="Times New Roman"/>
                <w:b w:val="0"/>
                <w:bCs/>
              </w:rPr>
              <w:t>涡旋式</w:t>
            </w:r>
          </w:p>
        </w:tc>
        <w:tc>
          <w:tcPr>
            <w:tcW w:w="1943" w:type="pct"/>
            <w:shd w:val="clear" w:color="auto" w:fill="auto"/>
            <w:vAlign w:val="center"/>
            <w:hideMark/>
          </w:tcPr>
          <w:p w14:paraId="3FA450EA" w14:textId="77777777" w:rsidR="005060B2" w:rsidRPr="0081478A" w:rsidRDefault="005060B2" w:rsidP="00921836">
            <w:pPr>
              <w:pStyle w:val="ae"/>
              <w:rPr>
                <w:rFonts w:cs="Times New Roman"/>
                <w:bCs/>
              </w:rPr>
            </w:pPr>
            <w:r w:rsidRPr="0081478A">
              <w:rPr>
                <w:rFonts w:cs="Times New Roman"/>
                <w:b w:val="0"/>
                <w:bCs/>
              </w:rPr>
              <w:t>CC≤528</w:t>
            </w:r>
          </w:p>
        </w:tc>
        <w:tc>
          <w:tcPr>
            <w:tcW w:w="1220" w:type="pct"/>
            <w:shd w:val="clear" w:color="auto" w:fill="auto"/>
            <w:vAlign w:val="center"/>
            <w:hideMark/>
          </w:tcPr>
          <w:p w14:paraId="7FB62311" w14:textId="77777777" w:rsidR="005060B2" w:rsidRPr="0081478A" w:rsidRDefault="005060B2" w:rsidP="00921836">
            <w:pPr>
              <w:pStyle w:val="ae"/>
              <w:rPr>
                <w:rFonts w:cs="Times New Roman"/>
                <w:bCs/>
              </w:rPr>
            </w:pPr>
            <w:r w:rsidRPr="0081478A">
              <w:rPr>
                <w:rFonts w:cs="Times New Roman"/>
                <w:b w:val="0"/>
                <w:bCs/>
              </w:rPr>
              <w:t>4.20</w:t>
            </w:r>
          </w:p>
        </w:tc>
      </w:tr>
      <w:tr w:rsidR="005060B2" w:rsidRPr="0081478A" w14:paraId="3A93B7D2" w14:textId="77777777" w:rsidTr="005060B2">
        <w:trPr>
          <w:jc w:val="center"/>
        </w:trPr>
        <w:tc>
          <w:tcPr>
            <w:tcW w:w="844" w:type="pct"/>
            <w:vMerge/>
            <w:vAlign w:val="center"/>
            <w:hideMark/>
          </w:tcPr>
          <w:p w14:paraId="739B54FE" w14:textId="77777777" w:rsidR="005060B2" w:rsidRPr="0081478A" w:rsidRDefault="005060B2" w:rsidP="00921836">
            <w:pPr>
              <w:pStyle w:val="ae"/>
              <w:rPr>
                <w:rFonts w:cs="Times New Roman"/>
                <w:bCs/>
              </w:rPr>
            </w:pPr>
          </w:p>
        </w:tc>
        <w:tc>
          <w:tcPr>
            <w:tcW w:w="993" w:type="pct"/>
            <w:vMerge w:val="restart"/>
            <w:shd w:val="clear" w:color="auto" w:fill="auto"/>
            <w:vAlign w:val="center"/>
            <w:hideMark/>
          </w:tcPr>
          <w:p w14:paraId="29188F62" w14:textId="77777777" w:rsidR="005060B2" w:rsidRPr="0081478A" w:rsidRDefault="005060B2" w:rsidP="00921836">
            <w:pPr>
              <w:pStyle w:val="ae"/>
              <w:rPr>
                <w:rFonts w:cs="Times New Roman"/>
                <w:bCs/>
              </w:rPr>
            </w:pPr>
            <w:r w:rsidRPr="0081478A">
              <w:rPr>
                <w:rFonts w:cs="Times New Roman"/>
                <w:b w:val="0"/>
                <w:bCs/>
              </w:rPr>
              <w:t>螺杆式</w:t>
            </w:r>
          </w:p>
        </w:tc>
        <w:tc>
          <w:tcPr>
            <w:tcW w:w="1943" w:type="pct"/>
            <w:shd w:val="clear" w:color="auto" w:fill="auto"/>
            <w:vAlign w:val="center"/>
            <w:hideMark/>
          </w:tcPr>
          <w:p w14:paraId="2E4166DD" w14:textId="77777777" w:rsidR="005060B2" w:rsidRPr="0081478A" w:rsidRDefault="005060B2" w:rsidP="00921836">
            <w:pPr>
              <w:pStyle w:val="ae"/>
              <w:rPr>
                <w:rFonts w:cs="Times New Roman"/>
                <w:bCs/>
              </w:rPr>
            </w:pPr>
            <w:r w:rsidRPr="0081478A">
              <w:rPr>
                <w:rFonts w:cs="Times New Roman"/>
                <w:b w:val="0"/>
                <w:bCs/>
              </w:rPr>
              <w:t>CC≤528</w:t>
            </w:r>
          </w:p>
        </w:tc>
        <w:tc>
          <w:tcPr>
            <w:tcW w:w="1220" w:type="pct"/>
            <w:shd w:val="clear" w:color="auto" w:fill="auto"/>
            <w:vAlign w:val="center"/>
            <w:hideMark/>
          </w:tcPr>
          <w:p w14:paraId="1A21E091" w14:textId="77777777" w:rsidR="005060B2" w:rsidRPr="0081478A" w:rsidRDefault="005060B2" w:rsidP="00921836">
            <w:pPr>
              <w:pStyle w:val="ae"/>
              <w:rPr>
                <w:rFonts w:cs="Times New Roman"/>
                <w:bCs/>
              </w:rPr>
            </w:pPr>
            <w:r w:rsidRPr="0081478A">
              <w:rPr>
                <w:rFonts w:cs="Times New Roman"/>
                <w:b w:val="0"/>
                <w:bCs/>
              </w:rPr>
              <w:t>4.80</w:t>
            </w:r>
          </w:p>
        </w:tc>
      </w:tr>
      <w:tr w:rsidR="005060B2" w:rsidRPr="0081478A" w14:paraId="68AE2209" w14:textId="77777777" w:rsidTr="005060B2">
        <w:trPr>
          <w:jc w:val="center"/>
        </w:trPr>
        <w:tc>
          <w:tcPr>
            <w:tcW w:w="844" w:type="pct"/>
            <w:vMerge/>
            <w:vAlign w:val="center"/>
            <w:hideMark/>
          </w:tcPr>
          <w:p w14:paraId="4FFFD9B7" w14:textId="77777777" w:rsidR="005060B2" w:rsidRPr="0081478A" w:rsidRDefault="005060B2" w:rsidP="00921836">
            <w:pPr>
              <w:pStyle w:val="ae"/>
              <w:rPr>
                <w:rFonts w:cs="Times New Roman"/>
                <w:bCs/>
              </w:rPr>
            </w:pPr>
          </w:p>
        </w:tc>
        <w:tc>
          <w:tcPr>
            <w:tcW w:w="993" w:type="pct"/>
            <w:vMerge/>
            <w:vAlign w:val="center"/>
            <w:hideMark/>
          </w:tcPr>
          <w:p w14:paraId="255026EF" w14:textId="77777777" w:rsidR="005060B2" w:rsidRPr="0081478A" w:rsidRDefault="005060B2" w:rsidP="00921836">
            <w:pPr>
              <w:pStyle w:val="ae"/>
              <w:rPr>
                <w:rFonts w:cs="Times New Roman"/>
                <w:bCs/>
              </w:rPr>
            </w:pPr>
          </w:p>
        </w:tc>
        <w:tc>
          <w:tcPr>
            <w:tcW w:w="1943" w:type="pct"/>
            <w:shd w:val="clear" w:color="auto" w:fill="auto"/>
            <w:vAlign w:val="center"/>
            <w:hideMark/>
          </w:tcPr>
          <w:p w14:paraId="0EF2766B" w14:textId="77777777" w:rsidR="005060B2" w:rsidRPr="0081478A" w:rsidRDefault="005060B2" w:rsidP="00921836">
            <w:pPr>
              <w:pStyle w:val="ae"/>
              <w:rPr>
                <w:rFonts w:cs="Times New Roman"/>
                <w:bCs/>
              </w:rPr>
            </w:pPr>
            <w:r w:rsidRPr="0081478A">
              <w:rPr>
                <w:rFonts w:cs="Times New Roman"/>
                <w:b w:val="0"/>
                <w:bCs/>
              </w:rPr>
              <w:t>528</w:t>
            </w:r>
            <w:r w:rsidRPr="0081478A">
              <w:rPr>
                <w:rFonts w:cs="Times New Roman"/>
                <w:b w:val="0"/>
                <w:bCs/>
              </w:rPr>
              <w:t>＜</w:t>
            </w:r>
            <w:r w:rsidRPr="0081478A">
              <w:rPr>
                <w:rFonts w:cs="Times New Roman"/>
                <w:b w:val="0"/>
                <w:bCs/>
              </w:rPr>
              <w:t>CC≤1163</w:t>
            </w:r>
          </w:p>
        </w:tc>
        <w:tc>
          <w:tcPr>
            <w:tcW w:w="1220" w:type="pct"/>
            <w:shd w:val="clear" w:color="auto" w:fill="auto"/>
            <w:vAlign w:val="center"/>
            <w:hideMark/>
          </w:tcPr>
          <w:p w14:paraId="7602C232" w14:textId="77777777" w:rsidR="005060B2" w:rsidRPr="0081478A" w:rsidRDefault="005060B2" w:rsidP="00921836">
            <w:pPr>
              <w:pStyle w:val="ae"/>
              <w:rPr>
                <w:rFonts w:cs="Times New Roman"/>
                <w:bCs/>
              </w:rPr>
            </w:pPr>
            <w:r w:rsidRPr="0081478A">
              <w:rPr>
                <w:rFonts w:cs="Times New Roman"/>
                <w:b w:val="0"/>
                <w:bCs/>
              </w:rPr>
              <w:t>5.20</w:t>
            </w:r>
          </w:p>
        </w:tc>
      </w:tr>
      <w:tr w:rsidR="005060B2" w:rsidRPr="0081478A" w14:paraId="4008FD1B" w14:textId="77777777" w:rsidTr="005060B2">
        <w:trPr>
          <w:jc w:val="center"/>
        </w:trPr>
        <w:tc>
          <w:tcPr>
            <w:tcW w:w="844" w:type="pct"/>
            <w:vMerge/>
            <w:vAlign w:val="center"/>
            <w:hideMark/>
          </w:tcPr>
          <w:p w14:paraId="7B5CA169" w14:textId="77777777" w:rsidR="005060B2" w:rsidRPr="0081478A" w:rsidRDefault="005060B2" w:rsidP="00921836">
            <w:pPr>
              <w:pStyle w:val="ae"/>
              <w:rPr>
                <w:rFonts w:cs="Times New Roman"/>
                <w:bCs/>
              </w:rPr>
            </w:pPr>
          </w:p>
        </w:tc>
        <w:tc>
          <w:tcPr>
            <w:tcW w:w="993" w:type="pct"/>
            <w:vMerge/>
            <w:vAlign w:val="center"/>
            <w:hideMark/>
          </w:tcPr>
          <w:p w14:paraId="2BA939CC" w14:textId="77777777" w:rsidR="005060B2" w:rsidRPr="0081478A" w:rsidRDefault="005060B2" w:rsidP="00921836">
            <w:pPr>
              <w:pStyle w:val="ae"/>
              <w:rPr>
                <w:rFonts w:cs="Times New Roman"/>
                <w:bCs/>
              </w:rPr>
            </w:pPr>
          </w:p>
        </w:tc>
        <w:tc>
          <w:tcPr>
            <w:tcW w:w="1943" w:type="pct"/>
            <w:shd w:val="clear" w:color="auto" w:fill="auto"/>
            <w:vAlign w:val="center"/>
            <w:hideMark/>
          </w:tcPr>
          <w:p w14:paraId="161B1C4E"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1163</w:t>
            </w:r>
          </w:p>
        </w:tc>
        <w:tc>
          <w:tcPr>
            <w:tcW w:w="1220" w:type="pct"/>
            <w:shd w:val="clear" w:color="auto" w:fill="auto"/>
            <w:vAlign w:val="center"/>
            <w:hideMark/>
          </w:tcPr>
          <w:p w14:paraId="5011B5C5" w14:textId="77777777" w:rsidR="005060B2" w:rsidRPr="0081478A" w:rsidRDefault="005060B2" w:rsidP="00921836">
            <w:pPr>
              <w:pStyle w:val="ae"/>
              <w:rPr>
                <w:rFonts w:cs="Times New Roman"/>
                <w:bCs/>
              </w:rPr>
            </w:pPr>
            <w:r w:rsidRPr="0081478A">
              <w:rPr>
                <w:rFonts w:cs="Times New Roman"/>
                <w:b w:val="0"/>
                <w:bCs/>
              </w:rPr>
              <w:t>5.60</w:t>
            </w:r>
          </w:p>
        </w:tc>
      </w:tr>
      <w:tr w:rsidR="005060B2" w:rsidRPr="0081478A" w14:paraId="5E6DA993" w14:textId="77777777" w:rsidTr="005060B2">
        <w:trPr>
          <w:jc w:val="center"/>
        </w:trPr>
        <w:tc>
          <w:tcPr>
            <w:tcW w:w="844" w:type="pct"/>
            <w:vMerge/>
            <w:vAlign w:val="center"/>
            <w:hideMark/>
          </w:tcPr>
          <w:p w14:paraId="33E2DDC9" w14:textId="77777777" w:rsidR="005060B2" w:rsidRPr="0081478A" w:rsidRDefault="005060B2" w:rsidP="00921836">
            <w:pPr>
              <w:pStyle w:val="ae"/>
              <w:rPr>
                <w:rFonts w:cs="Times New Roman"/>
                <w:bCs/>
              </w:rPr>
            </w:pPr>
          </w:p>
        </w:tc>
        <w:tc>
          <w:tcPr>
            <w:tcW w:w="993" w:type="pct"/>
            <w:vMerge w:val="restart"/>
            <w:shd w:val="clear" w:color="auto" w:fill="auto"/>
            <w:vAlign w:val="center"/>
            <w:hideMark/>
          </w:tcPr>
          <w:p w14:paraId="21632DDB" w14:textId="77777777" w:rsidR="005060B2" w:rsidRPr="0081478A" w:rsidRDefault="005060B2" w:rsidP="00921836">
            <w:pPr>
              <w:pStyle w:val="ae"/>
              <w:rPr>
                <w:rFonts w:cs="Times New Roman"/>
                <w:bCs/>
              </w:rPr>
            </w:pPr>
            <w:r w:rsidRPr="0081478A">
              <w:rPr>
                <w:rFonts w:cs="Times New Roman"/>
                <w:b w:val="0"/>
                <w:bCs/>
              </w:rPr>
              <w:t>离心式</w:t>
            </w:r>
          </w:p>
        </w:tc>
        <w:tc>
          <w:tcPr>
            <w:tcW w:w="1943" w:type="pct"/>
            <w:shd w:val="clear" w:color="auto" w:fill="auto"/>
            <w:vAlign w:val="center"/>
            <w:hideMark/>
          </w:tcPr>
          <w:p w14:paraId="74E2E91F" w14:textId="77777777" w:rsidR="005060B2" w:rsidRPr="0081478A" w:rsidRDefault="005060B2" w:rsidP="00921836">
            <w:pPr>
              <w:pStyle w:val="ae"/>
              <w:rPr>
                <w:rFonts w:cs="Times New Roman"/>
                <w:bCs/>
              </w:rPr>
            </w:pPr>
            <w:r w:rsidRPr="0081478A">
              <w:rPr>
                <w:rFonts w:cs="Times New Roman"/>
                <w:b w:val="0"/>
                <w:bCs/>
              </w:rPr>
              <w:t>CC≤1163</w:t>
            </w:r>
          </w:p>
        </w:tc>
        <w:tc>
          <w:tcPr>
            <w:tcW w:w="1220" w:type="pct"/>
            <w:shd w:val="clear" w:color="auto" w:fill="auto"/>
            <w:vAlign w:val="center"/>
            <w:hideMark/>
          </w:tcPr>
          <w:p w14:paraId="43476DE5" w14:textId="77777777" w:rsidR="005060B2" w:rsidRPr="0081478A" w:rsidRDefault="005060B2" w:rsidP="00921836">
            <w:pPr>
              <w:pStyle w:val="ae"/>
              <w:rPr>
                <w:rFonts w:cs="Times New Roman"/>
                <w:bCs/>
              </w:rPr>
            </w:pPr>
            <w:r w:rsidRPr="0081478A">
              <w:rPr>
                <w:rFonts w:cs="Times New Roman"/>
                <w:b w:val="0"/>
                <w:bCs/>
              </w:rPr>
              <w:t>5.30</w:t>
            </w:r>
          </w:p>
        </w:tc>
      </w:tr>
      <w:tr w:rsidR="005060B2" w:rsidRPr="0081478A" w14:paraId="10E7D08E" w14:textId="77777777" w:rsidTr="005060B2">
        <w:trPr>
          <w:jc w:val="center"/>
        </w:trPr>
        <w:tc>
          <w:tcPr>
            <w:tcW w:w="844" w:type="pct"/>
            <w:vMerge/>
            <w:vAlign w:val="center"/>
            <w:hideMark/>
          </w:tcPr>
          <w:p w14:paraId="300F5A79" w14:textId="77777777" w:rsidR="005060B2" w:rsidRPr="0081478A" w:rsidRDefault="005060B2" w:rsidP="00921836">
            <w:pPr>
              <w:pStyle w:val="ae"/>
              <w:rPr>
                <w:rFonts w:cs="Times New Roman"/>
                <w:bCs/>
              </w:rPr>
            </w:pPr>
          </w:p>
        </w:tc>
        <w:tc>
          <w:tcPr>
            <w:tcW w:w="993" w:type="pct"/>
            <w:vMerge/>
            <w:vAlign w:val="center"/>
            <w:hideMark/>
          </w:tcPr>
          <w:p w14:paraId="580EA747" w14:textId="77777777" w:rsidR="005060B2" w:rsidRPr="0081478A" w:rsidRDefault="005060B2" w:rsidP="00921836">
            <w:pPr>
              <w:pStyle w:val="ae"/>
              <w:rPr>
                <w:rFonts w:cs="Times New Roman"/>
                <w:bCs/>
              </w:rPr>
            </w:pPr>
          </w:p>
        </w:tc>
        <w:tc>
          <w:tcPr>
            <w:tcW w:w="1943" w:type="pct"/>
            <w:shd w:val="clear" w:color="auto" w:fill="auto"/>
            <w:vAlign w:val="center"/>
            <w:hideMark/>
          </w:tcPr>
          <w:p w14:paraId="45342808" w14:textId="77777777" w:rsidR="005060B2" w:rsidRPr="0081478A" w:rsidRDefault="005060B2" w:rsidP="00921836">
            <w:pPr>
              <w:pStyle w:val="ae"/>
              <w:rPr>
                <w:rFonts w:cs="Times New Roman"/>
                <w:bCs/>
              </w:rPr>
            </w:pPr>
            <w:r w:rsidRPr="0081478A">
              <w:rPr>
                <w:rFonts w:cs="Times New Roman"/>
                <w:b w:val="0"/>
                <w:bCs/>
              </w:rPr>
              <w:t>1163</w:t>
            </w:r>
            <w:r w:rsidRPr="0081478A">
              <w:rPr>
                <w:rFonts w:cs="Times New Roman"/>
                <w:b w:val="0"/>
                <w:bCs/>
              </w:rPr>
              <w:t>＜</w:t>
            </w:r>
            <w:r w:rsidRPr="0081478A">
              <w:rPr>
                <w:rFonts w:cs="Times New Roman"/>
                <w:b w:val="0"/>
                <w:bCs/>
              </w:rPr>
              <w:t>CC≤2110</w:t>
            </w:r>
          </w:p>
        </w:tc>
        <w:tc>
          <w:tcPr>
            <w:tcW w:w="1220" w:type="pct"/>
            <w:shd w:val="clear" w:color="auto" w:fill="auto"/>
            <w:vAlign w:val="center"/>
            <w:hideMark/>
          </w:tcPr>
          <w:p w14:paraId="27ACDD9F" w14:textId="77777777" w:rsidR="005060B2" w:rsidRPr="0081478A" w:rsidRDefault="005060B2" w:rsidP="00921836">
            <w:pPr>
              <w:pStyle w:val="ae"/>
              <w:rPr>
                <w:rFonts w:cs="Times New Roman"/>
                <w:bCs/>
              </w:rPr>
            </w:pPr>
            <w:r w:rsidRPr="0081478A">
              <w:rPr>
                <w:rFonts w:cs="Times New Roman"/>
                <w:b w:val="0"/>
                <w:bCs/>
              </w:rPr>
              <w:t>5.60</w:t>
            </w:r>
          </w:p>
        </w:tc>
      </w:tr>
      <w:tr w:rsidR="005060B2" w:rsidRPr="0081478A" w14:paraId="657F81E1" w14:textId="77777777" w:rsidTr="005060B2">
        <w:trPr>
          <w:jc w:val="center"/>
        </w:trPr>
        <w:tc>
          <w:tcPr>
            <w:tcW w:w="844" w:type="pct"/>
            <w:vMerge/>
            <w:vAlign w:val="center"/>
            <w:hideMark/>
          </w:tcPr>
          <w:p w14:paraId="283880B9" w14:textId="77777777" w:rsidR="005060B2" w:rsidRPr="0081478A" w:rsidRDefault="005060B2" w:rsidP="00921836">
            <w:pPr>
              <w:pStyle w:val="ae"/>
              <w:rPr>
                <w:rFonts w:cs="Times New Roman"/>
                <w:bCs/>
              </w:rPr>
            </w:pPr>
          </w:p>
        </w:tc>
        <w:tc>
          <w:tcPr>
            <w:tcW w:w="993" w:type="pct"/>
            <w:vMerge/>
            <w:vAlign w:val="center"/>
            <w:hideMark/>
          </w:tcPr>
          <w:p w14:paraId="1AAF0855" w14:textId="77777777" w:rsidR="005060B2" w:rsidRPr="0081478A" w:rsidRDefault="005060B2" w:rsidP="00921836">
            <w:pPr>
              <w:pStyle w:val="ae"/>
              <w:rPr>
                <w:rFonts w:cs="Times New Roman"/>
                <w:bCs/>
              </w:rPr>
            </w:pPr>
          </w:p>
        </w:tc>
        <w:tc>
          <w:tcPr>
            <w:tcW w:w="1943" w:type="pct"/>
            <w:shd w:val="clear" w:color="auto" w:fill="auto"/>
            <w:vAlign w:val="center"/>
            <w:hideMark/>
          </w:tcPr>
          <w:p w14:paraId="47DF7786"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2110</w:t>
            </w:r>
          </w:p>
        </w:tc>
        <w:tc>
          <w:tcPr>
            <w:tcW w:w="1220" w:type="pct"/>
            <w:shd w:val="clear" w:color="auto" w:fill="auto"/>
            <w:vAlign w:val="center"/>
            <w:hideMark/>
          </w:tcPr>
          <w:p w14:paraId="3B0A4E55" w14:textId="77777777" w:rsidR="005060B2" w:rsidRPr="0081478A" w:rsidRDefault="005060B2" w:rsidP="00921836">
            <w:pPr>
              <w:pStyle w:val="ae"/>
              <w:rPr>
                <w:rFonts w:cs="Times New Roman"/>
                <w:bCs/>
              </w:rPr>
            </w:pPr>
            <w:r w:rsidRPr="0081478A">
              <w:rPr>
                <w:rFonts w:cs="Times New Roman"/>
                <w:b w:val="0"/>
                <w:bCs/>
              </w:rPr>
              <w:t>5.90</w:t>
            </w:r>
          </w:p>
        </w:tc>
      </w:tr>
      <w:tr w:rsidR="005060B2" w:rsidRPr="0081478A" w14:paraId="27928CA2" w14:textId="77777777" w:rsidTr="005060B2">
        <w:trPr>
          <w:jc w:val="center"/>
        </w:trPr>
        <w:tc>
          <w:tcPr>
            <w:tcW w:w="844" w:type="pct"/>
            <w:vMerge w:val="restart"/>
            <w:shd w:val="clear" w:color="auto" w:fill="auto"/>
            <w:vAlign w:val="center"/>
            <w:hideMark/>
          </w:tcPr>
          <w:p w14:paraId="67A6898D" w14:textId="77777777" w:rsidR="005060B2" w:rsidRPr="0081478A" w:rsidRDefault="005060B2" w:rsidP="00921836">
            <w:pPr>
              <w:pStyle w:val="ae"/>
              <w:rPr>
                <w:rFonts w:cs="Times New Roman"/>
                <w:bCs/>
              </w:rPr>
            </w:pPr>
            <w:r w:rsidRPr="0081478A">
              <w:rPr>
                <w:rFonts w:cs="Times New Roman"/>
                <w:b w:val="0"/>
                <w:bCs/>
              </w:rPr>
              <w:t>风冷</w:t>
            </w:r>
            <w:r w:rsidRPr="0081478A">
              <w:rPr>
                <w:rFonts w:cs="Times New Roman"/>
                <w:b w:val="0"/>
                <w:bCs/>
              </w:rPr>
              <w:br/>
            </w:r>
            <w:r w:rsidRPr="0081478A">
              <w:rPr>
                <w:rFonts w:cs="Times New Roman"/>
                <w:b w:val="0"/>
                <w:bCs/>
              </w:rPr>
              <w:t>或蒸</w:t>
            </w:r>
            <w:r w:rsidRPr="0081478A">
              <w:rPr>
                <w:rFonts w:cs="Times New Roman"/>
                <w:b w:val="0"/>
                <w:bCs/>
              </w:rPr>
              <w:br/>
            </w:r>
            <w:r w:rsidRPr="0081478A">
              <w:rPr>
                <w:rFonts w:cs="Times New Roman"/>
                <w:b w:val="0"/>
                <w:bCs/>
              </w:rPr>
              <w:t>发冷</w:t>
            </w:r>
            <w:r w:rsidRPr="0081478A">
              <w:rPr>
                <w:rFonts w:cs="Times New Roman"/>
                <w:b w:val="0"/>
                <w:bCs/>
              </w:rPr>
              <w:br/>
            </w:r>
            <w:r w:rsidRPr="0081478A">
              <w:rPr>
                <w:rFonts w:cs="Times New Roman"/>
                <w:b w:val="0"/>
                <w:bCs/>
              </w:rPr>
              <w:t>却</w:t>
            </w:r>
          </w:p>
        </w:tc>
        <w:tc>
          <w:tcPr>
            <w:tcW w:w="993" w:type="pct"/>
            <w:vMerge w:val="restart"/>
            <w:shd w:val="clear" w:color="auto" w:fill="auto"/>
            <w:vAlign w:val="center"/>
            <w:hideMark/>
          </w:tcPr>
          <w:p w14:paraId="7AF7C6E0" w14:textId="77777777" w:rsidR="005060B2" w:rsidRPr="0081478A" w:rsidRDefault="005060B2" w:rsidP="00921836">
            <w:pPr>
              <w:pStyle w:val="ae"/>
              <w:rPr>
                <w:rFonts w:cs="Times New Roman"/>
                <w:bCs/>
              </w:rPr>
            </w:pPr>
            <w:r w:rsidRPr="0081478A">
              <w:rPr>
                <w:rFonts w:cs="Times New Roman"/>
                <w:b w:val="0"/>
                <w:bCs/>
              </w:rPr>
              <w:t>活塞式</w:t>
            </w:r>
            <w:r w:rsidRPr="0081478A">
              <w:rPr>
                <w:rFonts w:cs="Times New Roman"/>
                <w:b w:val="0"/>
                <w:bCs/>
              </w:rPr>
              <w:t>/</w:t>
            </w:r>
            <w:r w:rsidRPr="0081478A">
              <w:rPr>
                <w:rFonts w:cs="Times New Roman"/>
                <w:b w:val="0"/>
                <w:bCs/>
              </w:rPr>
              <w:t>涡旋式</w:t>
            </w:r>
          </w:p>
        </w:tc>
        <w:tc>
          <w:tcPr>
            <w:tcW w:w="1943" w:type="pct"/>
            <w:shd w:val="clear" w:color="auto" w:fill="auto"/>
            <w:vAlign w:val="center"/>
            <w:hideMark/>
          </w:tcPr>
          <w:p w14:paraId="0E958BB8" w14:textId="77777777" w:rsidR="005060B2" w:rsidRPr="0081478A" w:rsidRDefault="005060B2" w:rsidP="00921836">
            <w:pPr>
              <w:pStyle w:val="ae"/>
              <w:rPr>
                <w:rFonts w:cs="Times New Roman"/>
                <w:bCs/>
              </w:rPr>
            </w:pPr>
            <w:r w:rsidRPr="0081478A">
              <w:rPr>
                <w:rFonts w:cs="Times New Roman"/>
                <w:b w:val="0"/>
                <w:bCs/>
              </w:rPr>
              <w:t>CC≤50</w:t>
            </w:r>
          </w:p>
        </w:tc>
        <w:tc>
          <w:tcPr>
            <w:tcW w:w="1220" w:type="pct"/>
            <w:shd w:val="clear" w:color="auto" w:fill="auto"/>
            <w:vAlign w:val="center"/>
            <w:hideMark/>
          </w:tcPr>
          <w:p w14:paraId="4962EF3B" w14:textId="77777777" w:rsidR="005060B2" w:rsidRPr="0081478A" w:rsidRDefault="005060B2" w:rsidP="00921836">
            <w:pPr>
              <w:pStyle w:val="ae"/>
              <w:rPr>
                <w:rFonts w:cs="Times New Roman"/>
                <w:bCs/>
              </w:rPr>
            </w:pPr>
            <w:r w:rsidRPr="0081478A">
              <w:rPr>
                <w:rFonts w:cs="Times New Roman"/>
                <w:b w:val="0"/>
                <w:bCs/>
              </w:rPr>
              <w:t>2.70</w:t>
            </w:r>
          </w:p>
        </w:tc>
      </w:tr>
      <w:tr w:rsidR="005060B2" w:rsidRPr="0081478A" w14:paraId="5F7DC3B1" w14:textId="77777777" w:rsidTr="005060B2">
        <w:trPr>
          <w:jc w:val="center"/>
        </w:trPr>
        <w:tc>
          <w:tcPr>
            <w:tcW w:w="844" w:type="pct"/>
            <w:vMerge/>
            <w:vAlign w:val="center"/>
            <w:hideMark/>
          </w:tcPr>
          <w:p w14:paraId="3C29DFEB" w14:textId="77777777" w:rsidR="005060B2" w:rsidRPr="0081478A" w:rsidRDefault="005060B2" w:rsidP="00921836">
            <w:pPr>
              <w:pStyle w:val="ae"/>
              <w:rPr>
                <w:rFonts w:cs="Times New Roman"/>
                <w:bCs/>
              </w:rPr>
            </w:pPr>
          </w:p>
        </w:tc>
        <w:tc>
          <w:tcPr>
            <w:tcW w:w="993" w:type="pct"/>
            <w:vMerge/>
            <w:vAlign w:val="center"/>
            <w:hideMark/>
          </w:tcPr>
          <w:p w14:paraId="2D8015A3" w14:textId="77777777" w:rsidR="005060B2" w:rsidRPr="0081478A" w:rsidRDefault="005060B2" w:rsidP="00921836">
            <w:pPr>
              <w:pStyle w:val="ae"/>
              <w:rPr>
                <w:rFonts w:cs="Times New Roman"/>
                <w:bCs/>
              </w:rPr>
            </w:pPr>
          </w:p>
        </w:tc>
        <w:tc>
          <w:tcPr>
            <w:tcW w:w="1943" w:type="pct"/>
            <w:shd w:val="clear" w:color="auto" w:fill="auto"/>
            <w:vAlign w:val="center"/>
            <w:hideMark/>
          </w:tcPr>
          <w:p w14:paraId="25CACAD5"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50</w:t>
            </w:r>
          </w:p>
        </w:tc>
        <w:tc>
          <w:tcPr>
            <w:tcW w:w="1220" w:type="pct"/>
            <w:shd w:val="clear" w:color="auto" w:fill="auto"/>
            <w:vAlign w:val="center"/>
            <w:hideMark/>
          </w:tcPr>
          <w:p w14:paraId="469F8E7E" w14:textId="77777777" w:rsidR="005060B2" w:rsidRPr="0081478A" w:rsidRDefault="005060B2" w:rsidP="00921836">
            <w:pPr>
              <w:pStyle w:val="ae"/>
              <w:rPr>
                <w:rFonts w:cs="Times New Roman"/>
                <w:bCs/>
              </w:rPr>
            </w:pPr>
            <w:r w:rsidRPr="0081478A">
              <w:rPr>
                <w:rFonts w:cs="Times New Roman"/>
                <w:b w:val="0"/>
                <w:bCs/>
              </w:rPr>
              <w:t>2.90</w:t>
            </w:r>
          </w:p>
        </w:tc>
      </w:tr>
      <w:tr w:rsidR="005060B2" w:rsidRPr="0081478A" w14:paraId="57338CF5" w14:textId="77777777" w:rsidTr="005060B2">
        <w:trPr>
          <w:jc w:val="center"/>
        </w:trPr>
        <w:tc>
          <w:tcPr>
            <w:tcW w:w="844" w:type="pct"/>
            <w:vMerge/>
            <w:vAlign w:val="center"/>
            <w:hideMark/>
          </w:tcPr>
          <w:p w14:paraId="76C95376" w14:textId="77777777" w:rsidR="005060B2" w:rsidRPr="0081478A" w:rsidRDefault="005060B2" w:rsidP="00921836">
            <w:pPr>
              <w:pStyle w:val="ae"/>
              <w:rPr>
                <w:rFonts w:cs="Times New Roman"/>
                <w:bCs/>
              </w:rPr>
            </w:pPr>
          </w:p>
        </w:tc>
        <w:tc>
          <w:tcPr>
            <w:tcW w:w="993" w:type="pct"/>
            <w:vMerge w:val="restart"/>
            <w:shd w:val="clear" w:color="auto" w:fill="auto"/>
            <w:vAlign w:val="center"/>
            <w:hideMark/>
          </w:tcPr>
          <w:p w14:paraId="2493C0DE" w14:textId="77777777" w:rsidR="005060B2" w:rsidRPr="0081478A" w:rsidRDefault="005060B2" w:rsidP="00921836">
            <w:pPr>
              <w:pStyle w:val="ae"/>
              <w:rPr>
                <w:rFonts w:cs="Times New Roman"/>
                <w:bCs/>
              </w:rPr>
            </w:pPr>
            <w:r w:rsidRPr="0081478A">
              <w:rPr>
                <w:rFonts w:cs="Times New Roman"/>
                <w:b w:val="0"/>
                <w:bCs/>
              </w:rPr>
              <w:t>螺杆式</w:t>
            </w:r>
          </w:p>
        </w:tc>
        <w:tc>
          <w:tcPr>
            <w:tcW w:w="1943" w:type="pct"/>
            <w:shd w:val="clear" w:color="auto" w:fill="auto"/>
            <w:vAlign w:val="center"/>
            <w:hideMark/>
          </w:tcPr>
          <w:p w14:paraId="535AC6CF" w14:textId="77777777" w:rsidR="005060B2" w:rsidRPr="0081478A" w:rsidRDefault="005060B2" w:rsidP="00921836">
            <w:pPr>
              <w:pStyle w:val="ae"/>
              <w:rPr>
                <w:rFonts w:cs="Times New Roman"/>
                <w:bCs/>
              </w:rPr>
            </w:pPr>
            <w:r w:rsidRPr="0081478A">
              <w:rPr>
                <w:rFonts w:cs="Times New Roman"/>
                <w:b w:val="0"/>
                <w:bCs/>
              </w:rPr>
              <w:t>CC≤50</w:t>
            </w:r>
          </w:p>
        </w:tc>
        <w:tc>
          <w:tcPr>
            <w:tcW w:w="1220" w:type="pct"/>
            <w:shd w:val="clear" w:color="auto" w:fill="auto"/>
            <w:vAlign w:val="center"/>
            <w:hideMark/>
          </w:tcPr>
          <w:p w14:paraId="5B9B244A" w14:textId="77777777" w:rsidR="005060B2" w:rsidRPr="0081478A" w:rsidRDefault="005060B2" w:rsidP="00921836">
            <w:pPr>
              <w:pStyle w:val="ae"/>
              <w:rPr>
                <w:rFonts w:cs="Times New Roman"/>
                <w:bCs/>
              </w:rPr>
            </w:pPr>
            <w:r w:rsidRPr="0081478A">
              <w:rPr>
                <w:rFonts w:cs="Times New Roman"/>
                <w:b w:val="0"/>
                <w:bCs/>
              </w:rPr>
              <w:t>2.90</w:t>
            </w:r>
          </w:p>
        </w:tc>
      </w:tr>
      <w:tr w:rsidR="005060B2" w:rsidRPr="0081478A" w14:paraId="4F7FDAB7" w14:textId="77777777" w:rsidTr="005060B2">
        <w:trPr>
          <w:jc w:val="center"/>
        </w:trPr>
        <w:tc>
          <w:tcPr>
            <w:tcW w:w="844" w:type="pct"/>
            <w:vMerge/>
            <w:vAlign w:val="center"/>
            <w:hideMark/>
          </w:tcPr>
          <w:p w14:paraId="6FB380EC" w14:textId="77777777" w:rsidR="005060B2" w:rsidRPr="0081478A" w:rsidRDefault="005060B2" w:rsidP="00921836">
            <w:pPr>
              <w:pStyle w:val="ae"/>
              <w:rPr>
                <w:rFonts w:cs="Times New Roman"/>
                <w:bCs/>
              </w:rPr>
            </w:pPr>
          </w:p>
        </w:tc>
        <w:tc>
          <w:tcPr>
            <w:tcW w:w="993" w:type="pct"/>
            <w:vMerge/>
            <w:vAlign w:val="center"/>
            <w:hideMark/>
          </w:tcPr>
          <w:p w14:paraId="5465C97B" w14:textId="77777777" w:rsidR="005060B2" w:rsidRPr="0081478A" w:rsidRDefault="005060B2" w:rsidP="00921836">
            <w:pPr>
              <w:pStyle w:val="ae"/>
              <w:rPr>
                <w:rFonts w:cs="Times New Roman"/>
                <w:bCs/>
              </w:rPr>
            </w:pPr>
          </w:p>
        </w:tc>
        <w:tc>
          <w:tcPr>
            <w:tcW w:w="1943" w:type="pct"/>
            <w:shd w:val="clear" w:color="auto" w:fill="auto"/>
            <w:vAlign w:val="center"/>
            <w:hideMark/>
          </w:tcPr>
          <w:p w14:paraId="5FEF5550" w14:textId="77777777" w:rsidR="005060B2" w:rsidRPr="0081478A" w:rsidRDefault="005060B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50</w:t>
            </w:r>
          </w:p>
        </w:tc>
        <w:tc>
          <w:tcPr>
            <w:tcW w:w="1220" w:type="pct"/>
            <w:shd w:val="clear" w:color="auto" w:fill="auto"/>
            <w:vAlign w:val="center"/>
            <w:hideMark/>
          </w:tcPr>
          <w:p w14:paraId="79BABA37" w14:textId="77777777" w:rsidR="005060B2" w:rsidRPr="0081478A" w:rsidRDefault="005060B2" w:rsidP="00921836">
            <w:pPr>
              <w:pStyle w:val="ae"/>
              <w:rPr>
                <w:rFonts w:cs="Times New Roman"/>
                <w:bCs/>
              </w:rPr>
            </w:pPr>
            <w:r w:rsidRPr="0081478A">
              <w:rPr>
                <w:rFonts w:cs="Times New Roman"/>
                <w:b w:val="0"/>
                <w:bCs/>
              </w:rPr>
              <w:t>3.00</w:t>
            </w:r>
          </w:p>
        </w:tc>
      </w:tr>
    </w:tbl>
    <w:p w14:paraId="76F67D56" w14:textId="77777777" w:rsidR="00E31FF0" w:rsidRPr="0081478A" w:rsidRDefault="00E31FF0" w:rsidP="00E31FF0">
      <w:pPr>
        <w:pStyle w:val="9"/>
        <w:ind w:firstLine="420"/>
      </w:pPr>
    </w:p>
    <w:p w14:paraId="09431D87" w14:textId="59B1F875" w:rsidR="00E31FF0" w:rsidRPr="0081478A" w:rsidRDefault="00E31FF0" w:rsidP="00E31FF0">
      <w:pPr>
        <w:ind w:firstLine="420"/>
        <w:rPr>
          <w:rFonts w:cs="Times New Roman"/>
        </w:rPr>
      </w:pPr>
      <w:r w:rsidRPr="0081478A">
        <w:rPr>
          <w:rFonts w:cs="Times New Roman"/>
        </w:rPr>
        <w:t>采用蒸汽型机组时，根据实测单位制冷量蒸汽耗量分级，依据表</w:t>
      </w:r>
      <w:r w:rsidR="000B54A2" w:rsidRPr="0081478A">
        <w:rPr>
          <w:rFonts w:cs="Times New Roman"/>
        </w:rPr>
        <w:t>7.2.5-7</w:t>
      </w:r>
      <w:r w:rsidRPr="0081478A">
        <w:rPr>
          <w:rFonts w:cs="Times New Roman"/>
        </w:rPr>
        <w:t>，判定其性能参数的降低幅度。采用直燃型溴化锂吸收式冷（温）水机组时，依据表</w:t>
      </w:r>
      <w:r w:rsidR="000B54A2" w:rsidRPr="0081478A">
        <w:rPr>
          <w:rFonts w:cs="Times New Roman"/>
        </w:rPr>
        <w:t>7.2.5-8</w:t>
      </w:r>
      <w:r w:rsidRPr="0081478A">
        <w:rPr>
          <w:rFonts w:cs="Times New Roman"/>
        </w:rPr>
        <w:t>，判定其性能参数提高幅度。</w:t>
      </w:r>
    </w:p>
    <w:p w14:paraId="1F3F20B8" w14:textId="30151CA2" w:rsidR="00E31FF0" w:rsidRPr="0081478A" w:rsidRDefault="00E31FF0" w:rsidP="00921836">
      <w:pPr>
        <w:pStyle w:val="ae"/>
        <w:rPr>
          <w:rFonts w:cs="Times New Roman"/>
          <w:bCs/>
        </w:rPr>
      </w:pPr>
      <w:r w:rsidRPr="0081478A">
        <w:rPr>
          <w:rFonts w:cs="Times New Roman"/>
          <w:b w:val="0"/>
          <w:bCs/>
        </w:rPr>
        <w:t>表</w:t>
      </w:r>
      <w:r w:rsidR="000B54A2" w:rsidRPr="0081478A">
        <w:rPr>
          <w:rFonts w:cs="Times New Roman"/>
          <w:b w:val="0"/>
          <w:bCs/>
        </w:rPr>
        <w:t>7.2.5-7</w:t>
      </w:r>
      <w:r w:rsidRPr="0081478A">
        <w:rPr>
          <w:rFonts w:cs="Times New Roman"/>
          <w:b w:val="0"/>
          <w:bCs/>
        </w:rPr>
        <w:t xml:space="preserve"> </w:t>
      </w:r>
      <w:r w:rsidRPr="0081478A">
        <w:rPr>
          <w:rFonts w:cs="Times New Roman"/>
          <w:b w:val="0"/>
          <w:bCs/>
        </w:rPr>
        <w:t>名义工况和规定条件下蒸汽型溴化锂吸收式冷（温）水机组的性能参数</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28" w:type="dxa"/>
        </w:tblCellMar>
        <w:tblLook w:val="04A0" w:firstRow="1" w:lastRow="0" w:firstColumn="1" w:lastColumn="0" w:noHBand="0" w:noVBand="1"/>
      </w:tblPr>
      <w:tblGrid>
        <w:gridCol w:w="2502"/>
        <w:gridCol w:w="1650"/>
        <w:gridCol w:w="1069"/>
        <w:gridCol w:w="1070"/>
        <w:gridCol w:w="1066"/>
        <w:gridCol w:w="13"/>
      </w:tblGrid>
      <w:tr w:rsidR="0081478A" w:rsidRPr="0081478A" w14:paraId="11265FE0" w14:textId="77777777" w:rsidTr="00921836">
        <w:trPr>
          <w:jc w:val="center"/>
        </w:trPr>
        <w:tc>
          <w:tcPr>
            <w:tcW w:w="4152" w:type="dxa"/>
            <w:gridSpan w:val="2"/>
            <w:shd w:val="clear" w:color="auto" w:fill="auto"/>
            <w:vAlign w:val="center"/>
            <w:hideMark/>
          </w:tcPr>
          <w:p w14:paraId="53D70749" w14:textId="77777777" w:rsidR="00E31FF0" w:rsidRPr="0081478A" w:rsidRDefault="00E31FF0" w:rsidP="00921836">
            <w:pPr>
              <w:pStyle w:val="ae"/>
              <w:rPr>
                <w:rFonts w:cs="Times New Roman"/>
                <w:bCs/>
              </w:rPr>
            </w:pPr>
            <w:r w:rsidRPr="0081478A">
              <w:rPr>
                <w:rFonts w:cs="Times New Roman"/>
                <w:b w:val="0"/>
                <w:bCs/>
              </w:rPr>
              <w:t>能效等级</w:t>
            </w:r>
          </w:p>
        </w:tc>
        <w:tc>
          <w:tcPr>
            <w:tcW w:w="1069" w:type="dxa"/>
            <w:shd w:val="clear" w:color="auto" w:fill="auto"/>
            <w:vAlign w:val="center"/>
            <w:hideMark/>
          </w:tcPr>
          <w:p w14:paraId="7B3F708E" w14:textId="77777777" w:rsidR="00E31FF0" w:rsidRPr="0081478A" w:rsidRDefault="00E31FF0" w:rsidP="00921836">
            <w:pPr>
              <w:pStyle w:val="ae"/>
              <w:rPr>
                <w:rFonts w:cs="Times New Roman"/>
                <w:bCs/>
              </w:rPr>
            </w:pPr>
            <w:r w:rsidRPr="0081478A">
              <w:rPr>
                <w:rFonts w:cs="Times New Roman"/>
                <w:b w:val="0"/>
                <w:bCs/>
              </w:rPr>
              <w:t>1</w:t>
            </w:r>
            <w:r w:rsidRPr="0081478A">
              <w:rPr>
                <w:rFonts w:cs="Times New Roman"/>
                <w:b w:val="0"/>
                <w:bCs/>
              </w:rPr>
              <w:t>级</w:t>
            </w:r>
          </w:p>
        </w:tc>
        <w:tc>
          <w:tcPr>
            <w:tcW w:w="1070" w:type="dxa"/>
            <w:shd w:val="clear" w:color="auto" w:fill="auto"/>
            <w:vAlign w:val="center"/>
            <w:hideMark/>
          </w:tcPr>
          <w:p w14:paraId="4BCDED26" w14:textId="77777777" w:rsidR="00E31FF0" w:rsidRPr="0081478A" w:rsidRDefault="00E31FF0" w:rsidP="00921836">
            <w:pPr>
              <w:pStyle w:val="ae"/>
              <w:rPr>
                <w:rFonts w:cs="Times New Roman"/>
                <w:bCs/>
              </w:rPr>
            </w:pPr>
            <w:r w:rsidRPr="0081478A">
              <w:rPr>
                <w:rFonts w:cs="Times New Roman"/>
                <w:b w:val="0"/>
                <w:bCs/>
              </w:rPr>
              <w:t>2</w:t>
            </w:r>
            <w:r w:rsidRPr="0081478A">
              <w:rPr>
                <w:rFonts w:cs="Times New Roman"/>
                <w:b w:val="0"/>
                <w:bCs/>
              </w:rPr>
              <w:t>级</w:t>
            </w:r>
          </w:p>
        </w:tc>
        <w:tc>
          <w:tcPr>
            <w:tcW w:w="1079" w:type="dxa"/>
            <w:gridSpan w:val="2"/>
            <w:shd w:val="clear" w:color="auto" w:fill="auto"/>
            <w:vAlign w:val="center"/>
            <w:hideMark/>
          </w:tcPr>
          <w:p w14:paraId="360FA47F" w14:textId="77777777" w:rsidR="00E31FF0" w:rsidRPr="0081478A" w:rsidRDefault="00E31FF0" w:rsidP="00921836">
            <w:pPr>
              <w:pStyle w:val="ae"/>
              <w:rPr>
                <w:rFonts w:cs="Times New Roman"/>
                <w:bCs/>
              </w:rPr>
            </w:pPr>
            <w:r w:rsidRPr="0081478A">
              <w:rPr>
                <w:rFonts w:cs="Times New Roman"/>
                <w:b w:val="0"/>
                <w:bCs/>
              </w:rPr>
              <w:t>3</w:t>
            </w:r>
            <w:r w:rsidRPr="0081478A">
              <w:rPr>
                <w:rFonts w:cs="Times New Roman"/>
                <w:b w:val="0"/>
                <w:bCs/>
              </w:rPr>
              <w:t>级</w:t>
            </w:r>
          </w:p>
        </w:tc>
      </w:tr>
      <w:tr w:rsidR="0081478A" w:rsidRPr="0081478A" w14:paraId="46684018" w14:textId="77777777" w:rsidTr="00921836">
        <w:trPr>
          <w:gridAfter w:val="1"/>
          <w:wAfter w:w="13" w:type="dxa"/>
          <w:jc w:val="center"/>
        </w:trPr>
        <w:tc>
          <w:tcPr>
            <w:tcW w:w="2502" w:type="dxa"/>
            <w:vMerge w:val="restart"/>
            <w:shd w:val="clear" w:color="auto" w:fill="auto"/>
            <w:vAlign w:val="center"/>
            <w:hideMark/>
          </w:tcPr>
          <w:p w14:paraId="0838CFA6" w14:textId="77777777" w:rsidR="00E31FF0" w:rsidRPr="0081478A" w:rsidRDefault="00E31FF0" w:rsidP="00921836">
            <w:pPr>
              <w:pStyle w:val="ae"/>
              <w:rPr>
                <w:rFonts w:cs="Times New Roman"/>
                <w:bCs/>
              </w:rPr>
            </w:pPr>
            <w:r w:rsidRPr="0081478A">
              <w:rPr>
                <w:rFonts w:cs="Times New Roman"/>
                <w:b w:val="0"/>
                <w:bCs/>
                <w:spacing w:val="-4"/>
              </w:rPr>
              <w:t>单位冷量蒸汽耗量</w:t>
            </w:r>
            <w:r w:rsidRPr="0081478A">
              <w:rPr>
                <w:rFonts w:cs="Times New Roman"/>
                <w:b w:val="0"/>
                <w:bCs/>
                <w:spacing w:val="-4"/>
              </w:rPr>
              <w:t>/</w:t>
            </w:r>
            <w:r w:rsidRPr="0081478A">
              <w:rPr>
                <w:rFonts w:cs="Times New Roman"/>
                <w:b w:val="0"/>
                <w:bCs/>
                <w:spacing w:val="-4"/>
              </w:rPr>
              <w:t>［</w:t>
            </w:r>
            <w:r w:rsidRPr="0081478A">
              <w:rPr>
                <w:rFonts w:cs="Times New Roman"/>
                <w:b w:val="0"/>
                <w:bCs/>
                <w:spacing w:val="-4"/>
              </w:rPr>
              <w:t>kg/</w:t>
            </w:r>
            <w:r w:rsidRPr="0081478A">
              <w:rPr>
                <w:rFonts w:cs="Times New Roman"/>
                <w:b w:val="0"/>
                <w:bCs/>
                <w:spacing w:val="-4"/>
              </w:rPr>
              <w:t>（</w:t>
            </w:r>
            <w:r w:rsidRPr="0081478A">
              <w:rPr>
                <w:rFonts w:cs="Times New Roman"/>
                <w:b w:val="0"/>
                <w:bCs/>
                <w:spacing w:val="-4"/>
              </w:rPr>
              <w:t>kW</w:t>
            </w:r>
            <w:r w:rsidRPr="0081478A">
              <w:rPr>
                <w:rFonts w:cs="Times New Roman"/>
                <w:b w:val="0"/>
                <w:bCs/>
              </w:rPr>
              <w:t>·</w:t>
            </w:r>
            <w:r w:rsidRPr="0081478A">
              <w:rPr>
                <w:rFonts w:cs="Times New Roman"/>
                <w:b w:val="0"/>
                <w:bCs/>
                <w:spacing w:val="-4"/>
              </w:rPr>
              <w:t>h</w:t>
            </w:r>
            <w:r w:rsidRPr="0081478A">
              <w:rPr>
                <w:rFonts w:cs="Times New Roman"/>
                <w:b w:val="0"/>
                <w:bCs/>
                <w:spacing w:val="-4"/>
              </w:rPr>
              <w:t>）］</w:t>
            </w:r>
          </w:p>
        </w:tc>
        <w:tc>
          <w:tcPr>
            <w:tcW w:w="1650" w:type="dxa"/>
            <w:shd w:val="clear" w:color="auto" w:fill="auto"/>
            <w:vAlign w:val="center"/>
            <w:hideMark/>
          </w:tcPr>
          <w:p w14:paraId="0682BA6C" w14:textId="77777777" w:rsidR="00E31FF0" w:rsidRPr="0081478A" w:rsidRDefault="00E31FF0" w:rsidP="00921836">
            <w:pPr>
              <w:pStyle w:val="ae"/>
              <w:rPr>
                <w:rFonts w:cs="Times New Roman"/>
                <w:bCs/>
              </w:rPr>
            </w:pPr>
            <w:r w:rsidRPr="0081478A">
              <w:rPr>
                <w:rFonts w:cs="Times New Roman"/>
                <w:b w:val="0"/>
                <w:bCs/>
              </w:rPr>
              <w:t>饱和蒸汽</w:t>
            </w:r>
            <w:r w:rsidRPr="0081478A">
              <w:rPr>
                <w:rFonts w:cs="Times New Roman"/>
                <w:b w:val="0"/>
                <w:bCs/>
              </w:rPr>
              <w:t>0.4MPa</w:t>
            </w:r>
          </w:p>
        </w:tc>
        <w:tc>
          <w:tcPr>
            <w:tcW w:w="1069" w:type="dxa"/>
            <w:shd w:val="clear" w:color="auto" w:fill="auto"/>
            <w:vAlign w:val="center"/>
            <w:hideMark/>
          </w:tcPr>
          <w:p w14:paraId="60366DAA" w14:textId="77777777" w:rsidR="00E31FF0" w:rsidRPr="0081478A" w:rsidRDefault="00E31FF0" w:rsidP="00921836">
            <w:pPr>
              <w:pStyle w:val="ae"/>
              <w:rPr>
                <w:rFonts w:cs="Times New Roman"/>
                <w:bCs/>
              </w:rPr>
            </w:pPr>
            <w:r w:rsidRPr="0081478A">
              <w:rPr>
                <w:rFonts w:cs="Times New Roman"/>
                <w:b w:val="0"/>
                <w:bCs/>
              </w:rPr>
              <w:t>1.12</w:t>
            </w:r>
          </w:p>
        </w:tc>
        <w:tc>
          <w:tcPr>
            <w:tcW w:w="1070" w:type="dxa"/>
            <w:shd w:val="clear" w:color="auto" w:fill="auto"/>
            <w:vAlign w:val="center"/>
            <w:hideMark/>
          </w:tcPr>
          <w:p w14:paraId="231A07F3" w14:textId="77777777" w:rsidR="00E31FF0" w:rsidRPr="0081478A" w:rsidRDefault="00E31FF0" w:rsidP="00921836">
            <w:pPr>
              <w:pStyle w:val="ae"/>
              <w:rPr>
                <w:rFonts w:cs="Times New Roman"/>
                <w:bCs/>
              </w:rPr>
            </w:pPr>
            <w:r w:rsidRPr="0081478A">
              <w:rPr>
                <w:rFonts w:cs="Times New Roman"/>
                <w:b w:val="0"/>
                <w:bCs/>
              </w:rPr>
              <w:t>1.19</w:t>
            </w:r>
          </w:p>
        </w:tc>
        <w:tc>
          <w:tcPr>
            <w:tcW w:w="1066" w:type="dxa"/>
            <w:shd w:val="clear" w:color="auto" w:fill="auto"/>
            <w:vAlign w:val="center"/>
            <w:hideMark/>
          </w:tcPr>
          <w:p w14:paraId="38AFAC0D" w14:textId="77777777" w:rsidR="00E31FF0" w:rsidRPr="0081478A" w:rsidRDefault="00E31FF0" w:rsidP="00921836">
            <w:pPr>
              <w:pStyle w:val="ae"/>
              <w:rPr>
                <w:rFonts w:cs="Times New Roman"/>
                <w:bCs/>
              </w:rPr>
            </w:pPr>
            <w:r w:rsidRPr="0081478A">
              <w:rPr>
                <w:rFonts w:cs="Times New Roman"/>
                <w:b w:val="0"/>
                <w:bCs/>
              </w:rPr>
              <w:t>1.40</w:t>
            </w:r>
          </w:p>
        </w:tc>
      </w:tr>
      <w:tr w:rsidR="0081478A" w:rsidRPr="0081478A" w14:paraId="659E4CED" w14:textId="77777777" w:rsidTr="00921836">
        <w:trPr>
          <w:gridAfter w:val="1"/>
          <w:wAfter w:w="13" w:type="dxa"/>
          <w:jc w:val="center"/>
        </w:trPr>
        <w:tc>
          <w:tcPr>
            <w:tcW w:w="2502" w:type="dxa"/>
            <w:vMerge/>
            <w:shd w:val="clear" w:color="auto" w:fill="auto"/>
            <w:vAlign w:val="center"/>
            <w:hideMark/>
          </w:tcPr>
          <w:p w14:paraId="286FBC9A" w14:textId="77777777" w:rsidR="00E31FF0" w:rsidRPr="0081478A" w:rsidRDefault="00E31FF0" w:rsidP="00921836">
            <w:pPr>
              <w:pStyle w:val="ae"/>
              <w:rPr>
                <w:rFonts w:cs="Times New Roman"/>
                <w:bCs/>
              </w:rPr>
            </w:pPr>
          </w:p>
        </w:tc>
        <w:tc>
          <w:tcPr>
            <w:tcW w:w="1650" w:type="dxa"/>
            <w:shd w:val="clear" w:color="auto" w:fill="auto"/>
            <w:vAlign w:val="center"/>
            <w:hideMark/>
          </w:tcPr>
          <w:p w14:paraId="61A3184A" w14:textId="77777777" w:rsidR="00E31FF0" w:rsidRPr="0081478A" w:rsidRDefault="00E31FF0" w:rsidP="00921836">
            <w:pPr>
              <w:pStyle w:val="ae"/>
              <w:rPr>
                <w:rFonts w:cs="Times New Roman"/>
                <w:bCs/>
              </w:rPr>
            </w:pPr>
            <w:r w:rsidRPr="0081478A">
              <w:rPr>
                <w:rFonts w:cs="Times New Roman"/>
                <w:b w:val="0"/>
                <w:bCs/>
              </w:rPr>
              <w:t>饱和蒸汽</w:t>
            </w:r>
            <w:r w:rsidRPr="0081478A">
              <w:rPr>
                <w:rFonts w:cs="Times New Roman"/>
                <w:b w:val="0"/>
                <w:bCs/>
              </w:rPr>
              <w:t>0.6MPa</w:t>
            </w:r>
          </w:p>
        </w:tc>
        <w:tc>
          <w:tcPr>
            <w:tcW w:w="1069" w:type="dxa"/>
            <w:shd w:val="clear" w:color="auto" w:fill="auto"/>
            <w:vAlign w:val="center"/>
            <w:hideMark/>
          </w:tcPr>
          <w:p w14:paraId="48E7BF80" w14:textId="77777777" w:rsidR="00E31FF0" w:rsidRPr="0081478A" w:rsidRDefault="00E31FF0" w:rsidP="00921836">
            <w:pPr>
              <w:pStyle w:val="ae"/>
              <w:rPr>
                <w:rFonts w:cs="Times New Roman"/>
                <w:bCs/>
              </w:rPr>
            </w:pPr>
            <w:r w:rsidRPr="0081478A">
              <w:rPr>
                <w:rFonts w:cs="Times New Roman"/>
                <w:b w:val="0"/>
                <w:bCs/>
              </w:rPr>
              <w:t>1.05</w:t>
            </w:r>
          </w:p>
        </w:tc>
        <w:tc>
          <w:tcPr>
            <w:tcW w:w="1070" w:type="dxa"/>
            <w:shd w:val="clear" w:color="auto" w:fill="auto"/>
            <w:vAlign w:val="center"/>
            <w:hideMark/>
          </w:tcPr>
          <w:p w14:paraId="7DAA6B8F" w14:textId="77777777" w:rsidR="00E31FF0" w:rsidRPr="0081478A" w:rsidRDefault="00E31FF0" w:rsidP="00921836">
            <w:pPr>
              <w:pStyle w:val="ae"/>
              <w:rPr>
                <w:rFonts w:cs="Times New Roman"/>
                <w:bCs/>
              </w:rPr>
            </w:pPr>
            <w:r w:rsidRPr="0081478A">
              <w:rPr>
                <w:rFonts w:cs="Times New Roman"/>
                <w:b w:val="0"/>
                <w:bCs/>
              </w:rPr>
              <w:t>1.11</w:t>
            </w:r>
          </w:p>
        </w:tc>
        <w:tc>
          <w:tcPr>
            <w:tcW w:w="1066" w:type="dxa"/>
            <w:shd w:val="clear" w:color="auto" w:fill="auto"/>
            <w:vAlign w:val="center"/>
            <w:hideMark/>
          </w:tcPr>
          <w:p w14:paraId="0DED59E5" w14:textId="77777777" w:rsidR="00E31FF0" w:rsidRPr="0081478A" w:rsidRDefault="00E31FF0" w:rsidP="00921836">
            <w:pPr>
              <w:pStyle w:val="ae"/>
              <w:rPr>
                <w:rFonts w:cs="Times New Roman"/>
                <w:bCs/>
              </w:rPr>
            </w:pPr>
            <w:r w:rsidRPr="0081478A">
              <w:rPr>
                <w:rFonts w:cs="Times New Roman"/>
                <w:b w:val="0"/>
                <w:bCs/>
              </w:rPr>
              <w:t>1.31</w:t>
            </w:r>
          </w:p>
        </w:tc>
      </w:tr>
      <w:tr w:rsidR="0081478A" w:rsidRPr="0081478A" w14:paraId="5F341FAF" w14:textId="77777777" w:rsidTr="00921836">
        <w:trPr>
          <w:gridAfter w:val="1"/>
          <w:wAfter w:w="13" w:type="dxa"/>
          <w:jc w:val="center"/>
        </w:trPr>
        <w:tc>
          <w:tcPr>
            <w:tcW w:w="2502" w:type="dxa"/>
            <w:vMerge/>
            <w:shd w:val="clear" w:color="auto" w:fill="auto"/>
            <w:vAlign w:val="center"/>
            <w:hideMark/>
          </w:tcPr>
          <w:p w14:paraId="04FA1CC8" w14:textId="77777777" w:rsidR="00E31FF0" w:rsidRPr="0081478A" w:rsidRDefault="00E31FF0" w:rsidP="00921836">
            <w:pPr>
              <w:pStyle w:val="ae"/>
              <w:rPr>
                <w:rFonts w:cs="Times New Roman"/>
                <w:bCs/>
              </w:rPr>
            </w:pPr>
          </w:p>
        </w:tc>
        <w:tc>
          <w:tcPr>
            <w:tcW w:w="1650" w:type="dxa"/>
            <w:shd w:val="clear" w:color="auto" w:fill="auto"/>
            <w:vAlign w:val="center"/>
            <w:hideMark/>
          </w:tcPr>
          <w:p w14:paraId="0A2EE1BA" w14:textId="77777777" w:rsidR="00E31FF0" w:rsidRPr="0081478A" w:rsidRDefault="00E31FF0" w:rsidP="00921836">
            <w:pPr>
              <w:pStyle w:val="ae"/>
              <w:rPr>
                <w:rFonts w:cs="Times New Roman"/>
                <w:bCs/>
              </w:rPr>
            </w:pPr>
            <w:r w:rsidRPr="0081478A">
              <w:rPr>
                <w:rFonts w:cs="Times New Roman"/>
                <w:b w:val="0"/>
                <w:bCs/>
              </w:rPr>
              <w:t>饱和蒸汽</w:t>
            </w:r>
            <w:r w:rsidRPr="0081478A">
              <w:rPr>
                <w:rFonts w:cs="Times New Roman"/>
                <w:b w:val="0"/>
                <w:bCs/>
              </w:rPr>
              <w:t>0.8MPa</w:t>
            </w:r>
          </w:p>
        </w:tc>
        <w:tc>
          <w:tcPr>
            <w:tcW w:w="1069" w:type="dxa"/>
            <w:shd w:val="clear" w:color="auto" w:fill="auto"/>
            <w:vAlign w:val="center"/>
            <w:hideMark/>
          </w:tcPr>
          <w:p w14:paraId="43965178" w14:textId="77777777" w:rsidR="00E31FF0" w:rsidRPr="0081478A" w:rsidRDefault="00E31FF0" w:rsidP="00921836">
            <w:pPr>
              <w:pStyle w:val="ae"/>
              <w:rPr>
                <w:rFonts w:cs="Times New Roman"/>
                <w:bCs/>
              </w:rPr>
            </w:pPr>
            <w:r w:rsidRPr="0081478A">
              <w:rPr>
                <w:rFonts w:cs="Times New Roman"/>
                <w:b w:val="0"/>
                <w:bCs/>
              </w:rPr>
              <w:t>1.02</w:t>
            </w:r>
          </w:p>
        </w:tc>
        <w:tc>
          <w:tcPr>
            <w:tcW w:w="1070" w:type="dxa"/>
            <w:shd w:val="clear" w:color="auto" w:fill="auto"/>
            <w:vAlign w:val="center"/>
            <w:hideMark/>
          </w:tcPr>
          <w:p w14:paraId="78C04B92" w14:textId="77777777" w:rsidR="00E31FF0" w:rsidRPr="0081478A" w:rsidRDefault="00E31FF0" w:rsidP="00921836">
            <w:pPr>
              <w:pStyle w:val="ae"/>
              <w:rPr>
                <w:rFonts w:cs="Times New Roman"/>
                <w:bCs/>
              </w:rPr>
            </w:pPr>
            <w:r w:rsidRPr="0081478A">
              <w:rPr>
                <w:rFonts w:cs="Times New Roman"/>
                <w:b w:val="0"/>
                <w:bCs/>
              </w:rPr>
              <w:t>1.09</w:t>
            </w:r>
          </w:p>
        </w:tc>
        <w:tc>
          <w:tcPr>
            <w:tcW w:w="1066" w:type="dxa"/>
            <w:shd w:val="clear" w:color="auto" w:fill="auto"/>
            <w:vAlign w:val="center"/>
            <w:hideMark/>
          </w:tcPr>
          <w:p w14:paraId="04201E39" w14:textId="77777777" w:rsidR="00E31FF0" w:rsidRPr="0081478A" w:rsidRDefault="00E31FF0" w:rsidP="00921836">
            <w:pPr>
              <w:pStyle w:val="ae"/>
              <w:rPr>
                <w:rFonts w:cs="Times New Roman"/>
                <w:bCs/>
              </w:rPr>
            </w:pPr>
            <w:r w:rsidRPr="0081478A">
              <w:rPr>
                <w:rFonts w:cs="Times New Roman"/>
                <w:b w:val="0"/>
                <w:bCs/>
              </w:rPr>
              <w:t>1.28</w:t>
            </w:r>
          </w:p>
        </w:tc>
      </w:tr>
    </w:tbl>
    <w:p w14:paraId="544AA05C" w14:textId="0742FDF4" w:rsidR="00E31FF0" w:rsidRPr="0081478A" w:rsidRDefault="00E31FF0" w:rsidP="00921836">
      <w:pPr>
        <w:pStyle w:val="ae"/>
        <w:rPr>
          <w:rFonts w:cs="Times New Roman"/>
          <w:bCs/>
        </w:rPr>
      </w:pPr>
      <w:r w:rsidRPr="0081478A">
        <w:rPr>
          <w:rFonts w:cs="Times New Roman"/>
          <w:b w:val="0"/>
          <w:bCs/>
        </w:rPr>
        <w:t>表</w:t>
      </w:r>
      <w:r w:rsidR="000B54A2" w:rsidRPr="0081478A">
        <w:rPr>
          <w:rFonts w:cs="Times New Roman"/>
          <w:b w:val="0"/>
          <w:bCs/>
        </w:rPr>
        <w:t>7.2.5-8</w:t>
      </w:r>
      <w:r w:rsidRPr="0081478A">
        <w:rPr>
          <w:rFonts w:cs="Times New Roman"/>
          <w:b w:val="0"/>
          <w:bCs/>
        </w:rPr>
        <w:t xml:space="preserve"> </w:t>
      </w:r>
      <w:r w:rsidRPr="0081478A">
        <w:rPr>
          <w:rFonts w:cs="Times New Roman"/>
          <w:b w:val="0"/>
          <w:bCs/>
        </w:rPr>
        <w:t>名义工况和规定条件下直燃型溴化锂吸收式冷（温）水机组的性能参数</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28" w:type="dxa"/>
        </w:tblCellMar>
        <w:tblLook w:val="04A0" w:firstRow="1" w:lastRow="0" w:firstColumn="1" w:lastColumn="0" w:noHBand="0" w:noVBand="1"/>
      </w:tblPr>
      <w:tblGrid>
        <w:gridCol w:w="2506"/>
        <w:gridCol w:w="1652"/>
        <w:gridCol w:w="1606"/>
        <w:gridCol w:w="1606"/>
      </w:tblGrid>
      <w:tr w:rsidR="0081478A" w:rsidRPr="0081478A" w14:paraId="427A0203" w14:textId="77777777" w:rsidTr="00921836">
        <w:trPr>
          <w:jc w:val="center"/>
        </w:trPr>
        <w:tc>
          <w:tcPr>
            <w:tcW w:w="4158" w:type="dxa"/>
            <w:gridSpan w:val="2"/>
            <w:shd w:val="clear" w:color="auto" w:fill="auto"/>
            <w:vAlign w:val="center"/>
            <w:hideMark/>
          </w:tcPr>
          <w:p w14:paraId="4DF6C702" w14:textId="77777777" w:rsidR="00E31FF0" w:rsidRPr="0081478A" w:rsidRDefault="00E31FF0" w:rsidP="00921836">
            <w:pPr>
              <w:pStyle w:val="ae"/>
              <w:rPr>
                <w:rFonts w:cs="Times New Roman"/>
                <w:bCs/>
              </w:rPr>
            </w:pPr>
            <w:r w:rsidRPr="0081478A">
              <w:rPr>
                <w:rFonts w:cs="Times New Roman"/>
                <w:b w:val="0"/>
                <w:bCs/>
              </w:rPr>
              <w:t>名义工况</w:t>
            </w:r>
          </w:p>
        </w:tc>
        <w:tc>
          <w:tcPr>
            <w:tcW w:w="3212" w:type="dxa"/>
            <w:gridSpan w:val="2"/>
            <w:shd w:val="clear" w:color="auto" w:fill="auto"/>
            <w:vAlign w:val="center"/>
            <w:hideMark/>
          </w:tcPr>
          <w:p w14:paraId="0F3D6C8C" w14:textId="77777777" w:rsidR="00E31FF0" w:rsidRPr="0081478A" w:rsidRDefault="00E31FF0" w:rsidP="00921836">
            <w:pPr>
              <w:pStyle w:val="ae"/>
              <w:rPr>
                <w:rFonts w:cs="Times New Roman"/>
                <w:bCs/>
              </w:rPr>
            </w:pPr>
            <w:r w:rsidRPr="0081478A">
              <w:rPr>
                <w:rFonts w:cs="Times New Roman"/>
                <w:b w:val="0"/>
                <w:bCs/>
              </w:rPr>
              <w:t>性能系数</w:t>
            </w:r>
            <w:r w:rsidRPr="0081478A">
              <w:rPr>
                <w:rFonts w:cs="Times New Roman"/>
                <w:b w:val="0"/>
                <w:bCs/>
              </w:rPr>
              <w:t>/</w:t>
            </w:r>
            <w:r w:rsidRPr="0081478A">
              <w:rPr>
                <w:rFonts w:cs="Times New Roman"/>
                <w:b w:val="0"/>
                <w:bCs/>
              </w:rPr>
              <w:t>（</w:t>
            </w:r>
            <w:r w:rsidRPr="0081478A">
              <w:rPr>
                <w:rFonts w:cs="Times New Roman"/>
                <w:b w:val="0"/>
                <w:bCs/>
              </w:rPr>
              <w:t>W/W</w:t>
            </w:r>
            <w:r w:rsidRPr="0081478A">
              <w:rPr>
                <w:rFonts w:cs="Times New Roman"/>
                <w:b w:val="0"/>
                <w:bCs/>
              </w:rPr>
              <w:t>）</w:t>
            </w:r>
          </w:p>
        </w:tc>
      </w:tr>
      <w:tr w:rsidR="0081478A" w:rsidRPr="0081478A" w14:paraId="6AFFA50E" w14:textId="77777777" w:rsidTr="00921836">
        <w:trPr>
          <w:jc w:val="center"/>
        </w:trPr>
        <w:tc>
          <w:tcPr>
            <w:tcW w:w="2506" w:type="dxa"/>
            <w:shd w:val="clear" w:color="auto" w:fill="auto"/>
            <w:vAlign w:val="center"/>
            <w:hideMark/>
          </w:tcPr>
          <w:p w14:paraId="5DAC0E0C" w14:textId="77777777" w:rsidR="00E31FF0" w:rsidRPr="0081478A" w:rsidRDefault="00E31FF0" w:rsidP="00921836">
            <w:pPr>
              <w:pStyle w:val="ae"/>
              <w:rPr>
                <w:rFonts w:cs="Times New Roman"/>
                <w:bCs/>
              </w:rPr>
            </w:pPr>
            <w:r w:rsidRPr="0081478A">
              <w:rPr>
                <w:rFonts w:cs="Times New Roman"/>
                <w:b w:val="0"/>
                <w:bCs/>
              </w:rPr>
              <w:t>冷（温）水进</w:t>
            </w:r>
            <w:r w:rsidRPr="0081478A">
              <w:rPr>
                <w:rFonts w:cs="Times New Roman"/>
                <w:b w:val="0"/>
                <w:bCs/>
              </w:rPr>
              <w:t>/</w:t>
            </w:r>
            <w:r w:rsidRPr="0081478A">
              <w:rPr>
                <w:rFonts w:cs="Times New Roman"/>
                <w:b w:val="0"/>
                <w:bCs/>
              </w:rPr>
              <w:t>出口温度</w:t>
            </w:r>
            <w:r w:rsidRPr="0081478A">
              <w:rPr>
                <w:rFonts w:cs="Times New Roman"/>
                <w:b w:val="0"/>
                <w:bCs/>
              </w:rPr>
              <w:t>/℃</w:t>
            </w:r>
          </w:p>
        </w:tc>
        <w:tc>
          <w:tcPr>
            <w:tcW w:w="1652" w:type="dxa"/>
            <w:shd w:val="clear" w:color="auto" w:fill="auto"/>
            <w:vAlign w:val="center"/>
            <w:hideMark/>
          </w:tcPr>
          <w:p w14:paraId="2CA3BDD9" w14:textId="77777777" w:rsidR="00E31FF0" w:rsidRPr="0081478A" w:rsidRDefault="00E31FF0" w:rsidP="00921836">
            <w:pPr>
              <w:pStyle w:val="ae"/>
              <w:rPr>
                <w:rFonts w:cs="Times New Roman"/>
                <w:bCs/>
              </w:rPr>
            </w:pPr>
            <w:r w:rsidRPr="0081478A">
              <w:rPr>
                <w:rFonts w:cs="Times New Roman"/>
                <w:b w:val="0"/>
                <w:bCs/>
              </w:rPr>
              <w:t>冷却水进</w:t>
            </w:r>
            <w:r w:rsidRPr="0081478A">
              <w:rPr>
                <w:rFonts w:cs="Times New Roman"/>
                <w:b w:val="0"/>
                <w:bCs/>
              </w:rPr>
              <w:t>/</w:t>
            </w:r>
            <w:r w:rsidRPr="0081478A">
              <w:rPr>
                <w:rFonts w:cs="Times New Roman"/>
                <w:b w:val="0"/>
                <w:bCs/>
              </w:rPr>
              <w:t>出口温度</w:t>
            </w:r>
            <w:r w:rsidRPr="0081478A">
              <w:rPr>
                <w:rFonts w:cs="Times New Roman"/>
                <w:b w:val="0"/>
                <w:bCs/>
              </w:rPr>
              <w:t>/℃</w:t>
            </w:r>
          </w:p>
        </w:tc>
        <w:tc>
          <w:tcPr>
            <w:tcW w:w="1606" w:type="dxa"/>
            <w:shd w:val="clear" w:color="auto" w:fill="auto"/>
            <w:vAlign w:val="center"/>
            <w:hideMark/>
          </w:tcPr>
          <w:p w14:paraId="20B6FF5B" w14:textId="77777777" w:rsidR="00E31FF0" w:rsidRPr="0081478A" w:rsidRDefault="00E31FF0" w:rsidP="00921836">
            <w:pPr>
              <w:pStyle w:val="ae"/>
              <w:rPr>
                <w:rFonts w:cs="Times New Roman"/>
                <w:bCs/>
              </w:rPr>
            </w:pPr>
            <w:r w:rsidRPr="0081478A">
              <w:rPr>
                <w:rFonts w:cs="Times New Roman"/>
                <w:b w:val="0"/>
                <w:bCs/>
              </w:rPr>
              <w:t>制冷</w:t>
            </w:r>
          </w:p>
        </w:tc>
        <w:tc>
          <w:tcPr>
            <w:tcW w:w="1606" w:type="dxa"/>
            <w:shd w:val="clear" w:color="auto" w:fill="auto"/>
            <w:vAlign w:val="center"/>
          </w:tcPr>
          <w:p w14:paraId="276F1183" w14:textId="77777777" w:rsidR="00E31FF0" w:rsidRPr="0081478A" w:rsidRDefault="00E31FF0" w:rsidP="00921836">
            <w:pPr>
              <w:pStyle w:val="ae"/>
              <w:rPr>
                <w:rFonts w:cs="Times New Roman"/>
                <w:bCs/>
              </w:rPr>
            </w:pPr>
            <w:r w:rsidRPr="0081478A">
              <w:rPr>
                <w:rFonts w:cs="Times New Roman"/>
                <w:b w:val="0"/>
                <w:bCs/>
              </w:rPr>
              <w:t>供热</w:t>
            </w:r>
          </w:p>
        </w:tc>
      </w:tr>
      <w:tr w:rsidR="0081478A" w:rsidRPr="0081478A" w14:paraId="4C18A225" w14:textId="77777777" w:rsidTr="00921836">
        <w:trPr>
          <w:jc w:val="center"/>
        </w:trPr>
        <w:tc>
          <w:tcPr>
            <w:tcW w:w="2506" w:type="dxa"/>
            <w:shd w:val="clear" w:color="auto" w:fill="auto"/>
            <w:vAlign w:val="center"/>
            <w:hideMark/>
          </w:tcPr>
          <w:p w14:paraId="6C6BFB73" w14:textId="77777777" w:rsidR="00E31FF0" w:rsidRPr="0081478A" w:rsidRDefault="00E31FF0" w:rsidP="00921836">
            <w:pPr>
              <w:pStyle w:val="ae"/>
              <w:rPr>
                <w:rFonts w:cs="Times New Roman"/>
                <w:bCs/>
              </w:rPr>
            </w:pPr>
            <w:r w:rsidRPr="0081478A">
              <w:rPr>
                <w:rFonts w:cs="Times New Roman"/>
                <w:b w:val="0"/>
                <w:bCs/>
              </w:rPr>
              <w:t>12/7</w:t>
            </w:r>
            <w:r w:rsidRPr="0081478A">
              <w:rPr>
                <w:rFonts w:cs="Times New Roman"/>
                <w:b w:val="0"/>
                <w:bCs/>
              </w:rPr>
              <w:t>（供冷）</w:t>
            </w:r>
          </w:p>
        </w:tc>
        <w:tc>
          <w:tcPr>
            <w:tcW w:w="1652" w:type="dxa"/>
            <w:shd w:val="clear" w:color="auto" w:fill="auto"/>
            <w:vAlign w:val="center"/>
            <w:hideMark/>
          </w:tcPr>
          <w:p w14:paraId="059A643D" w14:textId="77777777" w:rsidR="00E31FF0" w:rsidRPr="0081478A" w:rsidRDefault="00E31FF0" w:rsidP="00921836">
            <w:pPr>
              <w:pStyle w:val="ae"/>
              <w:rPr>
                <w:rFonts w:cs="Times New Roman"/>
                <w:bCs/>
              </w:rPr>
            </w:pPr>
            <w:r w:rsidRPr="0081478A">
              <w:rPr>
                <w:rFonts w:cs="Times New Roman"/>
                <w:b w:val="0"/>
                <w:bCs/>
              </w:rPr>
              <w:t>30/35</w:t>
            </w:r>
          </w:p>
        </w:tc>
        <w:tc>
          <w:tcPr>
            <w:tcW w:w="1606" w:type="dxa"/>
            <w:shd w:val="clear" w:color="auto" w:fill="auto"/>
            <w:vAlign w:val="center"/>
            <w:hideMark/>
          </w:tcPr>
          <w:p w14:paraId="0F043C93" w14:textId="77777777" w:rsidR="00E31FF0" w:rsidRPr="0081478A" w:rsidRDefault="00E31FF0" w:rsidP="00921836">
            <w:pPr>
              <w:pStyle w:val="ae"/>
              <w:rPr>
                <w:rFonts w:cs="Times New Roman"/>
                <w:bCs/>
              </w:rPr>
            </w:pPr>
            <w:r w:rsidRPr="0081478A">
              <w:rPr>
                <w:rFonts w:cs="Times New Roman"/>
                <w:b w:val="0"/>
                <w:bCs/>
              </w:rPr>
              <w:t>≥1.20</w:t>
            </w:r>
          </w:p>
        </w:tc>
        <w:tc>
          <w:tcPr>
            <w:tcW w:w="1606" w:type="dxa"/>
            <w:shd w:val="clear" w:color="auto" w:fill="auto"/>
            <w:vAlign w:val="center"/>
            <w:hideMark/>
          </w:tcPr>
          <w:p w14:paraId="309480A9" w14:textId="77777777" w:rsidR="00E31FF0" w:rsidRPr="0081478A" w:rsidRDefault="00E31FF0" w:rsidP="00921836">
            <w:pPr>
              <w:pStyle w:val="ae"/>
              <w:rPr>
                <w:rFonts w:cs="Times New Roman"/>
                <w:bCs/>
              </w:rPr>
            </w:pPr>
            <w:r w:rsidRPr="0081478A">
              <w:rPr>
                <w:rFonts w:cs="Times New Roman"/>
                <w:b w:val="0"/>
                <w:bCs/>
              </w:rPr>
              <w:t>—</w:t>
            </w:r>
          </w:p>
        </w:tc>
      </w:tr>
      <w:tr w:rsidR="0081478A" w:rsidRPr="0081478A" w14:paraId="0F15B767" w14:textId="77777777" w:rsidTr="00921836">
        <w:trPr>
          <w:jc w:val="center"/>
        </w:trPr>
        <w:tc>
          <w:tcPr>
            <w:tcW w:w="2506" w:type="dxa"/>
            <w:shd w:val="clear" w:color="auto" w:fill="auto"/>
            <w:vAlign w:val="center"/>
            <w:hideMark/>
          </w:tcPr>
          <w:p w14:paraId="68113B9B" w14:textId="77777777" w:rsidR="00E31FF0" w:rsidRPr="0081478A" w:rsidRDefault="00E31FF0" w:rsidP="00921836">
            <w:pPr>
              <w:pStyle w:val="ae"/>
              <w:rPr>
                <w:rFonts w:cs="Times New Roman"/>
                <w:bCs/>
              </w:rPr>
            </w:pPr>
            <w:r w:rsidRPr="0081478A">
              <w:rPr>
                <w:rFonts w:cs="Times New Roman"/>
                <w:b w:val="0"/>
                <w:bCs/>
              </w:rPr>
              <w:t>—/60</w:t>
            </w:r>
            <w:r w:rsidRPr="0081478A">
              <w:rPr>
                <w:rFonts w:cs="Times New Roman"/>
                <w:b w:val="0"/>
                <w:bCs/>
              </w:rPr>
              <w:t>（供热）</w:t>
            </w:r>
          </w:p>
        </w:tc>
        <w:tc>
          <w:tcPr>
            <w:tcW w:w="1652" w:type="dxa"/>
            <w:shd w:val="clear" w:color="auto" w:fill="auto"/>
            <w:vAlign w:val="center"/>
            <w:hideMark/>
          </w:tcPr>
          <w:p w14:paraId="7828A529" w14:textId="77777777" w:rsidR="00E31FF0" w:rsidRPr="0081478A" w:rsidRDefault="00E31FF0" w:rsidP="00921836">
            <w:pPr>
              <w:pStyle w:val="ae"/>
              <w:rPr>
                <w:rFonts w:cs="Times New Roman"/>
                <w:bCs/>
              </w:rPr>
            </w:pPr>
            <w:r w:rsidRPr="0081478A">
              <w:rPr>
                <w:rFonts w:cs="Times New Roman"/>
                <w:b w:val="0"/>
                <w:bCs/>
              </w:rPr>
              <w:t>—</w:t>
            </w:r>
          </w:p>
        </w:tc>
        <w:tc>
          <w:tcPr>
            <w:tcW w:w="1606" w:type="dxa"/>
            <w:shd w:val="clear" w:color="auto" w:fill="auto"/>
            <w:vAlign w:val="center"/>
            <w:hideMark/>
          </w:tcPr>
          <w:p w14:paraId="4A551FC3" w14:textId="77777777" w:rsidR="00E31FF0" w:rsidRPr="0081478A" w:rsidRDefault="00E31FF0" w:rsidP="00921836">
            <w:pPr>
              <w:pStyle w:val="ae"/>
              <w:rPr>
                <w:rFonts w:cs="Times New Roman"/>
                <w:bCs/>
              </w:rPr>
            </w:pPr>
            <w:r w:rsidRPr="0081478A">
              <w:rPr>
                <w:rFonts w:cs="Times New Roman"/>
                <w:b w:val="0"/>
                <w:bCs/>
              </w:rPr>
              <w:t>—</w:t>
            </w:r>
          </w:p>
        </w:tc>
        <w:tc>
          <w:tcPr>
            <w:tcW w:w="1606" w:type="dxa"/>
            <w:shd w:val="clear" w:color="auto" w:fill="auto"/>
            <w:vAlign w:val="center"/>
            <w:hideMark/>
          </w:tcPr>
          <w:p w14:paraId="3EB05E12" w14:textId="77777777" w:rsidR="00E31FF0" w:rsidRPr="0081478A" w:rsidRDefault="00E31FF0" w:rsidP="00921836">
            <w:pPr>
              <w:pStyle w:val="ae"/>
              <w:rPr>
                <w:rFonts w:cs="Times New Roman"/>
                <w:bCs/>
              </w:rPr>
            </w:pPr>
            <w:r w:rsidRPr="0081478A">
              <w:rPr>
                <w:rFonts w:cs="Times New Roman"/>
                <w:b w:val="0"/>
                <w:bCs/>
              </w:rPr>
              <w:t>≥0.90</w:t>
            </w:r>
          </w:p>
        </w:tc>
      </w:tr>
    </w:tbl>
    <w:p w14:paraId="78CB0300" w14:textId="77777777" w:rsidR="00E31FF0" w:rsidRPr="0081478A" w:rsidRDefault="00E31FF0" w:rsidP="00E31FF0">
      <w:pPr>
        <w:ind w:firstLine="420"/>
        <w:rPr>
          <w:rFonts w:cs="Times New Roman"/>
        </w:rPr>
      </w:pPr>
    </w:p>
    <w:p w14:paraId="6ED0811B" w14:textId="3D288821" w:rsidR="00E31FF0" w:rsidRPr="0081478A" w:rsidRDefault="00E31FF0" w:rsidP="00E31FF0">
      <w:pPr>
        <w:ind w:firstLine="420"/>
        <w:rPr>
          <w:rFonts w:cs="Times New Roman"/>
        </w:rPr>
      </w:pPr>
      <w:r w:rsidRPr="0081478A">
        <w:rPr>
          <w:rFonts w:cs="Times New Roman"/>
        </w:rPr>
        <w:t>采用房间空调器（热泵型）作为房间空气调节系统的冷热源设备时，依据表</w:t>
      </w:r>
      <w:r w:rsidR="000B54A2" w:rsidRPr="0081478A">
        <w:rPr>
          <w:rFonts w:cs="Times New Roman"/>
        </w:rPr>
        <w:t>7.2.5-9</w:t>
      </w:r>
      <w:r w:rsidRPr="0081478A">
        <w:rPr>
          <w:rFonts w:cs="Times New Roman"/>
        </w:rPr>
        <w:t>，判定其能效比提高幅度。</w:t>
      </w:r>
    </w:p>
    <w:p w14:paraId="069428D3" w14:textId="322B4A66" w:rsidR="00E31FF0" w:rsidRPr="00F83296" w:rsidRDefault="00E31FF0" w:rsidP="00E31FF0">
      <w:pPr>
        <w:pStyle w:val="7"/>
        <w:ind w:firstLine="420"/>
        <w:rPr>
          <w:rFonts w:ascii="Times New Roman" w:eastAsia="宋体" w:hAnsi="Times New Roman" w:cs="Times New Roman"/>
        </w:rPr>
      </w:pPr>
      <w:r w:rsidRPr="00F83296">
        <w:rPr>
          <w:rFonts w:ascii="Times New Roman" w:eastAsia="宋体" w:hAnsi="Times New Roman" w:cs="Times New Roman" w:hint="eastAsia"/>
        </w:rPr>
        <w:t>表</w:t>
      </w:r>
      <w:r w:rsidR="000B54A2" w:rsidRPr="00F83296">
        <w:rPr>
          <w:rFonts w:ascii="Times New Roman" w:eastAsia="宋体" w:hAnsi="Times New Roman" w:cs="Times New Roman"/>
        </w:rPr>
        <w:t>7.2.5-9</w:t>
      </w:r>
      <w:r w:rsidRPr="00F83296">
        <w:rPr>
          <w:rFonts w:ascii="Times New Roman" w:eastAsia="宋体" w:hAnsi="Times New Roman" w:cs="Times New Roman"/>
        </w:rPr>
        <w:t xml:space="preserve"> </w:t>
      </w:r>
      <w:r w:rsidRPr="00F83296">
        <w:rPr>
          <w:rFonts w:ascii="Times New Roman" w:eastAsia="宋体" w:hAnsi="Times New Roman" w:cs="Times New Roman" w:hint="eastAsia"/>
        </w:rPr>
        <w:t>房间空调器能效比</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7" w:type="dxa"/>
        </w:tblCellMar>
        <w:tblLook w:val="04A0" w:firstRow="1" w:lastRow="0" w:firstColumn="1" w:lastColumn="0" w:noHBand="0" w:noVBand="1"/>
      </w:tblPr>
      <w:tblGrid>
        <w:gridCol w:w="1275"/>
        <w:gridCol w:w="2589"/>
        <w:gridCol w:w="1168"/>
        <w:gridCol w:w="1169"/>
        <w:gridCol w:w="1169"/>
      </w:tblGrid>
      <w:tr w:rsidR="0081478A" w:rsidRPr="0081478A" w14:paraId="6F510A56" w14:textId="77777777" w:rsidTr="00921836">
        <w:trPr>
          <w:jc w:val="center"/>
        </w:trPr>
        <w:tc>
          <w:tcPr>
            <w:tcW w:w="1275" w:type="dxa"/>
            <w:vMerge w:val="restart"/>
            <w:shd w:val="clear" w:color="auto" w:fill="auto"/>
            <w:vAlign w:val="center"/>
            <w:hideMark/>
          </w:tcPr>
          <w:p w14:paraId="7CEECFC9" w14:textId="77777777" w:rsidR="00E31FF0" w:rsidRPr="0081478A" w:rsidRDefault="00E31FF0" w:rsidP="00921836">
            <w:pPr>
              <w:pStyle w:val="ae"/>
              <w:rPr>
                <w:rFonts w:cs="Times New Roman"/>
                <w:bCs/>
              </w:rPr>
            </w:pPr>
            <w:r w:rsidRPr="0081478A">
              <w:rPr>
                <w:rFonts w:cs="Times New Roman"/>
                <w:b w:val="0"/>
                <w:bCs/>
              </w:rPr>
              <w:lastRenderedPageBreak/>
              <w:t>类型</w:t>
            </w:r>
          </w:p>
        </w:tc>
        <w:tc>
          <w:tcPr>
            <w:tcW w:w="2589" w:type="dxa"/>
            <w:vMerge w:val="restart"/>
            <w:shd w:val="clear" w:color="auto" w:fill="auto"/>
            <w:vAlign w:val="center"/>
            <w:hideMark/>
          </w:tcPr>
          <w:p w14:paraId="70A64781" w14:textId="77777777" w:rsidR="00E31FF0" w:rsidRPr="0081478A" w:rsidRDefault="00E31FF0" w:rsidP="00921836">
            <w:pPr>
              <w:pStyle w:val="ae"/>
              <w:rPr>
                <w:rFonts w:cs="Times New Roman"/>
                <w:bCs/>
              </w:rPr>
            </w:pPr>
            <w:r w:rsidRPr="0081478A">
              <w:rPr>
                <w:rFonts w:cs="Times New Roman"/>
                <w:b w:val="0"/>
                <w:bCs/>
              </w:rPr>
              <w:t>额定制冷量（</w:t>
            </w:r>
            <w:r w:rsidRPr="0081478A">
              <w:rPr>
                <w:rFonts w:cs="Times New Roman"/>
                <w:b w:val="0"/>
                <w:bCs/>
              </w:rPr>
              <w:t>CC</w:t>
            </w:r>
            <w:r w:rsidRPr="0081478A">
              <w:rPr>
                <w:rFonts w:cs="Times New Roman"/>
                <w:b w:val="0"/>
                <w:bCs/>
              </w:rPr>
              <w:t>）</w:t>
            </w:r>
            <w:r w:rsidRPr="0081478A">
              <w:rPr>
                <w:rFonts w:cs="Times New Roman"/>
                <w:b w:val="0"/>
                <w:bCs/>
              </w:rPr>
              <w:t>/W</w:t>
            </w:r>
          </w:p>
        </w:tc>
        <w:tc>
          <w:tcPr>
            <w:tcW w:w="3506" w:type="dxa"/>
            <w:gridSpan w:val="3"/>
            <w:shd w:val="clear" w:color="auto" w:fill="auto"/>
            <w:vAlign w:val="center"/>
            <w:hideMark/>
          </w:tcPr>
          <w:p w14:paraId="361218E0" w14:textId="77777777" w:rsidR="00E31FF0" w:rsidRPr="0081478A" w:rsidRDefault="00E31FF0" w:rsidP="00921836">
            <w:pPr>
              <w:pStyle w:val="ae"/>
              <w:rPr>
                <w:rFonts w:cs="Times New Roman"/>
                <w:bCs/>
              </w:rPr>
            </w:pPr>
            <w:r w:rsidRPr="0081478A">
              <w:rPr>
                <w:rFonts w:cs="Times New Roman"/>
                <w:b w:val="0"/>
                <w:bCs/>
              </w:rPr>
              <w:t>能效等级</w:t>
            </w:r>
          </w:p>
        </w:tc>
      </w:tr>
      <w:tr w:rsidR="0081478A" w:rsidRPr="0081478A" w14:paraId="61D477DB" w14:textId="77777777" w:rsidTr="00921836">
        <w:trPr>
          <w:jc w:val="center"/>
        </w:trPr>
        <w:tc>
          <w:tcPr>
            <w:tcW w:w="1275" w:type="dxa"/>
            <w:vMerge/>
            <w:shd w:val="clear" w:color="auto" w:fill="auto"/>
            <w:vAlign w:val="center"/>
            <w:hideMark/>
          </w:tcPr>
          <w:p w14:paraId="13067197" w14:textId="77777777" w:rsidR="00E31FF0" w:rsidRPr="0081478A" w:rsidRDefault="00E31FF0" w:rsidP="00921836">
            <w:pPr>
              <w:pStyle w:val="ae"/>
              <w:rPr>
                <w:rFonts w:cs="Times New Roman"/>
                <w:bCs/>
              </w:rPr>
            </w:pPr>
          </w:p>
        </w:tc>
        <w:tc>
          <w:tcPr>
            <w:tcW w:w="2589" w:type="dxa"/>
            <w:vMerge/>
            <w:shd w:val="clear" w:color="auto" w:fill="auto"/>
            <w:vAlign w:val="center"/>
            <w:hideMark/>
          </w:tcPr>
          <w:p w14:paraId="79407A81" w14:textId="77777777" w:rsidR="00E31FF0" w:rsidRPr="0081478A" w:rsidRDefault="00E31FF0" w:rsidP="00921836">
            <w:pPr>
              <w:pStyle w:val="ae"/>
              <w:rPr>
                <w:rFonts w:cs="Times New Roman"/>
                <w:bCs/>
              </w:rPr>
            </w:pPr>
          </w:p>
        </w:tc>
        <w:tc>
          <w:tcPr>
            <w:tcW w:w="1168" w:type="dxa"/>
            <w:shd w:val="clear" w:color="auto" w:fill="auto"/>
            <w:vAlign w:val="center"/>
            <w:hideMark/>
          </w:tcPr>
          <w:p w14:paraId="39A8A019" w14:textId="77777777" w:rsidR="00E31FF0" w:rsidRPr="0081478A" w:rsidRDefault="00E31FF0" w:rsidP="00921836">
            <w:pPr>
              <w:pStyle w:val="ae"/>
              <w:rPr>
                <w:rFonts w:cs="Times New Roman"/>
                <w:bCs/>
              </w:rPr>
            </w:pPr>
            <w:r w:rsidRPr="0081478A">
              <w:rPr>
                <w:rFonts w:cs="Times New Roman"/>
                <w:b w:val="0"/>
                <w:bCs/>
              </w:rPr>
              <w:t>1</w:t>
            </w:r>
            <w:r w:rsidRPr="0081478A">
              <w:rPr>
                <w:rFonts w:cs="Times New Roman"/>
                <w:b w:val="0"/>
                <w:bCs/>
              </w:rPr>
              <w:t>级</w:t>
            </w:r>
          </w:p>
        </w:tc>
        <w:tc>
          <w:tcPr>
            <w:tcW w:w="1169" w:type="dxa"/>
            <w:shd w:val="clear" w:color="auto" w:fill="auto"/>
            <w:vAlign w:val="center"/>
            <w:hideMark/>
          </w:tcPr>
          <w:p w14:paraId="1512B507" w14:textId="77777777" w:rsidR="00E31FF0" w:rsidRPr="0081478A" w:rsidRDefault="00E31FF0" w:rsidP="00921836">
            <w:pPr>
              <w:pStyle w:val="ae"/>
              <w:rPr>
                <w:rFonts w:cs="Times New Roman"/>
                <w:bCs/>
              </w:rPr>
            </w:pPr>
            <w:r w:rsidRPr="0081478A">
              <w:rPr>
                <w:rFonts w:cs="Times New Roman"/>
                <w:b w:val="0"/>
                <w:bCs/>
              </w:rPr>
              <w:t>2</w:t>
            </w:r>
            <w:r w:rsidRPr="0081478A">
              <w:rPr>
                <w:rFonts w:cs="Times New Roman"/>
                <w:b w:val="0"/>
                <w:bCs/>
              </w:rPr>
              <w:t>级</w:t>
            </w:r>
          </w:p>
        </w:tc>
        <w:tc>
          <w:tcPr>
            <w:tcW w:w="1169" w:type="dxa"/>
            <w:shd w:val="clear" w:color="auto" w:fill="auto"/>
            <w:vAlign w:val="center"/>
            <w:hideMark/>
          </w:tcPr>
          <w:p w14:paraId="09B78E23" w14:textId="77777777" w:rsidR="00E31FF0" w:rsidRPr="0081478A" w:rsidRDefault="00E31FF0" w:rsidP="00921836">
            <w:pPr>
              <w:pStyle w:val="ae"/>
              <w:rPr>
                <w:rFonts w:cs="Times New Roman"/>
                <w:bCs/>
              </w:rPr>
            </w:pPr>
            <w:r w:rsidRPr="0081478A">
              <w:rPr>
                <w:rFonts w:cs="Times New Roman"/>
                <w:b w:val="0"/>
                <w:bCs/>
              </w:rPr>
              <w:t>3</w:t>
            </w:r>
            <w:r w:rsidRPr="0081478A">
              <w:rPr>
                <w:rFonts w:cs="Times New Roman"/>
                <w:b w:val="0"/>
                <w:bCs/>
              </w:rPr>
              <w:t>级</w:t>
            </w:r>
          </w:p>
        </w:tc>
      </w:tr>
      <w:tr w:rsidR="0081478A" w:rsidRPr="0081478A" w14:paraId="6605835B" w14:textId="77777777" w:rsidTr="00921836">
        <w:trPr>
          <w:jc w:val="center"/>
        </w:trPr>
        <w:tc>
          <w:tcPr>
            <w:tcW w:w="1275" w:type="dxa"/>
            <w:shd w:val="clear" w:color="auto" w:fill="auto"/>
            <w:vAlign w:val="center"/>
            <w:hideMark/>
          </w:tcPr>
          <w:p w14:paraId="2F06EDAB" w14:textId="77777777" w:rsidR="00E31FF0" w:rsidRPr="0081478A" w:rsidRDefault="00E31FF0" w:rsidP="00921836">
            <w:pPr>
              <w:pStyle w:val="ae"/>
              <w:rPr>
                <w:rFonts w:cs="Times New Roman"/>
                <w:bCs/>
              </w:rPr>
            </w:pPr>
            <w:r w:rsidRPr="0081478A">
              <w:rPr>
                <w:rFonts w:cs="Times New Roman"/>
                <w:b w:val="0"/>
                <w:bCs/>
              </w:rPr>
              <w:t>整体式</w:t>
            </w:r>
          </w:p>
        </w:tc>
        <w:tc>
          <w:tcPr>
            <w:tcW w:w="2589" w:type="dxa"/>
            <w:shd w:val="clear" w:color="auto" w:fill="auto"/>
            <w:noWrap/>
            <w:vAlign w:val="bottom"/>
            <w:hideMark/>
          </w:tcPr>
          <w:p w14:paraId="37D87C2F" w14:textId="77777777" w:rsidR="00E31FF0" w:rsidRPr="0081478A" w:rsidRDefault="00E31FF0" w:rsidP="00921836">
            <w:pPr>
              <w:pStyle w:val="ae"/>
              <w:rPr>
                <w:rFonts w:cs="Times New Roman"/>
                <w:bCs/>
              </w:rPr>
            </w:pPr>
          </w:p>
        </w:tc>
        <w:tc>
          <w:tcPr>
            <w:tcW w:w="1168" w:type="dxa"/>
            <w:shd w:val="clear" w:color="auto" w:fill="auto"/>
            <w:vAlign w:val="center"/>
            <w:hideMark/>
          </w:tcPr>
          <w:p w14:paraId="0720E05C" w14:textId="77777777" w:rsidR="00E31FF0" w:rsidRPr="0081478A" w:rsidRDefault="00E31FF0" w:rsidP="00921836">
            <w:pPr>
              <w:pStyle w:val="ae"/>
              <w:rPr>
                <w:rFonts w:cs="Times New Roman"/>
                <w:bCs/>
              </w:rPr>
            </w:pPr>
            <w:r w:rsidRPr="0081478A">
              <w:rPr>
                <w:rFonts w:cs="Times New Roman"/>
                <w:b w:val="0"/>
                <w:bCs/>
              </w:rPr>
              <w:t>3.30</w:t>
            </w:r>
          </w:p>
        </w:tc>
        <w:tc>
          <w:tcPr>
            <w:tcW w:w="1169" w:type="dxa"/>
            <w:shd w:val="clear" w:color="auto" w:fill="auto"/>
            <w:vAlign w:val="center"/>
            <w:hideMark/>
          </w:tcPr>
          <w:p w14:paraId="134BCF44" w14:textId="77777777" w:rsidR="00E31FF0" w:rsidRPr="0081478A" w:rsidRDefault="00E31FF0" w:rsidP="00921836">
            <w:pPr>
              <w:pStyle w:val="ae"/>
              <w:rPr>
                <w:rFonts w:cs="Times New Roman"/>
                <w:bCs/>
              </w:rPr>
            </w:pPr>
            <w:r w:rsidRPr="0081478A">
              <w:rPr>
                <w:rFonts w:cs="Times New Roman"/>
                <w:b w:val="0"/>
                <w:bCs/>
              </w:rPr>
              <w:t>3.10</w:t>
            </w:r>
          </w:p>
        </w:tc>
        <w:tc>
          <w:tcPr>
            <w:tcW w:w="1169" w:type="dxa"/>
            <w:shd w:val="clear" w:color="auto" w:fill="auto"/>
            <w:vAlign w:val="center"/>
            <w:hideMark/>
          </w:tcPr>
          <w:p w14:paraId="5E5B0CC3" w14:textId="77777777" w:rsidR="00E31FF0" w:rsidRPr="0081478A" w:rsidRDefault="00E31FF0" w:rsidP="00921836">
            <w:pPr>
              <w:pStyle w:val="ae"/>
              <w:rPr>
                <w:rFonts w:cs="Times New Roman"/>
                <w:bCs/>
              </w:rPr>
            </w:pPr>
            <w:r w:rsidRPr="0081478A">
              <w:rPr>
                <w:rFonts w:cs="Times New Roman"/>
                <w:b w:val="0"/>
                <w:bCs/>
              </w:rPr>
              <w:t>2.90</w:t>
            </w:r>
          </w:p>
        </w:tc>
      </w:tr>
      <w:tr w:rsidR="0081478A" w:rsidRPr="0081478A" w14:paraId="6A59C912" w14:textId="77777777" w:rsidTr="00921836">
        <w:trPr>
          <w:jc w:val="center"/>
        </w:trPr>
        <w:tc>
          <w:tcPr>
            <w:tcW w:w="1275" w:type="dxa"/>
            <w:vMerge w:val="restart"/>
            <w:shd w:val="clear" w:color="auto" w:fill="auto"/>
            <w:vAlign w:val="center"/>
            <w:hideMark/>
          </w:tcPr>
          <w:p w14:paraId="7C8D372F" w14:textId="77777777" w:rsidR="00E31FF0" w:rsidRPr="0081478A" w:rsidRDefault="00E31FF0" w:rsidP="00921836">
            <w:pPr>
              <w:pStyle w:val="ae"/>
              <w:rPr>
                <w:rFonts w:cs="Times New Roman"/>
                <w:bCs/>
              </w:rPr>
            </w:pPr>
            <w:r w:rsidRPr="0081478A">
              <w:rPr>
                <w:rFonts w:cs="Times New Roman"/>
                <w:b w:val="0"/>
                <w:bCs/>
              </w:rPr>
              <w:t>分体式</w:t>
            </w:r>
          </w:p>
        </w:tc>
        <w:tc>
          <w:tcPr>
            <w:tcW w:w="2589" w:type="dxa"/>
            <w:shd w:val="clear" w:color="auto" w:fill="auto"/>
            <w:vAlign w:val="center"/>
            <w:hideMark/>
          </w:tcPr>
          <w:p w14:paraId="508B1350" w14:textId="77777777" w:rsidR="00E31FF0" w:rsidRPr="0081478A" w:rsidRDefault="00E31FF0" w:rsidP="00921836">
            <w:pPr>
              <w:pStyle w:val="ae"/>
              <w:rPr>
                <w:rFonts w:cs="Times New Roman"/>
                <w:bCs/>
              </w:rPr>
            </w:pPr>
            <w:r w:rsidRPr="0081478A">
              <w:rPr>
                <w:rFonts w:cs="Times New Roman"/>
                <w:b w:val="0"/>
                <w:bCs/>
              </w:rPr>
              <w:t>CC≤4</w:t>
            </w:r>
            <w:r w:rsidRPr="0081478A">
              <w:rPr>
                <w:rStyle w:val="12Char"/>
                <w:rFonts w:hAnsi="Times New Roman"/>
                <w:b w:val="0"/>
                <w:bCs/>
              </w:rPr>
              <w:t> </w:t>
            </w:r>
            <w:r w:rsidRPr="0081478A">
              <w:rPr>
                <w:rFonts w:cs="Times New Roman"/>
                <w:b w:val="0"/>
                <w:bCs/>
              </w:rPr>
              <w:t>500</w:t>
            </w:r>
          </w:p>
        </w:tc>
        <w:tc>
          <w:tcPr>
            <w:tcW w:w="1168" w:type="dxa"/>
            <w:shd w:val="clear" w:color="auto" w:fill="auto"/>
            <w:vAlign w:val="center"/>
            <w:hideMark/>
          </w:tcPr>
          <w:p w14:paraId="0270CD0B" w14:textId="77777777" w:rsidR="00E31FF0" w:rsidRPr="0081478A" w:rsidRDefault="00E31FF0" w:rsidP="00921836">
            <w:pPr>
              <w:pStyle w:val="ae"/>
              <w:rPr>
                <w:rFonts w:cs="Times New Roman"/>
                <w:bCs/>
              </w:rPr>
            </w:pPr>
            <w:r w:rsidRPr="0081478A">
              <w:rPr>
                <w:rFonts w:cs="Times New Roman"/>
                <w:b w:val="0"/>
                <w:bCs/>
              </w:rPr>
              <w:t>3.60</w:t>
            </w:r>
          </w:p>
        </w:tc>
        <w:tc>
          <w:tcPr>
            <w:tcW w:w="1169" w:type="dxa"/>
            <w:shd w:val="clear" w:color="auto" w:fill="auto"/>
            <w:vAlign w:val="center"/>
            <w:hideMark/>
          </w:tcPr>
          <w:p w14:paraId="3C76BE77" w14:textId="77777777" w:rsidR="00E31FF0" w:rsidRPr="0081478A" w:rsidRDefault="00E31FF0" w:rsidP="00921836">
            <w:pPr>
              <w:pStyle w:val="ae"/>
              <w:rPr>
                <w:rFonts w:cs="Times New Roman"/>
                <w:bCs/>
              </w:rPr>
            </w:pPr>
            <w:r w:rsidRPr="0081478A">
              <w:rPr>
                <w:rFonts w:cs="Times New Roman"/>
                <w:b w:val="0"/>
                <w:bCs/>
              </w:rPr>
              <w:t>3.40</w:t>
            </w:r>
          </w:p>
        </w:tc>
        <w:tc>
          <w:tcPr>
            <w:tcW w:w="1169" w:type="dxa"/>
            <w:shd w:val="clear" w:color="auto" w:fill="auto"/>
            <w:vAlign w:val="center"/>
            <w:hideMark/>
          </w:tcPr>
          <w:p w14:paraId="3275C02A" w14:textId="77777777" w:rsidR="00E31FF0" w:rsidRPr="0081478A" w:rsidRDefault="00E31FF0" w:rsidP="00921836">
            <w:pPr>
              <w:pStyle w:val="ae"/>
              <w:rPr>
                <w:rFonts w:cs="Times New Roman"/>
                <w:bCs/>
              </w:rPr>
            </w:pPr>
            <w:r w:rsidRPr="0081478A">
              <w:rPr>
                <w:rFonts w:cs="Times New Roman"/>
                <w:b w:val="0"/>
                <w:bCs/>
              </w:rPr>
              <w:t>3.20</w:t>
            </w:r>
          </w:p>
        </w:tc>
      </w:tr>
      <w:tr w:rsidR="0081478A" w:rsidRPr="0081478A" w14:paraId="3A6AFDEC" w14:textId="77777777" w:rsidTr="00921836">
        <w:trPr>
          <w:jc w:val="center"/>
        </w:trPr>
        <w:tc>
          <w:tcPr>
            <w:tcW w:w="1275" w:type="dxa"/>
            <w:vMerge/>
            <w:shd w:val="clear" w:color="auto" w:fill="auto"/>
            <w:vAlign w:val="center"/>
            <w:hideMark/>
          </w:tcPr>
          <w:p w14:paraId="1183B220" w14:textId="77777777" w:rsidR="00E31FF0" w:rsidRPr="0081478A" w:rsidRDefault="00E31FF0" w:rsidP="00921836">
            <w:pPr>
              <w:pStyle w:val="ae"/>
              <w:rPr>
                <w:rFonts w:cs="Times New Roman"/>
                <w:bCs/>
              </w:rPr>
            </w:pPr>
          </w:p>
        </w:tc>
        <w:tc>
          <w:tcPr>
            <w:tcW w:w="2589" w:type="dxa"/>
            <w:shd w:val="clear" w:color="auto" w:fill="auto"/>
            <w:vAlign w:val="center"/>
            <w:hideMark/>
          </w:tcPr>
          <w:p w14:paraId="04552F66" w14:textId="77777777" w:rsidR="00E31FF0" w:rsidRPr="0081478A" w:rsidRDefault="00E31FF0" w:rsidP="00921836">
            <w:pPr>
              <w:pStyle w:val="ae"/>
              <w:rPr>
                <w:rFonts w:cs="Times New Roman"/>
                <w:bCs/>
              </w:rPr>
            </w:pPr>
            <w:r w:rsidRPr="0081478A">
              <w:rPr>
                <w:rFonts w:cs="Times New Roman"/>
                <w:b w:val="0"/>
                <w:bCs/>
              </w:rPr>
              <w:t>4</w:t>
            </w:r>
            <w:r w:rsidRPr="0081478A">
              <w:rPr>
                <w:rStyle w:val="12Char"/>
                <w:rFonts w:hAnsi="Times New Roman"/>
                <w:b w:val="0"/>
                <w:bCs/>
              </w:rPr>
              <w:t> </w:t>
            </w:r>
            <w:r w:rsidRPr="0081478A">
              <w:rPr>
                <w:rFonts w:cs="Times New Roman"/>
                <w:b w:val="0"/>
                <w:bCs/>
              </w:rPr>
              <w:t>500</w:t>
            </w:r>
            <w:r w:rsidRPr="0081478A">
              <w:rPr>
                <w:rFonts w:cs="Times New Roman"/>
                <w:b w:val="0"/>
                <w:bCs/>
              </w:rPr>
              <w:t>＜</w:t>
            </w:r>
            <w:r w:rsidRPr="0081478A">
              <w:rPr>
                <w:rFonts w:cs="Times New Roman"/>
                <w:b w:val="0"/>
                <w:bCs/>
              </w:rPr>
              <w:t>CC≤7</w:t>
            </w:r>
            <w:r w:rsidRPr="0081478A">
              <w:rPr>
                <w:rStyle w:val="12Char"/>
                <w:rFonts w:hAnsi="Times New Roman"/>
                <w:b w:val="0"/>
                <w:bCs/>
              </w:rPr>
              <w:t> </w:t>
            </w:r>
            <w:r w:rsidRPr="0081478A">
              <w:rPr>
                <w:rFonts w:cs="Times New Roman"/>
                <w:b w:val="0"/>
                <w:bCs/>
              </w:rPr>
              <w:t>100</w:t>
            </w:r>
          </w:p>
        </w:tc>
        <w:tc>
          <w:tcPr>
            <w:tcW w:w="1168" w:type="dxa"/>
            <w:shd w:val="clear" w:color="auto" w:fill="auto"/>
            <w:vAlign w:val="center"/>
            <w:hideMark/>
          </w:tcPr>
          <w:p w14:paraId="53081141" w14:textId="77777777" w:rsidR="00E31FF0" w:rsidRPr="0081478A" w:rsidRDefault="00E31FF0" w:rsidP="00921836">
            <w:pPr>
              <w:pStyle w:val="ae"/>
              <w:rPr>
                <w:rFonts w:cs="Times New Roman"/>
                <w:bCs/>
              </w:rPr>
            </w:pPr>
            <w:r w:rsidRPr="0081478A">
              <w:rPr>
                <w:rFonts w:cs="Times New Roman"/>
                <w:b w:val="0"/>
                <w:bCs/>
              </w:rPr>
              <w:t>3.50</w:t>
            </w:r>
          </w:p>
        </w:tc>
        <w:tc>
          <w:tcPr>
            <w:tcW w:w="1169" w:type="dxa"/>
            <w:shd w:val="clear" w:color="auto" w:fill="auto"/>
            <w:vAlign w:val="center"/>
            <w:hideMark/>
          </w:tcPr>
          <w:p w14:paraId="778AC31A" w14:textId="77777777" w:rsidR="00E31FF0" w:rsidRPr="0081478A" w:rsidRDefault="00E31FF0" w:rsidP="00921836">
            <w:pPr>
              <w:pStyle w:val="ae"/>
              <w:rPr>
                <w:rFonts w:cs="Times New Roman"/>
                <w:bCs/>
              </w:rPr>
            </w:pPr>
            <w:r w:rsidRPr="0081478A">
              <w:rPr>
                <w:rFonts w:cs="Times New Roman"/>
                <w:b w:val="0"/>
                <w:bCs/>
              </w:rPr>
              <w:t>3.30</w:t>
            </w:r>
          </w:p>
        </w:tc>
        <w:tc>
          <w:tcPr>
            <w:tcW w:w="1169" w:type="dxa"/>
            <w:shd w:val="clear" w:color="auto" w:fill="auto"/>
            <w:vAlign w:val="center"/>
            <w:hideMark/>
          </w:tcPr>
          <w:p w14:paraId="216BAA24" w14:textId="77777777" w:rsidR="00E31FF0" w:rsidRPr="0081478A" w:rsidRDefault="00E31FF0" w:rsidP="00921836">
            <w:pPr>
              <w:pStyle w:val="ae"/>
              <w:rPr>
                <w:rFonts w:cs="Times New Roman"/>
                <w:bCs/>
              </w:rPr>
            </w:pPr>
            <w:r w:rsidRPr="0081478A">
              <w:rPr>
                <w:rFonts w:cs="Times New Roman"/>
                <w:b w:val="0"/>
                <w:bCs/>
              </w:rPr>
              <w:t>3.10</w:t>
            </w:r>
          </w:p>
        </w:tc>
      </w:tr>
      <w:tr w:rsidR="0081478A" w:rsidRPr="0081478A" w14:paraId="53DE092A" w14:textId="77777777" w:rsidTr="00921836">
        <w:trPr>
          <w:jc w:val="center"/>
        </w:trPr>
        <w:tc>
          <w:tcPr>
            <w:tcW w:w="1275" w:type="dxa"/>
            <w:vMerge/>
            <w:shd w:val="clear" w:color="auto" w:fill="auto"/>
            <w:vAlign w:val="center"/>
            <w:hideMark/>
          </w:tcPr>
          <w:p w14:paraId="359C0E38" w14:textId="77777777" w:rsidR="00E31FF0" w:rsidRPr="0081478A" w:rsidRDefault="00E31FF0" w:rsidP="00921836">
            <w:pPr>
              <w:pStyle w:val="ae"/>
              <w:rPr>
                <w:rFonts w:cs="Times New Roman"/>
                <w:bCs/>
              </w:rPr>
            </w:pPr>
          </w:p>
        </w:tc>
        <w:tc>
          <w:tcPr>
            <w:tcW w:w="2589" w:type="dxa"/>
            <w:shd w:val="clear" w:color="auto" w:fill="auto"/>
            <w:vAlign w:val="center"/>
            <w:hideMark/>
          </w:tcPr>
          <w:p w14:paraId="3EDA38C2" w14:textId="77777777" w:rsidR="00E31FF0" w:rsidRPr="0081478A" w:rsidRDefault="00E31FF0" w:rsidP="00921836">
            <w:pPr>
              <w:pStyle w:val="ae"/>
              <w:rPr>
                <w:rFonts w:cs="Times New Roman"/>
                <w:bCs/>
              </w:rPr>
            </w:pPr>
            <w:r w:rsidRPr="0081478A">
              <w:rPr>
                <w:rFonts w:cs="Times New Roman"/>
                <w:b w:val="0"/>
                <w:bCs/>
              </w:rPr>
              <w:t>7</w:t>
            </w:r>
            <w:r w:rsidRPr="0081478A">
              <w:rPr>
                <w:rStyle w:val="12Char"/>
                <w:rFonts w:hAnsi="Times New Roman"/>
                <w:b w:val="0"/>
                <w:bCs/>
              </w:rPr>
              <w:t> </w:t>
            </w:r>
            <w:r w:rsidRPr="0081478A">
              <w:rPr>
                <w:rFonts w:cs="Times New Roman"/>
                <w:b w:val="0"/>
                <w:bCs/>
              </w:rPr>
              <w:t>100</w:t>
            </w:r>
            <w:r w:rsidRPr="0081478A">
              <w:rPr>
                <w:rFonts w:cs="Times New Roman"/>
                <w:b w:val="0"/>
                <w:bCs/>
              </w:rPr>
              <w:t>＜</w:t>
            </w:r>
            <w:r w:rsidRPr="0081478A">
              <w:rPr>
                <w:rFonts w:cs="Times New Roman"/>
                <w:b w:val="0"/>
                <w:bCs/>
              </w:rPr>
              <w:t>CC≤14</w:t>
            </w:r>
            <w:r w:rsidRPr="0081478A">
              <w:rPr>
                <w:rStyle w:val="12Char"/>
                <w:rFonts w:hAnsi="Times New Roman"/>
                <w:b w:val="0"/>
                <w:bCs/>
              </w:rPr>
              <w:t> </w:t>
            </w:r>
            <w:r w:rsidRPr="0081478A">
              <w:rPr>
                <w:rFonts w:cs="Times New Roman"/>
                <w:b w:val="0"/>
                <w:bCs/>
              </w:rPr>
              <w:t>000</w:t>
            </w:r>
          </w:p>
        </w:tc>
        <w:tc>
          <w:tcPr>
            <w:tcW w:w="1168" w:type="dxa"/>
            <w:shd w:val="clear" w:color="auto" w:fill="auto"/>
            <w:vAlign w:val="center"/>
            <w:hideMark/>
          </w:tcPr>
          <w:p w14:paraId="54C05014" w14:textId="77777777" w:rsidR="00E31FF0" w:rsidRPr="0081478A" w:rsidRDefault="00E31FF0" w:rsidP="00921836">
            <w:pPr>
              <w:pStyle w:val="ae"/>
              <w:rPr>
                <w:rFonts w:cs="Times New Roman"/>
                <w:bCs/>
              </w:rPr>
            </w:pPr>
            <w:r w:rsidRPr="0081478A">
              <w:rPr>
                <w:rFonts w:cs="Times New Roman"/>
                <w:b w:val="0"/>
                <w:bCs/>
              </w:rPr>
              <w:t>3.40</w:t>
            </w:r>
          </w:p>
        </w:tc>
        <w:tc>
          <w:tcPr>
            <w:tcW w:w="1169" w:type="dxa"/>
            <w:shd w:val="clear" w:color="auto" w:fill="auto"/>
            <w:vAlign w:val="center"/>
            <w:hideMark/>
          </w:tcPr>
          <w:p w14:paraId="70CCF4CA" w14:textId="77777777" w:rsidR="00E31FF0" w:rsidRPr="0081478A" w:rsidRDefault="00E31FF0" w:rsidP="00921836">
            <w:pPr>
              <w:pStyle w:val="ae"/>
              <w:rPr>
                <w:rFonts w:cs="Times New Roman"/>
                <w:bCs/>
              </w:rPr>
            </w:pPr>
            <w:r w:rsidRPr="0081478A">
              <w:rPr>
                <w:rFonts w:cs="Times New Roman"/>
                <w:b w:val="0"/>
                <w:bCs/>
              </w:rPr>
              <w:t>3.20</w:t>
            </w:r>
          </w:p>
        </w:tc>
        <w:tc>
          <w:tcPr>
            <w:tcW w:w="1169" w:type="dxa"/>
            <w:shd w:val="clear" w:color="auto" w:fill="auto"/>
            <w:vAlign w:val="center"/>
            <w:hideMark/>
          </w:tcPr>
          <w:p w14:paraId="01D7EE4F" w14:textId="77777777" w:rsidR="00E31FF0" w:rsidRPr="0081478A" w:rsidRDefault="00E31FF0" w:rsidP="00921836">
            <w:pPr>
              <w:pStyle w:val="ae"/>
              <w:rPr>
                <w:rFonts w:cs="Times New Roman"/>
                <w:bCs/>
              </w:rPr>
            </w:pPr>
            <w:r w:rsidRPr="0081478A">
              <w:rPr>
                <w:rFonts w:cs="Times New Roman"/>
                <w:b w:val="0"/>
                <w:bCs/>
              </w:rPr>
              <w:t>3.00</w:t>
            </w:r>
          </w:p>
        </w:tc>
      </w:tr>
    </w:tbl>
    <w:p w14:paraId="7C88549C" w14:textId="77777777" w:rsidR="00E31FF0" w:rsidRPr="0081478A" w:rsidRDefault="00E31FF0" w:rsidP="00E31FF0">
      <w:pPr>
        <w:ind w:firstLine="420"/>
        <w:rPr>
          <w:rFonts w:cs="Times New Roman"/>
        </w:rPr>
      </w:pPr>
    </w:p>
    <w:p w14:paraId="4FF5EA6F" w14:textId="49C9B51C" w:rsidR="00E31FF0" w:rsidRPr="0081478A" w:rsidRDefault="00E31FF0" w:rsidP="00E31FF0">
      <w:pPr>
        <w:ind w:firstLine="420"/>
        <w:rPr>
          <w:rFonts w:cs="Times New Roman"/>
        </w:rPr>
      </w:pPr>
      <w:r w:rsidRPr="0081478A">
        <w:rPr>
          <w:rFonts w:cs="Times New Roman"/>
        </w:rPr>
        <w:t>采用转速可控型房间空气调节器作为房间空气调节系统的冷热源设备时，依据表</w:t>
      </w:r>
      <w:r w:rsidR="000B54A2" w:rsidRPr="0081478A">
        <w:rPr>
          <w:rFonts w:cs="Times New Roman"/>
        </w:rPr>
        <w:t>7.2.5-10</w:t>
      </w:r>
      <w:r w:rsidRPr="0081478A">
        <w:rPr>
          <w:rFonts w:cs="Times New Roman"/>
        </w:rPr>
        <w:t>和表</w:t>
      </w:r>
      <w:r w:rsidR="000B54A2" w:rsidRPr="0081478A">
        <w:rPr>
          <w:rFonts w:cs="Times New Roman"/>
        </w:rPr>
        <w:t>7.2.5-11</w:t>
      </w:r>
      <w:r w:rsidRPr="0081478A">
        <w:rPr>
          <w:rFonts w:cs="Times New Roman"/>
        </w:rPr>
        <w:t>，判定其能效比提高幅度。</w:t>
      </w:r>
    </w:p>
    <w:p w14:paraId="6ABC3723" w14:textId="7FB68907" w:rsidR="000B54A2" w:rsidRPr="0081478A" w:rsidRDefault="000B54A2" w:rsidP="00921836">
      <w:pPr>
        <w:pStyle w:val="ae"/>
        <w:rPr>
          <w:rFonts w:cs="Times New Roman"/>
          <w:bCs/>
        </w:rPr>
      </w:pPr>
      <w:r w:rsidRPr="0081478A">
        <w:rPr>
          <w:rFonts w:cs="Times New Roman"/>
          <w:b w:val="0"/>
          <w:bCs/>
        </w:rPr>
        <w:t>表</w:t>
      </w:r>
      <w:r w:rsidRPr="0081478A">
        <w:rPr>
          <w:rFonts w:cs="Times New Roman"/>
          <w:b w:val="0"/>
          <w:bCs/>
        </w:rPr>
        <w:t xml:space="preserve">7.2.5-10 </w:t>
      </w:r>
      <w:r w:rsidRPr="0081478A">
        <w:rPr>
          <w:rFonts w:cs="Times New Roman"/>
          <w:b w:val="0"/>
          <w:bCs/>
        </w:rPr>
        <w:t>单冷式转速可控型房间空调器能效等级</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7" w:type="dxa"/>
        </w:tblCellMar>
        <w:tblLook w:val="04A0" w:firstRow="1" w:lastRow="0" w:firstColumn="1" w:lastColumn="0" w:noHBand="0" w:noVBand="1"/>
      </w:tblPr>
      <w:tblGrid>
        <w:gridCol w:w="1302"/>
        <w:gridCol w:w="1959"/>
        <w:gridCol w:w="1369"/>
        <w:gridCol w:w="1370"/>
        <w:gridCol w:w="1370"/>
      </w:tblGrid>
      <w:tr w:rsidR="0081478A" w:rsidRPr="0081478A" w14:paraId="23FF8CC5" w14:textId="77777777" w:rsidTr="00921836">
        <w:trPr>
          <w:jc w:val="center"/>
        </w:trPr>
        <w:tc>
          <w:tcPr>
            <w:tcW w:w="1302" w:type="dxa"/>
            <w:vMerge w:val="restart"/>
            <w:shd w:val="clear" w:color="auto" w:fill="auto"/>
            <w:vAlign w:val="center"/>
            <w:hideMark/>
          </w:tcPr>
          <w:p w14:paraId="519C2503" w14:textId="77777777" w:rsidR="000B54A2" w:rsidRPr="0081478A" w:rsidRDefault="000B54A2" w:rsidP="00921836">
            <w:pPr>
              <w:pStyle w:val="ae"/>
              <w:rPr>
                <w:rFonts w:cs="Times New Roman"/>
                <w:bCs/>
              </w:rPr>
            </w:pPr>
            <w:r w:rsidRPr="0081478A">
              <w:rPr>
                <w:rFonts w:cs="Times New Roman"/>
                <w:b w:val="0"/>
                <w:bCs/>
              </w:rPr>
              <w:t>类型</w:t>
            </w:r>
          </w:p>
        </w:tc>
        <w:tc>
          <w:tcPr>
            <w:tcW w:w="1959" w:type="dxa"/>
            <w:vMerge w:val="restart"/>
            <w:shd w:val="clear" w:color="auto" w:fill="auto"/>
            <w:vAlign w:val="center"/>
            <w:hideMark/>
          </w:tcPr>
          <w:p w14:paraId="6E44C21F" w14:textId="77777777" w:rsidR="000B54A2" w:rsidRPr="0081478A" w:rsidRDefault="000B54A2" w:rsidP="00921836">
            <w:pPr>
              <w:pStyle w:val="ae"/>
              <w:rPr>
                <w:rFonts w:cs="Times New Roman"/>
                <w:bCs/>
              </w:rPr>
            </w:pPr>
            <w:r w:rsidRPr="0081478A">
              <w:rPr>
                <w:rFonts w:cs="Times New Roman"/>
                <w:b w:val="0"/>
                <w:bCs/>
              </w:rPr>
              <w:t>额定制冷量（</w:t>
            </w:r>
            <w:r w:rsidRPr="0081478A">
              <w:rPr>
                <w:rFonts w:cs="Times New Roman"/>
                <w:b w:val="0"/>
                <w:bCs/>
              </w:rPr>
              <w:t>CC</w:t>
            </w:r>
            <w:r w:rsidRPr="0081478A">
              <w:rPr>
                <w:rFonts w:cs="Times New Roman"/>
                <w:b w:val="0"/>
                <w:bCs/>
              </w:rPr>
              <w:t>）</w:t>
            </w:r>
            <w:r w:rsidRPr="0081478A">
              <w:rPr>
                <w:rFonts w:cs="Times New Roman"/>
                <w:b w:val="0"/>
                <w:bCs/>
              </w:rPr>
              <w:t>/W</w:t>
            </w:r>
          </w:p>
        </w:tc>
        <w:tc>
          <w:tcPr>
            <w:tcW w:w="4109" w:type="dxa"/>
            <w:gridSpan w:val="3"/>
            <w:shd w:val="clear" w:color="auto" w:fill="auto"/>
            <w:vAlign w:val="bottom"/>
            <w:hideMark/>
          </w:tcPr>
          <w:p w14:paraId="5ED81DE4" w14:textId="77777777" w:rsidR="000B54A2" w:rsidRPr="0081478A" w:rsidRDefault="000B54A2" w:rsidP="00921836">
            <w:pPr>
              <w:pStyle w:val="ae"/>
              <w:rPr>
                <w:rFonts w:cs="Times New Roman"/>
                <w:bCs/>
              </w:rPr>
            </w:pPr>
            <w:r w:rsidRPr="0081478A">
              <w:rPr>
                <w:rFonts w:cs="Times New Roman"/>
                <w:b w:val="0"/>
                <w:bCs/>
              </w:rPr>
              <w:t>制冷季节能源消耗效率</w:t>
            </w:r>
            <w:r w:rsidRPr="0081478A">
              <w:rPr>
                <w:rFonts w:cs="Times New Roman"/>
                <w:b w:val="0"/>
                <w:bCs/>
              </w:rPr>
              <w:t>/[(W·h)/(W·h)]</w:t>
            </w:r>
          </w:p>
        </w:tc>
      </w:tr>
      <w:tr w:rsidR="0081478A" w:rsidRPr="0081478A" w14:paraId="194CABE1" w14:textId="77777777" w:rsidTr="00921836">
        <w:trPr>
          <w:jc w:val="center"/>
        </w:trPr>
        <w:tc>
          <w:tcPr>
            <w:tcW w:w="1302" w:type="dxa"/>
            <w:vMerge/>
            <w:shd w:val="clear" w:color="auto" w:fill="auto"/>
            <w:vAlign w:val="center"/>
            <w:hideMark/>
          </w:tcPr>
          <w:p w14:paraId="1DC82C59" w14:textId="77777777" w:rsidR="000B54A2" w:rsidRPr="0081478A" w:rsidRDefault="000B54A2" w:rsidP="00921836">
            <w:pPr>
              <w:pStyle w:val="ae"/>
              <w:rPr>
                <w:rFonts w:cs="Times New Roman"/>
                <w:bCs/>
              </w:rPr>
            </w:pPr>
          </w:p>
        </w:tc>
        <w:tc>
          <w:tcPr>
            <w:tcW w:w="1959" w:type="dxa"/>
            <w:vMerge/>
            <w:shd w:val="clear" w:color="auto" w:fill="auto"/>
            <w:vAlign w:val="center"/>
            <w:hideMark/>
          </w:tcPr>
          <w:p w14:paraId="235A1073" w14:textId="77777777" w:rsidR="000B54A2" w:rsidRPr="0081478A" w:rsidRDefault="000B54A2" w:rsidP="00921836">
            <w:pPr>
              <w:pStyle w:val="ae"/>
              <w:rPr>
                <w:rFonts w:cs="Times New Roman"/>
                <w:bCs/>
              </w:rPr>
            </w:pPr>
          </w:p>
        </w:tc>
        <w:tc>
          <w:tcPr>
            <w:tcW w:w="4109" w:type="dxa"/>
            <w:gridSpan w:val="3"/>
            <w:shd w:val="clear" w:color="auto" w:fill="auto"/>
            <w:vAlign w:val="center"/>
            <w:hideMark/>
          </w:tcPr>
          <w:p w14:paraId="5135D582" w14:textId="77777777" w:rsidR="000B54A2" w:rsidRPr="0081478A" w:rsidRDefault="000B54A2" w:rsidP="00921836">
            <w:pPr>
              <w:pStyle w:val="ae"/>
              <w:rPr>
                <w:rFonts w:cs="Times New Roman"/>
                <w:bCs/>
              </w:rPr>
            </w:pPr>
            <w:r w:rsidRPr="0081478A">
              <w:rPr>
                <w:rFonts w:cs="Times New Roman"/>
                <w:b w:val="0"/>
                <w:bCs/>
              </w:rPr>
              <w:t>能效等级</w:t>
            </w:r>
          </w:p>
        </w:tc>
      </w:tr>
      <w:tr w:rsidR="0081478A" w:rsidRPr="0081478A" w14:paraId="380D8AE7" w14:textId="77777777" w:rsidTr="00921836">
        <w:trPr>
          <w:jc w:val="center"/>
        </w:trPr>
        <w:tc>
          <w:tcPr>
            <w:tcW w:w="1302" w:type="dxa"/>
            <w:vMerge/>
            <w:shd w:val="clear" w:color="auto" w:fill="auto"/>
            <w:vAlign w:val="center"/>
            <w:hideMark/>
          </w:tcPr>
          <w:p w14:paraId="2D6A8D70" w14:textId="77777777" w:rsidR="000B54A2" w:rsidRPr="0081478A" w:rsidRDefault="000B54A2" w:rsidP="00921836">
            <w:pPr>
              <w:pStyle w:val="ae"/>
              <w:rPr>
                <w:rFonts w:cs="Times New Roman"/>
                <w:bCs/>
              </w:rPr>
            </w:pPr>
          </w:p>
        </w:tc>
        <w:tc>
          <w:tcPr>
            <w:tcW w:w="1959" w:type="dxa"/>
            <w:vMerge/>
            <w:shd w:val="clear" w:color="auto" w:fill="auto"/>
            <w:vAlign w:val="center"/>
            <w:hideMark/>
          </w:tcPr>
          <w:p w14:paraId="6BC0CC17" w14:textId="77777777" w:rsidR="000B54A2" w:rsidRPr="0081478A" w:rsidRDefault="000B54A2" w:rsidP="00921836">
            <w:pPr>
              <w:pStyle w:val="ae"/>
              <w:rPr>
                <w:rFonts w:cs="Times New Roman"/>
                <w:bCs/>
              </w:rPr>
            </w:pPr>
          </w:p>
        </w:tc>
        <w:tc>
          <w:tcPr>
            <w:tcW w:w="1369" w:type="dxa"/>
            <w:shd w:val="clear" w:color="auto" w:fill="auto"/>
            <w:vAlign w:val="center"/>
            <w:hideMark/>
          </w:tcPr>
          <w:p w14:paraId="5E62765B" w14:textId="77777777" w:rsidR="000B54A2" w:rsidRPr="0081478A" w:rsidRDefault="000B54A2" w:rsidP="00921836">
            <w:pPr>
              <w:pStyle w:val="ae"/>
              <w:rPr>
                <w:rFonts w:cs="Times New Roman"/>
                <w:bCs/>
              </w:rPr>
            </w:pPr>
            <w:r w:rsidRPr="0081478A">
              <w:rPr>
                <w:rFonts w:cs="Times New Roman"/>
                <w:b w:val="0"/>
                <w:bCs/>
              </w:rPr>
              <w:t>1</w:t>
            </w:r>
            <w:r w:rsidRPr="0081478A">
              <w:rPr>
                <w:rFonts w:cs="Times New Roman"/>
                <w:b w:val="0"/>
                <w:bCs/>
              </w:rPr>
              <w:t>级</w:t>
            </w:r>
          </w:p>
        </w:tc>
        <w:tc>
          <w:tcPr>
            <w:tcW w:w="1370" w:type="dxa"/>
            <w:shd w:val="clear" w:color="auto" w:fill="auto"/>
            <w:vAlign w:val="center"/>
            <w:hideMark/>
          </w:tcPr>
          <w:p w14:paraId="02635F66" w14:textId="77777777" w:rsidR="000B54A2" w:rsidRPr="0081478A" w:rsidRDefault="000B54A2" w:rsidP="00921836">
            <w:pPr>
              <w:pStyle w:val="ae"/>
              <w:rPr>
                <w:rFonts w:cs="Times New Roman"/>
                <w:bCs/>
              </w:rPr>
            </w:pPr>
            <w:r w:rsidRPr="0081478A">
              <w:rPr>
                <w:rFonts w:cs="Times New Roman"/>
                <w:b w:val="0"/>
                <w:bCs/>
              </w:rPr>
              <w:t>2</w:t>
            </w:r>
            <w:r w:rsidRPr="0081478A">
              <w:rPr>
                <w:rFonts w:cs="Times New Roman"/>
                <w:b w:val="0"/>
                <w:bCs/>
              </w:rPr>
              <w:t>级</w:t>
            </w:r>
          </w:p>
        </w:tc>
        <w:tc>
          <w:tcPr>
            <w:tcW w:w="1370" w:type="dxa"/>
            <w:shd w:val="clear" w:color="auto" w:fill="auto"/>
            <w:vAlign w:val="center"/>
            <w:hideMark/>
          </w:tcPr>
          <w:p w14:paraId="394F7378" w14:textId="77777777" w:rsidR="000B54A2" w:rsidRPr="0081478A" w:rsidRDefault="000B54A2" w:rsidP="00921836">
            <w:pPr>
              <w:pStyle w:val="ae"/>
              <w:rPr>
                <w:rFonts w:cs="Times New Roman"/>
                <w:bCs/>
              </w:rPr>
            </w:pPr>
            <w:r w:rsidRPr="0081478A">
              <w:rPr>
                <w:rFonts w:cs="Times New Roman"/>
                <w:b w:val="0"/>
                <w:bCs/>
              </w:rPr>
              <w:t>3</w:t>
            </w:r>
            <w:r w:rsidRPr="0081478A">
              <w:rPr>
                <w:rFonts w:cs="Times New Roman"/>
                <w:b w:val="0"/>
                <w:bCs/>
              </w:rPr>
              <w:t>级</w:t>
            </w:r>
          </w:p>
        </w:tc>
      </w:tr>
      <w:tr w:rsidR="0081478A" w:rsidRPr="0081478A" w14:paraId="34790176" w14:textId="77777777" w:rsidTr="00921836">
        <w:trPr>
          <w:jc w:val="center"/>
        </w:trPr>
        <w:tc>
          <w:tcPr>
            <w:tcW w:w="1302" w:type="dxa"/>
            <w:vMerge w:val="restart"/>
            <w:shd w:val="clear" w:color="auto" w:fill="auto"/>
            <w:vAlign w:val="center"/>
            <w:hideMark/>
          </w:tcPr>
          <w:p w14:paraId="7A969542" w14:textId="77777777" w:rsidR="000B54A2" w:rsidRPr="0081478A" w:rsidRDefault="000B54A2" w:rsidP="00921836">
            <w:pPr>
              <w:pStyle w:val="ae"/>
              <w:rPr>
                <w:rFonts w:cs="Times New Roman"/>
                <w:bCs/>
              </w:rPr>
            </w:pPr>
            <w:r w:rsidRPr="0081478A">
              <w:rPr>
                <w:rFonts w:cs="Times New Roman"/>
                <w:b w:val="0"/>
                <w:bCs/>
              </w:rPr>
              <w:t>分体式</w:t>
            </w:r>
          </w:p>
        </w:tc>
        <w:tc>
          <w:tcPr>
            <w:tcW w:w="1959" w:type="dxa"/>
            <w:shd w:val="clear" w:color="auto" w:fill="auto"/>
            <w:vAlign w:val="center"/>
            <w:hideMark/>
          </w:tcPr>
          <w:p w14:paraId="7DE900E8" w14:textId="77777777" w:rsidR="000B54A2" w:rsidRPr="0081478A" w:rsidRDefault="000B54A2" w:rsidP="00921836">
            <w:pPr>
              <w:pStyle w:val="ae"/>
              <w:rPr>
                <w:rFonts w:cs="Times New Roman"/>
                <w:bCs/>
              </w:rPr>
            </w:pPr>
            <w:r w:rsidRPr="0081478A">
              <w:rPr>
                <w:rFonts w:cs="Times New Roman"/>
                <w:b w:val="0"/>
                <w:bCs/>
              </w:rPr>
              <w:t>CC≤4</w:t>
            </w:r>
            <w:r w:rsidRPr="0081478A">
              <w:rPr>
                <w:rStyle w:val="12Char"/>
                <w:rFonts w:hAnsi="Times New Roman"/>
                <w:b w:val="0"/>
                <w:bCs/>
              </w:rPr>
              <w:t> </w:t>
            </w:r>
            <w:r w:rsidRPr="0081478A">
              <w:rPr>
                <w:rFonts w:cs="Times New Roman"/>
                <w:b w:val="0"/>
                <w:bCs/>
              </w:rPr>
              <w:t>500</w:t>
            </w:r>
          </w:p>
        </w:tc>
        <w:tc>
          <w:tcPr>
            <w:tcW w:w="1369" w:type="dxa"/>
            <w:shd w:val="clear" w:color="auto" w:fill="auto"/>
            <w:vAlign w:val="center"/>
            <w:hideMark/>
          </w:tcPr>
          <w:p w14:paraId="6ED4AEE7" w14:textId="77777777" w:rsidR="000B54A2" w:rsidRPr="0081478A" w:rsidRDefault="000B54A2" w:rsidP="00921836">
            <w:pPr>
              <w:pStyle w:val="ae"/>
              <w:rPr>
                <w:rFonts w:cs="Times New Roman"/>
                <w:bCs/>
              </w:rPr>
            </w:pPr>
            <w:r w:rsidRPr="0081478A">
              <w:rPr>
                <w:rFonts w:cs="Times New Roman"/>
                <w:b w:val="0"/>
                <w:bCs/>
              </w:rPr>
              <w:t>5.40</w:t>
            </w:r>
          </w:p>
        </w:tc>
        <w:tc>
          <w:tcPr>
            <w:tcW w:w="1370" w:type="dxa"/>
            <w:shd w:val="clear" w:color="auto" w:fill="auto"/>
            <w:vAlign w:val="center"/>
            <w:hideMark/>
          </w:tcPr>
          <w:p w14:paraId="7046C009" w14:textId="77777777" w:rsidR="000B54A2" w:rsidRPr="0081478A" w:rsidRDefault="000B54A2" w:rsidP="00921836">
            <w:pPr>
              <w:pStyle w:val="ae"/>
              <w:rPr>
                <w:rFonts w:cs="Times New Roman"/>
                <w:bCs/>
              </w:rPr>
            </w:pPr>
            <w:r w:rsidRPr="0081478A">
              <w:rPr>
                <w:rFonts w:cs="Times New Roman"/>
                <w:b w:val="0"/>
                <w:bCs/>
              </w:rPr>
              <w:t>5.00</w:t>
            </w:r>
          </w:p>
        </w:tc>
        <w:tc>
          <w:tcPr>
            <w:tcW w:w="1370" w:type="dxa"/>
            <w:shd w:val="clear" w:color="auto" w:fill="auto"/>
            <w:vAlign w:val="center"/>
            <w:hideMark/>
          </w:tcPr>
          <w:p w14:paraId="65421DAA" w14:textId="77777777" w:rsidR="000B54A2" w:rsidRPr="0081478A" w:rsidRDefault="000B54A2" w:rsidP="00921836">
            <w:pPr>
              <w:pStyle w:val="ae"/>
              <w:rPr>
                <w:rFonts w:cs="Times New Roman"/>
                <w:bCs/>
              </w:rPr>
            </w:pPr>
            <w:r w:rsidRPr="0081478A">
              <w:rPr>
                <w:rFonts w:cs="Times New Roman"/>
                <w:b w:val="0"/>
                <w:bCs/>
              </w:rPr>
              <w:t>4.30</w:t>
            </w:r>
          </w:p>
        </w:tc>
      </w:tr>
      <w:tr w:rsidR="0081478A" w:rsidRPr="0081478A" w14:paraId="123B2F2F" w14:textId="77777777" w:rsidTr="00921836">
        <w:trPr>
          <w:jc w:val="center"/>
        </w:trPr>
        <w:tc>
          <w:tcPr>
            <w:tcW w:w="1302" w:type="dxa"/>
            <w:vMerge/>
            <w:shd w:val="clear" w:color="auto" w:fill="auto"/>
            <w:vAlign w:val="center"/>
            <w:hideMark/>
          </w:tcPr>
          <w:p w14:paraId="2139EBA1" w14:textId="77777777" w:rsidR="000B54A2" w:rsidRPr="0081478A" w:rsidRDefault="000B54A2" w:rsidP="00921836">
            <w:pPr>
              <w:pStyle w:val="ae"/>
              <w:rPr>
                <w:rFonts w:cs="Times New Roman"/>
                <w:bCs/>
              </w:rPr>
            </w:pPr>
          </w:p>
        </w:tc>
        <w:tc>
          <w:tcPr>
            <w:tcW w:w="1959" w:type="dxa"/>
            <w:shd w:val="clear" w:color="auto" w:fill="auto"/>
            <w:vAlign w:val="center"/>
            <w:hideMark/>
          </w:tcPr>
          <w:p w14:paraId="46113835" w14:textId="77777777" w:rsidR="000B54A2" w:rsidRPr="0081478A" w:rsidRDefault="000B54A2" w:rsidP="00921836">
            <w:pPr>
              <w:pStyle w:val="ae"/>
              <w:rPr>
                <w:rFonts w:cs="Times New Roman"/>
                <w:bCs/>
              </w:rPr>
            </w:pPr>
            <w:r w:rsidRPr="0081478A">
              <w:rPr>
                <w:rFonts w:cs="Times New Roman"/>
                <w:b w:val="0"/>
                <w:bCs/>
              </w:rPr>
              <w:t>4</w:t>
            </w:r>
            <w:r w:rsidRPr="0081478A">
              <w:rPr>
                <w:rStyle w:val="12Char"/>
                <w:rFonts w:hAnsi="Times New Roman"/>
                <w:b w:val="0"/>
                <w:bCs/>
              </w:rPr>
              <w:t> </w:t>
            </w:r>
            <w:r w:rsidRPr="0081478A">
              <w:rPr>
                <w:rFonts w:cs="Times New Roman"/>
                <w:b w:val="0"/>
                <w:bCs/>
              </w:rPr>
              <w:t>500</w:t>
            </w:r>
            <w:r w:rsidRPr="0081478A">
              <w:rPr>
                <w:rFonts w:cs="Times New Roman"/>
                <w:b w:val="0"/>
                <w:bCs/>
              </w:rPr>
              <w:t>＜</w:t>
            </w:r>
            <w:r w:rsidRPr="0081478A">
              <w:rPr>
                <w:rFonts w:cs="Times New Roman"/>
                <w:b w:val="0"/>
                <w:bCs/>
              </w:rPr>
              <w:t>CC≤7</w:t>
            </w:r>
            <w:r w:rsidRPr="0081478A">
              <w:rPr>
                <w:rStyle w:val="12Char"/>
                <w:rFonts w:hAnsi="Times New Roman"/>
                <w:b w:val="0"/>
                <w:bCs/>
              </w:rPr>
              <w:t> </w:t>
            </w:r>
            <w:r w:rsidRPr="0081478A">
              <w:rPr>
                <w:rFonts w:cs="Times New Roman"/>
                <w:b w:val="0"/>
                <w:bCs/>
              </w:rPr>
              <w:t>100</w:t>
            </w:r>
          </w:p>
        </w:tc>
        <w:tc>
          <w:tcPr>
            <w:tcW w:w="1369" w:type="dxa"/>
            <w:shd w:val="clear" w:color="auto" w:fill="auto"/>
            <w:vAlign w:val="center"/>
            <w:hideMark/>
          </w:tcPr>
          <w:p w14:paraId="1DA6365A" w14:textId="77777777" w:rsidR="000B54A2" w:rsidRPr="0081478A" w:rsidRDefault="000B54A2" w:rsidP="00921836">
            <w:pPr>
              <w:pStyle w:val="ae"/>
              <w:rPr>
                <w:rFonts w:cs="Times New Roman"/>
                <w:bCs/>
              </w:rPr>
            </w:pPr>
            <w:r w:rsidRPr="0081478A">
              <w:rPr>
                <w:rFonts w:cs="Times New Roman"/>
                <w:b w:val="0"/>
                <w:bCs/>
              </w:rPr>
              <w:t>5.10</w:t>
            </w:r>
          </w:p>
        </w:tc>
        <w:tc>
          <w:tcPr>
            <w:tcW w:w="1370" w:type="dxa"/>
            <w:shd w:val="clear" w:color="auto" w:fill="auto"/>
            <w:vAlign w:val="center"/>
            <w:hideMark/>
          </w:tcPr>
          <w:p w14:paraId="0C7FE028" w14:textId="77777777" w:rsidR="000B54A2" w:rsidRPr="0081478A" w:rsidRDefault="000B54A2" w:rsidP="00921836">
            <w:pPr>
              <w:pStyle w:val="ae"/>
              <w:rPr>
                <w:rFonts w:cs="Times New Roman"/>
                <w:bCs/>
              </w:rPr>
            </w:pPr>
            <w:r w:rsidRPr="0081478A">
              <w:rPr>
                <w:rFonts w:cs="Times New Roman"/>
                <w:b w:val="0"/>
                <w:bCs/>
              </w:rPr>
              <w:t>4.40</w:t>
            </w:r>
          </w:p>
        </w:tc>
        <w:tc>
          <w:tcPr>
            <w:tcW w:w="1370" w:type="dxa"/>
            <w:shd w:val="clear" w:color="auto" w:fill="auto"/>
            <w:vAlign w:val="center"/>
            <w:hideMark/>
          </w:tcPr>
          <w:p w14:paraId="20C7209F" w14:textId="77777777" w:rsidR="000B54A2" w:rsidRPr="0081478A" w:rsidRDefault="000B54A2" w:rsidP="00921836">
            <w:pPr>
              <w:pStyle w:val="ae"/>
              <w:rPr>
                <w:rFonts w:cs="Times New Roman"/>
                <w:bCs/>
              </w:rPr>
            </w:pPr>
            <w:r w:rsidRPr="0081478A">
              <w:rPr>
                <w:rFonts w:cs="Times New Roman"/>
                <w:b w:val="0"/>
                <w:bCs/>
              </w:rPr>
              <w:t>3.90</w:t>
            </w:r>
          </w:p>
        </w:tc>
      </w:tr>
      <w:tr w:rsidR="0081478A" w:rsidRPr="0081478A" w14:paraId="5553B13A" w14:textId="77777777" w:rsidTr="00921836">
        <w:trPr>
          <w:jc w:val="center"/>
        </w:trPr>
        <w:tc>
          <w:tcPr>
            <w:tcW w:w="1302" w:type="dxa"/>
            <w:vMerge/>
            <w:shd w:val="clear" w:color="auto" w:fill="auto"/>
            <w:vAlign w:val="center"/>
            <w:hideMark/>
          </w:tcPr>
          <w:p w14:paraId="038DD321" w14:textId="77777777" w:rsidR="000B54A2" w:rsidRPr="0081478A" w:rsidRDefault="000B54A2" w:rsidP="00921836">
            <w:pPr>
              <w:pStyle w:val="ae"/>
              <w:rPr>
                <w:rFonts w:cs="Times New Roman"/>
                <w:bCs/>
              </w:rPr>
            </w:pPr>
          </w:p>
        </w:tc>
        <w:tc>
          <w:tcPr>
            <w:tcW w:w="1959" w:type="dxa"/>
            <w:shd w:val="clear" w:color="auto" w:fill="auto"/>
            <w:vAlign w:val="center"/>
            <w:hideMark/>
          </w:tcPr>
          <w:p w14:paraId="72E93D2D" w14:textId="77777777" w:rsidR="000B54A2" w:rsidRPr="0081478A" w:rsidRDefault="000B54A2" w:rsidP="00921836">
            <w:pPr>
              <w:pStyle w:val="ae"/>
              <w:rPr>
                <w:rFonts w:cs="Times New Roman"/>
                <w:bCs/>
              </w:rPr>
            </w:pPr>
            <w:r w:rsidRPr="0081478A">
              <w:rPr>
                <w:rFonts w:cs="Times New Roman"/>
                <w:b w:val="0"/>
                <w:bCs/>
              </w:rPr>
              <w:t>7</w:t>
            </w:r>
            <w:r w:rsidRPr="0081478A">
              <w:rPr>
                <w:rStyle w:val="12Char"/>
                <w:rFonts w:hAnsi="Times New Roman"/>
                <w:b w:val="0"/>
                <w:bCs/>
              </w:rPr>
              <w:t> </w:t>
            </w:r>
            <w:r w:rsidRPr="0081478A">
              <w:rPr>
                <w:rFonts w:cs="Times New Roman"/>
                <w:b w:val="0"/>
                <w:bCs/>
              </w:rPr>
              <w:t>100</w:t>
            </w:r>
            <w:r w:rsidRPr="0081478A">
              <w:rPr>
                <w:rFonts w:cs="Times New Roman"/>
                <w:b w:val="0"/>
                <w:bCs/>
              </w:rPr>
              <w:t>＜</w:t>
            </w:r>
            <w:r w:rsidRPr="0081478A">
              <w:rPr>
                <w:rFonts w:cs="Times New Roman"/>
                <w:b w:val="0"/>
                <w:bCs/>
              </w:rPr>
              <w:t>CC≤14</w:t>
            </w:r>
            <w:r w:rsidRPr="0081478A">
              <w:rPr>
                <w:rStyle w:val="12Char"/>
                <w:rFonts w:hAnsi="Times New Roman"/>
                <w:b w:val="0"/>
                <w:bCs/>
              </w:rPr>
              <w:t> </w:t>
            </w:r>
            <w:r w:rsidRPr="0081478A">
              <w:rPr>
                <w:rFonts w:cs="Times New Roman"/>
                <w:b w:val="0"/>
                <w:bCs/>
              </w:rPr>
              <w:t>000</w:t>
            </w:r>
          </w:p>
        </w:tc>
        <w:tc>
          <w:tcPr>
            <w:tcW w:w="1369" w:type="dxa"/>
            <w:shd w:val="clear" w:color="auto" w:fill="auto"/>
            <w:vAlign w:val="center"/>
            <w:hideMark/>
          </w:tcPr>
          <w:p w14:paraId="78DCDD48" w14:textId="77777777" w:rsidR="000B54A2" w:rsidRPr="0081478A" w:rsidRDefault="000B54A2" w:rsidP="00921836">
            <w:pPr>
              <w:pStyle w:val="ae"/>
              <w:rPr>
                <w:rFonts w:cs="Times New Roman"/>
                <w:bCs/>
              </w:rPr>
            </w:pPr>
            <w:r w:rsidRPr="0081478A">
              <w:rPr>
                <w:rFonts w:cs="Times New Roman"/>
                <w:b w:val="0"/>
                <w:bCs/>
              </w:rPr>
              <w:t>4.70</w:t>
            </w:r>
          </w:p>
        </w:tc>
        <w:tc>
          <w:tcPr>
            <w:tcW w:w="1370" w:type="dxa"/>
            <w:shd w:val="clear" w:color="auto" w:fill="auto"/>
            <w:vAlign w:val="center"/>
            <w:hideMark/>
          </w:tcPr>
          <w:p w14:paraId="4C220FC3" w14:textId="77777777" w:rsidR="000B54A2" w:rsidRPr="0081478A" w:rsidRDefault="000B54A2" w:rsidP="00921836">
            <w:pPr>
              <w:pStyle w:val="ae"/>
              <w:rPr>
                <w:rFonts w:cs="Times New Roman"/>
                <w:bCs/>
              </w:rPr>
            </w:pPr>
            <w:r w:rsidRPr="0081478A">
              <w:rPr>
                <w:rFonts w:cs="Times New Roman"/>
                <w:b w:val="0"/>
                <w:bCs/>
              </w:rPr>
              <w:t>4.00</w:t>
            </w:r>
          </w:p>
        </w:tc>
        <w:tc>
          <w:tcPr>
            <w:tcW w:w="1370" w:type="dxa"/>
            <w:shd w:val="clear" w:color="auto" w:fill="auto"/>
            <w:vAlign w:val="center"/>
            <w:hideMark/>
          </w:tcPr>
          <w:p w14:paraId="51C38860" w14:textId="77777777" w:rsidR="000B54A2" w:rsidRPr="0081478A" w:rsidRDefault="000B54A2" w:rsidP="00921836">
            <w:pPr>
              <w:pStyle w:val="ae"/>
              <w:rPr>
                <w:rFonts w:cs="Times New Roman"/>
                <w:bCs/>
              </w:rPr>
            </w:pPr>
            <w:r w:rsidRPr="0081478A">
              <w:rPr>
                <w:rFonts w:cs="Times New Roman"/>
                <w:b w:val="0"/>
                <w:bCs/>
              </w:rPr>
              <w:t>3.50</w:t>
            </w:r>
          </w:p>
        </w:tc>
      </w:tr>
    </w:tbl>
    <w:p w14:paraId="06C2DC8F" w14:textId="77777777" w:rsidR="000B54A2" w:rsidRPr="0081478A" w:rsidRDefault="000B54A2" w:rsidP="000B54A2">
      <w:pPr>
        <w:pStyle w:val="9"/>
        <w:ind w:firstLine="420"/>
      </w:pPr>
    </w:p>
    <w:p w14:paraId="7C940F4B" w14:textId="2A5208DD" w:rsidR="000B54A2" w:rsidRPr="0081478A" w:rsidRDefault="000B54A2" w:rsidP="00921836">
      <w:pPr>
        <w:pStyle w:val="ae"/>
        <w:rPr>
          <w:rFonts w:cs="Times New Roman"/>
          <w:bCs/>
        </w:rPr>
      </w:pPr>
      <w:r w:rsidRPr="0081478A">
        <w:rPr>
          <w:rFonts w:cs="Times New Roman"/>
          <w:b w:val="0"/>
          <w:bCs/>
        </w:rPr>
        <w:t>表</w:t>
      </w:r>
      <w:r w:rsidRPr="0081478A">
        <w:rPr>
          <w:rFonts w:cs="Times New Roman"/>
          <w:b w:val="0"/>
          <w:bCs/>
        </w:rPr>
        <w:t xml:space="preserve">7.2.5-11 </w:t>
      </w:r>
      <w:r w:rsidRPr="0081478A">
        <w:rPr>
          <w:rFonts w:cs="Times New Roman"/>
          <w:b w:val="0"/>
          <w:bCs/>
        </w:rPr>
        <w:t>热泵型转速可控型房间空调器能效等级</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7" w:type="dxa"/>
        </w:tblCellMar>
        <w:tblLook w:val="04A0" w:firstRow="1" w:lastRow="0" w:firstColumn="1" w:lastColumn="0" w:noHBand="0" w:noVBand="1"/>
      </w:tblPr>
      <w:tblGrid>
        <w:gridCol w:w="1302"/>
        <w:gridCol w:w="1959"/>
        <w:gridCol w:w="1369"/>
        <w:gridCol w:w="1370"/>
        <w:gridCol w:w="1370"/>
      </w:tblGrid>
      <w:tr w:rsidR="0081478A" w:rsidRPr="0081478A" w14:paraId="16B591CE" w14:textId="77777777" w:rsidTr="00921836">
        <w:trPr>
          <w:jc w:val="center"/>
        </w:trPr>
        <w:tc>
          <w:tcPr>
            <w:tcW w:w="1302" w:type="dxa"/>
            <w:vMerge w:val="restart"/>
            <w:shd w:val="clear" w:color="auto" w:fill="auto"/>
            <w:vAlign w:val="center"/>
            <w:hideMark/>
          </w:tcPr>
          <w:p w14:paraId="571BBD09" w14:textId="77777777" w:rsidR="000B54A2" w:rsidRPr="0081478A" w:rsidRDefault="000B54A2" w:rsidP="00921836">
            <w:pPr>
              <w:pStyle w:val="ae"/>
              <w:rPr>
                <w:rFonts w:cs="Times New Roman"/>
                <w:bCs/>
              </w:rPr>
            </w:pPr>
            <w:r w:rsidRPr="0081478A">
              <w:rPr>
                <w:rFonts w:cs="Times New Roman"/>
                <w:b w:val="0"/>
                <w:bCs/>
              </w:rPr>
              <w:t>类型</w:t>
            </w:r>
          </w:p>
        </w:tc>
        <w:tc>
          <w:tcPr>
            <w:tcW w:w="1959" w:type="dxa"/>
            <w:vMerge w:val="restart"/>
            <w:shd w:val="clear" w:color="auto" w:fill="auto"/>
            <w:vAlign w:val="center"/>
            <w:hideMark/>
          </w:tcPr>
          <w:p w14:paraId="5E2FE7CC" w14:textId="77777777" w:rsidR="000B54A2" w:rsidRPr="0081478A" w:rsidRDefault="000B54A2" w:rsidP="00921836">
            <w:pPr>
              <w:pStyle w:val="ae"/>
              <w:rPr>
                <w:rFonts w:cs="Times New Roman"/>
                <w:bCs/>
              </w:rPr>
            </w:pPr>
            <w:r w:rsidRPr="0081478A">
              <w:rPr>
                <w:rFonts w:cs="Times New Roman"/>
                <w:b w:val="0"/>
                <w:bCs/>
              </w:rPr>
              <w:t>额定制冷量（</w:t>
            </w:r>
            <w:r w:rsidRPr="0081478A">
              <w:rPr>
                <w:rFonts w:cs="Times New Roman"/>
                <w:b w:val="0"/>
                <w:bCs/>
              </w:rPr>
              <w:t>CC</w:t>
            </w:r>
            <w:r w:rsidRPr="0081478A">
              <w:rPr>
                <w:rFonts w:cs="Times New Roman"/>
                <w:b w:val="0"/>
                <w:bCs/>
              </w:rPr>
              <w:t>）</w:t>
            </w:r>
            <w:r w:rsidRPr="0081478A">
              <w:rPr>
                <w:rFonts w:cs="Times New Roman"/>
                <w:b w:val="0"/>
                <w:bCs/>
              </w:rPr>
              <w:t>/W</w:t>
            </w:r>
          </w:p>
        </w:tc>
        <w:tc>
          <w:tcPr>
            <w:tcW w:w="4109" w:type="dxa"/>
            <w:gridSpan w:val="3"/>
            <w:shd w:val="clear" w:color="auto" w:fill="auto"/>
            <w:vAlign w:val="bottom"/>
            <w:hideMark/>
          </w:tcPr>
          <w:p w14:paraId="6EDC5BAB" w14:textId="77777777" w:rsidR="000B54A2" w:rsidRPr="0081478A" w:rsidRDefault="000B54A2" w:rsidP="00921836">
            <w:pPr>
              <w:pStyle w:val="ae"/>
              <w:rPr>
                <w:rFonts w:cs="Times New Roman"/>
                <w:bCs/>
              </w:rPr>
            </w:pPr>
            <w:r w:rsidRPr="0081478A">
              <w:rPr>
                <w:rFonts w:cs="Times New Roman"/>
                <w:b w:val="0"/>
                <w:bCs/>
              </w:rPr>
              <w:t>全年能源消耗效率</w:t>
            </w:r>
            <w:r w:rsidRPr="0081478A">
              <w:rPr>
                <w:rFonts w:cs="Times New Roman"/>
                <w:b w:val="0"/>
                <w:bCs/>
              </w:rPr>
              <w:t>/[(W·h)/(W·h)]</w:t>
            </w:r>
          </w:p>
        </w:tc>
      </w:tr>
      <w:tr w:rsidR="0081478A" w:rsidRPr="0081478A" w14:paraId="6FD3AF47" w14:textId="77777777" w:rsidTr="00921836">
        <w:trPr>
          <w:jc w:val="center"/>
        </w:trPr>
        <w:tc>
          <w:tcPr>
            <w:tcW w:w="1302" w:type="dxa"/>
            <w:vMerge/>
            <w:shd w:val="clear" w:color="auto" w:fill="auto"/>
            <w:vAlign w:val="center"/>
            <w:hideMark/>
          </w:tcPr>
          <w:p w14:paraId="4EA747DA" w14:textId="77777777" w:rsidR="000B54A2" w:rsidRPr="0081478A" w:rsidRDefault="000B54A2" w:rsidP="00921836">
            <w:pPr>
              <w:pStyle w:val="ae"/>
              <w:rPr>
                <w:rFonts w:cs="Times New Roman"/>
                <w:bCs/>
              </w:rPr>
            </w:pPr>
          </w:p>
        </w:tc>
        <w:tc>
          <w:tcPr>
            <w:tcW w:w="1959" w:type="dxa"/>
            <w:vMerge/>
            <w:shd w:val="clear" w:color="auto" w:fill="auto"/>
            <w:vAlign w:val="center"/>
            <w:hideMark/>
          </w:tcPr>
          <w:p w14:paraId="027C62FF" w14:textId="77777777" w:rsidR="000B54A2" w:rsidRPr="0081478A" w:rsidRDefault="000B54A2" w:rsidP="00921836">
            <w:pPr>
              <w:pStyle w:val="ae"/>
              <w:rPr>
                <w:rFonts w:cs="Times New Roman"/>
                <w:bCs/>
              </w:rPr>
            </w:pPr>
          </w:p>
        </w:tc>
        <w:tc>
          <w:tcPr>
            <w:tcW w:w="4109" w:type="dxa"/>
            <w:gridSpan w:val="3"/>
            <w:shd w:val="clear" w:color="auto" w:fill="auto"/>
            <w:vAlign w:val="center"/>
            <w:hideMark/>
          </w:tcPr>
          <w:p w14:paraId="78EE7A38" w14:textId="77777777" w:rsidR="000B54A2" w:rsidRPr="0081478A" w:rsidRDefault="000B54A2" w:rsidP="00921836">
            <w:pPr>
              <w:pStyle w:val="ae"/>
              <w:rPr>
                <w:rFonts w:cs="Times New Roman"/>
                <w:bCs/>
              </w:rPr>
            </w:pPr>
            <w:r w:rsidRPr="0081478A">
              <w:rPr>
                <w:rFonts w:cs="Times New Roman"/>
                <w:b w:val="0"/>
                <w:bCs/>
              </w:rPr>
              <w:t>能效等级</w:t>
            </w:r>
          </w:p>
        </w:tc>
      </w:tr>
      <w:tr w:rsidR="0081478A" w:rsidRPr="0081478A" w14:paraId="015A237E" w14:textId="77777777" w:rsidTr="00921836">
        <w:trPr>
          <w:jc w:val="center"/>
        </w:trPr>
        <w:tc>
          <w:tcPr>
            <w:tcW w:w="1302" w:type="dxa"/>
            <w:vMerge/>
            <w:shd w:val="clear" w:color="auto" w:fill="auto"/>
            <w:vAlign w:val="center"/>
            <w:hideMark/>
          </w:tcPr>
          <w:p w14:paraId="26F82E28" w14:textId="77777777" w:rsidR="000B54A2" w:rsidRPr="0081478A" w:rsidRDefault="000B54A2" w:rsidP="00921836">
            <w:pPr>
              <w:pStyle w:val="ae"/>
              <w:rPr>
                <w:rFonts w:cs="Times New Roman"/>
                <w:bCs/>
              </w:rPr>
            </w:pPr>
          </w:p>
        </w:tc>
        <w:tc>
          <w:tcPr>
            <w:tcW w:w="1959" w:type="dxa"/>
            <w:vMerge/>
            <w:shd w:val="clear" w:color="auto" w:fill="auto"/>
            <w:vAlign w:val="center"/>
            <w:hideMark/>
          </w:tcPr>
          <w:p w14:paraId="1A0F75A6" w14:textId="77777777" w:rsidR="000B54A2" w:rsidRPr="0081478A" w:rsidRDefault="000B54A2" w:rsidP="00921836">
            <w:pPr>
              <w:pStyle w:val="ae"/>
              <w:rPr>
                <w:rFonts w:cs="Times New Roman"/>
                <w:bCs/>
              </w:rPr>
            </w:pPr>
          </w:p>
        </w:tc>
        <w:tc>
          <w:tcPr>
            <w:tcW w:w="1369" w:type="dxa"/>
            <w:shd w:val="clear" w:color="auto" w:fill="auto"/>
            <w:vAlign w:val="center"/>
            <w:hideMark/>
          </w:tcPr>
          <w:p w14:paraId="5E210EDC" w14:textId="77777777" w:rsidR="000B54A2" w:rsidRPr="0081478A" w:rsidRDefault="000B54A2" w:rsidP="00921836">
            <w:pPr>
              <w:pStyle w:val="ae"/>
              <w:rPr>
                <w:rFonts w:cs="Times New Roman"/>
                <w:bCs/>
              </w:rPr>
            </w:pPr>
            <w:r w:rsidRPr="0081478A">
              <w:rPr>
                <w:rFonts w:cs="Times New Roman"/>
                <w:b w:val="0"/>
                <w:bCs/>
              </w:rPr>
              <w:t>1</w:t>
            </w:r>
            <w:r w:rsidRPr="0081478A">
              <w:rPr>
                <w:rFonts w:cs="Times New Roman"/>
                <w:b w:val="0"/>
                <w:bCs/>
              </w:rPr>
              <w:t>级</w:t>
            </w:r>
          </w:p>
        </w:tc>
        <w:tc>
          <w:tcPr>
            <w:tcW w:w="1370" w:type="dxa"/>
            <w:shd w:val="clear" w:color="auto" w:fill="auto"/>
            <w:vAlign w:val="center"/>
            <w:hideMark/>
          </w:tcPr>
          <w:p w14:paraId="3543F88C" w14:textId="77777777" w:rsidR="000B54A2" w:rsidRPr="0081478A" w:rsidRDefault="000B54A2" w:rsidP="00921836">
            <w:pPr>
              <w:pStyle w:val="ae"/>
              <w:rPr>
                <w:rFonts w:cs="Times New Roman"/>
                <w:bCs/>
              </w:rPr>
            </w:pPr>
            <w:r w:rsidRPr="0081478A">
              <w:rPr>
                <w:rFonts w:cs="Times New Roman"/>
                <w:b w:val="0"/>
                <w:bCs/>
              </w:rPr>
              <w:t>2</w:t>
            </w:r>
            <w:r w:rsidRPr="0081478A">
              <w:rPr>
                <w:rFonts w:cs="Times New Roman"/>
                <w:b w:val="0"/>
                <w:bCs/>
              </w:rPr>
              <w:t>级</w:t>
            </w:r>
          </w:p>
        </w:tc>
        <w:tc>
          <w:tcPr>
            <w:tcW w:w="1370" w:type="dxa"/>
            <w:shd w:val="clear" w:color="auto" w:fill="auto"/>
            <w:vAlign w:val="center"/>
            <w:hideMark/>
          </w:tcPr>
          <w:p w14:paraId="0BA2D88C" w14:textId="77777777" w:rsidR="000B54A2" w:rsidRPr="0081478A" w:rsidRDefault="000B54A2" w:rsidP="00921836">
            <w:pPr>
              <w:pStyle w:val="ae"/>
              <w:rPr>
                <w:rFonts w:cs="Times New Roman"/>
                <w:bCs/>
              </w:rPr>
            </w:pPr>
            <w:r w:rsidRPr="0081478A">
              <w:rPr>
                <w:rFonts w:cs="Times New Roman"/>
                <w:b w:val="0"/>
                <w:bCs/>
              </w:rPr>
              <w:t>3</w:t>
            </w:r>
            <w:r w:rsidRPr="0081478A">
              <w:rPr>
                <w:rFonts w:cs="Times New Roman"/>
                <w:b w:val="0"/>
                <w:bCs/>
              </w:rPr>
              <w:t>级</w:t>
            </w:r>
          </w:p>
        </w:tc>
      </w:tr>
      <w:tr w:rsidR="0081478A" w:rsidRPr="0081478A" w14:paraId="3994B034" w14:textId="77777777" w:rsidTr="00921836">
        <w:trPr>
          <w:jc w:val="center"/>
        </w:trPr>
        <w:tc>
          <w:tcPr>
            <w:tcW w:w="1302" w:type="dxa"/>
            <w:vMerge w:val="restart"/>
            <w:shd w:val="clear" w:color="auto" w:fill="auto"/>
            <w:vAlign w:val="center"/>
            <w:hideMark/>
          </w:tcPr>
          <w:p w14:paraId="7A1047D3" w14:textId="77777777" w:rsidR="000B54A2" w:rsidRPr="0081478A" w:rsidRDefault="000B54A2" w:rsidP="00921836">
            <w:pPr>
              <w:pStyle w:val="ae"/>
              <w:rPr>
                <w:rFonts w:cs="Times New Roman"/>
                <w:bCs/>
              </w:rPr>
            </w:pPr>
            <w:r w:rsidRPr="0081478A">
              <w:rPr>
                <w:rFonts w:cs="Times New Roman"/>
                <w:b w:val="0"/>
                <w:bCs/>
              </w:rPr>
              <w:t>分体式</w:t>
            </w:r>
          </w:p>
        </w:tc>
        <w:tc>
          <w:tcPr>
            <w:tcW w:w="1959" w:type="dxa"/>
            <w:shd w:val="clear" w:color="auto" w:fill="auto"/>
            <w:vAlign w:val="center"/>
            <w:hideMark/>
          </w:tcPr>
          <w:p w14:paraId="5DA06C8D" w14:textId="77777777" w:rsidR="000B54A2" w:rsidRPr="0081478A" w:rsidRDefault="000B54A2" w:rsidP="00921836">
            <w:pPr>
              <w:pStyle w:val="ae"/>
              <w:rPr>
                <w:rFonts w:cs="Times New Roman"/>
                <w:bCs/>
              </w:rPr>
            </w:pPr>
            <w:r w:rsidRPr="0081478A">
              <w:rPr>
                <w:rFonts w:cs="Times New Roman"/>
                <w:b w:val="0"/>
                <w:bCs/>
              </w:rPr>
              <w:t>CC≤4</w:t>
            </w:r>
            <w:r w:rsidRPr="0081478A">
              <w:rPr>
                <w:rStyle w:val="12Char"/>
                <w:rFonts w:hAnsi="Times New Roman"/>
                <w:b w:val="0"/>
                <w:bCs/>
              </w:rPr>
              <w:t> </w:t>
            </w:r>
            <w:r w:rsidRPr="0081478A">
              <w:rPr>
                <w:rFonts w:cs="Times New Roman"/>
                <w:b w:val="0"/>
                <w:bCs/>
              </w:rPr>
              <w:t>500</w:t>
            </w:r>
          </w:p>
        </w:tc>
        <w:tc>
          <w:tcPr>
            <w:tcW w:w="1369" w:type="dxa"/>
            <w:shd w:val="clear" w:color="auto" w:fill="auto"/>
            <w:vAlign w:val="center"/>
            <w:hideMark/>
          </w:tcPr>
          <w:p w14:paraId="6E714F30" w14:textId="77777777" w:rsidR="000B54A2" w:rsidRPr="0081478A" w:rsidRDefault="000B54A2" w:rsidP="00921836">
            <w:pPr>
              <w:pStyle w:val="ae"/>
              <w:rPr>
                <w:rFonts w:cs="Times New Roman"/>
                <w:bCs/>
              </w:rPr>
            </w:pPr>
            <w:r w:rsidRPr="0081478A">
              <w:rPr>
                <w:rFonts w:cs="Times New Roman"/>
                <w:b w:val="0"/>
                <w:bCs/>
              </w:rPr>
              <w:t>4.50</w:t>
            </w:r>
          </w:p>
        </w:tc>
        <w:tc>
          <w:tcPr>
            <w:tcW w:w="1370" w:type="dxa"/>
            <w:shd w:val="clear" w:color="auto" w:fill="auto"/>
            <w:vAlign w:val="center"/>
            <w:hideMark/>
          </w:tcPr>
          <w:p w14:paraId="0BF7C8D8" w14:textId="77777777" w:rsidR="000B54A2" w:rsidRPr="0081478A" w:rsidRDefault="000B54A2" w:rsidP="00921836">
            <w:pPr>
              <w:pStyle w:val="ae"/>
              <w:rPr>
                <w:rFonts w:cs="Times New Roman"/>
                <w:bCs/>
              </w:rPr>
            </w:pPr>
            <w:r w:rsidRPr="0081478A">
              <w:rPr>
                <w:rFonts w:cs="Times New Roman"/>
                <w:b w:val="0"/>
                <w:bCs/>
              </w:rPr>
              <w:t>4.00</w:t>
            </w:r>
          </w:p>
        </w:tc>
        <w:tc>
          <w:tcPr>
            <w:tcW w:w="1370" w:type="dxa"/>
            <w:shd w:val="clear" w:color="auto" w:fill="auto"/>
            <w:vAlign w:val="center"/>
            <w:hideMark/>
          </w:tcPr>
          <w:p w14:paraId="3BE0C93B" w14:textId="77777777" w:rsidR="000B54A2" w:rsidRPr="0081478A" w:rsidRDefault="000B54A2" w:rsidP="00921836">
            <w:pPr>
              <w:pStyle w:val="ae"/>
              <w:rPr>
                <w:rFonts w:cs="Times New Roman"/>
                <w:bCs/>
              </w:rPr>
            </w:pPr>
            <w:r w:rsidRPr="0081478A">
              <w:rPr>
                <w:rFonts w:cs="Times New Roman"/>
                <w:b w:val="0"/>
                <w:bCs/>
              </w:rPr>
              <w:t>3.50</w:t>
            </w:r>
          </w:p>
        </w:tc>
      </w:tr>
      <w:tr w:rsidR="0081478A" w:rsidRPr="0081478A" w14:paraId="283EE892" w14:textId="77777777" w:rsidTr="00921836">
        <w:trPr>
          <w:jc w:val="center"/>
        </w:trPr>
        <w:tc>
          <w:tcPr>
            <w:tcW w:w="1302" w:type="dxa"/>
            <w:vMerge/>
            <w:shd w:val="clear" w:color="auto" w:fill="auto"/>
            <w:vAlign w:val="center"/>
            <w:hideMark/>
          </w:tcPr>
          <w:p w14:paraId="18389794" w14:textId="77777777" w:rsidR="000B54A2" w:rsidRPr="0081478A" w:rsidRDefault="000B54A2" w:rsidP="00921836">
            <w:pPr>
              <w:pStyle w:val="ae"/>
              <w:rPr>
                <w:rFonts w:cs="Times New Roman"/>
                <w:bCs/>
              </w:rPr>
            </w:pPr>
          </w:p>
        </w:tc>
        <w:tc>
          <w:tcPr>
            <w:tcW w:w="1959" w:type="dxa"/>
            <w:shd w:val="clear" w:color="auto" w:fill="auto"/>
            <w:vAlign w:val="center"/>
            <w:hideMark/>
          </w:tcPr>
          <w:p w14:paraId="4E1BD6B1" w14:textId="77777777" w:rsidR="000B54A2" w:rsidRPr="0081478A" w:rsidRDefault="000B54A2" w:rsidP="00921836">
            <w:pPr>
              <w:pStyle w:val="ae"/>
              <w:rPr>
                <w:rFonts w:cs="Times New Roman"/>
                <w:bCs/>
              </w:rPr>
            </w:pPr>
            <w:r w:rsidRPr="0081478A">
              <w:rPr>
                <w:rFonts w:cs="Times New Roman"/>
                <w:b w:val="0"/>
                <w:bCs/>
              </w:rPr>
              <w:t>4</w:t>
            </w:r>
            <w:r w:rsidRPr="0081478A">
              <w:rPr>
                <w:rStyle w:val="12Char"/>
                <w:rFonts w:hAnsi="Times New Roman"/>
                <w:b w:val="0"/>
                <w:bCs/>
              </w:rPr>
              <w:t> </w:t>
            </w:r>
            <w:r w:rsidRPr="0081478A">
              <w:rPr>
                <w:rFonts w:cs="Times New Roman"/>
                <w:b w:val="0"/>
                <w:bCs/>
              </w:rPr>
              <w:t>500</w:t>
            </w:r>
            <w:r w:rsidRPr="0081478A">
              <w:rPr>
                <w:rFonts w:cs="Times New Roman"/>
                <w:b w:val="0"/>
                <w:bCs/>
              </w:rPr>
              <w:t>＜</w:t>
            </w:r>
            <w:r w:rsidRPr="0081478A">
              <w:rPr>
                <w:rFonts w:cs="Times New Roman"/>
                <w:b w:val="0"/>
                <w:bCs/>
              </w:rPr>
              <w:t>CC≤7</w:t>
            </w:r>
            <w:r w:rsidRPr="0081478A">
              <w:rPr>
                <w:rStyle w:val="12Char"/>
                <w:rFonts w:hAnsi="Times New Roman"/>
                <w:b w:val="0"/>
                <w:bCs/>
              </w:rPr>
              <w:t> </w:t>
            </w:r>
            <w:r w:rsidRPr="0081478A">
              <w:rPr>
                <w:rFonts w:cs="Times New Roman"/>
                <w:b w:val="0"/>
                <w:bCs/>
              </w:rPr>
              <w:t>100</w:t>
            </w:r>
          </w:p>
        </w:tc>
        <w:tc>
          <w:tcPr>
            <w:tcW w:w="1369" w:type="dxa"/>
            <w:shd w:val="clear" w:color="auto" w:fill="auto"/>
            <w:vAlign w:val="center"/>
            <w:hideMark/>
          </w:tcPr>
          <w:p w14:paraId="1D081A8C" w14:textId="77777777" w:rsidR="000B54A2" w:rsidRPr="0081478A" w:rsidRDefault="000B54A2" w:rsidP="00921836">
            <w:pPr>
              <w:pStyle w:val="ae"/>
              <w:rPr>
                <w:rFonts w:cs="Times New Roman"/>
                <w:bCs/>
              </w:rPr>
            </w:pPr>
            <w:r w:rsidRPr="0081478A">
              <w:rPr>
                <w:rFonts w:cs="Times New Roman"/>
                <w:b w:val="0"/>
                <w:bCs/>
              </w:rPr>
              <w:t>4.00</w:t>
            </w:r>
          </w:p>
        </w:tc>
        <w:tc>
          <w:tcPr>
            <w:tcW w:w="1370" w:type="dxa"/>
            <w:shd w:val="clear" w:color="auto" w:fill="auto"/>
            <w:vAlign w:val="center"/>
            <w:hideMark/>
          </w:tcPr>
          <w:p w14:paraId="5AEF22F5" w14:textId="77777777" w:rsidR="000B54A2" w:rsidRPr="0081478A" w:rsidRDefault="000B54A2" w:rsidP="00921836">
            <w:pPr>
              <w:pStyle w:val="ae"/>
              <w:rPr>
                <w:rFonts w:cs="Times New Roman"/>
                <w:bCs/>
              </w:rPr>
            </w:pPr>
            <w:r w:rsidRPr="0081478A">
              <w:rPr>
                <w:rFonts w:cs="Times New Roman"/>
                <w:b w:val="0"/>
                <w:bCs/>
              </w:rPr>
              <w:t>3.50</w:t>
            </w:r>
          </w:p>
        </w:tc>
        <w:tc>
          <w:tcPr>
            <w:tcW w:w="1370" w:type="dxa"/>
            <w:shd w:val="clear" w:color="auto" w:fill="auto"/>
            <w:vAlign w:val="center"/>
            <w:hideMark/>
          </w:tcPr>
          <w:p w14:paraId="231CF064" w14:textId="77777777" w:rsidR="000B54A2" w:rsidRPr="0081478A" w:rsidRDefault="000B54A2" w:rsidP="00921836">
            <w:pPr>
              <w:pStyle w:val="ae"/>
              <w:rPr>
                <w:rFonts w:cs="Times New Roman"/>
                <w:bCs/>
              </w:rPr>
            </w:pPr>
            <w:r w:rsidRPr="0081478A">
              <w:rPr>
                <w:rFonts w:cs="Times New Roman"/>
                <w:b w:val="0"/>
                <w:bCs/>
              </w:rPr>
              <w:t>3.30</w:t>
            </w:r>
          </w:p>
        </w:tc>
      </w:tr>
      <w:tr w:rsidR="0081478A" w:rsidRPr="0081478A" w14:paraId="5E501582" w14:textId="77777777" w:rsidTr="00921836">
        <w:trPr>
          <w:jc w:val="center"/>
        </w:trPr>
        <w:tc>
          <w:tcPr>
            <w:tcW w:w="1302" w:type="dxa"/>
            <w:vMerge/>
            <w:shd w:val="clear" w:color="auto" w:fill="auto"/>
            <w:vAlign w:val="center"/>
            <w:hideMark/>
          </w:tcPr>
          <w:p w14:paraId="106D0461" w14:textId="77777777" w:rsidR="000B54A2" w:rsidRPr="0081478A" w:rsidRDefault="000B54A2" w:rsidP="00921836">
            <w:pPr>
              <w:pStyle w:val="ae"/>
              <w:rPr>
                <w:rFonts w:cs="Times New Roman"/>
                <w:bCs/>
              </w:rPr>
            </w:pPr>
          </w:p>
        </w:tc>
        <w:tc>
          <w:tcPr>
            <w:tcW w:w="1959" w:type="dxa"/>
            <w:shd w:val="clear" w:color="auto" w:fill="auto"/>
            <w:vAlign w:val="center"/>
            <w:hideMark/>
          </w:tcPr>
          <w:p w14:paraId="414DC0D3" w14:textId="77777777" w:rsidR="000B54A2" w:rsidRPr="0081478A" w:rsidRDefault="000B54A2" w:rsidP="00921836">
            <w:pPr>
              <w:pStyle w:val="ae"/>
              <w:rPr>
                <w:rFonts w:cs="Times New Roman"/>
                <w:bCs/>
              </w:rPr>
            </w:pPr>
            <w:r w:rsidRPr="0081478A">
              <w:rPr>
                <w:rFonts w:cs="Times New Roman"/>
                <w:b w:val="0"/>
                <w:bCs/>
              </w:rPr>
              <w:t>7</w:t>
            </w:r>
            <w:r w:rsidRPr="0081478A">
              <w:rPr>
                <w:rStyle w:val="12Char"/>
                <w:rFonts w:hAnsi="Times New Roman"/>
                <w:b w:val="0"/>
                <w:bCs/>
              </w:rPr>
              <w:t> </w:t>
            </w:r>
            <w:r w:rsidRPr="0081478A">
              <w:rPr>
                <w:rFonts w:cs="Times New Roman"/>
                <w:b w:val="0"/>
                <w:bCs/>
              </w:rPr>
              <w:t>100</w:t>
            </w:r>
            <w:r w:rsidRPr="0081478A">
              <w:rPr>
                <w:rFonts w:cs="Times New Roman"/>
                <w:b w:val="0"/>
                <w:bCs/>
              </w:rPr>
              <w:t>＜</w:t>
            </w:r>
            <w:r w:rsidRPr="0081478A">
              <w:rPr>
                <w:rFonts w:cs="Times New Roman"/>
                <w:b w:val="0"/>
                <w:bCs/>
              </w:rPr>
              <w:t>CC≤14</w:t>
            </w:r>
            <w:r w:rsidRPr="0081478A">
              <w:rPr>
                <w:rStyle w:val="12Char"/>
                <w:rFonts w:hAnsi="Times New Roman"/>
                <w:b w:val="0"/>
                <w:bCs/>
              </w:rPr>
              <w:t> </w:t>
            </w:r>
            <w:r w:rsidRPr="0081478A">
              <w:rPr>
                <w:rFonts w:cs="Times New Roman"/>
                <w:b w:val="0"/>
                <w:bCs/>
              </w:rPr>
              <w:t>000</w:t>
            </w:r>
          </w:p>
        </w:tc>
        <w:tc>
          <w:tcPr>
            <w:tcW w:w="1369" w:type="dxa"/>
            <w:shd w:val="clear" w:color="auto" w:fill="auto"/>
            <w:vAlign w:val="center"/>
            <w:hideMark/>
          </w:tcPr>
          <w:p w14:paraId="5EEB3258" w14:textId="77777777" w:rsidR="000B54A2" w:rsidRPr="0081478A" w:rsidRDefault="000B54A2" w:rsidP="00921836">
            <w:pPr>
              <w:pStyle w:val="ae"/>
              <w:rPr>
                <w:rFonts w:cs="Times New Roman"/>
                <w:bCs/>
              </w:rPr>
            </w:pPr>
            <w:r w:rsidRPr="0081478A">
              <w:rPr>
                <w:rFonts w:cs="Times New Roman"/>
                <w:b w:val="0"/>
                <w:bCs/>
              </w:rPr>
              <w:t>3.70</w:t>
            </w:r>
          </w:p>
        </w:tc>
        <w:tc>
          <w:tcPr>
            <w:tcW w:w="1370" w:type="dxa"/>
            <w:shd w:val="clear" w:color="auto" w:fill="auto"/>
            <w:vAlign w:val="center"/>
            <w:hideMark/>
          </w:tcPr>
          <w:p w14:paraId="7FF7560C" w14:textId="77777777" w:rsidR="000B54A2" w:rsidRPr="0081478A" w:rsidRDefault="000B54A2" w:rsidP="00921836">
            <w:pPr>
              <w:pStyle w:val="ae"/>
              <w:rPr>
                <w:rFonts w:cs="Times New Roman"/>
                <w:bCs/>
              </w:rPr>
            </w:pPr>
            <w:r w:rsidRPr="0081478A">
              <w:rPr>
                <w:rFonts w:cs="Times New Roman"/>
                <w:b w:val="0"/>
                <w:bCs/>
              </w:rPr>
              <w:t>3.30</w:t>
            </w:r>
          </w:p>
        </w:tc>
        <w:tc>
          <w:tcPr>
            <w:tcW w:w="1370" w:type="dxa"/>
            <w:shd w:val="clear" w:color="auto" w:fill="auto"/>
            <w:vAlign w:val="center"/>
            <w:hideMark/>
          </w:tcPr>
          <w:p w14:paraId="4EAD02C5" w14:textId="77777777" w:rsidR="000B54A2" w:rsidRPr="0081478A" w:rsidRDefault="000B54A2" w:rsidP="00921836">
            <w:pPr>
              <w:pStyle w:val="ae"/>
              <w:rPr>
                <w:rFonts w:cs="Times New Roman"/>
                <w:bCs/>
              </w:rPr>
            </w:pPr>
            <w:r w:rsidRPr="0081478A">
              <w:rPr>
                <w:rFonts w:cs="Times New Roman"/>
                <w:b w:val="0"/>
                <w:bCs/>
              </w:rPr>
              <w:t>3.10</w:t>
            </w:r>
          </w:p>
        </w:tc>
      </w:tr>
    </w:tbl>
    <w:p w14:paraId="4432C4FF" w14:textId="77777777" w:rsidR="000B54A2" w:rsidRPr="0081478A" w:rsidRDefault="000B54A2" w:rsidP="00E31FF0">
      <w:pPr>
        <w:ind w:firstLine="420"/>
        <w:rPr>
          <w:rFonts w:cs="Times New Roman"/>
        </w:rPr>
      </w:pPr>
    </w:p>
    <w:p w14:paraId="282F8775" w14:textId="29972EA4" w:rsidR="00E31FF0" w:rsidRPr="0081478A" w:rsidRDefault="00E31FF0" w:rsidP="00E31FF0">
      <w:pPr>
        <w:ind w:firstLine="420"/>
        <w:rPr>
          <w:rFonts w:cs="Times New Roman"/>
        </w:rPr>
      </w:pPr>
      <w:r w:rsidRPr="0081478A">
        <w:rPr>
          <w:rFonts w:cs="Times New Roman"/>
        </w:rPr>
        <w:t>采用多联式空调（热泵）机组作为房间空气调节系统的冷热源设备时，依据表</w:t>
      </w:r>
      <w:r w:rsidR="000B54A2" w:rsidRPr="0081478A">
        <w:rPr>
          <w:rFonts w:cs="Times New Roman"/>
        </w:rPr>
        <w:t>7.2.5-12</w:t>
      </w:r>
      <w:r w:rsidRPr="0081478A">
        <w:rPr>
          <w:rFonts w:cs="Times New Roman"/>
        </w:rPr>
        <w:t>，判定其制冷综合性能系数提高幅度。</w:t>
      </w:r>
    </w:p>
    <w:p w14:paraId="3DE6B5D2" w14:textId="30F4772C" w:rsidR="000B54A2" w:rsidRPr="0081478A" w:rsidRDefault="000B54A2" w:rsidP="00921836">
      <w:pPr>
        <w:pStyle w:val="ae"/>
        <w:rPr>
          <w:rFonts w:cs="Times New Roman"/>
          <w:bCs/>
        </w:rPr>
      </w:pPr>
      <w:r w:rsidRPr="0081478A">
        <w:rPr>
          <w:rFonts w:cs="Times New Roman"/>
          <w:b w:val="0"/>
          <w:bCs/>
        </w:rPr>
        <w:t>表</w:t>
      </w:r>
      <w:r w:rsidRPr="0081478A">
        <w:rPr>
          <w:rFonts w:cs="Times New Roman"/>
          <w:b w:val="0"/>
          <w:bCs/>
        </w:rPr>
        <w:t xml:space="preserve">7.2.5-12 </w:t>
      </w:r>
      <w:r w:rsidRPr="0081478A">
        <w:rPr>
          <w:rFonts w:cs="Times New Roman"/>
          <w:b w:val="0"/>
          <w:bCs/>
        </w:rPr>
        <w:t>多联式空调（热泵）机组能效等级对应的制冷综合性能系数指标</w:t>
      </w:r>
    </w:p>
    <w:p w14:paraId="56DA1274" w14:textId="77777777" w:rsidR="000B54A2" w:rsidRPr="0081478A" w:rsidRDefault="000B54A2" w:rsidP="00921836">
      <w:pPr>
        <w:pStyle w:val="ae"/>
        <w:jc w:val="right"/>
        <w:rPr>
          <w:rFonts w:cs="Times New Roman"/>
          <w:bCs/>
        </w:rPr>
      </w:pPr>
      <w:r w:rsidRPr="0081478A">
        <w:rPr>
          <w:rFonts w:cs="Times New Roman"/>
          <w:b w:val="0"/>
          <w:bCs/>
        </w:rPr>
        <w:tab/>
      </w:r>
      <w:r w:rsidRPr="0081478A">
        <w:rPr>
          <w:rFonts w:cs="Times New Roman"/>
          <w:b w:val="0"/>
          <w:bCs/>
        </w:rPr>
        <w:t>（单位：</w:t>
      </w:r>
      <w:r w:rsidRPr="0081478A">
        <w:rPr>
          <w:rFonts w:cs="Times New Roman"/>
          <w:b w:val="0"/>
          <w:bCs/>
        </w:rPr>
        <w:t>W/W</w:t>
      </w:r>
      <w:r w:rsidRPr="0081478A">
        <w:rPr>
          <w:rFonts w:cs="Times New Roman"/>
          <w:b w:val="0"/>
          <w:bCs/>
        </w:rPr>
        <w:t>）</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2519"/>
        <w:gridCol w:w="970"/>
        <w:gridCol w:w="970"/>
        <w:gridCol w:w="970"/>
        <w:gridCol w:w="970"/>
        <w:gridCol w:w="971"/>
      </w:tblGrid>
      <w:tr w:rsidR="0081478A" w:rsidRPr="0081478A" w14:paraId="19E5916C" w14:textId="77777777" w:rsidTr="00921836">
        <w:trPr>
          <w:jc w:val="center"/>
        </w:trPr>
        <w:tc>
          <w:tcPr>
            <w:tcW w:w="2519" w:type="dxa"/>
            <w:vMerge w:val="restart"/>
            <w:shd w:val="clear" w:color="auto" w:fill="auto"/>
            <w:vAlign w:val="center"/>
            <w:hideMark/>
          </w:tcPr>
          <w:p w14:paraId="0702CBD4" w14:textId="77777777" w:rsidR="000B54A2" w:rsidRPr="0081478A" w:rsidRDefault="000B54A2" w:rsidP="00921836">
            <w:pPr>
              <w:pStyle w:val="ae"/>
              <w:rPr>
                <w:rFonts w:cs="Times New Roman"/>
                <w:bCs/>
              </w:rPr>
            </w:pPr>
            <w:r w:rsidRPr="0081478A">
              <w:rPr>
                <w:rFonts w:cs="Times New Roman"/>
                <w:b w:val="0"/>
                <w:bCs/>
              </w:rPr>
              <w:lastRenderedPageBreak/>
              <w:t>额定制冷量（</w:t>
            </w:r>
            <w:r w:rsidRPr="0081478A">
              <w:rPr>
                <w:rFonts w:cs="Times New Roman"/>
                <w:b w:val="0"/>
                <w:bCs/>
              </w:rPr>
              <w:t>CC</w:t>
            </w:r>
            <w:r w:rsidRPr="0081478A">
              <w:rPr>
                <w:rFonts w:cs="Times New Roman"/>
                <w:b w:val="0"/>
                <w:bCs/>
              </w:rPr>
              <w:t>）</w:t>
            </w:r>
            <w:r w:rsidRPr="0081478A">
              <w:rPr>
                <w:rFonts w:cs="Times New Roman"/>
                <w:b w:val="0"/>
                <w:bCs/>
              </w:rPr>
              <w:t>/W</w:t>
            </w:r>
          </w:p>
        </w:tc>
        <w:tc>
          <w:tcPr>
            <w:tcW w:w="4851" w:type="dxa"/>
            <w:gridSpan w:val="5"/>
            <w:shd w:val="clear" w:color="auto" w:fill="auto"/>
            <w:vAlign w:val="center"/>
            <w:hideMark/>
          </w:tcPr>
          <w:p w14:paraId="115235C5" w14:textId="77777777" w:rsidR="000B54A2" w:rsidRPr="0081478A" w:rsidRDefault="000B54A2" w:rsidP="00921836">
            <w:pPr>
              <w:pStyle w:val="ae"/>
              <w:rPr>
                <w:rFonts w:cs="Times New Roman"/>
                <w:bCs/>
              </w:rPr>
            </w:pPr>
            <w:r w:rsidRPr="0081478A">
              <w:rPr>
                <w:rFonts w:cs="Times New Roman"/>
                <w:b w:val="0"/>
                <w:bCs/>
              </w:rPr>
              <w:t>能效等级</w:t>
            </w:r>
          </w:p>
        </w:tc>
      </w:tr>
      <w:tr w:rsidR="0081478A" w:rsidRPr="0081478A" w14:paraId="0E0D1510" w14:textId="77777777" w:rsidTr="00921836">
        <w:trPr>
          <w:jc w:val="center"/>
        </w:trPr>
        <w:tc>
          <w:tcPr>
            <w:tcW w:w="2519" w:type="dxa"/>
            <w:vMerge/>
            <w:shd w:val="clear" w:color="auto" w:fill="auto"/>
            <w:vAlign w:val="center"/>
            <w:hideMark/>
          </w:tcPr>
          <w:p w14:paraId="1708A152" w14:textId="77777777" w:rsidR="000B54A2" w:rsidRPr="0081478A" w:rsidRDefault="000B54A2" w:rsidP="00921836">
            <w:pPr>
              <w:pStyle w:val="ae"/>
              <w:rPr>
                <w:rFonts w:cs="Times New Roman"/>
                <w:bCs/>
              </w:rPr>
            </w:pPr>
          </w:p>
        </w:tc>
        <w:tc>
          <w:tcPr>
            <w:tcW w:w="970" w:type="dxa"/>
            <w:shd w:val="clear" w:color="auto" w:fill="auto"/>
            <w:vAlign w:val="center"/>
          </w:tcPr>
          <w:p w14:paraId="41218C66" w14:textId="77777777" w:rsidR="000B54A2" w:rsidRPr="0081478A" w:rsidRDefault="000B54A2" w:rsidP="00921836">
            <w:pPr>
              <w:pStyle w:val="ae"/>
              <w:rPr>
                <w:rFonts w:cs="Times New Roman"/>
                <w:bCs/>
              </w:rPr>
            </w:pPr>
            <w:r w:rsidRPr="0081478A">
              <w:rPr>
                <w:rFonts w:cs="Times New Roman"/>
                <w:b w:val="0"/>
                <w:bCs/>
              </w:rPr>
              <w:t>5</w:t>
            </w:r>
            <w:r w:rsidRPr="0081478A">
              <w:rPr>
                <w:rFonts w:cs="Times New Roman"/>
                <w:b w:val="0"/>
                <w:bCs/>
              </w:rPr>
              <w:t>级</w:t>
            </w:r>
          </w:p>
        </w:tc>
        <w:tc>
          <w:tcPr>
            <w:tcW w:w="970" w:type="dxa"/>
            <w:shd w:val="clear" w:color="auto" w:fill="auto"/>
            <w:vAlign w:val="center"/>
          </w:tcPr>
          <w:p w14:paraId="3F13F514" w14:textId="77777777" w:rsidR="000B54A2" w:rsidRPr="0081478A" w:rsidRDefault="000B54A2" w:rsidP="00921836">
            <w:pPr>
              <w:pStyle w:val="ae"/>
              <w:rPr>
                <w:rFonts w:cs="Times New Roman"/>
                <w:bCs/>
              </w:rPr>
            </w:pPr>
            <w:r w:rsidRPr="0081478A">
              <w:rPr>
                <w:rFonts w:cs="Times New Roman"/>
                <w:b w:val="0"/>
                <w:bCs/>
              </w:rPr>
              <w:t>4</w:t>
            </w:r>
            <w:r w:rsidRPr="0081478A">
              <w:rPr>
                <w:rFonts w:cs="Times New Roman"/>
                <w:b w:val="0"/>
                <w:bCs/>
              </w:rPr>
              <w:t>级</w:t>
            </w:r>
          </w:p>
        </w:tc>
        <w:tc>
          <w:tcPr>
            <w:tcW w:w="970" w:type="dxa"/>
            <w:shd w:val="clear" w:color="auto" w:fill="auto"/>
            <w:vAlign w:val="center"/>
            <w:hideMark/>
          </w:tcPr>
          <w:p w14:paraId="7BADD9CD" w14:textId="77777777" w:rsidR="000B54A2" w:rsidRPr="0081478A" w:rsidRDefault="000B54A2" w:rsidP="00921836">
            <w:pPr>
              <w:pStyle w:val="ae"/>
              <w:rPr>
                <w:rFonts w:cs="Times New Roman"/>
                <w:bCs/>
              </w:rPr>
            </w:pPr>
            <w:r w:rsidRPr="0081478A">
              <w:rPr>
                <w:rFonts w:cs="Times New Roman"/>
                <w:b w:val="0"/>
                <w:bCs/>
              </w:rPr>
              <w:t>3</w:t>
            </w:r>
            <w:r w:rsidRPr="0081478A">
              <w:rPr>
                <w:rFonts w:cs="Times New Roman"/>
                <w:b w:val="0"/>
                <w:bCs/>
              </w:rPr>
              <w:t>级</w:t>
            </w:r>
          </w:p>
        </w:tc>
        <w:tc>
          <w:tcPr>
            <w:tcW w:w="970" w:type="dxa"/>
            <w:shd w:val="clear" w:color="auto" w:fill="auto"/>
            <w:vAlign w:val="center"/>
          </w:tcPr>
          <w:p w14:paraId="57898FFF" w14:textId="77777777" w:rsidR="000B54A2" w:rsidRPr="0081478A" w:rsidRDefault="000B54A2" w:rsidP="00921836">
            <w:pPr>
              <w:pStyle w:val="ae"/>
              <w:rPr>
                <w:rFonts w:cs="Times New Roman"/>
                <w:bCs/>
              </w:rPr>
            </w:pPr>
            <w:r w:rsidRPr="0081478A">
              <w:rPr>
                <w:rFonts w:cs="Times New Roman"/>
                <w:b w:val="0"/>
                <w:bCs/>
              </w:rPr>
              <w:t>2</w:t>
            </w:r>
            <w:r w:rsidRPr="0081478A">
              <w:rPr>
                <w:rFonts w:cs="Times New Roman"/>
                <w:b w:val="0"/>
                <w:bCs/>
              </w:rPr>
              <w:t>级</w:t>
            </w:r>
          </w:p>
        </w:tc>
        <w:tc>
          <w:tcPr>
            <w:tcW w:w="971" w:type="dxa"/>
            <w:shd w:val="clear" w:color="auto" w:fill="auto"/>
            <w:vAlign w:val="center"/>
          </w:tcPr>
          <w:p w14:paraId="536613A9" w14:textId="77777777" w:rsidR="000B54A2" w:rsidRPr="0081478A" w:rsidRDefault="000B54A2" w:rsidP="00921836">
            <w:pPr>
              <w:pStyle w:val="ae"/>
              <w:rPr>
                <w:rFonts w:cs="Times New Roman"/>
                <w:bCs/>
              </w:rPr>
            </w:pPr>
            <w:r w:rsidRPr="0081478A">
              <w:rPr>
                <w:rFonts w:cs="Times New Roman"/>
                <w:b w:val="0"/>
                <w:bCs/>
              </w:rPr>
              <w:t>1</w:t>
            </w:r>
            <w:r w:rsidRPr="0081478A">
              <w:rPr>
                <w:rFonts w:cs="Times New Roman"/>
                <w:b w:val="0"/>
                <w:bCs/>
              </w:rPr>
              <w:t>级</w:t>
            </w:r>
          </w:p>
        </w:tc>
      </w:tr>
      <w:tr w:rsidR="0081478A" w:rsidRPr="0081478A" w14:paraId="5A7A9C43" w14:textId="77777777" w:rsidTr="00921836">
        <w:trPr>
          <w:jc w:val="center"/>
        </w:trPr>
        <w:tc>
          <w:tcPr>
            <w:tcW w:w="2519" w:type="dxa"/>
            <w:shd w:val="clear" w:color="auto" w:fill="auto"/>
            <w:vAlign w:val="center"/>
            <w:hideMark/>
          </w:tcPr>
          <w:p w14:paraId="26EDB20C" w14:textId="77777777" w:rsidR="000B54A2" w:rsidRPr="0081478A" w:rsidRDefault="000B54A2" w:rsidP="00921836">
            <w:pPr>
              <w:pStyle w:val="ae"/>
              <w:rPr>
                <w:rFonts w:cs="Times New Roman"/>
                <w:bCs/>
              </w:rPr>
            </w:pPr>
            <w:r w:rsidRPr="0081478A">
              <w:rPr>
                <w:rFonts w:cs="Times New Roman"/>
                <w:b w:val="0"/>
                <w:bCs/>
              </w:rPr>
              <w:t>CC≤28</w:t>
            </w:r>
            <w:r w:rsidRPr="0081478A">
              <w:rPr>
                <w:rStyle w:val="12Char"/>
                <w:rFonts w:hAnsi="Times New Roman"/>
                <w:b w:val="0"/>
                <w:bCs/>
              </w:rPr>
              <w:t> </w:t>
            </w:r>
            <w:r w:rsidRPr="0081478A">
              <w:rPr>
                <w:rFonts w:cs="Times New Roman"/>
                <w:b w:val="0"/>
                <w:bCs/>
              </w:rPr>
              <w:t>000</w:t>
            </w:r>
          </w:p>
        </w:tc>
        <w:tc>
          <w:tcPr>
            <w:tcW w:w="970" w:type="dxa"/>
            <w:shd w:val="clear" w:color="auto" w:fill="auto"/>
            <w:vAlign w:val="center"/>
          </w:tcPr>
          <w:p w14:paraId="07D448C9" w14:textId="77777777" w:rsidR="000B54A2" w:rsidRPr="0081478A" w:rsidRDefault="000B54A2" w:rsidP="00921836">
            <w:pPr>
              <w:pStyle w:val="ae"/>
              <w:rPr>
                <w:rFonts w:cs="Times New Roman"/>
                <w:bCs/>
              </w:rPr>
            </w:pPr>
            <w:r w:rsidRPr="0081478A">
              <w:rPr>
                <w:rFonts w:cs="Times New Roman"/>
                <w:b w:val="0"/>
                <w:bCs/>
              </w:rPr>
              <w:t>2.80</w:t>
            </w:r>
          </w:p>
        </w:tc>
        <w:tc>
          <w:tcPr>
            <w:tcW w:w="970" w:type="dxa"/>
            <w:shd w:val="clear" w:color="auto" w:fill="auto"/>
            <w:vAlign w:val="center"/>
          </w:tcPr>
          <w:p w14:paraId="75F8F300" w14:textId="77777777" w:rsidR="000B54A2" w:rsidRPr="0081478A" w:rsidRDefault="000B54A2" w:rsidP="00921836">
            <w:pPr>
              <w:pStyle w:val="ae"/>
              <w:rPr>
                <w:rFonts w:cs="Times New Roman"/>
                <w:bCs/>
              </w:rPr>
            </w:pPr>
            <w:r w:rsidRPr="0081478A">
              <w:rPr>
                <w:rFonts w:cs="Times New Roman"/>
                <w:b w:val="0"/>
                <w:bCs/>
              </w:rPr>
              <w:t>3.00</w:t>
            </w:r>
          </w:p>
        </w:tc>
        <w:tc>
          <w:tcPr>
            <w:tcW w:w="970" w:type="dxa"/>
            <w:shd w:val="clear" w:color="auto" w:fill="auto"/>
            <w:vAlign w:val="center"/>
            <w:hideMark/>
          </w:tcPr>
          <w:p w14:paraId="6A8F38BD" w14:textId="77777777" w:rsidR="000B54A2" w:rsidRPr="0081478A" w:rsidRDefault="000B54A2" w:rsidP="00921836">
            <w:pPr>
              <w:pStyle w:val="ae"/>
              <w:rPr>
                <w:rFonts w:cs="Times New Roman"/>
                <w:bCs/>
              </w:rPr>
            </w:pPr>
            <w:r w:rsidRPr="0081478A">
              <w:rPr>
                <w:rFonts w:cs="Times New Roman"/>
                <w:b w:val="0"/>
                <w:bCs/>
              </w:rPr>
              <w:t>3.20</w:t>
            </w:r>
          </w:p>
        </w:tc>
        <w:tc>
          <w:tcPr>
            <w:tcW w:w="970" w:type="dxa"/>
            <w:shd w:val="clear" w:color="auto" w:fill="auto"/>
            <w:vAlign w:val="center"/>
          </w:tcPr>
          <w:p w14:paraId="1380A0AD" w14:textId="77777777" w:rsidR="000B54A2" w:rsidRPr="0081478A" w:rsidRDefault="000B54A2" w:rsidP="00921836">
            <w:pPr>
              <w:pStyle w:val="ae"/>
              <w:rPr>
                <w:rFonts w:cs="Times New Roman"/>
                <w:bCs/>
              </w:rPr>
            </w:pPr>
            <w:r w:rsidRPr="0081478A">
              <w:rPr>
                <w:rFonts w:cs="Times New Roman"/>
                <w:b w:val="0"/>
                <w:bCs/>
              </w:rPr>
              <w:t>3.40</w:t>
            </w:r>
          </w:p>
        </w:tc>
        <w:tc>
          <w:tcPr>
            <w:tcW w:w="971" w:type="dxa"/>
            <w:shd w:val="clear" w:color="auto" w:fill="auto"/>
            <w:vAlign w:val="center"/>
          </w:tcPr>
          <w:p w14:paraId="48A0C38C" w14:textId="77777777" w:rsidR="000B54A2" w:rsidRPr="0081478A" w:rsidRDefault="000B54A2" w:rsidP="00921836">
            <w:pPr>
              <w:pStyle w:val="ae"/>
              <w:rPr>
                <w:rFonts w:cs="Times New Roman"/>
                <w:bCs/>
              </w:rPr>
            </w:pPr>
            <w:r w:rsidRPr="0081478A">
              <w:rPr>
                <w:rFonts w:cs="Times New Roman"/>
                <w:b w:val="0"/>
                <w:bCs/>
              </w:rPr>
              <w:t>3.60</w:t>
            </w:r>
          </w:p>
        </w:tc>
      </w:tr>
      <w:tr w:rsidR="0081478A" w:rsidRPr="0081478A" w14:paraId="3EDF59EE" w14:textId="77777777" w:rsidTr="00921836">
        <w:trPr>
          <w:jc w:val="center"/>
        </w:trPr>
        <w:tc>
          <w:tcPr>
            <w:tcW w:w="2519" w:type="dxa"/>
            <w:shd w:val="clear" w:color="auto" w:fill="auto"/>
            <w:vAlign w:val="center"/>
            <w:hideMark/>
          </w:tcPr>
          <w:p w14:paraId="2CC99E58" w14:textId="77777777" w:rsidR="000B54A2" w:rsidRPr="0081478A" w:rsidRDefault="000B54A2" w:rsidP="00921836">
            <w:pPr>
              <w:pStyle w:val="ae"/>
              <w:rPr>
                <w:rFonts w:cs="Times New Roman"/>
                <w:bCs/>
              </w:rPr>
            </w:pPr>
            <w:r w:rsidRPr="0081478A">
              <w:rPr>
                <w:rFonts w:cs="Times New Roman"/>
                <w:b w:val="0"/>
                <w:bCs/>
              </w:rPr>
              <w:t>28</w:t>
            </w:r>
            <w:r w:rsidRPr="0081478A">
              <w:rPr>
                <w:rStyle w:val="12Char"/>
                <w:rFonts w:hAnsi="Times New Roman"/>
                <w:b w:val="0"/>
                <w:bCs/>
              </w:rPr>
              <w:t> </w:t>
            </w:r>
            <w:r w:rsidRPr="0081478A">
              <w:rPr>
                <w:rFonts w:cs="Times New Roman"/>
                <w:b w:val="0"/>
                <w:bCs/>
              </w:rPr>
              <w:t>000</w:t>
            </w:r>
            <w:r w:rsidRPr="0081478A">
              <w:rPr>
                <w:rFonts w:cs="Times New Roman"/>
                <w:b w:val="0"/>
                <w:bCs/>
              </w:rPr>
              <w:t>＜</w:t>
            </w:r>
            <w:r w:rsidRPr="0081478A">
              <w:rPr>
                <w:rFonts w:cs="Times New Roman"/>
                <w:b w:val="0"/>
                <w:bCs/>
              </w:rPr>
              <w:t>CC≤84</w:t>
            </w:r>
            <w:r w:rsidRPr="0081478A">
              <w:rPr>
                <w:rStyle w:val="12Char"/>
                <w:rFonts w:hAnsi="Times New Roman"/>
                <w:b w:val="0"/>
                <w:bCs/>
              </w:rPr>
              <w:t> </w:t>
            </w:r>
            <w:r w:rsidRPr="0081478A">
              <w:rPr>
                <w:rFonts w:cs="Times New Roman"/>
                <w:b w:val="0"/>
                <w:bCs/>
              </w:rPr>
              <w:t>000</w:t>
            </w:r>
          </w:p>
        </w:tc>
        <w:tc>
          <w:tcPr>
            <w:tcW w:w="970" w:type="dxa"/>
            <w:shd w:val="clear" w:color="auto" w:fill="auto"/>
            <w:vAlign w:val="center"/>
          </w:tcPr>
          <w:p w14:paraId="4DCC4DF1" w14:textId="77777777" w:rsidR="000B54A2" w:rsidRPr="0081478A" w:rsidRDefault="000B54A2" w:rsidP="00921836">
            <w:pPr>
              <w:pStyle w:val="ae"/>
              <w:rPr>
                <w:rFonts w:cs="Times New Roman"/>
                <w:bCs/>
              </w:rPr>
            </w:pPr>
            <w:r w:rsidRPr="0081478A">
              <w:rPr>
                <w:rFonts w:cs="Times New Roman"/>
                <w:b w:val="0"/>
                <w:bCs/>
              </w:rPr>
              <w:t>2.75</w:t>
            </w:r>
          </w:p>
        </w:tc>
        <w:tc>
          <w:tcPr>
            <w:tcW w:w="970" w:type="dxa"/>
            <w:shd w:val="clear" w:color="auto" w:fill="auto"/>
            <w:vAlign w:val="center"/>
          </w:tcPr>
          <w:p w14:paraId="31D6E454" w14:textId="77777777" w:rsidR="000B54A2" w:rsidRPr="0081478A" w:rsidRDefault="000B54A2" w:rsidP="00921836">
            <w:pPr>
              <w:pStyle w:val="ae"/>
              <w:rPr>
                <w:rFonts w:cs="Times New Roman"/>
                <w:bCs/>
              </w:rPr>
            </w:pPr>
            <w:r w:rsidRPr="0081478A">
              <w:rPr>
                <w:rFonts w:cs="Times New Roman"/>
                <w:b w:val="0"/>
                <w:bCs/>
              </w:rPr>
              <w:t>2.95</w:t>
            </w:r>
          </w:p>
        </w:tc>
        <w:tc>
          <w:tcPr>
            <w:tcW w:w="970" w:type="dxa"/>
            <w:shd w:val="clear" w:color="auto" w:fill="auto"/>
            <w:vAlign w:val="center"/>
            <w:hideMark/>
          </w:tcPr>
          <w:p w14:paraId="1C0232D3" w14:textId="77777777" w:rsidR="000B54A2" w:rsidRPr="0081478A" w:rsidRDefault="000B54A2" w:rsidP="00921836">
            <w:pPr>
              <w:pStyle w:val="ae"/>
              <w:rPr>
                <w:rFonts w:cs="Times New Roman"/>
                <w:bCs/>
              </w:rPr>
            </w:pPr>
            <w:r w:rsidRPr="0081478A">
              <w:rPr>
                <w:rFonts w:cs="Times New Roman"/>
                <w:b w:val="0"/>
                <w:bCs/>
              </w:rPr>
              <w:t>3.15</w:t>
            </w:r>
          </w:p>
        </w:tc>
        <w:tc>
          <w:tcPr>
            <w:tcW w:w="970" w:type="dxa"/>
            <w:shd w:val="clear" w:color="auto" w:fill="auto"/>
            <w:vAlign w:val="center"/>
          </w:tcPr>
          <w:p w14:paraId="1B6486FF" w14:textId="77777777" w:rsidR="000B54A2" w:rsidRPr="0081478A" w:rsidRDefault="000B54A2" w:rsidP="00921836">
            <w:pPr>
              <w:pStyle w:val="ae"/>
              <w:rPr>
                <w:rFonts w:cs="Times New Roman"/>
                <w:bCs/>
              </w:rPr>
            </w:pPr>
            <w:r w:rsidRPr="0081478A">
              <w:rPr>
                <w:rFonts w:cs="Times New Roman"/>
                <w:b w:val="0"/>
                <w:bCs/>
              </w:rPr>
              <w:t>3.35</w:t>
            </w:r>
          </w:p>
        </w:tc>
        <w:tc>
          <w:tcPr>
            <w:tcW w:w="971" w:type="dxa"/>
            <w:shd w:val="clear" w:color="auto" w:fill="auto"/>
            <w:vAlign w:val="center"/>
          </w:tcPr>
          <w:p w14:paraId="7A9B9CE8" w14:textId="77777777" w:rsidR="000B54A2" w:rsidRPr="0081478A" w:rsidRDefault="000B54A2" w:rsidP="00921836">
            <w:pPr>
              <w:pStyle w:val="ae"/>
              <w:rPr>
                <w:rFonts w:cs="Times New Roman"/>
                <w:bCs/>
              </w:rPr>
            </w:pPr>
            <w:r w:rsidRPr="0081478A">
              <w:rPr>
                <w:rFonts w:cs="Times New Roman"/>
                <w:b w:val="0"/>
                <w:bCs/>
              </w:rPr>
              <w:t>3.55</w:t>
            </w:r>
          </w:p>
        </w:tc>
      </w:tr>
      <w:tr w:rsidR="0081478A" w:rsidRPr="0081478A" w14:paraId="44B5DA08" w14:textId="77777777" w:rsidTr="00921836">
        <w:trPr>
          <w:jc w:val="center"/>
        </w:trPr>
        <w:tc>
          <w:tcPr>
            <w:tcW w:w="2519" w:type="dxa"/>
            <w:shd w:val="clear" w:color="auto" w:fill="auto"/>
            <w:vAlign w:val="center"/>
            <w:hideMark/>
          </w:tcPr>
          <w:p w14:paraId="1989DDCC" w14:textId="77777777" w:rsidR="000B54A2" w:rsidRPr="0081478A" w:rsidRDefault="000B54A2" w:rsidP="00921836">
            <w:pPr>
              <w:pStyle w:val="ae"/>
              <w:rPr>
                <w:rFonts w:cs="Times New Roman"/>
                <w:bCs/>
              </w:rPr>
            </w:pPr>
            <w:r w:rsidRPr="0081478A">
              <w:rPr>
                <w:rFonts w:cs="Times New Roman"/>
                <w:b w:val="0"/>
                <w:bCs/>
              </w:rPr>
              <w:t>CC</w:t>
            </w:r>
            <w:r w:rsidRPr="0081478A">
              <w:rPr>
                <w:rFonts w:cs="Times New Roman"/>
                <w:b w:val="0"/>
                <w:bCs/>
              </w:rPr>
              <w:t>＞</w:t>
            </w:r>
            <w:r w:rsidRPr="0081478A">
              <w:rPr>
                <w:rFonts w:cs="Times New Roman"/>
                <w:b w:val="0"/>
                <w:bCs/>
              </w:rPr>
              <w:t>84</w:t>
            </w:r>
            <w:r w:rsidRPr="0081478A">
              <w:rPr>
                <w:rStyle w:val="12Char"/>
                <w:rFonts w:hAnsi="Times New Roman"/>
                <w:b w:val="0"/>
                <w:bCs/>
              </w:rPr>
              <w:t> </w:t>
            </w:r>
            <w:r w:rsidRPr="0081478A">
              <w:rPr>
                <w:rFonts w:cs="Times New Roman"/>
                <w:b w:val="0"/>
                <w:bCs/>
              </w:rPr>
              <w:t>000</w:t>
            </w:r>
          </w:p>
        </w:tc>
        <w:tc>
          <w:tcPr>
            <w:tcW w:w="970" w:type="dxa"/>
            <w:shd w:val="clear" w:color="auto" w:fill="auto"/>
            <w:vAlign w:val="center"/>
          </w:tcPr>
          <w:p w14:paraId="590EA8E2" w14:textId="77777777" w:rsidR="000B54A2" w:rsidRPr="0081478A" w:rsidRDefault="000B54A2" w:rsidP="00921836">
            <w:pPr>
              <w:pStyle w:val="ae"/>
              <w:rPr>
                <w:rFonts w:cs="Times New Roman"/>
                <w:bCs/>
              </w:rPr>
            </w:pPr>
            <w:r w:rsidRPr="0081478A">
              <w:rPr>
                <w:rFonts w:cs="Times New Roman"/>
                <w:b w:val="0"/>
                <w:bCs/>
              </w:rPr>
              <w:t>2.70</w:t>
            </w:r>
          </w:p>
        </w:tc>
        <w:tc>
          <w:tcPr>
            <w:tcW w:w="970" w:type="dxa"/>
            <w:shd w:val="clear" w:color="auto" w:fill="auto"/>
            <w:vAlign w:val="center"/>
          </w:tcPr>
          <w:p w14:paraId="2271D4C6" w14:textId="77777777" w:rsidR="000B54A2" w:rsidRPr="0081478A" w:rsidRDefault="000B54A2" w:rsidP="00921836">
            <w:pPr>
              <w:pStyle w:val="ae"/>
              <w:rPr>
                <w:rFonts w:cs="Times New Roman"/>
                <w:bCs/>
              </w:rPr>
            </w:pPr>
            <w:r w:rsidRPr="0081478A">
              <w:rPr>
                <w:rFonts w:cs="Times New Roman"/>
                <w:b w:val="0"/>
                <w:bCs/>
              </w:rPr>
              <w:t>2.90</w:t>
            </w:r>
          </w:p>
        </w:tc>
        <w:tc>
          <w:tcPr>
            <w:tcW w:w="970" w:type="dxa"/>
            <w:shd w:val="clear" w:color="auto" w:fill="auto"/>
            <w:vAlign w:val="center"/>
            <w:hideMark/>
          </w:tcPr>
          <w:p w14:paraId="03FC6E46" w14:textId="77777777" w:rsidR="000B54A2" w:rsidRPr="0081478A" w:rsidRDefault="000B54A2" w:rsidP="00921836">
            <w:pPr>
              <w:pStyle w:val="ae"/>
              <w:rPr>
                <w:rFonts w:cs="Times New Roman"/>
                <w:bCs/>
              </w:rPr>
            </w:pPr>
            <w:r w:rsidRPr="0081478A">
              <w:rPr>
                <w:rFonts w:cs="Times New Roman"/>
                <w:b w:val="0"/>
                <w:bCs/>
              </w:rPr>
              <w:t>3.10</w:t>
            </w:r>
          </w:p>
        </w:tc>
        <w:tc>
          <w:tcPr>
            <w:tcW w:w="970" w:type="dxa"/>
            <w:shd w:val="clear" w:color="auto" w:fill="auto"/>
            <w:vAlign w:val="center"/>
          </w:tcPr>
          <w:p w14:paraId="061F2BB4" w14:textId="77777777" w:rsidR="000B54A2" w:rsidRPr="0081478A" w:rsidRDefault="000B54A2" w:rsidP="00921836">
            <w:pPr>
              <w:pStyle w:val="ae"/>
              <w:rPr>
                <w:rFonts w:cs="Times New Roman"/>
                <w:bCs/>
              </w:rPr>
            </w:pPr>
            <w:r w:rsidRPr="0081478A">
              <w:rPr>
                <w:rFonts w:cs="Times New Roman"/>
                <w:b w:val="0"/>
                <w:bCs/>
              </w:rPr>
              <w:t>3.30</w:t>
            </w:r>
          </w:p>
        </w:tc>
        <w:tc>
          <w:tcPr>
            <w:tcW w:w="971" w:type="dxa"/>
            <w:shd w:val="clear" w:color="auto" w:fill="auto"/>
            <w:vAlign w:val="center"/>
          </w:tcPr>
          <w:p w14:paraId="74DC5BAC" w14:textId="77777777" w:rsidR="000B54A2" w:rsidRPr="0081478A" w:rsidRDefault="000B54A2" w:rsidP="00921836">
            <w:pPr>
              <w:pStyle w:val="ae"/>
              <w:rPr>
                <w:rFonts w:cs="Times New Roman"/>
                <w:bCs/>
              </w:rPr>
            </w:pPr>
            <w:r w:rsidRPr="0081478A">
              <w:rPr>
                <w:rFonts w:cs="Times New Roman"/>
                <w:b w:val="0"/>
                <w:bCs/>
              </w:rPr>
              <w:t>3.50</w:t>
            </w:r>
          </w:p>
        </w:tc>
      </w:tr>
    </w:tbl>
    <w:p w14:paraId="62645390" w14:textId="77777777" w:rsidR="000B54A2" w:rsidRPr="0081478A" w:rsidRDefault="000B54A2" w:rsidP="00E31FF0">
      <w:pPr>
        <w:ind w:firstLine="420"/>
        <w:rPr>
          <w:rFonts w:cs="Times New Roman"/>
        </w:rPr>
      </w:pPr>
    </w:p>
    <w:p w14:paraId="0197BD3A" w14:textId="55A19A03" w:rsidR="00B61A1E" w:rsidRPr="0081478A" w:rsidRDefault="00E31FF0" w:rsidP="000B54A2">
      <w:pPr>
        <w:ind w:firstLine="420"/>
        <w:rPr>
          <w:rFonts w:cs="Times New Roman"/>
        </w:rPr>
      </w:pPr>
      <w:r w:rsidRPr="0081478A">
        <w:rPr>
          <w:rFonts w:cs="Times New Roman"/>
        </w:rPr>
        <w:t>采用燃气热水器和采暖炉进行采暖时，依据表</w:t>
      </w:r>
      <w:r w:rsidR="000B54A2" w:rsidRPr="0081478A">
        <w:rPr>
          <w:rFonts w:cs="Times New Roman"/>
        </w:rPr>
        <w:t>7.2.5-13</w:t>
      </w:r>
      <w:r w:rsidRPr="0081478A">
        <w:rPr>
          <w:rFonts w:cs="Times New Roman"/>
        </w:rPr>
        <w:t>，判定其热效率值提高幅度。</w:t>
      </w:r>
    </w:p>
    <w:p w14:paraId="7DF77655" w14:textId="72A618E2" w:rsidR="000B54A2" w:rsidRPr="0081478A" w:rsidRDefault="000B54A2" w:rsidP="00921836">
      <w:pPr>
        <w:pStyle w:val="ae"/>
        <w:rPr>
          <w:rFonts w:cs="Times New Roman"/>
          <w:bCs/>
        </w:rPr>
      </w:pPr>
      <w:r w:rsidRPr="0081478A">
        <w:rPr>
          <w:rFonts w:cs="Times New Roman"/>
          <w:b w:val="0"/>
          <w:bCs/>
        </w:rPr>
        <w:t>表</w:t>
      </w:r>
      <w:r w:rsidRPr="0081478A">
        <w:rPr>
          <w:rFonts w:cs="Times New Roman"/>
          <w:b w:val="0"/>
          <w:bCs/>
        </w:rPr>
        <w:t xml:space="preserve">7.2.5-13 </w:t>
      </w:r>
      <w:r w:rsidRPr="0081478A">
        <w:rPr>
          <w:rFonts w:cs="Times New Roman"/>
          <w:b w:val="0"/>
          <w:bCs/>
        </w:rPr>
        <w:t>热水器和采暖炉（热效率）值</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993"/>
        <w:gridCol w:w="1134"/>
        <w:gridCol w:w="850"/>
        <w:gridCol w:w="1464"/>
        <w:gridCol w:w="1464"/>
        <w:gridCol w:w="1465"/>
      </w:tblGrid>
      <w:tr w:rsidR="0081478A" w:rsidRPr="0081478A" w14:paraId="2F92D432" w14:textId="77777777" w:rsidTr="000B54A2">
        <w:trPr>
          <w:jc w:val="center"/>
        </w:trPr>
        <w:tc>
          <w:tcPr>
            <w:tcW w:w="2977" w:type="dxa"/>
            <w:gridSpan w:val="3"/>
            <w:vMerge w:val="restart"/>
            <w:shd w:val="clear" w:color="auto" w:fill="auto"/>
            <w:vAlign w:val="center"/>
            <w:hideMark/>
          </w:tcPr>
          <w:p w14:paraId="19838B59" w14:textId="77777777" w:rsidR="000B54A2" w:rsidRPr="0081478A" w:rsidRDefault="000B54A2" w:rsidP="00921836">
            <w:pPr>
              <w:pStyle w:val="ae"/>
              <w:rPr>
                <w:rFonts w:cs="Times New Roman"/>
                <w:bCs/>
              </w:rPr>
            </w:pPr>
            <w:r w:rsidRPr="0081478A">
              <w:rPr>
                <w:rFonts w:cs="Times New Roman"/>
                <w:b w:val="0"/>
                <w:bCs/>
              </w:rPr>
              <w:t>类型</w:t>
            </w:r>
          </w:p>
        </w:tc>
        <w:tc>
          <w:tcPr>
            <w:tcW w:w="4393" w:type="dxa"/>
            <w:gridSpan w:val="3"/>
            <w:shd w:val="clear" w:color="auto" w:fill="auto"/>
            <w:vAlign w:val="center"/>
            <w:hideMark/>
          </w:tcPr>
          <w:p w14:paraId="6685A188" w14:textId="77777777" w:rsidR="000B54A2" w:rsidRPr="0081478A" w:rsidRDefault="000B54A2" w:rsidP="00921836">
            <w:pPr>
              <w:pStyle w:val="ae"/>
              <w:rPr>
                <w:rFonts w:cs="Times New Roman"/>
                <w:bCs/>
              </w:rPr>
            </w:pPr>
            <w:r w:rsidRPr="0081478A">
              <w:rPr>
                <w:rFonts w:cs="Times New Roman"/>
                <w:b w:val="0"/>
                <w:bCs/>
              </w:rPr>
              <w:t>最低热效率值</w:t>
            </w:r>
            <w:r w:rsidRPr="0081478A">
              <w:rPr>
                <w:rFonts w:cs="Times New Roman"/>
                <w:b w:val="0"/>
                <w:bCs/>
              </w:rPr>
              <w:sym w:font="Symbol" w:char="F068"/>
            </w:r>
            <w:r w:rsidRPr="0081478A">
              <w:rPr>
                <w:rFonts w:cs="Times New Roman"/>
                <w:b w:val="0"/>
                <w:bCs/>
              </w:rPr>
              <w:t>/%</w:t>
            </w:r>
          </w:p>
        </w:tc>
      </w:tr>
      <w:tr w:rsidR="0081478A" w:rsidRPr="0081478A" w14:paraId="5E50476F" w14:textId="77777777" w:rsidTr="000B54A2">
        <w:trPr>
          <w:jc w:val="center"/>
        </w:trPr>
        <w:tc>
          <w:tcPr>
            <w:tcW w:w="2977" w:type="dxa"/>
            <w:gridSpan w:val="3"/>
            <w:vMerge/>
            <w:shd w:val="clear" w:color="auto" w:fill="auto"/>
            <w:vAlign w:val="center"/>
            <w:hideMark/>
          </w:tcPr>
          <w:p w14:paraId="2EE34A52" w14:textId="77777777" w:rsidR="000B54A2" w:rsidRPr="0081478A" w:rsidRDefault="000B54A2" w:rsidP="00921836">
            <w:pPr>
              <w:pStyle w:val="ae"/>
              <w:rPr>
                <w:rFonts w:cs="Times New Roman"/>
                <w:bCs/>
              </w:rPr>
            </w:pPr>
          </w:p>
        </w:tc>
        <w:tc>
          <w:tcPr>
            <w:tcW w:w="1464" w:type="dxa"/>
            <w:shd w:val="clear" w:color="auto" w:fill="auto"/>
            <w:vAlign w:val="center"/>
            <w:hideMark/>
          </w:tcPr>
          <w:p w14:paraId="60A7028E" w14:textId="77777777" w:rsidR="000B54A2" w:rsidRPr="0081478A" w:rsidRDefault="000B54A2" w:rsidP="00921836">
            <w:pPr>
              <w:pStyle w:val="ae"/>
              <w:rPr>
                <w:rFonts w:cs="Times New Roman"/>
                <w:bCs/>
              </w:rPr>
            </w:pPr>
            <w:r w:rsidRPr="0081478A">
              <w:rPr>
                <w:rFonts w:cs="Times New Roman"/>
                <w:b w:val="0"/>
                <w:bCs/>
              </w:rPr>
              <w:t>能效等级</w:t>
            </w:r>
            <w:r w:rsidRPr="0081478A">
              <w:rPr>
                <w:rFonts w:cs="Times New Roman"/>
                <w:b w:val="0"/>
                <w:bCs/>
              </w:rPr>
              <w:t>1</w:t>
            </w:r>
            <w:r w:rsidRPr="0081478A">
              <w:rPr>
                <w:rFonts w:cs="Times New Roman"/>
                <w:b w:val="0"/>
                <w:bCs/>
              </w:rPr>
              <w:t>级</w:t>
            </w:r>
          </w:p>
        </w:tc>
        <w:tc>
          <w:tcPr>
            <w:tcW w:w="1464" w:type="dxa"/>
            <w:shd w:val="clear" w:color="auto" w:fill="auto"/>
            <w:vAlign w:val="center"/>
            <w:hideMark/>
          </w:tcPr>
          <w:p w14:paraId="0219E877" w14:textId="77777777" w:rsidR="000B54A2" w:rsidRPr="0081478A" w:rsidRDefault="000B54A2" w:rsidP="00921836">
            <w:pPr>
              <w:pStyle w:val="ae"/>
              <w:rPr>
                <w:rFonts w:cs="Times New Roman"/>
                <w:bCs/>
              </w:rPr>
            </w:pPr>
            <w:r w:rsidRPr="0081478A">
              <w:rPr>
                <w:rFonts w:cs="Times New Roman"/>
                <w:b w:val="0"/>
                <w:bCs/>
              </w:rPr>
              <w:t>能效等级</w:t>
            </w:r>
            <w:r w:rsidRPr="0081478A">
              <w:rPr>
                <w:rFonts w:cs="Times New Roman"/>
                <w:b w:val="0"/>
                <w:bCs/>
              </w:rPr>
              <w:t>2</w:t>
            </w:r>
            <w:r w:rsidRPr="0081478A">
              <w:rPr>
                <w:rFonts w:cs="Times New Roman"/>
                <w:b w:val="0"/>
                <w:bCs/>
              </w:rPr>
              <w:t>级</w:t>
            </w:r>
          </w:p>
        </w:tc>
        <w:tc>
          <w:tcPr>
            <w:tcW w:w="1465" w:type="dxa"/>
            <w:shd w:val="clear" w:color="auto" w:fill="auto"/>
            <w:vAlign w:val="center"/>
            <w:hideMark/>
          </w:tcPr>
          <w:p w14:paraId="36F7DFC5" w14:textId="77777777" w:rsidR="000B54A2" w:rsidRPr="0081478A" w:rsidRDefault="000B54A2" w:rsidP="00921836">
            <w:pPr>
              <w:pStyle w:val="ae"/>
              <w:rPr>
                <w:rFonts w:cs="Times New Roman"/>
                <w:bCs/>
              </w:rPr>
            </w:pPr>
            <w:r w:rsidRPr="0081478A">
              <w:rPr>
                <w:rFonts w:cs="Times New Roman"/>
                <w:b w:val="0"/>
                <w:bCs/>
              </w:rPr>
              <w:t>能效等级</w:t>
            </w:r>
            <w:r w:rsidRPr="0081478A">
              <w:rPr>
                <w:rFonts w:cs="Times New Roman"/>
                <w:b w:val="0"/>
                <w:bCs/>
              </w:rPr>
              <w:t>3</w:t>
            </w:r>
            <w:r w:rsidRPr="0081478A">
              <w:rPr>
                <w:rFonts w:cs="Times New Roman"/>
                <w:b w:val="0"/>
                <w:bCs/>
              </w:rPr>
              <w:t>级</w:t>
            </w:r>
          </w:p>
        </w:tc>
      </w:tr>
      <w:tr w:rsidR="0081478A" w:rsidRPr="0081478A" w14:paraId="6F1D2912" w14:textId="77777777" w:rsidTr="000B54A2">
        <w:trPr>
          <w:jc w:val="center"/>
        </w:trPr>
        <w:tc>
          <w:tcPr>
            <w:tcW w:w="2127" w:type="dxa"/>
            <w:gridSpan w:val="2"/>
            <w:vMerge w:val="restart"/>
            <w:shd w:val="clear" w:color="auto" w:fill="auto"/>
            <w:vAlign w:val="center"/>
            <w:hideMark/>
          </w:tcPr>
          <w:p w14:paraId="48D14703" w14:textId="77777777" w:rsidR="000B54A2" w:rsidRPr="0081478A" w:rsidRDefault="000B54A2" w:rsidP="00921836">
            <w:pPr>
              <w:pStyle w:val="ae"/>
              <w:rPr>
                <w:rFonts w:cs="Times New Roman"/>
                <w:bCs/>
              </w:rPr>
            </w:pPr>
            <w:r w:rsidRPr="0081478A">
              <w:rPr>
                <w:rFonts w:cs="Times New Roman"/>
                <w:b w:val="0"/>
                <w:bCs/>
              </w:rPr>
              <w:t>热水器</w:t>
            </w:r>
          </w:p>
        </w:tc>
        <w:tc>
          <w:tcPr>
            <w:tcW w:w="850" w:type="dxa"/>
            <w:shd w:val="clear" w:color="auto" w:fill="auto"/>
            <w:vAlign w:val="center"/>
            <w:hideMark/>
          </w:tcPr>
          <w:p w14:paraId="1F9E2831" w14:textId="77777777" w:rsidR="000B54A2" w:rsidRPr="0081478A" w:rsidRDefault="000B54A2" w:rsidP="00921836">
            <w:pPr>
              <w:pStyle w:val="ae"/>
              <w:rPr>
                <w:rFonts w:cs="Times New Roman"/>
                <w:bCs/>
              </w:rPr>
            </w:pPr>
            <w:r w:rsidRPr="0081478A">
              <w:rPr>
                <w:rFonts w:cs="Times New Roman"/>
                <w:b w:val="0"/>
                <w:bCs/>
              </w:rPr>
              <w:sym w:font="Symbol" w:char="F068"/>
            </w:r>
            <w:r w:rsidRPr="0081478A">
              <w:rPr>
                <w:rFonts w:cs="Times New Roman"/>
                <w:b w:val="0"/>
                <w:bCs/>
              </w:rPr>
              <w:t>1</w:t>
            </w:r>
          </w:p>
        </w:tc>
        <w:tc>
          <w:tcPr>
            <w:tcW w:w="1464" w:type="dxa"/>
            <w:shd w:val="clear" w:color="auto" w:fill="auto"/>
            <w:vAlign w:val="center"/>
            <w:hideMark/>
          </w:tcPr>
          <w:p w14:paraId="11789B12" w14:textId="77777777" w:rsidR="000B54A2" w:rsidRPr="0081478A" w:rsidRDefault="000B54A2" w:rsidP="00921836">
            <w:pPr>
              <w:pStyle w:val="ae"/>
              <w:rPr>
                <w:rFonts w:cs="Times New Roman"/>
                <w:bCs/>
              </w:rPr>
            </w:pPr>
            <w:r w:rsidRPr="0081478A">
              <w:rPr>
                <w:rFonts w:cs="Times New Roman"/>
                <w:b w:val="0"/>
                <w:bCs/>
              </w:rPr>
              <w:t>98</w:t>
            </w:r>
          </w:p>
        </w:tc>
        <w:tc>
          <w:tcPr>
            <w:tcW w:w="1464" w:type="dxa"/>
            <w:shd w:val="clear" w:color="auto" w:fill="auto"/>
            <w:vAlign w:val="center"/>
            <w:hideMark/>
          </w:tcPr>
          <w:p w14:paraId="5AE1CF03" w14:textId="77777777" w:rsidR="000B54A2" w:rsidRPr="0081478A" w:rsidRDefault="000B54A2" w:rsidP="00921836">
            <w:pPr>
              <w:pStyle w:val="ae"/>
              <w:rPr>
                <w:rFonts w:cs="Times New Roman"/>
                <w:bCs/>
              </w:rPr>
            </w:pPr>
            <w:r w:rsidRPr="0081478A">
              <w:rPr>
                <w:rFonts w:cs="Times New Roman"/>
                <w:b w:val="0"/>
                <w:bCs/>
              </w:rPr>
              <w:t>89</w:t>
            </w:r>
          </w:p>
        </w:tc>
        <w:tc>
          <w:tcPr>
            <w:tcW w:w="1465" w:type="dxa"/>
            <w:shd w:val="clear" w:color="auto" w:fill="auto"/>
            <w:vAlign w:val="center"/>
            <w:hideMark/>
          </w:tcPr>
          <w:p w14:paraId="23CF9F40" w14:textId="77777777" w:rsidR="000B54A2" w:rsidRPr="0081478A" w:rsidRDefault="000B54A2" w:rsidP="00921836">
            <w:pPr>
              <w:pStyle w:val="ae"/>
              <w:rPr>
                <w:rFonts w:cs="Times New Roman"/>
                <w:bCs/>
              </w:rPr>
            </w:pPr>
            <w:r w:rsidRPr="0081478A">
              <w:rPr>
                <w:rFonts w:cs="Times New Roman"/>
                <w:b w:val="0"/>
                <w:bCs/>
              </w:rPr>
              <w:t>86</w:t>
            </w:r>
          </w:p>
        </w:tc>
      </w:tr>
      <w:tr w:rsidR="0081478A" w:rsidRPr="0081478A" w14:paraId="7DAC2F19" w14:textId="77777777" w:rsidTr="000B54A2">
        <w:trPr>
          <w:jc w:val="center"/>
        </w:trPr>
        <w:tc>
          <w:tcPr>
            <w:tcW w:w="2127" w:type="dxa"/>
            <w:gridSpan w:val="2"/>
            <w:vMerge/>
            <w:shd w:val="clear" w:color="auto" w:fill="auto"/>
            <w:vAlign w:val="center"/>
            <w:hideMark/>
          </w:tcPr>
          <w:p w14:paraId="4CBD9B0A" w14:textId="77777777" w:rsidR="000B54A2" w:rsidRPr="0081478A" w:rsidRDefault="000B54A2" w:rsidP="00921836">
            <w:pPr>
              <w:pStyle w:val="ae"/>
              <w:rPr>
                <w:rFonts w:cs="Times New Roman"/>
                <w:bCs/>
              </w:rPr>
            </w:pPr>
          </w:p>
        </w:tc>
        <w:tc>
          <w:tcPr>
            <w:tcW w:w="850" w:type="dxa"/>
            <w:shd w:val="clear" w:color="auto" w:fill="auto"/>
            <w:vAlign w:val="center"/>
            <w:hideMark/>
          </w:tcPr>
          <w:p w14:paraId="20F1A015" w14:textId="77777777" w:rsidR="000B54A2" w:rsidRPr="0081478A" w:rsidRDefault="000B54A2" w:rsidP="00921836">
            <w:pPr>
              <w:pStyle w:val="ae"/>
              <w:rPr>
                <w:rFonts w:cs="Times New Roman"/>
                <w:bCs/>
              </w:rPr>
            </w:pPr>
            <w:r w:rsidRPr="0081478A">
              <w:rPr>
                <w:rFonts w:cs="Times New Roman"/>
                <w:b w:val="0"/>
                <w:bCs/>
              </w:rPr>
              <w:sym w:font="Symbol" w:char="F068"/>
            </w:r>
            <w:r w:rsidRPr="0081478A">
              <w:rPr>
                <w:rFonts w:cs="Times New Roman"/>
                <w:b w:val="0"/>
                <w:bCs/>
              </w:rPr>
              <w:t>2</w:t>
            </w:r>
          </w:p>
        </w:tc>
        <w:tc>
          <w:tcPr>
            <w:tcW w:w="1464" w:type="dxa"/>
            <w:shd w:val="clear" w:color="auto" w:fill="auto"/>
            <w:vAlign w:val="center"/>
            <w:hideMark/>
          </w:tcPr>
          <w:p w14:paraId="70970A1C" w14:textId="77777777" w:rsidR="000B54A2" w:rsidRPr="0081478A" w:rsidRDefault="000B54A2" w:rsidP="00921836">
            <w:pPr>
              <w:pStyle w:val="ae"/>
              <w:rPr>
                <w:rFonts w:cs="Times New Roman"/>
                <w:bCs/>
              </w:rPr>
            </w:pPr>
            <w:r w:rsidRPr="0081478A">
              <w:rPr>
                <w:rFonts w:cs="Times New Roman"/>
                <w:b w:val="0"/>
                <w:bCs/>
              </w:rPr>
              <w:t>94</w:t>
            </w:r>
          </w:p>
        </w:tc>
        <w:tc>
          <w:tcPr>
            <w:tcW w:w="1464" w:type="dxa"/>
            <w:shd w:val="clear" w:color="auto" w:fill="auto"/>
            <w:vAlign w:val="center"/>
            <w:hideMark/>
          </w:tcPr>
          <w:p w14:paraId="6D6BD51F" w14:textId="77777777" w:rsidR="000B54A2" w:rsidRPr="0081478A" w:rsidRDefault="000B54A2" w:rsidP="00921836">
            <w:pPr>
              <w:pStyle w:val="ae"/>
              <w:rPr>
                <w:rFonts w:cs="Times New Roman"/>
                <w:bCs/>
              </w:rPr>
            </w:pPr>
            <w:r w:rsidRPr="0081478A">
              <w:rPr>
                <w:rFonts w:cs="Times New Roman"/>
                <w:b w:val="0"/>
                <w:bCs/>
              </w:rPr>
              <w:t>85</w:t>
            </w:r>
          </w:p>
        </w:tc>
        <w:tc>
          <w:tcPr>
            <w:tcW w:w="1465" w:type="dxa"/>
            <w:shd w:val="clear" w:color="auto" w:fill="auto"/>
            <w:vAlign w:val="center"/>
            <w:hideMark/>
          </w:tcPr>
          <w:p w14:paraId="5CDBF754" w14:textId="77777777" w:rsidR="000B54A2" w:rsidRPr="0081478A" w:rsidRDefault="000B54A2" w:rsidP="00921836">
            <w:pPr>
              <w:pStyle w:val="ae"/>
              <w:rPr>
                <w:rFonts w:cs="Times New Roman"/>
                <w:bCs/>
              </w:rPr>
            </w:pPr>
            <w:r w:rsidRPr="0081478A">
              <w:rPr>
                <w:rFonts w:cs="Times New Roman"/>
                <w:b w:val="0"/>
                <w:bCs/>
              </w:rPr>
              <w:t>82</w:t>
            </w:r>
          </w:p>
        </w:tc>
      </w:tr>
      <w:tr w:rsidR="0081478A" w:rsidRPr="0081478A" w14:paraId="2249E0CA" w14:textId="77777777" w:rsidTr="000B54A2">
        <w:trPr>
          <w:jc w:val="center"/>
        </w:trPr>
        <w:tc>
          <w:tcPr>
            <w:tcW w:w="993" w:type="dxa"/>
            <w:vMerge w:val="restart"/>
            <w:shd w:val="clear" w:color="auto" w:fill="auto"/>
            <w:vAlign w:val="center"/>
            <w:hideMark/>
          </w:tcPr>
          <w:p w14:paraId="5197CD43" w14:textId="77777777" w:rsidR="000B54A2" w:rsidRPr="0081478A" w:rsidRDefault="000B54A2" w:rsidP="00921836">
            <w:pPr>
              <w:pStyle w:val="ae"/>
              <w:rPr>
                <w:rFonts w:cs="Times New Roman"/>
                <w:bCs/>
              </w:rPr>
            </w:pPr>
            <w:r w:rsidRPr="0081478A">
              <w:rPr>
                <w:rFonts w:cs="Times New Roman"/>
                <w:b w:val="0"/>
                <w:bCs/>
              </w:rPr>
              <w:t>采暖炉</w:t>
            </w:r>
          </w:p>
        </w:tc>
        <w:tc>
          <w:tcPr>
            <w:tcW w:w="1134" w:type="dxa"/>
            <w:vMerge w:val="restart"/>
            <w:shd w:val="clear" w:color="auto" w:fill="auto"/>
            <w:vAlign w:val="center"/>
            <w:hideMark/>
          </w:tcPr>
          <w:p w14:paraId="47AA74DB" w14:textId="77777777" w:rsidR="000B54A2" w:rsidRPr="0081478A" w:rsidRDefault="000B54A2" w:rsidP="00921836">
            <w:pPr>
              <w:pStyle w:val="ae"/>
              <w:rPr>
                <w:rFonts w:cs="Times New Roman"/>
                <w:bCs/>
              </w:rPr>
            </w:pPr>
            <w:r w:rsidRPr="0081478A">
              <w:rPr>
                <w:rFonts w:cs="Times New Roman"/>
                <w:b w:val="0"/>
                <w:bCs/>
              </w:rPr>
              <w:t>热水</w:t>
            </w:r>
          </w:p>
        </w:tc>
        <w:tc>
          <w:tcPr>
            <w:tcW w:w="850" w:type="dxa"/>
            <w:shd w:val="clear" w:color="auto" w:fill="auto"/>
            <w:vAlign w:val="center"/>
            <w:hideMark/>
          </w:tcPr>
          <w:p w14:paraId="7151D683" w14:textId="77777777" w:rsidR="000B54A2" w:rsidRPr="0081478A" w:rsidRDefault="000B54A2" w:rsidP="00921836">
            <w:pPr>
              <w:pStyle w:val="ae"/>
              <w:rPr>
                <w:rFonts w:cs="Times New Roman"/>
                <w:bCs/>
              </w:rPr>
            </w:pPr>
            <w:r w:rsidRPr="0081478A">
              <w:rPr>
                <w:rFonts w:cs="Times New Roman"/>
                <w:b w:val="0"/>
                <w:bCs/>
              </w:rPr>
              <w:sym w:font="Symbol" w:char="F068"/>
            </w:r>
            <w:r w:rsidRPr="0081478A">
              <w:rPr>
                <w:rFonts w:cs="Times New Roman"/>
                <w:b w:val="0"/>
                <w:bCs/>
              </w:rPr>
              <w:t>1</w:t>
            </w:r>
          </w:p>
        </w:tc>
        <w:tc>
          <w:tcPr>
            <w:tcW w:w="1464" w:type="dxa"/>
            <w:shd w:val="clear" w:color="auto" w:fill="auto"/>
            <w:vAlign w:val="center"/>
            <w:hideMark/>
          </w:tcPr>
          <w:p w14:paraId="6B9F6170" w14:textId="77777777" w:rsidR="000B54A2" w:rsidRPr="0081478A" w:rsidRDefault="000B54A2" w:rsidP="00921836">
            <w:pPr>
              <w:pStyle w:val="ae"/>
              <w:rPr>
                <w:rFonts w:cs="Times New Roman"/>
                <w:bCs/>
              </w:rPr>
            </w:pPr>
            <w:r w:rsidRPr="0081478A">
              <w:rPr>
                <w:rFonts w:cs="Times New Roman"/>
                <w:b w:val="0"/>
                <w:bCs/>
              </w:rPr>
              <w:t>96</w:t>
            </w:r>
          </w:p>
        </w:tc>
        <w:tc>
          <w:tcPr>
            <w:tcW w:w="1464" w:type="dxa"/>
            <w:shd w:val="clear" w:color="auto" w:fill="auto"/>
            <w:vAlign w:val="center"/>
            <w:hideMark/>
          </w:tcPr>
          <w:p w14:paraId="5C69FDA5" w14:textId="77777777" w:rsidR="000B54A2" w:rsidRPr="0081478A" w:rsidRDefault="000B54A2" w:rsidP="00921836">
            <w:pPr>
              <w:pStyle w:val="ae"/>
              <w:rPr>
                <w:rFonts w:cs="Times New Roman"/>
                <w:bCs/>
              </w:rPr>
            </w:pPr>
            <w:r w:rsidRPr="0081478A">
              <w:rPr>
                <w:rFonts w:cs="Times New Roman"/>
                <w:b w:val="0"/>
                <w:bCs/>
              </w:rPr>
              <w:t>89</w:t>
            </w:r>
          </w:p>
        </w:tc>
        <w:tc>
          <w:tcPr>
            <w:tcW w:w="1465" w:type="dxa"/>
            <w:shd w:val="clear" w:color="auto" w:fill="auto"/>
            <w:vAlign w:val="center"/>
            <w:hideMark/>
          </w:tcPr>
          <w:p w14:paraId="69349BCC" w14:textId="77777777" w:rsidR="000B54A2" w:rsidRPr="0081478A" w:rsidRDefault="000B54A2" w:rsidP="00921836">
            <w:pPr>
              <w:pStyle w:val="ae"/>
              <w:rPr>
                <w:rFonts w:cs="Times New Roman"/>
                <w:bCs/>
              </w:rPr>
            </w:pPr>
            <w:r w:rsidRPr="0081478A">
              <w:rPr>
                <w:rFonts w:cs="Times New Roman"/>
                <w:b w:val="0"/>
                <w:bCs/>
              </w:rPr>
              <w:t>86</w:t>
            </w:r>
          </w:p>
        </w:tc>
      </w:tr>
      <w:tr w:rsidR="0081478A" w:rsidRPr="0081478A" w14:paraId="6465EEB5" w14:textId="77777777" w:rsidTr="000B54A2">
        <w:trPr>
          <w:jc w:val="center"/>
        </w:trPr>
        <w:tc>
          <w:tcPr>
            <w:tcW w:w="993" w:type="dxa"/>
            <w:vMerge/>
            <w:shd w:val="clear" w:color="auto" w:fill="auto"/>
            <w:vAlign w:val="center"/>
            <w:hideMark/>
          </w:tcPr>
          <w:p w14:paraId="07416CA5" w14:textId="77777777" w:rsidR="000B54A2" w:rsidRPr="0081478A" w:rsidRDefault="000B54A2" w:rsidP="00921836">
            <w:pPr>
              <w:pStyle w:val="ae"/>
              <w:rPr>
                <w:rFonts w:cs="Times New Roman"/>
                <w:bCs/>
              </w:rPr>
            </w:pPr>
          </w:p>
        </w:tc>
        <w:tc>
          <w:tcPr>
            <w:tcW w:w="1134" w:type="dxa"/>
            <w:vMerge/>
            <w:shd w:val="clear" w:color="auto" w:fill="auto"/>
            <w:vAlign w:val="center"/>
            <w:hideMark/>
          </w:tcPr>
          <w:p w14:paraId="73F19F73" w14:textId="77777777" w:rsidR="000B54A2" w:rsidRPr="0081478A" w:rsidRDefault="000B54A2" w:rsidP="00921836">
            <w:pPr>
              <w:pStyle w:val="ae"/>
              <w:rPr>
                <w:rFonts w:cs="Times New Roman"/>
                <w:bCs/>
              </w:rPr>
            </w:pPr>
          </w:p>
        </w:tc>
        <w:tc>
          <w:tcPr>
            <w:tcW w:w="850" w:type="dxa"/>
            <w:shd w:val="clear" w:color="auto" w:fill="auto"/>
            <w:vAlign w:val="center"/>
            <w:hideMark/>
          </w:tcPr>
          <w:p w14:paraId="177EF0BF" w14:textId="77777777" w:rsidR="000B54A2" w:rsidRPr="0081478A" w:rsidRDefault="000B54A2" w:rsidP="00921836">
            <w:pPr>
              <w:pStyle w:val="ae"/>
              <w:rPr>
                <w:rFonts w:cs="Times New Roman"/>
                <w:bCs/>
              </w:rPr>
            </w:pPr>
            <w:r w:rsidRPr="0081478A">
              <w:rPr>
                <w:rFonts w:cs="Times New Roman"/>
                <w:b w:val="0"/>
                <w:bCs/>
              </w:rPr>
              <w:sym w:font="Symbol" w:char="F068"/>
            </w:r>
            <w:r w:rsidRPr="0081478A">
              <w:rPr>
                <w:rFonts w:cs="Times New Roman"/>
                <w:b w:val="0"/>
                <w:bCs/>
              </w:rPr>
              <w:t>2</w:t>
            </w:r>
          </w:p>
        </w:tc>
        <w:tc>
          <w:tcPr>
            <w:tcW w:w="1464" w:type="dxa"/>
            <w:shd w:val="clear" w:color="auto" w:fill="auto"/>
            <w:vAlign w:val="center"/>
            <w:hideMark/>
          </w:tcPr>
          <w:p w14:paraId="7BE68D80" w14:textId="77777777" w:rsidR="000B54A2" w:rsidRPr="0081478A" w:rsidRDefault="000B54A2" w:rsidP="00921836">
            <w:pPr>
              <w:pStyle w:val="ae"/>
              <w:rPr>
                <w:rFonts w:cs="Times New Roman"/>
                <w:bCs/>
              </w:rPr>
            </w:pPr>
            <w:r w:rsidRPr="0081478A">
              <w:rPr>
                <w:rFonts w:cs="Times New Roman"/>
                <w:b w:val="0"/>
                <w:bCs/>
              </w:rPr>
              <w:t>92</w:t>
            </w:r>
          </w:p>
        </w:tc>
        <w:tc>
          <w:tcPr>
            <w:tcW w:w="1464" w:type="dxa"/>
            <w:shd w:val="clear" w:color="auto" w:fill="auto"/>
            <w:vAlign w:val="center"/>
            <w:hideMark/>
          </w:tcPr>
          <w:p w14:paraId="56CF5797" w14:textId="77777777" w:rsidR="000B54A2" w:rsidRPr="0081478A" w:rsidRDefault="000B54A2" w:rsidP="00921836">
            <w:pPr>
              <w:pStyle w:val="ae"/>
              <w:rPr>
                <w:rFonts w:cs="Times New Roman"/>
                <w:bCs/>
              </w:rPr>
            </w:pPr>
            <w:r w:rsidRPr="0081478A">
              <w:rPr>
                <w:rFonts w:cs="Times New Roman"/>
                <w:b w:val="0"/>
                <w:bCs/>
              </w:rPr>
              <w:t>85</w:t>
            </w:r>
          </w:p>
        </w:tc>
        <w:tc>
          <w:tcPr>
            <w:tcW w:w="1465" w:type="dxa"/>
            <w:shd w:val="clear" w:color="auto" w:fill="auto"/>
            <w:vAlign w:val="center"/>
            <w:hideMark/>
          </w:tcPr>
          <w:p w14:paraId="6B6031DD" w14:textId="77777777" w:rsidR="000B54A2" w:rsidRPr="0081478A" w:rsidRDefault="000B54A2" w:rsidP="00921836">
            <w:pPr>
              <w:pStyle w:val="ae"/>
              <w:rPr>
                <w:rFonts w:cs="Times New Roman"/>
                <w:bCs/>
              </w:rPr>
            </w:pPr>
            <w:r w:rsidRPr="0081478A">
              <w:rPr>
                <w:rFonts w:cs="Times New Roman"/>
                <w:b w:val="0"/>
                <w:bCs/>
              </w:rPr>
              <w:t>82</w:t>
            </w:r>
          </w:p>
        </w:tc>
      </w:tr>
      <w:tr w:rsidR="0081478A" w:rsidRPr="0081478A" w14:paraId="5F439DA9" w14:textId="77777777" w:rsidTr="000B54A2">
        <w:trPr>
          <w:jc w:val="center"/>
        </w:trPr>
        <w:tc>
          <w:tcPr>
            <w:tcW w:w="993" w:type="dxa"/>
            <w:vMerge/>
            <w:shd w:val="clear" w:color="auto" w:fill="auto"/>
            <w:vAlign w:val="center"/>
            <w:hideMark/>
          </w:tcPr>
          <w:p w14:paraId="358386AC" w14:textId="77777777" w:rsidR="000B54A2" w:rsidRPr="0081478A" w:rsidRDefault="000B54A2" w:rsidP="00921836">
            <w:pPr>
              <w:pStyle w:val="ae"/>
              <w:rPr>
                <w:rFonts w:cs="Times New Roman"/>
                <w:bCs/>
              </w:rPr>
            </w:pPr>
          </w:p>
        </w:tc>
        <w:tc>
          <w:tcPr>
            <w:tcW w:w="1134" w:type="dxa"/>
            <w:vMerge w:val="restart"/>
            <w:shd w:val="clear" w:color="auto" w:fill="auto"/>
            <w:vAlign w:val="center"/>
            <w:hideMark/>
          </w:tcPr>
          <w:p w14:paraId="11D24410" w14:textId="77777777" w:rsidR="000B54A2" w:rsidRPr="0081478A" w:rsidRDefault="000B54A2" w:rsidP="00921836">
            <w:pPr>
              <w:pStyle w:val="ae"/>
              <w:rPr>
                <w:rFonts w:cs="Times New Roman"/>
                <w:bCs/>
              </w:rPr>
            </w:pPr>
            <w:r w:rsidRPr="0081478A">
              <w:rPr>
                <w:rFonts w:cs="Times New Roman"/>
                <w:b w:val="0"/>
                <w:bCs/>
              </w:rPr>
              <w:t>采暖</w:t>
            </w:r>
          </w:p>
        </w:tc>
        <w:tc>
          <w:tcPr>
            <w:tcW w:w="850" w:type="dxa"/>
            <w:shd w:val="clear" w:color="auto" w:fill="auto"/>
            <w:vAlign w:val="center"/>
            <w:hideMark/>
          </w:tcPr>
          <w:p w14:paraId="4A89C98B" w14:textId="77777777" w:rsidR="000B54A2" w:rsidRPr="0081478A" w:rsidRDefault="000B54A2" w:rsidP="00921836">
            <w:pPr>
              <w:pStyle w:val="ae"/>
              <w:rPr>
                <w:rFonts w:cs="Times New Roman"/>
                <w:bCs/>
              </w:rPr>
            </w:pPr>
            <w:r w:rsidRPr="0081478A">
              <w:rPr>
                <w:rFonts w:cs="Times New Roman"/>
                <w:b w:val="0"/>
                <w:bCs/>
              </w:rPr>
              <w:sym w:font="Symbol" w:char="F068"/>
            </w:r>
            <w:r w:rsidRPr="0081478A">
              <w:rPr>
                <w:rFonts w:cs="Times New Roman"/>
                <w:b w:val="0"/>
                <w:bCs/>
              </w:rPr>
              <w:t>1</w:t>
            </w:r>
          </w:p>
        </w:tc>
        <w:tc>
          <w:tcPr>
            <w:tcW w:w="1464" w:type="dxa"/>
            <w:shd w:val="clear" w:color="auto" w:fill="auto"/>
            <w:vAlign w:val="center"/>
            <w:hideMark/>
          </w:tcPr>
          <w:p w14:paraId="2305A806" w14:textId="77777777" w:rsidR="000B54A2" w:rsidRPr="0081478A" w:rsidRDefault="000B54A2" w:rsidP="00921836">
            <w:pPr>
              <w:pStyle w:val="ae"/>
              <w:rPr>
                <w:rFonts w:cs="Times New Roman"/>
                <w:bCs/>
              </w:rPr>
            </w:pPr>
            <w:r w:rsidRPr="0081478A">
              <w:rPr>
                <w:rFonts w:cs="Times New Roman"/>
                <w:b w:val="0"/>
                <w:bCs/>
              </w:rPr>
              <w:t>99</w:t>
            </w:r>
          </w:p>
        </w:tc>
        <w:tc>
          <w:tcPr>
            <w:tcW w:w="1464" w:type="dxa"/>
            <w:shd w:val="clear" w:color="auto" w:fill="auto"/>
            <w:vAlign w:val="center"/>
            <w:hideMark/>
          </w:tcPr>
          <w:p w14:paraId="2B0BAF72" w14:textId="77777777" w:rsidR="000B54A2" w:rsidRPr="0081478A" w:rsidRDefault="000B54A2" w:rsidP="00921836">
            <w:pPr>
              <w:pStyle w:val="ae"/>
              <w:rPr>
                <w:rFonts w:cs="Times New Roman"/>
                <w:bCs/>
              </w:rPr>
            </w:pPr>
            <w:r w:rsidRPr="0081478A">
              <w:rPr>
                <w:rFonts w:cs="Times New Roman"/>
                <w:b w:val="0"/>
                <w:bCs/>
              </w:rPr>
              <w:t>89</w:t>
            </w:r>
          </w:p>
        </w:tc>
        <w:tc>
          <w:tcPr>
            <w:tcW w:w="1465" w:type="dxa"/>
            <w:shd w:val="clear" w:color="auto" w:fill="auto"/>
            <w:vAlign w:val="center"/>
            <w:hideMark/>
          </w:tcPr>
          <w:p w14:paraId="7A5663E7" w14:textId="77777777" w:rsidR="000B54A2" w:rsidRPr="0081478A" w:rsidRDefault="000B54A2" w:rsidP="00921836">
            <w:pPr>
              <w:pStyle w:val="ae"/>
              <w:rPr>
                <w:rFonts w:cs="Times New Roman"/>
                <w:bCs/>
              </w:rPr>
            </w:pPr>
            <w:r w:rsidRPr="0081478A">
              <w:rPr>
                <w:rFonts w:cs="Times New Roman"/>
                <w:b w:val="0"/>
                <w:bCs/>
              </w:rPr>
              <w:t>86</w:t>
            </w:r>
          </w:p>
        </w:tc>
      </w:tr>
      <w:tr w:rsidR="0081478A" w:rsidRPr="0081478A" w14:paraId="775C0B89" w14:textId="77777777" w:rsidTr="000B54A2">
        <w:trPr>
          <w:jc w:val="center"/>
        </w:trPr>
        <w:tc>
          <w:tcPr>
            <w:tcW w:w="993" w:type="dxa"/>
            <w:vMerge/>
            <w:shd w:val="clear" w:color="auto" w:fill="auto"/>
            <w:vAlign w:val="center"/>
            <w:hideMark/>
          </w:tcPr>
          <w:p w14:paraId="40044944" w14:textId="77777777" w:rsidR="000B54A2" w:rsidRPr="0081478A" w:rsidRDefault="000B54A2" w:rsidP="00921836">
            <w:pPr>
              <w:pStyle w:val="ae"/>
              <w:rPr>
                <w:rFonts w:cs="Times New Roman"/>
                <w:bCs/>
              </w:rPr>
            </w:pPr>
          </w:p>
        </w:tc>
        <w:tc>
          <w:tcPr>
            <w:tcW w:w="1134" w:type="dxa"/>
            <w:vMerge/>
            <w:shd w:val="clear" w:color="auto" w:fill="auto"/>
            <w:vAlign w:val="center"/>
            <w:hideMark/>
          </w:tcPr>
          <w:p w14:paraId="7F7B8C9E" w14:textId="77777777" w:rsidR="000B54A2" w:rsidRPr="0081478A" w:rsidRDefault="000B54A2" w:rsidP="00921836">
            <w:pPr>
              <w:pStyle w:val="ae"/>
              <w:rPr>
                <w:rFonts w:cs="Times New Roman"/>
                <w:bCs/>
              </w:rPr>
            </w:pPr>
          </w:p>
        </w:tc>
        <w:tc>
          <w:tcPr>
            <w:tcW w:w="850" w:type="dxa"/>
            <w:shd w:val="clear" w:color="auto" w:fill="auto"/>
            <w:vAlign w:val="center"/>
            <w:hideMark/>
          </w:tcPr>
          <w:p w14:paraId="41CE7E36" w14:textId="77777777" w:rsidR="000B54A2" w:rsidRPr="0081478A" w:rsidRDefault="000B54A2" w:rsidP="00921836">
            <w:pPr>
              <w:pStyle w:val="ae"/>
              <w:rPr>
                <w:rFonts w:cs="Times New Roman"/>
                <w:bCs/>
              </w:rPr>
            </w:pPr>
            <w:r w:rsidRPr="0081478A">
              <w:rPr>
                <w:rFonts w:cs="Times New Roman"/>
                <w:b w:val="0"/>
                <w:bCs/>
              </w:rPr>
              <w:sym w:font="Symbol" w:char="F068"/>
            </w:r>
            <w:r w:rsidRPr="0081478A">
              <w:rPr>
                <w:rFonts w:cs="Times New Roman"/>
                <w:b w:val="0"/>
                <w:bCs/>
              </w:rPr>
              <w:t>2</w:t>
            </w:r>
          </w:p>
        </w:tc>
        <w:tc>
          <w:tcPr>
            <w:tcW w:w="1464" w:type="dxa"/>
            <w:shd w:val="clear" w:color="auto" w:fill="auto"/>
            <w:vAlign w:val="center"/>
            <w:hideMark/>
          </w:tcPr>
          <w:p w14:paraId="29CCBE5A" w14:textId="77777777" w:rsidR="000B54A2" w:rsidRPr="0081478A" w:rsidRDefault="000B54A2" w:rsidP="00921836">
            <w:pPr>
              <w:pStyle w:val="ae"/>
              <w:rPr>
                <w:rFonts w:cs="Times New Roman"/>
                <w:bCs/>
              </w:rPr>
            </w:pPr>
            <w:r w:rsidRPr="0081478A">
              <w:rPr>
                <w:rFonts w:cs="Times New Roman"/>
                <w:b w:val="0"/>
                <w:bCs/>
              </w:rPr>
              <w:t>95</w:t>
            </w:r>
          </w:p>
        </w:tc>
        <w:tc>
          <w:tcPr>
            <w:tcW w:w="1464" w:type="dxa"/>
            <w:shd w:val="clear" w:color="auto" w:fill="auto"/>
            <w:vAlign w:val="center"/>
            <w:hideMark/>
          </w:tcPr>
          <w:p w14:paraId="2EAF4947" w14:textId="77777777" w:rsidR="000B54A2" w:rsidRPr="0081478A" w:rsidRDefault="000B54A2" w:rsidP="00921836">
            <w:pPr>
              <w:pStyle w:val="ae"/>
              <w:rPr>
                <w:rFonts w:cs="Times New Roman"/>
                <w:bCs/>
              </w:rPr>
            </w:pPr>
            <w:r w:rsidRPr="0081478A">
              <w:rPr>
                <w:rFonts w:cs="Times New Roman"/>
                <w:b w:val="0"/>
                <w:bCs/>
              </w:rPr>
              <w:t>85</w:t>
            </w:r>
          </w:p>
        </w:tc>
        <w:tc>
          <w:tcPr>
            <w:tcW w:w="1465" w:type="dxa"/>
            <w:shd w:val="clear" w:color="auto" w:fill="auto"/>
            <w:vAlign w:val="center"/>
            <w:hideMark/>
          </w:tcPr>
          <w:p w14:paraId="159B06AE" w14:textId="77777777" w:rsidR="000B54A2" w:rsidRPr="0081478A" w:rsidRDefault="000B54A2" w:rsidP="00921836">
            <w:pPr>
              <w:pStyle w:val="ae"/>
              <w:rPr>
                <w:rFonts w:cs="Times New Roman"/>
                <w:bCs/>
              </w:rPr>
            </w:pPr>
            <w:r w:rsidRPr="0081478A">
              <w:rPr>
                <w:rFonts w:cs="Times New Roman"/>
                <w:b w:val="0"/>
                <w:bCs/>
              </w:rPr>
              <w:t>82</w:t>
            </w:r>
          </w:p>
        </w:tc>
      </w:tr>
    </w:tbl>
    <w:p w14:paraId="21338E2B" w14:textId="77777777" w:rsidR="000B54A2" w:rsidRPr="0081478A" w:rsidRDefault="000B54A2" w:rsidP="00921836">
      <w:pPr>
        <w:pStyle w:val="ae"/>
        <w:jc w:val="left"/>
        <w:rPr>
          <w:rFonts w:cs="Times New Roman"/>
          <w:bCs/>
        </w:rPr>
      </w:pPr>
      <w:r w:rsidRPr="0081478A">
        <w:rPr>
          <w:rFonts w:cs="Times New Roman"/>
          <w:b w:val="0"/>
          <w:bCs/>
        </w:rPr>
        <w:t>注：能效等级判定举例</w:t>
      </w:r>
    </w:p>
    <w:p w14:paraId="51E1C3CA" w14:textId="77777777" w:rsidR="000B54A2" w:rsidRPr="0081478A" w:rsidRDefault="000B54A2" w:rsidP="00921836">
      <w:pPr>
        <w:pStyle w:val="ae"/>
        <w:jc w:val="left"/>
        <w:rPr>
          <w:rFonts w:cs="Times New Roman"/>
          <w:bCs/>
        </w:rPr>
      </w:pPr>
      <w:r w:rsidRPr="0081478A">
        <w:rPr>
          <w:rFonts w:cs="Times New Roman"/>
          <w:b w:val="0"/>
          <w:bCs/>
        </w:rPr>
        <w:t>例</w:t>
      </w:r>
      <w:r w:rsidRPr="0081478A">
        <w:rPr>
          <w:rFonts w:cs="Times New Roman"/>
          <w:b w:val="0"/>
          <w:bCs/>
        </w:rPr>
        <w:t>1</w:t>
      </w:r>
      <w:r w:rsidRPr="0081478A">
        <w:rPr>
          <w:rFonts w:cs="Times New Roman"/>
          <w:b w:val="0"/>
          <w:bCs/>
        </w:rPr>
        <w:t>：某热水器产品实测</w:t>
      </w:r>
      <w:r w:rsidRPr="0081478A">
        <w:rPr>
          <w:rFonts w:cs="Times New Roman"/>
          <w:b w:val="0"/>
          <w:bCs/>
          <w:i/>
        </w:rPr>
        <w:sym w:font="Symbol" w:char="F068"/>
      </w:r>
      <w:r w:rsidRPr="0081478A">
        <w:rPr>
          <w:rFonts w:cs="Times New Roman"/>
          <w:b w:val="0"/>
          <w:bCs/>
          <w:vertAlign w:val="subscript"/>
        </w:rPr>
        <w:t>1</w:t>
      </w:r>
      <w:r w:rsidRPr="0081478A">
        <w:rPr>
          <w:rFonts w:cs="Times New Roman"/>
          <w:b w:val="0"/>
          <w:bCs/>
        </w:rPr>
        <w:t>=98%</w:t>
      </w:r>
      <w:r w:rsidRPr="0081478A">
        <w:rPr>
          <w:rFonts w:cs="Times New Roman"/>
          <w:b w:val="0"/>
          <w:bCs/>
        </w:rPr>
        <w:t>，</w:t>
      </w:r>
      <w:r w:rsidRPr="0081478A">
        <w:rPr>
          <w:rFonts w:cs="Times New Roman"/>
          <w:b w:val="0"/>
          <w:bCs/>
          <w:i/>
        </w:rPr>
        <w:sym w:font="Symbol" w:char="F068"/>
      </w:r>
      <w:r w:rsidRPr="0081478A">
        <w:rPr>
          <w:rFonts w:cs="Times New Roman"/>
          <w:b w:val="0"/>
          <w:bCs/>
          <w:vertAlign w:val="subscript"/>
        </w:rPr>
        <w:t>2</w:t>
      </w:r>
      <w:r w:rsidRPr="0081478A">
        <w:rPr>
          <w:rFonts w:cs="Times New Roman"/>
          <w:b w:val="0"/>
          <w:bCs/>
        </w:rPr>
        <w:t>=94%</w:t>
      </w:r>
      <w:r w:rsidRPr="0081478A">
        <w:rPr>
          <w:rFonts w:cs="Times New Roman"/>
          <w:b w:val="0"/>
          <w:bCs/>
        </w:rPr>
        <w:t>，</w:t>
      </w:r>
      <w:r w:rsidRPr="0081478A">
        <w:rPr>
          <w:rFonts w:cs="Times New Roman"/>
          <w:b w:val="0"/>
          <w:bCs/>
          <w:i/>
        </w:rPr>
        <w:sym w:font="Symbol" w:char="F068"/>
      </w:r>
      <w:r w:rsidRPr="0081478A">
        <w:rPr>
          <w:rFonts w:cs="Times New Roman"/>
          <w:b w:val="0"/>
          <w:bCs/>
          <w:vertAlign w:val="subscript"/>
        </w:rPr>
        <w:t>1</w:t>
      </w:r>
      <w:r w:rsidRPr="0081478A">
        <w:rPr>
          <w:rFonts w:cs="Times New Roman"/>
          <w:b w:val="0"/>
          <w:bCs/>
        </w:rPr>
        <w:t>和</w:t>
      </w:r>
      <w:r w:rsidRPr="0081478A">
        <w:rPr>
          <w:rFonts w:cs="Times New Roman"/>
          <w:b w:val="0"/>
          <w:bCs/>
          <w:i/>
        </w:rPr>
        <w:sym w:font="Symbol" w:char="F068"/>
      </w:r>
      <w:r w:rsidRPr="0081478A">
        <w:rPr>
          <w:rFonts w:cs="Times New Roman"/>
          <w:b w:val="0"/>
          <w:bCs/>
          <w:vertAlign w:val="subscript"/>
        </w:rPr>
        <w:t>2</w:t>
      </w:r>
      <w:r w:rsidRPr="0081478A">
        <w:rPr>
          <w:rFonts w:cs="Times New Roman"/>
          <w:b w:val="0"/>
          <w:bCs/>
        </w:rPr>
        <w:t>同时满足</w:t>
      </w:r>
      <w:r w:rsidRPr="0081478A">
        <w:rPr>
          <w:rFonts w:cs="Times New Roman"/>
          <w:b w:val="0"/>
          <w:bCs/>
        </w:rPr>
        <w:t>1</w:t>
      </w:r>
      <w:r w:rsidRPr="0081478A">
        <w:rPr>
          <w:rFonts w:cs="Times New Roman"/>
          <w:b w:val="0"/>
          <w:bCs/>
        </w:rPr>
        <w:t>级要求，判定为</w:t>
      </w:r>
      <w:r w:rsidRPr="0081478A">
        <w:rPr>
          <w:rFonts w:cs="Times New Roman"/>
          <w:b w:val="0"/>
          <w:bCs/>
        </w:rPr>
        <w:t>1</w:t>
      </w:r>
      <w:r w:rsidRPr="0081478A">
        <w:rPr>
          <w:rFonts w:cs="Times New Roman"/>
          <w:b w:val="0"/>
          <w:bCs/>
        </w:rPr>
        <w:t>级产品；</w:t>
      </w:r>
    </w:p>
    <w:p w14:paraId="5D20F0C0" w14:textId="77777777" w:rsidR="000B54A2" w:rsidRPr="0081478A" w:rsidRDefault="000B54A2" w:rsidP="00921836">
      <w:pPr>
        <w:pStyle w:val="ae"/>
        <w:jc w:val="left"/>
        <w:rPr>
          <w:rFonts w:cs="Times New Roman"/>
          <w:bCs/>
          <w:spacing w:val="-2"/>
        </w:rPr>
      </w:pPr>
      <w:r w:rsidRPr="0081478A">
        <w:rPr>
          <w:rFonts w:cs="Times New Roman"/>
          <w:b w:val="0"/>
          <w:bCs/>
        </w:rPr>
        <w:t>例</w:t>
      </w:r>
      <w:r w:rsidRPr="0081478A">
        <w:rPr>
          <w:rFonts w:cs="Times New Roman"/>
          <w:b w:val="0"/>
          <w:bCs/>
        </w:rPr>
        <w:t>2</w:t>
      </w:r>
      <w:r w:rsidRPr="0081478A">
        <w:rPr>
          <w:rFonts w:cs="Times New Roman"/>
          <w:b w:val="0"/>
          <w:bCs/>
        </w:rPr>
        <w:t>：</w:t>
      </w:r>
      <w:r w:rsidRPr="0081478A">
        <w:rPr>
          <w:rFonts w:cs="Times New Roman"/>
          <w:b w:val="0"/>
          <w:bCs/>
          <w:spacing w:val="-2"/>
        </w:rPr>
        <w:t>某热水器产品实测</w:t>
      </w:r>
      <w:r w:rsidRPr="0081478A">
        <w:rPr>
          <w:rFonts w:cs="Times New Roman"/>
          <w:b w:val="0"/>
          <w:bCs/>
          <w:i/>
          <w:spacing w:val="-2"/>
        </w:rPr>
        <w:sym w:font="Symbol" w:char="F068"/>
      </w:r>
      <w:r w:rsidRPr="0081478A">
        <w:rPr>
          <w:rFonts w:cs="Times New Roman"/>
          <w:b w:val="0"/>
          <w:bCs/>
          <w:spacing w:val="-2"/>
          <w:vertAlign w:val="subscript"/>
        </w:rPr>
        <w:t>1</w:t>
      </w:r>
      <w:r w:rsidRPr="0081478A">
        <w:rPr>
          <w:rFonts w:cs="Times New Roman"/>
          <w:b w:val="0"/>
          <w:bCs/>
          <w:spacing w:val="-2"/>
        </w:rPr>
        <w:t>=88%</w:t>
      </w:r>
      <w:r w:rsidRPr="0081478A">
        <w:rPr>
          <w:rFonts w:cs="Times New Roman"/>
          <w:b w:val="0"/>
          <w:bCs/>
          <w:spacing w:val="-2"/>
        </w:rPr>
        <w:t>，</w:t>
      </w:r>
      <w:r w:rsidRPr="0081478A">
        <w:rPr>
          <w:rFonts w:cs="Times New Roman"/>
          <w:b w:val="0"/>
          <w:bCs/>
          <w:i/>
          <w:spacing w:val="-2"/>
        </w:rPr>
        <w:sym w:font="Symbol" w:char="F068"/>
      </w:r>
      <w:r w:rsidRPr="0081478A">
        <w:rPr>
          <w:rFonts w:cs="Times New Roman"/>
          <w:b w:val="0"/>
          <w:bCs/>
          <w:spacing w:val="-2"/>
          <w:vertAlign w:val="subscript"/>
        </w:rPr>
        <w:t>2</w:t>
      </w:r>
      <w:r w:rsidRPr="0081478A">
        <w:rPr>
          <w:rFonts w:cs="Times New Roman"/>
          <w:b w:val="0"/>
          <w:bCs/>
          <w:spacing w:val="-2"/>
        </w:rPr>
        <w:t>=81%</w:t>
      </w:r>
      <w:r w:rsidRPr="0081478A">
        <w:rPr>
          <w:rFonts w:cs="Times New Roman"/>
          <w:b w:val="0"/>
          <w:bCs/>
          <w:spacing w:val="-2"/>
        </w:rPr>
        <w:t>，虽然</w:t>
      </w:r>
      <w:r w:rsidRPr="0081478A">
        <w:rPr>
          <w:rFonts w:cs="Times New Roman"/>
          <w:b w:val="0"/>
          <w:bCs/>
          <w:i/>
          <w:spacing w:val="-2"/>
        </w:rPr>
        <w:sym w:font="Symbol" w:char="F068"/>
      </w:r>
      <w:r w:rsidRPr="0081478A">
        <w:rPr>
          <w:rFonts w:cs="Times New Roman"/>
          <w:b w:val="0"/>
          <w:bCs/>
          <w:spacing w:val="-2"/>
          <w:vertAlign w:val="subscript"/>
        </w:rPr>
        <w:t>1</w:t>
      </w:r>
      <w:r w:rsidRPr="0081478A">
        <w:rPr>
          <w:rFonts w:cs="Times New Roman"/>
          <w:b w:val="0"/>
          <w:bCs/>
          <w:spacing w:val="-2"/>
        </w:rPr>
        <w:t>满足</w:t>
      </w:r>
      <w:r w:rsidRPr="0081478A">
        <w:rPr>
          <w:rFonts w:cs="Times New Roman"/>
          <w:b w:val="0"/>
          <w:bCs/>
          <w:spacing w:val="-2"/>
        </w:rPr>
        <w:t>3</w:t>
      </w:r>
      <w:r w:rsidRPr="0081478A">
        <w:rPr>
          <w:rFonts w:cs="Times New Roman"/>
          <w:b w:val="0"/>
          <w:bCs/>
          <w:spacing w:val="-2"/>
        </w:rPr>
        <w:t>级要求，但</w:t>
      </w:r>
      <w:r w:rsidRPr="0081478A">
        <w:rPr>
          <w:rFonts w:cs="Times New Roman"/>
          <w:b w:val="0"/>
          <w:bCs/>
          <w:i/>
          <w:spacing w:val="-2"/>
        </w:rPr>
        <w:sym w:font="Symbol" w:char="F068"/>
      </w:r>
      <w:r w:rsidRPr="0081478A">
        <w:rPr>
          <w:rFonts w:cs="Times New Roman"/>
          <w:b w:val="0"/>
          <w:bCs/>
          <w:spacing w:val="-2"/>
          <w:vertAlign w:val="subscript"/>
        </w:rPr>
        <w:t>2</w:t>
      </w:r>
      <w:r w:rsidRPr="0081478A">
        <w:rPr>
          <w:rFonts w:cs="Times New Roman"/>
          <w:b w:val="0"/>
          <w:bCs/>
          <w:spacing w:val="-2"/>
        </w:rPr>
        <w:t>不满足</w:t>
      </w:r>
      <w:r w:rsidRPr="0081478A">
        <w:rPr>
          <w:rFonts w:cs="Times New Roman"/>
          <w:b w:val="0"/>
          <w:bCs/>
          <w:spacing w:val="-2"/>
        </w:rPr>
        <w:t>3</w:t>
      </w:r>
      <w:r w:rsidRPr="0081478A">
        <w:rPr>
          <w:rFonts w:cs="Times New Roman"/>
          <w:b w:val="0"/>
          <w:bCs/>
          <w:spacing w:val="-2"/>
        </w:rPr>
        <w:t>级要求，故判定为不合格产品；</w:t>
      </w:r>
    </w:p>
    <w:p w14:paraId="4E17D87B" w14:textId="77777777" w:rsidR="00E905A0" w:rsidRDefault="000B54A2" w:rsidP="00E905A0">
      <w:pPr>
        <w:ind w:firstLine="420"/>
      </w:pPr>
      <w:r w:rsidRPr="0081478A">
        <w:t>例</w:t>
      </w:r>
      <w:r w:rsidRPr="0081478A">
        <w:t>3</w:t>
      </w:r>
      <w:r w:rsidRPr="0081478A">
        <w:t>：某采暖炉产品热水状态实测</w:t>
      </w:r>
      <w:r w:rsidRPr="0081478A">
        <w:rPr>
          <w:i/>
        </w:rPr>
        <w:sym w:font="Symbol" w:char="F068"/>
      </w:r>
      <w:r w:rsidRPr="0081478A">
        <w:rPr>
          <w:vertAlign w:val="subscript"/>
        </w:rPr>
        <w:t>1</w:t>
      </w:r>
      <w:r w:rsidRPr="0081478A">
        <w:t>=98%</w:t>
      </w:r>
      <w:r w:rsidRPr="0081478A">
        <w:t>，</w:t>
      </w:r>
      <w:r w:rsidRPr="0081478A">
        <w:rPr>
          <w:i/>
        </w:rPr>
        <w:sym w:font="Symbol" w:char="F068"/>
      </w:r>
      <w:r w:rsidRPr="0081478A">
        <w:rPr>
          <w:vertAlign w:val="subscript"/>
        </w:rPr>
        <w:t>2</w:t>
      </w:r>
      <w:r w:rsidRPr="0081478A">
        <w:t>=94%</w:t>
      </w:r>
      <w:r w:rsidRPr="0081478A">
        <w:t>，热水状态满足</w:t>
      </w:r>
      <w:r w:rsidRPr="0081478A">
        <w:t>1</w:t>
      </w:r>
      <w:r w:rsidRPr="0081478A">
        <w:t>级要求；采暖状态实测</w:t>
      </w:r>
      <w:r w:rsidRPr="0081478A">
        <w:rPr>
          <w:i/>
        </w:rPr>
        <w:sym w:font="Symbol" w:char="F068"/>
      </w:r>
      <w:r w:rsidRPr="0081478A">
        <w:rPr>
          <w:vertAlign w:val="subscript"/>
        </w:rPr>
        <w:t>1</w:t>
      </w:r>
      <w:r w:rsidRPr="0081478A">
        <w:t>=100%</w:t>
      </w:r>
      <w:r w:rsidRPr="0081478A">
        <w:t>，</w:t>
      </w:r>
      <w:r w:rsidRPr="0081478A">
        <w:rPr>
          <w:i/>
        </w:rPr>
        <w:sym w:font="Symbol" w:char="F068"/>
      </w:r>
      <w:r w:rsidRPr="0081478A">
        <w:rPr>
          <w:vertAlign w:val="subscript"/>
        </w:rPr>
        <w:t>2</w:t>
      </w:r>
      <w:r w:rsidRPr="0081478A">
        <w:t>=82%</w:t>
      </w:r>
      <w:r w:rsidRPr="0081478A">
        <w:t>，采暖状态为</w:t>
      </w:r>
      <w:r w:rsidRPr="0081478A">
        <w:t>3</w:t>
      </w:r>
      <w:r w:rsidRPr="0081478A">
        <w:t>级产品，故判定为</w:t>
      </w:r>
      <w:r w:rsidRPr="0081478A">
        <w:t>3</w:t>
      </w:r>
      <w:r w:rsidRPr="0081478A">
        <w:t>级产品。</w:t>
      </w:r>
    </w:p>
    <w:p w14:paraId="35430A40" w14:textId="30C34416" w:rsidR="00715ABB" w:rsidRPr="006C79E9" w:rsidRDefault="00F44390" w:rsidP="006C79E9">
      <w:pPr>
        <w:pStyle w:val="20"/>
      </w:pPr>
      <w:r w:rsidRPr="0081478A">
        <w:t>【评价方法】</w:t>
      </w:r>
    </w:p>
    <w:p w14:paraId="03D8D462"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预评价查阅相关设计文件；评价查阅相关竣工图、</w:t>
      </w:r>
      <w:bookmarkStart w:id="148" w:name="_Hlk34050764"/>
      <w:r w:rsidRPr="00530A11">
        <w:rPr>
          <w:rFonts w:cs="Times New Roman"/>
          <w:b w:val="0"/>
        </w:rPr>
        <w:t>主要产品型式检验报告</w:t>
      </w:r>
      <w:bookmarkEnd w:id="148"/>
      <w:r w:rsidRPr="00530A11">
        <w:rPr>
          <w:rFonts w:cs="Times New Roman"/>
          <w:b w:val="0"/>
        </w:rPr>
        <w:t>。</w:t>
      </w:r>
    </w:p>
    <w:p w14:paraId="0BD4641D" w14:textId="77777777" w:rsidR="00715ABB" w:rsidRPr="00E905A0" w:rsidRDefault="00715ABB">
      <w:pPr>
        <w:snapToGrid w:val="0"/>
        <w:ind w:firstLineChars="0" w:firstLine="0"/>
        <w:jc w:val="center"/>
        <w:rPr>
          <w:rFonts w:cs="Times New Roman"/>
          <w:b/>
          <w:bCs/>
          <w:szCs w:val="24"/>
        </w:rPr>
      </w:pPr>
    </w:p>
    <w:p w14:paraId="294CFF7F" w14:textId="77777777" w:rsidR="00C060F4" w:rsidRPr="00530A11" w:rsidRDefault="00C060F4" w:rsidP="00C060F4">
      <w:pPr>
        <w:pStyle w:val="4"/>
        <w:rPr>
          <w:rFonts w:cs="Times New Roman"/>
          <w:bCs w:val="0"/>
        </w:rPr>
      </w:pPr>
      <w:r w:rsidRPr="00530A11">
        <w:rPr>
          <w:rFonts w:cs="Times New Roman"/>
          <w:bCs w:val="0"/>
        </w:rPr>
        <w:t xml:space="preserve">7.2.6 </w:t>
      </w:r>
      <w:r w:rsidRPr="00530A11">
        <w:rPr>
          <w:rFonts w:cs="Times New Roman"/>
          <w:bCs w:val="0"/>
        </w:rPr>
        <w:t>采取有效措施降低供暖空调系统的末端系统及输配系统的能耗，且</w:t>
      </w:r>
      <w:r w:rsidRPr="00530A11">
        <w:rPr>
          <w:rFonts w:cs="Times New Roman" w:hint="eastAsia"/>
          <w:bCs w:val="0"/>
        </w:rPr>
        <w:t>供暖空调系统应采用变流量输配系统，过渡季节通风量需满足余热去除需求</w:t>
      </w:r>
      <w:r w:rsidRPr="00530A11">
        <w:rPr>
          <w:rFonts w:cs="Times New Roman"/>
          <w:bCs w:val="0"/>
        </w:rPr>
        <w:t>。评价总分值为</w:t>
      </w:r>
      <w:r w:rsidRPr="00530A11">
        <w:rPr>
          <w:rFonts w:cs="Times New Roman"/>
          <w:bCs w:val="0"/>
        </w:rPr>
        <w:t>5</w:t>
      </w:r>
      <w:r w:rsidRPr="00530A11">
        <w:rPr>
          <w:rFonts w:cs="Times New Roman"/>
          <w:bCs w:val="0"/>
        </w:rPr>
        <w:t>分，并按以下规则分别评分并累计：</w:t>
      </w:r>
    </w:p>
    <w:p w14:paraId="09F264FC"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通风空调系统风机的单位风量耗功率比现行国家标准《公共建筑节能设计标准》</w:t>
      </w:r>
      <w:r w:rsidRPr="00C060F4">
        <w:rPr>
          <w:rFonts w:ascii="Times New Roman" w:hAnsi="Times New Roman" w:cs="Times New Roman"/>
          <w:bCs/>
          <w:color w:val="auto"/>
        </w:rPr>
        <w:t xml:space="preserve">GB </w:t>
      </w:r>
      <w:r w:rsidRPr="00C060F4">
        <w:rPr>
          <w:rFonts w:ascii="Times New Roman" w:hAnsi="Times New Roman" w:cs="Times New Roman"/>
          <w:bCs/>
          <w:color w:val="auto"/>
        </w:rPr>
        <w:lastRenderedPageBreak/>
        <w:t>50189</w:t>
      </w:r>
      <w:r w:rsidRPr="00C060F4">
        <w:rPr>
          <w:rFonts w:ascii="Times New Roman" w:hAnsi="Times New Roman" w:cs="Times New Roman"/>
          <w:bCs/>
          <w:color w:val="auto"/>
        </w:rPr>
        <w:t>的规定低</w:t>
      </w:r>
      <w:r w:rsidRPr="00C060F4">
        <w:rPr>
          <w:rFonts w:ascii="Times New Roman" w:hAnsi="Times New Roman" w:cs="Times New Roman"/>
          <w:bCs/>
          <w:color w:val="auto"/>
        </w:rPr>
        <w:t>20</w:t>
      </w:r>
      <w:r w:rsidRPr="00C060F4">
        <w:rPr>
          <w:rFonts w:ascii="Times New Roman" w:hAnsi="Times New Roman" w:cs="Times New Roman"/>
          <w:bCs/>
          <w:color w:val="auto"/>
        </w:rPr>
        <w:t>％，得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3318D3B7"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集中供暖系统热水循环泵的耗电输热比、空调冷热水系统循环水泵的耗电输冷</w:t>
      </w:r>
      <w:r w:rsidRPr="00C060F4">
        <w:rPr>
          <w:rFonts w:ascii="Times New Roman" w:hAnsi="Times New Roman" w:cs="Times New Roman"/>
          <w:bCs/>
          <w:color w:val="auto"/>
        </w:rPr>
        <w:t>(</w:t>
      </w:r>
      <w:r w:rsidRPr="00C060F4">
        <w:rPr>
          <w:rFonts w:ascii="Times New Roman" w:hAnsi="Times New Roman" w:cs="Times New Roman"/>
          <w:bCs/>
          <w:color w:val="auto"/>
        </w:rPr>
        <w:t>热</w:t>
      </w:r>
      <w:r w:rsidRPr="00C060F4">
        <w:rPr>
          <w:rFonts w:ascii="Times New Roman" w:hAnsi="Times New Roman" w:cs="Times New Roman"/>
          <w:bCs/>
          <w:color w:val="auto"/>
        </w:rPr>
        <w:t>)</w:t>
      </w:r>
      <w:r w:rsidRPr="00C060F4">
        <w:rPr>
          <w:rFonts w:ascii="Times New Roman" w:hAnsi="Times New Roman" w:cs="Times New Roman"/>
          <w:bCs/>
          <w:color w:val="auto"/>
        </w:rPr>
        <w:t>比比现行国家标准《民用建筑供暖通风与空气调节设计规范》</w:t>
      </w:r>
      <w:r w:rsidRPr="00C060F4">
        <w:rPr>
          <w:rFonts w:ascii="Times New Roman" w:hAnsi="Times New Roman" w:cs="Times New Roman"/>
          <w:bCs/>
          <w:color w:val="auto"/>
        </w:rPr>
        <w:t>GB 50736</w:t>
      </w:r>
      <w:r w:rsidRPr="00C060F4">
        <w:rPr>
          <w:rFonts w:ascii="Times New Roman" w:hAnsi="Times New Roman" w:cs="Times New Roman"/>
          <w:bCs/>
          <w:color w:val="auto"/>
        </w:rPr>
        <w:t>规定值低</w:t>
      </w:r>
      <w:r w:rsidRPr="00C060F4">
        <w:rPr>
          <w:rFonts w:ascii="Times New Roman" w:hAnsi="Times New Roman" w:cs="Times New Roman"/>
          <w:bCs/>
          <w:color w:val="auto"/>
        </w:rPr>
        <w:t>20</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w:t>
      </w:r>
    </w:p>
    <w:p w14:paraId="07A63F3D" w14:textId="77777777" w:rsidR="00715ABB" w:rsidRPr="0081478A" w:rsidRDefault="00F44390" w:rsidP="006C79E9">
      <w:pPr>
        <w:pStyle w:val="20"/>
      </w:pPr>
      <w:r w:rsidRPr="0081478A">
        <w:t>【条文说明】</w:t>
      </w:r>
    </w:p>
    <w:p w14:paraId="55AE5B5A" w14:textId="77777777" w:rsidR="0052438D" w:rsidRPr="00530A11" w:rsidRDefault="0052438D" w:rsidP="0052438D">
      <w:pPr>
        <w:ind w:firstLine="420"/>
        <w:rPr>
          <w:szCs w:val="24"/>
        </w:rPr>
      </w:pPr>
      <w:r w:rsidRPr="00530A11">
        <w:t>本条适用于各类民用建筑的预评价、评价。</w:t>
      </w:r>
    </w:p>
    <w:p w14:paraId="1CF37B32"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5.2.5</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5.2.6</w:t>
      </w:r>
      <w:r w:rsidRPr="00530A11">
        <w:rPr>
          <w:rFonts w:cs="Times New Roman"/>
        </w:rPr>
        <w:t>条的基础上发展而来。</w:t>
      </w:r>
    </w:p>
    <w:p w14:paraId="43C9DC12" w14:textId="77777777" w:rsidR="0052438D" w:rsidRPr="00530A11" w:rsidRDefault="0052438D" w:rsidP="0052438D">
      <w:pPr>
        <w:ind w:firstLine="420"/>
        <w:rPr>
          <w:rFonts w:cs="Times New Roman"/>
        </w:rPr>
      </w:pPr>
      <w:r w:rsidRPr="00530A11">
        <w:rPr>
          <w:rFonts w:cs="Times New Roman"/>
        </w:rPr>
        <w:t>本条首先要求项目中的空调供暖系统应采取必要的措施适应系统的负荷变化，实现动态可调，尤其是针对过渡季节应采取足够的措施满足调节需求。因此，要求空调系统需设置输配系统的变流量调节，包括变制冷剂流量、变水量、变风量等；对于采用过渡季通风调节的建筑，应保证其通风系统的通风量设计满足余热去除的需求。对于分体式空调，如选用非变频机组，本条不予得分；对于新风可调系统，未进行过渡季通风量核算的，本条不予得分。本条核查对象包括分体式空调、多联机空调（热泵）机组、单元式空气调节机、新风机等。</w:t>
      </w:r>
    </w:p>
    <w:p w14:paraId="320C6D24" w14:textId="77777777" w:rsidR="0052438D" w:rsidRPr="00530A11" w:rsidRDefault="0052438D" w:rsidP="0052438D">
      <w:pPr>
        <w:ind w:firstLine="420"/>
        <w:rPr>
          <w:rFonts w:cs="Times New Roman"/>
        </w:rPr>
      </w:pPr>
      <w:r w:rsidRPr="00530A11">
        <w:rPr>
          <w:rFonts w:cs="Times New Roman" w:hint="eastAsia"/>
        </w:rPr>
        <w:t>本条主要判断参评项目是否采取了大温差空调制冷系统，或者更高效率的风机、水泵，评价其对输配系统能耗的影响。</w:t>
      </w:r>
    </w:p>
    <w:p w14:paraId="21C3C650" w14:textId="77777777" w:rsidR="0052438D" w:rsidRPr="00530A11" w:rsidRDefault="0052438D" w:rsidP="0052438D">
      <w:pPr>
        <w:ind w:firstLine="420"/>
        <w:rPr>
          <w:rFonts w:cs="Times New Roman"/>
        </w:rPr>
      </w:pPr>
      <w:r w:rsidRPr="00530A11">
        <w:rPr>
          <w:rFonts w:cs="Times New Roman"/>
        </w:rPr>
        <w:t>本条第</w:t>
      </w:r>
      <w:r w:rsidRPr="00530A11">
        <w:rPr>
          <w:rFonts w:cs="Times New Roman"/>
        </w:rPr>
        <w:t>1</w:t>
      </w:r>
      <w:r w:rsidRPr="00530A11">
        <w:rPr>
          <w:rFonts w:cs="Times New Roman"/>
        </w:rPr>
        <w:t>款，对于采用变频分体空调和变制冷剂流量的多联机空调</w:t>
      </w:r>
      <w:r w:rsidRPr="00530A11">
        <w:rPr>
          <w:rFonts w:cs="Times New Roman"/>
        </w:rPr>
        <w:t>(</w:t>
      </w:r>
      <w:r w:rsidRPr="00530A11">
        <w:rPr>
          <w:rFonts w:cs="Times New Roman"/>
        </w:rPr>
        <w:t>热泵</w:t>
      </w:r>
      <w:r w:rsidRPr="00530A11">
        <w:rPr>
          <w:rFonts w:cs="Times New Roman"/>
        </w:rPr>
        <w:t>)</w:t>
      </w:r>
      <w:r w:rsidRPr="00530A11">
        <w:rPr>
          <w:rFonts w:cs="Times New Roman"/>
        </w:rPr>
        <w:t>机组的，本款可直接得分，对于设置新风机的项目，新风机需参与评价；第</w:t>
      </w:r>
      <w:r w:rsidRPr="00530A11">
        <w:rPr>
          <w:rFonts w:cs="Times New Roman"/>
        </w:rPr>
        <w:t>2</w:t>
      </w:r>
      <w:r w:rsidRPr="00530A11">
        <w:rPr>
          <w:rFonts w:cs="Times New Roman"/>
        </w:rPr>
        <w:t>款，对于非集中采暖空调系统的项目，如分体空调，</w:t>
      </w:r>
      <w:r w:rsidRPr="00530A11">
        <w:rPr>
          <w:rFonts w:cs="Times New Roman" w:hint="eastAsia"/>
        </w:rPr>
        <w:t>当</w:t>
      </w:r>
      <w:r w:rsidRPr="00530A11">
        <w:rPr>
          <w:rFonts w:cs="Times New Roman"/>
        </w:rPr>
        <w:t>采用变频分体空调本款可直接得分。</w:t>
      </w:r>
    </w:p>
    <w:p w14:paraId="6E9BA26F"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1</w:t>
      </w:r>
      <w:r w:rsidRPr="00530A11">
        <w:rPr>
          <w:rFonts w:cs="Times New Roman"/>
        </w:rPr>
        <w:t>款，应按照国家标准《公共建筑节能设计标准》</w:t>
      </w:r>
      <w:r w:rsidRPr="00530A11">
        <w:rPr>
          <w:rFonts w:cs="Times New Roman"/>
        </w:rPr>
        <w:t>GB 50189-2015</w:t>
      </w:r>
      <w:r w:rsidRPr="00530A11">
        <w:rPr>
          <w:rFonts w:cs="Times New Roman"/>
        </w:rPr>
        <w:t>中的第</w:t>
      </w:r>
      <w:r w:rsidRPr="00530A11">
        <w:rPr>
          <w:rFonts w:cs="Times New Roman"/>
        </w:rPr>
        <w:t>4.3.22</w:t>
      </w:r>
      <w:r w:rsidRPr="00530A11">
        <w:rPr>
          <w:rFonts w:cs="Times New Roman"/>
        </w:rPr>
        <w:t>条对风机单位耗功率的要求，进行评价。</w:t>
      </w:r>
    </w:p>
    <w:p w14:paraId="63B35F14"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2</w:t>
      </w:r>
      <w:r w:rsidRPr="00530A11">
        <w:rPr>
          <w:rFonts w:cs="Times New Roman"/>
        </w:rPr>
        <w:t>款，应按照国家标准《民用建筑供暖通风与空气调节设计规范》</w:t>
      </w:r>
      <w:r w:rsidRPr="00530A11">
        <w:rPr>
          <w:rFonts w:cs="Times New Roman"/>
        </w:rPr>
        <w:t>GB 50736-2012</w:t>
      </w:r>
      <w:r w:rsidRPr="00530A11">
        <w:rPr>
          <w:rFonts w:cs="Times New Roman"/>
        </w:rPr>
        <w:t>中的第</w:t>
      </w:r>
      <w:r w:rsidRPr="00530A11">
        <w:rPr>
          <w:rFonts w:cs="Times New Roman"/>
        </w:rPr>
        <w:t>8.5.12</w:t>
      </w:r>
      <w:r w:rsidRPr="00530A11">
        <w:rPr>
          <w:rFonts w:cs="Times New Roman"/>
        </w:rPr>
        <w:t>条和第</w:t>
      </w:r>
      <w:r w:rsidRPr="00530A11">
        <w:rPr>
          <w:rFonts w:cs="Times New Roman"/>
        </w:rPr>
        <w:t>8.11.13</w:t>
      </w:r>
      <w:r w:rsidRPr="00530A11">
        <w:rPr>
          <w:rFonts w:cs="Times New Roman"/>
        </w:rPr>
        <w:t>条对集中供暖系统热水循环泵的耗电输热比、空调冷热水系统循环水泵的耗电输冷</w:t>
      </w:r>
      <w:r w:rsidRPr="00530A11">
        <w:rPr>
          <w:rFonts w:cs="Times New Roman"/>
        </w:rPr>
        <w:t>(</w:t>
      </w:r>
      <w:r w:rsidRPr="00530A11">
        <w:rPr>
          <w:rFonts w:cs="Times New Roman"/>
        </w:rPr>
        <w:t>热</w:t>
      </w:r>
      <w:r w:rsidRPr="00530A11">
        <w:rPr>
          <w:rFonts w:cs="Times New Roman"/>
        </w:rPr>
        <w:t>)</w:t>
      </w:r>
      <w:r w:rsidRPr="00530A11">
        <w:rPr>
          <w:rFonts w:cs="Times New Roman"/>
        </w:rPr>
        <w:t>比的要求进行评价。</w:t>
      </w:r>
    </w:p>
    <w:p w14:paraId="73536BB0" w14:textId="77777777" w:rsidR="0052438D" w:rsidRPr="00530A11" w:rsidRDefault="0052438D" w:rsidP="0052438D">
      <w:pPr>
        <w:ind w:firstLine="420"/>
        <w:rPr>
          <w:rFonts w:cs="Times New Roman"/>
        </w:rPr>
      </w:pPr>
      <w:r w:rsidRPr="00530A11">
        <w:rPr>
          <w:rFonts w:cs="Times New Roman"/>
        </w:rPr>
        <w:t>本条提出对以上参数的更优化要求，通过末端系统及输配系统的优化设计，降低末端和输配能耗。</w:t>
      </w:r>
    </w:p>
    <w:p w14:paraId="4BC3D339" w14:textId="7D93A868" w:rsidR="00E443CB" w:rsidRPr="006C79E9" w:rsidRDefault="00E443CB" w:rsidP="006C79E9">
      <w:pPr>
        <w:pStyle w:val="20"/>
      </w:pPr>
      <w:r w:rsidRPr="0081478A">
        <w:t>【评价要点】</w:t>
      </w:r>
    </w:p>
    <w:p w14:paraId="24B0A16F" w14:textId="306B777D" w:rsidR="0046107D" w:rsidRPr="0081478A" w:rsidRDefault="00F810C6" w:rsidP="00921836">
      <w:pPr>
        <w:ind w:firstLine="420"/>
        <w:rPr>
          <w:rFonts w:cs="Times New Roman"/>
        </w:rPr>
      </w:pPr>
      <w:r w:rsidRPr="0081478A">
        <w:rPr>
          <w:rFonts w:cs="Times New Roman"/>
        </w:rPr>
        <w:t>1.</w:t>
      </w:r>
      <w:r w:rsidR="0046107D" w:rsidRPr="0081478A">
        <w:rPr>
          <w:rFonts w:cs="Times New Roman"/>
        </w:rPr>
        <w:t>车库通风系统风机效率应达到《通风机能效限定值及能效等级》（</w:t>
      </w:r>
      <w:r w:rsidR="0046107D" w:rsidRPr="0081478A">
        <w:rPr>
          <w:rFonts w:cs="Times New Roman"/>
        </w:rPr>
        <w:t>GB 19761—2009</w:t>
      </w:r>
      <w:r w:rsidR="0046107D" w:rsidRPr="0081478A">
        <w:rPr>
          <w:rFonts w:cs="Times New Roman"/>
        </w:rPr>
        <w:t>）二级能效要求。车库通风系统风机的单位风量耗功率</w:t>
      </w:r>
      <w:r w:rsidR="004802E4" w:rsidRPr="004802E4">
        <w:rPr>
          <w:rFonts w:cs="Times New Roman" w:hint="eastAsia"/>
        </w:rPr>
        <w:t>计算及其限值应</w:t>
      </w:r>
      <w:r w:rsidR="0046107D" w:rsidRPr="0081478A">
        <w:rPr>
          <w:rFonts w:cs="Times New Roman"/>
        </w:rPr>
        <w:t>符合现行国家标准《公共建筑节能设计标准》（</w:t>
      </w:r>
      <w:r w:rsidR="0046107D" w:rsidRPr="0081478A">
        <w:rPr>
          <w:rFonts w:cs="Times New Roman"/>
        </w:rPr>
        <w:t>GB 50189—2015</w:t>
      </w:r>
      <w:r w:rsidR="0046107D" w:rsidRPr="0081478A">
        <w:rPr>
          <w:rFonts w:cs="Times New Roman"/>
        </w:rPr>
        <w:t>）的规定。</w:t>
      </w:r>
    </w:p>
    <w:p w14:paraId="5EA6F642" w14:textId="14760D5B" w:rsidR="00F810C6" w:rsidRPr="0081478A" w:rsidRDefault="00F810C6" w:rsidP="00E443CB">
      <w:pPr>
        <w:ind w:firstLine="420"/>
        <w:rPr>
          <w:rFonts w:cs="Times New Roman"/>
        </w:rPr>
      </w:pPr>
      <w:r w:rsidRPr="0081478A">
        <w:rPr>
          <w:rFonts w:cs="Times New Roman"/>
        </w:rPr>
        <w:lastRenderedPageBreak/>
        <w:t>2.</w:t>
      </w:r>
      <w:r w:rsidRPr="0081478A">
        <w:rPr>
          <w:rFonts w:cs="Times New Roman"/>
        </w:rPr>
        <w:t>计算方法如下：</w:t>
      </w:r>
    </w:p>
    <w:p w14:paraId="328B1776" w14:textId="080FBBDE" w:rsidR="00E443CB" w:rsidRPr="0081478A" w:rsidRDefault="00E443CB" w:rsidP="00E443CB">
      <w:pPr>
        <w:ind w:firstLine="420"/>
        <w:rPr>
          <w:rFonts w:cs="Times New Roman"/>
        </w:rPr>
      </w:pPr>
      <w:r w:rsidRPr="0081478A">
        <w:rPr>
          <w:rFonts w:cs="Times New Roman"/>
        </w:rPr>
        <w:t>1</w:t>
      </w:r>
      <w:r w:rsidRPr="0081478A">
        <w:rPr>
          <w:rFonts w:cs="Times New Roman"/>
        </w:rPr>
        <w:t>）在选配集中供暖系统的循环水泵时，应计算集中供暖系统耗电输热比（</w:t>
      </w:r>
      <w:r w:rsidRPr="0081478A">
        <w:rPr>
          <w:rFonts w:cs="Times New Roman"/>
        </w:rPr>
        <w:t>EHR-h</w:t>
      </w:r>
      <w:r w:rsidRPr="0081478A">
        <w:rPr>
          <w:rFonts w:cs="Times New Roman"/>
        </w:rPr>
        <w:t>），并应标注在施工图的设计说明中。集中供暖系统耗电输热比为</w:t>
      </w:r>
    </w:p>
    <w:p w14:paraId="1D0FD6F9" w14:textId="77777777" w:rsidR="00E443CB" w:rsidRPr="0081478A" w:rsidRDefault="00E443CB" w:rsidP="00AD3B18">
      <w:pPr>
        <w:ind w:firstLine="420"/>
        <w:jc w:val="center"/>
        <w:rPr>
          <w:rFonts w:cs="Times New Roman"/>
        </w:rPr>
      </w:pPr>
      <w:r w:rsidRPr="0081478A">
        <w:rPr>
          <w:rFonts w:cs="Times New Roman"/>
          <w:noProof/>
        </w:rPr>
        <w:drawing>
          <wp:inline distT="0" distB="0" distL="0" distR="0" wp14:anchorId="23B660EC" wp14:editId="26B0F5DC">
            <wp:extent cx="3185160" cy="243840"/>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85160" cy="243840"/>
                    </a:xfrm>
                    <a:prstGeom prst="rect">
                      <a:avLst/>
                    </a:prstGeom>
                    <a:noFill/>
                    <a:ln>
                      <a:noFill/>
                    </a:ln>
                  </pic:spPr>
                </pic:pic>
              </a:graphicData>
            </a:graphic>
          </wp:inline>
        </w:drawing>
      </w:r>
    </w:p>
    <w:p w14:paraId="03B6BE6A" w14:textId="77777777" w:rsidR="00E443CB" w:rsidRPr="0081478A" w:rsidRDefault="00E443CB" w:rsidP="00E443CB">
      <w:pPr>
        <w:ind w:firstLine="420"/>
        <w:rPr>
          <w:rFonts w:cs="Times New Roman"/>
        </w:rPr>
      </w:pPr>
      <w:r w:rsidRPr="0081478A">
        <w:rPr>
          <w:rFonts w:cs="Times New Roman"/>
        </w:rPr>
        <w:t>式中，</w:t>
      </w:r>
      <w:r w:rsidRPr="0081478A">
        <w:rPr>
          <w:rFonts w:cs="Times New Roman"/>
          <w:noProof/>
          <w:position w:val="-4"/>
        </w:rPr>
        <w:drawing>
          <wp:inline distT="0" distB="0" distL="0" distR="0" wp14:anchorId="6DD4AE45" wp14:editId="132E737F">
            <wp:extent cx="434340" cy="152400"/>
            <wp:effectExtent l="0" t="0" r="381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340" cy="1524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集中供暖系统耗电输热比；</w:t>
      </w:r>
    </w:p>
    <w:p w14:paraId="14B3A594" w14:textId="77777777" w:rsidR="00E443CB" w:rsidRPr="0081478A" w:rsidRDefault="00E443CB" w:rsidP="00E443CB">
      <w:pPr>
        <w:ind w:firstLine="420"/>
        <w:rPr>
          <w:rFonts w:cs="Times New Roman"/>
        </w:rPr>
      </w:pPr>
      <w:r w:rsidRPr="0081478A">
        <w:rPr>
          <w:rFonts w:cs="Times New Roman"/>
          <w:i/>
        </w:rPr>
        <w:t>G</w:t>
      </w:r>
      <w:r w:rsidRPr="0081478A">
        <w:rPr>
          <w:rFonts w:cs="Times New Roman"/>
          <w:spacing w:val="-8"/>
        </w:rPr>
        <w:t>—</w:t>
      </w:r>
      <w:r w:rsidRPr="0081478A">
        <w:rPr>
          <w:rFonts w:cs="Times New Roman"/>
        </w:rPr>
        <w:t>—</w:t>
      </w:r>
      <w:r w:rsidRPr="0081478A">
        <w:rPr>
          <w:rFonts w:cs="Times New Roman"/>
        </w:rPr>
        <w:t>每台运行水泵的设计流量，</w:t>
      </w:r>
      <w:r w:rsidRPr="0081478A">
        <w:rPr>
          <w:rFonts w:cs="Times New Roman"/>
        </w:rPr>
        <w:t>m</w:t>
      </w:r>
      <w:r w:rsidRPr="0081478A">
        <w:rPr>
          <w:rFonts w:cs="Times New Roman"/>
          <w:vertAlign w:val="superscript"/>
        </w:rPr>
        <w:t>3</w:t>
      </w:r>
      <w:r w:rsidRPr="0081478A">
        <w:rPr>
          <w:rFonts w:cs="Times New Roman"/>
        </w:rPr>
        <w:t>/h</w:t>
      </w:r>
      <w:r w:rsidRPr="0081478A">
        <w:rPr>
          <w:rFonts w:cs="Times New Roman"/>
        </w:rPr>
        <w:t>；</w:t>
      </w:r>
    </w:p>
    <w:p w14:paraId="4AE3D3AA" w14:textId="77777777" w:rsidR="00E443CB" w:rsidRPr="0081478A" w:rsidRDefault="00E443CB" w:rsidP="00E443CB">
      <w:pPr>
        <w:ind w:firstLine="420"/>
        <w:rPr>
          <w:rFonts w:cs="Times New Roman"/>
        </w:rPr>
      </w:pPr>
      <w:r w:rsidRPr="0081478A">
        <w:rPr>
          <w:rFonts w:cs="Times New Roman"/>
          <w:i/>
        </w:rPr>
        <w:t>H</w:t>
      </w:r>
      <w:r w:rsidRPr="0081478A">
        <w:rPr>
          <w:rFonts w:cs="Times New Roman"/>
          <w:spacing w:val="-8"/>
        </w:rPr>
        <w:t>—</w:t>
      </w:r>
      <w:r w:rsidRPr="0081478A">
        <w:rPr>
          <w:rFonts w:cs="Times New Roman"/>
        </w:rPr>
        <w:t>—</w:t>
      </w:r>
      <w:r w:rsidRPr="0081478A">
        <w:rPr>
          <w:rFonts w:cs="Times New Roman"/>
        </w:rPr>
        <w:t>每台运行水泵对应的设计扬程，</w:t>
      </w:r>
      <w:r w:rsidRPr="0081478A">
        <w:rPr>
          <w:rFonts w:cs="Times New Roman"/>
        </w:rPr>
        <w:t>mH</w:t>
      </w:r>
      <w:r w:rsidRPr="0081478A">
        <w:rPr>
          <w:rFonts w:cs="Times New Roman"/>
          <w:vertAlign w:val="subscript"/>
        </w:rPr>
        <w:t>2</w:t>
      </w:r>
      <w:r w:rsidRPr="0081478A">
        <w:rPr>
          <w:rFonts w:cs="Times New Roman"/>
        </w:rPr>
        <w:t>O</w:t>
      </w:r>
      <w:r w:rsidRPr="0081478A">
        <w:rPr>
          <w:rFonts w:cs="Times New Roman"/>
        </w:rPr>
        <w:t>；</w:t>
      </w:r>
    </w:p>
    <w:p w14:paraId="213C03BE" w14:textId="77777777" w:rsidR="00E443CB" w:rsidRPr="0081478A" w:rsidRDefault="00E443CB" w:rsidP="00E443CB">
      <w:pPr>
        <w:ind w:firstLine="420"/>
        <w:rPr>
          <w:rFonts w:cs="Times New Roman"/>
        </w:rPr>
      </w:pPr>
      <w:r w:rsidRPr="0081478A">
        <w:rPr>
          <w:rFonts w:cs="Times New Roman"/>
          <w:noProof/>
          <w:position w:val="-10"/>
        </w:rPr>
        <w:drawing>
          <wp:inline distT="0" distB="0" distL="0" distR="0" wp14:anchorId="78118E4C" wp14:editId="548CFE88">
            <wp:extent cx="152400" cy="205740"/>
            <wp:effectExtent l="0" t="0" r="0" b="381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每台运行水泵对应的设计工作点效率；</w:t>
      </w:r>
    </w:p>
    <w:p w14:paraId="1668417B" w14:textId="77777777" w:rsidR="00E443CB" w:rsidRPr="0081478A" w:rsidRDefault="00E443CB" w:rsidP="00E443CB">
      <w:pPr>
        <w:ind w:firstLine="420"/>
        <w:rPr>
          <w:rFonts w:cs="Times New Roman"/>
        </w:rPr>
      </w:pPr>
      <w:r w:rsidRPr="0081478A">
        <w:rPr>
          <w:rFonts w:cs="Times New Roman"/>
          <w:i/>
        </w:rPr>
        <w:t>Q</w:t>
      </w:r>
      <w:r w:rsidRPr="0081478A">
        <w:rPr>
          <w:rFonts w:cs="Times New Roman"/>
          <w:spacing w:val="-8"/>
        </w:rPr>
        <w:t>—</w:t>
      </w:r>
      <w:r w:rsidRPr="0081478A">
        <w:rPr>
          <w:rFonts w:cs="Times New Roman"/>
        </w:rPr>
        <w:t>—</w:t>
      </w:r>
      <w:r w:rsidRPr="0081478A">
        <w:rPr>
          <w:rFonts w:cs="Times New Roman"/>
        </w:rPr>
        <w:t>设计热负荷，</w:t>
      </w:r>
      <w:r w:rsidRPr="0081478A">
        <w:rPr>
          <w:rFonts w:cs="Times New Roman"/>
        </w:rPr>
        <w:t>kW</w:t>
      </w:r>
      <w:r w:rsidRPr="0081478A">
        <w:rPr>
          <w:rFonts w:cs="Times New Roman"/>
        </w:rPr>
        <w:t>；</w:t>
      </w:r>
    </w:p>
    <w:p w14:paraId="38A4BAAA" w14:textId="77777777" w:rsidR="00E443CB" w:rsidRPr="0081478A" w:rsidRDefault="00E443CB" w:rsidP="00E443CB">
      <w:pPr>
        <w:ind w:firstLine="420"/>
        <w:rPr>
          <w:rFonts w:cs="Times New Roman"/>
        </w:rPr>
      </w:pPr>
      <w:r w:rsidRPr="0081478A">
        <w:rPr>
          <w:rFonts w:cs="Times New Roman"/>
          <w:noProof/>
          <w:position w:val="-4"/>
        </w:rPr>
        <w:drawing>
          <wp:inline distT="0" distB="0" distL="0" distR="0" wp14:anchorId="400D8A3D" wp14:editId="627D100A">
            <wp:extent cx="213360" cy="152400"/>
            <wp:effectExtent l="0" t="0" r="0" b="0"/>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设计供回水温差，</w:t>
      </w:r>
      <w:r w:rsidRPr="0081478A">
        <w:rPr>
          <w:rFonts w:cs="Times New Roman"/>
        </w:rPr>
        <w:t>℃</w:t>
      </w:r>
      <w:r w:rsidRPr="0081478A">
        <w:rPr>
          <w:rFonts w:cs="Times New Roman"/>
        </w:rPr>
        <w:t>；</w:t>
      </w:r>
    </w:p>
    <w:p w14:paraId="2299E154" w14:textId="77777777" w:rsidR="00E443CB" w:rsidRPr="0081478A" w:rsidRDefault="00E443CB" w:rsidP="00E443CB">
      <w:pPr>
        <w:ind w:firstLine="420"/>
        <w:rPr>
          <w:rFonts w:cs="Times New Roman"/>
        </w:rPr>
      </w:pPr>
      <w:r w:rsidRPr="0081478A">
        <w:rPr>
          <w:rFonts w:cs="Times New Roman"/>
          <w:i/>
        </w:rPr>
        <w:t>A</w:t>
      </w:r>
      <w:r w:rsidRPr="0081478A">
        <w:rPr>
          <w:rFonts w:cs="Times New Roman"/>
          <w:spacing w:val="-8"/>
        </w:rPr>
        <w:t>—</w:t>
      </w:r>
      <w:r w:rsidRPr="0081478A">
        <w:rPr>
          <w:rFonts w:cs="Times New Roman"/>
        </w:rPr>
        <w:t>—</w:t>
      </w:r>
      <w:r w:rsidRPr="0081478A">
        <w:rPr>
          <w:rFonts w:cs="Times New Roman"/>
        </w:rPr>
        <w:t>与水泵流量有关的计算系数；</w:t>
      </w:r>
    </w:p>
    <w:p w14:paraId="046617A1" w14:textId="77777777" w:rsidR="00E443CB" w:rsidRPr="0081478A" w:rsidRDefault="00E443CB" w:rsidP="00E443CB">
      <w:pPr>
        <w:ind w:firstLine="420"/>
        <w:rPr>
          <w:rFonts w:cs="Times New Roman"/>
        </w:rPr>
      </w:pPr>
      <w:r w:rsidRPr="0081478A">
        <w:rPr>
          <w:rFonts w:cs="Times New Roman"/>
          <w:i/>
        </w:rPr>
        <w:t>B</w:t>
      </w:r>
      <w:r w:rsidRPr="0081478A">
        <w:rPr>
          <w:rFonts w:cs="Times New Roman"/>
          <w:spacing w:val="-8"/>
        </w:rPr>
        <w:t>—</w:t>
      </w:r>
      <w:r w:rsidRPr="0081478A">
        <w:rPr>
          <w:rFonts w:cs="Times New Roman"/>
        </w:rPr>
        <w:t>—</w:t>
      </w:r>
      <w:r w:rsidRPr="0081478A">
        <w:rPr>
          <w:rFonts w:cs="Times New Roman"/>
        </w:rPr>
        <w:t>与机房及用户的水阻力有关的计算系数，一级泵系统时</w:t>
      </w:r>
      <w:r w:rsidRPr="0081478A">
        <w:rPr>
          <w:rFonts w:cs="Times New Roman"/>
          <w:i/>
        </w:rPr>
        <w:t>B</w:t>
      </w:r>
      <w:r w:rsidRPr="0081478A">
        <w:rPr>
          <w:rFonts w:cs="Times New Roman"/>
        </w:rPr>
        <w:t>取</w:t>
      </w:r>
      <w:r w:rsidRPr="0081478A">
        <w:rPr>
          <w:rFonts w:cs="Times New Roman"/>
        </w:rPr>
        <w:t>17</w:t>
      </w:r>
      <w:r w:rsidRPr="0081478A">
        <w:rPr>
          <w:rFonts w:cs="Times New Roman"/>
        </w:rPr>
        <w:t>，二级泵系统时</w:t>
      </w:r>
      <w:r w:rsidRPr="0081478A">
        <w:rPr>
          <w:rFonts w:cs="Times New Roman"/>
          <w:i/>
        </w:rPr>
        <w:t>B</w:t>
      </w:r>
      <w:r w:rsidRPr="0081478A">
        <w:rPr>
          <w:rFonts w:cs="Times New Roman"/>
        </w:rPr>
        <w:t>取</w:t>
      </w:r>
      <w:r w:rsidRPr="0081478A">
        <w:rPr>
          <w:rFonts w:cs="Times New Roman"/>
        </w:rPr>
        <w:t>21</w:t>
      </w:r>
      <w:r w:rsidRPr="0081478A">
        <w:rPr>
          <w:rFonts w:cs="Times New Roman"/>
        </w:rPr>
        <w:t>；</w:t>
      </w:r>
    </w:p>
    <w:p w14:paraId="5BA5333C" w14:textId="77777777" w:rsidR="00E443CB" w:rsidRPr="0081478A" w:rsidRDefault="00E443CB" w:rsidP="00E443CB">
      <w:pPr>
        <w:ind w:firstLine="420"/>
        <w:rPr>
          <w:rFonts w:cs="Times New Roman"/>
        </w:rPr>
      </w:pPr>
      <w:r w:rsidRPr="0081478A">
        <w:rPr>
          <w:rFonts w:cs="Times New Roman"/>
          <w:noProof/>
          <w:position w:val="-12"/>
        </w:rPr>
        <w:drawing>
          <wp:inline distT="0" distB="0" distL="0" distR="0" wp14:anchorId="72DD2D37" wp14:editId="2A1C922A">
            <wp:extent cx="281940" cy="228600"/>
            <wp:effectExtent l="0" t="0" r="381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热力站至供暖末端（散热器或辐射供暖分集水器）供回水管道的总长度，</w:t>
      </w:r>
      <w:r w:rsidRPr="0081478A">
        <w:rPr>
          <w:rFonts w:cs="Times New Roman"/>
        </w:rPr>
        <w:t>m</w:t>
      </w:r>
      <w:r w:rsidRPr="0081478A">
        <w:rPr>
          <w:rFonts w:cs="Times New Roman"/>
        </w:rPr>
        <w:t>；</w:t>
      </w:r>
    </w:p>
    <w:p w14:paraId="6BAB6407" w14:textId="77777777" w:rsidR="00E443CB" w:rsidRPr="0081478A" w:rsidRDefault="00E443CB" w:rsidP="00E443CB">
      <w:pPr>
        <w:ind w:firstLine="420"/>
        <w:rPr>
          <w:rFonts w:cs="Times New Roman"/>
          <w:kern w:val="21"/>
          <w:szCs w:val="24"/>
        </w:rPr>
      </w:pPr>
      <w:r w:rsidRPr="0081478A">
        <w:rPr>
          <w:rFonts w:cs="Times New Roman"/>
          <w:noProof/>
          <w:kern w:val="21"/>
          <w:position w:val="-4"/>
          <w:szCs w:val="24"/>
        </w:rPr>
        <w:drawing>
          <wp:inline distT="0" distB="0" distL="0" distR="0" wp14:anchorId="2520206A" wp14:editId="5C883D1A">
            <wp:extent cx="137160" cy="129540"/>
            <wp:effectExtent l="0" t="0" r="0" b="381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w:r>
      <w:r w:rsidRPr="0081478A">
        <w:rPr>
          <w:rFonts w:cs="Times New Roman"/>
          <w:spacing w:val="-8"/>
          <w:kern w:val="21"/>
          <w:szCs w:val="24"/>
        </w:rPr>
        <w:t>—</w:t>
      </w:r>
      <w:r w:rsidRPr="0081478A">
        <w:rPr>
          <w:rFonts w:cs="Times New Roman"/>
          <w:kern w:val="21"/>
          <w:szCs w:val="24"/>
        </w:rPr>
        <w:t>—</w:t>
      </w:r>
      <w:r w:rsidRPr="0081478A">
        <w:rPr>
          <w:rFonts w:cs="Times New Roman"/>
          <w:kern w:val="21"/>
          <w:szCs w:val="24"/>
        </w:rPr>
        <w:t>与</w:t>
      </w:r>
      <w:r w:rsidRPr="0081478A">
        <w:rPr>
          <w:rFonts w:cs="Times New Roman"/>
          <w:noProof/>
          <w:kern w:val="21"/>
          <w:position w:val="-12"/>
          <w:szCs w:val="24"/>
        </w:rPr>
        <w:drawing>
          <wp:inline distT="0" distB="0" distL="0" distR="0" wp14:anchorId="719CE9EE" wp14:editId="2BC74759">
            <wp:extent cx="281940" cy="228600"/>
            <wp:effectExtent l="0" t="0" r="381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rsidRPr="0081478A">
        <w:rPr>
          <w:rFonts w:cs="Times New Roman"/>
          <w:kern w:val="21"/>
          <w:szCs w:val="24"/>
        </w:rPr>
        <w:t>有关的计算系数。当</w:t>
      </w:r>
      <w:r w:rsidRPr="0081478A">
        <w:rPr>
          <w:rFonts w:cs="Times New Roman"/>
          <w:noProof/>
          <w:kern w:val="21"/>
          <w:position w:val="-12"/>
          <w:szCs w:val="24"/>
        </w:rPr>
        <w:drawing>
          <wp:inline distT="0" distB="0" distL="0" distR="0" wp14:anchorId="1708ECCA" wp14:editId="4C70B17D">
            <wp:extent cx="762000" cy="228600"/>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81478A">
        <w:rPr>
          <w:rFonts w:cs="Times New Roman"/>
          <w:kern w:val="21"/>
          <w:szCs w:val="24"/>
        </w:rPr>
        <w:t>时，</w:t>
      </w:r>
      <w:r w:rsidRPr="0081478A">
        <w:rPr>
          <w:rFonts w:cs="Times New Roman"/>
          <w:noProof/>
          <w:kern w:val="21"/>
          <w:position w:val="-6"/>
          <w:szCs w:val="24"/>
        </w:rPr>
        <w:drawing>
          <wp:inline distT="0" distB="0" distL="0" distR="0" wp14:anchorId="1A55D36A" wp14:editId="699C5C87">
            <wp:extent cx="632460" cy="167640"/>
            <wp:effectExtent l="0" t="0" r="0" b="381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32460" cy="167640"/>
                    </a:xfrm>
                    <a:prstGeom prst="rect">
                      <a:avLst/>
                    </a:prstGeom>
                    <a:noFill/>
                    <a:ln>
                      <a:noFill/>
                    </a:ln>
                  </pic:spPr>
                </pic:pic>
              </a:graphicData>
            </a:graphic>
          </wp:inline>
        </w:drawing>
      </w:r>
      <w:r w:rsidRPr="0081478A">
        <w:rPr>
          <w:rFonts w:cs="Times New Roman"/>
          <w:kern w:val="21"/>
          <w:szCs w:val="24"/>
        </w:rPr>
        <w:t>；当</w:t>
      </w:r>
      <w:r w:rsidRPr="0081478A">
        <w:rPr>
          <w:rFonts w:cs="Times New Roman"/>
          <w:noProof/>
          <w:kern w:val="21"/>
          <w:position w:val="-6"/>
          <w:szCs w:val="24"/>
        </w:rPr>
        <w:drawing>
          <wp:inline distT="0" distB="0" distL="0" distR="0" wp14:anchorId="2E968AC6" wp14:editId="60569EB3">
            <wp:extent cx="472440" cy="167640"/>
            <wp:effectExtent l="0" t="0" r="3810" b="3810"/>
            <wp:docPr id="52"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167640"/>
                    </a:xfrm>
                    <a:prstGeom prst="rect">
                      <a:avLst/>
                    </a:prstGeom>
                    <a:noFill/>
                    <a:ln>
                      <a:noFill/>
                    </a:ln>
                  </pic:spPr>
                </pic:pic>
              </a:graphicData>
            </a:graphic>
          </wp:inline>
        </w:drawing>
      </w:r>
      <w:r w:rsidRPr="0081478A">
        <w:rPr>
          <w:rFonts w:cs="Times New Roman"/>
          <w:kern w:val="21"/>
          <w:szCs w:val="24"/>
        </w:rPr>
        <w:t xml:space="preserve"> </w:t>
      </w:r>
      <w:r w:rsidRPr="0081478A">
        <w:rPr>
          <w:rFonts w:cs="Times New Roman"/>
          <w:noProof/>
          <w:kern w:val="21"/>
          <w:position w:val="-12"/>
          <w:szCs w:val="24"/>
        </w:rPr>
        <w:drawing>
          <wp:inline distT="0" distB="0" distL="0" distR="0" wp14:anchorId="761331E2" wp14:editId="596DAAC7">
            <wp:extent cx="746760" cy="228600"/>
            <wp:effectExtent l="0" t="0" r="0" b="0"/>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46760" cy="228600"/>
                    </a:xfrm>
                    <a:prstGeom prst="rect">
                      <a:avLst/>
                    </a:prstGeom>
                    <a:noFill/>
                    <a:ln>
                      <a:noFill/>
                    </a:ln>
                  </pic:spPr>
                </pic:pic>
              </a:graphicData>
            </a:graphic>
          </wp:inline>
        </w:drawing>
      </w:r>
      <w:r w:rsidRPr="0081478A">
        <w:rPr>
          <w:rFonts w:cs="Times New Roman"/>
          <w:kern w:val="21"/>
          <w:szCs w:val="24"/>
        </w:rPr>
        <w:t>时，</w:t>
      </w:r>
      <w:r w:rsidRPr="0081478A">
        <w:rPr>
          <w:rFonts w:cs="Times New Roman"/>
          <w:noProof/>
          <w:kern w:val="21"/>
          <w:position w:val="-12"/>
          <w:szCs w:val="24"/>
        </w:rPr>
        <w:drawing>
          <wp:inline distT="0" distB="0" distL="0" distR="0" wp14:anchorId="5F3D81E9" wp14:editId="55ADBDE1">
            <wp:extent cx="1524000" cy="228600"/>
            <wp:effectExtent l="0" t="0" r="0"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24000" cy="228600"/>
                    </a:xfrm>
                    <a:prstGeom prst="rect">
                      <a:avLst/>
                    </a:prstGeom>
                    <a:noFill/>
                    <a:ln>
                      <a:noFill/>
                    </a:ln>
                  </pic:spPr>
                </pic:pic>
              </a:graphicData>
            </a:graphic>
          </wp:inline>
        </w:drawing>
      </w:r>
      <w:r w:rsidRPr="0081478A">
        <w:rPr>
          <w:rFonts w:cs="Times New Roman"/>
          <w:kern w:val="21"/>
          <w:szCs w:val="24"/>
        </w:rPr>
        <w:t>；当</w:t>
      </w:r>
      <w:r w:rsidRPr="0081478A">
        <w:rPr>
          <w:rFonts w:cs="Times New Roman"/>
          <w:noProof/>
          <w:kern w:val="21"/>
          <w:position w:val="-12"/>
          <w:szCs w:val="24"/>
        </w:rPr>
        <w:drawing>
          <wp:inline distT="0" distB="0" distL="0" distR="0" wp14:anchorId="055A52B5" wp14:editId="7523A7CB">
            <wp:extent cx="815340" cy="228600"/>
            <wp:effectExtent l="0" t="0" r="381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15340" cy="228600"/>
                    </a:xfrm>
                    <a:prstGeom prst="rect">
                      <a:avLst/>
                    </a:prstGeom>
                    <a:noFill/>
                    <a:ln>
                      <a:noFill/>
                    </a:ln>
                  </pic:spPr>
                </pic:pic>
              </a:graphicData>
            </a:graphic>
          </wp:inline>
        </w:drawing>
      </w:r>
      <w:r w:rsidRPr="0081478A">
        <w:rPr>
          <w:rFonts w:cs="Times New Roman"/>
          <w:kern w:val="21"/>
          <w:szCs w:val="24"/>
        </w:rPr>
        <w:t>时，</w:t>
      </w:r>
      <w:r w:rsidRPr="0081478A">
        <w:rPr>
          <w:rFonts w:cs="Times New Roman"/>
          <w:noProof/>
          <w:kern w:val="21"/>
          <w:position w:val="-6"/>
          <w:szCs w:val="24"/>
        </w:rPr>
        <w:drawing>
          <wp:inline distT="0" distB="0" distL="0" distR="0" wp14:anchorId="73E8FFDE" wp14:editId="4CACE1DB">
            <wp:extent cx="632460" cy="167640"/>
            <wp:effectExtent l="0" t="0" r="0" b="381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2460" cy="167640"/>
                    </a:xfrm>
                    <a:prstGeom prst="rect">
                      <a:avLst/>
                    </a:prstGeom>
                    <a:noFill/>
                    <a:ln>
                      <a:noFill/>
                    </a:ln>
                  </pic:spPr>
                </pic:pic>
              </a:graphicData>
            </a:graphic>
          </wp:inline>
        </w:drawing>
      </w:r>
      <w:r w:rsidRPr="0081478A">
        <w:rPr>
          <w:rFonts w:cs="Times New Roman"/>
          <w:kern w:val="21"/>
          <w:szCs w:val="24"/>
        </w:rPr>
        <w:t>。</w:t>
      </w:r>
    </w:p>
    <w:p w14:paraId="29295B94" w14:textId="2B7F10B4" w:rsidR="00E443CB" w:rsidRPr="0081478A" w:rsidRDefault="00E443CB" w:rsidP="00E443CB">
      <w:pPr>
        <w:ind w:firstLine="420"/>
        <w:rPr>
          <w:rFonts w:cs="Times New Roman"/>
        </w:rPr>
      </w:pPr>
      <w:r w:rsidRPr="0081478A">
        <w:rPr>
          <w:rFonts w:cs="Times New Roman"/>
        </w:rPr>
        <w:t>2</w:t>
      </w:r>
      <w:r w:rsidRPr="0081478A">
        <w:rPr>
          <w:rFonts w:cs="Times New Roman"/>
        </w:rPr>
        <w:t>）空调风系统和通风系统的风量大于</w:t>
      </w:r>
      <w:r w:rsidRPr="0081478A">
        <w:rPr>
          <w:rFonts w:cs="Times New Roman"/>
        </w:rPr>
        <w:t>10000m</w:t>
      </w:r>
      <w:r w:rsidRPr="0081478A">
        <w:rPr>
          <w:rFonts w:cs="Times New Roman"/>
          <w:vertAlign w:val="superscript"/>
        </w:rPr>
        <w:t>3</w:t>
      </w:r>
      <w:r w:rsidRPr="0081478A">
        <w:rPr>
          <w:rFonts w:cs="Times New Roman"/>
        </w:rPr>
        <w:t>/h</w:t>
      </w:r>
      <w:r w:rsidRPr="0081478A">
        <w:rPr>
          <w:rFonts w:cs="Times New Roman"/>
        </w:rPr>
        <w:t>时，风道系统单位风量耗功率（</w:t>
      </w:r>
      <w:r w:rsidRPr="0081478A">
        <w:rPr>
          <w:rFonts w:cs="Times New Roman"/>
          <w:i/>
        </w:rPr>
        <w:t>W</w:t>
      </w:r>
      <w:r w:rsidRPr="0081478A">
        <w:rPr>
          <w:rFonts w:cs="Times New Roman"/>
          <w:vertAlign w:val="subscript"/>
        </w:rPr>
        <w:t>s</w:t>
      </w:r>
      <w:r w:rsidRPr="0081478A">
        <w:rPr>
          <w:rFonts w:cs="Times New Roman"/>
        </w:rPr>
        <w:t>）不宜大于表</w:t>
      </w:r>
      <w:r w:rsidR="004802E4" w:rsidRPr="004802E4">
        <w:rPr>
          <w:rFonts w:cs="Times New Roman"/>
        </w:rPr>
        <w:t>7.2.6-1</w:t>
      </w:r>
      <w:r w:rsidRPr="0081478A">
        <w:rPr>
          <w:rFonts w:cs="Times New Roman"/>
        </w:rPr>
        <w:t>的数值。风道系统单位风量耗功率（</w:t>
      </w:r>
      <w:r w:rsidRPr="0081478A">
        <w:rPr>
          <w:rFonts w:cs="Times New Roman"/>
          <w:i/>
        </w:rPr>
        <w:t>W</w:t>
      </w:r>
      <w:r w:rsidRPr="0081478A">
        <w:rPr>
          <w:rFonts w:cs="Times New Roman"/>
          <w:vertAlign w:val="subscript"/>
        </w:rPr>
        <w:t>s</w:t>
      </w:r>
      <w:r w:rsidRPr="0081478A">
        <w:rPr>
          <w:rFonts w:cs="Times New Roman"/>
        </w:rPr>
        <w:t>）应按下式计算：</w:t>
      </w:r>
    </w:p>
    <w:p w14:paraId="32AAFA22" w14:textId="77777777" w:rsidR="00E443CB" w:rsidRPr="0081478A" w:rsidRDefault="00E443CB" w:rsidP="00E443CB">
      <w:pPr>
        <w:tabs>
          <w:tab w:val="center" w:pos="3682"/>
          <w:tab w:val="right" w:pos="7461"/>
        </w:tabs>
        <w:topLinePunct/>
        <w:adjustRightInd w:val="0"/>
        <w:snapToGrid w:val="0"/>
        <w:spacing w:line="320" w:lineRule="atLeast"/>
        <w:ind w:firstLineChars="0" w:firstLine="0"/>
        <w:textAlignment w:val="center"/>
        <w:rPr>
          <w:rFonts w:cs="Times New Roman"/>
          <w:kern w:val="21"/>
          <w:szCs w:val="24"/>
        </w:rPr>
      </w:pPr>
      <w:r w:rsidRPr="0081478A">
        <w:rPr>
          <w:rFonts w:cs="Times New Roman"/>
          <w:noProof/>
          <w:kern w:val="21"/>
          <w:szCs w:val="24"/>
        </w:rPr>
        <w:tab/>
      </w:r>
      <w:r w:rsidRPr="0081478A">
        <w:rPr>
          <w:rFonts w:cs="Times New Roman"/>
          <w:noProof/>
          <w:kern w:val="21"/>
          <w:szCs w:val="24"/>
        </w:rPr>
        <w:drawing>
          <wp:inline distT="0" distB="0" distL="0" distR="0" wp14:anchorId="1F61724A" wp14:editId="786A51A7">
            <wp:extent cx="1409700" cy="205740"/>
            <wp:effectExtent l="0" t="0" r="0" b="381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09700" cy="205740"/>
                    </a:xfrm>
                    <a:prstGeom prst="rect">
                      <a:avLst/>
                    </a:prstGeom>
                    <a:noFill/>
                    <a:ln>
                      <a:noFill/>
                    </a:ln>
                  </pic:spPr>
                </pic:pic>
              </a:graphicData>
            </a:graphic>
          </wp:inline>
        </w:drawing>
      </w:r>
      <w:r w:rsidRPr="0081478A">
        <w:rPr>
          <w:rFonts w:cs="Times New Roman"/>
          <w:kern w:val="21"/>
          <w:szCs w:val="24"/>
        </w:rPr>
        <w:t xml:space="preserve"> </w:t>
      </w:r>
      <w:r w:rsidRPr="0081478A">
        <w:rPr>
          <w:rFonts w:cs="Times New Roman"/>
          <w:kern w:val="21"/>
          <w:szCs w:val="24"/>
        </w:rPr>
        <w:tab/>
      </w:r>
    </w:p>
    <w:p w14:paraId="644ABB1F" w14:textId="77777777" w:rsidR="00E443CB" w:rsidRPr="0081478A" w:rsidRDefault="00E443CB" w:rsidP="00E443CB">
      <w:pPr>
        <w:ind w:firstLine="420"/>
        <w:rPr>
          <w:rFonts w:cs="Times New Roman"/>
        </w:rPr>
      </w:pPr>
      <w:r w:rsidRPr="0081478A">
        <w:rPr>
          <w:rFonts w:cs="Times New Roman"/>
        </w:rPr>
        <w:t>式中，</w:t>
      </w:r>
      <w:r w:rsidRPr="0081478A">
        <w:rPr>
          <w:rFonts w:cs="Times New Roman"/>
          <w:i/>
        </w:rPr>
        <w:t>W</w:t>
      </w:r>
      <w:r w:rsidRPr="0081478A">
        <w:rPr>
          <w:rFonts w:cs="Times New Roman"/>
          <w:vertAlign w:val="subscript"/>
        </w:rPr>
        <w:t>s</w:t>
      </w:r>
      <w:r w:rsidRPr="0081478A">
        <w:rPr>
          <w:rFonts w:cs="Times New Roman"/>
          <w:spacing w:val="-8"/>
        </w:rPr>
        <w:t>—</w:t>
      </w:r>
      <w:r w:rsidRPr="0081478A">
        <w:rPr>
          <w:rFonts w:cs="Times New Roman"/>
        </w:rPr>
        <w:t>—</w:t>
      </w:r>
      <w:r w:rsidRPr="0081478A">
        <w:rPr>
          <w:rFonts w:cs="Times New Roman"/>
        </w:rPr>
        <w:t>风道系统单位风量耗功率，</w:t>
      </w:r>
      <w:r w:rsidRPr="0081478A">
        <w:rPr>
          <w:rFonts w:cs="Times New Roman"/>
        </w:rPr>
        <w:t>W/</w:t>
      </w:r>
      <w:r w:rsidRPr="0081478A">
        <w:rPr>
          <w:rFonts w:cs="Times New Roman"/>
        </w:rPr>
        <w:t>（</w:t>
      </w:r>
      <w:r w:rsidRPr="0081478A">
        <w:rPr>
          <w:rFonts w:cs="Times New Roman"/>
        </w:rPr>
        <w:t>m</w:t>
      </w:r>
      <w:r w:rsidRPr="0081478A">
        <w:rPr>
          <w:rFonts w:cs="Times New Roman"/>
          <w:vertAlign w:val="superscript"/>
        </w:rPr>
        <w:t>3</w:t>
      </w:r>
      <w:r w:rsidRPr="0081478A">
        <w:rPr>
          <w:rFonts w:cs="Times New Roman"/>
        </w:rPr>
        <w:t>/h</w:t>
      </w:r>
      <w:r w:rsidRPr="0081478A">
        <w:rPr>
          <w:rFonts w:cs="Times New Roman"/>
        </w:rPr>
        <w:t>）；</w:t>
      </w:r>
    </w:p>
    <w:p w14:paraId="21F98D20" w14:textId="77777777" w:rsidR="00E443CB" w:rsidRPr="0081478A" w:rsidRDefault="00E443CB" w:rsidP="00E443CB">
      <w:pPr>
        <w:ind w:firstLine="420"/>
        <w:rPr>
          <w:rFonts w:cs="Times New Roman"/>
        </w:rPr>
      </w:pPr>
      <w:r w:rsidRPr="0081478A">
        <w:rPr>
          <w:rFonts w:cs="Times New Roman"/>
          <w:i/>
        </w:rPr>
        <w:t>P</w:t>
      </w:r>
      <w:r w:rsidRPr="0081478A">
        <w:rPr>
          <w:rFonts w:cs="Times New Roman"/>
          <w:spacing w:val="-8"/>
        </w:rPr>
        <w:t>—</w:t>
      </w:r>
      <w:r w:rsidRPr="0081478A">
        <w:rPr>
          <w:rFonts w:cs="Times New Roman"/>
        </w:rPr>
        <w:t>—</w:t>
      </w:r>
      <w:r w:rsidRPr="0081478A">
        <w:rPr>
          <w:rFonts w:cs="Times New Roman"/>
        </w:rPr>
        <w:t>空调机组的余压或通风系统风机的风压，</w:t>
      </w:r>
      <w:r w:rsidRPr="0081478A">
        <w:rPr>
          <w:rFonts w:cs="Times New Roman"/>
        </w:rPr>
        <w:t>Pa</w:t>
      </w:r>
      <w:r w:rsidRPr="0081478A">
        <w:rPr>
          <w:rFonts w:cs="Times New Roman"/>
        </w:rPr>
        <w:t>；</w:t>
      </w:r>
    </w:p>
    <w:p w14:paraId="7DA7B793" w14:textId="77777777" w:rsidR="00E443CB" w:rsidRPr="0081478A" w:rsidRDefault="00E443CB" w:rsidP="00E443CB">
      <w:pPr>
        <w:ind w:firstLine="420"/>
        <w:rPr>
          <w:rFonts w:cs="Times New Roman"/>
        </w:rPr>
      </w:pPr>
      <w:r w:rsidRPr="0081478A">
        <w:rPr>
          <w:rFonts w:cs="Times New Roman"/>
          <w:noProof/>
        </w:rPr>
        <w:drawing>
          <wp:inline distT="0" distB="0" distL="0" distR="0" wp14:anchorId="21CB6C88" wp14:editId="140F506F">
            <wp:extent cx="228600" cy="205740"/>
            <wp:effectExtent l="0" t="0" r="0" b="381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电机及传动效率，</w:t>
      </w:r>
      <w:r w:rsidRPr="0081478A">
        <w:rPr>
          <w:rFonts w:cs="Times New Roman"/>
        </w:rPr>
        <w:t>%</w:t>
      </w:r>
      <w:r w:rsidRPr="0081478A">
        <w:rPr>
          <w:rFonts w:cs="Times New Roman"/>
        </w:rPr>
        <w:t>，</w:t>
      </w:r>
      <w:r w:rsidRPr="0081478A">
        <w:rPr>
          <w:rFonts w:cs="Times New Roman"/>
          <w:noProof/>
        </w:rPr>
        <w:drawing>
          <wp:inline distT="0" distB="0" distL="0" distR="0" wp14:anchorId="2A8D808D" wp14:editId="11896CFA">
            <wp:extent cx="228600" cy="205740"/>
            <wp:effectExtent l="0" t="0" r="0" b="381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 cy="205740"/>
                    </a:xfrm>
                    <a:prstGeom prst="rect">
                      <a:avLst/>
                    </a:prstGeom>
                    <a:noFill/>
                    <a:ln>
                      <a:noFill/>
                    </a:ln>
                  </pic:spPr>
                </pic:pic>
              </a:graphicData>
            </a:graphic>
          </wp:inline>
        </w:drawing>
      </w:r>
      <w:r w:rsidRPr="0081478A">
        <w:rPr>
          <w:rFonts w:cs="Times New Roman"/>
        </w:rPr>
        <w:t>取</w:t>
      </w:r>
      <w:r w:rsidRPr="0081478A">
        <w:rPr>
          <w:rFonts w:cs="Times New Roman"/>
        </w:rPr>
        <w:t>0.855</w:t>
      </w:r>
      <w:r w:rsidRPr="0081478A">
        <w:rPr>
          <w:rFonts w:cs="Times New Roman"/>
        </w:rPr>
        <w:t>；</w:t>
      </w:r>
    </w:p>
    <w:p w14:paraId="263A7006" w14:textId="77777777" w:rsidR="00E443CB" w:rsidRPr="0081478A" w:rsidRDefault="00E443CB" w:rsidP="00E443CB">
      <w:pPr>
        <w:ind w:firstLine="420"/>
        <w:rPr>
          <w:rFonts w:cs="Times New Roman"/>
        </w:rPr>
      </w:pPr>
      <w:r w:rsidRPr="0081478A">
        <w:rPr>
          <w:rFonts w:cs="Times New Roman"/>
          <w:noProof/>
        </w:rPr>
        <w:drawing>
          <wp:inline distT="0" distB="0" distL="0" distR="0" wp14:anchorId="60267ECC" wp14:editId="3FDB38FE">
            <wp:extent cx="167640" cy="205740"/>
            <wp:effectExtent l="0" t="0" r="3810" b="381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67640" cy="20574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风机效率，</w:t>
      </w:r>
      <w:r w:rsidRPr="0081478A">
        <w:rPr>
          <w:rFonts w:cs="Times New Roman"/>
        </w:rPr>
        <w:t>%</w:t>
      </w:r>
      <w:r w:rsidRPr="0081478A">
        <w:rPr>
          <w:rFonts w:cs="Times New Roman"/>
        </w:rPr>
        <w:t>，按设计图中标注的效率选择。</w:t>
      </w:r>
    </w:p>
    <w:p w14:paraId="2AE86621" w14:textId="77777777" w:rsidR="00E443CB" w:rsidRPr="0081478A" w:rsidRDefault="00E443CB" w:rsidP="00E443CB">
      <w:pPr>
        <w:pStyle w:val="ae"/>
        <w:rPr>
          <w:rFonts w:cs="Times New Roman"/>
          <w:b w:val="0"/>
          <w:bCs/>
        </w:rPr>
      </w:pPr>
      <w:r w:rsidRPr="0081478A">
        <w:rPr>
          <w:rFonts w:cs="Times New Roman"/>
        </w:rPr>
        <w:tab/>
      </w:r>
      <w:r w:rsidRPr="0081478A">
        <w:rPr>
          <w:rFonts w:cs="Times New Roman"/>
          <w:b w:val="0"/>
          <w:bCs/>
        </w:rPr>
        <w:t>表</w:t>
      </w:r>
      <w:r w:rsidR="00AD3B18" w:rsidRPr="0081478A">
        <w:rPr>
          <w:rFonts w:cs="Times New Roman"/>
          <w:b w:val="0"/>
          <w:bCs/>
        </w:rPr>
        <w:t>7.2.6-1</w:t>
      </w:r>
      <w:r w:rsidRPr="0081478A">
        <w:rPr>
          <w:rFonts w:cs="Times New Roman"/>
          <w:b w:val="0"/>
          <w:bCs/>
        </w:rPr>
        <w:t xml:space="preserve"> </w:t>
      </w:r>
      <w:r w:rsidRPr="0081478A">
        <w:rPr>
          <w:rFonts w:cs="Times New Roman"/>
          <w:b w:val="0"/>
          <w:bCs/>
        </w:rPr>
        <w:t>风机的单位风量耗功率限值</w:t>
      </w:r>
      <w:r w:rsidRPr="0081478A">
        <w:rPr>
          <w:rFonts w:cs="Times New Roman"/>
          <w:b w:val="0"/>
          <w:bCs/>
        </w:rPr>
        <w:tab/>
      </w:r>
      <w:r w:rsidRPr="0081478A">
        <w:rPr>
          <w:rFonts w:cs="Times New Roman"/>
          <w:b w:val="0"/>
          <w:bCs/>
        </w:rPr>
        <w:t>单位：</w:t>
      </w:r>
      <w:r w:rsidRPr="0081478A">
        <w:rPr>
          <w:rFonts w:cs="Times New Roman"/>
          <w:b w:val="0"/>
          <w:bCs/>
        </w:rPr>
        <w:t>W/</w:t>
      </w:r>
      <w:r w:rsidRPr="0081478A">
        <w:rPr>
          <w:rFonts w:cs="Times New Roman"/>
          <w:b w:val="0"/>
          <w:bCs/>
        </w:rPr>
        <w:t>（</w:t>
      </w:r>
      <w:r w:rsidRPr="0081478A">
        <w:rPr>
          <w:rFonts w:cs="Times New Roman"/>
          <w:b w:val="0"/>
          <w:bCs/>
        </w:rPr>
        <w:t>m</w:t>
      </w:r>
      <w:r w:rsidRPr="0081478A">
        <w:rPr>
          <w:rFonts w:cs="Times New Roman"/>
          <w:b w:val="0"/>
          <w:bCs/>
          <w:vertAlign w:val="superscript"/>
        </w:rPr>
        <w:t>3</w:t>
      </w:r>
      <w:r w:rsidRPr="0081478A">
        <w:rPr>
          <w:rFonts w:cs="Times New Roman"/>
          <w:b w:val="0"/>
          <w:bCs/>
        </w:rPr>
        <w:t>/h</w:t>
      </w:r>
      <w:r w:rsidRPr="0081478A">
        <w:rPr>
          <w:rFonts w:cs="Times New Roman"/>
          <w:b w:val="0"/>
          <w:bCs/>
        </w:rPr>
        <w:t>）</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28" w:type="dxa"/>
        </w:tblCellMar>
        <w:tblLook w:val="04A0" w:firstRow="1" w:lastRow="0" w:firstColumn="1" w:lastColumn="0" w:noHBand="0" w:noVBand="1"/>
      </w:tblPr>
      <w:tblGrid>
        <w:gridCol w:w="3685"/>
        <w:gridCol w:w="3685"/>
      </w:tblGrid>
      <w:tr w:rsidR="0081478A" w:rsidRPr="0081478A" w14:paraId="2100F8EF" w14:textId="77777777" w:rsidTr="00E443CB">
        <w:trPr>
          <w:jc w:val="center"/>
        </w:trPr>
        <w:tc>
          <w:tcPr>
            <w:tcW w:w="3685" w:type="dxa"/>
            <w:shd w:val="clear" w:color="auto" w:fill="auto"/>
            <w:vAlign w:val="center"/>
            <w:hideMark/>
          </w:tcPr>
          <w:p w14:paraId="30A2D28F" w14:textId="77777777" w:rsidR="00E443CB" w:rsidRPr="0081478A" w:rsidRDefault="00E443CB" w:rsidP="00E443CB">
            <w:pPr>
              <w:pStyle w:val="ae"/>
              <w:rPr>
                <w:rFonts w:cs="Times New Roman"/>
                <w:b w:val="0"/>
                <w:bCs/>
              </w:rPr>
            </w:pPr>
            <w:r w:rsidRPr="0081478A">
              <w:rPr>
                <w:rFonts w:cs="Times New Roman"/>
                <w:b w:val="0"/>
                <w:bCs/>
              </w:rPr>
              <w:t>系统形式</w:t>
            </w:r>
          </w:p>
        </w:tc>
        <w:tc>
          <w:tcPr>
            <w:tcW w:w="3685" w:type="dxa"/>
            <w:shd w:val="clear" w:color="auto" w:fill="auto"/>
            <w:vAlign w:val="center"/>
            <w:hideMark/>
          </w:tcPr>
          <w:p w14:paraId="7174983B" w14:textId="77777777" w:rsidR="00E443CB" w:rsidRPr="0081478A" w:rsidRDefault="00E443CB" w:rsidP="00E443CB">
            <w:pPr>
              <w:pStyle w:val="ae"/>
              <w:rPr>
                <w:rFonts w:cs="Times New Roman"/>
                <w:b w:val="0"/>
                <w:bCs/>
              </w:rPr>
            </w:pPr>
            <w:r w:rsidRPr="0081478A">
              <w:rPr>
                <w:rFonts w:cs="Times New Roman"/>
                <w:b w:val="0"/>
                <w:bCs/>
                <w:i/>
              </w:rPr>
              <w:t>W</w:t>
            </w:r>
            <w:r w:rsidRPr="0081478A">
              <w:rPr>
                <w:rFonts w:cs="Times New Roman"/>
                <w:b w:val="0"/>
                <w:bCs/>
                <w:vertAlign w:val="subscript"/>
              </w:rPr>
              <w:t>s</w:t>
            </w:r>
            <w:r w:rsidRPr="0081478A">
              <w:rPr>
                <w:rFonts w:cs="Times New Roman"/>
                <w:b w:val="0"/>
                <w:bCs/>
              </w:rPr>
              <w:t>限值</w:t>
            </w:r>
          </w:p>
        </w:tc>
      </w:tr>
      <w:tr w:rsidR="0081478A" w:rsidRPr="0081478A" w14:paraId="6F6FF458" w14:textId="77777777" w:rsidTr="00E443CB">
        <w:trPr>
          <w:jc w:val="center"/>
        </w:trPr>
        <w:tc>
          <w:tcPr>
            <w:tcW w:w="3685" w:type="dxa"/>
            <w:shd w:val="clear" w:color="auto" w:fill="auto"/>
            <w:vAlign w:val="center"/>
            <w:hideMark/>
          </w:tcPr>
          <w:p w14:paraId="3D5AB913" w14:textId="77777777" w:rsidR="00E443CB" w:rsidRPr="0081478A" w:rsidRDefault="00E443CB" w:rsidP="00E443CB">
            <w:pPr>
              <w:pStyle w:val="ae"/>
              <w:rPr>
                <w:rFonts w:cs="Times New Roman"/>
                <w:b w:val="0"/>
                <w:bCs/>
              </w:rPr>
            </w:pPr>
            <w:r w:rsidRPr="0081478A">
              <w:rPr>
                <w:rFonts w:cs="Times New Roman"/>
                <w:b w:val="0"/>
                <w:bCs/>
              </w:rPr>
              <w:t>机械通风系统</w:t>
            </w:r>
          </w:p>
        </w:tc>
        <w:tc>
          <w:tcPr>
            <w:tcW w:w="3685" w:type="dxa"/>
            <w:shd w:val="clear" w:color="auto" w:fill="auto"/>
            <w:vAlign w:val="center"/>
            <w:hideMark/>
          </w:tcPr>
          <w:p w14:paraId="5C7AD5FB" w14:textId="77777777" w:rsidR="00E443CB" w:rsidRPr="0081478A" w:rsidRDefault="00E443CB" w:rsidP="00E443CB">
            <w:pPr>
              <w:pStyle w:val="ae"/>
              <w:rPr>
                <w:rFonts w:cs="Times New Roman"/>
                <w:b w:val="0"/>
                <w:bCs/>
              </w:rPr>
            </w:pPr>
            <w:r w:rsidRPr="0081478A">
              <w:rPr>
                <w:rFonts w:cs="Times New Roman"/>
                <w:b w:val="0"/>
                <w:bCs/>
              </w:rPr>
              <w:t>0.27</w:t>
            </w:r>
          </w:p>
        </w:tc>
      </w:tr>
      <w:tr w:rsidR="0081478A" w:rsidRPr="0081478A" w14:paraId="17C1905E" w14:textId="77777777" w:rsidTr="00E443CB">
        <w:trPr>
          <w:jc w:val="center"/>
        </w:trPr>
        <w:tc>
          <w:tcPr>
            <w:tcW w:w="3685" w:type="dxa"/>
            <w:shd w:val="clear" w:color="auto" w:fill="auto"/>
            <w:vAlign w:val="center"/>
            <w:hideMark/>
          </w:tcPr>
          <w:p w14:paraId="34FDBEF8" w14:textId="77777777" w:rsidR="00E443CB" w:rsidRPr="0081478A" w:rsidRDefault="00E443CB" w:rsidP="00E443CB">
            <w:pPr>
              <w:pStyle w:val="ae"/>
              <w:rPr>
                <w:rFonts w:cs="Times New Roman"/>
                <w:b w:val="0"/>
                <w:bCs/>
              </w:rPr>
            </w:pPr>
            <w:r w:rsidRPr="0081478A">
              <w:rPr>
                <w:rFonts w:cs="Times New Roman"/>
                <w:b w:val="0"/>
                <w:bCs/>
              </w:rPr>
              <w:t>新风系统</w:t>
            </w:r>
          </w:p>
        </w:tc>
        <w:tc>
          <w:tcPr>
            <w:tcW w:w="3685" w:type="dxa"/>
            <w:shd w:val="clear" w:color="auto" w:fill="auto"/>
            <w:vAlign w:val="center"/>
            <w:hideMark/>
          </w:tcPr>
          <w:p w14:paraId="0593F242" w14:textId="77777777" w:rsidR="00E443CB" w:rsidRPr="0081478A" w:rsidRDefault="00E443CB" w:rsidP="00E443CB">
            <w:pPr>
              <w:pStyle w:val="ae"/>
              <w:rPr>
                <w:rFonts w:cs="Times New Roman"/>
                <w:b w:val="0"/>
                <w:bCs/>
              </w:rPr>
            </w:pPr>
            <w:r w:rsidRPr="0081478A">
              <w:rPr>
                <w:rFonts w:cs="Times New Roman"/>
                <w:b w:val="0"/>
                <w:bCs/>
              </w:rPr>
              <w:t>0.24</w:t>
            </w:r>
          </w:p>
        </w:tc>
      </w:tr>
      <w:tr w:rsidR="0081478A" w:rsidRPr="0081478A" w14:paraId="2D05BB38" w14:textId="77777777" w:rsidTr="00E443CB">
        <w:trPr>
          <w:jc w:val="center"/>
        </w:trPr>
        <w:tc>
          <w:tcPr>
            <w:tcW w:w="3685" w:type="dxa"/>
            <w:shd w:val="clear" w:color="auto" w:fill="auto"/>
            <w:vAlign w:val="center"/>
            <w:hideMark/>
          </w:tcPr>
          <w:p w14:paraId="77CC1713" w14:textId="77777777" w:rsidR="00E443CB" w:rsidRPr="0081478A" w:rsidRDefault="00E443CB" w:rsidP="00E443CB">
            <w:pPr>
              <w:pStyle w:val="ae"/>
              <w:rPr>
                <w:rFonts w:cs="Times New Roman"/>
                <w:b w:val="0"/>
                <w:bCs/>
              </w:rPr>
            </w:pPr>
            <w:r w:rsidRPr="0081478A">
              <w:rPr>
                <w:rFonts w:cs="Times New Roman"/>
                <w:b w:val="0"/>
                <w:bCs/>
              </w:rPr>
              <w:lastRenderedPageBreak/>
              <w:t>办公建筑定风量系统</w:t>
            </w:r>
          </w:p>
        </w:tc>
        <w:tc>
          <w:tcPr>
            <w:tcW w:w="3685" w:type="dxa"/>
            <w:shd w:val="clear" w:color="auto" w:fill="auto"/>
            <w:vAlign w:val="center"/>
            <w:hideMark/>
          </w:tcPr>
          <w:p w14:paraId="6B9E2531" w14:textId="77777777" w:rsidR="00E443CB" w:rsidRPr="0081478A" w:rsidRDefault="00E443CB" w:rsidP="00E443CB">
            <w:pPr>
              <w:pStyle w:val="ae"/>
              <w:rPr>
                <w:rFonts w:cs="Times New Roman"/>
                <w:b w:val="0"/>
                <w:bCs/>
              </w:rPr>
            </w:pPr>
            <w:r w:rsidRPr="0081478A">
              <w:rPr>
                <w:rFonts w:cs="Times New Roman"/>
                <w:b w:val="0"/>
                <w:bCs/>
              </w:rPr>
              <w:t>0.27</w:t>
            </w:r>
          </w:p>
        </w:tc>
      </w:tr>
      <w:tr w:rsidR="0081478A" w:rsidRPr="0081478A" w14:paraId="0392B535" w14:textId="77777777" w:rsidTr="00E443CB">
        <w:trPr>
          <w:jc w:val="center"/>
        </w:trPr>
        <w:tc>
          <w:tcPr>
            <w:tcW w:w="3685" w:type="dxa"/>
            <w:shd w:val="clear" w:color="auto" w:fill="auto"/>
            <w:vAlign w:val="center"/>
            <w:hideMark/>
          </w:tcPr>
          <w:p w14:paraId="4FEC14E8" w14:textId="77777777" w:rsidR="00E443CB" w:rsidRPr="0081478A" w:rsidRDefault="00E443CB" w:rsidP="00E443CB">
            <w:pPr>
              <w:pStyle w:val="ae"/>
              <w:rPr>
                <w:rFonts w:cs="Times New Roman"/>
                <w:b w:val="0"/>
                <w:bCs/>
              </w:rPr>
            </w:pPr>
            <w:r w:rsidRPr="0081478A">
              <w:rPr>
                <w:rFonts w:cs="Times New Roman"/>
                <w:b w:val="0"/>
                <w:bCs/>
              </w:rPr>
              <w:t>办公建筑变风量系统</w:t>
            </w:r>
          </w:p>
        </w:tc>
        <w:tc>
          <w:tcPr>
            <w:tcW w:w="3685" w:type="dxa"/>
            <w:shd w:val="clear" w:color="auto" w:fill="auto"/>
            <w:vAlign w:val="center"/>
            <w:hideMark/>
          </w:tcPr>
          <w:p w14:paraId="2EEADFA6" w14:textId="77777777" w:rsidR="00E443CB" w:rsidRPr="0081478A" w:rsidRDefault="00E443CB" w:rsidP="00E443CB">
            <w:pPr>
              <w:pStyle w:val="ae"/>
              <w:rPr>
                <w:rFonts w:cs="Times New Roman"/>
                <w:b w:val="0"/>
                <w:bCs/>
              </w:rPr>
            </w:pPr>
            <w:r w:rsidRPr="0081478A">
              <w:rPr>
                <w:rFonts w:cs="Times New Roman"/>
                <w:b w:val="0"/>
                <w:bCs/>
              </w:rPr>
              <w:t>0.29</w:t>
            </w:r>
          </w:p>
        </w:tc>
      </w:tr>
      <w:tr w:rsidR="0081478A" w:rsidRPr="0081478A" w14:paraId="4FB59FD4" w14:textId="77777777" w:rsidTr="00E443CB">
        <w:trPr>
          <w:jc w:val="center"/>
        </w:trPr>
        <w:tc>
          <w:tcPr>
            <w:tcW w:w="3685" w:type="dxa"/>
            <w:shd w:val="clear" w:color="auto" w:fill="auto"/>
            <w:vAlign w:val="center"/>
            <w:hideMark/>
          </w:tcPr>
          <w:p w14:paraId="2E3E53D3" w14:textId="77777777" w:rsidR="00E443CB" w:rsidRPr="0081478A" w:rsidRDefault="00E443CB" w:rsidP="00E443CB">
            <w:pPr>
              <w:pStyle w:val="ae"/>
              <w:rPr>
                <w:rFonts w:cs="Times New Roman"/>
                <w:b w:val="0"/>
                <w:bCs/>
              </w:rPr>
            </w:pPr>
            <w:r w:rsidRPr="0081478A">
              <w:rPr>
                <w:rFonts w:cs="Times New Roman"/>
                <w:b w:val="0"/>
                <w:bCs/>
              </w:rPr>
              <w:t>商业、酒店建筑全空气系统</w:t>
            </w:r>
          </w:p>
        </w:tc>
        <w:tc>
          <w:tcPr>
            <w:tcW w:w="3685" w:type="dxa"/>
            <w:shd w:val="clear" w:color="auto" w:fill="auto"/>
            <w:vAlign w:val="center"/>
            <w:hideMark/>
          </w:tcPr>
          <w:p w14:paraId="28228784" w14:textId="77777777" w:rsidR="00E443CB" w:rsidRPr="0081478A" w:rsidRDefault="00E443CB" w:rsidP="00E443CB">
            <w:pPr>
              <w:pStyle w:val="ae"/>
              <w:rPr>
                <w:rFonts w:cs="Times New Roman"/>
                <w:b w:val="0"/>
                <w:bCs/>
              </w:rPr>
            </w:pPr>
            <w:r w:rsidRPr="0081478A">
              <w:rPr>
                <w:rFonts w:cs="Times New Roman"/>
                <w:b w:val="0"/>
                <w:bCs/>
              </w:rPr>
              <w:t>0.30</w:t>
            </w:r>
          </w:p>
        </w:tc>
      </w:tr>
    </w:tbl>
    <w:p w14:paraId="05C16FCC" w14:textId="77777777" w:rsidR="00E443CB" w:rsidRPr="0081478A" w:rsidRDefault="00E443CB" w:rsidP="00E443CB">
      <w:pPr>
        <w:ind w:firstLine="420"/>
        <w:rPr>
          <w:rFonts w:cs="Times New Roman"/>
        </w:rPr>
      </w:pPr>
      <w:r w:rsidRPr="0081478A">
        <w:rPr>
          <w:rFonts w:cs="Times New Roman"/>
          <w:bCs/>
        </w:rPr>
        <w:t>3</w:t>
      </w:r>
      <w:r w:rsidRPr="0081478A">
        <w:rPr>
          <w:rFonts w:cs="Times New Roman"/>
          <w:bCs/>
        </w:rPr>
        <w:t>）</w:t>
      </w:r>
      <w:r w:rsidRPr="0081478A">
        <w:rPr>
          <w:rFonts w:cs="Times New Roman"/>
        </w:rPr>
        <w:t>在选配空调冷（热）水系统的循环水泵时，应计算空调冷（热）水系统耗电输冷（热）比［</w:t>
      </w:r>
      <w:r w:rsidRPr="0081478A">
        <w:rPr>
          <w:rFonts w:cs="Times New Roman"/>
        </w:rPr>
        <w:t>EC</w:t>
      </w:r>
      <w:r w:rsidRPr="0081478A">
        <w:rPr>
          <w:rFonts w:cs="Times New Roman"/>
        </w:rPr>
        <w:t>（</w:t>
      </w:r>
      <w:r w:rsidRPr="0081478A">
        <w:rPr>
          <w:rFonts w:cs="Times New Roman"/>
        </w:rPr>
        <w:t>H</w:t>
      </w:r>
      <w:r w:rsidRPr="0081478A">
        <w:rPr>
          <w:rFonts w:cs="Times New Roman"/>
        </w:rPr>
        <w:t>）</w:t>
      </w:r>
      <w:r w:rsidRPr="0081478A">
        <w:rPr>
          <w:rFonts w:cs="Times New Roman"/>
        </w:rPr>
        <w:t>R-a</w:t>
      </w:r>
      <w:r w:rsidRPr="0081478A">
        <w:rPr>
          <w:rFonts w:cs="Times New Roman"/>
        </w:rPr>
        <w:t>］，并应标注在施工图的设计说明中。空调冷（热）水系统耗电输冷（热）比计算应符合下列规定。</w:t>
      </w:r>
    </w:p>
    <w:p w14:paraId="68EA882C" w14:textId="77777777" w:rsidR="00E443CB" w:rsidRPr="0081478A" w:rsidRDefault="00E443CB" w:rsidP="00E443CB">
      <w:pPr>
        <w:ind w:firstLine="420"/>
        <w:rPr>
          <w:rFonts w:cs="Times New Roman"/>
        </w:rPr>
      </w:pPr>
      <w:r w:rsidRPr="0081478A">
        <w:rPr>
          <w:rFonts w:cs="Times New Roman"/>
        </w:rPr>
        <w:t>空调冷（热）水系统耗电输冷（热）比应为</w:t>
      </w:r>
    </w:p>
    <w:p w14:paraId="0877007D" w14:textId="77777777" w:rsidR="00E443CB" w:rsidRPr="0081478A" w:rsidRDefault="00E443CB" w:rsidP="00E443CB">
      <w:pPr>
        <w:tabs>
          <w:tab w:val="center" w:pos="3682"/>
          <w:tab w:val="right" w:pos="7461"/>
        </w:tabs>
        <w:topLinePunct/>
        <w:adjustRightInd w:val="0"/>
        <w:snapToGrid w:val="0"/>
        <w:spacing w:line="320" w:lineRule="atLeast"/>
        <w:ind w:firstLineChars="0" w:firstLine="0"/>
        <w:jc w:val="center"/>
        <w:textAlignment w:val="center"/>
        <w:rPr>
          <w:rFonts w:cs="Times New Roman"/>
          <w:kern w:val="21"/>
          <w:szCs w:val="24"/>
        </w:rPr>
      </w:pPr>
      <w:r w:rsidRPr="0081478A">
        <w:rPr>
          <w:rFonts w:cs="Times New Roman"/>
          <w:noProof/>
          <w:kern w:val="21"/>
          <w:szCs w:val="24"/>
        </w:rPr>
        <w:drawing>
          <wp:inline distT="0" distB="0" distL="0" distR="0" wp14:anchorId="58263CCB" wp14:editId="4DF70D63">
            <wp:extent cx="3406140" cy="243840"/>
            <wp:effectExtent l="0" t="0" r="3810" b="381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406140" cy="243840"/>
                    </a:xfrm>
                    <a:prstGeom prst="rect">
                      <a:avLst/>
                    </a:prstGeom>
                    <a:noFill/>
                    <a:ln>
                      <a:noFill/>
                    </a:ln>
                  </pic:spPr>
                </pic:pic>
              </a:graphicData>
            </a:graphic>
          </wp:inline>
        </w:drawing>
      </w:r>
    </w:p>
    <w:p w14:paraId="585A8297" w14:textId="77777777" w:rsidR="00E443CB" w:rsidRPr="0081478A" w:rsidRDefault="00E443CB" w:rsidP="00E443CB">
      <w:pPr>
        <w:ind w:firstLine="420"/>
        <w:rPr>
          <w:rFonts w:cs="Times New Roman"/>
        </w:rPr>
      </w:pPr>
      <w:r w:rsidRPr="0081478A">
        <w:rPr>
          <w:rFonts w:cs="Times New Roman"/>
        </w:rPr>
        <w:t>式中，</w:t>
      </w:r>
      <w:r w:rsidRPr="0081478A">
        <w:rPr>
          <w:rFonts w:cs="Times New Roman"/>
          <w:noProof/>
          <w:position w:val="-10"/>
        </w:rPr>
        <w:drawing>
          <wp:inline distT="0" distB="0" distL="0" distR="0" wp14:anchorId="19C98069" wp14:editId="624FEFC5">
            <wp:extent cx="594360" cy="19050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94360" cy="1905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空调冷（热）水系统循环水泵的耗电输冷（热）比；</w:t>
      </w:r>
    </w:p>
    <w:p w14:paraId="2350CA20" w14:textId="77777777" w:rsidR="00E443CB" w:rsidRPr="0081478A" w:rsidRDefault="00E443CB" w:rsidP="00E443CB">
      <w:pPr>
        <w:ind w:firstLine="420"/>
        <w:rPr>
          <w:rFonts w:cs="Times New Roman"/>
        </w:rPr>
      </w:pPr>
      <w:r w:rsidRPr="0081478A">
        <w:rPr>
          <w:rFonts w:cs="Times New Roman"/>
          <w:noProof/>
          <w:position w:val="-6"/>
        </w:rPr>
        <w:drawing>
          <wp:inline distT="0" distB="0" distL="0" distR="0" wp14:anchorId="2FAE382D" wp14:editId="49ADE77F">
            <wp:extent cx="152400" cy="1676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2400" cy="16764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每台运行水泵的设计流量，</w:t>
      </w:r>
      <w:r w:rsidRPr="0081478A">
        <w:rPr>
          <w:rFonts w:cs="Times New Roman"/>
        </w:rPr>
        <w:t>m</w:t>
      </w:r>
      <w:r w:rsidRPr="0081478A">
        <w:rPr>
          <w:rFonts w:cs="Times New Roman"/>
          <w:vertAlign w:val="superscript"/>
        </w:rPr>
        <w:t>3</w:t>
      </w:r>
      <w:r w:rsidRPr="0081478A">
        <w:rPr>
          <w:rFonts w:cs="Times New Roman"/>
        </w:rPr>
        <w:t>/h</w:t>
      </w:r>
      <w:r w:rsidRPr="0081478A">
        <w:rPr>
          <w:rFonts w:cs="Times New Roman"/>
        </w:rPr>
        <w:t>；</w:t>
      </w:r>
    </w:p>
    <w:p w14:paraId="6D66FD59" w14:textId="77777777" w:rsidR="00E443CB" w:rsidRPr="0081478A" w:rsidRDefault="00E443CB" w:rsidP="00E443CB">
      <w:pPr>
        <w:ind w:firstLine="420"/>
        <w:rPr>
          <w:rFonts w:cs="Times New Roman"/>
        </w:rPr>
      </w:pPr>
      <w:r w:rsidRPr="0081478A">
        <w:rPr>
          <w:rFonts w:cs="Times New Roman"/>
          <w:noProof/>
          <w:position w:val="-4"/>
        </w:rPr>
        <w:drawing>
          <wp:inline distT="0" distB="0" distL="0" distR="0" wp14:anchorId="2F96C21D" wp14:editId="45A1973F">
            <wp:extent cx="167640" cy="15240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7640" cy="1524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每台运行水泵对应的设计扬程，</w:t>
      </w:r>
      <w:r w:rsidRPr="0081478A">
        <w:rPr>
          <w:rFonts w:cs="Times New Roman"/>
        </w:rPr>
        <w:t>mH</w:t>
      </w:r>
      <w:r w:rsidRPr="0081478A">
        <w:rPr>
          <w:rFonts w:cs="Times New Roman"/>
          <w:vertAlign w:val="subscript"/>
        </w:rPr>
        <w:t>2</w:t>
      </w:r>
      <w:r w:rsidRPr="0081478A">
        <w:rPr>
          <w:rFonts w:cs="Times New Roman"/>
        </w:rPr>
        <w:t>O</w:t>
      </w:r>
      <w:r w:rsidRPr="0081478A">
        <w:rPr>
          <w:rFonts w:cs="Times New Roman"/>
        </w:rPr>
        <w:t>；</w:t>
      </w:r>
    </w:p>
    <w:p w14:paraId="2312235D" w14:textId="77777777" w:rsidR="00E443CB" w:rsidRPr="0081478A" w:rsidRDefault="00E443CB" w:rsidP="00E443CB">
      <w:pPr>
        <w:ind w:firstLine="420"/>
        <w:rPr>
          <w:rFonts w:cs="Times New Roman"/>
        </w:rPr>
      </w:pPr>
      <w:r w:rsidRPr="0081478A">
        <w:rPr>
          <w:rFonts w:cs="Times New Roman"/>
          <w:noProof/>
          <w:position w:val="-10"/>
        </w:rPr>
        <w:drawing>
          <wp:inline distT="0" distB="0" distL="0" distR="0" wp14:anchorId="63341504" wp14:editId="60171F15">
            <wp:extent cx="152400" cy="205740"/>
            <wp:effectExtent l="0" t="0" r="0" b="381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2400" cy="20574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每台运行水泵对应的设计工作点效率；</w:t>
      </w:r>
    </w:p>
    <w:p w14:paraId="09E36D25" w14:textId="77777777" w:rsidR="00E443CB" w:rsidRPr="0081478A" w:rsidRDefault="00E443CB" w:rsidP="00E443CB">
      <w:pPr>
        <w:ind w:firstLine="420"/>
        <w:rPr>
          <w:rFonts w:cs="Times New Roman"/>
        </w:rPr>
      </w:pPr>
      <w:r w:rsidRPr="0081478A">
        <w:rPr>
          <w:rFonts w:cs="Times New Roman"/>
          <w:noProof/>
          <w:position w:val="-10"/>
        </w:rPr>
        <w:drawing>
          <wp:inline distT="0" distB="0" distL="0" distR="0" wp14:anchorId="7210404B" wp14:editId="747F6B03">
            <wp:extent cx="137160" cy="19050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37160" cy="1905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设计冷（热）负荷，</w:t>
      </w:r>
      <w:r w:rsidRPr="0081478A">
        <w:rPr>
          <w:rFonts w:cs="Times New Roman"/>
        </w:rPr>
        <w:t>kW</w:t>
      </w:r>
      <w:r w:rsidRPr="0081478A">
        <w:rPr>
          <w:rFonts w:cs="Times New Roman"/>
        </w:rPr>
        <w:t>；</w:t>
      </w:r>
    </w:p>
    <w:p w14:paraId="74DEED6B" w14:textId="6CD96CF2" w:rsidR="00E443CB" w:rsidRPr="0081478A" w:rsidRDefault="00E443CB" w:rsidP="00E443CB">
      <w:pPr>
        <w:ind w:firstLine="420"/>
        <w:rPr>
          <w:rFonts w:cs="Times New Roman"/>
        </w:rPr>
      </w:pPr>
      <w:r w:rsidRPr="0081478A">
        <w:rPr>
          <w:rFonts w:cs="Times New Roman"/>
          <w:noProof/>
          <w:position w:val="-4"/>
        </w:rPr>
        <w:drawing>
          <wp:inline distT="0" distB="0" distL="0" distR="0" wp14:anchorId="57395656" wp14:editId="4DB21202">
            <wp:extent cx="213360" cy="152400"/>
            <wp:effectExtent l="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3360" cy="1524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规定的计算供回水温差，</w:t>
      </w:r>
      <w:r w:rsidRPr="0081478A">
        <w:rPr>
          <w:rFonts w:cs="Times New Roman"/>
        </w:rPr>
        <w:t>℃</w:t>
      </w:r>
      <w:r w:rsidRPr="0081478A">
        <w:rPr>
          <w:rFonts w:cs="Times New Roman"/>
        </w:rPr>
        <w:t>，按表</w:t>
      </w:r>
      <w:r w:rsidR="004802E4" w:rsidRPr="004802E4">
        <w:rPr>
          <w:rFonts w:cs="Times New Roman"/>
        </w:rPr>
        <w:t>7.2.6-</w:t>
      </w:r>
      <w:r w:rsidR="004802E4">
        <w:rPr>
          <w:rFonts w:cs="Times New Roman"/>
        </w:rPr>
        <w:t>2</w:t>
      </w:r>
      <w:r w:rsidRPr="0081478A">
        <w:rPr>
          <w:rFonts w:cs="Times New Roman"/>
        </w:rPr>
        <w:t>选取；</w:t>
      </w:r>
    </w:p>
    <w:p w14:paraId="27471EEE" w14:textId="6C356A9C" w:rsidR="00E443CB" w:rsidRPr="0081478A" w:rsidRDefault="00E443CB" w:rsidP="00E443CB">
      <w:pPr>
        <w:ind w:firstLine="420"/>
        <w:rPr>
          <w:rFonts w:cs="Times New Roman"/>
        </w:rPr>
      </w:pPr>
      <w:r w:rsidRPr="0081478A">
        <w:rPr>
          <w:rFonts w:cs="Times New Roman"/>
          <w:noProof/>
          <w:position w:val="-4"/>
        </w:rPr>
        <w:drawing>
          <wp:inline distT="0" distB="0" distL="0" distR="0" wp14:anchorId="4369BEBA" wp14:editId="4AC6C3E8">
            <wp:extent cx="137160" cy="15240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与水泵流量有关的计算系数，按表</w:t>
      </w:r>
      <w:r w:rsidR="00EE6897" w:rsidRPr="004802E4">
        <w:rPr>
          <w:rFonts w:cs="Times New Roman"/>
        </w:rPr>
        <w:t>7.2.6-</w:t>
      </w:r>
      <w:r w:rsidR="00EE6897">
        <w:rPr>
          <w:rFonts w:cs="Times New Roman"/>
        </w:rPr>
        <w:t>3</w:t>
      </w:r>
      <w:r w:rsidRPr="0081478A">
        <w:rPr>
          <w:rFonts w:cs="Times New Roman"/>
        </w:rPr>
        <w:t>选取；</w:t>
      </w:r>
    </w:p>
    <w:p w14:paraId="6E7A4A14" w14:textId="5847D5B0" w:rsidR="00E443CB" w:rsidRPr="0081478A" w:rsidRDefault="00E443CB" w:rsidP="00E443CB">
      <w:pPr>
        <w:ind w:firstLine="420"/>
        <w:rPr>
          <w:rFonts w:cs="Times New Roman"/>
        </w:rPr>
      </w:pPr>
      <w:r w:rsidRPr="0081478A">
        <w:rPr>
          <w:rFonts w:cs="Times New Roman"/>
          <w:noProof/>
          <w:position w:val="-4"/>
        </w:rPr>
        <w:drawing>
          <wp:inline distT="0" distB="0" distL="0" distR="0" wp14:anchorId="4656690F" wp14:editId="7C092CC0">
            <wp:extent cx="137160" cy="152400"/>
            <wp:effectExtent l="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7160" cy="1524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与机房及用户的水阻力有关的计算系数，按表</w:t>
      </w:r>
      <w:r w:rsidR="00EE6897" w:rsidRPr="004802E4">
        <w:rPr>
          <w:rFonts w:cs="Times New Roman"/>
        </w:rPr>
        <w:t>7.2.6-</w:t>
      </w:r>
      <w:r w:rsidR="00EE6897">
        <w:rPr>
          <w:rFonts w:cs="Times New Roman"/>
        </w:rPr>
        <w:t>4</w:t>
      </w:r>
      <w:r w:rsidRPr="0081478A">
        <w:rPr>
          <w:rFonts w:cs="Times New Roman"/>
        </w:rPr>
        <w:t>选取；</w:t>
      </w:r>
    </w:p>
    <w:p w14:paraId="6478D541" w14:textId="0D7F21DE" w:rsidR="00E443CB" w:rsidRPr="0081478A" w:rsidRDefault="00E443CB" w:rsidP="00E443CB">
      <w:pPr>
        <w:ind w:firstLine="420"/>
        <w:rPr>
          <w:rFonts w:cs="Times New Roman"/>
        </w:rPr>
      </w:pPr>
      <w:r w:rsidRPr="0081478A">
        <w:rPr>
          <w:rFonts w:cs="Times New Roman"/>
          <w:noProof/>
          <w:position w:val="-6"/>
        </w:rPr>
        <w:drawing>
          <wp:inline distT="0" distB="0" distL="0" distR="0" wp14:anchorId="0706CCD2" wp14:editId="2AEC4C90">
            <wp:extent cx="137160" cy="129540"/>
            <wp:effectExtent l="0" t="0" r="0" b="381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7160" cy="12954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与</w:t>
      </w:r>
      <w:r w:rsidRPr="0081478A">
        <w:rPr>
          <w:rFonts w:cs="Times New Roman"/>
          <w:noProof/>
          <w:position w:val="-12"/>
        </w:rPr>
        <w:drawing>
          <wp:inline distT="0" distB="0" distL="0" distR="0" wp14:anchorId="4641F399" wp14:editId="6B2B12C4">
            <wp:extent cx="281940" cy="22860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rsidRPr="0081478A">
        <w:rPr>
          <w:rFonts w:cs="Times New Roman"/>
        </w:rPr>
        <w:t>有关的计算系数，按表</w:t>
      </w:r>
      <w:r w:rsidR="00EE6897" w:rsidRPr="004802E4">
        <w:rPr>
          <w:rFonts w:cs="Times New Roman"/>
        </w:rPr>
        <w:t>7.2.6-</w:t>
      </w:r>
      <w:r w:rsidR="00EE6897">
        <w:rPr>
          <w:rFonts w:cs="Times New Roman"/>
        </w:rPr>
        <w:t>5</w:t>
      </w:r>
      <w:r w:rsidRPr="0081478A">
        <w:rPr>
          <w:rFonts w:cs="Times New Roman"/>
        </w:rPr>
        <w:t>或表</w:t>
      </w:r>
      <w:r w:rsidR="00EE6897" w:rsidRPr="004802E4">
        <w:rPr>
          <w:rFonts w:cs="Times New Roman"/>
        </w:rPr>
        <w:t>7.2.6-</w:t>
      </w:r>
      <w:r w:rsidR="00EE6897">
        <w:rPr>
          <w:rFonts w:cs="Times New Roman"/>
        </w:rPr>
        <w:t>6</w:t>
      </w:r>
      <w:r w:rsidRPr="0081478A">
        <w:rPr>
          <w:rFonts w:cs="Times New Roman"/>
        </w:rPr>
        <w:t>选取；</w:t>
      </w:r>
    </w:p>
    <w:p w14:paraId="0A99FF59" w14:textId="77777777" w:rsidR="00E443CB" w:rsidRPr="0081478A" w:rsidRDefault="00E443CB" w:rsidP="00E443CB">
      <w:pPr>
        <w:ind w:firstLine="420"/>
        <w:rPr>
          <w:rFonts w:cs="Times New Roman"/>
        </w:rPr>
      </w:pPr>
      <w:r w:rsidRPr="0081478A">
        <w:rPr>
          <w:rFonts w:cs="Times New Roman"/>
          <w:noProof/>
          <w:position w:val="-12"/>
        </w:rPr>
        <w:drawing>
          <wp:inline distT="0" distB="0" distL="0" distR="0" wp14:anchorId="6E7BCF67" wp14:editId="1ED09955">
            <wp:extent cx="281940" cy="228600"/>
            <wp:effectExtent l="0" t="0" r="381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940" cy="228600"/>
                    </a:xfrm>
                    <a:prstGeom prst="rect">
                      <a:avLst/>
                    </a:prstGeom>
                    <a:noFill/>
                    <a:ln>
                      <a:noFill/>
                    </a:ln>
                  </pic:spPr>
                </pic:pic>
              </a:graphicData>
            </a:graphic>
          </wp:inline>
        </w:drawing>
      </w:r>
      <w:r w:rsidRPr="0081478A">
        <w:rPr>
          <w:rFonts w:cs="Times New Roman"/>
          <w:spacing w:val="-8"/>
        </w:rPr>
        <w:t>—</w:t>
      </w:r>
      <w:r w:rsidRPr="0081478A">
        <w:rPr>
          <w:rFonts w:cs="Times New Roman"/>
        </w:rPr>
        <w:t>—</w:t>
      </w:r>
      <w:r w:rsidRPr="0081478A">
        <w:rPr>
          <w:rFonts w:cs="Times New Roman"/>
        </w:rPr>
        <w:t>从冷</w:t>
      </w:r>
      <w:r w:rsidRPr="0081478A">
        <w:rPr>
          <w:rFonts w:cs="Times New Roman"/>
          <w:spacing w:val="-2"/>
        </w:rPr>
        <w:t>热机房出口至该系统最远用户供回水管道的总输送长</w:t>
      </w:r>
      <w:r w:rsidRPr="0081478A">
        <w:rPr>
          <w:rFonts w:cs="Times New Roman"/>
        </w:rPr>
        <w:t>度，</w:t>
      </w:r>
      <w:r w:rsidRPr="0081478A">
        <w:rPr>
          <w:rFonts w:cs="Times New Roman"/>
        </w:rPr>
        <w:t>m</w:t>
      </w:r>
      <w:r w:rsidRPr="0081478A">
        <w:rPr>
          <w:rFonts w:cs="Times New Roman"/>
        </w:rPr>
        <w:t>。</w:t>
      </w:r>
    </w:p>
    <w:p w14:paraId="50E5BFEA" w14:textId="04BC9BDA" w:rsidR="00E443CB" w:rsidRPr="0081478A" w:rsidRDefault="00E443CB" w:rsidP="00E443CB">
      <w:pPr>
        <w:pStyle w:val="ae"/>
        <w:rPr>
          <w:rFonts w:cs="Times New Roman"/>
          <w:b w:val="0"/>
          <w:bCs/>
        </w:rPr>
      </w:pPr>
      <w:r w:rsidRPr="0081478A">
        <w:rPr>
          <w:rFonts w:cs="Times New Roman"/>
        </w:rPr>
        <w:tab/>
      </w:r>
      <w:r w:rsidRPr="0081478A">
        <w:rPr>
          <w:rFonts w:cs="Times New Roman"/>
          <w:b w:val="0"/>
          <w:bCs/>
        </w:rPr>
        <w:t>表</w:t>
      </w:r>
      <w:r w:rsidR="00A54046" w:rsidRPr="0081478A">
        <w:rPr>
          <w:rFonts w:cs="Times New Roman"/>
          <w:b w:val="0"/>
          <w:bCs/>
        </w:rPr>
        <w:t>7.2.6-2</w:t>
      </w:r>
      <w:r w:rsidR="00E26752">
        <w:rPr>
          <w:rFonts w:cs="Times New Roman"/>
          <w:b w:val="0"/>
          <w:bCs/>
        </w:rPr>
        <w:t xml:space="preserve"> </w:t>
      </w:r>
      <w:r w:rsidRPr="0081478A">
        <w:rPr>
          <w:rFonts w:cs="Times New Roman"/>
          <w:b w:val="0"/>
          <w:bCs/>
        </w:rPr>
        <w:sym w:font="Symbol" w:char="F044"/>
      </w:r>
      <w:r w:rsidRPr="0081478A">
        <w:rPr>
          <w:rFonts w:cs="Times New Roman"/>
          <w:b w:val="0"/>
          <w:bCs/>
          <w:i/>
        </w:rPr>
        <w:t>T</w:t>
      </w:r>
      <w:r w:rsidRPr="0081478A">
        <w:rPr>
          <w:rFonts w:cs="Times New Roman"/>
          <w:b w:val="0"/>
          <w:bCs/>
        </w:rPr>
        <w:t xml:space="preserve"> </w:t>
      </w:r>
      <w:r w:rsidRPr="0081478A">
        <w:rPr>
          <w:rFonts w:cs="Times New Roman"/>
          <w:b w:val="0"/>
          <w:bCs/>
        </w:rPr>
        <w:t>值</w:t>
      </w:r>
      <w:r w:rsidRPr="0081478A">
        <w:rPr>
          <w:rFonts w:cs="Times New Roman"/>
          <w:b w:val="0"/>
          <w:bCs/>
        </w:rPr>
        <w:tab/>
      </w:r>
      <w:r w:rsidRPr="0081478A">
        <w:rPr>
          <w:rFonts w:cs="Times New Roman"/>
          <w:b w:val="0"/>
          <w:bCs/>
        </w:rPr>
        <w:t>单位：</w:t>
      </w:r>
      <w:r w:rsidRPr="0081478A">
        <w:rPr>
          <w:rFonts w:cs="Times New Roman"/>
          <w:b w:val="0"/>
          <w:bCs/>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 w:type="dxa"/>
        </w:tblCellMar>
        <w:tblLook w:val="04A0" w:firstRow="1" w:lastRow="0" w:firstColumn="1" w:lastColumn="0" w:noHBand="0" w:noVBand="1"/>
      </w:tblPr>
      <w:tblGrid>
        <w:gridCol w:w="3401"/>
        <w:gridCol w:w="5127"/>
      </w:tblGrid>
      <w:tr w:rsidR="0081478A" w:rsidRPr="0081478A" w14:paraId="454C3759" w14:textId="77777777" w:rsidTr="00EE6897">
        <w:trPr>
          <w:trHeight w:val="274"/>
          <w:jc w:val="center"/>
        </w:trPr>
        <w:tc>
          <w:tcPr>
            <w:tcW w:w="1994" w:type="pct"/>
            <w:vMerge w:val="restart"/>
            <w:shd w:val="clear" w:color="auto" w:fill="auto"/>
            <w:vAlign w:val="center"/>
            <w:hideMark/>
          </w:tcPr>
          <w:p w14:paraId="190051E5" w14:textId="77777777" w:rsidR="00E443CB" w:rsidRPr="0081478A" w:rsidRDefault="00E443CB" w:rsidP="00E443CB">
            <w:pPr>
              <w:pStyle w:val="ae"/>
              <w:rPr>
                <w:rFonts w:cs="Times New Roman"/>
                <w:b w:val="0"/>
                <w:bCs/>
              </w:rPr>
            </w:pPr>
            <w:r w:rsidRPr="0081478A">
              <w:rPr>
                <w:rFonts w:cs="Times New Roman"/>
                <w:b w:val="0"/>
                <w:bCs/>
              </w:rPr>
              <w:t>冷水系统</w:t>
            </w:r>
          </w:p>
        </w:tc>
        <w:tc>
          <w:tcPr>
            <w:tcW w:w="3006" w:type="pct"/>
            <w:shd w:val="clear" w:color="auto" w:fill="auto"/>
            <w:vAlign w:val="center"/>
            <w:hideMark/>
          </w:tcPr>
          <w:p w14:paraId="3C528885" w14:textId="77777777" w:rsidR="00E443CB" w:rsidRPr="0081478A" w:rsidRDefault="00E443CB" w:rsidP="00E443CB">
            <w:pPr>
              <w:pStyle w:val="ae"/>
              <w:rPr>
                <w:rFonts w:cs="Times New Roman"/>
                <w:b w:val="0"/>
                <w:bCs/>
              </w:rPr>
            </w:pPr>
            <w:r w:rsidRPr="0081478A">
              <w:rPr>
                <w:rFonts w:cs="Times New Roman"/>
                <w:b w:val="0"/>
                <w:bCs/>
              </w:rPr>
              <w:t>热水系统</w:t>
            </w:r>
          </w:p>
        </w:tc>
      </w:tr>
      <w:tr w:rsidR="00EE6897" w:rsidRPr="0081478A" w14:paraId="63F44AFA" w14:textId="77777777" w:rsidTr="00EE6897">
        <w:trPr>
          <w:trHeight w:val="274"/>
          <w:jc w:val="center"/>
        </w:trPr>
        <w:tc>
          <w:tcPr>
            <w:tcW w:w="1994" w:type="pct"/>
            <w:vMerge/>
            <w:vAlign w:val="center"/>
            <w:hideMark/>
          </w:tcPr>
          <w:p w14:paraId="17F433CA" w14:textId="77777777" w:rsidR="00EE6897" w:rsidRPr="0081478A" w:rsidRDefault="00EE6897" w:rsidP="00E443CB">
            <w:pPr>
              <w:pStyle w:val="ae"/>
              <w:rPr>
                <w:rFonts w:cs="Times New Roman"/>
                <w:b w:val="0"/>
                <w:bCs/>
              </w:rPr>
            </w:pPr>
          </w:p>
        </w:tc>
        <w:tc>
          <w:tcPr>
            <w:tcW w:w="3006" w:type="pct"/>
            <w:shd w:val="clear" w:color="auto" w:fill="auto"/>
            <w:vAlign w:val="center"/>
            <w:hideMark/>
          </w:tcPr>
          <w:p w14:paraId="30387AC7" w14:textId="77777777" w:rsidR="00EE6897" w:rsidRPr="0081478A" w:rsidRDefault="00EE6897" w:rsidP="00E443CB">
            <w:pPr>
              <w:pStyle w:val="ae"/>
              <w:rPr>
                <w:rFonts w:cs="Times New Roman"/>
                <w:b w:val="0"/>
                <w:bCs/>
              </w:rPr>
            </w:pPr>
            <w:r w:rsidRPr="0081478A">
              <w:rPr>
                <w:rFonts w:cs="Times New Roman"/>
                <w:b w:val="0"/>
                <w:bCs/>
              </w:rPr>
              <w:t>夏热冬冷地区</w:t>
            </w:r>
          </w:p>
        </w:tc>
      </w:tr>
      <w:tr w:rsidR="00EE6897" w:rsidRPr="0081478A" w14:paraId="0949227B" w14:textId="77777777" w:rsidTr="00EE6897">
        <w:trPr>
          <w:trHeight w:val="274"/>
          <w:jc w:val="center"/>
        </w:trPr>
        <w:tc>
          <w:tcPr>
            <w:tcW w:w="1994" w:type="pct"/>
            <w:shd w:val="clear" w:color="auto" w:fill="auto"/>
            <w:vAlign w:val="center"/>
            <w:hideMark/>
          </w:tcPr>
          <w:p w14:paraId="2DED514F" w14:textId="77777777" w:rsidR="00EE6897" w:rsidRPr="0081478A" w:rsidRDefault="00EE6897" w:rsidP="00E443CB">
            <w:pPr>
              <w:pStyle w:val="ae"/>
              <w:rPr>
                <w:rFonts w:cs="Times New Roman"/>
                <w:b w:val="0"/>
                <w:bCs/>
              </w:rPr>
            </w:pPr>
            <w:r w:rsidRPr="0081478A">
              <w:rPr>
                <w:rFonts w:cs="Times New Roman"/>
                <w:b w:val="0"/>
                <w:bCs/>
              </w:rPr>
              <w:t>5</w:t>
            </w:r>
          </w:p>
        </w:tc>
        <w:tc>
          <w:tcPr>
            <w:tcW w:w="3006" w:type="pct"/>
            <w:shd w:val="clear" w:color="auto" w:fill="auto"/>
            <w:vAlign w:val="center"/>
            <w:hideMark/>
          </w:tcPr>
          <w:p w14:paraId="3C0B6044" w14:textId="77777777" w:rsidR="00EE6897" w:rsidRPr="0081478A" w:rsidRDefault="00EE6897" w:rsidP="00E443CB">
            <w:pPr>
              <w:pStyle w:val="ae"/>
              <w:rPr>
                <w:rFonts w:cs="Times New Roman"/>
                <w:b w:val="0"/>
                <w:bCs/>
              </w:rPr>
            </w:pPr>
            <w:r w:rsidRPr="0081478A">
              <w:rPr>
                <w:rFonts w:cs="Times New Roman"/>
                <w:b w:val="0"/>
                <w:bCs/>
              </w:rPr>
              <w:t>10</w:t>
            </w:r>
          </w:p>
        </w:tc>
      </w:tr>
    </w:tbl>
    <w:p w14:paraId="5BDD59C0" w14:textId="55E06A57" w:rsidR="00EE6897" w:rsidRPr="00537810" w:rsidRDefault="00EE6897" w:rsidP="00643310">
      <w:pPr>
        <w:pStyle w:val="ae"/>
        <w:rPr>
          <w:bCs/>
          <w:sz w:val="22"/>
        </w:rPr>
      </w:pPr>
      <w:r w:rsidRPr="00643310">
        <w:rPr>
          <w:rFonts w:hint="eastAsia"/>
          <w:b w:val="0"/>
          <w:bCs/>
        </w:rPr>
        <w:t>表</w:t>
      </w:r>
      <w:r w:rsidRPr="0081478A">
        <w:rPr>
          <w:rFonts w:cs="Times New Roman"/>
          <w:b w:val="0"/>
          <w:bCs/>
        </w:rPr>
        <w:t>7.2.6-</w:t>
      </w:r>
      <w:r>
        <w:rPr>
          <w:rFonts w:cs="Times New Roman"/>
          <w:b w:val="0"/>
          <w:bCs/>
        </w:rPr>
        <w:t>3</w:t>
      </w:r>
      <w:r w:rsidRPr="00643310">
        <w:rPr>
          <w:b w:val="0"/>
          <w:bCs/>
        </w:rPr>
        <w:t xml:space="preserve"> </w:t>
      </w:r>
      <w:r w:rsidRPr="00643310">
        <w:rPr>
          <w:b w:val="0"/>
          <w:bCs/>
          <w:i/>
        </w:rPr>
        <w:t>A</w:t>
      </w:r>
      <w:r w:rsidRPr="00643310">
        <w:rPr>
          <w:rFonts w:hint="eastAsia"/>
          <w:b w:val="0"/>
          <w:bCs/>
        </w:rPr>
        <w:t>值</w:t>
      </w:r>
    </w:p>
    <w:tbl>
      <w:tblPr>
        <w:tblStyle w:val="41"/>
        <w:tblW w:w="5000" w:type="pct"/>
        <w:tblLook w:val="04A0" w:firstRow="1" w:lastRow="0" w:firstColumn="1" w:lastColumn="0" w:noHBand="0" w:noVBand="1"/>
      </w:tblPr>
      <w:tblGrid>
        <w:gridCol w:w="2132"/>
        <w:gridCol w:w="2132"/>
        <w:gridCol w:w="2132"/>
        <w:gridCol w:w="2132"/>
      </w:tblGrid>
      <w:tr w:rsidR="00EE6897" w:rsidRPr="00EE6897" w14:paraId="6DBD5287" w14:textId="77777777" w:rsidTr="009252F8">
        <w:tc>
          <w:tcPr>
            <w:tcW w:w="1250" w:type="pct"/>
            <w:vAlign w:val="center"/>
            <w:hideMark/>
          </w:tcPr>
          <w:p w14:paraId="55C90CDD" w14:textId="77777777" w:rsidR="00EE6897" w:rsidRPr="00537810" w:rsidRDefault="00EE6897" w:rsidP="009252F8">
            <w:pPr>
              <w:pStyle w:val="ae"/>
              <w:rPr>
                <w:bCs/>
              </w:rPr>
            </w:pPr>
            <w:r w:rsidRPr="00643310">
              <w:rPr>
                <w:rFonts w:hint="eastAsia"/>
                <w:b w:val="0"/>
                <w:bCs/>
              </w:rPr>
              <w:t>设计水泵流量</w:t>
            </w:r>
            <w:r w:rsidRPr="00643310">
              <w:rPr>
                <w:b w:val="0"/>
                <w:bCs/>
                <w:i/>
              </w:rPr>
              <w:t>G</w:t>
            </w:r>
          </w:p>
        </w:tc>
        <w:tc>
          <w:tcPr>
            <w:tcW w:w="1250" w:type="pct"/>
            <w:vAlign w:val="center"/>
            <w:hideMark/>
          </w:tcPr>
          <w:p w14:paraId="1CFF6CA1" w14:textId="77777777" w:rsidR="00EE6897" w:rsidRPr="00537810" w:rsidRDefault="00EE6897" w:rsidP="009252F8">
            <w:pPr>
              <w:pStyle w:val="ae"/>
              <w:rPr>
                <w:bCs/>
              </w:rPr>
            </w:pPr>
            <w:r w:rsidRPr="00643310">
              <w:rPr>
                <w:b w:val="0"/>
                <w:bCs/>
                <w:i/>
              </w:rPr>
              <w:t>G</w:t>
            </w:r>
            <w:r w:rsidRPr="00643310">
              <w:rPr>
                <w:rFonts w:hint="eastAsia"/>
                <w:b w:val="0"/>
                <w:bCs/>
              </w:rPr>
              <w:t>≤</w:t>
            </w:r>
            <w:r w:rsidRPr="00643310">
              <w:rPr>
                <w:b w:val="0"/>
                <w:bCs/>
              </w:rPr>
              <w:t>60m</w:t>
            </w:r>
            <w:r w:rsidRPr="00643310">
              <w:rPr>
                <w:b w:val="0"/>
                <w:bCs/>
                <w:vertAlign w:val="superscript"/>
              </w:rPr>
              <w:t>3</w:t>
            </w:r>
            <w:r w:rsidRPr="00643310">
              <w:rPr>
                <w:b w:val="0"/>
                <w:bCs/>
              </w:rPr>
              <w:t>/h</w:t>
            </w:r>
          </w:p>
        </w:tc>
        <w:tc>
          <w:tcPr>
            <w:tcW w:w="1250" w:type="pct"/>
            <w:vAlign w:val="center"/>
            <w:hideMark/>
          </w:tcPr>
          <w:p w14:paraId="0DF71703" w14:textId="77777777" w:rsidR="00EE6897" w:rsidRPr="00537810" w:rsidRDefault="00EE6897" w:rsidP="009252F8">
            <w:pPr>
              <w:pStyle w:val="ae"/>
              <w:rPr>
                <w:bCs/>
              </w:rPr>
            </w:pPr>
            <w:r w:rsidRPr="00643310">
              <w:rPr>
                <w:b w:val="0"/>
                <w:bCs/>
              </w:rPr>
              <w:t>60m</w:t>
            </w:r>
            <w:r w:rsidRPr="00643310">
              <w:rPr>
                <w:b w:val="0"/>
                <w:bCs/>
                <w:vertAlign w:val="superscript"/>
              </w:rPr>
              <w:t>3</w:t>
            </w:r>
            <w:r w:rsidRPr="00643310">
              <w:rPr>
                <w:b w:val="0"/>
                <w:bCs/>
              </w:rPr>
              <w:t>/h</w:t>
            </w:r>
            <w:r w:rsidRPr="00643310">
              <w:rPr>
                <w:rFonts w:hint="eastAsia"/>
                <w:b w:val="0"/>
                <w:bCs/>
              </w:rPr>
              <w:t>＜</w:t>
            </w:r>
            <w:r w:rsidRPr="00643310">
              <w:rPr>
                <w:b w:val="0"/>
                <w:bCs/>
                <w:i/>
              </w:rPr>
              <w:t>G</w:t>
            </w:r>
            <w:r w:rsidRPr="00643310">
              <w:rPr>
                <w:rFonts w:hint="eastAsia"/>
                <w:b w:val="0"/>
                <w:bCs/>
              </w:rPr>
              <w:t>≤</w:t>
            </w:r>
            <w:r w:rsidRPr="00643310">
              <w:rPr>
                <w:b w:val="0"/>
                <w:bCs/>
              </w:rPr>
              <w:t>200m</w:t>
            </w:r>
            <w:r w:rsidRPr="00643310">
              <w:rPr>
                <w:b w:val="0"/>
                <w:bCs/>
                <w:vertAlign w:val="superscript"/>
              </w:rPr>
              <w:t>3</w:t>
            </w:r>
            <w:r w:rsidRPr="00643310">
              <w:rPr>
                <w:b w:val="0"/>
                <w:bCs/>
              </w:rPr>
              <w:t>/h</w:t>
            </w:r>
          </w:p>
        </w:tc>
        <w:tc>
          <w:tcPr>
            <w:tcW w:w="1250" w:type="pct"/>
            <w:vAlign w:val="center"/>
            <w:hideMark/>
          </w:tcPr>
          <w:p w14:paraId="5B3A7C3F" w14:textId="77777777" w:rsidR="00EE6897" w:rsidRPr="00537810" w:rsidRDefault="00EE6897" w:rsidP="009252F8">
            <w:pPr>
              <w:pStyle w:val="ae"/>
              <w:rPr>
                <w:bCs/>
              </w:rPr>
            </w:pPr>
            <w:r w:rsidRPr="00643310">
              <w:rPr>
                <w:b w:val="0"/>
                <w:bCs/>
                <w:i/>
              </w:rPr>
              <w:t>G</w:t>
            </w:r>
            <w:r w:rsidRPr="00643310">
              <w:rPr>
                <w:rFonts w:hint="eastAsia"/>
                <w:b w:val="0"/>
                <w:bCs/>
              </w:rPr>
              <w:t>＞</w:t>
            </w:r>
            <w:r w:rsidRPr="00643310">
              <w:rPr>
                <w:b w:val="0"/>
                <w:bCs/>
              </w:rPr>
              <w:t>200m</w:t>
            </w:r>
            <w:r w:rsidRPr="00643310">
              <w:rPr>
                <w:b w:val="0"/>
                <w:bCs/>
                <w:vertAlign w:val="superscript"/>
              </w:rPr>
              <w:t>3</w:t>
            </w:r>
            <w:r w:rsidRPr="00643310">
              <w:rPr>
                <w:b w:val="0"/>
                <w:bCs/>
              </w:rPr>
              <w:t>/h</w:t>
            </w:r>
          </w:p>
        </w:tc>
      </w:tr>
      <w:tr w:rsidR="00EE6897" w:rsidRPr="00EE6897" w14:paraId="5E019496" w14:textId="77777777" w:rsidTr="009252F8">
        <w:tc>
          <w:tcPr>
            <w:tcW w:w="1250" w:type="pct"/>
            <w:vAlign w:val="center"/>
            <w:hideMark/>
          </w:tcPr>
          <w:p w14:paraId="1313F67D" w14:textId="77777777" w:rsidR="00EE6897" w:rsidRPr="00537810" w:rsidRDefault="00EE6897" w:rsidP="009252F8">
            <w:pPr>
              <w:pStyle w:val="ae"/>
              <w:rPr>
                <w:bCs/>
              </w:rPr>
            </w:pPr>
            <w:r w:rsidRPr="00643310">
              <w:rPr>
                <w:b w:val="0"/>
                <w:bCs/>
                <w:i/>
              </w:rPr>
              <w:t>A</w:t>
            </w:r>
            <w:r w:rsidRPr="00643310">
              <w:rPr>
                <w:rFonts w:hint="eastAsia"/>
                <w:b w:val="0"/>
                <w:bCs/>
              </w:rPr>
              <w:t>值</w:t>
            </w:r>
          </w:p>
        </w:tc>
        <w:tc>
          <w:tcPr>
            <w:tcW w:w="1250" w:type="pct"/>
            <w:vAlign w:val="center"/>
            <w:hideMark/>
          </w:tcPr>
          <w:p w14:paraId="7FE3CD2F" w14:textId="77777777" w:rsidR="00EE6897" w:rsidRPr="00537810" w:rsidRDefault="00EE6897" w:rsidP="009252F8">
            <w:pPr>
              <w:pStyle w:val="ae"/>
              <w:rPr>
                <w:bCs/>
              </w:rPr>
            </w:pPr>
            <w:r w:rsidRPr="00643310">
              <w:rPr>
                <w:b w:val="0"/>
                <w:bCs/>
              </w:rPr>
              <w:t>0.004 225</w:t>
            </w:r>
          </w:p>
        </w:tc>
        <w:tc>
          <w:tcPr>
            <w:tcW w:w="1250" w:type="pct"/>
            <w:vAlign w:val="center"/>
            <w:hideMark/>
          </w:tcPr>
          <w:p w14:paraId="6143719E" w14:textId="77777777" w:rsidR="00EE6897" w:rsidRPr="00537810" w:rsidRDefault="00EE6897" w:rsidP="009252F8">
            <w:pPr>
              <w:pStyle w:val="ae"/>
              <w:rPr>
                <w:bCs/>
              </w:rPr>
            </w:pPr>
            <w:r w:rsidRPr="00643310">
              <w:rPr>
                <w:b w:val="0"/>
                <w:bCs/>
              </w:rPr>
              <w:t>0.003 858</w:t>
            </w:r>
          </w:p>
        </w:tc>
        <w:tc>
          <w:tcPr>
            <w:tcW w:w="1250" w:type="pct"/>
            <w:vAlign w:val="center"/>
            <w:hideMark/>
          </w:tcPr>
          <w:p w14:paraId="736AA9D0" w14:textId="77777777" w:rsidR="00EE6897" w:rsidRPr="00537810" w:rsidRDefault="00EE6897" w:rsidP="009252F8">
            <w:pPr>
              <w:pStyle w:val="ae"/>
              <w:rPr>
                <w:bCs/>
              </w:rPr>
            </w:pPr>
            <w:r w:rsidRPr="00643310">
              <w:rPr>
                <w:b w:val="0"/>
                <w:bCs/>
              </w:rPr>
              <w:t>0.003 749</w:t>
            </w:r>
          </w:p>
        </w:tc>
      </w:tr>
    </w:tbl>
    <w:p w14:paraId="7DAE1A6D" w14:textId="77777777" w:rsidR="00EE6897" w:rsidRDefault="00EE6897" w:rsidP="00EE6897">
      <w:pPr>
        <w:pStyle w:val="9"/>
        <w:ind w:firstLine="420"/>
      </w:pPr>
    </w:p>
    <w:p w14:paraId="1B38C2EF" w14:textId="324D8755" w:rsidR="00EE6897" w:rsidRPr="00537810" w:rsidRDefault="00EE6897" w:rsidP="00643310">
      <w:pPr>
        <w:pStyle w:val="ae"/>
        <w:rPr>
          <w:bCs/>
        </w:rPr>
      </w:pPr>
      <w:r w:rsidRPr="00643310">
        <w:rPr>
          <w:rFonts w:hint="eastAsia"/>
          <w:b w:val="0"/>
          <w:bCs/>
        </w:rPr>
        <w:t>表</w:t>
      </w:r>
      <w:r w:rsidRPr="0081478A">
        <w:rPr>
          <w:rFonts w:cs="Times New Roman"/>
          <w:b w:val="0"/>
          <w:bCs/>
        </w:rPr>
        <w:t>7.2.6-</w:t>
      </w:r>
      <w:r>
        <w:rPr>
          <w:rFonts w:cs="Times New Roman"/>
          <w:b w:val="0"/>
          <w:bCs/>
        </w:rPr>
        <w:t>4</w:t>
      </w:r>
      <w:r w:rsidRPr="00643310">
        <w:rPr>
          <w:b w:val="0"/>
          <w:bCs/>
        </w:rPr>
        <w:t xml:space="preserve"> </w:t>
      </w:r>
      <w:r w:rsidRPr="00643310">
        <w:rPr>
          <w:b w:val="0"/>
          <w:bCs/>
          <w:i/>
        </w:rPr>
        <w:t>B</w:t>
      </w:r>
      <w:r w:rsidRPr="00643310">
        <w:rPr>
          <w:rFonts w:hint="eastAsia"/>
          <w:b w:val="0"/>
          <w:bCs/>
        </w:rPr>
        <w:t>值</w:t>
      </w:r>
    </w:p>
    <w:tbl>
      <w:tblPr>
        <w:tblStyle w:val="41"/>
        <w:tblW w:w="5000" w:type="pct"/>
        <w:tblLook w:val="04A0" w:firstRow="1" w:lastRow="0" w:firstColumn="1" w:lastColumn="0" w:noHBand="0" w:noVBand="1"/>
      </w:tblPr>
      <w:tblGrid>
        <w:gridCol w:w="1193"/>
        <w:gridCol w:w="1383"/>
        <w:gridCol w:w="3336"/>
        <w:gridCol w:w="2616"/>
      </w:tblGrid>
      <w:tr w:rsidR="00EE6897" w:rsidRPr="00EE6897" w14:paraId="21FA993A" w14:textId="77777777" w:rsidTr="00EE6897">
        <w:tc>
          <w:tcPr>
            <w:tcW w:w="1510" w:type="pct"/>
            <w:gridSpan w:val="2"/>
          </w:tcPr>
          <w:p w14:paraId="6B9AFDB3" w14:textId="77777777" w:rsidR="00EE6897" w:rsidRPr="00537810" w:rsidRDefault="00EE6897" w:rsidP="00643310">
            <w:pPr>
              <w:pStyle w:val="ae"/>
              <w:rPr>
                <w:bCs/>
              </w:rPr>
            </w:pPr>
            <w:r w:rsidRPr="00643310">
              <w:rPr>
                <w:rFonts w:hint="eastAsia"/>
                <w:b w:val="0"/>
                <w:bCs/>
              </w:rPr>
              <w:t>系统组成</w:t>
            </w:r>
          </w:p>
        </w:tc>
        <w:tc>
          <w:tcPr>
            <w:tcW w:w="1956" w:type="pct"/>
          </w:tcPr>
          <w:p w14:paraId="3403A2AE" w14:textId="50A5B9EB" w:rsidR="00EE6897" w:rsidRPr="00537810" w:rsidRDefault="00EE6897" w:rsidP="00643310">
            <w:pPr>
              <w:pStyle w:val="ae"/>
              <w:rPr>
                <w:bCs/>
              </w:rPr>
            </w:pPr>
            <w:r w:rsidRPr="00643310">
              <w:rPr>
                <w:rFonts w:hint="eastAsia"/>
                <w:b w:val="0"/>
                <w:bCs/>
              </w:rPr>
              <w:t>四管制单冷、单热管道</w:t>
            </w:r>
            <w:r w:rsidRPr="00643310">
              <w:rPr>
                <w:b w:val="0"/>
                <w:bCs/>
                <w:i/>
              </w:rPr>
              <w:t>B</w:t>
            </w:r>
            <w:r w:rsidRPr="00643310">
              <w:rPr>
                <w:rFonts w:hint="eastAsia"/>
                <w:b w:val="0"/>
                <w:bCs/>
              </w:rPr>
              <w:t>值</w:t>
            </w:r>
          </w:p>
        </w:tc>
        <w:tc>
          <w:tcPr>
            <w:tcW w:w="1534" w:type="pct"/>
          </w:tcPr>
          <w:p w14:paraId="0A84C15C" w14:textId="79458928" w:rsidR="00EE6897" w:rsidRPr="00537810" w:rsidRDefault="00EE6897" w:rsidP="00643310">
            <w:pPr>
              <w:pStyle w:val="ae"/>
              <w:rPr>
                <w:bCs/>
              </w:rPr>
            </w:pPr>
            <w:r w:rsidRPr="00643310">
              <w:rPr>
                <w:rFonts w:hint="eastAsia"/>
                <w:b w:val="0"/>
                <w:bCs/>
              </w:rPr>
              <w:t>两管制热水管道</w:t>
            </w:r>
            <w:r w:rsidRPr="00643310">
              <w:rPr>
                <w:b w:val="0"/>
                <w:bCs/>
                <w:i/>
              </w:rPr>
              <w:t>B</w:t>
            </w:r>
            <w:r w:rsidRPr="00643310">
              <w:rPr>
                <w:rFonts w:hint="eastAsia"/>
                <w:b w:val="0"/>
                <w:bCs/>
              </w:rPr>
              <w:t>值</w:t>
            </w:r>
          </w:p>
        </w:tc>
      </w:tr>
      <w:tr w:rsidR="00EE6897" w:rsidRPr="00EE6897" w14:paraId="501FDCA5" w14:textId="77777777" w:rsidTr="00EE6897">
        <w:tc>
          <w:tcPr>
            <w:tcW w:w="699" w:type="pct"/>
            <w:vMerge w:val="restart"/>
          </w:tcPr>
          <w:p w14:paraId="25D4FF64" w14:textId="77777777" w:rsidR="00EE6897" w:rsidRPr="00537810" w:rsidRDefault="00EE6897" w:rsidP="00643310">
            <w:pPr>
              <w:pStyle w:val="ae"/>
              <w:rPr>
                <w:bCs/>
              </w:rPr>
            </w:pPr>
            <w:r w:rsidRPr="00643310">
              <w:rPr>
                <w:rFonts w:hint="eastAsia"/>
                <w:b w:val="0"/>
                <w:bCs/>
              </w:rPr>
              <w:t>一级泵</w:t>
            </w:r>
          </w:p>
        </w:tc>
        <w:tc>
          <w:tcPr>
            <w:tcW w:w="811" w:type="pct"/>
          </w:tcPr>
          <w:p w14:paraId="77567771" w14:textId="77777777" w:rsidR="00EE6897" w:rsidRPr="00537810" w:rsidRDefault="00EE6897" w:rsidP="00643310">
            <w:pPr>
              <w:pStyle w:val="ae"/>
              <w:rPr>
                <w:bCs/>
              </w:rPr>
            </w:pPr>
            <w:r w:rsidRPr="00643310">
              <w:rPr>
                <w:rFonts w:hint="eastAsia"/>
                <w:b w:val="0"/>
                <w:bCs/>
              </w:rPr>
              <w:t>冷水系统</w:t>
            </w:r>
          </w:p>
        </w:tc>
        <w:tc>
          <w:tcPr>
            <w:tcW w:w="1956" w:type="pct"/>
          </w:tcPr>
          <w:p w14:paraId="4B311B44" w14:textId="77777777" w:rsidR="00EE6897" w:rsidRPr="00537810" w:rsidRDefault="00EE6897" w:rsidP="00643310">
            <w:pPr>
              <w:pStyle w:val="ae"/>
              <w:rPr>
                <w:bCs/>
              </w:rPr>
            </w:pPr>
            <w:r w:rsidRPr="00643310">
              <w:rPr>
                <w:b w:val="0"/>
                <w:bCs/>
              </w:rPr>
              <w:t>28</w:t>
            </w:r>
          </w:p>
        </w:tc>
        <w:tc>
          <w:tcPr>
            <w:tcW w:w="1534" w:type="pct"/>
          </w:tcPr>
          <w:p w14:paraId="35EFEB3A" w14:textId="77777777" w:rsidR="00EE6897" w:rsidRPr="00537810" w:rsidRDefault="00EE6897" w:rsidP="00643310">
            <w:pPr>
              <w:pStyle w:val="ae"/>
              <w:rPr>
                <w:bCs/>
              </w:rPr>
            </w:pPr>
            <w:r w:rsidRPr="00643310">
              <w:rPr>
                <w:rFonts w:hint="eastAsia"/>
                <w:b w:val="0"/>
                <w:bCs/>
              </w:rPr>
              <w:t>—</w:t>
            </w:r>
          </w:p>
        </w:tc>
      </w:tr>
      <w:tr w:rsidR="00EE6897" w:rsidRPr="00EE6897" w14:paraId="11585B46" w14:textId="77777777" w:rsidTr="00EE6897">
        <w:tc>
          <w:tcPr>
            <w:tcW w:w="699" w:type="pct"/>
            <w:vMerge/>
          </w:tcPr>
          <w:p w14:paraId="71609834" w14:textId="77777777" w:rsidR="00EE6897" w:rsidRPr="00304458" w:rsidRDefault="00EE6897" w:rsidP="00643310">
            <w:pPr>
              <w:pStyle w:val="ae"/>
              <w:rPr>
                <w:bCs/>
              </w:rPr>
            </w:pPr>
          </w:p>
        </w:tc>
        <w:tc>
          <w:tcPr>
            <w:tcW w:w="811" w:type="pct"/>
          </w:tcPr>
          <w:p w14:paraId="21BC032C" w14:textId="77777777" w:rsidR="00EE6897" w:rsidRPr="00537810" w:rsidRDefault="00EE6897" w:rsidP="00643310">
            <w:pPr>
              <w:pStyle w:val="ae"/>
              <w:rPr>
                <w:bCs/>
              </w:rPr>
            </w:pPr>
            <w:r w:rsidRPr="00643310">
              <w:rPr>
                <w:rFonts w:hint="eastAsia"/>
                <w:b w:val="0"/>
                <w:bCs/>
              </w:rPr>
              <w:t>热水系统</w:t>
            </w:r>
          </w:p>
        </w:tc>
        <w:tc>
          <w:tcPr>
            <w:tcW w:w="1956" w:type="pct"/>
          </w:tcPr>
          <w:p w14:paraId="44D26143" w14:textId="77777777" w:rsidR="00EE6897" w:rsidRPr="00537810" w:rsidRDefault="00EE6897" w:rsidP="00643310">
            <w:pPr>
              <w:pStyle w:val="ae"/>
              <w:rPr>
                <w:bCs/>
              </w:rPr>
            </w:pPr>
            <w:r w:rsidRPr="00643310">
              <w:rPr>
                <w:b w:val="0"/>
                <w:bCs/>
              </w:rPr>
              <w:t>22</w:t>
            </w:r>
          </w:p>
        </w:tc>
        <w:tc>
          <w:tcPr>
            <w:tcW w:w="1534" w:type="pct"/>
          </w:tcPr>
          <w:p w14:paraId="55EA1C9B" w14:textId="77777777" w:rsidR="00EE6897" w:rsidRPr="00537810" w:rsidRDefault="00EE6897" w:rsidP="00643310">
            <w:pPr>
              <w:pStyle w:val="ae"/>
              <w:rPr>
                <w:bCs/>
              </w:rPr>
            </w:pPr>
            <w:r w:rsidRPr="00643310">
              <w:rPr>
                <w:b w:val="0"/>
                <w:bCs/>
              </w:rPr>
              <w:t>21</w:t>
            </w:r>
          </w:p>
        </w:tc>
      </w:tr>
      <w:tr w:rsidR="00EE6897" w:rsidRPr="00EE6897" w14:paraId="5B99DC64" w14:textId="77777777" w:rsidTr="00EE6897">
        <w:tc>
          <w:tcPr>
            <w:tcW w:w="699" w:type="pct"/>
            <w:vMerge w:val="restart"/>
          </w:tcPr>
          <w:p w14:paraId="05B254AA" w14:textId="77777777" w:rsidR="00EE6897" w:rsidRPr="00537810" w:rsidRDefault="00EE6897" w:rsidP="00643310">
            <w:pPr>
              <w:pStyle w:val="ae"/>
              <w:rPr>
                <w:bCs/>
              </w:rPr>
            </w:pPr>
            <w:r w:rsidRPr="00643310">
              <w:rPr>
                <w:rFonts w:hint="eastAsia"/>
                <w:b w:val="0"/>
                <w:bCs/>
              </w:rPr>
              <w:t>二级泵</w:t>
            </w:r>
          </w:p>
        </w:tc>
        <w:tc>
          <w:tcPr>
            <w:tcW w:w="811" w:type="pct"/>
          </w:tcPr>
          <w:p w14:paraId="2566B522" w14:textId="77777777" w:rsidR="00EE6897" w:rsidRPr="00537810" w:rsidRDefault="00EE6897" w:rsidP="00643310">
            <w:pPr>
              <w:pStyle w:val="ae"/>
              <w:rPr>
                <w:bCs/>
              </w:rPr>
            </w:pPr>
            <w:r w:rsidRPr="00643310">
              <w:rPr>
                <w:rFonts w:hint="eastAsia"/>
                <w:b w:val="0"/>
                <w:bCs/>
              </w:rPr>
              <w:t>冷水系统</w:t>
            </w:r>
          </w:p>
        </w:tc>
        <w:tc>
          <w:tcPr>
            <w:tcW w:w="1956" w:type="pct"/>
          </w:tcPr>
          <w:p w14:paraId="703F95BE" w14:textId="77777777" w:rsidR="00EE6897" w:rsidRPr="00537810" w:rsidRDefault="00EE6897" w:rsidP="00643310">
            <w:pPr>
              <w:pStyle w:val="ae"/>
              <w:rPr>
                <w:bCs/>
              </w:rPr>
            </w:pPr>
            <w:r w:rsidRPr="00643310">
              <w:rPr>
                <w:b w:val="0"/>
                <w:bCs/>
              </w:rPr>
              <w:t>33</w:t>
            </w:r>
          </w:p>
        </w:tc>
        <w:tc>
          <w:tcPr>
            <w:tcW w:w="1534" w:type="pct"/>
          </w:tcPr>
          <w:p w14:paraId="5260834C" w14:textId="77777777" w:rsidR="00EE6897" w:rsidRPr="00537810" w:rsidRDefault="00EE6897" w:rsidP="00643310">
            <w:pPr>
              <w:pStyle w:val="ae"/>
              <w:rPr>
                <w:bCs/>
              </w:rPr>
            </w:pPr>
            <w:r w:rsidRPr="00643310">
              <w:rPr>
                <w:rFonts w:hint="eastAsia"/>
                <w:b w:val="0"/>
                <w:bCs/>
              </w:rPr>
              <w:t>—</w:t>
            </w:r>
          </w:p>
        </w:tc>
      </w:tr>
      <w:tr w:rsidR="00EE6897" w:rsidRPr="00EE6897" w14:paraId="364BCB8E" w14:textId="77777777" w:rsidTr="00EE6897">
        <w:tc>
          <w:tcPr>
            <w:tcW w:w="699" w:type="pct"/>
            <w:vMerge/>
          </w:tcPr>
          <w:p w14:paraId="38A8C3BE" w14:textId="77777777" w:rsidR="00EE6897" w:rsidRPr="00304458" w:rsidRDefault="00EE6897" w:rsidP="00643310">
            <w:pPr>
              <w:pStyle w:val="ae"/>
              <w:rPr>
                <w:bCs/>
              </w:rPr>
            </w:pPr>
          </w:p>
        </w:tc>
        <w:tc>
          <w:tcPr>
            <w:tcW w:w="811" w:type="pct"/>
          </w:tcPr>
          <w:p w14:paraId="3D6A1A94" w14:textId="77777777" w:rsidR="00EE6897" w:rsidRPr="00537810" w:rsidRDefault="00EE6897" w:rsidP="00643310">
            <w:pPr>
              <w:pStyle w:val="ae"/>
              <w:rPr>
                <w:bCs/>
              </w:rPr>
            </w:pPr>
            <w:r w:rsidRPr="00643310">
              <w:rPr>
                <w:rFonts w:hint="eastAsia"/>
                <w:b w:val="0"/>
                <w:bCs/>
              </w:rPr>
              <w:t>热水系统</w:t>
            </w:r>
          </w:p>
        </w:tc>
        <w:tc>
          <w:tcPr>
            <w:tcW w:w="1956" w:type="pct"/>
          </w:tcPr>
          <w:p w14:paraId="2A8A6F57" w14:textId="77777777" w:rsidR="00EE6897" w:rsidRPr="00537810" w:rsidRDefault="00EE6897" w:rsidP="00643310">
            <w:pPr>
              <w:pStyle w:val="ae"/>
              <w:rPr>
                <w:bCs/>
              </w:rPr>
            </w:pPr>
            <w:r w:rsidRPr="00643310">
              <w:rPr>
                <w:b w:val="0"/>
                <w:bCs/>
              </w:rPr>
              <w:t>27</w:t>
            </w:r>
          </w:p>
        </w:tc>
        <w:tc>
          <w:tcPr>
            <w:tcW w:w="1534" w:type="pct"/>
          </w:tcPr>
          <w:p w14:paraId="1BDE32B3" w14:textId="77777777" w:rsidR="00EE6897" w:rsidRPr="00537810" w:rsidRDefault="00EE6897" w:rsidP="00643310">
            <w:pPr>
              <w:pStyle w:val="ae"/>
              <w:rPr>
                <w:bCs/>
              </w:rPr>
            </w:pPr>
            <w:r w:rsidRPr="00643310">
              <w:rPr>
                <w:b w:val="0"/>
                <w:bCs/>
              </w:rPr>
              <w:t>25</w:t>
            </w:r>
          </w:p>
        </w:tc>
      </w:tr>
    </w:tbl>
    <w:p w14:paraId="0F1BB1B1" w14:textId="598D6C73" w:rsidR="00EE6897" w:rsidRDefault="00EE6897" w:rsidP="00EE6897">
      <w:pPr>
        <w:pStyle w:val="ae"/>
        <w:rPr>
          <w:b w:val="0"/>
          <w:bCs/>
        </w:rPr>
      </w:pPr>
      <w:r w:rsidRPr="00643310">
        <w:rPr>
          <w:rFonts w:hint="eastAsia"/>
          <w:b w:val="0"/>
          <w:bCs/>
        </w:rPr>
        <w:t>表</w:t>
      </w:r>
      <w:r w:rsidRPr="0081478A">
        <w:rPr>
          <w:rFonts w:cs="Times New Roman"/>
          <w:b w:val="0"/>
          <w:bCs/>
        </w:rPr>
        <w:t>7.2.6-</w:t>
      </w:r>
      <w:r>
        <w:rPr>
          <w:rFonts w:cs="Times New Roman"/>
          <w:b w:val="0"/>
          <w:bCs/>
        </w:rPr>
        <w:t>5</w:t>
      </w:r>
      <w:r w:rsidRPr="00643310">
        <w:rPr>
          <w:b w:val="0"/>
          <w:bCs/>
        </w:rPr>
        <w:t xml:space="preserve"> </w:t>
      </w:r>
      <w:r w:rsidRPr="00643310">
        <w:rPr>
          <w:rFonts w:hint="eastAsia"/>
          <w:b w:val="0"/>
          <w:bCs/>
        </w:rPr>
        <w:t>四管制冷、热水管道系统的</w:t>
      </w:r>
      <w:r w:rsidRPr="00643310">
        <w:rPr>
          <w:b w:val="0"/>
          <w:bCs/>
          <w:i/>
        </w:rPr>
        <w:t>α</w:t>
      </w:r>
      <w:r w:rsidRPr="00643310">
        <w:rPr>
          <w:rFonts w:hint="eastAsia"/>
          <w:b w:val="0"/>
          <w:bCs/>
        </w:rPr>
        <w:t>值</w:t>
      </w:r>
    </w:p>
    <w:tbl>
      <w:tblPr>
        <w:tblStyle w:val="41"/>
        <w:tblW w:w="5000" w:type="pct"/>
        <w:tblLook w:val="04A0" w:firstRow="1" w:lastRow="0" w:firstColumn="1" w:lastColumn="0" w:noHBand="0" w:noVBand="1"/>
      </w:tblPr>
      <w:tblGrid>
        <w:gridCol w:w="1162"/>
        <w:gridCol w:w="1745"/>
        <w:gridCol w:w="2911"/>
        <w:gridCol w:w="2710"/>
      </w:tblGrid>
      <w:tr w:rsidR="00EE6897" w:rsidRPr="009252F8" w14:paraId="126D9268" w14:textId="77777777" w:rsidTr="00EB74A4">
        <w:tc>
          <w:tcPr>
            <w:tcW w:w="681" w:type="pct"/>
            <w:vMerge w:val="restart"/>
          </w:tcPr>
          <w:p w14:paraId="704CBEB8" w14:textId="77777777" w:rsidR="00EE6897" w:rsidRPr="009252F8" w:rsidRDefault="00EE6897" w:rsidP="00EE6897">
            <w:pPr>
              <w:pStyle w:val="ae"/>
              <w:rPr>
                <w:rFonts w:cs="Times New Roman"/>
                <w:b w:val="0"/>
                <w:bCs/>
                <w:szCs w:val="21"/>
              </w:rPr>
            </w:pPr>
            <w:r w:rsidRPr="009252F8">
              <w:rPr>
                <w:rFonts w:cs="Times New Roman"/>
                <w:b w:val="0"/>
                <w:bCs/>
                <w:szCs w:val="21"/>
              </w:rPr>
              <w:t>系统</w:t>
            </w:r>
          </w:p>
        </w:tc>
        <w:tc>
          <w:tcPr>
            <w:tcW w:w="4319" w:type="pct"/>
            <w:gridSpan w:val="3"/>
          </w:tcPr>
          <w:p w14:paraId="4B3D86EA" w14:textId="77777777" w:rsidR="00EE6897" w:rsidRPr="009252F8" w:rsidRDefault="00EE6897" w:rsidP="00EE6897">
            <w:pPr>
              <w:pStyle w:val="ae"/>
              <w:rPr>
                <w:rFonts w:cs="Times New Roman"/>
                <w:b w:val="0"/>
                <w:bCs/>
                <w:szCs w:val="21"/>
              </w:rPr>
            </w:pPr>
            <w:r w:rsidRPr="009252F8">
              <w:rPr>
                <w:rFonts w:cs="Times New Roman"/>
                <w:b w:val="0"/>
                <w:bCs/>
                <w:szCs w:val="21"/>
              </w:rPr>
              <w:t>管道长度</w:t>
            </w:r>
            <w:r w:rsidR="00B95F75" w:rsidRPr="0018648D">
              <w:rPr>
                <w:rFonts w:cs="Times New Roman"/>
                <w:b w:val="0"/>
                <w:bCs/>
                <w:noProof/>
                <w:position w:val="-10"/>
                <w:szCs w:val="21"/>
              </w:rPr>
              <w:object w:dxaOrig="360" w:dyaOrig="279" w14:anchorId="3AEE9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14.1pt" o:ole="">
                  <v:imagedata r:id="rId47" o:title=""/>
                </v:shape>
                <o:OLEObject Type="Embed" ProgID="Equation.DSMT4" ShapeID="_x0000_i1025" DrawAspect="Content" ObjectID="_1654067143" r:id="rId48"/>
              </w:object>
            </w:r>
            <w:r w:rsidRPr="009252F8">
              <w:rPr>
                <w:rFonts w:cs="Times New Roman"/>
                <w:b w:val="0"/>
                <w:bCs/>
                <w:szCs w:val="21"/>
              </w:rPr>
              <w:t>范围</w:t>
            </w:r>
          </w:p>
        </w:tc>
      </w:tr>
      <w:tr w:rsidR="00C26FD9" w:rsidRPr="009252F8" w14:paraId="133B17B1" w14:textId="77777777" w:rsidTr="00EB74A4">
        <w:tc>
          <w:tcPr>
            <w:tcW w:w="681" w:type="pct"/>
            <w:vMerge/>
          </w:tcPr>
          <w:p w14:paraId="109659A1" w14:textId="77777777" w:rsidR="00C26FD9" w:rsidRPr="009252F8" w:rsidRDefault="00C26FD9" w:rsidP="00C26FD9">
            <w:pPr>
              <w:pStyle w:val="ae"/>
              <w:rPr>
                <w:rFonts w:cs="Times New Roman"/>
                <w:b w:val="0"/>
                <w:bCs/>
                <w:szCs w:val="21"/>
              </w:rPr>
            </w:pPr>
          </w:p>
        </w:tc>
        <w:tc>
          <w:tcPr>
            <w:tcW w:w="1023" w:type="pct"/>
            <w:vAlign w:val="center"/>
          </w:tcPr>
          <w:p w14:paraId="72F931A7" w14:textId="1A59AC77" w:rsidR="00C26FD9" w:rsidRPr="009252F8" w:rsidRDefault="00D20A1F" w:rsidP="00C26FD9">
            <w:pPr>
              <w:pStyle w:val="ae"/>
              <w:rPr>
                <w:rFonts w:cs="Times New Roman"/>
                <w:b w:val="0"/>
                <w:bCs/>
                <w:szCs w:val="21"/>
              </w:rPr>
            </w:pPr>
            <m:oMathPara>
              <m:oMath>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L≤400</m:t>
                    </m:r>
                    <m:r>
                      <m:rPr>
                        <m:sty m:val="bi"/>
                      </m:rPr>
                      <w:rPr>
                        <w:rFonts w:ascii="Cambria Math" w:hAnsi="Cambria Math" w:hint="eastAsia"/>
                        <w:szCs w:val="21"/>
                      </w:rPr>
                      <m:t>m</m:t>
                    </m:r>
                  </m:e>
                </m:nary>
              </m:oMath>
            </m:oMathPara>
          </w:p>
        </w:tc>
        <w:tc>
          <w:tcPr>
            <w:tcW w:w="1707" w:type="pct"/>
            <w:vAlign w:val="center"/>
          </w:tcPr>
          <w:p w14:paraId="5CF2CE66" w14:textId="03B1212C" w:rsidR="00C26FD9" w:rsidRPr="009252F8" w:rsidRDefault="009252F8" w:rsidP="00C26FD9">
            <w:pPr>
              <w:pStyle w:val="ae"/>
              <w:rPr>
                <w:rFonts w:cs="Times New Roman"/>
                <w:b w:val="0"/>
                <w:bCs/>
                <w:szCs w:val="21"/>
              </w:rPr>
            </w:pPr>
            <m:oMathPara>
              <m:oMath>
                <m:r>
                  <m:rPr>
                    <m:sty m:val="bi"/>
                  </m:rPr>
                  <w:rPr>
                    <w:rFonts w:ascii="Cambria Math" w:hAnsi="Cambria Math"/>
                    <w:szCs w:val="21"/>
                  </w:rPr>
                  <m:t>400</m:t>
                </m:r>
                <m:r>
                  <m:rPr>
                    <m:sty m:val="bi"/>
                  </m:rPr>
                  <w:rPr>
                    <w:rFonts w:ascii="Cambria Math" w:hAnsi="Cambria Math" w:hint="eastAsia"/>
                    <w:szCs w:val="21"/>
                  </w:rPr>
                  <m:t>m</m:t>
                </m:r>
                <m:r>
                  <m:rPr>
                    <m:sty m:val="bi"/>
                  </m:rPr>
                  <w:rPr>
                    <w:rFonts w:ascii="Cambria Math" w:hAnsi="Cambria Math"/>
                    <w:szCs w:val="21"/>
                  </w:rPr>
                  <m:t>&lt;</m:t>
                </m:r>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L&lt;1000</m:t>
                    </m:r>
                    <m:r>
                      <m:rPr>
                        <m:sty m:val="bi"/>
                      </m:rPr>
                      <w:rPr>
                        <w:rFonts w:ascii="Cambria Math" w:hAnsi="Cambria Math" w:hint="eastAsia"/>
                        <w:szCs w:val="21"/>
                      </w:rPr>
                      <m:t>m</m:t>
                    </m:r>
                  </m:e>
                </m:nary>
              </m:oMath>
            </m:oMathPara>
          </w:p>
        </w:tc>
        <w:tc>
          <w:tcPr>
            <w:tcW w:w="1588" w:type="pct"/>
            <w:vAlign w:val="center"/>
          </w:tcPr>
          <w:p w14:paraId="69E50D46" w14:textId="556A6561" w:rsidR="00C26FD9" w:rsidRPr="009252F8" w:rsidRDefault="00D20A1F" w:rsidP="00C26FD9">
            <w:pPr>
              <w:pStyle w:val="ae"/>
              <w:rPr>
                <w:rFonts w:cs="Times New Roman"/>
                <w:b w:val="0"/>
                <w:bCs/>
                <w:szCs w:val="21"/>
              </w:rPr>
            </w:pPr>
            <m:oMathPara>
              <m:oMath>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L≥1000</m:t>
                    </m:r>
                    <m:r>
                      <m:rPr>
                        <m:sty m:val="bi"/>
                      </m:rPr>
                      <w:rPr>
                        <w:rFonts w:ascii="Cambria Math" w:hAnsi="Cambria Math" w:hint="eastAsia"/>
                        <w:szCs w:val="21"/>
                      </w:rPr>
                      <m:t>m</m:t>
                    </m:r>
                  </m:e>
                </m:nary>
              </m:oMath>
            </m:oMathPara>
          </w:p>
        </w:tc>
      </w:tr>
      <w:tr w:rsidR="00C26FD9" w:rsidRPr="009252F8" w14:paraId="1E6E90A0" w14:textId="77777777" w:rsidTr="00EB74A4">
        <w:tc>
          <w:tcPr>
            <w:tcW w:w="681" w:type="pct"/>
          </w:tcPr>
          <w:p w14:paraId="5D088BEF" w14:textId="77777777" w:rsidR="00C26FD9" w:rsidRPr="009252F8" w:rsidRDefault="00C26FD9" w:rsidP="00C26FD9">
            <w:pPr>
              <w:pStyle w:val="ae"/>
              <w:rPr>
                <w:rFonts w:cs="Times New Roman"/>
                <w:b w:val="0"/>
                <w:bCs/>
                <w:szCs w:val="21"/>
              </w:rPr>
            </w:pPr>
            <w:r w:rsidRPr="009252F8">
              <w:rPr>
                <w:rFonts w:cs="Times New Roman"/>
                <w:b w:val="0"/>
                <w:bCs/>
                <w:szCs w:val="21"/>
              </w:rPr>
              <w:t>冷水</w:t>
            </w:r>
          </w:p>
        </w:tc>
        <w:tc>
          <w:tcPr>
            <w:tcW w:w="1023" w:type="pct"/>
            <w:vAlign w:val="center"/>
          </w:tcPr>
          <w:p w14:paraId="2BED373A" w14:textId="4D088611" w:rsidR="00C26FD9" w:rsidRPr="009252F8" w:rsidRDefault="009252F8" w:rsidP="00C26FD9">
            <w:pPr>
              <w:pStyle w:val="ae"/>
              <w:rPr>
                <w:rFonts w:cs="Times New Roman"/>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0.02</m:t>
                </m:r>
              </m:oMath>
            </m:oMathPara>
          </w:p>
        </w:tc>
        <w:tc>
          <w:tcPr>
            <w:tcW w:w="1707" w:type="pct"/>
            <w:vAlign w:val="center"/>
          </w:tcPr>
          <w:p w14:paraId="466C7906" w14:textId="0232B896" w:rsidR="00C26FD9" w:rsidRPr="009252F8" w:rsidRDefault="009252F8" w:rsidP="00C26FD9">
            <w:pPr>
              <w:pStyle w:val="ae"/>
              <w:rPr>
                <w:rFonts w:cs="Times New Roman"/>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0.016</m:t>
                </m:r>
                <m:r>
                  <m:rPr>
                    <m:sty m:val="bi"/>
                  </m:rPr>
                  <w:rPr>
                    <w:rFonts w:ascii="Cambria Math" w:hAnsi="Cambria Math" w:hint="eastAsia"/>
                    <w:noProof/>
                    <w:szCs w:val="21"/>
                  </w:rPr>
                  <m:t>+</m:t>
                </m:r>
                <m:r>
                  <m:rPr>
                    <m:sty m:val="bi"/>
                  </m:rPr>
                  <w:rPr>
                    <w:rFonts w:ascii="Cambria Math" w:hAnsi="Cambria Math"/>
                    <w:noProof/>
                    <w:szCs w:val="21"/>
                  </w:rPr>
                  <m:t>1.6/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c>
          <w:tcPr>
            <w:tcW w:w="1588" w:type="pct"/>
            <w:vAlign w:val="center"/>
          </w:tcPr>
          <w:p w14:paraId="4A6BA38F" w14:textId="71885009" w:rsidR="00C26FD9" w:rsidRPr="009252F8" w:rsidRDefault="009252F8" w:rsidP="00C26FD9">
            <w:pPr>
              <w:pStyle w:val="ae"/>
              <w:rPr>
                <w:rFonts w:cs="Times New Roman"/>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0.0013</m:t>
                </m:r>
                <m:r>
                  <m:rPr>
                    <m:sty m:val="bi"/>
                  </m:rPr>
                  <w:rPr>
                    <w:rFonts w:ascii="Cambria Math" w:hAnsi="Cambria Math" w:hint="eastAsia"/>
                    <w:noProof/>
                    <w:szCs w:val="21"/>
                  </w:rPr>
                  <m:t>+</m:t>
                </m:r>
                <m:r>
                  <m:rPr>
                    <m:sty m:val="bi"/>
                  </m:rPr>
                  <w:rPr>
                    <w:rFonts w:ascii="Cambria Math" w:hAnsi="Cambria Math"/>
                    <w:noProof/>
                    <w:szCs w:val="21"/>
                  </w:rPr>
                  <m:t>4.6/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r>
      <w:tr w:rsidR="00C26FD9" w:rsidRPr="009252F8" w14:paraId="7521E1BE" w14:textId="77777777" w:rsidTr="00EB74A4">
        <w:tc>
          <w:tcPr>
            <w:tcW w:w="681" w:type="pct"/>
          </w:tcPr>
          <w:p w14:paraId="12AEFE47" w14:textId="77777777" w:rsidR="00C26FD9" w:rsidRPr="009252F8" w:rsidRDefault="00C26FD9" w:rsidP="00C26FD9">
            <w:pPr>
              <w:pStyle w:val="ae"/>
              <w:rPr>
                <w:rFonts w:cs="Times New Roman"/>
                <w:b w:val="0"/>
                <w:bCs/>
                <w:szCs w:val="21"/>
              </w:rPr>
            </w:pPr>
            <w:r w:rsidRPr="009252F8">
              <w:rPr>
                <w:rFonts w:cs="Times New Roman"/>
                <w:b w:val="0"/>
                <w:bCs/>
                <w:szCs w:val="21"/>
              </w:rPr>
              <w:t>热水</w:t>
            </w:r>
          </w:p>
        </w:tc>
        <w:tc>
          <w:tcPr>
            <w:tcW w:w="1023" w:type="pct"/>
            <w:vAlign w:val="center"/>
          </w:tcPr>
          <w:p w14:paraId="5E5DAD74" w14:textId="67ED8D49" w:rsidR="00C26FD9" w:rsidRPr="009252F8" w:rsidRDefault="009252F8" w:rsidP="00C26FD9">
            <w:pPr>
              <w:pStyle w:val="ae"/>
              <w:rPr>
                <w:rFonts w:cs="Times New Roman"/>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0.014</m:t>
                </m:r>
              </m:oMath>
            </m:oMathPara>
          </w:p>
        </w:tc>
        <w:tc>
          <w:tcPr>
            <w:tcW w:w="1707" w:type="pct"/>
            <w:vAlign w:val="center"/>
          </w:tcPr>
          <w:p w14:paraId="4AD415CE" w14:textId="7EFDE2B7" w:rsidR="00C26FD9" w:rsidRPr="009252F8" w:rsidRDefault="009252F8" w:rsidP="00C26FD9">
            <w:pPr>
              <w:pStyle w:val="ae"/>
              <w:rPr>
                <w:rFonts w:cs="Times New Roman"/>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0.0125</m:t>
                </m:r>
                <m:r>
                  <m:rPr>
                    <m:sty m:val="bi"/>
                  </m:rPr>
                  <w:rPr>
                    <w:rFonts w:ascii="Cambria Math" w:hAnsi="Cambria Math" w:hint="eastAsia"/>
                    <w:noProof/>
                    <w:szCs w:val="21"/>
                  </w:rPr>
                  <m:t>+</m:t>
                </m:r>
                <m:r>
                  <m:rPr>
                    <m:sty m:val="bi"/>
                  </m:rPr>
                  <w:rPr>
                    <w:rFonts w:ascii="Cambria Math" w:hAnsi="Cambria Math"/>
                    <w:noProof/>
                    <w:szCs w:val="21"/>
                  </w:rPr>
                  <m:t>0.6/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c>
          <w:tcPr>
            <w:tcW w:w="1588" w:type="pct"/>
            <w:vAlign w:val="center"/>
          </w:tcPr>
          <w:p w14:paraId="4555516F" w14:textId="2F675782" w:rsidR="00C26FD9" w:rsidRPr="009252F8" w:rsidRDefault="009252F8" w:rsidP="00C26FD9">
            <w:pPr>
              <w:pStyle w:val="ae"/>
              <w:rPr>
                <w:rFonts w:cs="Times New Roman"/>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0.009</m:t>
                </m:r>
                <m:r>
                  <m:rPr>
                    <m:sty m:val="bi"/>
                  </m:rPr>
                  <w:rPr>
                    <w:rFonts w:ascii="Cambria Math" w:hAnsi="Cambria Math" w:hint="eastAsia"/>
                    <w:noProof/>
                    <w:szCs w:val="21"/>
                  </w:rPr>
                  <m:t>+</m:t>
                </m:r>
                <m:r>
                  <m:rPr>
                    <m:sty m:val="bi"/>
                  </m:rPr>
                  <w:rPr>
                    <w:rFonts w:ascii="Cambria Math" w:hAnsi="Cambria Math"/>
                    <w:noProof/>
                    <w:szCs w:val="21"/>
                  </w:rPr>
                  <m:t>4.1/</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r>
    </w:tbl>
    <w:p w14:paraId="15AE53F1" w14:textId="66AFDC8C" w:rsidR="00EE6897" w:rsidRDefault="00EE6897">
      <w:pPr>
        <w:pStyle w:val="ae"/>
        <w:rPr>
          <w:b w:val="0"/>
          <w:bCs/>
        </w:rPr>
      </w:pPr>
      <w:r w:rsidRPr="00643310">
        <w:rPr>
          <w:rFonts w:hint="eastAsia"/>
          <w:b w:val="0"/>
          <w:bCs/>
        </w:rPr>
        <w:t>表</w:t>
      </w:r>
      <w:r w:rsidRPr="0081478A">
        <w:rPr>
          <w:rFonts w:cs="Times New Roman"/>
          <w:b w:val="0"/>
          <w:bCs/>
        </w:rPr>
        <w:t>7.2.6-</w:t>
      </w:r>
      <w:r>
        <w:rPr>
          <w:rFonts w:cs="Times New Roman"/>
          <w:b w:val="0"/>
          <w:bCs/>
        </w:rPr>
        <w:t>6</w:t>
      </w:r>
      <w:r w:rsidRPr="00643310">
        <w:rPr>
          <w:b w:val="0"/>
          <w:bCs/>
        </w:rPr>
        <w:t xml:space="preserve"> </w:t>
      </w:r>
      <w:r w:rsidRPr="00643310">
        <w:rPr>
          <w:rFonts w:hint="eastAsia"/>
          <w:b w:val="0"/>
          <w:bCs/>
        </w:rPr>
        <w:t>两管制热水管道系统的</w:t>
      </w:r>
      <w:r w:rsidRPr="00643310">
        <w:rPr>
          <w:b w:val="0"/>
          <w:bCs/>
          <w:i/>
        </w:rPr>
        <w:t>α</w:t>
      </w:r>
      <w:r w:rsidRPr="00643310">
        <w:rPr>
          <w:rFonts w:hint="eastAsia"/>
          <w:b w:val="0"/>
          <w:bCs/>
        </w:rPr>
        <w:t>值</w:t>
      </w:r>
    </w:p>
    <w:tbl>
      <w:tblPr>
        <w:tblStyle w:val="41"/>
        <w:tblW w:w="5119" w:type="pct"/>
        <w:tblLook w:val="04A0" w:firstRow="1" w:lastRow="0" w:firstColumn="1" w:lastColumn="0" w:noHBand="0" w:noVBand="1"/>
      </w:tblPr>
      <w:tblGrid>
        <w:gridCol w:w="723"/>
        <w:gridCol w:w="875"/>
        <w:gridCol w:w="1746"/>
        <w:gridCol w:w="2619"/>
        <w:gridCol w:w="2768"/>
      </w:tblGrid>
      <w:tr w:rsidR="00EE6897" w:rsidRPr="009252F8" w14:paraId="2552806C" w14:textId="77777777" w:rsidTr="00EB74A4">
        <w:trPr>
          <w:trHeight w:val="285"/>
        </w:trPr>
        <w:tc>
          <w:tcPr>
            <w:tcW w:w="414" w:type="pct"/>
            <w:vMerge w:val="restart"/>
            <w:vAlign w:val="center"/>
            <w:hideMark/>
          </w:tcPr>
          <w:p w14:paraId="5BD6FFAB" w14:textId="77777777" w:rsidR="00EE6897" w:rsidRPr="009252F8" w:rsidRDefault="00EE6897" w:rsidP="00643310">
            <w:pPr>
              <w:pStyle w:val="ae"/>
              <w:rPr>
                <w:b w:val="0"/>
                <w:bCs/>
                <w:szCs w:val="21"/>
              </w:rPr>
            </w:pPr>
            <w:r w:rsidRPr="009252F8">
              <w:rPr>
                <w:rFonts w:hint="eastAsia"/>
                <w:b w:val="0"/>
                <w:bCs/>
                <w:szCs w:val="21"/>
              </w:rPr>
              <w:t>系统</w:t>
            </w:r>
          </w:p>
        </w:tc>
        <w:tc>
          <w:tcPr>
            <w:tcW w:w="501" w:type="pct"/>
            <w:vMerge w:val="restart"/>
            <w:vAlign w:val="center"/>
            <w:hideMark/>
          </w:tcPr>
          <w:p w14:paraId="621B2906" w14:textId="77777777" w:rsidR="00EE6897" w:rsidRPr="009252F8" w:rsidRDefault="00EE6897" w:rsidP="00643310">
            <w:pPr>
              <w:pStyle w:val="ae"/>
              <w:rPr>
                <w:b w:val="0"/>
                <w:bCs/>
                <w:szCs w:val="21"/>
              </w:rPr>
            </w:pPr>
            <w:r w:rsidRPr="009252F8">
              <w:rPr>
                <w:rFonts w:hint="eastAsia"/>
                <w:b w:val="0"/>
                <w:bCs/>
                <w:szCs w:val="21"/>
              </w:rPr>
              <w:t>地区</w:t>
            </w:r>
          </w:p>
        </w:tc>
        <w:tc>
          <w:tcPr>
            <w:tcW w:w="4085" w:type="pct"/>
            <w:gridSpan w:val="3"/>
            <w:vAlign w:val="center"/>
            <w:hideMark/>
          </w:tcPr>
          <w:p w14:paraId="4701A638" w14:textId="04F56674" w:rsidR="00EE6897" w:rsidRPr="009252F8" w:rsidRDefault="00EE6897" w:rsidP="00643310">
            <w:pPr>
              <w:pStyle w:val="ae"/>
              <w:rPr>
                <w:b w:val="0"/>
                <w:bCs/>
                <w:szCs w:val="21"/>
              </w:rPr>
            </w:pPr>
            <w:r w:rsidRPr="009252F8">
              <w:rPr>
                <w:rFonts w:hint="eastAsia"/>
                <w:b w:val="0"/>
                <w:bCs/>
                <w:szCs w:val="21"/>
              </w:rPr>
              <w:t>管道长度</w:t>
            </w:r>
            <m:oMath>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m:t>
                  </m:r>
                </m:e>
              </m:nary>
            </m:oMath>
            <w:r w:rsidRPr="009252F8">
              <w:rPr>
                <w:rFonts w:hint="eastAsia"/>
                <w:b w:val="0"/>
                <w:bCs/>
                <w:szCs w:val="21"/>
              </w:rPr>
              <w:t>范围</w:t>
            </w:r>
          </w:p>
        </w:tc>
      </w:tr>
      <w:tr w:rsidR="00EE6897" w:rsidRPr="009252F8" w14:paraId="1DC07A7B" w14:textId="77777777" w:rsidTr="00EB74A4">
        <w:trPr>
          <w:trHeight w:val="285"/>
        </w:trPr>
        <w:tc>
          <w:tcPr>
            <w:tcW w:w="414" w:type="pct"/>
            <w:vMerge/>
            <w:vAlign w:val="center"/>
            <w:hideMark/>
          </w:tcPr>
          <w:p w14:paraId="69156D0C" w14:textId="77777777" w:rsidR="00EE6897" w:rsidRPr="009252F8" w:rsidRDefault="00EE6897" w:rsidP="00643310">
            <w:pPr>
              <w:pStyle w:val="ae"/>
              <w:rPr>
                <w:b w:val="0"/>
                <w:bCs/>
                <w:szCs w:val="21"/>
              </w:rPr>
            </w:pPr>
          </w:p>
        </w:tc>
        <w:tc>
          <w:tcPr>
            <w:tcW w:w="501" w:type="pct"/>
            <w:vMerge/>
            <w:vAlign w:val="center"/>
            <w:hideMark/>
          </w:tcPr>
          <w:p w14:paraId="76055FF0" w14:textId="77777777" w:rsidR="00EE6897" w:rsidRPr="009252F8" w:rsidRDefault="00EE6897" w:rsidP="00643310">
            <w:pPr>
              <w:pStyle w:val="ae"/>
              <w:rPr>
                <w:b w:val="0"/>
                <w:bCs/>
                <w:szCs w:val="21"/>
              </w:rPr>
            </w:pPr>
          </w:p>
        </w:tc>
        <w:tc>
          <w:tcPr>
            <w:tcW w:w="1000" w:type="pct"/>
            <w:vAlign w:val="center"/>
            <w:hideMark/>
          </w:tcPr>
          <w:p w14:paraId="473E80AF" w14:textId="3997D049" w:rsidR="00EE6897" w:rsidRPr="009252F8" w:rsidRDefault="00D20A1F" w:rsidP="00643310">
            <w:pPr>
              <w:pStyle w:val="ae"/>
              <w:rPr>
                <w:b w:val="0"/>
                <w:bCs/>
                <w:szCs w:val="21"/>
              </w:rPr>
            </w:pPr>
            <m:oMathPara>
              <m:oMath>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L≤400</m:t>
                    </m:r>
                    <m:r>
                      <m:rPr>
                        <m:sty m:val="bi"/>
                      </m:rPr>
                      <w:rPr>
                        <w:rFonts w:ascii="Cambria Math" w:hAnsi="Cambria Math" w:hint="eastAsia"/>
                        <w:szCs w:val="21"/>
                      </w:rPr>
                      <m:t>m</m:t>
                    </m:r>
                  </m:e>
                </m:nary>
              </m:oMath>
            </m:oMathPara>
          </w:p>
        </w:tc>
        <w:tc>
          <w:tcPr>
            <w:tcW w:w="1500" w:type="pct"/>
            <w:vAlign w:val="center"/>
            <w:hideMark/>
          </w:tcPr>
          <w:p w14:paraId="43DB9536" w14:textId="0C028701" w:rsidR="00EE6897" w:rsidRPr="009252F8" w:rsidRDefault="009252F8" w:rsidP="00643310">
            <w:pPr>
              <w:pStyle w:val="ae"/>
              <w:rPr>
                <w:b w:val="0"/>
                <w:bCs/>
                <w:szCs w:val="21"/>
              </w:rPr>
            </w:pPr>
            <m:oMathPara>
              <m:oMath>
                <m:r>
                  <m:rPr>
                    <m:sty m:val="bi"/>
                  </m:rPr>
                  <w:rPr>
                    <w:rFonts w:ascii="Cambria Math" w:hAnsi="Cambria Math"/>
                    <w:szCs w:val="21"/>
                  </w:rPr>
                  <m:t>400</m:t>
                </m:r>
                <m:r>
                  <m:rPr>
                    <m:sty m:val="bi"/>
                  </m:rPr>
                  <w:rPr>
                    <w:rFonts w:ascii="Cambria Math" w:hAnsi="Cambria Math" w:hint="eastAsia"/>
                    <w:szCs w:val="21"/>
                  </w:rPr>
                  <m:t>m</m:t>
                </m:r>
                <m:r>
                  <m:rPr>
                    <m:sty m:val="bi"/>
                  </m:rPr>
                  <w:rPr>
                    <w:rFonts w:ascii="Cambria Math" w:hAnsi="Cambria Math"/>
                    <w:szCs w:val="21"/>
                  </w:rPr>
                  <m:t>&lt;</m:t>
                </m:r>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L&lt;1000</m:t>
                    </m:r>
                    <m:r>
                      <m:rPr>
                        <m:sty m:val="bi"/>
                      </m:rPr>
                      <w:rPr>
                        <w:rFonts w:ascii="Cambria Math" w:hAnsi="Cambria Math" w:hint="eastAsia"/>
                        <w:szCs w:val="21"/>
                      </w:rPr>
                      <m:t>m</m:t>
                    </m:r>
                  </m:e>
                </m:nary>
              </m:oMath>
            </m:oMathPara>
          </w:p>
        </w:tc>
        <w:tc>
          <w:tcPr>
            <w:tcW w:w="1585" w:type="pct"/>
            <w:vAlign w:val="center"/>
            <w:hideMark/>
          </w:tcPr>
          <w:p w14:paraId="59F81813" w14:textId="1260AA5A" w:rsidR="00EE6897" w:rsidRPr="009252F8" w:rsidRDefault="00D20A1F" w:rsidP="00643310">
            <w:pPr>
              <w:pStyle w:val="ae"/>
              <w:rPr>
                <w:b w:val="0"/>
                <w:bCs/>
                <w:szCs w:val="21"/>
              </w:rPr>
            </w:pPr>
            <m:oMathPara>
              <m:oMath>
                <m:nary>
                  <m:naryPr>
                    <m:chr m:val="∑"/>
                    <m:limLoc m:val="undOvr"/>
                    <m:subHide m:val="1"/>
                    <m:supHide m:val="1"/>
                    <m:ctrlPr>
                      <w:rPr>
                        <w:rFonts w:ascii="Cambria Math" w:hAnsi="Cambria Math"/>
                        <w:b w:val="0"/>
                        <w:bCs/>
                        <w:i/>
                        <w:szCs w:val="21"/>
                      </w:rPr>
                    </m:ctrlPr>
                  </m:naryPr>
                  <m:sub/>
                  <m:sup/>
                  <m:e>
                    <m:r>
                      <m:rPr>
                        <m:sty m:val="bi"/>
                      </m:rPr>
                      <w:rPr>
                        <w:rFonts w:ascii="Cambria Math" w:hAnsi="Cambria Math"/>
                        <w:szCs w:val="21"/>
                      </w:rPr>
                      <m:t>L≥1000</m:t>
                    </m:r>
                    <m:r>
                      <m:rPr>
                        <m:sty m:val="bi"/>
                      </m:rPr>
                      <w:rPr>
                        <w:rFonts w:ascii="Cambria Math" w:hAnsi="Cambria Math" w:hint="eastAsia"/>
                        <w:szCs w:val="21"/>
                      </w:rPr>
                      <m:t>m</m:t>
                    </m:r>
                  </m:e>
                </m:nary>
              </m:oMath>
            </m:oMathPara>
          </w:p>
        </w:tc>
      </w:tr>
      <w:tr w:rsidR="00EE6897" w:rsidRPr="009252F8" w14:paraId="4FBFD449" w14:textId="77777777" w:rsidTr="00EB74A4">
        <w:trPr>
          <w:trHeight w:val="651"/>
        </w:trPr>
        <w:tc>
          <w:tcPr>
            <w:tcW w:w="414" w:type="pct"/>
            <w:vAlign w:val="center"/>
            <w:hideMark/>
          </w:tcPr>
          <w:p w14:paraId="1071DEB5" w14:textId="65E92B3F" w:rsidR="00EE6897" w:rsidRPr="009252F8" w:rsidRDefault="00EE6897" w:rsidP="00643310">
            <w:pPr>
              <w:pStyle w:val="ae"/>
              <w:rPr>
                <w:b w:val="0"/>
                <w:bCs/>
                <w:szCs w:val="21"/>
              </w:rPr>
            </w:pPr>
            <w:r w:rsidRPr="009252F8">
              <w:rPr>
                <w:rFonts w:hint="eastAsia"/>
                <w:b w:val="0"/>
                <w:bCs/>
                <w:szCs w:val="21"/>
              </w:rPr>
              <w:t>热水</w:t>
            </w:r>
          </w:p>
        </w:tc>
        <w:tc>
          <w:tcPr>
            <w:tcW w:w="501" w:type="pct"/>
            <w:vAlign w:val="center"/>
            <w:hideMark/>
          </w:tcPr>
          <w:p w14:paraId="7B79757B" w14:textId="77777777" w:rsidR="00EE6897" w:rsidRPr="009252F8" w:rsidRDefault="00EE6897" w:rsidP="00643310">
            <w:pPr>
              <w:pStyle w:val="ae"/>
              <w:rPr>
                <w:b w:val="0"/>
                <w:bCs/>
                <w:szCs w:val="21"/>
              </w:rPr>
            </w:pPr>
            <w:r w:rsidRPr="009252F8">
              <w:rPr>
                <w:rFonts w:hint="eastAsia"/>
                <w:b w:val="0"/>
                <w:bCs/>
                <w:szCs w:val="21"/>
              </w:rPr>
              <w:t>夏热冬冷地区</w:t>
            </w:r>
          </w:p>
        </w:tc>
        <w:tc>
          <w:tcPr>
            <w:tcW w:w="1000" w:type="pct"/>
            <w:vAlign w:val="center"/>
            <w:hideMark/>
          </w:tcPr>
          <w:p w14:paraId="7D9CE491" w14:textId="0AE78E8B" w:rsidR="00EE6897" w:rsidRPr="009252F8" w:rsidRDefault="009252F8" w:rsidP="00643310">
            <w:pPr>
              <w:pStyle w:val="ae"/>
              <w:rPr>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0.0024</m:t>
                </m:r>
              </m:oMath>
            </m:oMathPara>
          </w:p>
        </w:tc>
        <w:tc>
          <w:tcPr>
            <w:tcW w:w="1500" w:type="pct"/>
            <w:vAlign w:val="center"/>
            <w:hideMark/>
          </w:tcPr>
          <w:p w14:paraId="06F99CAB" w14:textId="3117B422" w:rsidR="00EE6897" w:rsidRPr="009252F8" w:rsidRDefault="009252F8" w:rsidP="00643310">
            <w:pPr>
              <w:pStyle w:val="ae"/>
              <w:rPr>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0.002</m:t>
                </m:r>
                <m:r>
                  <m:rPr>
                    <m:sty m:val="bi"/>
                  </m:rPr>
                  <w:rPr>
                    <w:rFonts w:ascii="Cambria Math" w:hAnsi="Cambria Math" w:hint="eastAsia"/>
                    <w:noProof/>
                    <w:szCs w:val="21"/>
                  </w:rPr>
                  <m:t>+</m:t>
                </m:r>
                <m:r>
                  <m:rPr>
                    <m:sty m:val="bi"/>
                  </m:rPr>
                  <w:rPr>
                    <w:rFonts w:ascii="Cambria Math" w:hAnsi="Cambria Math"/>
                    <w:noProof/>
                    <w:szCs w:val="21"/>
                  </w:rPr>
                  <m:t>0.16/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c>
          <w:tcPr>
            <w:tcW w:w="1585" w:type="pct"/>
            <w:vAlign w:val="center"/>
            <w:hideMark/>
          </w:tcPr>
          <w:p w14:paraId="30FC07B1" w14:textId="1DA5BA88" w:rsidR="00EE6897" w:rsidRPr="009252F8" w:rsidRDefault="009252F8" w:rsidP="00643310">
            <w:pPr>
              <w:pStyle w:val="ae"/>
              <w:rPr>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0.0016</m:t>
                </m:r>
                <m:r>
                  <m:rPr>
                    <m:sty m:val="bi"/>
                  </m:rPr>
                  <w:rPr>
                    <w:rFonts w:ascii="Cambria Math" w:hAnsi="Cambria Math" w:hint="eastAsia"/>
                    <w:noProof/>
                    <w:szCs w:val="21"/>
                  </w:rPr>
                  <m:t>+</m:t>
                </m:r>
                <m:r>
                  <m:rPr>
                    <m:sty m:val="bi"/>
                  </m:rPr>
                  <w:rPr>
                    <w:rFonts w:ascii="Cambria Math" w:hAnsi="Cambria Math"/>
                    <w:noProof/>
                    <w:szCs w:val="21"/>
                  </w:rPr>
                  <m:t>0.56/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r>
      <w:tr w:rsidR="00EE6897" w:rsidRPr="009252F8" w14:paraId="790719C9" w14:textId="77777777" w:rsidTr="00EB74A4">
        <w:trPr>
          <w:trHeight w:val="285"/>
        </w:trPr>
        <w:tc>
          <w:tcPr>
            <w:tcW w:w="915" w:type="pct"/>
            <w:gridSpan w:val="2"/>
            <w:vAlign w:val="center"/>
            <w:hideMark/>
          </w:tcPr>
          <w:p w14:paraId="06918DD1" w14:textId="77777777" w:rsidR="00EE6897" w:rsidRPr="009252F8" w:rsidRDefault="00EE6897" w:rsidP="00643310">
            <w:pPr>
              <w:pStyle w:val="ae"/>
              <w:rPr>
                <w:b w:val="0"/>
                <w:bCs/>
                <w:szCs w:val="21"/>
              </w:rPr>
            </w:pPr>
            <w:r w:rsidRPr="009252F8">
              <w:rPr>
                <w:rFonts w:hint="eastAsia"/>
                <w:b w:val="0"/>
                <w:bCs/>
                <w:szCs w:val="21"/>
              </w:rPr>
              <w:t>冷水</w:t>
            </w:r>
          </w:p>
        </w:tc>
        <w:tc>
          <w:tcPr>
            <w:tcW w:w="1000" w:type="pct"/>
            <w:vAlign w:val="center"/>
            <w:hideMark/>
          </w:tcPr>
          <w:p w14:paraId="18FA3DBB" w14:textId="4A547A6D" w:rsidR="00EE6897" w:rsidRPr="009252F8" w:rsidRDefault="009252F8" w:rsidP="00643310">
            <w:pPr>
              <w:pStyle w:val="ae"/>
              <w:rPr>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0.02</m:t>
                </m:r>
              </m:oMath>
            </m:oMathPara>
          </w:p>
        </w:tc>
        <w:tc>
          <w:tcPr>
            <w:tcW w:w="1500" w:type="pct"/>
            <w:vAlign w:val="center"/>
            <w:hideMark/>
          </w:tcPr>
          <w:p w14:paraId="531EE841" w14:textId="25229813" w:rsidR="00EE6897" w:rsidRPr="009252F8" w:rsidRDefault="009252F8" w:rsidP="00643310">
            <w:pPr>
              <w:pStyle w:val="ae"/>
              <w:rPr>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0.016</m:t>
                </m:r>
                <m:r>
                  <m:rPr>
                    <m:sty m:val="bi"/>
                  </m:rPr>
                  <w:rPr>
                    <w:rFonts w:ascii="Cambria Math" w:hAnsi="Cambria Math" w:hint="eastAsia"/>
                    <w:noProof/>
                    <w:szCs w:val="21"/>
                  </w:rPr>
                  <m:t>+</m:t>
                </m:r>
                <m:r>
                  <m:rPr>
                    <m:sty m:val="bi"/>
                  </m:rPr>
                  <w:rPr>
                    <w:rFonts w:ascii="Cambria Math" w:hAnsi="Cambria Math"/>
                    <w:noProof/>
                    <w:szCs w:val="21"/>
                  </w:rPr>
                  <m:t>1.6/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c>
          <w:tcPr>
            <w:tcW w:w="1585" w:type="pct"/>
            <w:vAlign w:val="center"/>
            <w:hideMark/>
          </w:tcPr>
          <w:p w14:paraId="63C0DDBA" w14:textId="5320ECFE" w:rsidR="00EE6897" w:rsidRPr="009252F8" w:rsidRDefault="009252F8" w:rsidP="00643310">
            <w:pPr>
              <w:pStyle w:val="ae"/>
              <w:rPr>
                <w:b w:val="0"/>
                <w:bCs/>
                <w:szCs w:val="21"/>
              </w:rPr>
            </w:pPr>
            <m:oMathPara>
              <m:oMath>
                <m:r>
                  <m:rPr>
                    <m:sty m:val="bi"/>
                  </m:rPr>
                  <w:rPr>
                    <w:rFonts w:ascii="Cambria Math" w:hAnsi="Cambria Math"/>
                    <w:noProof/>
                    <w:szCs w:val="21"/>
                  </w:rPr>
                  <m:t>α</m:t>
                </m:r>
                <m:r>
                  <m:rPr>
                    <m:sty m:val="bi"/>
                  </m:rPr>
                  <w:rPr>
                    <w:rFonts w:ascii="Cambria Math" w:hAnsi="Cambria Math" w:hint="eastAsia"/>
                    <w:noProof/>
                    <w:szCs w:val="21"/>
                  </w:rPr>
                  <m:t>=</m:t>
                </m:r>
                <m:r>
                  <m:rPr>
                    <m:sty m:val="bi"/>
                  </m:rPr>
                  <w:rPr>
                    <w:rFonts w:ascii="Cambria Math" w:hAnsi="Cambria Math"/>
                    <w:noProof/>
                    <w:szCs w:val="21"/>
                  </w:rPr>
                  <m:t>0.013</m:t>
                </m:r>
                <m:r>
                  <m:rPr>
                    <m:sty m:val="bi"/>
                  </m:rPr>
                  <w:rPr>
                    <w:rFonts w:ascii="Cambria Math" w:hAnsi="Cambria Math" w:hint="eastAsia"/>
                    <w:noProof/>
                    <w:szCs w:val="21"/>
                  </w:rPr>
                  <m:t>+</m:t>
                </m:r>
                <m:r>
                  <m:rPr>
                    <m:sty m:val="bi"/>
                  </m:rPr>
                  <w:rPr>
                    <w:rFonts w:ascii="Cambria Math" w:hAnsi="Cambria Math"/>
                    <w:noProof/>
                    <w:szCs w:val="21"/>
                  </w:rPr>
                  <m:t>4.6/</m:t>
                </m:r>
                <m:nary>
                  <m:naryPr>
                    <m:chr m:val="∑"/>
                    <m:limLoc m:val="undOvr"/>
                    <m:subHide m:val="1"/>
                    <m:supHide m:val="1"/>
                    <m:ctrlPr>
                      <w:rPr>
                        <w:rFonts w:ascii="Cambria Math" w:hAnsi="Cambria Math"/>
                        <w:b w:val="0"/>
                        <w:bCs/>
                        <w:i/>
                        <w:noProof/>
                        <w:szCs w:val="21"/>
                      </w:rPr>
                    </m:ctrlPr>
                  </m:naryPr>
                  <m:sub/>
                  <m:sup/>
                  <m:e>
                    <m:r>
                      <m:rPr>
                        <m:sty m:val="bi"/>
                      </m:rPr>
                      <w:rPr>
                        <w:rFonts w:ascii="Cambria Math" w:hAnsi="Cambria Math"/>
                        <w:noProof/>
                        <w:szCs w:val="21"/>
                      </w:rPr>
                      <m:t>L</m:t>
                    </m:r>
                  </m:e>
                </m:nary>
              </m:oMath>
            </m:oMathPara>
          </w:p>
        </w:tc>
      </w:tr>
    </w:tbl>
    <w:p w14:paraId="55BC8633" w14:textId="2B4A318C" w:rsidR="00715ABB" w:rsidRPr="009252F8" w:rsidRDefault="00F44390" w:rsidP="009252F8">
      <w:pPr>
        <w:pStyle w:val="20"/>
      </w:pPr>
      <w:r w:rsidRPr="0081478A">
        <w:t>【评价方法】</w:t>
      </w:r>
    </w:p>
    <w:p w14:paraId="39FE56E1"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预评价查阅相关设计文件；评价查阅相关竣工图、主要产品型式检验报告。</w:t>
      </w:r>
    </w:p>
    <w:p w14:paraId="76EEBB69" w14:textId="77777777" w:rsidR="00715ABB" w:rsidRPr="00E905A0" w:rsidRDefault="00715ABB">
      <w:pPr>
        <w:snapToGrid w:val="0"/>
        <w:ind w:firstLineChars="0" w:firstLine="0"/>
        <w:jc w:val="left"/>
        <w:rPr>
          <w:rFonts w:cs="Times New Roman"/>
          <w:b/>
          <w:bCs/>
          <w:szCs w:val="24"/>
        </w:rPr>
      </w:pPr>
    </w:p>
    <w:p w14:paraId="551DA3BF" w14:textId="77777777" w:rsidR="00C060F4" w:rsidRPr="00530A11" w:rsidRDefault="00C060F4" w:rsidP="00C060F4">
      <w:pPr>
        <w:pStyle w:val="4"/>
        <w:rPr>
          <w:rFonts w:cs="Times New Roman"/>
          <w:bCs w:val="0"/>
        </w:rPr>
      </w:pPr>
      <w:r w:rsidRPr="00530A11">
        <w:rPr>
          <w:rFonts w:cs="Times New Roman"/>
          <w:bCs w:val="0"/>
        </w:rPr>
        <w:t xml:space="preserve">7.2.7 </w:t>
      </w:r>
      <w:r w:rsidRPr="00530A11">
        <w:rPr>
          <w:rFonts w:cs="Times New Roman"/>
          <w:bCs w:val="0"/>
        </w:rPr>
        <w:t>采用节能型电气设备及节能控制措施，评价总分值为</w:t>
      </w:r>
      <w:r w:rsidRPr="00530A11">
        <w:rPr>
          <w:rFonts w:cs="Times New Roman"/>
          <w:bCs w:val="0"/>
        </w:rPr>
        <w:t>10</w:t>
      </w:r>
      <w:r w:rsidRPr="00530A11">
        <w:rPr>
          <w:rFonts w:cs="Times New Roman"/>
          <w:bCs w:val="0"/>
        </w:rPr>
        <w:t>分，并按下列规则分别评分并累计：</w:t>
      </w:r>
    </w:p>
    <w:p w14:paraId="6D1FADC0"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hint="eastAsia"/>
          <w:bCs/>
          <w:color w:val="auto"/>
        </w:rPr>
        <w:t>各类建筑</w:t>
      </w:r>
      <w:r w:rsidRPr="00C060F4">
        <w:rPr>
          <w:rFonts w:ascii="Times New Roman" w:hAnsi="Times New Roman" w:cs="Times New Roman"/>
          <w:bCs/>
          <w:color w:val="auto"/>
        </w:rPr>
        <w:t>的照明功率密度值</w:t>
      </w:r>
      <w:r w:rsidRPr="00C060F4">
        <w:rPr>
          <w:rFonts w:ascii="Times New Roman" w:hAnsi="Times New Roman" w:cs="Times New Roman" w:hint="eastAsia"/>
          <w:bCs/>
          <w:color w:val="auto"/>
        </w:rPr>
        <w:t>不应高于</w:t>
      </w:r>
      <w:r w:rsidRPr="00C060F4">
        <w:rPr>
          <w:rFonts w:ascii="Times New Roman" w:hAnsi="Times New Roman" w:cs="Times New Roman"/>
          <w:bCs/>
          <w:color w:val="auto"/>
        </w:rPr>
        <w:t>现行国家标准《建筑照明设计标准》</w:t>
      </w:r>
      <w:r w:rsidRPr="00C060F4">
        <w:rPr>
          <w:rFonts w:ascii="Times New Roman" w:hAnsi="Times New Roman" w:cs="Times New Roman"/>
          <w:bCs/>
          <w:color w:val="auto"/>
        </w:rPr>
        <w:t>GB 50034</w:t>
      </w:r>
      <w:r w:rsidRPr="00C060F4">
        <w:rPr>
          <w:rFonts w:ascii="Times New Roman" w:hAnsi="Times New Roman" w:cs="Times New Roman"/>
          <w:bCs/>
          <w:color w:val="auto"/>
        </w:rPr>
        <w:t>规定的目标值，得</w:t>
      </w:r>
      <w:r w:rsidRPr="00C060F4">
        <w:rPr>
          <w:rFonts w:ascii="Times New Roman" w:hAnsi="Times New Roman" w:cs="Times New Roman"/>
          <w:bCs/>
          <w:color w:val="auto"/>
        </w:rPr>
        <w:t>3</w:t>
      </w:r>
      <w:r w:rsidRPr="00C060F4">
        <w:rPr>
          <w:rFonts w:ascii="Times New Roman" w:hAnsi="Times New Roman" w:cs="Times New Roman"/>
          <w:bCs/>
          <w:color w:val="auto"/>
        </w:rPr>
        <w:t>分；</w:t>
      </w:r>
    </w:p>
    <w:p w14:paraId="73599702"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采光区域的人工照明随天然光照度变化自动调节，得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4F031618"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3 </w:t>
      </w:r>
      <w:r w:rsidRPr="00C060F4">
        <w:rPr>
          <w:rFonts w:ascii="Times New Roman" w:hAnsi="Times New Roman" w:cs="Times New Roman"/>
          <w:bCs/>
          <w:color w:val="auto"/>
        </w:rPr>
        <w:t>照明产品、三相配电变压器、水泵、风机等设备满足国家现行有关标准的节能评价值的要求，得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447385FD"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4 </w:t>
      </w:r>
      <w:r w:rsidRPr="00C060F4">
        <w:rPr>
          <w:rFonts w:ascii="Times New Roman" w:hAnsi="Times New Roman" w:cs="Times New Roman" w:hint="eastAsia"/>
          <w:bCs/>
          <w:color w:val="auto"/>
        </w:rPr>
        <w:t>供暖空调系统根据室内外环境变化，结合房间负荷变化，实现系统风量、水量、设备运行状态的控制调节，得</w:t>
      </w:r>
      <w:r w:rsidRPr="00C060F4">
        <w:rPr>
          <w:rFonts w:ascii="Times New Roman" w:hAnsi="Times New Roman" w:cs="Times New Roman"/>
          <w:bCs/>
          <w:color w:val="auto"/>
        </w:rPr>
        <w:t>3</w:t>
      </w:r>
      <w:r w:rsidRPr="00C060F4">
        <w:rPr>
          <w:rFonts w:ascii="Times New Roman" w:hAnsi="Times New Roman" w:cs="Times New Roman" w:hint="eastAsia"/>
          <w:bCs/>
          <w:color w:val="auto"/>
        </w:rPr>
        <w:t>分。</w:t>
      </w:r>
    </w:p>
    <w:p w14:paraId="517A69DB" w14:textId="77777777" w:rsidR="00715ABB" w:rsidRPr="0081478A" w:rsidRDefault="00F44390" w:rsidP="009252F8">
      <w:pPr>
        <w:pStyle w:val="20"/>
      </w:pPr>
      <w:r w:rsidRPr="0081478A">
        <w:t>【条文说明】</w:t>
      </w:r>
    </w:p>
    <w:p w14:paraId="3282A16A" w14:textId="77777777" w:rsidR="0052438D" w:rsidRPr="00530A11" w:rsidRDefault="0052438D" w:rsidP="0052438D">
      <w:pPr>
        <w:ind w:firstLine="420"/>
        <w:rPr>
          <w:szCs w:val="24"/>
        </w:rPr>
      </w:pPr>
      <w:r w:rsidRPr="00530A11">
        <w:t>本条适用于各类民用建筑的预评价、评价。</w:t>
      </w:r>
    </w:p>
    <w:p w14:paraId="58771C6C" w14:textId="77777777" w:rsidR="0052438D" w:rsidRPr="00530A11" w:rsidRDefault="0052438D" w:rsidP="0052438D">
      <w:pPr>
        <w:ind w:firstLine="420"/>
        <w:rPr>
          <w:rFonts w:cs="Times New Roman"/>
        </w:rPr>
      </w:pPr>
      <w:r w:rsidRPr="00530A11">
        <w:rPr>
          <w:rFonts w:cs="Times New Roman"/>
        </w:rPr>
        <w:lastRenderedPageBreak/>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5.2.12</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5.2.13</w:t>
      </w:r>
      <w:r w:rsidRPr="00530A11">
        <w:rPr>
          <w:rFonts w:cs="Times New Roman"/>
        </w:rPr>
        <w:t>条的基础上发展而来。电气设备的节能选型及控制措施，对于实现电气系统节能起着关键的作用。</w:t>
      </w:r>
    </w:p>
    <w:p w14:paraId="6C8A4EEC"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1</w:t>
      </w:r>
      <w:r w:rsidRPr="00530A11">
        <w:rPr>
          <w:rFonts w:cs="Times New Roman"/>
        </w:rPr>
        <w:t>款，要求主要功能房间的照明功率密度值不应高于现行国家标准《建筑照明设计标准》</w:t>
      </w:r>
      <w:r w:rsidRPr="00530A11">
        <w:rPr>
          <w:rFonts w:cs="Times New Roman"/>
        </w:rPr>
        <w:t>GB 50034</w:t>
      </w:r>
      <w:r w:rsidRPr="00530A11">
        <w:rPr>
          <w:rFonts w:cs="Times New Roman"/>
        </w:rPr>
        <w:t>规定的目标值要求。</w:t>
      </w:r>
    </w:p>
    <w:p w14:paraId="11029EF6"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2</w:t>
      </w:r>
      <w:r w:rsidRPr="00530A11">
        <w:rPr>
          <w:rFonts w:cs="Times New Roman"/>
        </w:rPr>
        <w:t>款，人工照明随天然光照度变化自动调节，不仅可以保证良好的光环境，避免室内产生过高的明暗亮度对比，还能在较大程度上降低照明能耗。</w:t>
      </w:r>
    </w:p>
    <w:p w14:paraId="2C98F426"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3</w:t>
      </w:r>
      <w:r w:rsidRPr="00530A11">
        <w:rPr>
          <w:rFonts w:cs="Times New Roman"/>
        </w:rPr>
        <w:t>款，要求建筑、车库内所用配电变压器满足现行国家标准《三相配电变压器能效限定值及能效等级》</w:t>
      </w:r>
      <w:r w:rsidRPr="00530A11">
        <w:rPr>
          <w:rFonts w:cs="Times New Roman"/>
        </w:rPr>
        <w:t>GB 20052</w:t>
      </w:r>
      <w:r w:rsidRPr="00530A11">
        <w:rPr>
          <w:rFonts w:cs="Times New Roman"/>
        </w:rPr>
        <w:t>规定的节能评价值，油浸式配电变压器、干式配电变压器的空载损耗和负载损耗值均应不高于能效等级</w:t>
      </w:r>
      <w:r w:rsidRPr="00530A11">
        <w:rPr>
          <w:rFonts w:cs="Times New Roman"/>
        </w:rPr>
        <w:t>2</w:t>
      </w:r>
      <w:r w:rsidRPr="00530A11">
        <w:rPr>
          <w:rFonts w:cs="Times New Roman"/>
        </w:rPr>
        <w:t>级的规定。建筑、车库内所用照明产品、水泵、风机等其他电气设备也满足国家现行有关标准的节能评价值。</w:t>
      </w:r>
    </w:p>
    <w:p w14:paraId="02DB12CD"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4</w:t>
      </w:r>
      <w:r w:rsidRPr="00530A11">
        <w:rPr>
          <w:rFonts w:cs="Times New Roman"/>
        </w:rPr>
        <w:t>款，空调系统的运行调节，是实现空调系统节能的关键。良好的运维管理，是结合到室内负荷需求的变化，实现空调系统设备（水泵、风机、机组）、风水系统联动，满足房间热环境需求的前提下实现节能。而目前单纯的风速调节，或者单一的流量调节，在系统负荷出现较大幅度变化时，均不能满足调控的需求，因此常常出现大流量小温差、风量关停、末端变流量水泵定流量的情况，不能满足节能调控的需求。</w:t>
      </w:r>
    </w:p>
    <w:p w14:paraId="3C996405" w14:textId="77777777" w:rsidR="00E905A0" w:rsidRDefault="0052438D" w:rsidP="00E905A0">
      <w:pPr>
        <w:ind w:firstLine="420"/>
      </w:pPr>
      <w:r w:rsidRPr="00530A11">
        <w:t>如重庆市相关标准要求高于国家标准的，则应同时满足重庆市相关标准的要求。</w:t>
      </w:r>
    </w:p>
    <w:p w14:paraId="38433D95" w14:textId="1C9288DE" w:rsidR="00E443CB" w:rsidRPr="009252F8" w:rsidRDefault="00E443CB" w:rsidP="009252F8">
      <w:pPr>
        <w:pStyle w:val="20"/>
      </w:pPr>
      <w:r w:rsidRPr="0081478A">
        <w:t>【评价要点】</w:t>
      </w:r>
    </w:p>
    <w:p w14:paraId="2B7CF04B" w14:textId="1833790A" w:rsidR="009575F0" w:rsidRDefault="009575F0" w:rsidP="009575F0">
      <w:pPr>
        <w:ind w:firstLine="420"/>
      </w:pPr>
      <w:r w:rsidRPr="009575F0">
        <w:rPr>
          <w:rFonts w:hint="eastAsia"/>
        </w:rPr>
        <w:t>对于应急设备，如消防水泵、潜水泵、防排烟风机</w:t>
      </w:r>
      <w:r w:rsidR="004B799E">
        <w:rPr>
          <w:rFonts w:hint="eastAsia"/>
        </w:rPr>
        <w:t>（仅供消防使用的）</w:t>
      </w:r>
      <w:r w:rsidRPr="009575F0">
        <w:rPr>
          <w:rFonts w:hint="eastAsia"/>
        </w:rPr>
        <w:t>等，不包括在本条评价范围内</w:t>
      </w:r>
      <w:r>
        <w:rPr>
          <w:rFonts w:hint="eastAsia"/>
        </w:rPr>
        <w:t>。</w:t>
      </w:r>
    </w:p>
    <w:p w14:paraId="09B72FAE" w14:textId="6E1D82FE" w:rsidR="004A16BD" w:rsidRPr="00EB74A4" w:rsidRDefault="004A16BD" w:rsidP="00EB74A4">
      <w:pPr>
        <w:ind w:firstLine="420"/>
      </w:pPr>
      <w:r w:rsidRPr="00EB74A4">
        <w:rPr>
          <w:rFonts w:hint="eastAsia"/>
        </w:rPr>
        <w:t>对于空调系统的调控，本条要求实现基于室内负荷需求的</w:t>
      </w:r>
      <w:r>
        <w:rPr>
          <w:rFonts w:hint="eastAsia"/>
        </w:rPr>
        <w:t>空调系统的动态调控，包括通过监测室内外温湿度，计算对比</w:t>
      </w:r>
      <w:r w:rsidR="005D6085">
        <w:rPr>
          <w:rFonts w:hint="eastAsia"/>
        </w:rPr>
        <w:t>舒适度和</w:t>
      </w:r>
      <w:r>
        <w:rPr>
          <w:rFonts w:hint="eastAsia"/>
        </w:rPr>
        <w:t>负荷需求，联控空调系统的冷热源、风系统、水系统等的成套控制系统。</w:t>
      </w:r>
    </w:p>
    <w:p w14:paraId="00F196FF" w14:textId="12FDBE5F" w:rsidR="00715ABB" w:rsidRPr="009252F8" w:rsidRDefault="00F44390" w:rsidP="009252F8">
      <w:pPr>
        <w:pStyle w:val="20"/>
      </w:pPr>
      <w:r w:rsidRPr="0081478A">
        <w:t>【评价方法】</w:t>
      </w:r>
    </w:p>
    <w:p w14:paraId="639EF692" w14:textId="77777777" w:rsidR="00E905A0" w:rsidRPr="0049450D" w:rsidRDefault="00E905A0" w:rsidP="00E905A0">
      <w:pPr>
        <w:ind w:firstLine="420"/>
      </w:pPr>
      <w:r w:rsidRPr="00530A11">
        <w:t>预评价查阅相关设计文件、相关设计说明；评价查阅相关竣工图，相关设计说明、相关产品型式检验报告，测试、检测报告。</w:t>
      </w:r>
    </w:p>
    <w:p w14:paraId="103FE0A0" w14:textId="77777777" w:rsidR="00715ABB" w:rsidRPr="00E905A0" w:rsidRDefault="00715ABB">
      <w:pPr>
        <w:snapToGrid w:val="0"/>
        <w:ind w:firstLineChars="0" w:firstLine="0"/>
        <w:jc w:val="left"/>
        <w:rPr>
          <w:rFonts w:cs="Times New Roman"/>
          <w:b/>
          <w:bCs/>
          <w:szCs w:val="24"/>
        </w:rPr>
      </w:pPr>
    </w:p>
    <w:p w14:paraId="1DED57FB" w14:textId="77777777" w:rsidR="00C060F4" w:rsidRPr="00530A11" w:rsidRDefault="00C060F4" w:rsidP="00C060F4">
      <w:pPr>
        <w:pStyle w:val="4"/>
        <w:rPr>
          <w:rFonts w:cs="Times New Roman"/>
          <w:bCs w:val="0"/>
        </w:rPr>
      </w:pPr>
      <w:r w:rsidRPr="00530A11">
        <w:rPr>
          <w:rFonts w:cs="Times New Roman"/>
          <w:bCs w:val="0"/>
        </w:rPr>
        <w:t xml:space="preserve">7.2.8 </w:t>
      </w:r>
      <w:r w:rsidRPr="00530A11">
        <w:rPr>
          <w:rFonts w:cs="Times New Roman"/>
          <w:bCs w:val="0"/>
        </w:rPr>
        <w:t>采取措施降低建筑能耗，评价总分值为</w:t>
      </w:r>
      <w:r w:rsidRPr="00530A11">
        <w:rPr>
          <w:rFonts w:cs="Times New Roman"/>
          <w:bCs w:val="0"/>
        </w:rPr>
        <w:t>8</w:t>
      </w:r>
      <w:r w:rsidRPr="00530A11">
        <w:rPr>
          <w:rFonts w:cs="Times New Roman"/>
          <w:bCs w:val="0"/>
        </w:rPr>
        <w:t>分。</w:t>
      </w:r>
      <w:r w:rsidRPr="00530A11">
        <w:rPr>
          <w:rFonts w:cs="Times New Roman" w:hint="eastAsia"/>
          <w:bCs w:val="0"/>
        </w:rPr>
        <w:t>建筑能耗相比国家和地方现行有关建筑能耗标准的约束值降低</w:t>
      </w:r>
      <w:r w:rsidRPr="00530A11">
        <w:rPr>
          <w:rFonts w:cs="Times New Roman"/>
          <w:bCs w:val="0"/>
        </w:rPr>
        <w:t>10%</w:t>
      </w:r>
      <w:r w:rsidRPr="00530A11">
        <w:rPr>
          <w:rFonts w:cs="Times New Roman" w:hint="eastAsia"/>
          <w:bCs w:val="0"/>
        </w:rPr>
        <w:t>，得</w:t>
      </w:r>
      <w:r w:rsidRPr="00530A11">
        <w:rPr>
          <w:rFonts w:cs="Times New Roman"/>
          <w:bCs w:val="0"/>
        </w:rPr>
        <w:t>5</w:t>
      </w:r>
      <w:r w:rsidRPr="00530A11">
        <w:rPr>
          <w:rFonts w:cs="Times New Roman" w:hint="eastAsia"/>
          <w:bCs w:val="0"/>
        </w:rPr>
        <w:t>分；达到引导值，得</w:t>
      </w:r>
      <w:r w:rsidRPr="00530A11">
        <w:rPr>
          <w:rFonts w:cs="Times New Roman"/>
          <w:bCs w:val="0"/>
        </w:rPr>
        <w:t>8</w:t>
      </w:r>
      <w:r w:rsidRPr="00530A11">
        <w:rPr>
          <w:rFonts w:cs="Times New Roman" w:hint="eastAsia"/>
          <w:bCs w:val="0"/>
        </w:rPr>
        <w:t>分。</w:t>
      </w:r>
    </w:p>
    <w:p w14:paraId="71D153F4" w14:textId="77777777" w:rsidR="00715ABB" w:rsidRPr="0081478A" w:rsidRDefault="00F44390" w:rsidP="009252F8">
      <w:pPr>
        <w:pStyle w:val="20"/>
      </w:pPr>
      <w:r w:rsidRPr="0081478A">
        <w:t>【条文说明】</w:t>
      </w:r>
    </w:p>
    <w:p w14:paraId="0D1B5486" w14:textId="77777777" w:rsidR="0052438D" w:rsidRPr="00530A11" w:rsidRDefault="0052438D" w:rsidP="0052438D">
      <w:pPr>
        <w:ind w:firstLine="420"/>
        <w:rPr>
          <w:szCs w:val="24"/>
        </w:rPr>
      </w:pPr>
      <w:r w:rsidRPr="00530A11">
        <w:lastRenderedPageBreak/>
        <w:t>本条适用于各类民用建筑的预评价、评价。</w:t>
      </w:r>
    </w:p>
    <w:p w14:paraId="6C865452"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5.2.6</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5.2.7</w:t>
      </w:r>
      <w:r w:rsidRPr="00530A11">
        <w:rPr>
          <w:rFonts w:cs="Times New Roman"/>
        </w:rPr>
        <w:t>条的基础上发展而来。</w:t>
      </w:r>
    </w:p>
    <w:p w14:paraId="785DBE1A" w14:textId="6B57D5CD" w:rsidR="0052438D" w:rsidRPr="00530A11" w:rsidRDefault="0052438D" w:rsidP="0052438D">
      <w:pPr>
        <w:ind w:firstLine="420"/>
        <w:rPr>
          <w:rFonts w:cs="Times New Roman"/>
        </w:rPr>
      </w:pPr>
      <w:r w:rsidRPr="00530A11">
        <w:rPr>
          <w:rFonts w:cs="Times New Roman"/>
        </w:rPr>
        <w:t>预评价和投入使用前的评价可计算建筑的能耗并进行比较，即根据现行行业标准《民用建筑绿色性能计算标准》</w:t>
      </w:r>
      <w:r w:rsidRPr="00530A11">
        <w:rPr>
          <w:rFonts w:cs="Times New Roman"/>
        </w:rPr>
        <w:t>JGJ/T 449</w:t>
      </w:r>
      <w:r w:rsidRPr="00530A11">
        <w:rPr>
          <w:rFonts w:cs="Times New Roman"/>
        </w:rPr>
        <w:t>的相关规定，计算设计建筑能耗，与现行国家标准《民用建筑能耗标准》</w:t>
      </w:r>
      <w:r w:rsidRPr="00530A11">
        <w:rPr>
          <w:rFonts w:cs="Times New Roman"/>
        </w:rPr>
        <w:t>GB/T 51161</w:t>
      </w:r>
      <w:r w:rsidRPr="00530A11">
        <w:rPr>
          <w:rFonts w:cs="Times New Roman"/>
        </w:rPr>
        <w:t>和重庆市相关</w:t>
      </w:r>
      <w:r w:rsidR="00DE12A7">
        <w:rPr>
          <w:rFonts w:cs="Times New Roman" w:hint="eastAsia"/>
        </w:rPr>
        <w:t>用能限额</w:t>
      </w:r>
      <w:r w:rsidRPr="00530A11">
        <w:rPr>
          <w:rFonts w:cs="Times New Roman"/>
        </w:rPr>
        <w:t>标准</w:t>
      </w:r>
      <w:r w:rsidR="00DE12A7">
        <w:rPr>
          <w:rFonts w:cs="Times New Roman" w:hint="eastAsia"/>
        </w:rPr>
        <w:t>（目前已发布重庆市《公共建筑用能限额标准》</w:t>
      </w:r>
      <w:r w:rsidR="00DE12A7">
        <w:rPr>
          <w:rFonts w:cs="Times New Roman" w:hint="eastAsia"/>
        </w:rPr>
        <w:t>D</w:t>
      </w:r>
      <w:r w:rsidR="00DE12A7">
        <w:rPr>
          <w:rFonts w:cs="Times New Roman"/>
        </w:rPr>
        <w:t>BJ50/T-345-2020</w:t>
      </w:r>
      <w:r w:rsidR="00DE12A7">
        <w:rPr>
          <w:rFonts w:cs="Times New Roman" w:hint="eastAsia"/>
        </w:rPr>
        <w:t>）</w:t>
      </w:r>
      <w:r w:rsidRPr="00530A11">
        <w:rPr>
          <w:rFonts w:cs="Times New Roman"/>
        </w:rPr>
        <w:t>中规定的约束值和引导值进行比较。对于投入运行一年后的建筑，本条要求建筑实际能耗与现行国家标准《民用建筑能耗标准》</w:t>
      </w:r>
      <w:r w:rsidRPr="00530A11">
        <w:rPr>
          <w:rFonts w:cs="Times New Roman"/>
        </w:rPr>
        <w:t>GB/T 51161</w:t>
      </w:r>
      <w:r w:rsidRPr="00530A11">
        <w:rPr>
          <w:rFonts w:cs="Times New Roman"/>
        </w:rPr>
        <w:t>和重庆市相关标准中规定的约束值进行比较，根据建筑实际运行能耗低于约束值的百分比和是否到达引导值进行得分判断。需要说明的是，当建筑运行后实际人数、小时数等参数和现行国家标准《民用建筑能耗标准》</w:t>
      </w:r>
      <w:r w:rsidRPr="00530A11">
        <w:rPr>
          <w:rFonts w:cs="Times New Roman"/>
        </w:rPr>
        <w:t>GB/T 51161</w:t>
      </w:r>
      <w:r w:rsidRPr="00530A11">
        <w:rPr>
          <w:rFonts w:cs="Times New Roman"/>
        </w:rPr>
        <w:t>中的规定值不同时，可对建筑实际能耗进行修正，具体的修正办法参考现行国家标准《民用建筑能耗标准》</w:t>
      </w:r>
      <w:r w:rsidRPr="00530A11">
        <w:rPr>
          <w:rFonts w:cs="Times New Roman"/>
        </w:rPr>
        <w:t>GB/T 51161</w:t>
      </w:r>
      <w:r w:rsidRPr="00530A11">
        <w:rPr>
          <w:rFonts w:cs="Times New Roman"/>
        </w:rPr>
        <w:t>或重庆市相关标准。</w:t>
      </w:r>
    </w:p>
    <w:p w14:paraId="2A603F1B" w14:textId="77777777" w:rsidR="00E443CB" w:rsidRPr="0081478A" w:rsidRDefault="00E443CB" w:rsidP="009252F8">
      <w:pPr>
        <w:pStyle w:val="20"/>
      </w:pPr>
      <w:r w:rsidRPr="0081478A">
        <w:t>【评价要点】</w:t>
      </w:r>
    </w:p>
    <w:p w14:paraId="22E16FCE" w14:textId="165DE0F9" w:rsidR="00F423DE" w:rsidRPr="0081478A" w:rsidRDefault="00F423DE" w:rsidP="00F423DE">
      <w:pPr>
        <w:ind w:firstLine="420"/>
        <w:rPr>
          <w:rFonts w:cs="Times New Roman"/>
        </w:rPr>
      </w:pPr>
      <w:r w:rsidRPr="0081478A">
        <w:rPr>
          <w:rFonts w:cs="Times New Roman"/>
        </w:rPr>
        <w:t>供暖空调系统能耗模拟分析报告应满足附录</w:t>
      </w:r>
      <w:r w:rsidRPr="0081478A">
        <w:rPr>
          <w:rFonts w:cs="Times New Roman"/>
        </w:rPr>
        <w:t>A.5</w:t>
      </w:r>
      <w:r w:rsidRPr="0081478A">
        <w:rPr>
          <w:rFonts w:cs="Times New Roman"/>
        </w:rPr>
        <w:t>的要求，</w:t>
      </w:r>
      <w:r w:rsidR="00EB6053">
        <w:rPr>
          <w:rFonts w:cs="Times New Roman" w:hint="eastAsia"/>
        </w:rPr>
        <w:t>并</w:t>
      </w:r>
      <w:r w:rsidR="0038458A">
        <w:rPr>
          <w:rFonts w:cs="Times New Roman" w:hint="eastAsia"/>
        </w:rPr>
        <w:t>提供</w:t>
      </w:r>
      <w:r w:rsidR="0038458A" w:rsidRPr="0038458A">
        <w:rPr>
          <w:rFonts w:cs="Times New Roman" w:hint="eastAsia"/>
        </w:rPr>
        <w:t>照明系统及电气设备能耗模拟计算书</w:t>
      </w:r>
      <w:r w:rsidRPr="0081478A">
        <w:rPr>
          <w:rFonts w:cs="Times New Roman"/>
        </w:rPr>
        <w:t>。</w:t>
      </w:r>
    </w:p>
    <w:p w14:paraId="479D7700" w14:textId="77777777" w:rsidR="00715ABB" w:rsidRPr="009252F8" w:rsidRDefault="00F44390" w:rsidP="009252F8">
      <w:pPr>
        <w:pStyle w:val="20"/>
      </w:pPr>
      <w:r w:rsidRPr="0081478A">
        <w:t>【评价方法】</w:t>
      </w:r>
    </w:p>
    <w:p w14:paraId="447709C4"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暖通、电气、内装专业施工图纸及设计说明)、建筑暖通、照明系统及电气设备能耗模拟计算书；评价查阅相关竣工图，建筑暖通系统、照明系统及电气设备能耗模拟计算书、暖通系统运行调试记录等，投入使用的项目应查阅建筑运行能耗统计数据。</w:t>
      </w:r>
    </w:p>
    <w:p w14:paraId="1E850B82" w14:textId="77777777" w:rsidR="00715ABB" w:rsidRPr="00E905A0" w:rsidRDefault="00715ABB">
      <w:pPr>
        <w:snapToGrid w:val="0"/>
        <w:ind w:firstLineChars="0" w:firstLine="0"/>
        <w:jc w:val="left"/>
        <w:rPr>
          <w:rFonts w:cs="Times New Roman"/>
          <w:b/>
          <w:bCs/>
          <w:szCs w:val="24"/>
        </w:rPr>
      </w:pPr>
    </w:p>
    <w:p w14:paraId="31E509AD" w14:textId="77777777" w:rsidR="00C060F4" w:rsidRPr="00530A11" w:rsidRDefault="00C060F4" w:rsidP="00C060F4">
      <w:pPr>
        <w:pStyle w:val="4"/>
        <w:rPr>
          <w:rFonts w:cs="Times New Roman"/>
          <w:bCs w:val="0"/>
        </w:rPr>
      </w:pPr>
      <w:r w:rsidRPr="00530A11">
        <w:rPr>
          <w:rFonts w:cs="Times New Roman"/>
          <w:bCs w:val="0"/>
        </w:rPr>
        <w:t xml:space="preserve">7.2.9 </w:t>
      </w:r>
      <w:r w:rsidRPr="00530A11">
        <w:rPr>
          <w:rFonts w:cs="Times New Roman"/>
          <w:bCs w:val="0"/>
        </w:rPr>
        <w:t>结合当地气候和自然资源条件合理利用可再生能源，评价总分值为</w:t>
      </w:r>
      <w:r w:rsidRPr="00530A11">
        <w:rPr>
          <w:rFonts w:cs="Times New Roman"/>
          <w:bCs w:val="0"/>
        </w:rPr>
        <w:t>9</w:t>
      </w:r>
      <w:r w:rsidRPr="00530A11">
        <w:rPr>
          <w:rFonts w:cs="Times New Roman"/>
          <w:bCs w:val="0"/>
        </w:rPr>
        <w:t>分，按表</w:t>
      </w:r>
      <w:r w:rsidRPr="00530A11">
        <w:rPr>
          <w:rFonts w:cs="Times New Roman"/>
          <w:bCs w:val="0"/>
        </w:rPr>
        <w:t>7.2.9</w:t>
      </w:r>
      <w:r w:rsidRPr="00530A11">
        <w:rPr>
          <w:rFonts w:cs="Times New Roman"/>
          <w:bCs w:val="0"/>
        </w:rPr>
        <w:t>的规则评分。</w:t>
      </w:r>
    </w:p>
    <w:p w14:paraId="3AB0F163" w14:textId="77777777" w:rsidR="00C060F4" w:rsidRPr="00530A11" w:rsidRDefault="00C060F4" w:rsidP="00C060F4">
      <w:pPr>
        <w:pStyle w:val="ae"/>
        <w:rPr>
          <w:rFonts w:cs="Times New Roman"/>
          <w:b w:val="0"/>
        </w:rPr>
      </w:pPr>
      <w:r w:rsidRPr="00530A11">
        <w:rPr>
          <w:rFonts w:cs="Times New Roman"/>
          <w:b w:val="0"/>
        </w:rPr>
        <w:t>表</w:t>
      </w:r>
      <w:r w:rsidRPr="00530A11">
        <w:rPr>
          <w:rFonts w:cs="Times New Roman"/>
          <w:b w:val="0"/>
        </w:rPr>
        <w:t xml:space="preserve">7.2.9 </w:t>
      </w:r>
      <w:r w:rsidRPr="00530A11">
        <w:rPr>
          <w:rFonts w:cs="Times New Roman"/>
          <w:b w:val="0"/>
        </w:rPr>
        <w:t>可再生能源利用评分规则</w:t>
      </w:r>
    </w:p>
    <w:tbl>
      <w:tblPr>
        <w:tblStyle w:val="110"/>
        <w:tblW w:w="6775" w:type="dxa"/>
        <w:jc w:val="center"/>
        <w:tblLayout w:type="fixed"/>
        <w:tblLook w:val="04A0" w:firstRow="1" w:lastRow="0" w:firstColumn="1" w:lastColumn="0" w:noHBand="0" w:noVBand="1"/>
      </w:tblPr>
      <w:tblGrid>
        <w:gridCol w:w="3768"/>
        <w:gridCol w:w="2369"/>
        <w:gridCol w:w="638"/>
      </w:tblGrid>
      <w:tr w:rsidR="00C060F4" w:rsidRPr="00530A11" w14:paraId="2931FEDE" w14:textId="77777777" w:rsidTr="009252F8">
        <w:trPr>
          <w:jc w:val="center"/>
        </w:trPr>
        <w:tc>
          <w:tcPr>
            <w:tcW w:w="6137" w:type="dxa"/>
            <w:gridSpan w:val="2"/>
          </w:tcPr>
          <w:p w14:paraId="31293E01" w14:textId="77777777" w:rsidR="00C060F4" w:rsidRPr="00530A11" w:rsidRDefault="00C060F4" w:rsidP="00C060F4">
            <w:pPr>
              <w:pStyle w:val="ae"/>
              <w:rPr>
                <w:rFonts w:cs="Times New Roman"/>
                <w:b w:val="0"/>
              </w:rPr>
            </w:pPr>
            <w:bookmarkStart w:id="149" w:name="_Hlk24543856"/>
            <w:r w:rsidRPr="00530A11">
              <w:rPr>
                <w:rFonts w:cs="Times New Roman"/>
                <w:b w:val="0"/>
              </w:rPr>
              <w:t>可再生能源利用类型和指标</w:t>
            </w:r>
          </w:p>
        </w:tc>
        <w:tc>
          <w:tcPr>
            <w:tcW w:w="638" w:type="dxa"/>
          </w:tcPr>
          <w:p w14:paraId="163C7A71" w14:textId="77777777" w:rsidR="00C060F4" w:rsidRPr="00530A11" w:rsidRDefault="00C060F4" w:rsidP="00C060F4">
            <w:pPr>
              <w:pStyle w:val="ae"/>
              <w:rPr>
                <w:rFonts w:cs="Times New Roman"/>
                <w:b w:val="0"/>
              </w:rPr>
            </w:pPr>
            <w:r w:rsidRPr="00530A11">
              <w:rPr>
                <w:rFonts w:cs="Times New Roman"/>
                <w:b w:val="0"/>
              </w:rPr>
              <w:t>得分</w:t>
            </w:r>
          </w:p>
        </w:tc>
      </w:tr>
      <w:tr w:rsidR="00C060F4" w:rsidRPr="00530A11" w14:paraId="6A963AB4" w14:textId="77777777" w:rsidTr="009252F8">
        <w:trPr>
          <w:jc w:val="center"/>
        </w:trPr>
        <w:tc>
          <w:tcPr>
            <w:tcW w:w="3768" w:type="dxa"/>
            <w:vMerge w:val="restart"/>
          </w:tcPr>
          <w:p w14:paraId="7E0B5EDD" w14:textId="77777777" w:rsidR="00C060F4" w:rsidRPr="00530A11" w:rsidRDefault="00C060F4" w:rsidP="00C060F4">
            <w:pPr>
              <w:pStyle w:val="ae"/>
              <w:rPr>
                <w:rFonts w:cs="Times New Roman"/>
                <w:b w:val="0"/>
              </w:rPr>
            </w:pPr>
            <w:r w:rsidRPr="00530A11">
              <w:rPr>
                <w:rFonts w:cs="Times New Roman"/>
                <w:b w:val="0"/>
              </w:rPr>
              <w:t>由可再生能源提供的生活热水比例</w:t>
            </w:r>
            <w:r w:rsidRPr="00530A11">
              <w:rPr>
                <w:rFonts w:cs="Times New Roman"/>
                <w:b w:val="0"/>
              </w:rPr>
              <w:t>R</w:t>
            </w:r>
            <w:r w:rsidRPr="00530A11">
              <w:rPr>
                <w:rFonts w:cs="Times New Roman"/>
                <w:b w:val="0"/>
                <w:vertAlign w:val="subscript"/>
              </w:rPr>
              <w:t>hw</w:t>
            </w:r>
          </w:p>
        </w:tc>
        <w:tc>
          <w:tcPr>
            <w:tcW w:w="2369" w:type="dxa"/>
          </w:tcPr>
          <w:p w14:paraId="15434AC9" w14:textId="77777777" w:rsidR="00C060F4" w:rsidRPr="00530A11" w:rsidRDefault="00C060F4" w:rsidP="00C060F4">
            <w:pPr>
              <w:pStyle w:val="ae"/>
              <w:rPr>
                <w:rFonts w:cs="Times New Roman"/>
                <w:b w:val="0"/>
              </w:rPr>
            </w:pPr>
            <w:r w:rsidRPr="00530A11">
              <w:rPr>
                <w:rFonts w:cs="Times New Roman"/>
                <w:b w:val="0"/>
              </w:rPr>
              <w:t>20%≤R</w:t>
            </w:r>
            <w:r w:rsidRPr="00530A11">
              <w:rPr>
                <w:rFonts w:cs="Times New Roman"/>
                <w:b w:val="0"/>
                <w:vertAlign w:val="subscript"/>
              </w:rPr>
              <w:t>hw</w:t>
            </w:r>
            <w:r w:rsidRPr="00530A11">
              <w:rPr>
                <w:rFonts w:cs="Times New Roman"/>
                <w:b w:val="0"/>
              </w:rPr>
              <w:t>&lt;35%</w:t>
            </w:r>
          </w:p>
        </w:tc>
        <w:tc>
          <w:tcPr>
            <w:tcW w:w="638" w:type="dxa"/>
          </w:tcPr>
          <w:p w14:paraId="5198B64B" w14:textId="77777777" w:rsidR="00C060F4" w:rsidRPr="00530A11" w:rsidRDefault="00C060F4" w:rsidP="00C060F4">
            <w:pPr>
              <w:pStyle w:val="ae"/>
              <w:rPr>
                <w:rFonts w:cs="Times New Roman"/>
                <w:b w:val="0"/>
              </w:rPr>
            </w:pPr>
            <w:r w:rsidRPr="00530A11">
              <w:rPr>
                <w:rFonts w:cs="Times New Roman"/>
                <w:b w:val="0"/>
              </w:rPr>
              <w:t>2</w:t>
            </w:r>
          </w:p>
        </w:tc>
      </w:tr>
      <w:tr w:rsidR="00C060F4" w:rsidRPr="00530A11" w14:paraId="43309855" w14:textId="77777777" w:rsidTr="009252F8">
        <w:trPr>
          <w:jc w:val="center"/>
        </w:trPr>
        <w:tc>
          <w:tcPr>
            <w:tcW w:w="3768" w:type="dxa"/>
            <w:vMerge/>
          </w:tcPr>
          <w:p w14:paraId="2056F4F8" w14:textId="77777777" w:rsidR="00C060F4" w:rsidRPr="00530A11" w:rsidRDefault="00C060F4" w:rsidP="00C060F4">
            <w:pPr>
              <w:pStyle w:val="ae"/>
              <w:rPr>
                <w:rFonts w:cs="Times New Roman"/>
                <w:b w:val="0"/>
              </w:rPr>
            </w:pPr>
          </w:p>
        </w:tc>
        <w:tc>
          <w:tcPr>
            <w:tcW w:w="2369" w:type="dxa"/>
          </w:tcPr>
          <w:p w14:paraId="43007EF2" w14:textId="77777777" w:rsidR="00C060F4" w:rsidRPr="00530A11" w:rsidRDefault="00C060F4" w:rsidP="00C060F4">
            <w:pPr>
              <w:pStyle w:val="ae"/>
              <w:rPr>
                <w:rFonts w:cs="Times New Roman"/>
                <w:b w:val="0"/>
              </w:rPr>
            </w:pPr>
            <w:r w:rsidRPr="00530A11">
              <w:rPr>
                <w:rFonts w:cs="Times New Roman"/>
                <w:b w:val="0"/>
              </w:rPr>
              <w:t>35%≤R</w:t>
            </w:r>
            <w:r w:rsidRPr="00530A11">
              <w:rPr>
                <w:rFonts w:cs="Times New Roman"/>
                <w:b w:val="0"/>
                <w:vertAlign w:val="subscript"/>
              </w:rPr>
              <w:t>hw</w:t>
            </w:r>
            <w:r w:rsidRPr="00530A11">
              <w:rPr>
                <w:rFonts w:cs="Times New Roman"/>
                <w:b w:val="0"/>
              </w:rPr>
              <w:t>&lt;50%</w:t>
            </w:r>
          </w:p>
        </w:tc>
        <w:tc>
          <w:tcPr>
            <w:tcW w:w="638" w:type="dxa"/>
          </w:tcPr>
          <w:p w14:paraId="0512F43E" w14:textId="77777777" w:rsidR="00C060F4" w:rsidRPr="00530A11" w:rsidRDefault="00C060F4" w:rsidP="00C060F4">
            <w:pPr>
              <w:pStyle w:val="ae"/>
              <w:rPr>
                <w:rFonts w:cs="Times New Roman"/>
                <w:b w:val="0"/>
              </w:rPr>
            </w:pPr>
            <w:r w:rsidRPr="00530A11">
              <w:rPr>
                <w:rFonts w:cs="Times New Roman"/>
                <w:b w:val="0"/>
              </w:rPr>
              <w:t>4</w:t>
            </w:r>
          </w:p>
        </w:tc>
      </w:tr>
      <w:tr w:rsidR="00C060F4" w:rsidRPr="00530A11" w14:paraId="752A0A18" w14:textId="77777777" w:rsidTr="009252F8">
        <w:trPr>
          <w:jc w:val="center"/>
        </w:trPr>
        <w:tc>
          <w:tcPr>
            <w:tcW w:w="3768" w:type="dxa"/>
            <w:vMerge/>
          </w:tcPr>
          <w:p w14:paraId="3A50DC5B" w14:textId="77777777" w:rsidR="00C060F4" w:rsidRPr="00530A11" w:rsidRDefault="00C060F4" w:rsidP="00C060F4">
            <w:pPr>
              <w:pStyle w:val="ae"/>
              <w:rPr>
                <w:rFonts w:cs="Times New Roman"/>
                <w:b w:val="0"/>
              </w:rPr>
            </w:pPr>
          </w:p>
        </w:tc>
        <w:tc>
          <w:tcPr>
            <w:tcW w:w="2369" w:type="dxa"/>
          </w:tcPr>
          <w:p w14:paraId="4B2262FA" w14:textId="77777777" w:rsidR="00C060F4" w:rsidRPr="00530A11" w:rsidRDefault="00C060F4" w:rsidP="00C060F4">
            <w:pPr>
              <w:pStyle w:val="ae"/>
              <w:rPr>
                <w:rFonts w:cs="Times New Roman"/>
                <w:b w:val="0"/>
              </w:rPr>
            </w:pPr>
            <w:r w:rsidRPr="00530A11">
              <w:rPr>
                <w:rFonts w:cs="Times New Roman"/>
                <w:b w:val="0"/>
              </w:rPr>
              <w:t>50%≤R</w:t>
            </w:r>
            <w:r w:rsidRPr="00530A11">
              <w:rPr>
                <w:rFonts w:cs="Times New Roman"/>
                <w:b w:val="0"/>
                <w:vertAlign w:val="subscript"/>
              </w:rPr>
              <w:t>hw</w:t>
            </w:r>
            <w:r w:rsidRPr="00530A11">
              <w:rPr>
                <w:rFonts w:cs="Times New Roman"/>
                <w:b w:val="0"/>
              </w:rPr>
              <w:t>&lt;65%</w:t>
            </w:r>
          </w:p>
        </w:tc>
        <w:tc>
          <w:tcPr>
            <w:tcW w:w="638" w:type="dxa"/>
          </w:tcPr>
          <w:p w14:paraId="013BFB73" w14:textId="77777777" w:rsidR="00C060F4" w:rsidRPr="00530A11" w:rsidRDefault="00C060F4" w:rsidP="00C060F4">
            <w:pPr>
              <w:pStyle w:val="ae"/>
              <w:rPr>
                <w:rFonts w:cs="Times New Roman"/>
                <w:b w:val="0"/>
              </w:rPr>
            </w:pPr>
            <w:r w:rsidRPr="00530A11">
              <w:rPr>
                <w:rFonts w:cs="Times New Roman"/>
                <w:b w:val="0"/>
              </w:rPr>
              <w:t>6</w:t>
            </w:r>
          </w:p>
        </w:tc>
      </w:tr>
      <w:tr w:rsidR="00C060F4" w:rsidRPr="00530A11" w14:paraId="0822F790" w14:textId="77777777" w:rsidTr="009252F8">
        <w:trPr>
          <w:jc w:val="center"/>
        </w:trPr>
        <w:tc>
          <w:tcPr>
            <w:tcW w:w="3768" w:type="dxa"/>
            <w:vMerge/>
          </w:tcPr>
          <w:p w14:paraId="68D23813" w14:textId="77777777" w:rsidR="00C060F4" w:rsidRPr="00530A11" w:rsidRDefault="00C060F4" w:rsidP="00C060F4">
            <w:pPr>
              <w:pStyle w:val="ae"/>
              <w:rPr>
                <w:rFonts w:cs="Times New Roman"/>
                <w:b w:val="0"/>
              </w:rPr>
            </w:pPr>
          </w:p>
        </w:tc>
        <w:tc>
          <w:tcPr>
            <w:tcW w:w="2369" w:type="dxa"/>
          </w:tcPr>
          <w:p w14:paraId="63BE11EF" w14:textId="77777777" w:rsidR="00C060F4" w:rsidRPr="00530A11" w:rsidRDefault="00C060F4" w:rsidP="00C060F4">
            <w:pPr>
              <w:pStyle w:val="ae"/>
              <w:rPr>
                <w:rFonts w:cs="Times New Roman"/>
                <w:b w:val="0"/>
              </w:rPr>
            </w:pPr>
            <w:r w:rsidRPr="00530A11">
              <w:rPr>
                <w:rFonts w:cs="Times New Roman"/>
                <w:b w:val="0"/>
              </w:rPr>
              <w:t>65%≤R</w:t>
            </w:r>
            <w:r w:rsidRPr="00530A11">
              <w:rPr>
                <w:rFonts w:cs="Times New Roman"/>
                <w:b w:val="0"/>
                <w:vertAlign w:val="subscript"/>
              </w:rPr>
              <w:t>hw</w:t>
            </w:r>
            <w:r w:rsidRPr="00530A11">
              <w:rPr>
                <w:rFonts w:cs="Times New Roman"/>
                <w:b w:val="0"/>
              </w:rPr>
              <w:t>&lt;80%</w:t>
            </w:r>
          </w:p>
        </w:tc>
        <w:tc>
          <w:tcPr>
            <w:tcW w:w="638" w:type="dxa"/>
          </w:tcPr>
          <w:p w14:paraId="0DC2E049" w14:textId="77777777" w:rsidR="00C060F4" w:rsidRPr="00530A11" w:rsidRDefault="00C060F4" w:rsidP="00C060F4">
            <w:pPr>
              <w:pStyle w:val="ae"/>
              <w:rPr>
                <w:rFonts w:cs="Times New Roman"/>
                <w:b w:val="0"/>
              </w:rPr>
            </w:pPr>
            <w:r w:rsidRPr="00530A11">
              <w:rPr>
                <w:rFonts w:cs="Times New Roman"/>
                <w:b w:val="0"/>
              </w:rPr>
              <w:t>8</w:t>
            </w:r>
          </w:p>
        </w:tc>
      </w:tr>
      <w:tr w:rsidR="00C060F4" w:rsidRPr="00530A11" w14:paraId="769A83A0" w14:textId="77777777" w:rsidTr="009252F8">
        <w:trPr>
          <w:jc w:val="center"/>
        </w:trPr>
        <w:tc>
          <w:tcPr>
            <w:tcW w:w="3768" w:type="dxa"/>
            <w:vMerge/>
          </w:tcPr>
          <w:p w14:paraId="407FF4C7" w14:textId="77777777" w:rsidR="00C060F4" w:rsidRPr="00530A11" w:rsidRDefault="00C060F4" w:rsidP="00C060F4">
            <w:pPr>
              <w:pStyle w:val="ae"/>
              <w:rPr>
                <w:rFonts w:cs="Times New Roman"/>
                <w:b w:val="0"/>
              </w:rPr>
            </w:pPr>
          </w:p>
        </w:tc>
        <w:tc>
          <w:tcPr>
            <w:tcW w:w="2369" w:type="dxa"/>
          </w:tcPr>
          <w:p w14:paraId="07DE493E" w14:textId="77777777" w:rsidR="00C060F4" w:rsidRPr="00530A11" w:rsidRDefault="00C060F4" w:rsidP="00C060F4">
            <w:pPr>
              <w:pStyle w:val="ae"/>
              <w:rPr>
                <w:rFonts w:cs="Times New Roman"/>
                <w:b w:val="0"/>
              </w:rPr>
            </w:pPr>
            <w:r w:rsidRPr="00530A11">
              <w:rPr>
                <w:rFonts w:cs="Times New Roman"/>
                <w:b w:val="0"/>
              </w:rPr>
              <w:t>R</w:t>
            </w:r>
            <w:r w:rsidRPr="00530A11">
              <w:rPr>
                <w:rFonts w:cs="Times New Roman"/>
                <w:b w:val="0"/>
                <w:vertAlign w:val="subscript"/>
              </w:rPr>
              <w:t>hw</w:t>
            </w:r>
            <w:r w:rsidRPr="00530A11">
              <w:rPr>
                <w:rFonts w:cs="Times New Roman"/>
                <w:b w:val="0"/>
              </w:rPr>
              <w:t>≥80%</w:t>
            </w:r>
          </w:p>
        </w:tc>
        <w:tc>
          <w:tcPr>
            <w:tcW w:w="638" w:type="dxa"/>
          </w:tcPr>
          <w:p w14:paraId="75AC85EB" w14:textId="77777777" w:rsidR="00C060F4" w:rsidRPr="00530A11" w:rsidRDefault="00C060F4" w:rsidP="00C060F4">
            <w:pPr>
              <w:pStyle w:val="ae"/>
              <w:rPr>
                <w:rFonts w:cs="Times New Roman"/>
                <w:b w:val="0"/>
              </w:rPr>
            </w:pPr>
            <w:r w:rsidRPr="00530A11">
              <w:rPr>
                <w:rFonts w:cs="Times New Roman"/>
                <w:b w:val="0"/>
              </w:rPr>
              <w:t>9</w:t>
            </w:r>
          </w:p>
        </w:tc>
      </w:tr>
      <w:tr w:rsidR="00C060F4" w:rsidRPr="00530A11" w14:paraId="016C2774" w14:textId="77777777" w:rsidTr="009252F8">
        <w:trPr>
          <w:jc w:val="center"/>
        </w:trPr>
        <w:tc>
          <w:tcPr>
            <w:tcW w:w="3768" w:type="dxa"/>
            <w:vMerge w:val="restart"/>
          </w:tcPr>
          <w:p w14:paraId="20B889B0" w14:textId="77777777" w:rsidR="00C060F4" w:rsidRPr="00530A11" w:rsidRDefault="00C060F4" w:rsidP="00C060F4">
            <w:pPr>
              <w:pStyle w:val="ae"/>
              <w:rPr>
                <w:rFonts w:cs="Times New Roman"/>
                <w:b w:val="0"/>
              </w:rPr>
            </w:pPr>
            <w:r w:rsidRPr="00530A11">
              <w:rPr>
                <w:rFonts w:cs="Times New Roman"/>
                <w:b w:val="0"/>
              </w:rPr>
              <w:t>由可再生能源提供的空调用冷量和热量比例</w:t>
            </w:r>
            <w:r w:rsidRPr="00530A11">
              <w:rPr>
                <w:rFonts w:cs="Times New Roman"/>
                <w:b w:val="0"/>
              </w:rPr>
              <w:t>R</w:t>
            </w:r>
            <w:r w:rsidRPr="00530A11">
              <w:rPr>
                <w:rFonts w:cs="Times New Roman"/>
                <w:b w:val="0"/>
                <w:vertAlign w:val="subscript"/>
              </w:rPr>
              <w:t>ch</w:t>
            </w:r>
          </w:p>
        </w:tc>
        <w:tc>
          <w:tcPr>
            <w:tcW w:w="2369" w:type="dxa"/>
          </w:tcPr>
          <w:p w14:paraId="6286E274" w14:textId="77777777" w:rsidR="00C060F4" w:rsidRPr="00530A11" w:rsidRDefault="00C060F4" w:rsidP="00C060F4">
            <w:pPr>
              <w:pStyle w:val="ae"/>
              <w:rPr>
                <w:rFonts w:cs="Times New Roman"/>
                <w:b w:val="0"/>
              </w:rPr>
            </w:pPr>
            <w:r w:rsidRPr="00530A11">
              <w:rPr>
                <w:rFonts w:cs="Times New Roman"/>
                <w:b w:val="0"/>
              </w:rPr>
              <w:t>20%≤R</w:t>
            </w:r>
            <w:r w:rsidRPr="00530A11">
              <w:rPr>
                <w:rFonts w:cs="Times New Roman"/>
                <w:b w:val="0"/>
                <w:vertAlign w:val="subscript"/>
              </w:rPr>
              <w:t>ch</w:t>
            </w:r>
            <w:r w:rsidRPr="00530A11">
              <w:rPr>
                <w:rFonts w:cs="Times New Roman"/>
                <w:b w:val="0"/>
              </w:rPr>
              <w:t>&lt;35%</w:t>
            </w:r>
          </w:p>
        </w:tc>
        <w:tc>
          <w:tcPr>
            <w:tcW w:w="638" w:type="dxa"/>
          </w:tcPr>
          <w:p w14:paraId="6BAA5AD9" w14:textId="77777777" w:rsidR="00C060F4" w:rsidRPr="00530A11" w:rsidRDefault="00C060F4" w:rsidP="00C060F4">
            <w:pPr>
              <w:pStyle w:val="ae"/>
              <w:rPr>
                <w:rFonts w:cs="Times New Roman"/>
                <w:b w:val="0"/>
              </w:rPr>
            </w:pPr>
            <w:r w:rsidRPr="00530A11">
              <w:rPr>
                <w:rFonts w:cs="Times New Roman"/>
                <w:b w:val="0"/>
              </w:rPr>
              <w:t>2</w:t>
            </w:r>
          </w:p>
        </w:tc>
      </w:tr>
      <w:tr w:rsidR="00C060F4" w:rsidRPr="00530A11" w14:paraId="33C86BC2" w14:textId="77777777" w:rsidTr="009252F8">
        <w:trPr>
          <w:jc w:val="center"/>
        </w:trPr>
        <w:tc>
          <w:tcPr>
            <w:tcW w:w="3768" w:type="dxa"/>
            <w:vMerge/>
          </w:tcPr>
          <w:p w14:paraId="2D3240EB" w14:textId="77777777" w:rsidR="00C060F4" w:rsidRPr="00530A11" w:rsidRDefault="00C060F4" w:rsidP="00C060F4">
            <w:pPr>
              <w:pStyle w:val="ae"/>
              <w:rPr>
                <w:rFonts w:cs="Times New Roman"/>
                <w:b w:val="0"/>
              </w:rPr>
            </w:pPr>
          </w:p>
        </w:tc>
        <w:tc>
          <w:tcPr>
            <w:tcW w:w="2369" w:type="dxa"/>
          </w:tcPr>
          <w:p w14:paraId="7BF13E8D" w14:textId="77777777" w:rsidR="00C060F4" w:rsidRPr="00530A11" w:rsidRDefault="00C060F4" w:rsidP="00C060F4">
            <w:pPr>
              <w:pStyle w:val="ae"/>
              <w:rPr>
                <w:rFonts w:cs="Times New Roman"/>
                <w:b w:val="0"/>
              </w:rPr>
            </w:pPr>
            <w:r w:rsidRPr="00530A11">
              <w:rPr>
                <w:rFonts w:cs="Times New Roman"/>
                <w:b w:val="0"/>
              </w:rPr>
              <w:t>35%≤R</w:t>
            </w:r>
            <w:r w:rsidRPr="00530A11">
              <w:rPr>
                <w:rFonts w:cs="Times New Roman"/>
                <w:b w:val="0"/>
                <w:vertAlign w:val="subscript"/>
              </w:rPr>
              <w:t>ch</w:t>
            </w:r>
            <w:r w:rsidRPr="00530A11">
              <w:rPr>
                <w:rFonts w:cs="Times New Roman"/>
                <w:b w:val="0"/>
              </w:rPr>
              <w:t>&lt;50%</w:t>
            </w:r>
          </w:p>
        </w:tc>
        <w:tc>
          <w:tcPr>
            <w:tcW w:w="638" w:type="dxa"/>
          </w:tcPr>
          <w:p w14:paraId="70F9A1FD" w14:textId="77777777" w:rsidR="00C060F4" w:rsidRPr="00530A11" w:rsidRDefault="00C060F4" w:rsidP="00C060F4">
            <w:pPr>
              <w:pStyle w:val="ae"/>
              <w:rPr>
                <w:rFonts w:cs="Times New Roman"/>
                <w:b w:val="0"/>
              </w:rPr>
            </w:pPr>
            <w:r w:rsidRPr="00530A11">
              <w:rPr>
                <w:rFonts w:cs="Times New Roman"/>
                <w:b w:val="0"/>
              </w:rPr>
              <w:t>4</w:t>
            </w:r>
          </w:p>
        </w:tc>
      </w:tr>
      <w:tr w:rsidR="00C060F4" w:rsidRPr="00530A11" w14:paraId="50CDA174" w14:textId="77777777" w:rsidTr="009252F8">
        <w:trPr>
          <w:jc w:val="center"/>
        </w:trPr>
        <w:tc>
          <w:tcPr>
            <w:tcW w:w="3768" w:type="dxa"/>
            <w:vMerge/>
          </w:tcPr>
          <w:p w14:paraId="2ADACD44" w14:textId="77777777" w:rsidR="00C060F4" w:rsidRPr="00530A11" w:rsidRDefault="00C060F4" w:rsidP="00C060F4">
            <w:pPr>
              <w:pStyle w:val="ae"/>
              <w:rPr>
                <w:rFonts w:cs="Times New Roman"/>
                <w:b w:val="0"/>
              </w:rPr>
            </w:pPr>
          </w:p>
        </w:tc>
        <w:tc>
          <w:tcPr>
            <w:tcW w:w="2369" w:type="dxa"/>
          </w:tcPr>
          <w:p w14:paraId="270170BD" w14:textId="77777777" w:rsidR="00C060F4" w:rsidRPr="00530A11" w:rsidRDefault="00C060F4" w:rsidP="00C060F4">
            <w:pPr>
              <w:pStyle w:val="ae"/>
              <w:rPr>
                <w:rFonts w:cs="Times New Roman"/>
                <w:b w:val="0"/>
              </w:rPr>
            </w:pPr>
            <w:r w:rsidRPr="00530A11">
              <w:rPr>
                <w:rFonts w:cs="Times New Roman"/>
                <w:b w:val="0"/>
              </w:rPr>
              <w:t>50%≤R</w:t>
            </w:r>
            <w:r w:rsidRPr="00530A11">
              <w:rPr>
                <w:rFonts w:cs="Times New Roman"/>
                <w:b w:val="0"/>
                <w:vertAlign w:val="subscript"/>
              </w:rPr>
              <w:t>ch</w:t>
            </w:r>
            <w:r w:rsidRPr="00530A11">
              <w:rPr>
                <w:rFonts w:cs="Times New Roman"/>
                <w:b w:val="0"/>
              </w:rPr>
              <w:t>&lt;65%</w:t>
            </w:r>
          </w:p>
        </w:tc>
        <w:tc>
          <w:tcPr>
            <w:tcW w:w="638" w:type="dxa"/>
          </w:tcPr>
          <w:p w14:paraId="7D4EBDA0" w14:textId="77777777" w:rsidR="00C060F4" w:rsidRPr="00530A11" w:rsidRDefault="00C060F4" w:rsidP="00C060F4">
            <w:pPr>
              <w:pStyle w:val="ae"/>
              <w:rPr>
                <w:rFonts w:cs="Times New Roman"/>
                <w:b w:val="0"/>
              </w:rPr>
            </w:pPr>
            <w:r w:rsidRPr="00530A11">
              <w:rPr>
                <w:rFonts w:cs="Times New Roman"/>
                <w:b w:val="0"/>
              </w:rPr>
              <w:t>6</w:t>
            </w:r>
          </w:p>
        </w:tc>
      </w:tr>
      <w:tr w:rsidR="00C060F4" w:rsidRPr="00530A11" w14:paraId="2A56CA33" w14:textId="77777777" w:rsidTr="009252F8">
        <w:trPr>
          <w:jc w:val="center"/>
        </w:trPr>
        <w:tc>
          <w:tcPr>
            <w:tcW w:w="3768" w:type="dxa"/>
            <w:vMerge/>
          </w:tcPr>
          <w:p w14:paraId="7BB7C291" w14:textId="77777777" w:rsidR="00C060F4" w:rsidRPr="00530A11" w:rsidRDefault="00C060F4" w:rsidP="00C060F4">
            <w:pPr>
              <w:pStyle w:val="ae"/>
              <w:rPr>
                <w:rFonts w:cs="Times New Roman"/>
                <w:b w:val="0"/>
              </w:rPr>
            </w:pPr>
          </w:p>
        </w:tc>
        <w:tc>
          <w:tcPr>
            <w:tcW w:w="2369" w:type="dxa"/>
          </w:tcPr>
          <w:p w14:paraId="53B0364D" w14:textId="77777777" w:rsidR="00C060F4" w:rsidRPr="00530A11" w:rsidRDefault="00C060F4" w:rsidP="00C060F4">
            <w:pPr>
              <w:pStyle w:val="ae"/>
              <w:rPr>
                <w:rFonts w:cs="Times New Roman"/>
                <w:b w:val="0"/>
              </w:rPr>
            </w:pPr>
            <w:r w:rsidRPr="00530A11">
              <w:rPr>
                <w:rFonts w:cs="Times New Roman"/>
                <w:b w:val="0"/>
              </w:rPr>
              <w:t>65%≤R</w:t>
            </w:r>
            <w:r w:rsidRPr="00530A11">
              <w:rPr>
                <w:rFonts w:cs="Times New Roman"/>
                <w:b w:val="0"/>
                <w:vertAlign w:val="subscript"/>
              </w:rPr>
              <w:t>ch</w:t>
            </w:r>
            <w:r w:rsidRPr="00530A11">
              <w:rPr>
                <w:rFonts w:cs="Times New Roman"/>
                <w:b w:val="0"/>
              </w:rPr>
              <w:t>&lt;80%</w:t>
            </w:r>
          </w:p>
        </w:tc>
        <w:tc>
          <w:tcPr>
            <w:tcW w:w="638" w:type="dxa"/>
          </w:tcPr>
          <w:p w14:paraId="2A200B1B" w14:textId="77777777" w:rsidR="00C060F4" w:rsidRPr="00530A11" w:rsidRDefault="00C060F4" w:rsidP="00C060F4">
            <w:pPr>
              <w:pStyle w:val="ae"/>
              <w:rPr>
                <w:rFonts w:cs="Times New Roman"/>
                <w:b w:val="0"/>
              </w:rPr>
            </w:pPr>
            <w:r w:rsidRPr="00530A11">
              <w:rPr>
                <w:rFonts w:cs="Times New Roman"/>
                <w:b w:val="0"/>
              </w:rPr>
              <w:t>8</w:t>
            </w:r>
          </w:p>
        </w:tc>
      </w:tr>
      <w:tr w:rsidR="00C060F4" w:rsidRPr="00530A11" w14:paraId="7B3ACAF7" w14:textId="77777777" w:rsidTr="009252F8">
        <w:trPr>
          <w:jc w:val="center"/>
        </w:trPr>
        <w:tc>
          <w:tcPr>
            <w:tcW w:w="3768" w:type="dxa"/>
            <w:vMerge/>
          </w:tcPr>
          <w:p w14:paraId="5E97D3A1" w14:textId="77777777" w:rsidR="00C060F4" w:rsidRPr="00530A11" w:rsidRDefault="00C060F4" w:rsidP="00C060F4">
            <w:pPr>
              <w:pStyle w:val="ae"/>
              <w:rPr>
                <w:rFonts w:cs="Times New Roman"/>
                <w:b w:val="0"/>
              </w:rPr>
            </w:pPr>
          </w:p>
        </w:tc>
        <w:tc>
          <w:tcPr>
            <w:tcW w:w="2369" w:type="dxa"/>
          </w:tcPr>
          <w:p w14:paraId="019E9DCF" w14:textId="77777777" w:rsidR="00C060F4" w:rsidRPr="00530A11" w:rsidRDefault="00C060F4" w:rsidP="00C060F4">
            <w:pPr>
              <w:pStyle w:val="ae"/>
              <w:rPr>
                <w:rFonts w:cs="Times New Roman"/>
                <w:b w:val="0"/>
              </w:rPr>
            </w:pPr>
            <w:r w:rsidRPr="00530A11">
              <w:rPr>
                <w:rFonts w:cs="Times New Roman"/>
                <w:b w:val="0"/>
              </w:rPr>
              <w:t>R</w:t>
            </w:r>
            <w:r w:rsidRPr="00530A11">
              <w:rPr>
                <w:rFonts w:cs="Times New Roman"/>
                <w:b w:val="0"/>
                <w:vertAlign w:val="subscript"/>
              </w:rPr>
              <w:t>ch</w:t>
            </w:r>
            <w:r w:rsidRPr="00530A11">
              <w:rPr>
                <w:rFonts w:cs="Times New Roman"/>
                <w:b w:val="0"/>
              </w:rPr>
              <w:t>≥80%</w:t>
            </w:r>
          </w:p>
        </w:tc>
        <w:tc>
          <w:tcPr>
            <w:tcW w:w="638" w:type="dxa"/>
          </w:tcPr>
          <w:p w14:paraId="3D18CB44" w14:textId="77777777" w:rsidR="00C060F4" w:rsidRPr="00530A11" w:rsidRDefault="00C060F4" w:rsidP="00C060F4">
            <w:pPr>
              <w:pStyle w:val="ae"/>
              <w:rPr>
                <w:rFonts w:cs="Times New Roman"/>
                <w:b w:val="0"/>
              </w:rPr>
            </w:pPr>
            <w:r w:rsidRPr="00530A11">
              <w:rPr>
                <w:rFonts w:cs="Times New Roman"/>
                <w:b w:val="0"/>
              </w:rPr>
              <w:t>9</w:t>
            </w:r>
          </w:p>
        </w:tc>
      </w:tr>
      <w:tr w:rsidR="00C060F4" w:rsidRPr="00530A11" w14:paraId="346284FF" w14:textId="77777777" w:rsidTr="009252F8">
        <w:trPr>
          <w:jc w:val="center"/>
        </w:trPr>
        <w:tc>
          <w:tcPr>
            <w:tcW w:w="3768" w:type="dxa"/>
            <w:vMerge w:val="restart"/>
          </w:tcPr>
          <w:p w14:paraId="1989542D" w14:textId="77777777" w:rsidR="00C060F4" w:rsidRPr="00530A11" w:rsidRDefault="00C060F4" w:rsidP="00C060F4">
            <w:pPr>
              <w:pStyle w:val="ae"/>
              <w:rPr>
                <w:rFonts w:cs="Times New Roman"/>
                <w:b w:val="0"/>
              </w:rPr>
            </w:pPr>
            <w:r w:rsidRPr="00530A11">
              <w:rPr>
                <w:rFonts w:cs="Times New Roman"/>
                <w:b w:val="0"/>
              </w:rPr>
              <w:t>由可再生能源提供的电量比例</w:t>
            </w:r>
            <w:r w:rsidRPr="00530A11">
              <w:rPr>
                <w:rFonts w:cs="Times New Roman"/>
                <w:b w:val="0"/>
              </w:rPr>
              <w:t>R</w:t>
            </w:r>
            <w:r w:rsidRPr="00530A11">
              <w:rPr>
                <w:rFonts w:cs="Times New Roman"/>
                <w:b w:val="0"/>
                <w:vertAlign w:val="subscript"/>
              </w:rPr>
              <w:t>e</w:t>
            </w:r>
          </w:p>
        </w:tc>
        <w:tc>
          <w:tcPr>
            <w:tcW w:w="2369" w:type="dxa"/>
          </w:tcPr>
          <w:p w14:paraId="446F124C" w14:textId="77777777" w:rsidR="00C060F4" w:rsidRPr="00530A11" w:rsidRDefault="00C060F4" w:rsidP="00C060F4">
            <w:pPr>
              <w:pStyle w:val="ae"/>
              <w:rPr>
                <w:rFonts w:cs="Times New Roman"/>
                <w:b w:val="0"/>
              </w:rPr>
            </w:pPr>
            <w:r w:rsidRPr="00530A11">
              <w:rPr>
                <w:rFonts w:cs="Times New Roman"/>
                <w:b w:val="0"/>
              </w:rPr>
              <w:t>0.5%≤R</w:t>
            </w:r>
            <w:r w:rsidRPr="00530A11">
              <w:rPr>
                <w:rFonts w:cs="Times New Roman"/>
                <w:b w:val="0"/>
                <w:vertAlign w:val="subscript"/>
              </w:rPr>
              <w:t>e</w:t>
            </w:r>
            <w:r w:rsidRPr="00530A11">
              <w:rPr>
                <w:rFonts w:cs="Times New Roman"/>
                <w:b w:val="0"/>
              </w:rPr>
              <w:t>≤1.0%</w:t>
            </w:r>
          </w:p>
        </w:tc>
        <w:tc>
          <w:tcPr>
            <w:tcW w:w="638" w:type="dxa"/>
          </w:tcPr>
          <w:p w14:paraId="741DC02D" w14:textId="77777777" w:rsidR="00C060F4" w:rsidRPr="00530A11" w:rsidRDefault="00C060F4" w:rsidP="00C060F4">
            <w:pPr>
              <w:pStyle w:val="ae"/>
              <w:rPr>
                <w:rFonts w:cs="Times New Roman"/>
                <w:b w:val="0"/>
              </w:rPr>
            </w:pPr>
            <w:r w:rsidRPr="00530A11">
              <w:rPr>
                <w:rFonts w:cs="Times New Roman"/>
                <w:b w:val="0"/>
              </w:rPr>
              <w:t>2</w:t>
            </w:r>
          </w:p>
        </w:tc>
      </w:tr>
      <w:tr w:rsidR="00C060F4" w:rsidRPr="00530A11" w14:paraId="131D04C0" w14:textId="77777777" w:rsidTr="009252F8">
        <w:trPr>
          <w:jc w:val="center"/>
        </w:trPr>
        <w:tc>
          <w:tcPr>
            <w:tcW w:w="3768" w:type="dxa"/>
            <w:vMerge/>
          </w:tcPr>
          <w:p w14:paraId="4294EDD9" w14:textId="77777777" w:rsidR="00C060F4" w:rsidRPr="00530A11" w:rsidRDefault="00C060F4" w:rsidP="00C060F4">
            <w:pPr>
              <w:pStyle w:val="ae"/>
              <w:rPr>
                <w:rFonts w:cs="Times New Roman"/>
                <w:b w:val="0"/>
              </w:rPr>
            </w:pPr>
          </w:p>
        </w:tc>
        <w:tc>
          <w:tcPr>
            <w:tcW w:w="2369" w:type="dxa"/>
          </w:tcPr>
          <w:p w14:paraId="6675750C" w14:textId="77777777" w:rsidR="00C060F4" w:rsidRPr="00530A11" w:rsidRDefault="00C060F4" w:rsidP="00C060F4">
            <w:pPr>
              <w:pStyle w:val="ae"/>
              <w:rPr>
                <w:rFonts w:cs="Times New Roman"/>
                <w:b w:val="0"/>
              </w:rPr>
            </w:pPr>
            <w:r w:rsidRPr="00530A11">
              <w:rPr>
                <w:rFonts w:cs="Times New Roman"/>
                <w:b w:val="0"/>
              </w:rPr>
              <w:t>1.0%≤R</w:t>
            </w:r>
            <w:r w:rsidRPr="00530A11">
              <w:rPr>
                <w:rFonts w:cs="Times New Roman"/>
                <w:b w:val="0"/>
                <w:vertAlign w:val="subscript"/>
              </w:rPr>
              <w:t>e</w:t>
            </w:r>
            <w:r w:rsidRPr="00530A11">
              <w:rPr>
                <w:rFonts w:cs="Times New Roman"/>
                <w:b w:val="0"/>
              </w:rPr>
              <w:t>≤2.0%</w:t>
            </w:r>
          </w:p>
        </w:tc>
        <w:tc>
          <w:tcPr>
            <w:tcW w:w="638" w:type="dxa"/>
          </w:tcPr>
          <w:p w14:paraId="431837AF" w14:textId="77777777" w:rsidR="00C060F4" w:rsidRPr="00530A11" w:rsidRDefault="00C060F4" w:rsidP="00C060F4">
            <w:pPr>
              <w:pStyle w:val="ae"/>
              <w:rPr>
                <w:rFonts w:cs="Times New Roman"/>
                <w:b w:val="0"/>
              </w:rPr>
            </w:pPr>
            <w:r w:rsidRPr="00530A11">
              <w:rPr>
                <w:rFonts w:cs="Times New Roman"/>
                <w:b w:val="0"/>
              </w:rPr>
              <w:t>4</w:t>
            </w:r>
          </w:p>
        </w:tc>
      </w:tr>
      <w:tr w:rsidR="00C060F4" w:rsidRPr="00530A11" w14:paraId="070D32A4" w14:textId="77777777" w:rsidTr="009252F8">
        <w:trPr>
          <w:jc w:val="center"/>
        </w:trPr>
        <w:tc>
          <w:tcPr>
            <w:tcW w:w="3768" w:type="dxa"/>
            <w:vMerge/>
          </w:tcPr>
          <w:p w14:paraId="5B4BFADD" w14:textId="77777777" w:rsidR="00C060F4" w:rsidRPr="00530A11" w:rsidRDefault="00C060F4" w:rsidP="00C060F4">
            <w:pPr>
              <w:pStyle w:val="ae"/>
              <w:rPr>
                <w:rFonts w:cs="Times New Roman"/>
                <w:b w:val="0"/>
              </w:rPr>
            </w:pPr>
          </w:p>
        </w:tc>
        <w:tc>
          <w:tcPr>
            <w:tcW w:w="2369" w:type="dxa"/>
          </w:tcPr>
          <w:p w14:paraId="0CE3C435" w14:textId="77777777" w:rsidR="00C060F4" w:rsidRPr="00530A11" w:rsidRDefault="00C060F4" w:rsidP="00C060F4">
            <w:pPr>
              <w:pStyle w:val="ae"/>
              <w:rPr>
                <w:rFonts w:cs="Times New Roman"/>
                <w:b w:val="0"/>
              </w:rPr>
            </w:pPr>
            <w:r w:rsidRPr="00530A11">
              <w:rPr>
                <w:rFonts w:cs="Times New Roman"/>
                <w:b w:val="0"/>
              </w:rPr>
              <w:t>2.0%≤R</w:t>
            </w:r>
            <w:r w:rsidRPr="00530A11">
              <w:rPr>
                <w:rFonts w:cs="Times New Roman"/>
                <w:b w:val="0"/>
                <w:vertAlign w:val="subscript"/>
              </w:rPr>
              <w:t>e</w:t>
            </w:r>
            <w:r w:rsidRPr="00530A11">
              <w:rPr>
                <w:rFonts w:cs="Times New Roman"/>
                <w:b w:val="0"/>
              </w:rPr>
              <w:t>≤3.0%</w:t>
            </w:r>
          </w:p>
        </w:tc>
        <w:tc>
          <w:tcPr>
            <w:tcW w:w="638" w:type="dxa"/>
          </w:tcPr>
          <w:p w14:paraId="18EAE984" w14:textId="77777777" w:rsidR="00C060F4" w:rsidRPr="00530A11" w:rsidRDefault="00C060F4" w:rsidP="00C060F4">
            <w:pPr>
              <w:pStyle w:val="ae"/>
              <w:rPr>
                <w:rFonts w:cs="Times New Roman"/>
                <w:b w:val="0"/>
              </w:rPr>
            </w:pPr>
            <w:r w:rsidRPr="00530A11">
              <w:rPr>
                <w:rFonts w:cs="Times New Roman"/>
                <w:b w:val="0"/>
              </w:rPr>
              <w:t>6</w:t>
            </w:r>
          </w:p>
        </w:tc>
      </w:tr>
      <w:tr w:rsidR="00C060F4" w:rsidRPr="00530A11" w14:paraId="0984792C" w14:textId="77777777" w:rsidTr="009252F8">
        <w:trPr>
          <w:jc w:val="center"/>
        </w:trPr>
        <w:tc>
          <w:tcPr>
            <w:tcW w:w="3768" w:type="dxa"/>
            <w:vMerge/>
          </w:tcPr>
          <w:p w14:paraId="205C6E35" w14:textId="77777777" w:rsidR="00C060F4" w:rsidRPr="00530A11" w:rsidRDefault="00C060F4" w:rsidP="00C060F4">
            <w:pPr>
              <w:pStyle w:val="ae"/>
              <w:rPr>
                <w:rFonts w:cs="Times New Roman"/>
                <w:b w:val="0"/>
              </w:rPr>
            </w:pPr>
          </w:p>
        </w:tc>
        <w:tc>
          <w:tcPr>
            <w:tcW w:w="2369" w:type="dxa"/>
          </w:tcPr>
          <w:p w14:paraId="14FCBCAD" w14:textId="77777777" w:rsidR="00C060F4" w:rsidRPr="00530A11" w:rsidRDefault="00C060F4" w:rsidP="00C060F4">
            <w:pPr>
              <w:pStyle w:val="ae"/>
              <w:rPr>
                <w:rFonts w:cs="Times New Roman"/>
                <w:b w:val="0"/>
              </w:rPr>
            </w:pPr>
            <w:r w:rsidRPr="00530A11">
              <w:rPr>
                <w:rFonts w:cs="Times New Roman"/>
                <w:b w:val="0"/>
              </w:rPr>
              <w:t>3.0%≤R</w:t>
            </w:r>
            <w:r w:rsidRPr="00530A11">
              <w:rPr>
                <w:rFonts w:cs="Times New Roman"/>
                <w:b w:val="0"/>
                <w:vertAlign w:val="subscript"/>
              </w:rPr>
              <w:t>e</w:t>
            </w:r>
            <w:r w:rsidRPr="00530A11">
              <w:rPr>
                <w:rFonts w:cs="Times New Roman"/>
                <w:b w:val="0"/>
              </w:rPr>
              <w:t>≤4.0%</w:t>
            </w:r>
          </w:p>
        </w:tc>
        <w:tc>
          <w:tcPr>
            <w:tcW w:w="638" w:type="dxa"/>
          </w:tcPr>
          <w:p w14:paraId="3EDEEF05" w14:textId="77777777" w:rsidR="00C060F4" w:rsidRPr="00530A11" w:rsidRDefault="00C060F4" w:rsidP="00C060F4">
            <w:pPr>
              <w:pStyle w:val="ae"/>
              <w:rPr>
                <w:rFonts w:cs="Times New Roman"/>
                <w:b w:val="0"/>
              </w:rPr>
            </w:pPr>
            <w:r w:rsidRPr="00530A11">
              <w:rPr>
                <w:rFonts w:cs="Times New Roman"/>
                <w:b w:val="0"/>
              </w:rPr>
              <w:t>8</w:t>
            </w:r>
          </w:p>
        </w:tc>
      </w:tr>
      <w:tr w:rsidR="00C060F4" w:rsidRPr="00530A11" w14:paraId="29151A7A" w14:textId="77777777" w:rsidTr="009252F8">
        <w:trPr>
          <w:jc w:val="center"/>
        </w:trPr>
        <w:tc>
          <w:tcPr>
            <w:tcW w:w="3768" w:type="dxa"/>
            <w:vMerge/>
          </w:tcPr>
          <w:p w14:paraId="3A29451B" w14:textId="77777777" w:rsidR="00C060F4" w:rsidRPr="00530A11" w:rsidRDefault="00C060F4" w:rsidP="00C060F4">
            <w:pPr>
              <w:pStyle w:val="ae"/>
              <w:rPr>
                <w:rFonts w:cs="Times New Roman"/>
                <w:b w:val="0"/>
              </w:rPr>
            </w:pPr>
          </w:p>
        </w:tc>
        <w:tc>
          <w:tcPr>
            <w:tcW w:w="2369" w:type="dxa"/>
          </w:tcPr>
          <w:p w14:paraId="5C4CF885" w14:textId="77777777" w:rsidR="00C060F4" w:rsidRPr="00530A11" w:rsidRDefault="00C060F4" w:rsidP="00C060F4">
            <w:pPr>
              <w:pStyle w:val="ae"/>
              <w:rPr>
                <w:rFonts w:cs="Times New Roman"/>
                <w:b w:val="0"/>
              </w:rPr>
            </w:pPr>
            <w:r w:rsidRPr="00530A11">
              <w:rPr>
                <w:rFonts w:cs="Times New Roman"/>
                <w:b w:val="0"/>
              </w:rPr>
              <w:t>R</w:t>
            </w:r>
            <w:r w:rsidRPr="00530A11">
              <w:rPr>
                <w:rFonts w:cs="Times New Roman"/>
                <w:b w:val="0"/>
                <w:vertAlign w:val="subscript"/>
              </w:rPr>
              <w:t>e</w:t>
            </w:r>
            <w:r w:rsidRPr="00530A11">
              <w:rPr>
                <w:rFonts w:cs="Times New Roman"/>
                <w:b w:val="0"/>
              </w:rPr>
              <w:t>≥4.0%</w:t>
            </w:r>
          </w:p>
        </w:tc>
        <w:tc>
          <w:tcPr>
            <w:tcW w:w="638" w:type="dxa"/>
          </w:tcPr>
          <w:p w14:paraId="0FE6ECBF" w14:textId="77777777" w:rsidR="00C060F4" w:rsidRPr="00530A11" w:rsidRDefault="00C060F4" w:rsidP="00C060F4">
            <w:pPr>
              <w:pStyle w:val="ae"/>
              <w:rPr>
                <w:rFonts w:cs="Times New Roman"/>
                <w:b w:val="0"/>
              </w:rPr>
            </w:pPr>
            <w:r w:rsidRPr="00530A11">
              <w:rPr>
                <w:rFonts w:cs="Times New Roman"/>
                <w:b w:val="0"/>
              </w:rPr>
              <w:t>9</w:t>
            </w:r>
          </w:p>
        </w:tc>
      </w:tr>
      <w:bookmarkEnd w:id="149"/>
    </w:tbl>
    <w:p w14:paraId="281C90FC" w14:textId="77777777" w:rsidR="000A52CE" w:rsidRPr="0081478A" w:rsidRDefault="000A52CE">
      <w:pPr>
        <w:pStyle w:val="ae"/>
        <w:rPr>
          <w:rFonts w:cs="Times New Roman"/>
        </w:rPr>
      </w:pPr>
    </w:p>
    <w:p w14:paraId="1911F363" w14:textId="77777777" w:rsidR="00715ABB" w:rsidRPr="0081478A" w:rsidRDefault="00F44390">
      <w:pPr>
        <w:snapToGrid w:val="0"/>
        <w:ind w:firstLineChars="0" w:firstLine="0"/>
        <w:jc w:val="left"/>
        <w:rPr>
          <w:rFonts w:cs="Times New Roman"/>
          <w:b/>
          <w:bCs/>
          <w:szCs w:val="24"/>
        </w:rPr>
      </w:pPr>
      <w:r w:rsidRPr="0081478A">
        <w:rPr>
          <w:rFonts w:cs="Times New Roman"/>
          <w:b/>
          <w:bCs/>
          <w:szCs w:val="24"/>
        </w:rPr>
        <w:t>【条文说明】</w:t>
      </w:r>
    </w:p>
    <w:p w14:paraId="7A4BE502" w14:textId="77777777" w:rsidR="0052438D" w:rsidRPr="00530A11" w:rsidRDefault="0052438D" w:rsidP="0052438D">
      <w:pPr>
        <w:ind w:firstLine="420"/>
      </w:pPr>
      <w:r w:rsidRPr="00530A11">
        <w:t>本条适用于各类民用建筑的预评价、评价。</w:t>
      </w:r>
    </w:p>
    <w:p w14:paraId="4C9D6FD8"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5.2.16</w:t>
      </w:r>
      <w:r w:rsidRPr="00530A11">
        <w:rPr>
          <w:rFonts w:cs="Times New Roman"/>
        </w:rPr>
        <w:t>条，地方标准</w:t>
      </w:r>
      <w:r w:rsidRPr="00530A11">
        <w:rPr>
          <w:rFonts w:cs="Times New Roman"/>
        </w:rPr>
        <w:t>2014</w:t>
      </w:r>
      <w:r w:rsidRPr="00530A11">
        <w:rPr>
          <w:rFonts w:cs="Times New Roman"/>
        </w:rPr>
        <w:t>版</w:t>
      </w:r>
      <w:bookmarkStart w:id="150" w:name="_Hlk33204576"/>
      <w:r w:rsidRPr="00530A11">
        <w:rPr>
          <w:rFonts w:cs="Times New Roman"/>
        </w:rPr>
        <w:t>5.2.17</w:t>
      </w:r>
      <w:bookmarkEnd w:id="150"/>
      <w:r w:rsidRPr="00530A11">
        <w:rPr>
          <w:rFonts w:cs="Times New Roman"/>
        </w:rPr>
        <w:t>条基础上发展而来。本条对由可再生能源提供的生活热水比例、空调用冷量和热量比例、电量比例进行分档评分。当建筑的可再生能源利用不止一种用途时，可各自评分并累计，当累计得分超过</w:t>
      </w:r>
      <w:r w:rsidRPr="00530A11">
        <w:rPr>
          <w:rFonts w:cs="Times New Roman"/>
        </w:rPr>
        <w:t>9</w:t>
      </w:r>
      <w:r w:rsidRPr="00530A11">
        <w:rPr>
          <w:rFonts w:cs="Times New Roman"/>
        </w:rPr>
        <w:t>分时，应取为</w:t>
      </w:r>
      <w:r w:rsidRPr="00530A11">
        <w:rPr>
          <w:rFonts w:cs="Times New Roman"/>
        </w:rPr>
        <w:t>9</w:t>
      </w:r>
      <w:r w:rsidRPr="00530A11">
        <w:rPr>
          <w:rFonts w:cs="Times New Roman"/>
        </w:rPr>
        <w:t>分。本条涉及的可再生能源应用比例，应为可再生能源的净贡献量。</w:t>
      </w:r>
    </w:p>
    <w:p w14:paraId="4ED87D85" w14:textId="34FEF421" w:rsidR="0052438D" w:rsidRDefault="0052438D" w:rsidP="0052438D">
      <w:pPr>
        <w:ind w:firstLine="420"/>
        <w:rPr>
          <w:rFonts w:cs="Times New Roman"/>
        </w:rPr>
      </w:pPr>
      <w:r w:rsidRPr="00530A11">
        <w:rPr>
          <w:rFonts w:cs="Times New Roman"/>
        </w:rPr>
        <w:t>对于可再生能源提供的生活热水比例，住宅可沿用住户比例的判别方式。如采用太阳能热水器等提供生活热水的住户比例达到表</w:t>
      </w:r>
      <w:r w:rsidRPr="00530A11">
        <w:rPr>
          <w:rFonts w:cs="Times New Roman"/>
        </w:rPr>
        <w:t>7.2.9</w:t>
      </w:r>
      <w:r w:rsidRPr="00530A11">
        <w:rPr>
          <w:rFonts w:cs="Times New Roman"/>
        </w:rPr>
        <w:t>所要求的数值，即可得相应分</w:t>
      </w:r>
      <w:r w:rsidRPr="00530A11">
        <w:rPr>
          <w:rFonts w:cs="Times New Roman"/>
        </w:rPr>
        <w:t>(</w:t>
      </w:r>
      <w:r w:rsidRPr="00530A11">
        <w:rPr>
          <w:rFonts w:cs="Times New Roman"/>
        </w:rPr>
        <w:t>但仍需校核太阳能热水系统的供热能力是否与相应住户数量相匹配</w:t>
      </w:r>
      <w:r w:rsidRPr="00530A11">
        <w:rPr>
          <w:rFonts w:cs="Times New Roman"/>
        </w:rPr>
        <w:t>)</w:t>
      </w:r>
      <w:r w:rsidRPr="00530A11">
        <w:rPr>
          <w:rFonts w:cs="Times New Roman"/>
        </w:rPr>
        <w:t>。对于公共建筑以及采用公共洗浴形式的住宅建筑，评价时应计算可再生能源对生活热水的设计小时供热量与生活热水的设计小时加热耗热量。对于存在稳定热水需求的住宅建筑或公共建筑，若采用高效的空气源热泵提供生活热水，满足国家标准《公共建筑节能设计标准》</w:t>
      </w:r>
      <w:r w:rsidRPr="00530A11">
        <w:rPr>
          <w:rFonts w:cs="Times New Roman"/>
        </w:rPr>
        <w:t>GB 50189-2015</w:t>
      </w:r>
      <w:r w:rsidRPr="00530A11">
        <w:rPr>
          <w:rFonts w:cs="Times New Roman"/>
        </w:rPr>
        <w:t>中第</w:t>
      </w:r>
      <w:r w:rsidRPr="00530A11">
        <w:rPr>
          <w:rFonts w:cs="Times New Roman"/>
        </w:rPr>
        <w:t>5.3.3</w:t>
      </w:r>
      <w:r w:rsidRPr="00530A11">
        <w:rPr>
          <w:rFonts w:cs="Times New Roman"/>
        </w:rPr>
        <w:t>条和《空气源热泵应用技术标准》</w:t>
      </w:r>
      <w:r w:rsidRPr="00530A11">
        <w:rPr>
          <w:rFonts w:cs="Times New Roman"/>
        </w:rPr>
        <w:t>DBJ50/T-301-2018</w:t>
      </w:r>
      <w:r w:rsidRPr="00530A11">
        <w:rPr>
          <w:rFonts w:cs="Times New Roman"/>
        </w:rPr>
        <w:t>中第</w:t>
      </w:r>
      <w:r w:rsidRPr="00530A11">
        <w:rPr>
          <w:rFonts w:cs="Times New Roman"/>
        </w:rPr>
        <w:t>5.2.2</w:t>
      </w:r>
      <w:r w:rsidRPr="00530A11">
        <w:rPr>
          <w:rFonts w:cs="Times New Roman" w:hint="eastAsia"/>
        </w:rPr>
        <w:t>、</w:t>
      </w:r>
      <w:r w:rsidRPr="00530A11">
        <w:rPr>
          <w:rFonts w:cs="Times New Roman" w:hint="eastAsia"/>
        </w:rPr>
        <w:t>5</w:t>
      </w:r>
      <w:r w:rsidRPr="00530A11">
        <w:rPr>
          <w:rFonts w:cs="Times New Roman"/>
        </w:rPr>
        <w:t>.2.3</w:t>
      </w:r>
      <w:r w:rsidRPr="00530A11">
        <w:rPr>
          <w:rFonts w:cs="Times New Roman"/>
        </w:rPr>
        <w:t>条的要求，也可在本条得分。</w:t>
      </w:r>
    </w:p>
    <w:p w14:paraId="62543F2A" w14:textId="77777777" w:rsidR="0052438D" w:rsidRPr="00530A11" w:rsidRDefault="0052438D" w:rsidP="0052438D">
      <w:pPr>
        <w:ind w:firstLine="420"/>
        <w:rPr>
          <w:rFonts w:cs="Times New Roman"/>
        </w:rPr>
      </w:pPr>
      <w:r w:rsidRPr="00530A11">
        <w:rPr>
          <w:rFonts w:cs="Times New Roman"/>
        </w:rPr>
        <w:t>对于可再生能源提供的空调用冷</w:t>
      </w:r>
      <w:r w:rsidRPr="00530A11">
        <w:rPr>
          <w:rFonts w:cs="Times New Roman"/>
        </w:rPr>
        <w:t>/</w:t>
      </w:r>
      <w:r w:rsidRPr="00530A11">
        <w:rPr>
          <w:rFonts w:cs="Times New Roman"/>
        </w:rPr>
        <w:t>热量以及电量，评价时可计算设计工况下可再生能源冷</w:t>
      </w:r>
      <w:r w:rsidRPr="00530A11">
        <w:rPr>
          <w:rFonts w:cs="Times New Roman"/>
        </w:rPr>
        <w:t>/</w:t>
      </w:r>
      <w:r w:rsidRPr="00530A11">
        <w:rPr>
          <w:rFonts w:cs="Times New Roman"/>
        </w:rPr>
        <w:t>热的冷热源机组</w:t>
      </w:r>
      <w:r w:rsidRPr="00530A11">
        <w:rPr>
          <w:rFonts w:cs="Times New Roman"/>
        </w:rPr>
        <w:t>(</w:t>
      </w:r>
      <w:r w:rsidRPr="00530A11">
        <w:rPr>
          <w:rFonts w:cs="Times New Roman"/>
        </w:rPr>
        <w:t>如地</w:t>
      </w:r>
      <w:r w:rsidRPr="00530A11">
        <w:rPr>
          <w:rFonts w:cs="Times New Roman"/>
        </w:rPr>
        <w:t>/</w:t>
      </w:r>
      <w:r w:rsidRPr="00530A11">
        <w:rPr>
          <w:rFonts w:cs="Times New Roman"/>
        </w:rPr>
        <w:t>水源热泵</w:t>
      </w:r>
      <w:r w:rsidRPr="00530A11">
        <w:rPr>
          <w:rFonts w:cs="Times New Roman"/>
        </w:rPr>
        <w:t>)</w:t>
      </w:r>
      <w:r w:rsidRPr="00530A11">
        <w:rPr>
          <w:rFonts w:cs="Times New Roman"/>
        </w:rPr>
        <w:t>的供冷</w:t>
      </w:r>
      <w:r w:rsidRPr="00530A11">
        <w:rPr>
          <w:rFonts w:cs="Times New Roman"/>
        </w:rPr>
        <w:t>/</w:t>
      </w:r>
      <w:r w:rsidRPr="00530A11">
        <w:rPr>
          <w:rFonts w:cs="Times New Roman"/>
        </w:rPr>
        <w:t>热量</w:t>
      </w:r>
      <w:r w:rsidRPr="00530A11">
        <w:rPr>
          <w:rFonts w:cs="Times New Roman"/>
        </w:rPr>
        <w:t>(</w:t>
      </w:r>
      <w:r w:rsidRPr="00530A11">
        <w:rPr>
          <w:rFonts w:cs="Times New Roman"/>
        </w:rPr>
        <w:t>即将机组输入功率考虑在内</w:t>
      </w:r>
      <w:r w:rsidRPr="00530A11">
        <w:rPr>
          <w:rFonts w:cs="Times New Roman"/>
        </w:rPr>
        <w:t>)</w:t>
      </w:r>
      <w:r w:rsidRPr="00530A11">
        <w:rPr>
          <w:rFonts w:cs="Times New Roman"/>
        </w:rPr>
        <w:t>与空调系统总</w:t>
      </w:r>
      <w:r w:rsidRPr="00530A11">
        <w:rPr>
          <w:rFonts w:cs="Times New Roman"/>
        </w:rPr>
        <w:lastRenderedPageBreak/>
        <w:t>的冷</w:t>
      </w:r>
      <w:r w:rsidRPr="00530A11">
        <w:rPr>
          <w:rFonts w:cs="Times New Roman"/>
        </w:rPr>
        <w:t>/</w:t>
      </w:r>
      <w:r w:rsidRPr="00530A11">
        <w:rPr>
          <w:rFonts w:cs="Times New Roman"/>
        </w:rPr>
        <w:t>热负荷</w:t>
      </w:r>
      <w:r w:rsidRPr="00530A11">
        <w:rPr>
          <w:rFonts w:cs="Times New Roman"/>
        </w:rPr>
        <w:t>(</w:t>
      </w:r>
      <w:r w:rsidRPr="00530A11">
        <w:rPr>
          <w:rFonts w:cs="Times New Roman"/>
        </w:rPr>
        <w:t>冬季供热且夏季供冷的，可简单取冷量和热量的算术和</w:t>
      </w:r>
      <w:r w:rsidRPr="00530A11">
        <w:rPr>
          <w:rFonts w:cs="Times New Roman"/>
        </w:rPr>
        <w:t>)</w:t>
      </w:r>
      <w:r w:rsidRPr="00530A11">
        <w:rPr>
          <w:rFonts w:cs="Times New Roman"/>
        </w:rPr>
        <w:t>，发电机组</w:t>
      </w:r>
      <w:r w:rsidRPr="00530A11">
        <w:rPr>
          <w:rFonts w:cs="Times New Roman"/>
        </w:rPr>
        <w:t>(</w:t>
      </w:r>
      <w:r w:rsidRPr="00530A11">
        <w:rPr>
          <w:rFonts w:cs="Times New Roman"/>
        </w:rPr>
        <w:t>如光伏板</w:t>
      </w:r>
      <w:r w:rsidRPr="00530A11">
        <w:rPr>
          <w:rFonts w:cs="Times New Roman"/>
        </w:rPr>
        <w:t>)</w:t>
      </w:r>
      <w:r w:rsidRPr="00530A11">
        <w:rPr>
          <w:rFonts w:cs="Times New Roman"/>
        </w:rPr>
        <w:t>的输出功率与供电系统设计负荷之比。运行后应以可再生能源净贡献量为依据进行评价，即应该扣除辅助能耗</w:t>
      </w:r>
      <w:r w:rsidRPr="00530A11">
        <w:rPr>
          <w:rFonts w:cs="Times New Roman"/>
        </w:rPr>
        <w:t>(</w:t>
      </w:r>
      <w:r w:rsidRPr="00530A11">
        <w:rPr>
          <w:rFonts w:cs="Times New Roman"/>
        </w:rPr>
        <w:t>如冷却塔、必要的输配能耗或电加热等</w:t>
      </w:r>
      <w:r w:rsidRPr="00530A11">
        <w:rPr>
          <w:rFonts w:cs="Times New Roman"/>
        </w:rPr>
        <w:t>)</w:t>
      </w:r>
      <w:r w:rsidRPr="00530A11">
        <w:rPr>
          <w:rFonts w:cs="Times New Roman"/>
        </w:rPr>
        <w:t>，再计算可再生能源的全年冷</w:t>
      </w:r>
      <w:r w:rsidRPr="00530A11">
        <w:rPr>
          <w:rFonts w:cs="Times New Roman"/>
        </w:rPr>
        <w:t>/</w:t>
      </w:r>
      <w:r w:rsidRPr="00530A11">
        <w:rPr>
          <w:rFonts w:cs="Times New Roman"/>
        </w:rPr>
        <w:t>热贡献量和可替代电量。</w:t>
      </w:r>
    </w:p>
    <w:p w14:paraId="593B7FCA" w14:textId="77777777" w:rsidR="00E443CB" w:rsidRPr="009252F8" w:rsidRDefault="00E443CB" w:rsidP="009252F8">
      <w:pPr>
        <w:pStyle w:val="20"/>
      </w:pPr>
      <w:r w:rsidRPr="0081478A">
        <w:t>【评价要点】</w:t>
      </w:r>
    </w:p>
    <w:p w14:paraId="5AA24CC9" w14:textId="77777777" w:rsidR="00E443CB" w:rsidRPr="0081478A" w:rsidRDefault="00E443CB" w:rsidP="00E443CB">
      <w:pPr>
        <w:ind w:firstLine="420"/>
        <w:rPr>
          <w:rFonts w:cs="Times New Roman"/>
        </w:rPr>
      </w:pPr>
      <w:r w:rsidRPr="0081478A">
        <w:rPr>
          <w:rFonts w:cs="Times New Roman"/>
        </w:rPr>
        <w:t>可再生能源利用率分析计算报告应满足本书附录</w:t>
      </w:r>
      <w:r w:rsidRPr="0081478A">
        <w:rPr>
          <w:rFonts w:cs="Times New Roman"/>
        </w:rPr>
        <w:t>B.2</w:t>
      </w:r>
      <w:r w:rsidRPr="0081478A">
        <w:rPr>
          <w:rFonts w:cs="Times New Roman"/>
        </w:rPr>
        <w:t>的要求。</w:t>
      </w:r>
    </w:p>
    <w:p w14:paraId="1F68A425" w14:textId="77777777" w:rsidR="00E443CB" w:rsidRPr="0081478A" w:rsidRDefault="00E443CB" w:rsidP="00E443CB">
      <w:pPr>
        <w:ind w:firstLine="420"/>
        <w:rPr>
          <w:rFonts w:cs="Times New Roman"/>
        </w:rPr>
      </w:pPr>
      <w:r w:rsidRPr="0081478A">
        <w:rPr>
          <w:rFonts w:cs="Times New Roman"/>
        </w:rPr>
        <w:t>如果采用热泵方式（污水源、地表水、地下水、地源、空气源）提供生活热水，则要求</w:t>
      </w:r>
      <w:r w:rsidRPr="0081478A">
        <w:rPr>
          <w:rFonts w:cs="Times New Roman"/>
        </w:rPr>
        <w:t>“</w:t>
      </w:r>
      <w:r w:rsidRPr="0081478A">
        <w:rPr>
          <w:rFonts w:cs="Times New Roman"/>
        </w:rPr>
        <w:t>热泵</w:t>
      </w:r>
      <w:r w:rsidRPr="0081478A">
        <w:rPr>
          <w:rFonts w:cs="Times New Roman"/>
        </w:rPr>
        <w:t>+</w:t>
      </w:r>
      <w:r w:rsidRPr="0081478A">
        <w:rPr>
          <w:rFonts w:cs="Times New Roman"/>
        </w:rPr>
        <w:t>冷热源侧水系统</w:t>
      </w:r>
      <w:r w:rsidRPr="0081478A">
        <w:rPr>
          <w:rFonts w:cs="Times New Roman"/>
        </w:rPr>
        <w:t>”</w:t>
      </w:r>
      <w:r w:rsidRPr="0081478A">
        <w:rPr>
          <w:rFonts w:cs="Times New Roman"/>
        </w:rPr>
        <w:t>的综合</w:t>
      </w:r>
      <w:r w:rsidRPr="0081478A">
        <w:rPr>
          <w:rFonts w:cs="Times New Roman"/>
        </w:rPr>
        <w:t>COP≥2.0</w:t>
      </w:r>
      <w:r w:rsidRPr="0081478A">
        <w:rPr>
          <w:rFonts w:cs="Times New Roman"/>
        </w:rPr>
        <w:t>（相当于风冷热泵的</w:t>
      </w:r>
      <w:r w:rsidRPr="0081478A">
        <w:rPr>
          <w:rFonts w:cs="Times New Roman"/>
        </w:rPr>
        <w:t>COP</w:t>
      </w:r>
      <w:r w:rsidRPr="0081478A">
        <w:rPr>
          <w:rFonts w:cs="Times New Roman"/>
        </w:rPr>
        <w:t>），否则不能作为可再生能源利用来参评。</w:t>
      </w:r>
    </w:p>
    <w:p w14:paraId="0C6DF337" w14:textId="7AA2EC56" w:rsidR="00E443CB" w:rsidRDefault="00E443CB" w:rsidP="00E443CB">
      <w:pPr>
        <w:ind w:firstLine="420"/>
        <w:rPr>
          <w:rFonts w:cs="Times New Roman"/>
        </w:rPr>
      </w:pPr>
      <w:r w:rsidRPr="0081478A">
        <w:rPr>
          <w:rFonts w:cs="Times New Roman"/>
        </w:rPr>
        <w:t>如果采用热泵方式（污水源、地表水、地下水、地源）供暖或空调制冷，则要求</w:t>
      </w:r>
      <w:r w:rsidRPr="0081478A">
        <w:rPr>
          <w:rFonts w:cs="Times New Roman"/>
        </w:rPr>
        <w:t>“</w:t>
      </w:r>
      <w:r w:rsidRPr="0081478A">
        <w:rPr>
          <w:rFonts w:cs="Times New Roman"/>
        </w:rPr>
        <w:t>热泵</w:t>
      </w:r>
      <w:r w:rsidRPr="0081478A">
        <w:rPr>
          <w:rFonts w:cs="Times New Roman"/>
        </w:rPr>
        <w:t>+</w:t>
      </w:r>
      <w:r w:rsidRPr="0081478A">
        <w:rPr>
          <w:rFonts w:cs="Times New Roman"/>
        </w:rPr>
        <w:t>冷热源侧水系统</w:t>
      </w:r>
      <w:r w:rsidRPr="0081478A">
        <w:rPr>
          <w:rFonts w:cs="Times New Roman"/>
        </w:rPr>
        <w:t>”</w:t>
      </w:r>
      <w:r w:rsidRPr="0081478A">
        <w:rPr>
          <w:rFonts w:cs="Times New Roman"/>
        </w:rPr>
        <w:t>的综合</w:t>
      </w:r>
      <w:r w:rsidRPr="0081478A">
        <w:rPr>
          <w:rFonts w:cs="Times New Roman"/>
        </w:rPr>
        <w:t>COP≥2.3</w:t>
      </w:r>
      <w:r w:rsidRPr="0081478A">
        <w:rPr>
          <w:rFonts w:cs="Times New Roman"/>
        </w:rPr>
        <w:t>（相当于风冷热泵的</w:t>
      </w:r>
      <w:r w:rsidRPr="0081478A">
        <w:rPr>
          <w:rFonts w:cs="Times New Roman"/>
        </w:rPr>
        <w:t>COP</w:t>
      </w:r>
      <w:r w:rsidRPr="0081478A">
        <w:rPr>
          <w:rFonts w:cs="Times New Roman"/>
        </w:rPr>
        <w:t>），否则不能作为可再生能源利用来参评。</w:t>
      </w:r>
    </w:p>
    <w:p w14:paraId="575189CA" w14:textId="5A381CB8" w:rsidR="005F66E9" w:rsidRPr="005F66E9" w:rsidRDefault="005F66E9" w:rsidP="005F66E9">
      <w:pPr>
        <w:ind w:firstLine="420"/>
        <w:rPr>
          <w:rFonts w:cs="Times New Roman"/>
        </w:rPr>
      </w:pPr>
      <w:r>
        <w:rPr>
          <w:rFonts w:cs="Times New Roman" w:hint="eastAsia"/>
        </w:rPr>
        <w:t>对于空气源热泵提供冬夏空调的情况，是否认定为可再生能源应用，应满足重庆市相关建筑可再生能源应用管理规定要求。</w:t>
      </w:r>
    </w:p>
    <w:p w14:paraId="09EF8F3A" w14:textId="489C4CD6" w:rsidR="005B2497" w:rsidRPr="0081478A" w:rsidRDefault="005B2497" w:rsidP="005B2497">
      <w:pPr>
        <w:ind w:firstLine="420"/>
        <w:rPr>
          <w:rFonts w:cs="Times New Roman"/>
        </w:rPr>
      </w:pPr>
      <w:r w:rsidRPr="0081478A">
        <w:rPr>
          <w:rFonts w:cs="Times New Roman"/>
        </w:rPr>
        <w:t>其中，《空气源热泵应用技术标准》</w:t>
      </w:r>
      <w:r w:rsidRPr="0081478A">
        <w:rPr>
          <w:rFonts w:cs="Times New Roman"/>
        </w:rPr>
        <w:t>DBJ50/T-301-2018</w:t>
      </w:r>
      <w:r w:rsidRPr="0081478A">
        <w:rPr>
          <w:rFonts w:cs="Times New Roman"/>
        </w:rPr>
        <w:t>中第</w:t>
      </w:r>
      <w:r w:rsidRPr="0081478A">
        <w:rPr>
          <w:rFonts w:cs="Times New Roman"/>
        </w:rPr>
        <w:t>5.2.2</w:t>
      </w:r>
      <w:r w:rsidRPr="0081478A">
        <w:rPr>
          <w:rFonts w:cs="Times New Roman"/>
        </w:rPr>
        <w:t>条中要求空气源热泵冷热水机组</w:t>
      </w:r>
      <w:r w:rsidRPr="0081478A">
        <w:rPr>
          <w:rFonts w:cs="Times New Roman"/>
        </w:rPr>
        <w:t>(</w:t>
      </w:r>
      <w:r w:rsidRPr="0081478A">
        <w:rPr>
          <w:rFonts w:cs="Times New Roman"/>
        </w:rPr>
        <w:t>含蒸发冷却式热泵机组等</w:t>
      </w:r>
      <w:r w:rsidRPr="0081478A">
        <w:rPr>
          <w:rFonts w:cs="Times New Roman"/>
        </w:rPr>
        <w:t>)</w:t>
      </w:r>
      <w:r w:rsidRPr="0081478A">
        <w:rPr>
          <w:rFonts w:cs="Times New Roman"/>
        </w:rPr>
        <w:t>的供热性能应同时符合下列规定</w:t>
      </w:r>
      <w:r w:rsidRPr="0081478A">
        <w:rPr>
          <w:rFonts w:cs="Times New Roman"/>
        </w:rPr>
        <w:t>:</w:t>
      </w:r>
    </w:p>
    <w:p w14:paraId="6097F461" w14:textId="77777777" w:rsidR="005B2497" w:rsidRPr="0081478A" w:rsidRDefault="005B2497" w:rsidP="005B2497">
      <w:pPr>
        <w:ind w:firstLine="420"/>
        <w:rPr>
          <w:rFonts w:cs="Times New Roman"/>
        </w:rPr>
      </w:pPr>
      <w:r w:rsidRPr="0081478A">
        <w:rPr>
          <w:rFonts w:cs="Times New Roman"/>
        </w:rPr>
        <w:t>1</w:t>
      </w:r>
      <w:r w:rsidRPr="0081478A">
        <w:rPr>
          <w:rFonts w:cs="Times New Roman"/>
        </w:rPr>
        <w:t>空气源热泵机组冬季名义工况下的制热性能系数不应低于</w:t>
      </w:r>
      <w:r w:rsidRPr="0081478A">
        <w:rPr>
          <w:rFonts w:cs="Times New Roman"/>
        </w:rPr>
        <w:t>3.0</w:t>
      </w:r>
      <w:r w:rsidRPr="0081478A">
        <w:rPr>
          <w:rFonts w:cs="Times New Roman"/>
        </w:rPr>
        <w:t>；</w:t>
      </w:r>
    </w:p>
    <w:p w14:paraId="52EB80FB" w14:textId="77777777" w:rsidR="005B2497" w:rsidRPr="0081478A" w:rsidRDefault="005B2497" w:rsidP="005B2497">
      <w:pPr>
        <w:ind w:firstLine="420"/>
        <w:rPr>
          <w:rFonts w:cs="Times New Roman"/>
        </w:rPr>
      </w:pPr>
      <w:r w:rsidRPr="0081478A">
        <w:rPr>
          <w:rFonts w:cs="Times New Roman"/>
        </w:rPr>
        <w:t>2</w:t>
      </w:r>
      <w:r w:rsidRPr="0081478A">
        <w:rPr>
          <w:rFonts w:cs="Times New Roman"/>
        </w:rPr>
        <w:t>空气源热泵机组冬季设计工况下的制热性能系数不应低于</w:t>
      </w:r>
      <w:r w:rsidRPr="0081478A">
        <w:rPr>
          <w:rFonts w:cs="Times New Roman"/>
        </w:rPr>
        <w:t>2.4</w:t>
      </w:r>
      <w:r w:rsidRPr="0081478A">
        <w:rPr>
          <w:rFonts w:cs="Times New Roman"/>
        </w:rPr>
        <w:t>；</w:t>
      </w:r>
    </w:p>
    <w:p w14:paraId="751DB433" w14:textId="77777777" w:rsidR="005B2497" w:rsidRPr="0081478A" w:rsidRDefault="005B2497" w:rsidP="005B2497">
      <w:pPr>
        <w:ind w:firstLine="420"/>
        <w:rPr>
          <w:rFonts w:cs="Times New Roman"/>
        </w:rPr>
      </w:pPr>
      <w:r w:rsidRPr="0081478A">
        <w:rPr>
          <w:rFonts w:cs="Times New Roman"/>
        </w:rPr>
        <w:t>3</w:t>
      </w:r>
      <w:r w:rsidRPr="0081478A">
        <w:rPr>
          <w:rFonts w:cs="Times New Roman"/>
        </w:rPr>
        <w:t>空气源热泵机组冬季低温工况下的制热性能系数不应低于</w:t>
      </w:r>
      <w:r w:rsidRPr="0081478A">
        <w:rPr>
          <w:rFonts w:cs="Times New Roman"/>
        </w:rPr>
        <w:t>2.2;</w:t>
      </w:r>
    </w:p>
    <w:p w14:paraId="37382C48" w14:textId="23B21AE0" w:rsidR="00E905A0" w:rsidRDefault="005B2497" w:rsidP="00E905A0">
      <w:pPr>
        <w:ind w:firstLine="420"/>
      </w:pPr>
      <w:r w:rsidRPr="0081478A">
        <w:t>4</w:t>
      </w:r>
      <w:r w:rsidRPr="0081478A">
        <w:t>具有先进的融霜控制，融霜时间总和不应超过运行周期的</w:t>
      </w:r>
      <w:r w:rsidRPr="0081478A">
        <w:t>20</w:t>
      </w:r>
      <w:r w:rsidRPr="0081478A">
        <w:t>％。</w:t>
      </w:r>
    </w:p>
    <w:p w14:paraId="02BDD187" w14:textId="6B059688" w:rsidR="00DE12A7" w:rsidRDefault="00DE12A7" w:rsidP="00E905A0">
      <w:pPr>
        <w:ind w:firstLine="420"/>
      </w:pPr>
      <w:r>
        <w:rPr>
          <w:rFonts w:hint="eastAsia"/>
        </w:rPr>
        <w:t>对于可再生能源发电量的计算，应根据可再生能源的资源分布规律予以计算。</w:t>
      </w:r>
    </w:p>
    <w:p w14:paraId="71183B4D" w14:textId="781ACD05" w:rsidR="00715ABB" w:rsidRPr="009252F8" w:rsidRDefault="00F44390" w:rsidP="009252F8">
      <w:pPr>
        <w:pStyle w:val="20"/>
      </w:pPr>
      <w:r w:rsidRPr="0081478A">
        <w:t>【评价方法】</w:t>
      </w:r>
    </w:p>
    <w:p w14:paraId="01079C8E"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预评价查阅相关设计文件、计算分析报告；评价查阅相关竣工图、计算分析报告、产品型式检验报告，组织现场查勘。</w:t>
      </w:r>
    </w:p>
    <w:p w14:paraId="4A45F995" w14:textId="77777777" w:rsidR="00715ABB" w:rsidRPr="00E905A0" w:rsidRDefault="00715ABB">
      <w:pPr>
        <w:snapToGrid w:val="0"/>
        <w:ind w:firstLineChars="0" w:firstLine="0"/>
        <w:jc w:val="left"/>
        <w:rPr>
          <w:rFonts w:cs="Times New Roman"/>
          <w:b/>
          <w:bCs/>
          <w:szCs w:val="24"/>
        </w:rPr>
      </w:pPr>
    </w:p>
    <w:p w14:paraId="5D7BA7DC" w14:textId="77777777" w:rsidR="00C060F4" w:rsidRPr="00530A11" w:rsidRDefault="00C060F4" w:rsidP="00C060F4">
      <w:pPr>
        <w:pStyle w:val="4"/>
        <w:rPr>
          <w:rFonts w:cs="Times New Roman"/>
          <w:bCs w:val="0"/>
        </w:rPr>
      </w:pPr>
      <w:r w:rsidRPr="00530A11">
        <w:rPr>
          <w:rFonts w:cs="Times New Roman"/>
          <w:bCs w:val="0"/>
        </w:rPr>
        <w:t xml:space="preserve">7.2.10 </w:t>
      </w:r>
      <w:r w:rsidRPr="00530A11">
        <w:rPr>
          <w:rFonts w:cs="Times New Roman"/>
          <w:bCs w:val="0"/>
        </w:rPr>
        <w:t>合理采用被动式技术措施，评价总分值为</w:t>
      </w:r>
      <w:r w:rsidRPr="00530A11">
        <w:rPr>
          <w:rFonts w:cs="Times New Roman"/>
          <w:bCs w:val="0"/>
        </w:rPr>
        <w:t>10</w:t>
      </w:r>
      <w:r w:rsidRPr="00530A11">
        <w:rPr>
          <w:rFonts w:cs="Times New Roman"/>
          <w:bCs w:val="0"/>
        </w:rPr>
        <w:t>分。评分规则如下：</w:t>
      </w:r>
    </w:p>
    <w:p w14:paraId="6BE38A8C"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外窗、玻璃幕墙等外立面透明部分围护结构有较大可开启部分，使建筑获得良好的自然通风，得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1346FEB8" w14:textId="77777777"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1</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设玻璃幕墙且不设外窗的建筑，其玻璃幕墙透明部分可开启面积比例：</w:t>
      </w:r>
    </w:p>
    <w:p w14:paraId="25A69503" w14:textId="77777777" w:rsidR="00C060F4" w:rsidRPr="00C060F4" w:rsidRDefault="00C060F4" w:rsidP="00C060F4">
      <w:pPr>
        <w:pStyle w:val="20"/>
        <w:ind w:firstLineChars="300" w:firstLine="632"/>
        <w:rPr>
          <w:rFonts w:ascii="Times New Roman" w:hAnsi="Times New Roman" w:cs="Times New Roman"/>
          <w:bCs/>
          <w:color w:val="auto"/>
        </w:rPr>
      </w:pPr>
      <w:r w:rsidRPr="00C060F4">
        <w:rPr>
          <w:rFonts w:ascii="Times New Roman" w:hAnsi="Times New Roman" w:cs="Times New Roman"/>
          <w:bCs/>
          <w:color w:val="auto"/>
        </w:rPr>
        <w:t xml:space="preserve">a </w:t>
      </w:r>
      <w:r w:rsidRPr="00C060F4">
        <w:rPr>
          <w:rFonts w:ascii="Times New Roman" w:hAnsi="Times New Roman" w:cs="Times New Roman"/>
          <w:bCs/>
          <w:color w:val="auto"/>
        </w:rPr>
        <w:t>不低于</w:t>
      </w:r>
      <w:r w:rsidRPr="00C060F4">
        <w:rPr>
          <w:rFonts w:ascii="Times New Roman" w:hAnsi="Times New Roman" w:cs="Times New Roman"/>
          <w:bCs/>
          <w:color w:val="auto"/>
        </w:rPr>
        <w:t>5%</w:t>
      </w:r>
      <w:r w:rsidRPr="00C060F4">
        <w:rPr>
          <w:rFonts w:ascii="Times New Roman" w:hAnsi="Times New Roman" w:cs="Times New Roman"/>
          <w:bCs/>
          <w:color w:val="auto"/>
        </w:rPr>
        <w:t>但低于</w:t>
      </w:r>
      <w:r w:rsidRPr="00C060F4">
        <w:rPr>
          <w:rFonts w:ascii="Times New Roman" w:hAnsi="Times New Roman" w:cs="Times New Roman"/>
          <w:bCs/>
          <w:color w:val="auto"/>
        </w:rPr>
        <w:t>10%</w:t>
      </w:r>
      <w:r w:rsidRPr="00C060F4">
        <w:rPr>
          <w:rFonts w:ascii="Times New Roman" w:hAnsi="Times New Roman" w:cs="Times New Roman"/>
          <w:bCs/>
          <w:color w:val="auto"/>
        </w:rPr>
        <w:t>，得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02AF6877" w14:textId="77777777" w:rsidR="00C060F4" w:rsidRPr="00C060F4" w:rsidRDefault="00C060F4" w:rsidP="00C060F4">
      <w:pPr>
        <w:pStyle w:val="20"/>
        <w:ind w:firstLineChars="300" w:firstLine="632"/>
        <w:rPr>
          <w:rFonts w:ascii="Times New Roman" w:hAnsi="Times New Roman" w:cs="Times New Roman"/>
          <w:bCs/>
          <w:color w:val="auto"/>
        </w:rPr>
      </w:pPr>
      <w:r w:rsidRPr="00C060F4">
        <w:rPr>
          <w:rFonts w:ascii="Times New Roman" w:hAnsi="Times New Roman" w:cs="Times New Roman"/>
          <w:bCs/>
          <w:color w:val="auto"/>
        </w:rPr>
        <w:lastRenderedPageBreak/>
        <w:t xml:space="preserve">b </w:t>
      </w:r>
      <w:r w:rsidRPr="00C060F4">
        <w:rPr>
          <w:rFonts w:ascii="Times New Roman" w:hAnsi="Times New Roman" w:cs="Times New Roman"/>
          <w:bCs/>
          <w:color w:val="auto"/>
        </w:rPr>
        <w:t>不低于</w:t>
      </w:r>
      <w:r w:rsidRPr="00C060F4">
        <w:rPr>
          <w:rFonts w:ascii="Times New Roman" w:hAnsi="Times New Roman" w:cs="Times New Roman"/>
          <w:bCs/>
          <w:color w:val="auto"/>
        </w:rPr>
        <w:t>10%</w:t>
      </w:r>
      <w:r w:rsidRPr="00C060F4">
        <w:rPr>
          <w:rFonts w:ascii="Times New Roman" w:hAnsi="Times New Roman" w:cs="Times New Roman"/>
          <w:bCs/>
          <w:color w:val="auto"/>
        </w:rPr>
        <w:t>，得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1E473E93" w14:textId="77777777"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2</w:t>
      </w:r>
      <w:r w:rsidRPr="00C060F4">
        <w:rPr>
          <w:rFonts w:ascii="Times New Roman" w:hAnsi="Times New Roman" w:cs="Times New Roman"/>
          <w:bCs/>
          <w:color w:val="auto"/>
        </w:rPr>
        <w:t>）设外窗且不设玻璃幕墙的建筑，外窗可开启面积比例：</w:t>
      </w:r>
    </w:p>
    <w:p w14:paraId="2E3860BA" w14:textId="77777777" w:rsidR="00C060F4" w:rsidRPr="00C060F4" w:rsidRDefault="00C060F4" w:rsidP="00C060F4">
      <w:pPr>
        <w:pStyle w:val="20"/>
        <w:ind w:firstLineChars="300" w:firstLine="632"/>
        <w:rPr>
          <w:rFonts w:ascii="Times New Roman" w:hAnsi="Times New Roman" w:cs="Times New Roman"/>
          <w:bCs/>
          <w:color w:val="auto"/>
        </w:rPr>
      </w:pPr>
      <w:r w:rsidRPr="00C060F4">
        <w:rPr>
          <w:rFonts w:ascii="Times New Roman" w:hAnsi="Times New Roman" w:cs="Times New Roman"/>
          <w:bCs/>
          <w:color w:val="auto"/>
        </w:rPr>
        <w:t xml:space="preserve">a </w:t>
      </w:r>
      <w:r w:rsidRPr="00C060F4">
        <w:rPr>
          <w:rFonts w:ascii="Times New Roman" w:hAnsi="Times New Roman" w:cs="Times New Roman"/>
          <w:bCs/>
          <w:color w:val="auto"/>
        </w:rPr>
        <w:t>不低于</w:t>
      </w:r>
      <w:r w:rsidRPr="00C060F4">
        <w:rPr>
          <w:rFonts w:ascii="Times New Roman" w:hAnsi="Times New Roman" w:cs="Times New Roman"/>
          <w:bCs/>
          <w:color w:val="auto"/>
        </w:rPr>
        <w:t>35%</w:t>
      </w:r>
      <w:r w:rsidRPr="00C060F4">
        <w:rPr>
          <w:rFonts w:ascii="Times New Roman" w:hAnsi="Times New Roman" w:cs="Times New Roman"/>
          <w:bCs/>
          <w:color w:val="auto"/>
        </w:rPr>
        <w:t>但低于</w:t>
      </w:r>
      <w:r w:rsidRPr="00C060F4">
        <w:rPr>
          <w:rFonts w:ascii="Times New Roman" w:hAnsi="Times New Roman" w:cs="Times New Roman"/>
          <w:bCs/>
          <w:color w:val="auto"/>
        </w:rPr>
        <w:t>40%</w:t>
      </w:r>
      <w:r w:rsidRPr="00C060F4">
        <w:rPr>
          <w:rFonts w:ascii="Times New Roman" w:hAnsi="Times New Roman" w:cs="Times New Roman"/>
          <w:bCs/>
          <w:color w:val="auto"/>
        </w:rPr>
        <w:t>，得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43E38973" w14:textId="77777777" w:rsidR="00C060F4" w:rsidRPr="00C060F4" w:rsidRDefault="00C060F4" w:rsidP="00C060F4">
      <w:pPr>
        <w:pStyle w:val="20"/>
        <w:ind w:firstLineChars="300" w:firstLine="632"/>
        <w:rPr>
          <w:rFonts w:ascii="Times New Roman" w:hAnsi="Times New Roman" w:cs="Times New Roman"/>
          <w:bCs/>
          <w:color w:val="auto"/>
        </w:rPr>
      </w:pPr>
      <w:r w:rsidRPr="00C060F4">
        <w:rPr>
          <w:rFonts w:ascii="Times New Roman" w:hAnsi="Times New Roman" w:cs="Times New Roman"/>
          <w:bCs/>
          <w:color w:val="auto"/>
        </w:rPr>
        <w:t xml:space="preserve">b </w:t>
      </w:r>
      <w:r w:rsidRPr="00C060F4">
        <w:rPr>
          <w:rFonts w:ascii="Times New Roman" w:hAnsi="Times New Roman" w:cs="Times New Roman"/>
          <w:bCs/>
          <w:color w:val="auto"/>
        </w:rPr>
        <w:t>不低于</w:t>
      </w:r>
      <w:r w:rsidRPr="00C060F4">
        <w:rPr>
          <w:rFonts w:ascii="Times New Roman" w:hAnsi="Times New Roman" w:cs="Times New Roman"/>
          <w:bCs/>
          <w:color w:val="auto"/>
        </w:rPr>
        <w:t>40%</w:t>
      </w:r>
      <w:r w:rsidRPr="00C060F4">
        <w:rPr>
          <w:rFonts w:ascii="Times New Roman" w:hAnsi="Times New Roman" w:cs="Times New Roman"/>
          <w:bCs/>
          <w:color w:val="auto"/>
        </w:rPr>
        <w:t>，得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0B1CDE5E" w14:textId="77777777"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3</w:t>
      </w:r>
      <w:r w:rsidRPr="00C060F4">
        <w:rPr>
          <w:rFonts w:ascii="Times New Roman" w:hAnsi="Times New Roman" w:cs="Times New Roman"/>
          <w:bCs/>
          <w:color w:val="auto"/>
        </w:rPr>
        <w:t>）设玻璃幕墙和外窗的建筑，对其玻璃幕墙透明部分和外窗分别按本条第</w:t>
      </w:r>
      <w:r w:rsidRPr="00C060F4">
        <w:rPr>
          <w:rFonts w:ascii="Times New Roman" w:hAnsi="Times New Roman" w:cs="Times New Roman"/>
          <w:bCs/>
          <w:color w:val="auto"/>
        </w:rPr>
        <w:t>1</w:t>
      </w:r>
      <w:r w:rsidRPr="00C060F4">
        <w:rPr>
          <w:rFonts w:ascii="Times New Roman" w:hAnsi="Times New Roman" w:cs="Times New Roman"/>
          <w:bCs/>
          <w:color w:val="auto"/>
        </w:rPr>
        <w:t>款和第</w:t>
      </w:r>
      <w:r w:rsidRPr="00C060F4">
        <w:rPr>
          <w:rFonts w:ascii="Times New Roman" w:hAnsi="Times New Roman" w:cs="Times New Roman"/>
          <w:bCs/>
          <w:color w:val="auto"/>
        </w:rPr>
        <w:t>2</w:t>
      </w:r>
      <w:r w:rsidRPr="00C060F4">
        <w:rPr>
          <w:rFonts w:ascii="Times New Roman" w:hAnsi="Times New Roman" w:cs="Times New Roman"/>
          <w:bCs/>
          <w:color w:val="auto"/>
        </w:rPr>
        <w:t>款进行评价，得分取两项得分的平均值。</w:t>
      </w:r>
    </w:p>
    <w:p w14:paraId="6D8B6A9A"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提高建筑门窗气密性及</w:t>
      </w:r>
      <w:bookmarkStart w:id="151" w:name="_Hlk20932299"/>
      <w:r w:rsidRPr="00C060F4">
        <w:rPr>
          <w:rFonts w:ascii="Times New Roman" w:hAnsi="Times New Roman" w:cs="Times New Roman"/>
          <w:bCs/>
          <w:color w:val="auto"/>
        </w:rPr>
        <w:t>施工节点等的气密性</w:t>
      </w:r>
      <w:bookmarkEnd w:id="151"/>
      <w:r w:rsidRPr="00C060F4">
        <w:rPr>
          <w:rFonts w:ascii="Times New Roman" w:hAnsi="Times New Roman" w:cs="Times New Roman"/>
          <w:bCs/>
          <w:color w:val="auto"/>
        </w:rPr>
        <w:t>能比国家现行相关建筑节能设计标准规定的气密性标准增加</w:t>
      </w:r>
      <w:r w:rsidRPr="00C060F4">
        <w:rPr>
          <w:rFonts w:ascii="Times New Roman" w:hAnsi="Times New Roman" w:cs="Times New Roman"/>
          <w:bCs/>
          <w:color w:val="auto"/>
        </w:rPr>
        <w:t>1</w:t>
      </w:r>
      <w:r w:rsidRPr="00C060F4">
        <w:rPr>
          <w:rFonts w:ascii="Times New Roman" w:hAnsi="Times New Roman" w:cs="Times New Roman"/>
          <w:bCs/>
          <w:color w:val="auto"/>
        </w:rPr>
        <w:t>级，得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18858777"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3 </w:t>
      </w:r>
      <w:r w:rsidRPr="00C060F4">
        <w:rPr>
          <w:rFonts w:ascii="Times New Roman" w:hAnsi="Times New Roman" w:cs="Times New Roman"/>
          <w:bCs/>
          <w:color w:val="auto"/>
        </w:rPr>
        <w:t>地下空间非设备用房区域</w:t>
      </w:r>
      <w:bookmarkStart w:id="152" w:name="_Hlk25162552"/>
      <w:r w:rsidRPr="00C060F4">
        <w:rPr>
          <w:rFonts w:ascii="Times New Roman" w:hAnsi="Times New Roman" w:cs="Times New Roman"/>
          <w:bCs/>
          <w:color w:val="auto"/>
        </w:rPr>
        <w:t>平均采光系数不小于</w:t>
      </w:r>
      <w:r w:rsidRPr="00C060F4">
        <w:rPr>
          <w:rFonts w:ascii="Times New Roman" w:hAnsi="Times New Roman" w:cs="Times New Roman"/>
          <w:bCs/>
          <w:color w:val="auto"/>
        </w:rPr>
        <w:t>0.5%</w:t>
      </w:r>
      <w:r w:rsidRPr="00C060F4">
        <w:rPr>
          <w:rFonts w:ascii="Times New Roman" w:hAnsi="Times New Roman" w:cs="Times New Roman"/>
          <w:bCs/>
          <w:color w:val="auto"/>
        </w:rPr>
        <w:t>的面积与地下室首层面积的比例达到</w:t>
      </w:r>
      <w:r w:rsidRPr="00C060F4">
        <w:rPr>
          <w:rFonts w:ascii="Times New Roman" w:hAnsi="Times New Roman" w:cs="Times New Roman"/>
          <w:bCs/>
          <w:color w:val="auto"/>
        </w:rPr>
        <w:t>10%</w:t>
      </w:r>
      <w:r w:rsidRPr="00C060F4">
        <w:rPr>
          <w:rFonts w:ascii="Times New Roman" w:hAnsi="Times New Roman" w:cs="Times New Roman"/>
          <w:bCs/>
          <w:color w:val="auto"/>
        </w:rPr>
        <w:t>以上</w:t>
      </w:r>
      <w:bookmarkEnd w:id="152"/>
      <w:r w:rsidRPr="00C060F4">
        <w:rPr>
          <w:rFonts w:ascii="Times New Roman" w:hAnsi="Times New Roman" w:cs="Times New Roman"/>
          <w:bCs/>
          <w:color w:val="auto"/>
        </w:rPr>
        <w:t>，得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55AA9AE6"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4 </w:t>
      </w:r>
      <w:r w:rsidRPr="00C060F4">
        <w:rPr>
          <w:rFonts w:ascii="Times New Roman" w:hAnsi="Times New Roman" w:cs="Times New Roman"/>
          <w:bCs/>
          <w:color w:val="auto"/>
        </w:rPr>
        <w:t>居住建筑</w:t>
      </w:r>
      <w:r w:rsidRPr="00C060F4">
        <w:rPr>
          <w:rFonts w:ascii="Times New Roman" w:hAnsi="Times New Roman" w:cs="Times New Roman" w:hint="eastAsia"/>
          <w:bCs/>
          <w:color w:val="auto"/>
        </w:rPr>
        <w:t>体形</w:t>
      </w:r>
      <w:r w:rsidRPr="00C060F4">
        <w:rPr>
          <w:rFonts w:ascii="Times New Roman" w:hAnsi="Times New Roman" w:cs="Times New Roman"/>
          <w:bCs/>
          <w:color w:val="auto"/>
        </w:rPr>
        <w:t>系数小于等于</w:t>
      </w:r>
      <w:r w:rsidRPr="00C060F4">
        <w:rPr>
          <w:rFonts w:ascii="Times New Roman" w:hAnsi="Times New Roman" w:cs="Times New Roman"/>
          <w:bCs/>
          <w:color w:val="auto"/>
        </w:rPr>
        <w:t>0.4</w:t>
      </w:r>
      <w:r w:rsidRPr="00C060F4">
        <w:rPr>
          <w:rFonts w:ascii="Times New Roman" w:hAnsi="Times New Roman" w:cs="Times New Roman"/>
          <w:bCs/>
          <w:color w:val="auto"/>
        </w:rPr>
        <w:t>，公共建筑体形系数小于等于</w:t>
      </w:r>
      <w:r w:rsidRPr="00C060F4">
        <w:rPr>
          <w:rFonts w:ascii="Times New Roman" w:hAnsi="Times New Roman" w:cs="Times New Roman"/>
          <w:bCs/>
          <w:color w:val="auto"/>
        </w:rPr>
        <w:t>0.3</w:t>
      </w:r>
      <w:r w:rsidRPr="00C060F4">
        <w:rPr>
          <w:rFonts w:ascii="Times New Roman" w:hAnsi="Times New Roman" w:cs="Times New Roman"/>
          <w:bCs/>
          <w:color w:val="auto"/>
        </w:rPr>
        <w:t>，得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39827868" w14:textId="77777777" w:rsidR="00715ABB" w:rsidRPr="0081478A" w:rsidRDefault="00F44390" w:rsidP="009252F8">
      <w:pPr>
        <w:pStyle w:val="20"/>
      </w:pPr>
      <w:r w:rsidRPr="0081478A">
        <w:t>【条文说明】</w:t>
      </w:r>
    </w:p>
    <w:p w14:paraId="745CDA47" w14:textId="77777777" w:rsidR="0052438D" w:rsidRPr="00530A11" w:rsidRDefault="0052438D" w:rsidP="0052438D">
      <w:pPr>
        <w:ind w:firstLine="420"/>
        <w:rPr>
          <w:szCs w:val="24"/>
        </w:rPr>
      </w:pPr>
      <w:r w:rsidRPr="00530A11">
        <w:t>本条适用于各类民用建筑的预评价、评价。</w:t>
      </w:r>
    </w:p>
    <w:p w14:paraId="292EDCAA" w14:textId="77777777" w:rsidR="0052438D" w:rsidRPr="00530A11" w:rsidRDefault="0052438D" w:rsidP="0052438D">
      <w:pPr>
        <w:ind w:firstLine="420"/>
        <w:rPr>
          <w:rFonts w:cs="Times New Roman"/>
        </w:rPr>
      </w:pPr>
      <w:r w:rsidRPr="00530A11">
        <w:rPr>
          <w:rFonts w:cs="Times New Roman"/>
        </w:rPr>
        <w:t>本条为</w:t>
      </w:r>
      <w:r w:rsidRPr="00530A11">
        <w:rPr>
          <w:rFonts w:cs="Times New Roman" w:hint="eastAsia"/>
        </w:rPr>
        <w:t>地标</w:t>
      </w:r>
      <w:r w:rsidRPr="00530A11">
        <w:rPr>
          <w:rFonts w:cs="Times New Roman"/>
        </w:rPr>
        <w:t>新增条文。</w:t>
      </w:r>
    </w:p>
    <w:p w14:paraId="05D43DCD" w14:textId="44B09E82" w:rsidR="0052438D" w:rsidRPr="00530A11" w:rsidRDefault="0052438D" w:rsidP="0052438D">
      <w:pPr>
        <w:ind w:firstLine="420"/>
        <w:rPr>
          <w:rFonts w:cs="Times New Roman"/>
        </w:rPr>
      </w:pPr>
      <w:r w:rsidRPr="00530A11">
        <w:rPr>
          <w:rFonts w:cs="Times New Roman"/>
        </w:rPr>
        <w:t>第</w:t>
      </w:r>
      <w:r w:rsidRPr="00530A11">
        <w:rPr>
          <w:rFonts w:cs="Times New Roman"/>
        </w:rPr>
        <w:t>1</w:t>
      </w:r>
      <w:r w:rsidRPr="00530A11">
        <w:rPr>
          <w:rFonts w:cs="Times New Roman"/>
        </w:rPr>
        <w:t>款挖掘建筑自然通风潜力，有组织地进行过渡季与夏季的自然通风，增大外窗或玻璃幕墙的可开启面积比例（居住建筑应按外窗可开启面积比值最不利的所在功能房间的值确定）</w:t>
      </w:r>
      <w:r w:rsidRPr="00530A11">
        <w:rPr>
          <w:rFonts w:cs="Times New Roman" w:hint="eastAsia"/>
        </w:rPr>
        <w:t>。同时，为保证冬季防风，可开启部分还应要求可关闭、密封性能满足要求</w:t>
      </w:r>
      <w:r w:rsidRPr="00530A11">
        <w:rPr>
          <w:rFonts w:cs="Times New Roman"/>
        </w:rPr>
        <w:t>；</w:t>
      </w:r>
    </w:p>
    <w:p w14:paraId="3A53A55C"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2</w:t>
      </w:r>
      <w:r w:rsidRPr="00530A11">
        <w:rPr>
          <w:rFonts w:cs="Times New Roman"/>
        </w:rPr>
        <w:t>款良好的门窗气密性及施工节点等的气密性，对保证建筑的节能，抵御夏季和冬季室外空气过多地向室内渗透非常重要；</w:t>
      </w:r>
    </w:p>
    <w:p w14:paraId="35FB83A1"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3</w:t>
      </w:r>
      <w:r w:rsidRPr="00530A11">
        <w:rPr>
          <w:rFonts w:cs="Times New Roman"/>
        </w:rPr>
        <w:t>款鼓励地下车库采用采光井、下沉庭院、导光筒系统等措施，可改善地下车库等地下空间的采光，从而减少照明光源的使用，降低照明能耗；</w:t>
      </w:r>
    </w:p>
    <w:p w14:paraId="0CF57CBA"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4</w:t>
      </w:r>
      <w:r w:rsidRPr="00530A11">
        <w:rPr>
          <w:rFonts w:cs="Times New Roman"/>
        </w:rPr>
        <w:t>款建筑平面布局规整紧凑，避免凹凸变化过多，控制合理的体型系数。</w:t>
      </w:r>
    </w:p>
    <w:p w14:paraId="40BE98C1" w14:textId="77777777" w:rsidR="0052438D" w:rsidRPr="00530A11" w:rsidRDefault="0052438D" w:rsidP="0052438D">
      <w:pPr>
        <w:ind w:firstLine="420"/>
        <w:rPr>
          <w:rFonts w:cs="Times New Roman"/>
        </w:rPr>
      </w:pPr>
      <w:r w:rsidRPr="00530A11">
        <w:rPr>
          <w:rFonts w:cs="Times New Roman"/>
        </w:rPr>
        <w:t>对于门窗的气密性要求，应符合《建筑外门窗气密、水密、抗风压性能分级及检测方法》</w:t>
      </w:r>
      <w:r w:rsidRPr="00530A11">
        <w:rPr>
          <w:rFonts w:cs="Times New Roman"/>
        </w:rPr>
        <w:t>GB/T 7106-2008,</w:t>
      </w:r>
      <w:r w:rsidRPr="00530A11">
        <w:rPr>
          <w:rFonts w:cs="Times New Roman"/>
        </w:rPr>
        <w:t>《建筑幕墙》</w:t>
      </w:r>
      <w:r w:rsidRPr="00530A11">
        <w:rPr>
          <w:rFonts w:cs="Times New Roman"/>
        </w:rPr>
        <w:t>GB/T21086-2007</w:t>
      </w:r>
      <w:r w:rsidRPr="00530A11">
        <w:rPr>
          <w:rFonts w:cs="Times New Roman"/>
        </w:rPr>
        <w:t>等标准。</w:t>
      </w:r>
    </w:p>
    <w:p w14:paraId="60441B7C" w14:textId="77777777" w:rsidR="00E443CB" w:rsidRPr="0081478A" w:rsidRDefault="00E443CB" w:rsidP="009252F8">
      <w:pPr>
        <w:pStyle w:val="20"/>
      </w:pPr>
      <w:r w:rsidRPr="0081478A">
        <w:t>【评价要点】</w:t>
      </w:r>
    </w:p>
    <w:p w14:paraId="5E3D0A82" w14:textId="56C5D208" w:rsidR="00C50712" w:rsidRPr="0081478A" w:rsidRDefault="00EB6053" w:rsidP="00C50712">
      <w:pPr>
        <w:ind w:firstLine="420"/>
        <w:rPr>
          <w:rFonts w:cs="Times New Roman"/>
        </w:rPr>
      </w:pPr>
      <w:r>
        <w:rPr>
          <w:rFonts w:cs="Times New Roman"/>
        </w:rPr>
        <w:t>1.</w:t>
      </w:r>
      <w:r w:rsidR="00C50712" w:rsidRPr="0081478A">
        <w:rPr>
          <w:rFonts w:cs="Times New Roman"/>
        </w:rPr>
        <w:t>外窗可开启面积计算按以下规则执行：</w:t>
      </w:r>
    </w:p>
    <w:p w14:paraId="66C91376" w14:textId="77777777" w:rsidR="00C50712" w:rsidRPr="0081478A" w:rsidRDefault="00C50712" w:rsidP="00C50712">
      <w:pPr>
        <w:ind w:firstLine="420"/>
        <w:rPr>
          <w:rFonts w:cs="Times New Roman"/>
        </w:rPr>
      </w:pPr>
      <w:r w:rsidRPr="0081478A">
        <w:rPr>
          <w:rFonts w:ascii="宋体" w:hAnsi="宋体" w:cs="宋体" w:hint="eastAsia"/>
        </w:rPr>
        <w:t>①</w:t>
      </w:r>
      <w:r w:rsidRPr="0081478A">
        <w:rPr>
          <w:rFonts w:cs="Times New Roman"/>
        </w:rPr>
        <w:t xml:space="preserve"> </w:t>
      </w:r>
      <w:r w:rsidRPr="0081478A">
        <w:rPr>
          <w:rFonts w:cs="Times New Roman"/>
        </w:rPr>
        <w:t>平开窗、推拉窗自然通风的有效开启面积按实际可开启面积计算。</w:t>
      </w:r>
    </w:p>
    <w:p w14:paraId="4AFC87D5" w14:textId="77777777" w:rsidR="00C50712" w:rsidRPr="0081478A" w:rsidRDefault="00C50712" w:rsidP="00C50712">
      <w:pPr>
        <w:ind w:firstLine="420"/>
        <w:rPr>
          <w:rFonts w:cs="Times New Roman"/>
        </w:rPr>
      </w:pPr>
      <w:r w:rsidRPr="0081478A">
        <w:rPr>
          <w:rFonts w:ascii="宋体" w:hAnsi="宋体" w:cs="宋体" w:hint="eastAsia"/>
        </w:rPr>
        <w:t>②</w:t>
      </w:r>
      <w:r w:rsidRPr="0081478A">
        <w:rPr>
          <w:rFonts w:cs="Times New Roman"/>
        </w:rPr>
        <w:t xml:space="preserve"> </w:t>
      </w:r>
      <w:r w:rsidRPr="0081478A">
        <w:rPr>
          <w:rFonts w:cs="Times New Roman"/>
        </w:rPr>
        <w:t>上悬窗、中悬窗、下悬窗自然通风的有效开启面积按外窗开启扇面积</w:t>
      </w:r>
      <w:r w:rsidRPr="0081478A">
        <w:rPr>
          <w:rFonts w:cs="Times New Roman"/>
        </w:rPr>
        <w:t>×</w:t>
      </w:r>
      <w:r w:rsidRPr="0081478A">
        <w:rPr>
          <w:rFonts w:cs="Times New Roman"/>
        </w:rPr>
        <w:t>开启角度的</w:t>
      </w:r>
      <w:r w:rsidRPr="0081478A">
        <w:rPr>
          <w:rFonts w:cs="Times New Roman"/>
        </w:rPr>
        <w:t>sin</w:t>
      </w:r>
      <w:r w:rsidRPr="0081478A">
        <w:rPr>
          <w:rFonts w:cs="Times New Roman"/>
        </w:rPr>
        <w:t>值计算；当开启角度大于</w:t>
      </w:r>
      <w:r w:rsidRPr="0081478A">
        <w:rPr>
          <w:rFonts w:cs="Times New Roman"/>
        </w:rPr>
        <w:t>70°</w:t>
      </w:r>
      <w:r w:rsidRPr="0081478A">
        <w:rPr>
          <w:rFonts w:cs="Times New Roman"/>
        </w:rPr>
        <w:t>时，有效开启面积按</w:t>
      </w:r>
      <w:r w:rsidRPr="0081478A">
        <w:rPr>
          <w:rFonts w:cs="Times New Roman"/>
        </w:rPr>
        <w:t>100%</w:t>
      </w:r>
      <w:r w:rsidRPr="0081478A">
        <w:rPr>
          <w:rFonts w:cs="Times New Roman"/>
        </w:rPr>
        <w:t>计算。</w:t>
      </w:r>
    </w:p>
    <w:p w14:paraId="54F3DAC8" w14:textId="77777777" w:rsidR="00C50712" w:rsidRPr="0081478A" w:rsidRDefault="00C50712" w:rsidP="00C50712">
      <w:pPr>
        <w:ind w:firstLine="420"/>
        <w:rPr>
          <w:rFonts w:cs="Times New Roman"/>
        </w:rPr>
      </w:pPr>
      <w:r w:rsidRPr="0081478A">
        <w:rPr>
          <w:rFonts w:ascii="宋体" w:hAnsi="宋体" w:cs="宋体" w:hint="eastAsia"/>
        </w:rPr>
        <w:t>③</w:t>
      </w:r>
      <w:r w:rsidRPr="0081478A">
        <w:rPr>
          <w:rFonts w:cs="Times New Roman"/>
        </w:rPr>
        <w:t xml:space="preserve"> </w:t>
      </w:r>
      <w:r w:rsidRPr="0081478A">
        <w:rPr>
          <w:rFonts w:cs="Times New Roman"/>
        </w:rPr>
        <w:t>玻璃幕墙自然通风的有效开启面积均按可开启扇面积计算。</w:t>
      </w:r>
    </w:p>
    <w:p w14:paraId="2A1D13C8" w14:textId="77777777" w:rsidR="00C50712" w:rsidRPr="0081478A" w:rsidRDefault="00C50712" w:rsidP="00C50712">
      <w:pPr>
        <w:ind w:firstLine="420"/>
        <w:rPr>
          <w:rFonts w:cs="Times New Roman"/>
        </w:rPr>
      </w:pPr>
      <w:r w:rsidRPr="0081478A">
        <w:rPr>
          <w:rFonts w:ascii="宋体" w:hAnsi="宋体" w:cs="宋体" w:hint="eastAsia"/>
        </w:rPr>
        <w:lastRenderedPageBreak/>
        <w:t>④</w:t>
      </w:r>
      <w:r w:rsidRPr="0081478A">
        <w:rPr>
          <w:rFonts w:cs="Times New Roman"/>
        </w:rPr>
        <w:t xml:space="preserve"> </w:t>
      </w:r>
      <w:r w:rsidRPr="0081478A">
        <w:rPr>
          <w:rFonts w:cs="Times New Roman"/>
        </w:rPr>
        <w:t>外门可开启面积可纳入外窗可开启面积计算。</w:t>
      </w:r>
    </w:p>
    <w:p w14:paraId="388CB36D" w14:textId="77777777" w:rsidR="00C50712" w:rsidRPr="0081478A" w:rsidRDefault="00C50712" w:rsidP="00C50712">
      <w:pPr>
        <w:ind w:firstLine="420"/>
        <w:rPr>
          <w:rFonts w:cs="Times New Roman"/>
        </w:rPr>
      </w:pPr>
      <w:r w:rsidRPr="0081478A">
        <w:rPr>
          <w:rFonts w:cs="Times New Roman"/>
        </w:rPr>
        <w:t>无论玻璃幕墙采用何种开启方式（上悬式或下悬式开启最为常见），活动扇都可认定为可开启面积，不再计算实际的或当量的可开启面积。</w:t>
      </w:r>
    </w:p>
    <w:p w14:paraId="08CC394A" w14:textId="77777777" w:rsidR="00C50712" w:rsidRPr="0081478A" w:rsidRDefault="00C50712" w:rsidP="00C50712">
      <w:pPr>
        <w:ind w:firstLine="420"/>
        <w:rPr>
          <w:rFonts w:cs="Times New Roman"/>
        </w:rPr>
      </w:pPr>
      <w:r w:rsidRPr="0081478A">
        <w:rPr>
          <w:rFonts w:cs="Times New Roman"/>
        </w:rPr>
        <w:t>《绿色建筑评价标准》（</w:t>
      </w:r>
      <w:r w:rsidRPr="0081478A">
        <w:rPr>
          <w:rFonts w:cs="Times New Roman"/>
        </w:rPr>
        <w:t>DBJ50/T-066—2014</w:t>
      </w:r>
      <w:r w:rsidRPr="0081478A">
        <w:rPr>
          <w:rFonts w:cs="Times New Roman"/>
        </w:rPr>
        <w:t>）第</w:t>
      </w:r>
      <w:r w:rsidRPr="0081478A">
        <w:rPr>
          <w:rFonts w:cs="Times New Roman"/>
        </w:rPr>
        <w:t>8.2.10</w:t>
      </w:r>
      <w:r w:rsidRPr="0081478A">
        <w:rPr>
          <w:rFonts w:cs="Times New Roman"/>
        </w:rPr>
        <w:t>条的玻璃幕墙系指透明的幕墙，背后有非透明实体墙的纯装饰性玻璃幕墙不在此列。</w:t>
      </w:r>
    </w:p>
    <w:p w14:paraId="62A9B3E1" w14:textId="7E17540B" w:rsidR="005409C5" w:rsidRDefault="00C50712" w:rsidP="00C50712">
      <w:pPr>
        <w:ind w:firstLine="420"/>
        <w:rPr>
          <w:rFonts w:cs="Times New Roman"/>
        </w:rPr>
      </w:pPr>
      <w:r w:rsidRPr="0081478A">
        <w:rPr>
          <w:rFonts w:cs="Times New Roman"/>
        </w:rPr>
        <w:t>对于高层和超高层建筑，由于高处风力过大以及安全方面的原因，自然通风不再是外窗和玻璃幕墙是否能开启主要考虑因素，故仅评判第</w:t>
      </w:r>
      <w:r w:rsidRPr="0081478A">
        <w:rPr>
          <w:rFonts w:cs="Times New Roman"/>
        </w:rPr>
        <w:t>18</w:t>
      </w:r>
      <w:r w:rsidRPr="0081478A">
        <w:rPr>
          <w:rFonts w:cs="Times New Roman"/>
        </w:rPr>
        <w:t>层及其以下各层的外窗和玻璃幕墙，</w:t>
      </w:r>
      <w:r w:rsidRPr="0081478A">
        <w:rPr>
          <w:rFonts w:cs="Times New Roman"/>
        </w:rPr>
        <w:t>18</w:t>
      </w:r>
      <w:r w:rsidRPr="0081478A">
        <w:rPr>
          <w:rFonts w:cs="Times New Roman"/>
        </w:rPr>
        <w:t>层以上部分不参评。</w:t>
      </w:r>
    </w:p>
    <w:p w14:paraId="5537A60E" w14:textId="52EA5CF3" w:rsidR="00EB6053" w:rsidRPr="0081478A" w:rsidRDefault="00EB6053" w:rsidP="00EB6053">
      <w:pPr>
        <w:ind w:firstLine="420"/>
        <w:rPr>
          <w:rFonts w:cs="Times New Roman"/>
        </w:rPr>
      </w:pPr>
      <w:r>
        <w:rPr>
          <w:rFonts w:cs="Times New Roman" w:hint="eastAsia"/>
        </w:rPr>
        <w:t>2</w:t>
      </w:r>
      <w:r>
        <w:rPr>
          <w:rFonts w:cs="Times New Roman"/>
        </w:rPr>
        <w:t>.</w:t>
      </w:r>
      <w:r w:rsidRPr="00EB6053">
        <w:rPr>
          <w:rFonts w:hint="eastAsia"/>
        </w:rPr>
        <w:t xml:space="preserve"> </w:t>
      </w:r>
      <w:r w:rsidRPr="00EB6053">
        <w:rPr>
          <w:rFonts w:cs="Times New Roman" w:hint="eastAsia"/>
        </w:rPr>
        <w:t>建筑门窗气密性及施工节点等的气密性能比国家现行相关建筑节能设计标准规定的气密性标准增加</w:t>
      </w:r>
      <w:r w:rsidRPr="00EB6053">
        <w:rPr>
          <w:rFonts w:cs="Times New Roman" w:hint="eastAsia"/>
        </w:rPr>
        <w:t>1</w:t>
      </w:r>
      <w:r w:rsidRPr="00EB6053">
        <w:rPr>
          <w:rFonts w:cs="Times New Roman" w:hint="eastAsia"/>
        </w:rPr>
        <w:t>级</w:t>
      </w:r>
      <w:r>
        <w:rPr>
          <w:rFonts w:cs="Times New Roman" w:hint="eastAsia"/>
        </w:rPr>
        <w:t>。</w:t>
      </w:r>
    </w:p>
    <w:p w14:paraId="7FACD3C0" w14:textId="03FCA568" w:rsidR="00C50712" w:rsidRDefault="00EB6053" w:rsidP="00C50712">
      <w:pPr>
        <w:ind w:firstLine="420"/>
        <w:rPr>
          <w:rFonts w:cs="Times New Roman"/>
        </w:rPr>
      </w:pPr>
      <w:r>
        <w:rPr>
          <w:rFonts w:cs="Times New Roman"/>
        </w:rPr>
        <w:t>3.</w:t>
      </w:r>
      <w:r w:rsidR="00C50712" w:rsidRPr="0081478A">
        <w:rPr>
          <w:rFonts w:cs="Times New Roman"/>
        </w:rPr>
        <w:t>车库自然采光区域面积计算书应满足附录</w:t>
      </w:r>
      <w:r w:rsidR="00C50712" w:rsidRPr="0081478A">
        <w:rPr>
          <w:rFonts w:cs="Times New Roman"/>
        </w:rPr>
        <w:t>A.3</w:t>
      </w:r>
      <w:r w:rsidR="00C50712" w:rsidRPr="0081478A">
        <w:rPr>
          <w:rFonts w:cs="Times New Roman"/>
        </w:rPr>
        <w:t>的要求。</w:t>
      </w:r>
    </w:p>
    <w:p w14:paraId="0E623311" w14:textId="0EBF32F7" w:rsidR="00EB6053" w:rsidRPr="0081478A" w:rsidRDefault="00EB6053" w:rsidP="00C50712">
      <w:pPr>
        <w:ind w:firstLine="420"/>
        <w:rPr>
          <w:rFonts w:cs="Times New Roman"/>
        </w:rPr>
      </w:pPr>
      <w:r>
        <w:rPr>
          <w:rFonts w:cs="Times New Roman" w:hint="eastAsia"/>
        </w:rPr>
        <w:t>4</w:t>
      </w:r>
      <w:r>
        <w:rPr>
          <w:rFonts w:cs="Times New Roman"/>
        </w:rPr>
        <w:t>.</w:t>
      </w:r>
      <w:r w:rsidRPr="00C060F4">
        <w:rPr>
          <w:rFonts w:cs="Times New Roman"/>
          <w:bCs/>
        </w:rPr>
        <w:t>居住建筑</w:t>
      </w:r>
      <w:r w:rsidRPr="00C060F4">
        <w:rPr>
          <w:rFonts w:cs="Times New Roman" w:hint="eastAsia"/>
          <w:bCs/>
        </w:rPr>
        <w:t>体形</w:t>
      </w:r>
      <w:r w:rsidRPr="00C060F4">
        <w:rPr>
          <w:rFonts w:cs="Times New Roman"/>
          <w:bCs/>
        </w:rPr>
        <w:t>系数</w:t>
      </w:r>
      <w:r>
        <w:rPr>
          <w:rFonts w:ascii="宋体" w:hAnsi="宋体" w:cs="Times New Roman" w:hint="eastAsia"/>
          <w:bCs/>
        </w:rPr>
        <w:t>≤</w:t>
      </w:r>
      <w:r w:rsidRPr="00C060F4">
        <w:rPr>
          <w:rFonts w:cs="Times New Roman"/>
          <w:bCs/>
        </w:rPr>
        <w:t>0.4</w:t>
      </w:r>
      <w:r w:rsidRPr="00C060F4">
        <w:rPr>
          <w:rFonts w:cs="Times New Roman"/>
          <w:bCs/>
        </w:rPr>
        <w:t>，公共建筑体形系数</w:t>
      </w:r>
      <w:r>
        <w:rPr>
          <w:rFonts w:ascii="宋体" w:hAnsi="宋体" w:cs="Times New Roman" w:hint="eastAsia"/>
          <w:bCs/>
        </w:rPr>
        <w:t>≤</w:t>
      </w:r>
      <w:r w:rsidRPr="00C060F4">
        <w:rPr>
          <w:rFonts w:cs="Times New Roman"/>
          <w:bCs/>
        </w:rPr>
        <w:t>0.3</w:t>
      </w:r>
      <w:r>
        <w:rPr>
          <w:rFonts w:cs="Times New Roman" w:hint="eastAsia"/>
          <w:bCs/>
        </w:rPr>
        <w:t>。</w:t>
      </w:r>
    </w:p>
    <w:p w14:paraId="2746C63C" w14:textId="77777777" w:rsidR="00715ABB" w:rsidRPr="009252F8" w:rsidRDefault="00F44390" w:rsidP="009252F8">
      <w:pPr>
        <w:pStyle w:val="20"/>
      </w:pPr>
      <w:r w:rsidRPr="0081478A">
        <w:t>【评价方法】</w:t>
      </w:r>
    </w:p>
    <w:p w14:paraId="41201005" w14:textId="77777777" w:rsidR="00E905A0" w:rsidRPr="00530A11" w:rsidRDefault="00E905A0" w:rsidP="00E905A0">
      <w:pPr>
        <w:ind w:firstLine="420"/>
        <w:rPr>
          <w:rFonts w:cs="Times New Roman"/>
        </w:rPr>
      </w:pPr>
      <w:r w:rsidRPr="00530A11">
        <w:rPr>
          <w:rFonts w:cs="Times New Roman"/>
        </w:rPr>
        <w:t>预评价查阅相关设计文件、计算分析报告（主要功能房间外门窗或玻璃幕墙的可开启面积比例计算书、车库自然采光区域面积计算书、节能计算报告）；评价查阅相关竣工图、计算分析报告（主要功能房间外门窗或玻璃幕墙的可开启面积比例计算书、车库自然采光区域面积计算书、节能计算报告）及门窗、主要能耗房间气密性检测检验报告，组织现场查勘。</w:t>
      </w:r>
    </w:p>
    <w:p w14:paraId="7F25A23F" w14:textId="77777777" w:rsidR="00715ABB" w:rsidRPr="00E905A0" w:rsidRDefault="00715ABB">
      <w:pPr>
        <w:snapToGrid w:val="0"/>
        <w:ind w:firstLineChars="0" w:firstLine="0"/>
        <w:jc w:val="left"/>
        <w:rPr>
          <w:rFonts w:cs="Times New Roman"/>
          <w:b/>
          <w:bCs/>
          <w:szCs w:val="24"/>
        </w:rPr>
      </w:pPr>
    </w:p>
    <w:p w14:paraId="61CE5461" w14:textId="77777777" w:rsidR="00715ABB" w:rsidRPr="0081478A" w:rsidRDefault="00F44390" w:rsidP="001A7E3B">
      <w:pPr>
        <w:pStyle w:val="3"/>
      </w:pPr>
      <w:bookmarkStart w:id="153" w:name="_Toc22221585"/>
      <w:bookmarkStart w:id="154" w:name="_Toc35364752"/>
      <w:r w:rsidRPr="0081478A">
        <w:t xml:space="preserve">Ⅲ </w:t>
      </w:r>
      <w:r w:rsidRPr="0081478A">
        <w:t>节水与水资源利用</w:t>
      </w:r>
      <w:bookmarkEnd w:id="153"/>
      <w:bookmarkEnd w:id="154"/>
    </w:p>
    <w:p w14:paraId="4387F311" w14:textId="77777777" w:rsidR="00715ABB" w:rsidRPr="0081478A" w:rsidRDefault="00715ABB">
      <w:pPr>
        <w:snapToGrid w:val="0"/>
        <w:ind w:firstLineChars="0" w:firstLine="0"/>
        <w:jc w:val="left"/>
        <w:rPr>
          <w:rFonts w:cs="Times New Roman"/>
          <w:b/>
          <w:bCs/>
          <w:szCs w:val="24"/>
        </w:rPr>
      </w:pPr>
    </w:p>
    <w:p w14:paraId="424F93E6" w14:textId="77777777" w:rsidR="00C060F4" w:rsidRPr="00530A11" w:rsidRDefault="00C060F4" w:rsidP="00C060F4">
      <w:pPr>
        <w:pStyle w:val="4"/>
        <w:rPr>
          <w:rFonts w:cs="Times New Roman"/>
          <w:bCs w:val="0"/>
        </w:rPr>
      </w:pPr>
      <w:r w:rsidRPr="00530A11">
        <w:rPr>
          <w:rFonts w:cs="Times New Roman"/>
          <w:bCs w:val="0"/>
        </w:rPr>
        <w:t xml:space="preserve">7.2.11 </w:t>
      </w:r>
      <w:r w:rsidRPr="00530A11">
        <w:rPr>
          <w:rFonts w:cs="Times New Roman"/>
          <w:bCs w:val="0"/>
        </w:rPr>
        <w:t>使用较高用水效率等级的卫生器具，评价总分值为</w:t>
      </w:r>
      <w:r w:rsidRPr="00530A11">
        <w:rPr>
          <w:rFonts w:cs="Times New Roman"/>
          <w:bCs w:val="0"/>
        </w:rPr>
        <w:t>15</w:t>
      </w:r>
      <w:r w:rsidRPr="00530A11">
        <w:rPr>
          <w:rFonts w:cs="Times New Roman"/>
          <w:bCs w:val="0"/>
        </w:rPr>
        <w:t>分，并按下列规则评分：</w:t>
      </w:r>
    </w:p>
    <w:p w14:paraId="01E9BEB1" w14:textId="20AD9F73"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bookmarkStart w:id="155" w:name="_Hlk25162653"/>
      <w:r w:rsidRPr="00C060F4">
        <w:rPr>
          <w:rFonts w:ascii="Times New Roman" w:hAnsi="Times New Roman" w:cs="Times New Roman"/>
          <w:bCs/>
          <w:color w:val="auto"/>
        </w:rPr>
        <w:t>10</w:t>
      </w:r>
      <w:r w:rsidRPr="00C060F4">
        <w:rPr>
          <w:rFonts w:ascii="Times New Roman" w:hAnsi="Times New Roman" w:cs="Times New Roman" w:hint="eastAsia"/>
          <w:bCs/>
          <w:color w:val="auto"/>
        </w:rPr>
        <w:t>％以上卫生器具的用水效率等级达到</w:t>
      </w:r>
      <w:r w:rsidRPr="00C060F4">
        <w:rPr>
          <w:rFonts w:ascii="Times New Roman" w:hAnsi="Times New Roman" w:cs="Times New Roman"/>
          <w:bCs/>
          <w:color w:val="auto"/>
        </w:rPr>
        <w:t>1</w:t>
      </w:r>
      <w:r w:rsidRPr="00C060F4">
        <w:rPr>
          <w:rFonts w:ascii="Times New Roman" w:hAnsi="Times New Roman" w:cs="Times New Roman" w:hint="eastAsia"/>
          <w:bCs/>
          <w:color w:val="auto"/>
        </w:rPr>
        <w:t>级且其他达到</w:t>
      </w:r>
      <w:r w:rsidRPr="00C060F4">
        <w:rPr>
          <w:rFonts w:ascii="Times New Roman" w:hAnsi="Times New Roman" w:cs="Times New Roman"/>
          <w:bCs/>
          <w:color w:val="auto"/>
        </w:rPr>
        <w:t>2</w:t>
      </w:r>
      <w:r w:rsidRPr="00C060F4">
        <w:rPr>
          <w:rFonts w:ascii="Times New Roman" w:hAnsi="Times New Roman" w:cs="Times New Roman" w:hint="eastAsia"/>
          <w:bCs/>
          <w:color w:val="auto"/>
        </w:rPr>
        <w:t>级，得</w:t>
      </w:r>
      <w:r w:rsidRPr="00C060F4">
        <w:rPr>
          <w:rFonts w:ascii="Times New Roman" w:hAnsi="Times New Roman" w:cs="Times New Roman"/>
          <w:bCs/>
          <w:color w:val="auto"/>
        </w:rPr>
        <w:t>1</w:t>
      </w:r>
      <w:r w:rsidRPr="00C060F4">
        <w:rPr>
          <w:rFonts w:ascii="Times New Roman" w:hAnsi="Times New Roman" w:cs="Times New Roman" w:hint="eastAsia"/>
          <w:bCs/>
          <w:color w:val="auto"/>
        </w:rPr>
        <w:t>分，</w:t>
      </w:r>
      <w:r w:rsidRPr="00C060F4">
        <w:rPr>
          <w:rFonts w:ascii="Times New Roman" w:hAnsi="Times New Roman" w:cs="Times New Roman"/>
          <w:bCs/>
          <w:color w:val="auto"/>
        </w:rPr>
        <w:t>20</w:t>
      </w:r>
      <w:r w:rsidRPr="00C060F4">
        <w:rPr>
          <w:rFonts w:ascii="Times New Roman" w:hAnsi="Times New Roman" w:cs="Times New Roman" w:hint="eastAsia"/>
          <w:bCs/>
          <w:color w:val="auto"/>
        </w:rPr>
        <w:t>％以上卫生器具的用水效率等级达到</w:t>
      </w:r>
      <w:r w:rsidRPr="00C060F4">
        <w:rPr>
          <w:rFonts w:ascii="Times New Roman" w:hAnsi="Times New Roman" w:cs="Times New Roman"/>
          <w:bCs/>
          <w:color w:val="auto"/>
        </w:rPr>
        <w:t>1</w:t>
      </w:r>
      <w:r w:rsidRPr="00C060F4">
        <w:rPr>
          <w:rFonts w:ascii="Times New Roman" w:hAnsi="Times New Roman" w:cs="Times New Roman" w:hint="eastAsia"/>
          <w:bCs/>
          <w:color w:val="auto"/>
        </w:rPr>
        <w:t>级且其他达到</w:t>
      </w:r>
      <w:r w:rsidRPr="00C060F4">
        <w:rPr>
          <w:rFonts w:ascii="Times New Roman" w:hAnsi="Times New Roman" w:cs="Times New Roman"/>
          <w:bCs/>
          <w:color w:val="auto"/>
        </w:rPr>
        <w:t>2</w:t>
      </w:r>
      <w:r w:rsidRPr="00C060F4">
        <w:rPr>
          <w:rFonts w:ascii="Times New Roman" w:hAnsi="Times New Roman" w:cs="Times New Roman" w:hint="eastAsia"/>
          <w:bCs/>
          <w:color w:val="auto"/>
        </w:rPr>
        <w:t>级，得</w:t>
      </w:r>
      <w:r w:rsidRPr="00C060F4">
        <w:rPr>
          <w:rFonts w:ascii="Times New Roman" w:hAnsi="Times New Roman" w:cs="Times New Roman"/>
          <w:bCs/>
          <w:color w:val="auto"/>
        </w:rPr>
        <w:t>3</w:t>
      </w:r>
      <w:r w:rsidRPr="00C060F4">
        <w:rPr>
          <w:rFonts w:ascii="Times New Roman" w:hAnsi="Times New Roman" w:cs="Times New Roman" w:hint="eastAsia"/>
          <w:bCs/>
          <w:color w:val="auto"/>
        </w:rPr>
        <w:t>分，</w:t>
      </w:r>
      <w:r w:rsidRPr="00C060F4">
        <w:rPr>
          <w:rFonts w:ascii="Times New Roman" w:hAnsi="Times New Roman" w:cs="Times New Roman"/>
          <w:bCs/>
          <w:color w:val="auto"/>
        </w:rPr>
        <w:t>30</w:t>
      </w:r>
      <w:r w:rsidRPr="00C060F4">
        <w:rPr>
          <w:rFonts w:ascii="Times New Roman" w:hAnsi="Times New Roman" w:cs="Times New Roman" w:hint="eastAsia"/>
          <w:bCs/>
          <w:color w:val="auto"/>
        </w:rPr>
        <w:t>％以上卫生器具的用水效率等级达到</w:t>
      </w:r>
      <w:r w:rsidRPr="00C060F4">
        <w:rPr>
          <w:rFonts w:ascii="Times New Roman" w:hAnsi="Times New Roman" w:cs="Times New Roman"/>
          <w:bCs/>
          <w:color w:val="auto"/>
        </w:rPr>
        <w:t>1</w:t>
      </w:r>
      <w:r w:rsidRPr="00C060F4">
        <w:rPr>
          <w:rFonts w:ascii="Times New Roman" w:hAnsi="Times New Roman" w:cs="Times New Roman" w:hint="eastAsia"/>
          <w:bCs/>
          <w:color w:val="auto"/>
        </w:rPr>
        <w:t>级且其他达到</w:t>
      </w:r>
      <w:r w:rsidRPr="00C060F4">
        <w:rPr>
          <w:rFonts w:ascii="Times New Roman" w:hAnsi="Times New Roman" w:cs="Times New Roman"/>
          <w:bCs/>
          <w:color w:val="auto"/>
        </w:rPr>
        <w:t>2</w:t>
      </w:r>
      <w:r w:rsidRPr="00C060F4">
        <w:rPr>
          <w:rFonts w:ascii="Times New Roman" w:hAnsi="Times New Roman" w:cs="Times New Roman" w:hint="eastAsia"/>
          <w:bCs/>
          <w:color w:val="auto"/>
        </w:rPr>
        <w:t>级，得</w:t>
      </w:r>
      <w:r w:rsidRPr="00C060F4">
        <w:rPr>
          <w:rFonts w:ascii="Times New Roman" w:hAnsi="Times New Roman" w:cs="Times New Roman"/>
          <w:bCs/>
          <w:color w:val="auto"/>
        </w:rPr>
        <w:t>5</w:t>
      </w:r>
      <w:r w:rsidRPr="00C060F4">
        <w:rPr>
          <w:rFonts w:ascii="Times New Roman" w:hAnsi="Times New Roman" w:cs="Times New Roman" w:hint="eastAsia"/>
          <w:bCs/>
          <w:color w:val="auto"/>
        </w:rPr>
        <w:t>分；</w:t>
      </w:r>
      <w:r w:rsidRPr="00C060F4">
        <w:rPr>
          <w:rFonts w:ascii="Times New Roman" w:hAnsi="Times New Roman" w:cs="Times New Roman"/>
          <w:bCs/>
          <w:color w:val="auto"/>
        </w:rPr>
        <w:t>5</w:t>
      </w:r>
      <w:bookmarkEnd w:id="155"/>
      <w:r w:rsidRPr="00C060F4">
        <w:rPr>
          <w:rFonts w:ascii="Times New Roman" w:hAnsi="Times New Roman" w:cs="Times New Roman"/>
          <w:bCs/>
          <w:color w:val="auto"/>
        </w:rPr>
        <w:t>0</w:t>
      </w:r>
      <w:r w:rsidRPr="00C060F4">
        <w:rPr>
          <w:rFonts w:ascii="Times New Roman" w:hAnsi="Times New Roman" w:cs="Times New Roman" w:hint="eastAsia"/>
          <w:bCs/>
          <w:color w:val="auto"/>
        </w:rPr>
        <w:t>％以上卫生器具的用水效率等级达到</w:t>
      </w:r>
      <w:r w:rsidRPr="00C060F4">
        <w:rPr>
          <w:rFonts w:ascii="Times New Roman" w:hAnsi="Times New Roman" w:cs="Times New Roman"/>
          <w:bCs/>
          <w:color w:val="auto"/>
        </w:rPr>
        <w:t>1</w:t>
      </w:r>
      <w:r w:rsidRPr="00C060F4">
        <w:rPr>
          <w:rFonts w:ascii="Times New Roman" w:hAnsi="Times New Roman" w:cs="Times New Roman" w:hint="eastAsia"/>
          <w:bCs/>
          <w:color w:val="auto"/>
        </w:rPr>
        <w:t>级且其他达到</w:t>
      </w:r>
      <w:r w:rsidRPr="00C060F4">
        <w:rPr>
          <w:rFonts w:ascii="Times New Roman" w:hAnsi="Times New Roman" w:cs="Times New Roman"/>
          <w:bCs/>
          <w:color w:val="auto"/>
        </w:rPr>
        <w:t>2</w:t>
      </w:r>
      <w:r w:rsidRPr="00C060F4">
        <w:rPr>
          <w:rFonts w:ascii="Times New Roman" w:hAnsi="Times New Roman" w:cs="Times New Roman" w:hint="eastAsia"/>
          <w:bCs/>
          <w:color w:val="auto"/>
        </w:rPr>
        <w:t>级，得</w:t>
      </w:r>
      <w:r w:rsidRPr="00C060F4">
        <w:rPr>
          <w:rFonts w:ascii="Times New Roman" w:hAnsi="Times New Roman" w:cs="Times New Roman"/>
          <w:bCs/>
          <w:color w:val="auto"/>
        </w:rPr>
        <w:t>10</w:t>
      </w:r>
      <w:r w:rsidRPr="00C060F4">
        <w:rPr>
          <w:rFonts w:ascii="Times New Roman" w:hAnsi="Times New Roman" w:cs="Times New Roman" w:hint="eastAsia"/>
          <w:bCs/>
          <w:color w:val="auto"/>
        </w:rPr>
        <w:t>分。</w:t>
      </w:r>
    </w:p>
    <w:p w14:paraId="7F45417F" w14:textId="3FCAC715"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hint="eastAsia"/>
          <w:bCs/>
          <w:color w:val="auto"/>
        </w:rPr>
        <w:t>全部卫生器具的用水效率等级达到</w:t>
      </w:r>
      <w:r w:rsidRPr="00C060F4">
        <w:rPr>
          <w:rFonts w:ascii="Times New Roman" w:hAnsi="Times New Roman" w:cs="Times New Roman"/>
          <w:bCs/>
          <w:color w:val="auto"/>
        </w:rPr>
        <w:t>1</w:t>
      </w:r>
      <w:r w:rsidRPr="00C060F4">
        <w:rPr>
          <w:rFonts w:ascii="Times New Roman" w:hAnsi="Times New Roman" w:cs="Times New Roman" w:hint="eastAsia"/>
          <w:bCs/>
          <w:color w:val="auto"/>
        </w:rPr>
        <w:t>级，得</w:t>
      </w:r>
      <w:r w:rsidRPr="00C060F4">
        <w:rPr>
          <w:rFonts w:ascii="Times New Roman" w:hAnsi="Times New Roman" w:cs="Times New Roman"/>
          <w:bCs/>
          <w:color w:val="auto"/>
        </w:rPr>
        <w:t>15</w:t>
      </w:r>
      <w:r w:rsidRPr="00C060F4">
        <w:rPr>
          <w:rFonts w:ascii="Times New Roman" w:hAnsi="Times New Roman" w:cs="Times New Roman" w:hint="eastAsia"/>
          <w:bCs/>
          <w:color w:val="auto"/>
        </w:rPr>
        <w:t>分。</w:t>
      </w:r>
    </w:p>
    <w:p w14:paraId="61479D10" w14:textId="77777777" w:rsidR="00715ABB" w:rsidRPr="0081478A" w:rsidRDefault="00F44390" w:rsidP="009252F8">
      <w:pPr>
        <w:pStyle w:val="20"/>
      </w:pPr>
      <w:r w:rsidRPr="0081478A">
        <w:t>【条文说明】</w:t>
      </w:r>
    </w:p>
    <w:p w14:paraId="0535C6DD" w14:textId="77777777" w:rsidR="0052438D" w:rsidRPr="00530A11" w:rsidRDefault="0052438D" w:rsidP="0052438D">
      <w:pPr>
        <w:ind w:firstLine="420"/>
        <w:rPr>
          <w:szCs w:val="24"/>
        </w:rPr>
      </w:pPr>
      <w:r w:rsidRPr="00530A11">
        <w:t>本条适用于各类民用建筑的预评价、评价。</w:t>
      </w:r>
    </w:p>
    <w:p w14:paraId="7B1AC5C0"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w:t>
      </w:r>
      <w:r w:rsidRPr="00530A11">
        <w:rPr>
          <w:rFonts w:cs="Times New Roman" w:hint="eastAsia"/>
        </w:rPr>
        <w:lastRenderedPageBreak/>
        <w:t>部修改和补充。</w:t>
      </w:r>
      <w:r w:rsidRPr="00530A11">
        <w:rPr>
          <w:rFonts w:cs="Times New Roman"/>
        </w:rPr>
        <w:t>本条在国家标准</w:t>
      </w:r>
      <w:r w:rsidRPr="00530A11">
        <w:rPr>
          <w:rFonts w:cs="Times New Roman"/>
        </w:rPr>
        <w:t>2014</w:t>
      </w:r>
      <w:r w:rsidRPr="00530A11">
        <w:rPr>
          <w:rFonts w:cs="Times New Roman"/>
        </w:rPr>
        <w:t>年版的</w:t>
      </w:r>
      <w:r w:rsidRPr="00530A11">
        <w:rPr>
          <w:rFonts w:cs="Times New Roman"/>
          <w:kern w:val="44"/>
          <w:szCs w:val="24"/>
        </w:rPr>
        <w:t>第</w:t>
      </w:r>
      <w:r w:rsidRPr="00530A11">
        <w:rPr>
          <w:rFonts w:cs="Times New Roman"/>
          <w:kern w:val="44"/>
          <w:szCs w:val="24"/>
        </w:rPr>
        <w:t>6.2.6</w:t>
      </w:r>
      <w:r w:rsidRPr="00530A11">
        <w:rPr>
          <w:rFonts w:cs="Times New Roman"/>
          <w:kern w:val="44"/>
          <w:szCs w:val="24"/>
        </w:rPr>
        <w:t>条、</w:t>
      </w:r>
      <w:r w:rsidRPr="00530A11">
        <w:rPr>
          <w:rFonts w:cs="Times New Roman"/>
          <w:kern w:val="44"/>
          <w:szCs w:val="24"/>
        </w:rPr>
        <w:t>11.2.4</w:t>
      </w:r>
      <w:r w:rsidRPr="00530A11">
        <w:rPr>
          <w:rFonts w:cs="Times New Roman"/>
          <w:kern w:val="44"/>
          <w:szCs w:val="24"/>
        </w:rPr>
        <w:t>条</w:t>
      </w:r>
      <w:r w:rsidRPr="00530A11">
        <w:rPr>
          <w:rFonts w:cs="Times New Roman"/>
        </w:rPr>
        <w:t>，地方标准</w:t>
      </w:r>
      <w:r w:rsidRPr="00530A11">
        <w:rPr>
          <w:rFonts w:cs="Times New Roman"/>
        </w:rPr>
        <w:t>2014</w:t>
      </w:r>
      <w:r w:rsidRPr="00530A11">
        <w:rPr>
          <w:rFonts w:cs="Times New Roman"/>
        </w:rPr>
        <w:t>版第</w:t>
      </w:r>
      <w:r w:rsidRPr="00530A11">
        <w:rPr>
          <w:rFonts w:cs="Times New Roman"/>
        </w:rPr>
        <w:t>6.2.6</w:t>
      </w:r>
      <w:r w:rsidRPr="00530A11">
        <w:rPr>
          <w:rFonts w:cs="Times New Roman"/>
        </w:rPr>
        <w:t>条、</w:t>
      </w:r>
      <w:r w:rsidRPr="00530A11">
        <w:rPr>
          <w:rFonts w:cs="Times New Roman"/>
        </w:rPr>
        <w:t>11.2.2</w:t>
      </w:r>
      <w:r w:rsidRPr="00530A11">
        <w:rPr>
          <w:rFonts w:cs="Times New Roman"/>
        </w:rPr>
        <w:t>条的基础上发展而来。</w:t>
      </w:r>
    </w:p>
    <w:p w14:paraId="4D21632A" w14:textId="77777777" w:rsidR="0052438D" w:rsidRPr="00530A11" w:rsidRDefault="0052438D" w:rsidP="0052438D">
      <w:pPr>
        <w:ind w:firstLine="420"/>
        <w:rPr>
          <w:rFonts w:cs="Times New Roman"/>
        </w:rPr>
      </w:pPr>
      <w:r w:rsidRPr="00530A11">
        <w:rPr>
          <w:rFonts w:cs="Times New Roman"/>
        </w:rPr>
        <w:t>绿色建筑鼓励选用更高节水性能的节水器具。目前，我国已对大部分用水器具的用水效率制定了标准，如：现行国家标准《水嘴用水效率限定值及用水效率等级》</w:t>
      </w:r>
      <w:r w:rsidRPr="00530A11">
        <w:rPr>
          <w:rFonts w:cs="Times New Roman"/>
        </w:rPr>
        <w:t>GB 25501</w:t>
      </w:r>
      <w:r w:rsidRPr="00530A11">
        <w:rPr>
          <w:rFonts w:cs="Times New Roman"/>
        </w:rPr>
        <w:t>、《坐便器水效限定值及水效等级》</w:t>
      </w:r>
      <w:r w:rsidRPr="00530A11">
        <w:rPr>
          <w:rFonts w:cs="Times New Roman"/>
        </w:rPr>
        <w:t>GB 25502</w:t>
      </w:r>
      <w:r w:rsidRPr="00530A11">
        <w:rPr>
          <w:rFonts w:cs="Times New Roman"/>
        </w:rPr>
        <w:t>，《小便器用水效率限定值及用水效率等级》</w:t>
      </w:r>
      <w:r w:rsidRPr="00530A11">
        <w:rPr>
          <w:rFonts w:cs="Times New Roman"/>
        </w:rPr>
        <w:t>GB 28377</w:t>
      </w:r>
      <w:r w:rsidRPr="00530A11">
        <w:rPr>
          <w:rFonts w:cs="Times New Roman"/>
        </w:rPr>
        <w:t>、《淋浴器用水效率限定值及用水效率等级》</w:t>
      </w:r>
      <w:r w:rsidRPr="00530A11">
        <w:rPr>
          <w:rFonts w:cs="Times New Roman"/>
        </w:rPr>
        <w:t>GB 28378</w:t>
      </w:r>
      <w:r w:rsidRPr="00530A11">
        <w:rPr>
          <w:rFonts w:cs="Times New Roman"/>
        </w:rPr>
        <w:t>、《便器冲洗阀用水效率限定值及用水效率等级》</w:t>
      </w:r>
      <w:r w:rsidRPr="00530A11">
        <w:rPr>
          <w:rFonts w:cs="Times New Roman"/>
        </w:rPr>
        <w:t>GB 28379</w:t>
      </w:r>
      <w:r w:rsidRPr="00530A11">
        <w:rPr>
          <w:rFonts w:cs="Times New Roman"/>
        </w:rPr>
        <w:t>、《蹲便器用水效率限定值及用水效率等级》</w:t>
      </w:r>
      <w:r w:rsidRPr="00530A11">
        <w:rPr>
          <w:rFonts w:cs="Times New Roman"/>
        </w:rPr>
        <w:t>GB 30717</w:t>
      </w:r>
      <w:r w:rsidRPr="00530A11">
        <w:rPr>
          <w:rFonts w:cs="Times New Roman"/>
        </w:rPr>
        <w:t>等。</w:t>
      </w:r>
    </w:p>
    <w:p w14:paraId="14E62B63" w14:textId="77777777" w:rsidR="0052438D" w:rsidRPr="00530A11" w:rsidRDefault="0052438D" w:rsidP="0052438D">
      <w:pPr>
        <w:ind w:firstLine="420"/>
        <w:rPr>
          <w:rFonts w:cs="Times New Roman"/>
        </w:rPr>
      </w:pPr>
      <w:r w:rsidRPr="00530A11">
        <w:rPr>
          <w:rFonts w:cs="Times New Roman"/>
        </w:rPr>
        <w:t>在设计文件中要注明对卫生器具的节水要求和相应的参数或标准。当存在不同用水效率等级的卫生器具时，按满足最低等级的要求得分。</w:t>
      </w:r>
    </w:p>
    <w:p w14:paraId="5D1B225F" w14:textId="77777777" w:rsidR="0052438D" w:rsidRPr="00530A11" w:rsidRDefault="0052438D" w:rsidP="0052438D">
      <w:pPr>
        <w:ind w:firstLine="420"/>
        <w:rPr>
          <w:rFonts w:cs="Times New Roman"/>
        </w:rPr>
      </w:pPr>
      <w:bookmarkStart w:id="156" w:name="_Hlk25523967"/>
      <w:r w:rsidRPr="00530A11">
        <w:rPr>
          <w:rFonts w:cs="Times New Roman"/>
        </w:rPr>
        <w:t>有用水效率相关标准的卫生器具全部采用达到</w:t>
      </w:r>
      <w:r w:rsidRPr="00530A11">
        <w:rPr>
          <w:rFonts w:cs="Times New Roman"/>
        </w:rPr>
        <w:t>1</w:t>
      </w:r>
      <w:r w:rsidRPr="00530A11">
        <w:rPr>
          <w:rFonts w:cs="Times New Roman"/>
        </w:rPr>
        <w:t>级用水效率等级的产品时，方可认定第</w:t>
      </w:r>
      <w:r w:rsidRPr="00530A11">
        <w:rPr>
          <w:rFonts w:cs="Times New Roman"/>
        </w:rPr>
        <w:t>2</w:t>
      </w:r>
      <w:r w:rsidRPr="00530A11">
        <w:rPr>
          <w:rFonts w:cs="Times New Roman"/>
        </w:rPr>
        <w:t>款得分；有用水效率相关标准的卫生器具中，</w:t>
      </w:r>
      <w:r w:rsidRPr="00530A11">
        <w:rPr>
          <w:rFonts w:cs="Times New Roman"/>
        </w:rPr>
        <w:t>10</w:t>
      </w:r>
      <w:r w:rsidRPr="00530A11">
        <w:rPr>
          <w:rFonts w:cs="Times New Roman" w:hint="eastAsia"/>
        </w:rPr>
        <w:t>％以上卫生器具的用水效率等级达到</w:t>
      </w:r>
      <w:r w:rsidRPr="00530A11">
        <w:rPr>
          <w:rFonts w:cs="Times New Roman"/>
        </w:rPr>
        <w:t>1</w:t>
      </w:r>
      <w:r w:rsidRPr="00530A11">
        <w:rPr>
          <w:rFonts w:cs="Times New Roman" w:hint="eastAsia"/>
        </w:rPr>
        <w:t>级且其他达到</w:t>
      </w:r>
      <w:r w:rsidRPr="00530A11">
        <w:rPr>
          <w:rFonts w:cs="Times New Roman"/>
        </w:rPr>
        <w:t>2</w:t>
      </w:r>
      <w:r w:rsidRPr="00530A11">
        <w:rPr>
          <w:rFonts w:cs="Times New Roman" w:hint="eastAsia"/>
        </w:rPr>
        <w:t>级，得</w:t>
      </w:r>
      <w:r w:rsidRPr="00530A11">
        <w:rPr>
          <w:rFonts w:cs="Times New Roman"/>
        </w:rPr>
        <w:t>1</w:t>
      </w:r>
      <w:r w:rsidRPr="00530A11">
        <w:rPr>
          <w:rFonts w:cs="Times New Roman" w:hint="eastAsia"/>
        </w:rPr>
        <w:t>分，</w:t>
      </w:r>
      <w:r w:rsidRPr="00530A11">
        <w:rPr>
          <w:rFonts w:cs="Times New Roman"/>
        </w:rPr>
        <w:t>2</w:t>
      </w:r>
      <w:r w:rsidRPr="00530A11">
        <w:rPr>
          <w:rFonts w:cs="Times New Roman" w:hint="eastAsia"/>
        </w:rPr>
        <w:t>0</w:t>
      </w:r>
      <w:r w:rsidRPr="00530A11">
        <w:rPr>
          <w:rFonts w:cs="Times New Roman" w:hint="eastAsia"/>
        </w:rPr>
        <w:t>％以上卫生器具的用水效率等级达到</w:t>
      </w:r>
      <w:r w:rsidRPr="00530A11">
        <w:rPr>
          <w:rFonts w:cs="Times New Roman" w:hint="eastAsia"/>
        </w:rPr>
        <w:t>1</w:t>
      </w:r>
      <w:r w:rsidRPr="00530A11">
        <w:rPr>
          <w:rFonts w:cs="Times New Roman" w:hint="eastAsia"/>
        </w:rPr>
        <w:t>级且其他达到</w:t>
      </w:r>
      <w:r w:rsidRPr="00530A11">
        <w:rPr>
          <w:rFonts w:cs="Times New Roman" w:hint="eastAsia"/>
        </w:rPr>
        <w:t>2</w:t>
      </w:r>
      <w:r w:rsidRPr="00530A11">
        <w:rPr>
          <w:rFonts w:cs="Times New Roman" w:hint="eastAsia"/>
        </w:rPr>
        <w:t>级，得</w:t>
      </w:r>
      <w:r w:rsidRPr="00530A11">
        <w:rPr>
          <w:rFonts w:cs="Times New Roman"/>
        </w:rPr>
        <w:t>3</w:t>
      </w:r>
      <w:r w:rsidRPr="00530A11">
        <w:rPr>
          <w:rFonts w:cs="Times New Roman" w:hint="eastAsia"/>
        </w:rPr>
        <w:t>分，</w:t>
      </w:r>
      <w:r w:rsidRPr="00530A11">
        <w:rPr>
          <w:rFonts w:cs="Times New Roman"/>
        </w:rPr>
        <w:t>30</w:t>
      </w:r>
      <w:r w:rsidRPr="00530A11">
        <w:rPr>
          <w:rFonts w:cs="Times New Roman"/>
        </w:rPr>
        <w:t>％以上数量的器具采用达到用水效率等级</w:t>
      </w:r>
      <w:r w:rsidRPr="00530A11">
        <w:rPr>
          <w:rFonts w:cs="Times New Roman"/>
        </w:rPr>
        <w:t>1</w:t>
      </w:r>
      <w:r w:rsidRPr="00530A11">
        <w:rPr>
          <w:rFonts w:cs="Times New Roman"/>
        </w:rPr>
        <w:t>级的产品且其他达到</w:t>
      </w:r>
      <w:r w:rsidRPr="00530A11">
        <w:rPr>
          <w:rFonts w:cs="Times New Roman"/>
        </w:rPr>
        <w:t>2</w:t>
      </w:r>
      <w:r w:rsidRPr="00530A11">
        <w:rPr>
          <w:rFonts w:cs="Times New Roman"/>
        </w:rPr>
        <w:t>级时，得</w:t>
      </w:r>
      <w:r w:rsidRPr="00530A11">
        <w:rPr>
          <w:rFonts w:cs="Times New Roman"/>
        </w:rPr>
        <w:t>5</w:t>
      </w:r>
      <w:r w:rsidRPr="00530A11">
        <w:rPr>
          <w:rFonts w:cs="Times New Roman"/>
        </w:rPr>
        <w:t>分，</w:t>
      </w:r>
      <w:r w:rsidRPr="00530A11">
        <w:rPr>
          <w:rFonts w:cs="Times New Roman"/>
        </w:rPr>
        <w:t>50</w:t>
      </w:r>
      <w:r w:rsidRPr="00530A11">
        <w:rPr>
          <w:rFonts w:cs="Times New Roman"/>
        </w:rPr>
        <w:t>％以上卫生器具的用水效率等级达到</w:t>
      </w:r>
      <w:r w:rsidRPr="00530A11">
        <w:rPr>
          <w:rFonts w:cs="Times New Roman"/>
        </w:rPr>
        <w:t>1</w:t>
      </w:r>
      <w:r w:rsidRPr="00530A11">
        <w:rPr>
          <w:rFonts w:cs="Times New Roman"/>
        </w:rPr>
        <w:t>级且其他达到</w:t>
      </w:r>
      <w:r w:rsidRPr="00530A11">
        <w:rPr>
          <w:rFonts w:cs="Times New Roman"/>
        </w:rPr>
        <w:t>2</w:t>
      </w:r>
      <w:r w:rsidRPr="00530A11">
        <w:rPr>
          <w:rFonts w:cs="Times New Roman"/>
        </w:rPr>
        <w:t>级，得</w:t>
      </w:r>
      <w:r w:rsidRPr="00530A11">
        <w:rPr>
          <w:rFonts w:cs="Times New Roman"/>
        </w:rPr>
        <w:t>10</w:t>
      </w:r>
      <w:r w:rsidRPr="00530A11">
        <w:rPr>
          <w:rFonts w:cs="Times New Roman"/>
        </w:rPr>
        <w:t>分。今后当其他用水器具出台了相应标准时，按同样的原则进行要求。</w:t>
      </w:r>
    </w:p>
    <w:bookmarkEnd w:id="156"/>
    <w:p w14:paraId="0FB38EE5" w14:textId="77777777" w:rsidR="00EF512F" w:rsidRPr="009252F8" w:rsidRDefault="00EF512F" w:rsidP="009252F8">
      <w:pPr>
        <w:pStyle w:val="20"/>
      </w:pPr>
      <w:r w:rsidRPr="0081478A">
        <w:t>【评价要点】</w:t>
      </w:r>
    </w:p>
    <w:p w14:paraId="767DB20B" w14:textId="79B83615" w:rsidR="00EF512F" w:rsidRPr="0081478A" w:rsidRDefault="00EF512F" w:rsidP="00A54046">
      <w:pPr>
        <w:ind w:firstLine="420"/>
        <w:rPr>
          <w:rFonts w:cs="Times New Roman"/>
        </w:rPr>
      </w:pPr>
      <w:r w:rsidRPr="0081478A">
        <w:rPr>
          <w:rFonts w:cs="Times New Roman"/>
        </w:rPr>
        <w:t>主要涉及标准：《水嘴用水效率限定值及用水效率等级》</w:t>
      </w:r>
      <w:r w:rsidRPr="0081478A">
        <w:rPr>
          <w:rFonts w:cs="Times New Roman"/>
        </w:rPr>
        <w:t>GB</w:t>
      </w:r>
      <w:r w:rsidR="00EB6053">
        <w:rPr>
          <w:rFonts w:cs="Times New Roman"/>
        </w:rPr>
        <w:t xml:space="preserve"> </w:t>
      </w:r>
      <w:r w:rsidRPr="0081478A">
        <w:rPr>
          <w:rFonts w:cs="Times New Roman"/>
        </w:rPr>
        <w:t>25501</w:t>
      </w:r>
      <w:r w:rsidRPr="0081478A">
        <w:rPr>
          <w:rFonts w:cs="Times New Roman"/>
        </w:rPr>
        <w:t>、《坐便器用水效率限定值及用水效率等级》</w:t>
      </w:r>
      <w:r w:rsidRPr="0081478A">
        <w:rPr>
          <w:rFonts w:cs="Times New Roman"/>
        </w:rPr>
        <w:t>GB</w:t>
      </w:r>
      <w:r w:rsidR="00EB6053">
        <w:rPr>
          <w:rFonts w:cs="Times New Roman"/>
        </w:rPr>
        <w:t xml:space="preserve"> </w:t>
      </w:r>
      <w:r w:rsidRPr="0081478A">
        <w:rPr>
          <w:rFonts w:cs="Times New Roman"/>
        </w:rPr>
        <w:t>25502</w:t>
      </w:r>
      <w:r w:rsidRPr="0081478A">
        <w:rPr>
          <w:rFonts w:cs="Times New Roman"/>
        </w:rPr>
        <w:t>、《小便器用水效率限定值及用水效率等级》</w:t>
      </w:r>
      <w:r w:rsidRPr="0081478A">
        <w:rPr>
          <w:rFonts w:cs="Times New Roman"/>
        </w:rPr>
        <w:t>GB</w:t>
      </w:r>
      <w:r w:rsidR="00EB6053">
        <w:rPr>
          <w:rFonts w:cs="Times New Roman"/>
        </w:rPr>
        <w:t xml:space="preserve"> </w:t>
      </w:r>
      <w:r w:rsidRPr="0081478A">
        <w:rPr>
          <w:rFonts w:cs="Times New Roman"/>
        </w:rPr>
        <w:t>28377</w:t>
      </w:r>
      <w:r w:rsidRPr="0081478A">
        <w:rPr>
          <w:rFonts w:cs="Times New Roman"/>
        </w:rPr>
        <w:t>、《淋浴器用水效率限定值及用水效率等级》</w:t>
      </w:r>
      <w:r w:rsidRPr="0081478A">
        <w:rPr>
          <w:rFonts w:cs="Times New Roman"/>
        </w:rPr>
        <w:t>GB</w:t>
      </w:r>
      <w:r w:rsidR="00EB6053">
        <w:rPr>
          <w:rFonts w:cs="Times New Roman"/>
        </w:rPr>
        <w:t xml:space="preserve"> </w:t>
      </w:r>
      <w:r w:rsidRPr="0081478A">
        <w:rPr>
          <w:rFonts w:cs="Times New Roman"/>
        </w:rPr>
        <w:t>28378</w:t>
      </w:r>
      <w:r w:rsidRPr="0081478A">
        <w:rPr>
          <w:rFonts w:cs="Times New Roman"/>
        </w:rPr>
        <w:t>、《便器冲洗阀用水效率限定值及用水效率等级》</w:t>
      </w:r>
      <w:r w:rsidRPr="0081478A">
        <w:rPr>
          <w:rFonts w:cs="Times New Roman"/>
        </w:rPr>
        <w:t>GB</w:t>
      </w:r>
      <w:r w:rsidR="00EB6053">
        <w:rPr>
          <w:rFonts w:cs="Times New Roman"/>
        </w:rPr>
        <w:t xml:space="preserve"> </w:t>
      </w:r>
      <w:r w:rsidRPr="0081478A">
        <w:rPr>
          <w:rFonts w:cs="Times New Roman"/>
        </w:rPr>
        <w:t>28379</w:t>
      </w:r>
      <w:r w:rsidRPr="0081478A">
        <w:rPr>
          <w:rFonts w:cs="Times New Roman"/>
        </w:rPr>
        <w:t>。在设计文件中要注明对卫生器具的节水要求和相应的参数或标准。卫生器具有用水效率相关标准的应全部采用，方可认定达标，没有的可暂时不参评。</w:t>
      </w:r>
    </w:p>
    <w:p w14:paraId="4F243B71" w14:textId="77777777" w:rsidR="00715ABB" w:rsidRPr="009252F8" w:rsidRDefault="00F44390" w:rsidP="009252F8">
      <w:pPr>
        <w:pStyle w:val="20"/>
      </w:pPr>
      <w:r w:rsidRPr="0081478A">
        <w:t>【评价方法】</w:t>
      </w:r>
    </w:p>
    <w:p w14:paraId="08CBF38E"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预评价查阅相关设计文件、产品说明书(含相关节水器具的性能参数要求)；评价查阅相关竣工图纸、设计说明、产品说明书、产品节水性能检测报告。</w:t>
      </w:r>
    </w:p>
    <w:p w14:paraId="4B6F57F2" w14:textId="77777777" w:rsidR="00715ABB" w:rsidRPr="00E905A0" w:rsidRDefault="00715ABB">
      <w:pPr>
        <w:snapToGrid w:val="0"/>
        <w:ind w:firstLineChars="0" w:firstLine="0"/>
        <w:jc w:val="left"/>
        <w:rPr>
          <w:rFonts w:cs="Times New Roman"/>
          <w:b/>
          <w:bCs/>
          <w:szCs w:val="24"/>
        </w:rPr>
      </w:pPr>
    </w:p>
    <w:p w14:paraId="50F8FD31" w14:textId="77777777" w:rsidR="00C060F4" w:rsidRPr="00530A11" w:rsidRDefault="00C060F4" w:rsidP="00C060F4">
      <w:pPr>
        <w:pStyle w:val="4"/>
        <w:rPr>
          <w:rFonts w:cs="Times New Roman"/>
          <w:bCs w:val="0"/>
        </w:rPr>
      </w:pPr>
      <w:r w:rsidRPr="00530A11">
        <w:rPr>
          <w:rFonts w:cs="Times New Roman"/>
          <w:bCs w:val="0"/>
        </w:rPr>
        <w:t xml:space="preserve">7.2.12 </w:t>
      </w:r>
      <w:r w:rsidRPr="00530A11">
        <w:rPr>
          <w:rFonts w:cs="Times New Roman"/>
          <w:bCs w:val="0"/>
        </w:rPr>
        <w:t>绿化灌溉及空调冷却水系统采用节水设备或技术，评价总分值为</w:t>
      </w:r>
      <w:r w:rsidRPr="00530A11">
        <w:rPr>
          <w:rFonts w:cs="Times New Roman"/>
          <w:bCs w:val="0"/>
        </w:rPr>
        <w:t>12</w:t>
      </w:r>
      <w:r w:rsidRPr="00530A11">
        <w:rPr>
          <w:rFonts w:cs="Times New Roman"/>
          <w:bCs w:val="0"/>
        </w:rPr>
        <w:t>分，并按下列规则分别评分并累计：</w:t>
      </w:r>
    </w:p>
    <w:p w14:paraId="7B162A26"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绿化灌溉采用节水设备或技术，并按下列规则评分：</w:t>
      </w:r>
    </w:p>
    <w:p w14:paraId="1C5BDC7B" w14:textId="77777777"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1</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采用节水灌溉系统，得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0B262B16" w14:textId="676E188E"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2</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在采用节水灌溉系统的基础上，设置土壤湿度感应器</w:t>
      </w:r>
      <w:r w:rsidR="005C1129">
        <w:rPr>
          <w:rFonts w:ascii="Times New Roman" w:hAnsi="Times New Roman" w:cs="Times New Roman" w:hint="eastAsia"/>
          <w:bCs/>
          <w:color w:val="auto"/>
        </w:rPr>
        <w:t>、</w:t>
      </w:r>
      <w:r w:rsidRPr="00C060F4">
        <w:rPr>
          <w:rFonts w:ascii="Times New Roman" w:hAnsi="Times New Roman" w:cs="Times New Roman"/>
          <w:bCs/>
          <w:color w:val="auto"/>
        </w:rPr>
        <w:t>雨天自动控制装置等节水</w:t>
      </w:r>
      <w:r w:rsidRPr="00C060F4">
        <w:rPr>
          <w:rFonts w:ascii="Times New Roman" w:hAnsi="Times New Roman" w:cs="Times New Roman"/>
          <w:bCs/>
          <w:color w:val="auto"/>
        </w:rPr>
        <w:lastRenderedPageBreak/>
        <w:t>控制措施，或种植无须永久灌溉植物，得</w:t>
      </w:r>
      <w:r w:rsidRPr="00C060F4">
        <w:rPr>
          <w:rFonts w:ascii="Times New Roman" w:hAnsi="Times New Roman" w:cs="Times New Roman"/>
          <w:bCs/>
          <w:color w:val="auto"/>
        </w:rPr>
        <w:t>6</w:t>
      </w:r>
      <w:r w:rsidRPr="00C060F4">
        <w:rPr>
          <w:rFonts w:ascii="Times New Roman" w:hAnsi="Times New Roman" w:cs="Times New Roman"/>
          <w:bCs/>
          <w:color w:val="auto"/>
        </w:rPr>
        <w:t>分。</w:t>
      </w:r>
    </w:p>
    <w:p w14:paraId="524F9AA5"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空调冷却水系统采用节水设备或技术，并按下列规则评分：</w:t>
      </w:r>
    </w:p>
    <w:p w14:paraId="52EC99DC" w14:textId="77777777"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1</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采用无蒸发耗水量的冷却技术，</w:t>
      </w:r>
      <w:r w:rsidRPr="00C060F4">
        <w:rPr>
          <w:rFonts w:ascii="Times New Roman" w:hAnsi="Times New Roman" w:cs="Times New Roman" w:hint="eastAsia"/>
          <w:bCs/>
          <w:color w:val="auto"/>
        </w:rPr>
        <w:t>且设备能效等级达到一级</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w:t>
      </w:r>
    </w:p>
    <w:p w14:paraId="59D778AB" w14:textId="77777777" w:rsidR="00C060F4" w:rsidRPr="00C060F4" w:rsidRDefault="00C060F4" w:rsidP="00C060F4">
      <w:pPr>
        <w:pStyle w:val="20"/>
        <w:ind w:firstLineChars="200" w:firstLine="422"/>
        <w:rPr>
          <w:rFonts w:cs="Times New Roman"/>
          <w:bCs/>
        </w:rPr>
      </w:pPr>
      <w:r w:rsidRPr="00C060F4">
        <w:rPr>
          <w:rFonts w:cs="Times New Roman"/>
          <w:bCs/>
        </w:rPr>
        <w:t>2</w:t>
      </w:r>
      <w:r w:rsidRPr="00C060F4">
        <w:rPr>
          <w:rFonts w:cs="Times New Roman" w:hint="eastAsia"/>
          <w:bCs/>
        </w:rPr>
        <w:t>）</w:t>
      </w:r>
      <w:r w:rsidRPr="00C060F4">
        <w:rPr>
          <w:rFonts w:cs="Times New Roman"/>
          <w:bCs/>
        </w:rPr>
        <w:t xml:space="preserve"> </w:t>
      </w:r>
      <w:r w:rsidRPr="00C060F4">
        <w:rPr>
          <w:rFonts w:cs="Times New Roman" w:hint="eastAsia"/>
          <w:bCs/>
        </w:rPr>
        <w:t>合理充分利用空调冷凝水，降低空调主机冷凝器的冷却介质温度。得</w:t>
      </w:r>
      <w:r w:rsidRPr="00C060F4">
        <w:rPr>
          <w:rFonts w:cs="Times New Roman"/>
          <w:bCs/>
        </w:rPr>
        <w:t>3</w:t>
      </w:r>
      <w:r w:rsidRPr="00C060F4">
        <w:rPr>
          <w:rFonts w:cs="Times New Roman" w:hint="eastAsia"/>
          <w:bCs/>
        </w:rPr>
        <w:t>分。</w:t>
      </w:r>
    </w:p>
    <w:p w14:paraId="520B2797" w14:textId="77777777" w:rsidR="00715ABB" w:rsidRPr="0081478A" w:rsidRDefault="00F44390" w:rsidP="009252F8">
      <w:pPr>
        <w:pStyle w:val="20"/>
      </w:pPr>
      <w:r w:rsidRPr="0081478A">
        <w:t>【条文说明】</w:t>
      </w:r>
    </w:p>
    <w:p w14:paraId="05538CFA" w14:textId="77777777" w:rsidR="0052438D" w:rsidRPr="00530A11" w:rsidRDefault="0052438D" w:rsidP="0052438D">
      <w:pPr>
        <w:ind w:firstLine="420"/>
        <w:rPr>
          <w:szCs w:val="24"/>
        </w:rPr>
      </w:pPr>
      <w:r w:rsidRPr="00530A11">
        <w:t>本条适用于各类民用建筑的预评价、评价。不设置空调设备或系统的项目，第</w:t>
      </w:r>
      <w:r w:rsidRPr="00530A11">
        <w:t>2</w:t>
      </w:r>
      <w:r w:rsidRPr="00530A11">
        <w:t>款可直接得分。</w:t>
      </w:r>
    </w:p>
    <w:p w14:paraId="7153FEBA"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6.2.7</w:t>
      </w:r>
      <w:r w:rsidRPr="00530A11">
        <w:rPr>
          <w:rFonts w:cs="Times New Roman"/>
        </w:rPr>
        <w:t>条和第</w:t>
      </w:r>
      <w:r w:rsidRPr="00530A11">
        <w:rPr>
          <w:rFonts w:cs="Times New Roman"/>
        </w:rPr>
        <w:t>6.2.8</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6.2.7</w:t>
      </w:r>
      <w:r w:rsidRPr="00530A11">
        <w:rPr>
          <w:rFonts w:cs="Times New Roman"/>
        </w:rPr>
        <w:t>条和第</w:t>
      </w:r>
      <w:r w:rsidRPr="00530A11">
        <w:rPr>
          <w:rFonts w:cs="Times New Roman"/>
        </w:rPr>
        <w:t>6.2.8</w:t>
      </w:r>
      <w:r w:rsidRPr="00530A11">
        <w:rPr>
          <w:rFonts w:cs="Times New Roman"/>
        </w:rPr>
        <w:t>条的基础上发展而来。</w:t>
      </w:r>
    </w:p>
    <w:p w14:paraId="3E601058"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1</w:t>
      </w:r>
      <w:r w:rsidRPr="00530A11">
        <w:rPr>
          <w:rFonts w:cs="Times New Roman"/>
        </w:rPr>
        <w:t>款，绿化灌溉应采用喷灌、微灌等节水灌溉方式，同时还可采用土壤湿度传感器或雨天自动关闭等节水控制方式。</w:t>
      </w:r>
    </w:p>
    <w:p w14:paraId="065FD3AB" w14:textId="77777777" w:rsidR="0052438D" w:rsidRPr="00530A11" w:rsidRDefault="0052438D" w:rsidP="0052438D">
      <w:pPr>
        <w:ind w:firstLine="420"/>
        <w:rPr>
          <w:rFonts w:cs="Times New Roman"/>
        </w:rPr>
      </w:pPr>
      <w:r w:rsidRPr="00530A11">
        <w:rPr>
          <w:rFonts w:cs="Times New Roman"/>
        </w:rPr>
        <w:t>采用再生水灌溉时，因水中微生物在空气中极易传播，应避免采用喷灌方式。微灌包括滴灌、微喷灌、涌流灌和地下渗灌。</w:t>
      </w:r>
    </w:p>
    <w:p w14:paraId="2547F67A" w14:textId="77777777" w:rsidR="0052438D" w:rsidRPr="00530A11" w:rsidRDefault="0052438D" w:rsidP="0052438D">
      <w:pPr>
        <w:ind w:firstLine="420"/>
        <w:rPr>
          <w:rFonts w:cs="Times New Roman"/>
        </w:rPr>
      </w:pPr>
      <w:r w:rsidRPr="00530A11">
        <w:rPr>
          <w:rFonts w:cs="Times New Roman"/>
        </w:rPr>
        <w:t>无须永久灌溉植物是指适应当地气候，仅依靠自然降雨即可维持良好的生长状态的植物，或在干旱时体内水分丧失，全株呈风干状态而不死亡的植物。无须永久灌溉植物仅在生根时需进行人工灌溉，因而不需设置永久的灌溉系统，但临时灌溉系统应在安装后一年之内移走。</w:t>
      </w:r>
    </w:p>
    <w:p w14:paraId="54C7785E" w14:textId="77777777" w:rsidR="0052438D" w:rsidRPr="00530A11" w:rsidRDefault="0052438D" w:rsidP="0052438D">
      <w:pPr>
        <w:ind w:firstLine="420"/>
        <w:rPr>
          <w:rFonts w:cs="Times New Roman"/>
        </w:rPr>
      </w:pPr>
      <w:r w:rsidRPr="00530A11">
        <w:rPr>
          <w:rFonts w:cs="Times New Roman"/>
        </w:rPr>
        <w:t>当项目</w:t>
      </w:r>
      <w:r w:rsidRPr="00530A11">
        <w:rPr>
          <w:rFonts w:cs="Times New Roman"/>
        </w:rPr>
        <w:t>90</w:t>
      </w:r>
      <w:r w:rsidRPr="00530A11">
        <w:rPr>
          <w:rFonts w:cs="Times New Roman"/>
        </w:rPr>
        <w:t>％以上的绿化面积采用了高效节水灌溉方式或节水控制措施时，方可判定按</w:t>
      </w:r>
      <w:r w:rsidRPr="00530A11">
        <w:rPr>
          <w:rFonts w:cs="Times New Roman"/>
        </w:rPr>
        <w:t>“</w:t>
      </w:r>
      <w:r w:rsidRPr="00530A11">
        <w:rPr>
          <w:rFonts w:cs="Times New Roman"/>
        </w:rPr>
        <w:t>采用节水灌溉系统</w:t>
      </w:r>
      <w:r w:rsidRPr="00530A11">
        <w:rPr>
          <w:rFonts w:cs="Times New Roman"/>
        </w:rPr>
        <w:t>”</w:t>
      </w:r>
      <w:r w:rsidRPr="00530A11">
        <w:rPr>
          <w:rFonts w:cs="Times New Roman"/>
        </w:rPr>
        <w:t>得分；采用移动喷灌头本条不得分。当</w:t>
      </w:r>
      <w:r w:rsidRPr="00530A11">
        <w:rPr>
          <w:rFonts w:cs="Times New Roman"/>
        </w:rPr>
        <w:t>50</w:t>
      </w:r>
      <w:r w:rsidRPr="00530A11">
        <w:rPr>
          <w:rFonts w:cs="Times New Roman"/>
        </w:rPr>
        <w:t>％以上的绿化面积种植了无须永久灌溉植物，且其余部分绿化采用了节水灌溉方式时，可判定按</w:t>
      </w:r>
      <w:r w:rsidRPr="00530A11">
        <w:rPr>
          <w:rFonts w:cs="Times New Roman"/>
        </w:rPr>
        <w:t>“</w:t>
      </w:r>
      <w:r w:rsidRPr="00530A11">
        <w:rPr>
          <w:rFonts w:cs="Times New Roman"/>
        </w:rPr>
        <w:t>种植无须永久灌溉植物</w:t>
      </w:r>
      <w:r w:rsidRPr="00530A11">
        <w:rPr>
          <w:rFonts w:cs="Times New Roman"/>
        </w:rPr>
        <w:t>”</w:t>
      </w:r>
      <w:r w:rsidRPr="00530A11">
        <w:rPr>
          <w:rFonts w:cs="Times New Roman"/>
        </w:rPr>
        <w:t>得分。当选用无须永久灌溉植物时，设计文件中应提供植物配置表，并说明是否属无须永久灌溉植物，申报方应提供当地植物名录，说明所选植物的耐旱性能。</w:t>
      </w:r>
    </w:p>
    <w:p w14:paraId="03618405"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2</w:t>
      </w:r>
      <w:r w:rsidRPr="00530A11">
        <w:rPr>
          <w:rFonts w:cs="Times New Roman"/>
        </w:rPr>
        <w:t>款，公共建筑集中空调系统的冷却水补水量占据建筑物用水量的</w:t>
      </w:r>
      <w:r w:rsidRPr="00530A11">
        <w:rPr>
          <w:rFonts w:cs="Times New Roman"/>
        </w:rPr>
        <w:t>30</w:t>
      </w:r>
      <w:r w:rsidRPr="00530A11">
        <w:rPr>
          <w:rFonts w:cs="Times New Roman"/>
        </w:rPr>
        <w:t>％～</w:t>
      </w:r>
      <w:r w:rsidRPr="00530A11">
        <w:rPr>
          <w:rFonts w:cs="Times New Roman"/>
        </w:rPr>
        <w:t>50</w:t>
      </w:r>
      <w:r w:rsidRPr="00530A11">
        <w:rPr>
          <w:rFonts w:cs="Times New Roman"/>
        </w:rPr>
        <w:t>％，采用高效冷却、消除白雾及节水运行等技术措施的冷却塔，减少冷却水系统不必要的耗水对整个建筑物的节水意义重大。</w:t>
      </w:r>
      <w:r w:rsidRPr="00530A11">
        <w:rPr>
          <w:rFonts w:cs="Times New Roman" w:hint="eastAsia"/>
        </w:rPr>
        <w:t>集中空调系统循环冷却水系统本应采取的设置水处理措施、加大集水盘、设置平衡管或平衡水箱等方式为基本要求，在本条文中不再得分。</w:t>
      </w:r>
    </w:p>
    <w:p w14:paraId="4F126D70" w14:textId="30A1CEE8" w:rsidR="0052438D" w:rsidRPr="00530A11" w:rsidRDefault="0052438D" w:rsidP="0052438D">
      <w:pPr>
        <w:ind w:firstLine="420"/>
        <w:rPr>
          <w:rFonts w:cs="Times New Roman"/>
        </w:rPr>
      </w:pPr>
      <w:r w:rsidRPr="00530A11">
        <w:rPr>
          <w:rFonts w:cs="Times New Roman"/>
        </w:rPr>
        <w:t>本条中的</w:t>
      </w:r>
      <w:r w:rsidRPr="00530A11">
        <w:rPr>
          <w:rFonts w:cs="Times New Roman"/>
        </w:rPr>
        <w:t>“</w:t>
      </w:r>
      <w:r w:rsidRPr="00530A11">
        <w:rPr>
          <w:rFonts w:cs="Times New Roman"/>
        </w:rPr>
        <w:t>无蒸发耗水量的冷却技术</w:t>
      </w:r>
      <w:r w:rsidRPr="00530A11">
        <w:rPr>
          <w:rFonts w:cs="Times New Roman"/>
        </w:rPr>
        <w:t>”</w:t>
      </w:r>
      <w:r w:rsidRPr="00530A11">
        <w:rPr>
          <w:rFonts w:cs="Times New Roman"/>
        </w:rPr>
        <w:t>包括采用分体空调、风冷式冷水机组、风冷式多联机</w:t>
      </w:r>
      <w:r w:rsidR="00807C7B">
        <w:rPr>
          <w:rFonts w:cs="Times New Roman" w:hint="eastAsia"/>
        </w:rPr>
        <w:t>、</w:t>
      </w:r>
      <w:r w:rsidRPr="00530A11">
        <w:rPr>
          <w:rFonts w:cs="Times New Roman"/>
        </w:rPr>
        <w:t>水、地源热泵、干式运行的闭式冷却塔等。</w:t>
      </w:r>
    </w:p>
    <w:p w14:paraId="10FD2F51" w14:textId="77777777" w:rsidR="0052438D" w:rsidRPr="00530A11" w:rsidRDefault="0052438D" w:rsidP="0052438D">
      <w:pPr>
        <w:ind w:firstLine="420"/>
        <w:rPr>
          <w:rFonts w:cs="Times New Roman"/>
          <w:sz w:val="24"/>
        </w:rPr>
      </w:pPr>
      <w:bookmarkStart w:id="157" w:name="_Hlk25524093"/>
      <w:r w:rsidRPr="00530A11">
        <w:rPr>
          <w:rFonts w:cs="Times New Roman"/>
        </w:rPr>
        <w:t>运行中的房间空调器当蒸发器表面温度低于空气露点温度时</w:t>
      </w:r>
      <w:r w:rsidRPr="00530A11">
        <w:rPr>
          <w:rFonts w:cs="Times New Roman"/>
        </w:rPr>
        <w:t xml:space="preserve">, </w:t>
      </w:r>
      <w:r w:rsidRPr="00530A11">
        <w:rPr>
          <w:rFonts w:cs="Times New Roman"/>
        </w:rPr>
        <w:t>空气中的水蒸气会在蒸发器表面凝结</w:t>
      </w:r>
      <w:r w:rsidRPr="00530A11">
        <w:rPr>
          <w:rFonts w:cs="Times New Roman"/>
        </w:rPr>
        <w:t xml:space="preserve">, </w:t>
      </w:r>
      <w:r w:rsidRPr="00530A11">
        <w:rPr>
          <w:rFonts w:cs="Times New Roman"/>
        </w:rPr>
        <w:t>形成冷凝水。冷凝水带有大量的余冷，水温相对较低，如果合理回收冷凝水</w:t>
      </w:r>
      <w:r w:rsidRPr="00530A11">
        <w:rPr>
          <w:rFonts w:cs="Times New Roman"/>
        </w:rPr>
        <w:lastRenderedPageBreak/>
        <w:t>并将其利用到空调系统中的冷却系统上</w:t>
      </w:r>
      <w:r w:rsidRPr="00530A11">
        <w:rPr>
          <w:rFonts w:cs="Times New Roman"/>
        </w:rPr>
        <w:t>,</w:t>
      </w:r>
      <w:r w:rsidRPr="00530A11">
        <w:rPr>
          <w:rFonts w:cs="Times New Roman"/>
        </w:rPr>
        <w:t>则可利用水蒸发时带走大量热量的原理来降低冷凝器的工作温度，提高能效比，减少一定的城市热岛效应。同时，冷凝器工作温度的降低，可以有效改善压缩机的工作条件</w:t>
      </w:r>
      <w:r w:rsidRPr="00530A11">
        <w:rPr>
          <w:rFonts w:cs="Times New Roman"/>
        </w:rPr>
        <w:t>,</w:t>
      </w:r>
      <w:r w:rsidRPr="00530A11">
        <w:rPr>
          <w:rFonts w:cs="Times New Roman"/>
        </w:rPr>
        <w:t>延长其工作寿命。</w:t>
      </w:r>
    </w:p>
    <w:bookmarkEnd w:id="157"/>
    <w:p w14:paraId="7F5C987D" w14:textId="77777777" w:rsidR="00EF512F" w:rsidRPr="009252F8" w:rsidRDefault="00EF512F" w:rsidP="009252F8">
      <w:pPr>
        <w:pStyle w:val="20"/>
      </w:pPr>
      <w:r w:rsidRPr="0081478A">
        <w:t>【评价要点】</w:t>
      </w:r>
    </w:p>
    <w:p w14:paraId="1E52EEBF" w14:textId="429FE189" w:rsidR="00EF512F" w:rsidRPr="0081478A" w:rsidRDefault="00807C7B" w:rsidP="00A54046">
      <w:pPr>
        <w:ind w:firstLine="420"/>
        <w:rPr>
          <w:rFonts w:cs="Times New Roman"/>
        </w:rPr>
      </w:pPr>
      <w:r>
        <w:rPr>
          <w:rFonts w:cs="Times New Roman"/>
        </w:rPr>
        <w:t>1.</w:t>
      </w:r>
      <w:r w:rsidR="00EF512F" w:rsidRPr="0081478A">
        <w:rPr>
          <w:rFonts w:cs="Times New Roman"/>
        </w:rPr>
        <w:t>当</w:t>
      </w:r>
      <w:r w:rsidR="00EF512F" w:rsidRPr="0081478A">
        <w:rPr>
          <w:rFonts w:cs="Times New Roman"/>
        </w:rPr>
        <w:t>90%</w:t>
      </w:r>
      <w:r w:rsidR="00EF512F" w:rsidRPr="0081478A">
        <w:rPr>
          <w:rFonts w:cs="Times New Roman"/>
        </w:rPr>
        <w:t>以上的绿化面积采用了高效节水灌溉方式时，方可判定</w:t>
      </w:r>
      <w:r w:rsidR="001314AE">
        <w:rPr>
          <w:rFonts w:cs="Times New Roman" w:hint="eastAsia"/>
        </w:rPr>
        <w:t>本</w:t>
      </w:r>
      <w:r w:rsidR="00EF512F" w:rsidRPr="0081478A">
        <w:rPr>
          <w:rFonts w:cs="Times New Roman"/>
        </w:rPr>
        <w:t>条第</w:t>
      </w:r>
      <w:r w:rsidR="00EF512F" w:rsidRPr="0081478A">
        <w:rPr>
          <w:rFonts w:cs="Times New Roman"/>
        </w:rPr>
        <w:t>1</w:t>
      </w:r>
      <w:r w:rsidR="00EF512F" w:rsidRPr="0081478A">
        <w:rPr>
          <w:rFonts w:cs="Times New Roman"/>
        </w:rPr>
        <w:t>款</w:t>
      </w:r>
      <w:r w:rsidR="00A54046" w:rsidRPr="0081478A">
        <w:rPr>
          <w:rFonts w:cs="Times New Roman"/>
        </w:rPr>
        <w:t>第</w:t>
      </w:r>
      <w:r w:rsidR="00A54046" w:rsidRPr="0081478A">
        <w:rPr>
          <w:rFonts w:cs="Times New Roman"/>
        </w:rPr>
        <w:t>1</w:t>
      </w:r>
      <w:r w:rsidR="00A54046" w:rsidRPr="0081478A">
        <w:rPr>
          <w:rFonts w:cs="Times New Roman"/>
        </w:rPr>
        <w:t>）条</w:t>
      </w:r>
      <w:r w:rsidR="00EF512F" w:rsidRPr="0081478A">
        <w:rPr>
          <w:rFonts w:cs="Times New Roman"/>
        </w:rPr>
        <w:t>达标；当</w:t>
      </w:r>
      <w:r w:rsidR="00EF512F" w:rsidRPr="0081478A">
        <w:rPr>
          <w:rFonts w:cs="Times New Roman"/>
        </w:rPr>
        <w:t>90%</w:t>
      </w:r>
      <w:r w:rsidR="00EF512F" w:rsidRPr="0081478A">
        <w:rPr>
          <w:rFonts w:cs="Times New Roman"/>
        </w:rPr>
        <w:t>以上的绿化面积采用节水控制措施或当</w:t>
      </w:r>
      <w:r w:rsidR="00EF512F" w:rsidRPr="0081478A">
        <w:rPr>
          <w:rFonts w:cs="Times New Roman"/>
        </w:rPr>
        <w:t>50%</w:t>
      </w:r>
      <w:r w:rsidR="00EF512F" w:rsidRPr="0081478A">
        <w:rPr>
          <w:rFonts w:cs="Times New Roman"/>
        </w:rPr>
        <w:t>以上的绿化面积采用了种植耐旱型植物、无须永久灌溉植物等生物性节水措施，且其余部分绿化采用了高效节水灌溉方式时，可判定</w:t>
      </w:r>
      <w:r w:rsidR="001314AE">
        <w:rPr>
          <w:rFonts w:cs="Times New Roman" w:hint="eastAsia"/>
        </w:rPr>
        <w:t>本</w:t>
      </w:r>
      <w:r w:rsidR="00A54046" w:rsidRPr="0081478A">
        <w:rPr>
          <w:rFonts w:cs="Times New Roman"/>
        </w:rPr>
        <w:t>条第</w:t>
      </w:r>
      <w:r w:rsidR="00A54046" w:rsidRPr="0081478A">
        <w:rPr>
          <w:rFonts w:cs="Times New Roman"/>
        </w:rPr>
        <w:t>1</w:t>
      </w:r>
      <w:r w:rsidR="00A54046" w:rsidRPr="0081478A">
        <w:rPr>
          <w:rFonts w:cs="Times New Roman"/>
        </w:rPr>
        <w:t>款第</w:t>
      </w:r>
      <w:r w:rsidR="00A54046" w:rsidRPr="0081478A">
        <w:rPr>
          <w:rFonts w:cs="Times New Roman"/>
        </w:rPr>
        <w:t>2</w:t>
      </w:r>
      <w:r w:rsidR="00A54046" w:rsidRPr="0081478A">
        <w:rPr>
          <w:rFonts w:cs="Times New Roman"/>
        </w:rPr>
        <w:t>）条</w:t>
      </w:r>
      <w:r w:rsidR="00EF512F" w:rsidRPr="0081478A">
        <w:rPr>
          <w:rFonts w:cs="Times New Roman"/>
        </w:rPr>
        <w:t>达标。</w:t>
      </w:r>
    </w:p>
    <w:p w14:paraId="6E9DC843" w14:textId="2AFFC6FB" w:rsidR="00A54046" w:rsidRPr="0081478A" w:rsidRDefault="00807C7B" w:rsidP="00A54046">
      <w:pPr>
        <w:ind w:firstLine="420"/>
        <w:rPr>
          <w:rFonts w:cs="Times New Roman"/>
        </w:rPr>
      </w:pPr>
      <w:r>
        <w:rPr>
          <w:rFonts w:cs="Times New Roman"/>
        </w:rPr>
        <w:t>2.</w:t>
      </w:r>
      <w:r w:rsidR="00A54046" w:rsidRPr="0081478A">
        <w:rPr>
          <w:rFonts w:cs="Times New Roman"/>
        </w:rPr>
        <w:t>未设置集中空调设备或系统，且选用的房间空气调节器能效限定值及能效等级和转速可控型房间空气调节器能效限定值及能效等级满足《绿色建筑评价标准》（</w:t>
      </w:r>
      <w:r w:rsidR="00A54046" w:rsidRPr="0081478A">
        <w:rPr>
          <w:rFonts w:cs="Times New Roman"/>
        </w:rPr>
        <w:t>DBJ50/T-066—</w:t>
      </w:r>
      <w:r w:rsidR="0018648D" w:rsidRPr="0081478A">
        <w:rPr>
          <w:rFonts w:cs="Times New Roman"/>
        </w:rPr>
        <w:t>20</w:t>
      </w:r>
      <w:r w:rsidR="0018648D">
        <w:rPr>
          <w:rFonts w:cs="Times New Roman"/>
        </w:rPr>
        <w:t>20</w:t>
      </w:r>
      <w:r w:rsidR="00A54046" w:rsidRPr="0081478A">
        <w:rPr>
          <w:rFonts w:cs="Times New Roman"/>
        </w:rPr>
        <w:t>）第</w:t>
      </w:r>
      <w:r w:rsidR="00A54046" w:rsidRPr="0081478A">
        <w:rPr>
          <w:rFonts w:cs="Times New Roman"/>
        </w:rPr>
        <w:t>7.2.5</w:t>
      </w:r>
      <w:r w:rsidR="00A54046" w:rsidRPr="0081478A">
        <w:rPr>
          <w:rFonts w:cs="Times New Roman"/>
        </w:rPr>
        <w:t>条对设备能效限定值</w:t>
      </w:r>
      <w:r w:rsidR="0018648D">
        <w:rPr>
          <w:rFonts w:cs="Times New Roman" w:hint="eastAsia"/>
        </w:rPr>
        <w:t>高要求</w:t>
      </w:r>
      <w:r w:rsidR="00A54046" w:rsidRPr="0081478A">
        <w:rPr>
          <w:rFonts w:cs="Times New Roman"/>
        </w:rPr>
        <w:t>，</w:t>
      </w:r>
      <w:r>
        <w:rPr>
          <w:rFonts w:cs="Times New Roman" w:hint="eastAsia"/>
          <w:bCs/>
        </w:rPr>
        <w:t>直接可</w:t>
      </w:r>
      <w:r w:rsidR="00A54046" w:rsidRPr="0081478A">
        <w:rPr>
          <w:rFonts w:cs="Times New Roman"/>
        </w:rPr>
        <w:t>得</w:t>
      </w:r>
      <w:r>
        <w:rPr>
          <w:rFonts w:cs="Times New Roman"/>
        </w:rPr>
        <w:t>6</w:t>
      </w:r>
      <w:r w:rsidR="00A54046" w:rsidRPr="0081478A">
        <w:rPr>
          <w:rFonts w:cs="Times New Roman"/>
        </w:rPr>
        <w:t>分。</w:t>
      </w:r>
    </w:p>
    <w:p w14:paraId="361898FE" w14:textId="31814EB2" w:rsidR="00EF512F" w:rsidRDefault="001314AE" w:rsidP="00EF512F">
      <w:pPr>
        <w:ind w:firstLine="420"/>
        <w:rPr>
          <w:rFonts w:cs="Times New Roman"/>
        </w:rPr>
      </w:pPr>
      <w:r>
        <w:rPr>
          <w:rFonts w:cs="Times New Roman" w:hint="eastAsia"/>
        </w:rPr>
        <w:t>本</w:t>
      </w:r>
      <w:r w:rsidR="00A54046" w:rsidRPr="0081478A">
        <w:rPr>
          <w:rFonts w:cs="Times New Roman"/>
        </w:rPr>
        <w:t>条第</w:t>
      </w:r>
      <w:r w:rsidR="00A54046" w:rsidRPr="0081478A">
        <w:rPr>
          <w:rFonts w:cs="Times New Roman"/>
        </w:rPr>
        <w:t>2</w:t>
      </w:r>
      <w:r w:rsidR="00A54046" w:rsidRPr="0081478A">
        <w:rPr>
          <w:rFonts w:cs="Times New Roman"/>
        </w:rPr>
        <w:t>款第</w:t>
      </w:r>
      <w:r w:rsidR="00807C7B">
        <w:rPr>
          <w:rFonts w:cs="Times New Roman"/>
        </w:rPr>
        <w:t>1</w:t>
      </w:r>
      <w:r w:rsidR="00A54046" w:rsidRPr="0081478A">
        <w:rPr>
          <w:rFonts w:cs="Times New Roman"/>
        </w:rPr>
        <w:t>）条</w:t>
      </w:r>
      <w:r w:rsidR="00EF512F" w:rsidRPr="0081478A">
        <w:rPr>
          <w:rFonts w:cs="Times New Roman"/>
        </w:rPr>
        <w:t>所指的</w:t>
      </w:r>
      <w:r w:rsidR="00EF512F" w:rsidRPr="0081478A">
        <w:rPr>
          <w:rFonts w:cs="Times New Roman"/>
        </w:rPr>
        <w:t>“</w:t>
      </w:r>
      <w:r w:rsidR="00EF512F" w:rsidRPr="0081478A">
        <w:rPr>
          <w:rFonts w:cs="Times New Roman"/>
        </w:rPr>
        <w:t>无蒸发耗水量的冷却技术</w:t>
      </w:r>
      <w:r w:rsidR="00EF512F" w:rsidRPr="0081478A">
        <w:rPr>
          <w:rFonts w:cs="Times New Roman"/>
        </w:rPr>
        <w:t>”</w:t>
      </w:r>
      <w:r w:rsidR="00EF512F" w:rsidRPr="0081478A">
        <w:rPr>
          <w:rFonts w:cs="Times New Roman"/>
        </w:rPr>
        <w:t>包括采用</w:t>
      </w:r>
      <w:r w:rsidR="00807C7B" w:rsidRPr="00530A11">
        <w:rPr>
          <w:rFonts w:cs="Times New Roman"/>
        </w:rPr>
        <w:t>分体空调、风冷式冷水机组、风冷式多联机</w:t>
      </w:r>
      <w:r w:rsidR="00807C7B">
        <w:rPr>
          <w:rFonts w:cs="Times New Roman" w:hint="eastAsia"/>
        </w:rPr>
        <w:t>、</w:t>
      </w:r>
      <w:r w:rsidR="00807C7B" w:rsidRPr="00530A11">
        <w:rPr>
          <w:rFonts w:cs="Times New Roman"/>
        </w:rPr>
        <w:t>水、地源热泵、干式运行的闭式冷却塔等</w:t>
      </w:r>
      <w:r w:rsidR="00EF512F" w:rsidRPr="0081478A">
        <w:rPr>
          <w:rFonts w:cs="Times New Roman"/>
        </w:rPr>
        <w:t>等</w:t>
      </w:r>
      <w:r w:rsidR="0018648D">
        <w:rPr>
          <w:rFonts w:cs="Times New Roman" w:hint="eastAsia"/>
        </w:rPr>
        <w:t>，</w:t>
      </w:r>
      <w:r w:rsidR="00EF512F" w:rsidRPr="0081478A">
        <w:rPr>
          <w:rFonts w:cs="Times New Roman"/>
        </w:rPr>
        <w:t>并且</w:t>
      </w:r>
      <w:r w:rsidR="00807C7B" w:rsidRPr="00C060F4">
        <w:rPr>
          <w:rFonts w:cs="Times New Roman" w:hint="eastAsia"/>
          <w:bCs/>
        </w:rPr>
        <w:t>设备能效等级达到一级</w:t>
      </w:r>
      <w:r w:rsidR="00EF512F" w:rsidRPr="0081478A">
        <w:rPr>
          <w:rFonts w:cs="Times New Roman"/>
        </w:rPr>
        <w:t>。</w:t>
      </w:r>
    </w:p>
    <w:p w14:paraId="68B21C6A" w14:textId="77777777" w:rsidR="00715ABB" w:rsidRPr="0081478A" w:rsidRDefault="00F44390" w:rsidP="009252F8">
      <w:pPr>
        <w:pStyle w:val="20"/>
      </w:pPr>
      <w:r w:rsidRPr="0081478A">
        <w:t>【评价方法】</w:t>
      </w:r>
    </w:p>
    <w:p w14:paraId="63C9A16A" w14:textId="77777777" w:rsidR="00E905A0" w:rsidRPr="00530A11" w:rsidRDefault="00E905A0" w:rsidP="00E905A0">
      <w:pPr>
        <w:pStyle w:val="a5"/>
        <w:ind w:firstLineChars="200" w:firstLine="420"/>
        <w:rPr>
          <w:rFonts w:cs="Times New Roman"/>
        </w:rPr>
      </w:pPr>
      <w:r w:rsidRPr="00530A11">
        <w:rPr>
          <w:rFonts w:cs="Times New Roman"/>
        </w:rPr>
        <w:t>预评价查阅相关设计图纸、设计说明</w:t>
      </w:r>
      <w:r w:rsidRPr="00530A11">
        <w:rPr>
          <w:rFonts w:cs="Times New Roman"/>
        </w:rPr>
        <w:t>(</w:t>
      </w:r>
      <w:r w:rsidRPr="00530A11">
        <w:rPr>
          <w:rFonts w:cs="Times New Roman"/>
        </w:rPr>
        <w:t>含相关节水产品的设备材料表、冷却节水措施说明</w:t>
      </w:r>
      <w:r w:rsidRPr="00530A11">
        <w:rPr>
          <w:rFonts w:cs="Times New Roman"/>
        </w:rPr>
        <w:t>)</w:t>
      </w:r>
      <w:r w:rsidRPr="00530A11">
        <w:rPr>
          <w:rFonts w:cs="Times New Roman"/>
        </w:rPr>
        <w:t>、产品说明书等；评价查阅设计说明、相关竣工图、产品说明书、产品节水性能检测报告、节水产品说明书，相关分析报告等。</w:t>
      </w:r>
    </w:p>
    <w:p w14:paraId="549C4EF4" w14:textId="77777777" w:rsidR="00715ABB" w:rsidRPr="00E905A0" w:rsidRDefault="00715ABB">
      <w:pPr>
        <w:ind w:firstLine="420"/>
        <w:rPr>
          <w:rFonts w:cs="Times New Roman"/>
        </w:rPr>
      </w:pPr>
    </w:p>
    <w:p w14:paraId="2508E635" w14:textId="77777777" w:rsidR="00C060F4" w:rsidRPr="00530A11" w:rsidRDefault="00C060F4" w:rsidP="00C060F4">
      <w:pPr>
        <w:pStyle w:val="4"/>
        <w:rPr>
          <w:rFonts w:cs="Times New Roman"/>
          <w:bCs w:val="0"/>
        </w:rPr>
      </w:pPr>
      <w:r w:rsidRPr="00530A11">
        <w:rPr>
          <w:rFonts w:cs="Times New Roman"/>
          <w:bCs w:val="0"/>
        </w:rPr>
        <w:t xml:space="preserve">7.2.13 </w:t>
      </w:r>
      <w:r w:rsidRPr="00530A11">
        <w:rPr>
          <w:rFonts w:cs="Times New Roman"/>
          <w:bCs w:val="0"/>
        </w:rPr>
        <w:t>结合雨水综合利用设施营造室外景观水体，室外景观水体利用雨水的补水量大于水体蒸发量的</w:t>
      </w:r>
      <w:r w:rsidRPr="00530A11">
        <w:rPr>
          <w:rFonts w:cs="Times New Roman"/>
          <w:bCs w:val="0"/>
        </w:rPr>
        <w:t>60</w:t>
      </w:r>
      <w:r w:rsidRPr="00530A11">
        <w:rPr>
          <w:rFonts w:cs="Times New Roman"/>
          <w:bCs w:val="0"/>
        </w:rPr>
        <w:t>％，且采用保障水体水质的生态水处理技术，评价总分值为</w:t>
      </w:r>
      <w:r w:rsidRPr="00530A11">
        <w:rPr>
          <w:rFonts w:cs="Times New Roman"/>
          <w:bCs w:val="0"/>
        </w:rPr>
        <w:t>8</w:t>
      </w:r>
      <w:r w:rsidRPr="00530A11">
        <w:rPr>
          <w:rFonts w:cs="Times New Roman"/>
          <w:bCs w:val="0"/>
        </w:rPr>
        <w:t>分，并按下列规则分别评分并累计：</w:t>
      </w:r>
    </w:p>
    <w:p w14:paraId="61743906"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对进入室外景观水体的雨水，利用生态设施削减径流污染，得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42BC76BE"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利用水生动、植物保障室外景观水体水质，得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6BD7E156" w14:textId="77777777" w:rsidR="00715ABB" w:rsidRPr="0081478A" w:rsidRDefault="00F44390" w:rsidP="009252F8">
      <w:pPr>
        <w:pStyle w:val="20"/>
      </w:pPr>
      <w:r w:rsidRPr="0081478A">
        <w:t>【条文说明】</w:t>
      </w:r>
    </w:p>
    <w:p w14:paraId="128FCE3C" w14:textId="77777777" w:rsidR="0052438D" w:rsidRPr="00530A11" w:rsidRDefault="0052438D" w:rsidP="0052438D">
      <w:pPr>
        <w:ind w:firstLine="420"/>
        <w:rPr>
          <w:szCs w:val="24"/>
        </w:rPr>
      </w:pPr>
      <w:r w:rsidRPr="00530A11">
        <w:t>本条适用于各类民用建筑的预评价、评价。未设室外景观水体的项目，本条可直接得分。室外景观水体的补水没有利用雨水或雨水利用量不满足要求时，本条不得分。</w:t>
      </w:r>
    </w:p>
    <w:p w14:paraId="31E792F6"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6.2.12</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6.2.12</w:t>
      </w:r>
      <w:r w:rsidRPr="00530A11">
        <w:rPr>
          <w:rFonts w:cs="Times New Roman"/>
        </w:rPr>
        <w:t>条的基础上发展而来。</w:t>
      </w:r>
    </w:p>
    <w:p w14:paraId="1BFDC5EE" w14:textId="77777777" w:rsidR="0052438D" w:rsidRPr="00530A11" w:rsidRDefault="0052438D" w:rsidP="0052438D">
      <w:pPr>
        <w:ind w:firstLine="420"/>
        <w:rPr>
          <w:rFonts w:cs="Times New Roman"/>
        </w:rPr>
      </w:pPr>
      <w:r w:rsidRPr="00530A11">
        <w:rPr>
          <w:rFonts w:cs="Times New Roman"/>
        </w:rPr>
        <w:t>国家标准《民用建筑节水设计标准》</w:t>
      </w:r>
      <w:r w:rsidRPr="00530A11">
        <w:rPr>
          <w:rFonts w:cs="Times New Roman"/>
        </w:rPr>
        <w:t>GB 50555-2010</w:t>
      </w:r>
      <w:r w:rsidRPr="00530A11">
        <w:rPr>
          <w:rFonts w:cs="Times New Roman"/>
        </w:rPr>
        <w:t>中强制性条文第</w:t>
      </w:r>
      <w:r w:rsidRPr="00530A11">
        <w:rPr>
          <w:rFonts w:cs="Times New Roman"/>
        </w:rPr>
        <w:t>4.1.5</w:t>
      </w:r>
      <w:r w:rsidRPr="00530A11">
        <w:rPr>
          <w:rFonts w:cs="Times New Roman"/>
        </w:rPr>
        <w:t>条规定</w:t>
      </w:r>
      <w:r w:rsidRPr="00530A11">
        <w:rPr>
          <w:rFonts w:cs="Times New Roman"/>
        </w:rPr>
        <w:t>“</w:t>
      </w:r>
      <w:r w:rsidRPr="00530A11">
        <w:rPr>
          <w:rFonts w:cs="Times New Roman"/>
        </w:rPr>
        <w:t>景观</w:t>
      </w:r>
      <w:r w:rsidRPr="00530A11">
        <w:rPr>
          <w:rFonts w:cs="Times New Roman"/>
        </w:rPr>
        <w:lastRenderedPageBreak/>
        <w:t>用水水源不得采用市政自来水和地下井水</w:t>
      </w:r>
      <w:r w:rsidRPr="00530A11">
        <w:rPr>
          <w:rFonts w:cs="Times New Roman"/>
        </w:rPr>
        <w:t>”</w:t>
      </w:r>
      <w:r w:rsidRPr="00530A11">
        <w:rPr>
          <w:rFonts w:cs="Times New Roman"/>
        </w:rPr>
        <w:t>，全文强制国家标准《住宅建筑规范》</w:t>
      </w:r>
      <w:r w:rsidRPr="00530A11">
        <w:rPr>
          <w:rFonts w:cs="Times New Roman"/>
        </w:rPr>
        <w:t>GB 50368-2005</w:t>
      </w:r>
      <w:r w:rsidRPr="00530A11">
        <w:rPr>
          <w:rFonts w:cs="Times New Roman"/>
        </w:rPr>
        <w:t>第</w:t>
      </w:r>
      <w:r w:rsidRPr="00530A11">
        <w:rPr>
          <w:rFonts w:cs="Times New Roman"/>
        </w:rPr>
        <w:t>4.4.3</w:t>
      </w:r>
      <w:r w:rsidRPr="00530A11">
        <w:rPr>
          <w:rFonts w:cs="Times New Roman"/>
        </w:rPr>
        <w:t>条规定</w:t>
      </w:r>
      <w:r w:rsidRPr="00530A11">
        <w:rPr>
          <w:rFonts w:cs="Times New Roman"/>
        </w:rPr>
        <w:t>“</w:t>
      </w:r>
      <w:r w:rsidRPr="00530A11">
        <w:rPr>
          <w:rFonts w:cs="Times New Roman"/>
        </w:rPr>
        <w:t>人工景观水体的补充水严禁使用自来水</w:t>
      </w:r>
      <w:r w:rsidRPr="00530A11">
        <w:rPr>
          <w:rFonts w:cs="Times New Roman"/>
        </w:rPr>
        <w:t>”</w:t>
      </w:r>
      <w:r w:rsidRPr="00530A11">
        <w:rPr>
          <w:rFonts w:cs="Times New Roman"/>
        </w:rPr>
        <w:t>，因此设有水景的项目，水体的补水只能使用非传统水源，或在取得当地相关主管部门的许可后，利用临近的河、湖水。有景观水体，但利用临近的河、湖水进行补水的，本条不得分。</w:t>
      </w:r>
    </w:p>
    <w:p w14:paraId="719EF7C7" w14:textId="582E81D6" w:rsidR="0052438D" w:rsidRPr="00530A11" w:rsidRDefault="0052438D" w:rsidP="0052438D">
      <w:pPr>
        <w:ind w:firstLine="420"/>
        <w:rPr>
          <w:rFonts w:cs="Times New Roman"/>
        </w:rPr>
      </w:pPr>
      <w:r w:rsidRPr="00530A11">
        <w:rPr>
          <w:rFonts w:cs="Times New Roman"/>
        </w:rPr>
        <w:t>设置本条的目的是鼓励将雨水控制利用和室外景观水体设计有机地结合起来。景观水体的补水应充分利用场地的雨水资源，不足时再考虑其他非传统水源的使用。</w:t>
      </w:r>
      <w:r w:rsidR="008849EB">
        <w:rPr>
          <w:rFonts w:cs="Times New Roman" w:hint="eastAsia"/>
        </w:rPr>
        <w:t>景观水体的补水管应单独设置水表，不得与绿化用水、道路冲洗用水合用水表。</w:t>
      </w:r>
    </w:p>
    <w:p w14:paraId="7A946F98" w14:textId="77777777" w:rsidR="0052438D" w:rsidRPr="00530A11" w:rsidRDefault="0052438D" w:rsidP="0052438D">
      <w:pPr>
        <w:ind w:firstLine="420"/>
        <w:rPr>
          <w:rFonts w:cs="Times New Roman"/>
        </w:rPr>
      </w:pPr>
      <w:r w:rsidRPr="00530A11">
        <w:rPr>
          <w:rFonts w:cs="Times New Roman"/>
        </w:rPr>
        <w:t>缺水地区和降雨量少的地区应谨慎考虑设置景观水体，景观水体的设计应通过技术经济可行性论证确定规模和具体形式。设计时应做好景观水体补水量和水体蒸发量逐月的水量平衡，确保满足本条的定量要求。</w:t>
      </w:r>
    </w:p>
    <w:p w14:paraId="2B8A2669" w14:textId="77777777" w:rsidR="0052438D" w:rsidRPr="00530A11" w:rsidRDefault="0052438D" w:rsidP="0052438D">
      <w:pPr>
        <w:ind w:firstLine="420"/>
        <w:rPr>
          <w:rFonts w:cs="Times New Roman"/>
        </w:rPr>
      </w:pPr>
      <w:r w:rsidRPr="00530A11">
        <w:rPr>
          <w:rFonts w:cs="Times New Roman"/>
        </w:rPr>
        <w:t>本条要求利用雨水提供的补水量大于水体蒸发量的</w:t>
      </w:r>
      <w:r w:rsidRPr="00530A11">
        <w:rPr>
          <w:rFonts w:cs="Times New Roman"/>
        </w:rPr>
        <w:t>60</w:t>
      </w:r>
      <w:r w:rsidRPr="00530A11">
        <w:rPr>
          <w:rFonts w:cs="Times New Roman"/>
        </w:rPr>
        <w:t>％，亦即采用除雨水外的其他水源对景观水体补水的量不得大于水体蒸发量的</w:t>
      </w:r>
      <w:r w:rsidRPr="00530A11">
        <w:rPr>
          <w:rFonts w:cs="Times New Roman"/>
        </w:rPr>
        <w:t>40</w:t>
      </w:r>
      <w:r w:rsidRPr="00530A11">
        <w:rPr>
          <w:rFonts w:cs="Times New Roman"/>
        </w:rPr>
        <w:t>％。设计时应做好景观水体补水量和水体蒸发量的水量平衡景观水体的补水管应单独设置水表，不得与绿化用水、道路冲洗用水合用水表。</w:t>
      </w:r>
    </w:p>
    <w:p w14:paraId="6DF05E49" w14:textId="14488856" w:rsidR="0052438D" w:rsidRPr="00530A11" w:rsidRDefault="0052438D" w:rsidP="0052438D">
      <w:pPr>
        <w:ind w:firstLine="420"/>
        <w:rPr>
          <w:rFonts w:cs="Times New Roman"/>
        </w:rPr>
      </w:pPr>
      <w:r w:rsidRPr="00530A11">
        <w:rPr>
          <w:rFonts w:cs="Times New Roman"/>
        </w:rPr>
        <w:t>景观水体的水质根据水景补水水源和功能性质不同，应不低于国家现行标准的相关要求，具体水质标准详见本标准第</w:t>
      </w:r>
      <w:r w:rsidRPr="00530A11">
        <w:rPr>
          <w:rFonts w:cs="Times New Roman"/>
        </w:rPr>
        <w:t>5.2.</w:t>
      </w:r>
      <w:r w:rsidR="008849EB">
        <w:rPr>
          <w:rFonts w:cs="Times New Roman"/>
        </w:rPr>
        <w:t>3</w:t>
      </w:r>
      <w:r w:rsidRPr="00530A11">
        <w:rPr>
          <w:rFonts w:cs="Times New Roman"/>
        </w:rPr>
        <w:t>条。景观水体的水质保障应采用生态水处理技术，在雨水进入景观水体之前充分利用植物和土壤渗滤作用削减径流污染，通过采用非硬质池底及生态驳岸，为水生动植物提供栖息条件，通过水生动植物对水体进行净化；必要时可采取其他辅助手段对水体进行净化，保障水体水质安全。</w:t>
      </w:r>
    </w:p>
    <w:p w14:paraId="57235808" w14:textId="7B0417CC" w:rsidR="00EF512F" w:rsidRPr="009252F8" w:rsidRDefault="00EF512F" w:rsidP="009252F8">
      <w:pPr>
        <w:pStyle w:val="20"/>
      </w:pPr>
      <w:r w:rsidRPr="0081478A">
        <w:t>【评价要点】</w:t>
      </w:r>
    </w:p>
    <w:p w14:paraId="22E69CBD" w14:textId="3AEA5110" w:rsidR="00C50712" w:rsidRPr="0081478A" w:rsidRDefault="00C50712" w:rsidP="00807C7B">
      <w:pPr>
        <w:ind w:firstLine="420"/>
      </w:pPr>
      <w:r w:rsidRPr="0081478A">
        <w:t>未设景观水体的建筑，直接得</w:t>
      </w:r>
      <w:r w:rsidRPr="0081478A">
        <w:t>8</w:t>
      </w:r>
      <w:r w:rsidRPr="0081478A">
        <w:t>分。</w:t>
      </w:r>
    </w:p>
    <w:p w14:paraId="01F51BFA" w14:textId="77777777" w:rsidR="00EF512F" w:rsidRPr="0081478A" w:rsidRDefault="00EF512F" w:rsidP="00EF512F">
      <w:pPr>
        <w:ind w:firstLine="420"/>
        <w:rPr>
          <w:rFonts w:cs="Times New Roman"/>
        </w:rPr>
      </w:pPr>
      <w:r w:rsidRPr="0081478A">
        <w:rPr>
          <w:rFonts w:cs="Times New Roman"/>
        </w:rPr>
        <w:t>景观水体的补水没有利用雨水或雨水利用量不满足要求时，本条不得分。</w:t>
      </w:r>
    </w:p>
    <w:p w14:paraId="333EFCF8" w14:textId="68986318" w:rsidR="00EF512F" w:rsidRPr="0081478A" w:rsidRDefault="00EF512F" w:rsidP="00EF512F">
      <w:pPr>
        <w:ind w:firstLine="420"/>
        <w:rPr>
          <w:rFonts w:cs="Times New Roman"/>
        </w:rPr>
      </w:pPr>
      <w:r w:rsidRPr="0081478A">
        <w:rPr>
          <w:rFonts w:cs="Times New Roman"/>
        </w:rPr>
        <w:t>景观水体的水质应符合国家标准《城市污水再生利用景观环境用水水质》</w:t>
      </w:r>
      <w:r w:rsidRPr="0081478A">
        <w:rPr>
          <w:rFonts w:cs="Times New Roman"/>
        </w:rPr>
        <w:t>GB/T</w:t>
      </w:r>
      <w:r w:rsidR="00807C7B">
        <w:rPr>
          <w:rFonts w:cs="Times New Roman"/>
        </w:rPr>
        <w:t xml:space="preserve"> </w:t>
      </w:r>
      <w:r w:rsidRPr="0081478A">
        <w:rPr>
          <w:rFonts w:cs="Times New Roman"/>
        </w:rPr>
        <w:t>18921</w:t>
      </w:r>
      <w:r w:rsidRPr="0081478A">
        <w:rPr>
          <w:rFonts w:cs="Times New Roman"/>
        </w:rPr>
        <w:t>的要求。</w:t>
      </w:r>
    </w:p>
    <w:p w14:paraId="127B83F3" w14:textId="77777777" w:rsidR="00715ABB" w:rsidRPr="009252F8" w:rsidRDefault="00F44390" w:rsidP="009252F8">
      <w:pPr>
        <w:pStyle w:val="20"/>
      </w:pPr>
      <w:r w:rsidRPr="0081478A">
        <w:t>【评价方法】</w:t>
      </w:r>
    </w:p>
    <w:p w14:paraId="7979F28E"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预评价查阅相关设计文件(含总平面图竖向、室内外给排水施工图、水景详图等)，水量平衡计算书；评价查阅相关竣工图，计算书，景观水体补水用水计量运行记录，景观水体水质检测报告等。</w:t>
      </w:r>
    </w:p>
    <w:p w14:paraId="37DD4C51" w14:textId="77777777" w:rsidR="00715ABB" w:rsidRPr="00E905A0" w:rsidRDefault="00715ABB">
      <w:pPr>
        <w:snapToGrid w:val="0"/>
        <w:ind w:firstLineChars="0" w:firstLine="0"/>
        <w:jc w:val="left"/>
        <w:rPr>
          <w:rFonts w:cs="Times New Roman"/>
          <w:b/>
          <w:bCs/>
          <w:szCs w:val="24"/>
        </w:rPr>
      </w:pPr>
    </w:p>
    <w:p w14:paraId="32980808" w14:textId="77777777" w:rsidR="00C060F4" w:rsidRPr="00530A11" w:rsidRDefault="00C060F4" w:rsidP="00C060F4">
      <w:pPr>
        <w:pStyle w:val="4"/>
        <w:rPr>
          <w:rFonts w:cs="Times New Roman"/>
          <w:bCs w:val="0"/>
        </w:rPr>
      </w:pPr>
      <w:r w:rsidRPr="00530A11">
        <w:rPr>
          <w:rFonts w:cs="Times New Roman"/>
          <w:bCs w:val="0"/>
        </w:rPr>
        <w:lastRenderedPageBreak/>
        <w:t xml:space="preserve">7.2.14 </w:t>
      </w:r>
      <w:r w:rsidRPr="00530A11">
        <w:rPr>
          <w:rFonts w:cs="Times New Roman"/>
          <w:bCs w:val="0"/>
        </w:rPr>
        <w:t>使用非传统水源，评价总分值为</w:t>
      </w:r>
      <w:r w:rsidRPr="00530A11">
        <w:rPr>
          <w:rFonts w:cs="Times New Roman"/>
          <w:bCs w:val="0"/>
        </w:rPr>
        <w:t>15</w:t>
      </w:r>
      <w:r w:rsidRPr="00530A11">
        <w:rPr>
          <w:rFonts w:cs="Times New Roman"/>
          <w:bCs w:val="0"/>
        </w:rPr>
        <w:t>分，并按下列规则分别评分并累计：</w:t>
      </w:r>
    </w:p>
    <w:p w14:paraId="0D78DA60"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绿化灌溉、车库及道路冲洗、洗车用水采用非传统水源的用水量占其总用水量的比例不低于</w:t>
      </w:r>
      <w:r w:rsidRPr="00C060F4">
        <w:rPr>
          <w:rFonts w:ascii="Times New Roman" w:hAnsi="Times New Roman" w:cs="Times New Roman"/>
          <w:bCs/>
          <w:color w:val="auto"/>
        </w:rPr>
        <w:t>40</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分；不低于</w:t>
      </w:r>
      <w:r w:rsidRPr="00C060F4">
        <w:rPr>
          <w:rFonts w:ascii="Times New Roman" w:hAnsi="Times New Roman" w:cs="Times New Roman"/>
          <w:bCs/>
          <w:color w:val="auto"/>
        </w:rPr>
        <w:t>60</w:t>
      </w:r>
      <w:r w:rsidRPr="00C060F4">
        <w:rPr>
          <w:rFonts w:ascii="Times New Roman" w:hAnsi="Times New Roman" w:cs="Times New Roman"/>
          <w:bCs/>
          <w:color w:val="auto"/>
        </w:rPr>
        <w:t>％，得</w:t>
      </w:r>
      <w:r w:rsidRPr="00C060F4">
        <w:rPr>
          <w:rFonts w:ascii="Times New Roman" w:hAnsi="Times New Roman" w:cs="Times New Roman"/>
          <w:bCs/>
          <w:color w:val="auto"/>
        </w:rPr>
        <w:t>5</w:t>
      </w:r>
      <w:r w:rsidRPr="00C060F4">
        <w:rPr>
          <w:rFonts w:ascii="Times New Roman" w:hAnsi="Times New Roman" w:cs="Times New Roman"/>
          <w:bCs/>
          <w:color w:val="auto"/>
        </w:rPr>
        <w:t>分；</w:t>
      </w:r>
    </w:p>
    <w:p w14:paraId="705E4294" w14:textId="77777777" w:rsidR="00C060F4" w:rsidRPr="00C060F4" w:rsidRDefault="00C060F4" w:rsidP="00C060F4">
      <w:pPr>
        <w:pStyle w:val="20"/>
        <w:ind w:firstLineChars="100" w:firstLine="211"/>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冲厕采用非传统水源的用水量占其总用水量的比例不低于</w:t>
      </w:r>
      <w:r w:rsidRPr="00C060F4">
        <w:rPr>
          <w:rFonts w:ascii="Times New Roman" w:hAnsi="Times New Roman" w:cs="Times New Roman"/>
          <w:bCs/>
          <w:color w:val="auto"/>
        </w:rPr>
        <w:t>30</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分；不低于</w:t>
      </w:r>
      <w:r w:rsidRPr="00C060F4">
        <w:rPr>
          <w:rFonts w:ascii="Times New Roman" w:hAnsi="Times New Roman" w:cs="Times New Roman"/>
          <w:bCs/>
          <w:color w:val="auto"/>
        </w:rPr>
        <w:t>50</w:t>
      </w:r>
      <w:r w:rsidRPr="00C060F4">
        <w:rPr>
          <w:rFonts w:ascii="Times New Roman" w:hAnsi="Times New Roman" w:cs="Times New Roman"/>
          <w:bCs/>
          <w:color w:val="auto"/>
        </w:rPr>
        <w:t>％，得</w:t>
      </w:r>
      <w:r w:rsidRPr="00C060F4">
        <w:rPr>
          <w:rFonts w:ascii="Times New Roman" w:hAnsi="Times New Roman" w:cs="Times New Roman"/>
          <w:bCs/>
          <w:color w:val="auto"/>
        </w:rPr>
        <w:t>5</w:t>
      </w:r>
      <w:r w:rsidRPr="00C060F4">
        <w:rPr>
          <w:rFonts w:ascii="Times New Roman" w:hAnsi="Times New Roman" w:cs="Times New Roman"/>
          <w:bCs/>
          <w:color w:val="auto"/>
        </w:rPr>
        <w:t>分；</w:t>
      </w:r>
      <w:r w:rsidRPr="00C060F4">
        <w:rPr>
          <w:rFonts w:ascii="Times New Roman" w:hAnsi="Times New Roman" w:cs="Times New Roman" w:hint="eastAsia"/>
          <w:bCs/>
          <w:color w:val="auto"/>
        </w:rPr>
        <w:t>全部采用，得</w:t>
      </w:r>
      <w:r w:rsidRPr="00C060F4">
        <w:rPr>
          <w:rFonts w:ascii="Times New Roman" w:hAnsi="Times New Roman" w:cs="Times New Roman" w:hint="eastAsia"/>
          <w:bCs/>
          <w:color w:val="auto"/>
        </w:rPr>
        <w:t>1</w:t>
      </w:r>
      <w:r w:rsidRPr="00C060F4">
        <w:rPr>
          <w:rFonts w:ascii="Times New Roman" w:hAnsi="Times New Roman" w:cs="Times New Roman"/>
          <w:bCs/>
          <w:color w:val="auto"/>
        </w:rPr>
        <w:t>5</w:t>
      </w:r>
      <w:r w:rsidRPr="00C060F4">
        <w:rPr>
          <w:rFonts w:ascii="Times New Roman" w:hAnsi="Times New Roman" w:cs="Times New Roman" w:hint="eastAsia"/>
          <w:bCs/>
          <w:color w:val="auto"/>
        </w:rPr>
        <w:t>分。</w:t>
      </w:r>
    </w:p>
    <w:p w14:paraId="6E1418BB" w14:textId="77777777" w:rsidR="00715ABB" w:rsidRPr="0081478A" w:rsidRDefault="00F44390" w:rsidP="009252F8">
      <w:pPr>
        <w:pStyle w:val="20"/>
      </w:pPr>
      <w:r w:rsidRPr="0081478A">
        <w:t>【条文说明】</w:t>
      </w:r>
    </w:p>
    <w:p w14:paraId="7EDB6BDA" w14:textId="77777777" w:rsidR="0052438D" w:rsidRPr="00530A11" w:rsidRDefault="0052438D" w:rsidP="0052438D">
      <w:pPr>
        <w:ind w:firstLine="420"/>
        <w:rPr>
          <w:szCs w:val="24"/>
        </w:rPr>
      </w:pPr>
      <w:r w:rsidRPr="00530A11">
        <w:t>本条适用于各类民用建筑的预评价、评价。</w:t>
      </w:r>
    </w:p>
    <w:p w14:paraId="42C580CF"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hint="eastAsia"/>
        </w:rPr>
        <w:t>，并对条文和条文说明进行了局部修改。</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6.2.10</w:t>
      </w:r>
      <w:r w:rsidRPr="00530A11">
        <w:rPr>
          <w:rFonts w:cs="Times New Roman"/>
        </w:rPr>
        <w:t>条、第</w:t>
      </w:r>
      <w:r w:rsidRPr="00530A11">
        <w:rPr>
          <w:rFonts w:cs="Times New Roman"/>
        </w:rPr>
        <w:t>6.2.11</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6.2.10</w:t>
      </w:r>
      <w:r w:rsidRPr="00530A11">
        <w:rPr>
          <w:rFonts w:cs="Times New Roman"/>
        </w:rPr>
        <w:t>条、第</w:t>
      </w:r>
      <w:r w:rsidRPr="00530A11">
        <w:rPr>
          <w:rFonts w:cs="Times New Roman"/>
        </w:rPr>
        <w:t>6.2.11</w:t>
      </w:r>
      <w:r w:rsidRPr="00530A11">
        <w:rPr>
          <w:rFonts w:cs="Times New Roman"/>
        </w:rPr>
        <w:t>条的基础上发展而来。</w:t>
      </w:r>
    </w:p>
    <w:p w14:paraId="2DEB4D5B" w14:textId="77777777" w:rsidR="0052438D" w:rsidRPr="00530A11" w:rsidRDefault="0052438D" w:rsidP="0052438D">
      <w:pPr>
        <w:ind w:firstLine="420"/>
        <w:rPr>
          <w:rFonts w:cs="Times New Roman"/>
        </w:rPr>
      </w:pPr>
      <w:r w:rsidRPr="00530A11">
        <w:rPr>
          <w:rFonts w:cs="Times New Roman"/>
        </w:rPr>
        <w:t>非传统水源指不同于传统地表水供水和地下水供水的水源，包括再生水、雨水、海水等，再生水又分市政再生水和建筑中水。</w:t>
      </w:r>
    </w:p>
    <w:p w14:paraId="370372D4" w14:textId="77777777" w:rsidR="0052438D" w:rsidRPr="00530A11" w:rsidRDefault="0052438D" w:rsidP="0052438D">
      <w:pPr>
        <w:ind w:firstLine="420"/>
        <w:rPr>
          <w:rFonts w:cs="Times New Roman"/>
        </w:rPr>
      </w:pPr>
      <w:r w:rsidRPr="00530A11">
        <w:rPr>
          <w:rFonts w:cs="Times New Roman"/>
        </w:rPr>
        <w:t>非传统水源的选择与利用方案应通过经济技术比较确定：</w:t>
      </w:r>
    </w:p>
    <w:p w14:paraId="1A58EF88"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1</w:t>
      </w:r>
      <w:r w:rsidRPr="00530A11">
        <w:rPr>
          <w:rFonts w:cs="Times New Roman"/>
        </w:rPr>
        <w:t>款，雨水更适合于季节性利用，比如用于绿化、景观水体、冷却等季节性用途，同时雨水调蓄池在调蓄容积上增加雨水回用容积也可以作为杂用水补充水源使用。</w:t>
      </w:r>
    </w:p>
    <w:p w14:paraId="60E9F6F1" w14:textId="77777777" w:rsidR="0052438D" w:rsidRPr="00530A11" w:rsidRDefault="0052438D" w:rsidP="0052438D">
      <w:pPr>
        <w:ind w:firstLine="420"/>
        <w:rPr>
          <w:rFonts w:cs="Times New Roman"/>
        </w:rPr>
      </w:pPr>
      <w:r w:rsidRPr="00530A11">
        <w:rPr>
          <w:rFonts w:cs="Times New Roman"/>
        </w:rPr>
        <w:t>第</w:t>
      </w:r>
      <w:r w:rsidRPr="00530A11">
        <w:rPr>
          <w:rFonts w:cs="Times New Roman"/>
        </w:rPr>
        <w:t>2</w:t>
      </w:r>
      <w:r w:rsidRPr="00530A11">
        <w:rPr>
          <w:rFonts w:cs="Times New Roman"/>
        </w:rPr>
        <w:t>款，中水和全年降水比较均衡地区的雨水则更适合于非季节性利用，比如冲厕等全年性用途。</w:t>
      </w:r>
    </w:p>
    <w:p w14:paraId="1E949B58" w14:textId="77777777" w:rsidR="0052438D" w:rsidRPr="00530A11" w:rsidRDefault="0052438D" w:rsidP="0052438D">
      <w:pPr>
        <w:ind w:firstLine="420"/>
        <w:rPr>
          <w:rFonts w:cs="Times New Roman"/>
        </w:rPr>
      </w:pPr>
      <w:r w:rsidRPr="00530A11">
        <w:rPr>
          <w:rFonts w:cs="Times New Roman"/>
        </w:rPr>
        <w:t>本条文涉及的非传统水源用水量、总用水量均为设计年用水量。设计年用水量由设计平均日用水量和用水时间计算得出。</w:t>
      </w:r>
    </w:p>
    <w:p w14:paraId="46184BC5" w14:textId="77777777" w:rsidR="0052438D" w:rsidRPr="00530A11" w:rsidRDefault="0052438D" w:rsidP="0052438D">
      <w:pPr>
        <w:ind w:firstLine="420"/>
        <w:rPr>
          <w:rFonts w:cs="Times New Roman"/>
        </w:rPr>
      </w:pPr>
      <w:r w:rsidRPr="00530A11">
        <w:rPr>
          <w:rFonts w:cs="Times New Roman"/>
        </w:rPr>
        <w:t>设计平均日用水量应根据节水用水定额和设计用水单元数量计算得出，节水用水定额取值详见现行国家标准《民用建筑节水设计标准》</w:t>
      </w:r>
      <w:r w:rsidRPr="00530A11">
        <w:rPr>
          <w:rFonts w:cs="Times New Roman"/>
        </w:rPr>
        <w:t>GB 50555</w:t>
      </w:r>
      <w:r w:rsidRPr="00530A11">
        <w:rPr>
          <w:rFonts w:cs="Times New Roman"/>
        </w:rPr>
        <w:t>。</w:t>
      </w:r>
    </w:p>
    <w:p w14:paraId="1CBB600A" w14:textId="77777777" w:rsidR="00EF512F" w:rsidRPr="009252F8" w:rsidRDefault="00EF512F" w:rsidP="009252F8">
      <w:pPr>
        <w:pStyle w:val="20"/>
      </w:pPr>
      <w:r w:rsidRPr="0081478A">
        <w:t>【评价要点】</w:t>
      </w:r>
    </w:p>
    <w:p w14:paraId="5B602970" w14:textId="16CC25A6" w:rsidR="00EF512F" w:rsidRPr="0081478A" w:rsidRDefault="007111B5" w:rsidP="00EF512F">
      <w:pPr>
        <w:ind w:firstLine="420"/>
        <w:rPr>
          <w:rFonts w:cs="Times New Roman"/>
        </w:rPr>
      </w:pPr>
      <w:r>
        <w:rPr>
          <w:rFonts w:cs="Times New Roman"/>
        </w:rPr>
        <w:t>1.</w:t>
      </w:r>
      <w:r w:rsidR="00EF512F" w:rsidRPr="0081478A">
        <w:rPr>
          <w:rFonts w:cs="Times New Roman"/>
        </w:rPr>
        <w:t>非传统水源利用率计算报告应满足本书附录</w:t>
      </w:r>
      <w:r w:rsidR="00EF512F" w:rsidRPr="0081478A">
        <w:rPr>
          <w:rFonts w:cs="Times New Roman"/>
        </w:rPr>
        <w:t>B.3</w:t>
      </w:r>
      <w:r w:rsidR="00EF512F" w:rsidRPr="0081478A">
        <w:rPr>
          <w:rFonts w:cs="Times New Roman"/>
        </w:rPr>
        <w:t>的要求。</w:t>
      </w:r>
    </w:p>
    <w:p w14:paraId="1322844F" w14:textId="19CF0182" w:rsidR="00EF512F" w:rsidRPr="0081478A" w:rsidRDefault="007111B5" w:rsidP="00EF512F">
      <w:pPr>
        <w:ind w:firstLine="420"/>
        <w:rPr>
          <w:rFonts w:cs="Times New Roman"/>
        </w:rPr>
      </w:pPr>
      <w:r>
        <w:rPr>
          <w:rFonts w:cs="Times New Roman"/>
        </w:rPr>
        <w:t>2.</w:t>
      </w:r>
      <w:r w:rsidR="00EF512F" w:rsidRPr="0081478A">
        <w:rPr>
          <w:rFonts w:cs="Times New Roman"/>
        </w:rPr>
        <w:t>当一个项目中仅部分建筑申报时，</w:t>
      </w:r>
      <w:r w:rsidR="00EF512F" w:rsidRPr="0081478A">
        <w:rPr>
          <w:rFonts w:cs="Times New Roman"/>
        </w:rPr>
        <w:t>“</w:t>
      </w:r>
      <w:r w:rsidR="00EF512F" w:rsidRPr="0081478A">
        <w:rPr>
          <w:rFonts w:cs="Times New Roman"/>
        </w:rPr>
        <w:t>建筑可回用水量</w:t>
      </w:r>
      <w:r w:rsidR="00EF512F" w:rsidRPr="0081478A">
        <w:rPr>
          <w:rFonts w:cs="Times New Roman"/>
        </w:rPr>
        <w:t>”</w:t>
      </w:r>
      <w:r w:rsidR="00EF512F" w:rsidRPr="0081478A">
        <w:rPr>
          <w:rFonts w:cs="Times New Roman"/>
        </w:rPr>
        <w:t>应按整个项目计算。</w:t>
      </w:r>
    </w:p>
    <w:p w14:paraId="6368180B" w14:textId="77777777" w:rsidR="00715ABB" w:rsidRPr="009252F8" w:rsidRDefault="00F44390" w:rsidP="009252F8">
      <w:pPr>
        <w:pStyle w:val="20"/>
      </w:pPr>
      <w:r w:rsidRPr="0081478A">
        <w:t>【评价方法】</w:t>
      </w:r>
    </w:p>
    <w:p w14:paraId="1CBDCC73"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预评价查阅相关设计文件、当地相关主管部门的许可、非传统水源利用计算书；评价查阅相关竣工图纸、设计说明、非传统水源利用计算书、非传统水源水质检测报告。</w:t>
      </w:r>
    </w:p>
    <w:p w14:paraId="68F6ADC9" w14:textId="77777777" w:rsidR="00715ABB" w:rsidRPr="00E905A0" w:rsidRDefault="00715ABB">
      <w:pPr>
        <w:snapToGrid w:val="0"/>
        <w:ind w:firstLineChars="0" w:firstLine="0"/>
        <w:jc w:val="left"/>
        <w:rPr>
          <w:rFonts w:cs="Times New Roman"/>
          <w:b/>
          <w:bCs/>
          <w:szCs w:val="24"/>
        </w:rPr>
      </w:pPr>
    </w:p>
    <w:p w14:paraId="5A75E8C9" w14:textId="77777777" w:rsidR="00715ABB" w:rsidRPr="0081478A" w:rsidRDefault="00F44390" w:rsidP="001A7E3B">
      <w:pPr>
        <w:pStyle w:val="3"/>
      </w:pPr>
      <w:bookmarkStart w:id="158" w:name="_Toc22221586"/>
      <w:bookmarkStart w:id="159" w:name="_Toc35364753"/>
      <w:r w:rsidRPr="0081478A">
        <w:lastRenderedPageBreak/>
        <w:t xml:space="preserve">Ⅳ </w:t>
      </w:r>
      <w:r w:rsidRPr="0081478A">
        <w:t>节材与绿色建材</w:t>
      </w:r>
      <w:bookmarkEnd w:id="158"/>
      <w:bookmarkEnd w:id="159"/>
    </w:p>
    <w:p w14:paraId="5FFA74E3" w14:textId="77777777" w:rsidR="00C060F4" w:rsidRPr="00530A11" w:rsidRDefault="00C060F4" w:rsidP="00C060F4">
      <w:pPr>
        <w:pStyle w:val="4"/>
        <w:rPr>
          <w:rFonts w:cs="Times New Roman"/>
          <w:bCs w:val="0"/>
        </w:rPr>
      </w:pPr>
      <w:r w:rsidRPr="00530A11">
        <w:rPr>
          <w:rFonts w:cs="Times New Roman"/>
          <w:bCs w:val="0"/>
        </w:rPr>
        <w:t xml:space="preserve">7.2.15 </w:t>
      </w:r>
      <w:r w:rsidRPr="00530A11">
        <w:rPr>
          <w:rFonts w:cs="Times New Roman"/>
          <w:bCs w:val="0"/>
        </w:rPr>
        <w:t>建筑所有区域实施土建工程与装修工程一体化设计及施工，评价分值为</w:t>
      </w:r>
      <w:r w:rsidRPr="00530A11">
        <w:rPr>
          <w:rFonts w:cs="Times New Roman"/>
          <w:bCs w:val="0"/>
        </w:rPr>
        <w:t>7</w:t>
      </w:r>
      <w:r w:rsidRPr="00530A11">
        <w:rPr>
          <w:rFonts w:cs="Times New Roman"/>
          <w:bCs w:val="0"/>
        </w:rPr>
        <w:t>分。</w:t>
      </w:r>
    </w:p>
    <w:p w14:paraId="07945128" w14:textId="77777777" w:rsidR="00715ABB" w:rsidRPr="0081478A" w:rsidRDefault="00F44390" w:rsidP="009252F8">
      <w:pPr>
        <w:pStyle w:val="20"/>
      </w:pPr>
      <w:r w:rsidRPr="0081478A">
        <w:t>【条文说明】</w:t>
      </w:r>
    </w:p>
    <w:p w14:paraId="272FCEC5" w14:textId="77777777" w:rsidR="0052438D" w:rsidRPr="00530A11" w:rsidRDefault="0052438D" w:rsidP="0052438D">
      <w:pPr>
        <w:ind w:firstLine="420"/>
        <w:rPr>
          <w:szCs w:val="24"/>
        </w:rPr>
      </w:pPr>
      <w:r w:rsidRPr="00530A11">
        <w:t>本条适用于各类民用建筑的预评价、评价。</w:t>
      </w:r>
    </w:p>
    <w:p w14:paraId="701C15C8"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7.2.3</w:t>
      </w:r>
      <w:r w:rsidRPr="00530A11">
        <w:rPr>
          <w:rFonts w:cs="Times New Roman"/>
        </w:rPr>
        <w:t>条和第</w:t>
      </w:r>
      <w:r w:rsidRPr="00530A11">
        <w:rPr>
          <w:rFonts w:cs="Times New Roman"/>
        </w:rPr>
        <w:t>9.2.12</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7.2.3</w:t>
      </w:r>
      <w:r w:rsidRPr="00530A11">
        <w:rPr>
          <w:rFonts w:cs="Times New Roman"/>
        </w:rPr>
        <w:t>条和第</w:t>
      </w:r>
      <w:r w:rsidRPr="00530A11">
        <w:rPr>
          <w:rFonts w:cs="Times New Roman"/>
        </w:rPr>
        <w:t>9.2.12</w:t>
      </w:r>
      <w:r w:rsidRPr="00530A11">
        <w:rPr>
          <w:rFonts w:cs="Times New Roman"/>
        </w:rPr>
        <w:t>条的基础上发展而来。</w:t>
      </w:r>
    </w:p>
    <w:p w14:paraId="007C9F08" w14:textId="77777777" w:rsidR="0052438D" w:rsidRPr="00530A11" w:rsidRDefault="0052438D" w:rsidP="0052438D">
      <w:pPr>
        <w:ind w:firstLine="420"/>
        <w:rPr>
          <w:rFonts w:cs="Times New Roman"/>
        </w:rPr>
      </w:pPr>
      <w:r w:rsidRPr="00530A11">
        <w:rPr>
          <w:rFonts w:cs="Times New Roman"/>
        </w:rPr>
        <w:t>土建和装修一体化设计、施工，对节约能源资源有重要作用。土建和装修一体化设计，要求对土建设计和装修设计统一协调，在土建设计时考虑装修设计需求，事先进行孔洞预留和装修面层固定件的预埋，避免在装修时对已有建筑构件打凿、穿孔。这样既可减少设计的反复，又可保证结构的安全，减少材料消耗，并降低装修成本。</w:t>
      </w:r>
    </w:p>
    <w:p w14:paraId="47EDB5AC" w14:textId="77777777" w:rsidR="0052438D" w:rsidRPr="00530A11" w:rsidRDefault="0052438D" w:rsidP="0052438D">
      <w:pPr>
        <w:ind w:firstLine="420"/>
        <w:rPr>
          <w:rFonts w:cs="Times New Roman"/>
        </w:rPr>
      </w:pPr>
      <w:r w:rsidRPr="00530A11">
        <w:rPr>
          <w:rFonts w:cs="Times New Roman"/>
        </w:rPr>
        <w:t>实践中，可由建设单位统一组织建筑主体工程和装修施工，也可由建设单位提供菜单式的装修做法由业主选择，统一进行图纸设计、材料购买和施工。在选材和施工方面尽可能采取工业化制造，具备稳定性、耐久性、环保性和通用性的设备和装修装饰材料，从而在工程竣工验收时室内装修一步到位，避免破坏建筑构件和设施。</w:t>
      </w:r>
    </w:p>
    <w:p w14:paraId="0ABAD24B" w14:textId="628DA90D" w:rsidR="00EF512F" w:rsidRPr="009252F8" w:rsidRDefault="00EF512F" w:rsidP="009252F8">
      <w:pPr>
        <w:pStyle w:val="20"/>
      </w:pPr>
      <w:r w:rsidRPr="0081478A">
        <w:t>【评价要点】</w:t>
      </w:r>
    </w:p>
    <w:p w14:paraId="6F9B3887" w14:textId="09B9CC53" w:rsidR="009575F0" w:rsidRDefault="009575F0" w:rsidP="009575F0">
      <w:pPr>
        <w:ind w:firstLine="420"/>
      </w:pPr>
      <w:r w:rsidRPr="0081478A">
        <w:rPr>
          <w:rFonts w:cs="Times New Roman"/>
        </w:rPr>
        <w:t>建筑所有区域实施土建和装修一体化设计、施工</w:t>
      </w:r>
      <w:r>
        <w:rPr>
          <w:rFonts w:cs="Times New Roman" w:hint="eastAsia"/>
        </w:rPr>
        <w:t>，若不是所有区域，本条不得分。</w:t>
      </w:r>
    </w:p>
    <w:p w14:paraId="0B8396BB" w14:textId="77777777" w:rsidR="00715ABB" w:rsidRPr="009252F8" w:rsidRDefault="00F44390" w:rsidP="009252F8">
      <w:pPr>
        <w:pStyle w:val="20"/>
      </w:pPr>
      <w:r w:rsidRPr="0081478A">
        <w:t>【评价方法】</w:t>
      </w:r>
    </w:p>
    <w:p w14:paraId="32ED51C0"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预评价查阅土建、装修各专业施工图及其他证明材料；评价查阅土建、装修各专业竣工图及其他证明材料，查看施工过程影像资料。</w:t>
      </w:r>
    </w:p>
    <w:p w14:paraId="20245508" w14:textId="77777777" w:rsidR="00715ABB" w:rsidRPr="00E905A0" w:rsidRDefault="00715ABB">
      <w:pPr>
        <w:snapToGrid w:val="0"/>
        <w:ind w:firstLineChars="0" w:firstLine="0"/>
        <w:jc w:val="left"/>
        <w:rPr>
          <w:rFonts w:cs="Times New Roman"/>
          <w:bCs/>
          <w:kern w:val="44"/>
          <w:szCs w:val="24"/>
        </w:rPr>
      </w:pPr>
    </w:p>
    <w:p w14:paraId="564278D6" w14:textId="77777777" w:rsidR="00C060F4" w:rsidRPr="00530A11" w:rsidRDefault="00C060F4" w:rsidP="00C060F4">
      <w:pPr>
        <w:pStyle w:val="4"/>
        <w:rPr>
          <w:rFonts w:cs="Times New Roman"/>
          <w:bCs w:val="0"/>
        </w:rPr>
      </w:pPr>
      <w:r w:rsidRPr="00530A11">
        <w:rPr>
          <w:rFonts w:cs="Times New Roman"/>
          <w:bCs w:val="0"/>
        </w:rPr>
        <w:t xml:space="preserve">7.2.16 </w:t>
      </w:r>
      <w:r w:rsidRPr="00530A11">
        <w:rPr>
          <w:rFonts w:cs="Times New Roman"/>
          <w:bCs w:val="0"/>
        </w:rPr>
        <w:t>合理选用建筑结构材料与构件，评价总分值为</w:t>
      </w:r>
      <w:r w:rsidRPr="00530A11">
        <w:rPr>
          <w:rFonts w:cs="Times New Roman"/>
          <w:bCs w:val="0"/>
        </w:rPr>
        <w:t>10</w:t>
      </w:r>
      <w:r w:rsidRPr="00530A11">
        <w:rPr>
          <w:rFonts w:cs="Times New Roman"/>
          <w:bCs w:val="0"/>
        </w:rPr>
        <w:t>分，并按下列规则评分：</w:t>
      </w:r>
    </w:p>
    <w:p w14:paraId="4F22A081" w14:textId="77777777" w:rsidR="00C060F4" w:rsidRPr="00C060F4" w:rsidRDefault="00C060F4" w:rsidP="00C060F4">
      <w:pPr>
        <w:pStyle w:val="20"/>
        <w:snapToGrid w:val="0"/>
        <w:ind w:firstLineChars="100" w:firstLine="211"/>
        <w:jc w:val="left"/>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混凝土结构，按下列规则分别评分并累计：</w:t>
      </w:r>
    </w:p>
    <w:p w14:paraId="7E744AE1"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1</w:t>
      </w:r>
      <w:r w:rsidRPr="00C060F4">
        <w:rPr>
          <w:rFonts w:ascii="Times New Roman" w:hAnsi="Times New Roman" w:cs="Times New Roman"/>
          <w:bCs/>
          <w:color w:val="auto"/>
        </w:rPr>
        <w:t>）</w:t>
      </w:r>
      <w:r w:rsidRPr="00C060F4">
        <w:rPr>
          <w:rFonts w:ascii="Times New Roman" w:hAnsi="Times New Roman" w:cs="Times New Roman"/>
          <w:bCs/>
          <w:color w:val="auto"/>
        </w:rPr>
        <w:t xml:space="preserve"> 400MPa</w:t>
      </w:r>
      <w:r w:rsidRPr="00C060F4">
        <w:rPr>
          <w:rFonts w:ascii="Times New Roman" w:hAnsi="Times New Roman" w:cs="Times New Roman"/>
          <w:bCs/>
          <w:color w:val="auto"/>
        </w:rPr>
        <w:t>级及以上强度等级</w:t>
      </w:r>
      <w:r w:rsidRPr="00C060F4">
        <w:rPr>
          <w:rFonts w:ascii="Times New Roman" w:hAnsi="Times New Roman" w:cs="Times New Roman" w:hint="eastAsia"/>
          <w:bCs/>
          <w:color w:val="auto"/>
        </w:rPr>
        <w:t>受力普通钢筋</w:t>
      </w:r>
      <w:r w:rsidRPr="00C060F4">
        <w:rPr>
          <w:rFonts w:ascii="Times New Roman" w:hAnsi="Times New Roman" w:cs="Times New Roman"/>
          <w:bCs/>
          <w:color w:val="auto"/>
        </w:rPr>
        <w:t>应用比例达到</w:t>
      </w:r>
      <w:r w:rsidRPr="00C060F4">
        <w:rPr>
          <w:rFonts w:ascii="Times New Roman" w:hAnsi="Times New Roman" w:cs="Times New Roman"/>
          <w:bCs/>
          <w:color w:val="auto"/>
        </w:rPr>
        <w:t>85</w:t>
      </w:r>
      <w:r w:rsidRPr="00C060F4">
        <w:rPr>
          <w:rFonts w:ascii="Times New Roman" w:hAnsi="Times New Roman" w:cs="Times New Roman"/>
          <w:bCs/>
          <w:color w:val="auto"/>
        </w:rPr>
        <w:t>％，得</w:t>
      </w:r>
      <w:r w:rsidRPr="00C060F4">
        <w:rPr>
          <w:rFonts w:ascii="Times New Roman" w:hAnsi="Times New Roman" w:cs="Times New Roman"/>
          <w:bCs/>
          <w:color w:val="auto"/>
        </w:rPr>
        <w:t>5</w:t>
      </w:r>
      <w:r w:rsidRPr="00C060F4">
        <w:rPr>
          <w:rFonts w:ascii="Times New Roman" w:hAnsi="Times New Roman" w:cs="Times New Roman"/>
          <w:bCs/>
          <w:color w:val="auto"/>
        </w:rPr>
        <w:t>分；</w:t>
      </w:r>
    </w:p>
    <w:p w14:paraId="4E6987A8"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2</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混凝土竖向承重结构采用强度等级不</w:t>
      </w:r>
      <w:bookmarkStart w:id="160" w:name="_Hlk25162870"/>
      <w:r w:rsidRPr="00C060F4">
        <w:rPr>
          <w:rFonts w:ascii="Times New Roman" w:hAnsi="Times New Roman" w:cs="Times New Roman"/>
          <w:bCs/>
          <w:color w:val="auto"/>
        </w:rPr>
        <w:t>低</w:t>
      </w:r>
      <w:bookmarkEnd w:id="160"/>
      <w:r w:rsidRPr="00C060F4">
        <w:rPr>
          <w:rFonts w:ascii="Times New Roman" w:hAnsi="Times New Roman" w:cs="Times New Roman"/>
          <w:bCs/>
          <w:color w:val="auto"/>
        </w:rPr>
        <w:t>于</w:t>
      </w:r>
      <w:r w:rsidRPr="00C060F4">
        <w:rPr>
          <w:rFonts w:ascii="Times New Roman" w:hAnsi="Times New Roman" w:cs="Times New Roman"/>
          <w:bCs/>
          <w:color w:val="auto"/>
        </w:rPr>
        <w:t>C50</w:t>
      </w:r>
      <w:r w:rsidRPr="00C060F4">
        <w:rPr>
          <w:rFonts w:ascii="Times New Roman" w:hAnsi="Times New Roman" w:cs="Times New Roman"/>
          <w:bCs/>
          <w:color w:val="auto"/>
        </w:rPr>
        <w:t>混凝土用量占竖向承重结构中混凝土总量的比例达到</w:t>
      </w:r>
      <w:r w:rsidRPr="00C060F4">
        <w:rPr>
          <w:rFonts w:ascii="Times New Roman" w:hAnsi="Times New Roman" w:cs="Times New Roman"/>
          <w:bCs/>
          <w:color w:val="auto"/>
        </w:rPr>
        <w:t>50</w:t>
      </w:r>
      <w:r w:rsidRPr="00C060F4">
        <w:rPr>
          <w:rFonts w:ascii="Times New Roman" w:hAnsi="Times New Roman" w:cs="Times New Roman"/>
          <w:bCs/>
          <w:color w:val="auto"/>
        </w:rPr>
        <w:t>％，得</w:t>
      </w:r>
      <w:r w:rsidRPr="00C060F4">
        <w:rPr>
          <w:rFonts w:ascii="Times New Roman" w:hAnsi="Times New Roman" w:cs="Times New Roman"/>
          <w:bCs/>
          <w:color w:val="auto"/>
        </w:rPr>
        <w:t>5</w:t>
      </w:r>
      <w:r w:rsidRPr="00C060F4">
        <w:rPr>
          <w:rFonts w:ascii="Times New Roman" w:hAnsi="Times New Roman" w:cs="Times New Roman"/>
          <w:bCs/>
          <w:color w:val="auto"/>
        </w:rPr>
        <w:t>分。</w:t>
      </w:r>
    </w:p>
    <w:p w14:paraId="418623DA" w14:textId="77777777" w:rsidR="00C060F4" w:rsidRPr="00C060F4" w:rsidRDefault="00C060F4" w:rsidP="00C060F4">
      <w:pPr>
        <w:pStyle w:val="20"/>
        <w:snapToGrid w:val="0"/>
        <w:ind w:firstLineChars="100" w:firstLine="211"/>
        <w:jc w:val="left"/>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钢结构，按下列规则分别评分并累计：</w:t>
      </w:r>
    </w:p>
    <w:p w14:paraId="521A4AA5" w14:textId="77777777" w:rsidR="00C060F4" w:rsidRPr="00C060F4" w:rsidRDefault="00C060F4" w:rsidP="00C060F4">
      <w:pPr>
        <w:pStyle w:val="20"/>
        <w:ind w:firstLineChars="200" w:firstLine="422"/>
        <w:rPr>
          <w:rFonts w:ascii="Times New Roman" w:hAnsi="Times New Roman" w:cs="Times New Roman"/>
          <w:bCs/>
          <w:color w:val="auto"/>
        </w:rPr>
      </w:pPr>
      <w:r w:rsidRPr="00C060F4">
        <w:rPr>
          <w:rFonts w:ascii="Times New Roman" w:hAnsi="Times New Roman" w:cs="Times New Roman"/>
          <w:bCs/>
          <w:color w:val="auto"/>
        </w:rPr>
        <w:t>1</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bookmarkStart w:id="161" w:name="_Hlk25524160"/>
      <w:r w:rsidRPr="00C060F4">
        <w:rPr>
          <w:rFonts w:ascii="Times New Roman" w:hAnsi="Times New Roman" w:cs="Times New Roman"/>
          <w:bCs/>
          <w:color w:val="auto"/>
        </w:rPr>
        <w:t>Q355</w:t>
      </w:r>
      <w:bookmarkEnd w:id="161"/>
      <w:r w:rsidRPr="00C060F4">
        <w:rPr>
          <w:rFonts w:ascii="Times New Roman" w:hAnsi="Times New Roman" w:cs="Times New Roman"/>
          <w:bCs/>
          <w:color w:val="auto"/>
        </w:rPr>
        <w:t>及以上高强钢材用量占钢材总量的比例达到</w:t>
      </w:r>
      <w:r w:rsidRPr="00C060F4">
        <w:rPr>
          <w:rFonts w:ascii="Times New Roman" w:hAnsi="Times New Roman" w:cs="Times New Roman"/>
          <w:bCs/>
          <w:color w:val="auto"/>
        </w:rPr>
        <w:t>50</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分；达到</w:t>
      </w:r>
      <w:r w:rsidRPr="00C060F4">
        <w:rPr>
          <w:rFonts w:ascii="Times New Roman" w:hAnsi="Times New Roman" w:cs="Times New Roman"/>
          <w:bCs/>
          <w:color w:val="auto"/>
        </w:rPr>
        <w:t>70</w:t>
      </w:r>
      <w:r w:rsidRPr="00C060F4">
        <w:rPr>
          <w:rFonts w:ascii="Times New Roman" w:hAnsi="Times New Roman" w:cs="Times New Roman"/>
          <w:bCs/>
          <w:color w:val="auto"/>
        </w:rPr>
        <w:t>％，得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55AE7DB9"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2</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螺栓连接等非现场焊接节点占现场全部连接、拼接节点的数量比例达到</w:t>
      </w:r>
      <w:r w:rsidRPr="00C060F4">
        <w:rPr>
          <w:rFonts w:ascii="Times New Roman" w:hAnsi="Times New Roman" w:cs="Times New Roman"/>
          <w:bCs/>
          <w:color w:val="auto"/>
        </w:rPr>
        <w:t>50</w:t>
      </w:r>
      <w:r w:rsidRPr="00C060F4">
        <w:rPr>
          <w:rFonts w:ascii="Times New Roman" w:hAnsi="Times New Roman" w:cs="Times New Roman"/>
          <w:bCs/>
          <w:color w:val="auto"/>
        </w:rPr>
        <w:t>％，得</w:t>
      </w:r>
      <w:r w:rsidRPr="00C060F4">
        <w:rPr>
          <w:rFonts w:ascii="Times New Roman" w:hAnsi="Times New Roman" w:cs="Times New Roman"/>
          <w:bCs/>
          <w:color w:val="auto"/>
        </w:rPr>
        <w:t>4</w:t>
      </w:r>
      <w:r w:rsidRPr="00C060F4">
        <w:rPr>
          <w:rFonts w:ascii="Times New Roman" w:hAnsi="Times New Roman" w:cs="Times New Roman"/>
          <w:bCs/>
          <w:color w:val="auto"/>
        </w:rPr>
        <w:t>分；</w:t>
      </w:r>
    </w:p>
    <w:p w14:paraId="2219FD9F"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lastRenderedPageBreak/>
        <w:t>3</w:t>
      </w:r>
      <w:r w:rsidRPr="00C060F4">
        <w:rPr>
          <w:rFonts w:ascii="Times New Roman" w:hAnsi="Times New Roman" w:cs="Times New Roman"/>
          <w:bCs/>
          <w:color w:val="auto"/>
        </w:rPr>
        <w:t>）</w:t>
      </w:r>
      <w:r w:rsidRPr="00C060F4">
        <w:rPr>
          <w:rFonts w:ascii="Times New Roman" w:hAnsi="Times New Roman" w:cs="Times New Roman"/>
          <w:bCs/>
          <w:color w:val="auto"/>
        </w:rPr>
        <w:t xml:space="preserve"> </w:t>
      </w:r>
      <w:r w:rsidRPr="00C060F4">
        <w:rPr>
          <w:rFonts w:ascii="Times New Roman" w:hAnsi="Times New Roman" w:cs="Times New Roman"/>
          <w:bCs/>
          <w:color w:val="auto"/>
        </w:rPr>
        <w:t>采用施工时免支撑的楼屋面板</w:t>
      </w:r>
      <w:r w:rsidRPr="00C060F4">
        <w:rPr>
          <w:rFonts w:ascii="Times New Roman" w:hAnsi="Times New Roman" w:cs="Times New Roman" w:hint="eastAsia"/>
          <w:bCs/>
          <w:color w:val="auto"/>
        </w:rPr>
        <w:t>等节材施工工艺</w:t>
      </w:r>
      <w:r w:rsidRPr="00C060F4">
        <w:rPr>
          <w:rFonts w:ascii="Times New Roman" w:hAnsi="Times New Roman" w:cs="Times New Roman"/>
          <w:bCs/>
          <w:color w:val="auto"/>
        </w:rPr>
        <w:t>，得</w:t>
      </w:r>
      <w:r w:rsidRPr="00C060F4">
        <w:rPr>
          <w:rFonts w:ascii="Times New Roman" w:hAnsi="Times New Roman" w:cs="Times New Roman"/>
          <w:bCs/>
          <w:color w:val="auto"/>
        </w:rPr>
        <w:t>2</w:t>
      </w:r>
      <w:r w:rsidRPr="00C060F4">
        <w:rPr>
          <w:rFonts w:ascii="Times New Roman" w:hAnsi="Times New Roman" w:cs="Times New Roman"/>
          <w:bCs/>
          <w:color w:val="auto"/>
        </w:rPr>
        <w:t>分。</w:t>
      </w:r>
    </w:p>
    <w:p w14:paraId="5A238750" w14:textId="77777777" w:rsidR="00C060F4" w:rsidRPr="00C060F4" w:rsidRDefault="00C060F4" w:rsidP="00C060F4">
      <w:pPr>
        <w:pStyle w:val="20"/>
        <w:snapToGrid w:val="0"/>
        <w:ind w:firstLineChars="100" w:firstLine="211"/>
        <w:jc w:val="left"/>
        <w:rPr>
          <w:rFonts w:ascii="Times New Roman" w:hAnsi="Times New Roman" w:cs="Times New Roman"/>
          <w:bCs/>
          <w:color w:val="auto"/>
        </w:rPr>
      </w:pPr>
      <w:r w:rsidRPr="00C060F4">
        <w:rPr>
          <w:rFonts w:ascii="Times New Roman" w:hAnsi="Times New Roman" w:cs="Times New Roman"/>
          <w:bCs/>
          <w:color w:val="auto"/>
        </w:rPr>
        <w:t xml:space="preserve">3 </w:t>
      </w:r>
      <w:r w:rsidRPr="00C060F4">
        <w:rPr>
          <w:rFonts w:ascii="Times New Roman" w:hAnsi="Times New Roman" w:cs="Times New Roman"/>
          <w:bCs/>
          <w:color w:val="auto"/>
        </w:rPr>
        <w:t>混合结构：对其混凝土结构部分、钢结构部分，分别按本条第</w:t>
      </w:r>
      <w:r w:rsidRPr="00C060F4">
        <w:rPr>
          <w:rFonts w:ascii="Times New Roman" w:hAnsi="Times New Roman" w:cs="Times New Roman"/>
          <w:bCs/>
          <w:color w:val="auto"/>
        </w:rPr>
        <w:t>1</w:t>
      </w:r>
      <w:r w:rsidRPr="00C060F4">
        <w:rPr>
          <w:rFonts w:ascii="Times New Roman" w:hAnsi="Times New Roman" w:cs="Times New Roman"/>
          <w:bCs/>
          <w:color w:val="auto"/>
        </w:rPr>
        <w:t>款、第</w:t>
      </w:r>
      <w:r w:rsidRPr="00C060F4">
        <w:rPr>
          <w:rFonts w:ascii="Times New Roman" w:hAnsi="Times New Roman" w:cs="Times New Roman"/>
          <w:bCs/>
          <w:color w:val="auto"/>
        </w:rPr>
        <w:t>2</w:t>
      </w:r>
      <w:r w:rsidRPr="00C060F4">
        <w:rPr>
          <w:rFonts w:ascii="Times New Roman" w:hAnsi="Times New Roman" w:cs="Times New Roman"/>
          <w:bCs/>
          <w:color w:val="auto"/>
        </w:rPr>
        <w:t>款进行评价，得分取各项得分的</w:t>
      </w:r>
      <w:r w:rsidRPr="00C060F4">
        <w:rPr>
          <w:rFonts w:ascii="Times New Roman" w:hAnsi="Times New Roman" w:cs="Times New Roman" w:hint="eastAsia"/>
          <w:bCs/>
          <w:color w:val="auto"/>
        </w:rPr>
        <w:t>最低分</w:t>
      </w:r>
      <w:r w:rsidRPr="00C060F4">
        <w:rPr>
          <w:rFonts w:ascii="Times New Roman" w:hAnsi="Times New Roman" w:cs="Times New Roman"/>
          <w:bCs/>
          <w:color w:val="auto"/>
        </w:rPr>
        <w:t>。</w:t>
      </w:r>
    </w:p>
    <w:p w14:paraId="6DF8EA11" w14:textId="77777777" w:rsidR="00715ABB" w:rsidRPr="0081478A" w:rsidRDefault="00F44390" w:rsidP="009252F8">
      <w:pPr>
        <w:pStyle w:val="20"/>
      </w:pPr>
      <w:r w:rsidRPr="0081478A">
        <w:t>【条文说明】</w:t>
      </w:r>
    </w:p>
    <w:p w14:paraId="6C42C148" w14:textId="77777777" w:rsidR="0052438D" w:rsidRPr="00530A11" w:rsidRDefault="0052438D" w:rsidP="0052438D">
      <w:pPr>
        <w:ind w:firstLine="420"/>
        <w:rPr>
          <w:szCs w:val="24"/>
        </w:rPr>
      </w:pPr>
      <w:r w:rsidRPr="00530A11">
        <w:t>本条适用于各类民用建筑的预评价、评价。</w:t>
      </w:r>
    </w:p>
    <w:p w14:paraId="57FDE170"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7.2.10</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7.2.11</w:t>
      </w:r>
      <w:r w:rsidRPr="00530A11">
        <w:rPr>
          <w:rFonts w:cs="Times New Roman"/>
        </w:rPr>
        <w:t>条的基础上发展而来。</w:t>
      </w:r>
    </w:p>
    <w:p w14:paraId="41BE7050" w14:textId="77777777" w:rsidR="0052438D" w:rsidRPr="00530A11" w:rsidRDefault="0052438D" w:rsidP="0052438D">
      <w:pPr>
        <w:ind w:firstLine="420"/>
        <w:rPr>
          <w:rFonts w:cs="Times New Roman"/>
        </w:rPr>
      </w:pPr>
      <w:r w:rsidRPr="00530A11">
        <w:rPr>
          <w:rFonts w:cs="Times New Roman"/>
        </w:rPr>
        <w:t>合理选用建筑结构材料，可减小构件的截面尺寸及材料用量，同时也可减轻结构自重，减小地震作用及地基基础的材料消耗，节材效果显著优于同类建材。</w:t>
      </w:r>
    </w:p>
    <w:p w14:paraId="41E772BF" w14:textId="77777777" w:rsidR="0052438D" w:rsidRPr="00530A11" w:rsidRDefault="0052438D" w:rsidP="0052438D">
      <w:pPr>
        <w:ind w:firstLine="420"/>
        <w:rPr>
          <w:rFonts w:cs="Times New Roman"/>
        </w:rPr>
      </w:pPr>
      <w:r w:rsidRPr="00530A11">
        <w:rPr>
          <w:rFonts w:cs="Times New Roman"/>
        </w:rPr>
        <w:t>本条中建筑结构材料主要指高强度钢筋、高强度混凝土、高强钢材。高强度钢筋包括</w:t>
      </w:r>
      <w:r w:rsidRPr="00530A11">
        <w:rPr>
          <w:rFonts w:cs="Times New Roman"/>
        </w:rPr>
        <w:t>400MPa</w:t>
      </w:r>
      <w:r w:rsidRPr="00530A11">
        <w:rPr>
          <w:rFonts w:cs="Times New Roman"/>
        </w:rPr>
        <w:t>级及以上受力普通钢筋（包括梁、柱、墙、板、基础等构件中的纵向受力钢筋及箍筋），高强混凝土包括</w:t>
      </w:r>
      <w:r w:rsidRPr="00530A11">
        <w:rPr>
          <w:rFonts w:cs="Times New Roman"/>
        </w:rPr>
        <w:t>C50</w:t>
      </w:r>
      <w:r w:rsidRPr="00530A11">
        <w:rPr>
          <w:rFonts w:cs="Times New Roman"/>
        </w:rPr>
        <w:t>及以上混凝土，高强度钢材包括现行国家标准《钢结构设计标准》</w:t>
      </w:r>
      <w:r w:rsidRPr="00530A11">
        <w:rPr>
          <w:rFonts w:cs="Times New Roman"/>
        </w:rPr>
        <w:t>GB 50017</w:t>
      </w:r>
      <w:r w:rsidRPr="00530A11">
        <w:rPr>
          <w:rFonts w:cs="Times New Roman"/>
        </w:rPr>
        <w:t>规定的</w:t>
      </w:r>
      <w:r w:rsidRPr="00530A11">
        <w:rPr>
          <w:rFonts w:cs="Times New Roman"/>
        </w:rPr>
        <w:t>Q355</w:t>
      </w:r>
      <w:r w:rsidRPr="00530A11">
        <w:rPr>
          <w:rFonts w:cs="Times New Roman"/>
        </w:rPr>
        <w:t>级以上高强钢材。采用混合结构时，考虑混凝土、钢的组合作用优化结构设计，可达到较好的节材效果。</w:t>
      </w:r>
    </w:p>
    <w:p w14:paraId="6729E060" w14:textId="77777777" w:rsidR="0052438D" w:rsidRPr="00530A11" w:rsidRDefault="0052438D" w:rsidP="0052438D">
      <w:pPr>
        <w:ind w:firstLine="420"/>
        <w:rPr>
          <w:rFonts w:cs="Times New Roman"/>
        </w:rPr>
      </w:pPr>
      <w:r w:rsidRPr="00530A11">
        <w:rPr>
          <w:rFonts w:cs="Times New Roman"/>
        </w:rPr>
        <w:t>材料用量比例应按以下规则进行计算：</w:t>
      </w:r>
    </w:p>
    <w:p w14:paraId="4C91BEA8" w14:textId="77777777" w:rsidR="0052438D" w:rsidRPr="00530A11" w:rsidRDefault="0052438D" w:rsidP="0052438D">
      <w:pPr>
        <w:ind w:firstLine="420"/>
        <w:rPr>
          <w:rFonts w:cs="Times New Roman"/>
        </w:rPr>
      </w:pPr>
      <w:r w:rsidRPr="00530A11">
        <w:rPr>
          <w:rFonts w:cs="Times New Roman"/>
        </w:rPr>
        <w:t xml:space="preserve">1 </w:t>
      </w:r>
      <w:r w:rsidRPr="00530A11">
        <w:rPr>
          <w:rFonts w:cs="Times New Roman"/>
        </w:rPr>
        <w:t>对于混凝土结构，需计算高强度钢筋比例、高强混凝土比例；</w:t>
      </w:r>
    </w:p>
    <w:p w14:paraId="0E4C0F92" w14:textId="77777777" w:rsidR="0052438D" w:rsidRPr="00530A11" w:rsidRDefault="0052438D" w:rsidP="0052438D">
      <w:pPr>
        <w:ind w:firstLine="420"/>
        <w:rPr>
          <w:rFonts w:cs="Times New Roman"/>
        </w:rPr>
      </w:pPr>
      <w:r w:rsidRPr="00530A11">
        <w:rPr>
          <w:rFonts w:cs="Times New Roman"/>
        </w:rPr>
        <w:t xml:space="preserve">2 </w:t>
      </w:r>
      <w:r w:rsidRPr="00530A11">
        <w:rPr>
          <w:rFonts w:cs="Times New Roman"/>
        </w:rPr>
        <w:t>对于钢结构，需计算高强钢材比例、螺栓连接节点数量比例；</w:t>
      </w:r>
    </w:p>
    <w:p w14:paraId="16FE1408" w14:textId="77777777" w:rsidR="0052438D" w:rsidRPr="00530A11" w:rsidRDefault="0052438D" w:rsidP="0052438D">
      <w:pPr>
        <w:ind w:firstLine="420"/>
        <w:rPr>
          <w:rFonts w:cs="Times New Roman"/>
        </w:rPr>
      </w:pPr>
      <w:r w:rsidRPr="00530A11">
        <w:rPr>
          <w:rFonts w:cs="Times New Roman"/>
        </w:rPr>
        <w:t xml:space="preserve">3 </w:t>
      </w:r>
      <w:r w:rsidRPr="00530A11">
        <w:rPr>
          <w:rFonts w:cs="Times New Roman"/>
        </w:rPr>
        <w:t>对于混合结构，除计算以上材料之外，还需计算建筑结构比例。</w:t>
      </w:r>
    </w:p>
    <w:p w14:paraId="60554BE6" w14:textId="6900D567" w:rsidR="00EF512F" w:rsidRPr="009252F8" w:rsidRDefault="00EF512F" w:rsidP="009252F8">
      <w:pPr>
        <w:pStyle w:val="20"/>
      </w:pPr>
      <w:r w:rsidRPr="0081478A">
        <w:t>【评价要点】</w:t>
      </w:r>
    </w:p>
    <w:p w14:paraId="434D9903" w14:textId="10088DE6" w:rsidR="00EF512F" w:rsidRPr="0081478A" w:rsidRDefault="00C035D8" w:rsidP="00C035D8">
      <w:pPr>
        <w:ind w:firstLine="420"/>
        <w:rPr>
          <w:rFonts w:cs="Times New Roman"/>
        </w:rPr>
      </w:pPr>
      <w:r w:rsidRPr="00C035D8">
        <w:rPr>
          <w:rFonts w:cs="Times New Roman" w:hint="eastAsia"/>
        </w:rPr>
        <w:t>第</w:t>
      </w:r>
      <w:r w:rsidRPr="00C035D8">
        <w:rPr>
          <w:rFonts w:cs="Times New Roman" w:hint="eastAsia"/>
        </w:rPr>
        <w:t>1</w:t>
      </w:r>
      <w:r w:rsidRPr="00C035D8">
        <w:rPr>
          <w:rFonts w:cs="Times New Roman" w:hint="eastAsia"/>
        </w:rPr>
        <w:t>款第</w:t>
      </w:r>
      <w:r w:rsidRPr="00C035D8">
        <w:rPr>
          <w:rFonts w:cs="Times New Roman" w:hint="eastAsia"/>
        </w:rPr>
        <w:t>1</w:t>
      </w:r>
      <w:r w:rsidRPr="00C035D8">
        <w:rPr>
          <w:rFonts w:cs="Times New Roman" w:hint="eastAsia"/>
        </w:rPr>
        <w:t>点</w:t>
      </w:r>
      <w:r w:rsidR="005B519D" w:rsidRPr="0081478A">
        <w:rPr>
          <w:rFonts w:cs="Times New Roman"/>
        </w:rPr>
        <w:t>高强度材料使用比例计算报告需满足附录</w:t>
      </w:r>
      <w:r w:rsidR="0004349A" w:rsidRPr="0004349A">
        <w:rPr>
          <w:rFonts w:hint="eastAsia"/>
        </w:rPr>
        <w:t xml:space="preserve"> </w:t>
      </w:r>
      <w:r w:rsidR="0004349A">
        <w:rPr>
          <w:rFonts w:hint="eastAsia"/>
        </w:rPr>
        <w:t>B.</w:t>
      </w:r>
      <w:r w:rsidR="0004349A" w:rsidRPr="00216B28">
        <w:t>4</w:t>
      </w:r>
      <w:r w:rsidR="005B519D" w:rsidRPr="0081478A">
        <w:rPr>
          <w:rFonts w:cs="Times New Roman"/>
        </w:rPr>
        <w:t>的要求。</w:t>
      </w:r>
      <w:r>
        <w:rPr>
          <w:rFonts w:cs="Times New Roman" w:hint="eastAsia"/>
        </w:rPr>
        <w:t>第</w:t>
      </w:r>
      <w:r>
        <w:rPr>
          <w:rFonts w:cs="Times New Roman" w:hint="eastAsia"/>
        </w:rPr>
        <w:t>2</w:t>
      </w:r>
      <w:r>
        <w:rPr>
          <w:rFonts w:cs="Times New Roman" w:hint="eastAsia"/>
        </w:rPr>
        <w:t>点</w:t>
      </w:r>
      <w:r w:rsidR="00DD3FE4" w:rsidRPr="0081478A">
        <w:rPr>
          <w:rFonts w:cs="Times New Roman"/>
        </w:rPr>
        <w:t>建筑和车库均可采用高耐久性建筑结构材料</w:t>
      </w:r>
      <w:r>
        <w:rPr>
          <w:rFonts w:cs="Times New Roman" w:hint="eastAsia"/>
        </w:rPr>
        <w:t>。</w:t>
      </w:r>
      <w:r w:rsidR="00EF512F" w:rsidRPr="0081478A">
        <w:rPr>
          <w:rFonts w:cs="Times New Roman"/>
        </w:rPr>
        <w:t>第</w:t>
      </w:r>
      <w:r w:rsidR="00EF512F" w:rsidRPr="0081478A">
        <w:rPr>
          <w:rFonts w:cs="Times New Roman"/>
        </w:rPr>
        <w:t>1</w:t>
      </w:r>
      <w:r w:rsidR="00EF512F" w:rsidRPr="0081478A">
        <w:rPr>
          <w:rFonts w:cs="Times New Roman"/>
        </w:rPr>
        <w:t>款涉及到的材料比例应按单体建筑计算。</w:t>
      </w:r>
    </w:p>
    <w:p w14:paraId="12F3D57E" w14:textId="77777777" w:rsidR="00EF512F" w:rsidRPr="0081478A" w:rsidRDefault="00EF512F" w:rsidP="00EF512F">
      <w:pPr>
        <w:ind w:firstLine="420"/>
        <w:rPr>
          <w:rFonts w:cs="Times New Roman"/>
        </w:rPr>
      </w:pPr>
      <w:r w:rsidRPr="0081478A">
        <w:rPr>
          <w:rFonts w:cs="Times New Roman"/>
        </w:rPr>
        <w:t>第</w:t>
      </w:r>
      <w:r w:rsidRPr="0081478A">
        <w:rPr>
          <w:rFonts w:cs="Times New Roman"/>
        </w:rPr>
        <w:t>2</w:t>
      </w:r>
      <w:r w:rsidRPr="0081478A">
        <w:rPr>
          <w:rFonts w:cs="Times New Roman"/>
        </w:rPr>
        <w:t>款第</w:t>
      </w:r>
      <w:r w:rsidRPr="0081478A">
        <w:rPr>
          <w:rFonts w:cs="Times New Roman"/>
        </w:rPr>
        <w:t>1</w:t>
      </w:r>
      <w:r w:rsidRPr="0081478A">
        <w:rPr>
          <w:rFonts w:cs="Times New Roman"/>
        </w:rPr>
        <w:t>点在《低合金高强度结构钢》</w:t>
      </w:r>
      <w:r w:rsidRPr="0081478A">
        <w:rPr>
          <w:rFonts w:cs="Times New Roman"/>
        </w:rPr>
        <w:t>GB/T 1591-2018</w:t>
      </w:r>
      <w:r w:rsidRPr="0081478A">
        <w:rPr>
          <w:rFonts w:cs="Times New Roman"/>
        </w:rPr>
        <w:t>中，</w:t>
      </w:r>
      <w:r w:rsidRPr="0081478A">
        <w:rPr>
          <w:rFonts w:cs="Times New Roman"/>
        </w:rPr>
        <w:t>Q345</w:t>
      </w:r>
      <w:r w:rsidRPr="0081478A">
        <w:rPr>
          <w:rFonts w:cs="Times New Roman"/>
        </w:rPr>
        <w:t>钢材牌号已更改为</w:t>
      </w:r>
      <w:r w:rsidRPr="0081478A">
        <w:rPr>
          <w:rFonts w:cs="Times New Roman"/>
        </w:rPr>
        <w:t>Q355</w:t>
      </w:r>
      <w:r w:rsidRPr="0081478A">
        <w:rPr>
          <w:rFonts w:cs="Times New Roman"/>
        </w:rPr>
        <w:t>。第</w:t>
      </w:r>
      <w:r w:rsidRPr="0081478A">
        <w:rPr>
          <w:rFonts w:cs="Times New Roman"/>
        </w:rPr>
        <w:t>3</w:t>
      </w:r>
      <w:r w:rsidRPr="0081478A">
        <w:rPr>
          <w:rFonts w:cs="Times New Roman"/>
        </w:rPr>
        <w:t>点所指的施工时免支撑的楼屋面板，包括各种类型的钢筋混凝土叠合板或预应力混凝土叠合板，对于楼屋面采用工具式脚手架与配套定型模板施工的，可达到免抹灰效果，采用模板保温一体化等节材施工工艺，可有效达到节能节材效果。</w:t>
      </w:r>
    </w:p>
    <w:p w14:paraId="7A06FCE3" w14:textId="33386EF9" w:rsidR="00EF512F" w:rsidRPr="0081478A" w:rsidRDefault="00EF512F" w:rsidP="00C035D8">
      <w:pPr>
        <w:ind w:firstLine="420"/>
        <w:rPr>
          <w:rFonts w:cs="Times New Roman"/>
        </w:rPr>
      </w:pPr>
      <w:r w:rsidRPr="0081478A">
        <w:rPr>
          <w:rFonts w:cs="Times New Roman"/>
        </w:rPr>
        <w:t>第</w:t>
      </w:r>
      <w:r w:rsidRPr="0081478A">
        <w:rPr>
          <w:rFonts w:cs="Times New Roman"/>
        </w:rPr>
        <w:t>3</w:t>
      </w:r>
      <w:r w:rsidRPr="0081478A">
        <w:rPr>
          <w:rFonts w:cs="Times New Roman"/>
        </w:rPr>
        <w:t>款，对于混合结构，考虑混凝土、钢的组合作用优化结构设计，可达到较好的节材效果。当建筑结构材料与构件中的地上所有竖向承重构件为钢构件或者钢包混凝土构件，楼面结构是钢梁与混凝土组合楼面时，按第</w:t>
      </w:r>
      <w:r w:rsidRPr="0081478A">
        <w:rPr>
          <w:rFonts w:cs="Times New Roman"/>
        </w:rPr>
        <w:t>2</w:t>
      </w:r>
      <w:r w:rsidRPr="0081478A">
        <w:rPr>
          <w:rFonts w:cs="Times New Roman"/>
        </w:rPr>
        <w:t>款计算分值。其余混合结构，按照材料用量比例计算，最终得分应在分别对应第</w:t>
      </w:r>
      <w:r w:rsidRPr="0081478A">
        <w:rPr>
          <w:rFonts w:cs="Times New Roman"/>
        </w:rPr>
        <w:t>1</w:t>
      </w:r>
      <w:r w:rsidRPr="0081478A">
        <w:rPr>
          <w:rFonts w:cs="Times New Roman"/>
        </w:rPr>
        <w:t>款、第</w:t>
      </w:r>
      <w:r w:rsidRPr="0081478A">
        <w:rPr>
          <w:rFonts w:cs="Times New Roman"/>
        </w:rPr>
        <w:t>2</w:t>
      </w:r>
      <w:r w:rsidRPr="0081478A">
        <w:rPr>
          <w:rFonts w:cs="Times New Roman"/>
        </w:rPr>
        <w:t>款评分后</w:t>
      </w:r>
      <w:r w:rsidR="00474B83" w:rsidRPr="0081478A">
        <w:rPr>
          <w:rFonts w:cs="Times New Roman"/>
        </w:rPr>
        <w:t>取最低分。</w:t>
      </w:r>
    </w:p>
    <w:p w14:paraId="79209396" w14:textId="77777777" w:rsidR="00715ABB" w:rsidRPr="009252F8" w:rsidRDefault="00F44390" w:rsidP="009252F8">
      <w:pPr>
        <w:pStyle w:val="20"/>
      </w:pPr>
      <w:r w:rsidRPr="0081478A">
        <w:lastRenderedPageBreak/>
        <w:t>【评价方法】</w:t>
      </w:r>
    </w:p>
    <w:p w14:paraId="014A0FB7"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预评价查阅相关设计文件、各类材料用量比例计算书；评价查阅相关竣工图、施工记录、材料决算清单、各类材料用量比例计算书，查看施工过程影像资料。</w:t>
      </w:r>
    </w:p>
    <w:p w14:paraId="0E8943B1" w14:textId="77777777" w:rsidR="00715ABB" w:rsidRPr="00E905A0" w:rsidRDefault="00715ABB">
      <w:pPr>
        <w:ind w:firstLineChars="0" w:firstLine="0"/>
        <w:rPr>
          <w:rFonts w:cs="Times New Roman"/>
          <w:bCs/>
          <w:kern w:val="44"/>
          <w:szCs w:val="24"/>
        </w:rPr>
      </w:pPr>
    </w:p>
    <w:p w14:paraId="75CF8371" w14:textId="77777777" w:rsidR="00C060F4" w:rsidRPr="00530A11" w:rsidRDefault="00C060F4" w:rsidP="00C060F4">
      <w:pPr>
        <w:pStyle w:val="4"/>
        <w:rPr>
          <w:rFonts w:cs="Times New Roman"/>
          <w:bCs w:val="0"/>
        </w:rPr>
      </w:pPr>
      <w:r w:rsidRPr="00530A11">
        <w:rPr>
          <w:rFonts w:cs="Times New Roman"/>
          <w:bCs w:val="0"/>
        </w:rPr>
        <w:t xml:space="preserve">7.2.17 </w:t>
      </w:r>
      <w:r w:rsidRPr="00530A11">
        <w:rPr>
          <w:rFonts w:cs="Times New Roman"/>
          <w:bCs w:val="0"/>
        </w:rPr>
        <w:t>建筑装修选用工业化内装部品，评价总分值为</w:t>
      </w:r>
      <w:r w:rsidRPr="00530A11">
        <w:rPr>
          <w:rFonts w:cs="Times New Roman"/>
          <w:bCs w:val="0"/>
        </w:rPr>
        <w:t>8</w:t>
      </w:r>
      <w:r w:rsidRPr="00530A11">
        <w:rPr>
          <w:rFonts w:cs="Times New Roman"/>
          <w:bCs w:val="0"/>
        </w:rPr>
        <w:t>分。建筑装修选用工业化内装部品占同类部品用量比例达到</w:t>
      </w:r>
      <w:r w:rsidRPr="00530A11">
        <w:rPr>
          <w:rFonts w:cs="Times New Roman"/>
          <w:bCs w:val="0"/>
        </w:rPr>
        <w:t>50</w:t>
      </w:r>
      <w:r w:rsidRPr="00530A11">
        <w:rPr>
          <w:rFonts w:cs="Times New Roman"/>
          <w:bCs w:val="0"/>
        </w:rPr>
        <w:t>％以上的部品种类，达到</w:t>
      </w:r>
      <w:r w:rsidRPr="00530A11">
        <w:rPr>
          <w:rFonts w:cs="Times New Roman"/>
          <w:bCs w:val="0"/>
        </w:rPr>
        <w:t>1</w:t>
      </w:r>
      <w:r w:rsidRPr="00530A11">
        <w:rPr>
          <w:rFonts w:cs="Times New Roman"/>
          <w:bCs w:val="0"/>
        </w:rPr>
        <w:t>种，得</w:t>
      </w:r>
      <w:r w:rsidRPr="00530A11">
        <w:rPr>
          <w:rFonts w:cs="Times New Roman"/>
          <w:bCs w:val="0"/>
        </w:rPr>
        <w:t>3</w:t>
      </w:r>
      <w:r w:rsidRPr="00530A11">
        <w:rPr>
          <w:rFonts w:cs="Times New Roman"/>
          <w:bCs w:val="0"/>
        </w:rPr>
        <w:t>分；达到</w:t>
      </w:r>
      <w:r w:rsidRPr="00530A11">
        <w:rPr>
          <w:rFonts w:cs="Times New Roman"/>
          <w:bCs w:val="0"/>
        </w:rPr>
        <w:t>3</w:t>
      </w:r>
      <w:r w:rsidRPr="00530A11">
        <w:rPr>
          <w:rFonts w:cs="Times New Roman"/>
          <w:bCs w:val="0"/>
        </w:rPr>
        <w:t>种，得</w:t>
      </w:r>
      <w:r w:rsidRPr="00530A11">
        <w:rPr>
          <w:rFonts w:cs="Times New Roman"/>
          <w:bCs w:val="0"/>
        </w:rPr>
        <w:t>5</w:t>
      </w:r>
      <w:r w:rsidRPr="00530A11">
        <w:rPr>
          <w:rFonts w:cs="Times New Roman"/>
          <w:bCs w:val="0"/>
        </w:rPr>
        <w:t>分；达到</w:t>
      </w:r>
      <w:r w:rsidRPr="00530A11">
        <w:rPr>
          <w:rFonts w:cs="Times New Roman"/>
          <w:bCs w:val="0"/>
        </w:rPr>
        <w:t>3</w:t>
      </w:r>
      <w:r w:rsidRPr="00530A11">
        <w:rPr>
          <w:rFonts w:cs="Times New Roman"/>
          <w:bCs w:val="0"/>
        </w:rPr>
        <w:t>种以上，得</w:t>
      </w:r>
      <w:r w:rsidRPr="00530A11">
        <w:rPr>
          <w:rFonts w:cs="Times New Roman"/>
          <w:bCs w:val="0"/>
        </w:rPr>
        <w:t>8</w:t>
      </w:r>
      <w:r w:rsidRPr="00530A11">
        <w:rPr>
          <w:rFonts w:cs="Times New Roman"/>
          <w:bCs w:val="0"/>
        </w:rPr>
        <w:t>分。</w:t>
      </w:r>
    </w:p>
    <w:p w14:paraId="0861F0DD" w14:textId="77777777" w:rsidR="00715ABB" w:rsidRPr="0081478A" w:rsidRDefault="00F44390" w:rsidP="009252F8">
      <w:pPr>
        <w:pStyle w:val="20"/>
      </w:pPr>
      <w:r w:rsidRPr="0081478A">
        <w:t>【条文说明】</w:t>
      </w:r>
    </w:p>
    <w:p w14:paraId="32DA5DEF" w14:textId="77777777" w:rsidR="0052438D" w:rsidRPr="00530A11" w:rsidRDefault="0052438D" w:rsidP="0052438D">
      <w:pPr>
        <w:ind w:firstLine="420"/>
        <w:rPr>
          <w:szCs w:val="24"/>
        </w:rPr>
      </w:pPr>
      <w:r w:rsidRPr="00530A11">
        <w:t>本条适用于各类民用建筑的预评价、评价。</w:t>
      </w:r>
    </w:p>
    <w:p w14:paraId="7E5263C2"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年版的第</w:t>
      </w:r>
      <w:r w:rsidRPr="00530A11">
        <w:rPr>
          <w:rFonts w:cs="Times New Roman"/>
        </w:rPr>
        <w:t>7.2.6</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7.2.7</w:t>
      </w:r>
      <w:r w:rsidRPr="00530A11">
        <w:rPr>
          <w:rFonts w:cs="Times New Roman"/>
        </w:rPr>
        <w:t>条的基础上发展而来。</w:t>
      </w:r>
    </w:p>
    <w:p w14:paraId="39C9F5E6" w14:textId="77777777" w:rsidR="0052438D" w:rsidRPr="00530A11" w:rsidRDefault="0052438D" w:rsidP="0052438D">
      <w:pPr>
        <w:ind w:firstLine="420"/>
        <w:rPr>
          <w:rFonts w:cs="Times New Roman"/>
        </w:rPr>
      </w:pPr>
      <w:r w:rsidRPr="00530A11">
        <w:rPr>
          <w:rFonts w:cs="Times New Roman"/>
        </w:rPr>
        <w:t>本条在国家标准《装配式建筑评价标准》</w:t>
      </w:r>
      <w:r w:rsidRPr="00530A11">
        <w:rPr>
          <w:rFonts w:cs="Times New Roman"/>
        </w:rPr>
        <w:t>GB/T 51129-2017</w:t>
      </w:r>
      <w:r w:rsidRPr="00530A11">
        <w:rPr>
          <w:rFonts w:cs="Times New Roman"/>
        </w:rPr>
        <w:t>基础上进一步明确要求。工业化内装部品主要包括整体卫浴、整体厨房、装配式吊顶、干式工法地面、装配式内墙、管线集成与设备设施等。</w:t>
      </w:r>
    </w:p>
    <w:p w14:paraId="25CA66FE" w14:textId="77777777" w:rsidR="00EF512F" w:rsidRPr="009252F8" w:rsidRDefault="00EF512F" w:rsidP="009252F8">
      <w:pPr>
        <w:pStyle w:val="20"/>
      </w:pPr>
      <w:r w:rsidRPr="0081478A">
        <w:t>【评价要点】</w:t>
      </w:r>
    </w:p>
    <w:p w14:paraId="3F99D844" w14:textId="4949DA51" w:rsidR="00374049" w:rsidRPr="0081478A" w:rsidRDefault="007111B5" w:rsidP="007111B5">
      <w:pPr>
        <w:ind w:firstLine="420"/>
        <w:rPr>
          <w:rFonts w:cs="Times New Roman"/>
        </w:rPr>
      </w:pPr>
      <w:r>
        <w:rPr>
          <w:rFonts w:cs="Times New Roman" w:hint="eastAsia"/>
        </w:rPr>
        <w:t>重点查阅</w:t>
      </w:r>
      <w:r w:rsidR="00374049" w:rsidRPr="0081478A">
        <w:rPr>
          <w:rFonts w:cs="Times New Roman"/>
        </w:rPr>
        <w:t>工业化内装部品用量比例计算书</w:t>
      </w:r>
      <w:r>
        <w:rPr>
          <w:rFonts w:cs="Times New Roman" w:hint="eastAsia"/>
        </w:rPr>
        <w:t>，核查</w:t>
      </w:r>
      <w:r w:rsidRPr="007111B5">
        <w:rPr>
          <w:rFonts w:cs="Times New Roman" w:hint="eastAsia"/>
        </w:rPr>
        <w:t>工业化内装部品占同类部品用量比例达到</w:t>
      </w:r>
      <w:r w:rsidRPr="007111B5">
        <w:rPr>
          <w:rFonts w:cs="Times New Roman" w:hint="eastAsia"/>
        </w:rPr>
        <w:t>50</w:t>
      </w:r>
      <w:r w:rsidRPr="007111B5">
        <w:rPr>
          <w:rFonts w:cs="Times New Roman" w:hint="eastAsia"/>
        </w:rPr>
        <w:t>％以上的部品种类</w:t>
      </w:r>
      <w:r>
        <w:rPr>
          <w:rFonts w:cs="Times New Roman" w:hint="eastAsia"/>
        </w:rPr>
        <w:t>。</w:t>
      </w:r>
    </w:p>
    <w:p w14:paraId="3ACFACE3" w14:textId="77777777" w:rsidR="00715ABB" w:rsidRPr="009252F8" w:rsidRDefault="00F44390" w:rsidP="009252F8">
      <w:pPr>
        <w:pStyle w:val="20"/>
      </w:pPr>
      <w:r w:rsidRPr="0081478A">
        <w:t>【评价方法】</w:t>
      </w:r>
    </w:p>
    <w:p w14:paraId="3A8F960E"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预评价查阅相关设计文件（建筑及装修专业施工图、工业化内装部品施工图）、工业化内装部品用量比例计算书；评价查阅相关竣工图、工业化内装部品用量比例计算书。</w:t>
      </w:r>
    </w:p>
    <w:p w14:paraId="3FE15941" w14:textId="77777777" w:rsidR="00715ABB" w:rsidRPr="00E905A0" w:rsidRDefault="00715ABB">
      <w:pPr>
        <w:ind w:firstLineChars="0" w:firstLine="0"/>
        <w:rPr>
          <w:rFonts w:cs="Times New Roman"/>
          <w:bCs/>
          <w:kern w:val="44"/>
          <w:szCs w:val="24"/>
        </w:rPr>
      </w:pPr>
    </w:p>
    <w:p w14:paraId="618CD61D" w14:textId="77777777" w:rsidR="00C060F4" w:rsidRPr="00530A11" w:rsidRDefault="00C060F4" w:rsidP="00C060F4">
      <w:pPr>
        <w:pStyle w:val="4"/>
        <w:rPr>
          <w:rFonts w:cs="Times New Roman"/>
          <w:bCs w:val="0"/>
        </w:rPr>
      </w:pPr>
      <w:r w:rsidRPr="00530A11">
        <w:rPr>
          <w:rFonts w:cs="Times New Roman"/>
          <w:bCs w:val="0"/>
        </w:rPr>
        <w:t xml:space="preserve">7.2.18 </w:t>
      </w:r>
      <w:r w:rsidRPr="00530A11">
        <w:rPr>
          <w:rFonts w:cs="Times New Roman"/>
          <w:bCs w:val="0"/>
        </w:rPr>
        <w:t>选用可再循环材料、可再利用材料及利废建材，评价总分值为</w:t>
      </w:r>
      <w:r w:rsidRPr="00530A11">
        <w:rPr>
          <w:rFonts w:cs="Times New Roman"/>
          <w:bCs w:val="0"/>
        </w:rPr>
        <w:t>10</w:t>
      </w:r>
      <w:r w:rsidRPr="00530A11">
        <w:rPr>
          <w:rFonts w:cs="Times New Roman"/>
          <w:bCs w:val="0"/>
        </w:rPr>
        <w:t>分，并按下列规则分别评分并累计：</w:t>
      </w:r>
    </w:p>
    <w:p w14:paraId="72FF1323" w14:textId="77777777" w:rsidR="00C060F4" w:rsidRPr="00C060F4" w:rsidRDefault="00C060F4" w:rsidP="00C060F4">
      <w:pPr>
        <w:pStyle w:val="20"/>
        <w:snapToGrid w:val="0"/>
        <w:ind w:firstLineChars="100" w:firstLine="211"/>
        <w:jc w:val="left"/>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可再循环材料和可再利用材料用量比例，按下列规则评分：</w:t>
      </w:r>
    </w:p>
    <w:p w14:paraId="3E8E288A"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住宅建筑达到</w:t>
      </w:r>
      <w:r w:rsidRPr="00C060F4">
        <w:rPr>
          <w:rFonts w:ascii="Times New Roman" w:hAnsi="Times New Roman" w:cs="Times New Roman"/>
          <w:bCs/>
          <w:color w:val="auto"/>
        </w:rPr>
        <w:t>6</w:t>
      </w:r>
      <w:r w:rsidRPr="00C060F4">
        <w:rPr>
          <w:rFonts w:ascii="Times New Roman" w:hAnsi="Times New Roman" w:cs="Times New Roman"/>
          <w:bCs/>
          <w:color w:val="auto"/>
        </w:rPr>
        <w:t>％或公共建筑达到</w:t>
      </w:r>
      <w:r w:rsidRPr="00C060F4">
        <w:rPr>
          <w:rFonts w:ascii="Times New Roman" w:hAnsi="Times New Roman" w:cs="Times New Roman"/>
          <w:bCs/>
          <w:color w:val="auto"/>
        </w:rPr>
        <w:t>10</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w:t>
      </w:r>
    </w:p>
    <w:p w14:paraId="6EB615AA"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住宅建筑达到</w:t>
      </w:r>
      <w:r w:rsidRPr="00C060F4">
        <w:rPr>
          <w:rFonts w:ascii="Times New Roman" w:hAnsi="Times New Roman" w:cs="Times New Roman"/>
          <w:bCs/>
          <w:color w:val="auto"/>
        </w:rPr>
        <w:t>10</w:t>
      </w:r>
      <w:r w:rsidRPr="00C060F4">
        <w:rPr>
          <w:rFonts w:ascii="Times New Roman" w:hAnsi="Times New Roman" w:cs="Times New Roman"/>
          <w:bCs/>
          <w:color w:val="auto"/>
        </w:rPr>
        <w:t>％或公共建筑达到</w:t>
      </w:r>
      <w:r w:rsidRPr="00C060F4">
        <w:rPr>
          <w:rFonts w:ascii="Times New Roman" w:hAnsi="Times New Roman" w:cs="Times New Roman"/>
          <w:bCs/>
          <w:color w:val="auto"/>
        </w:rPr>
        <w:t>15</w:t>
      </w:r>
      <w:r w:rsidRPr="00C060F4">
        <w:rPr>
          <w:rFonts w:ascii="Times New Roman" w:hAnsi="Times New Roman" w:cs="Times New Roman"/>
          <w:bCs/>
          <w:color w:val="auto"/>
        </w:rPr>
        <w:t>％，得</w:t>
      </w:r>
      <w:r w:rsidRPr="00C060F4">
        <w:rPr>
          <w:rFonts w:ascii="Times New Roman" w:hAnsi="Times New Roman" w:cs="Times New Roman"/>
          <w:bCs/>
          <w:color w:val="auto"/>
        </w:rPr>
        <w:t>5</w:t>
      </w:r>
      <w:r w:rsidRPr="00C060F4">
        <w:rPr>
          <w:rFonts w:ascii="Times New Roman" w:hAnsi="Times New Roman" w:cs="Times New Roman"/>
          <w:bCs/>
          <w:color w:val="auto"/>
        </w:rPr>
        <w:t>分。</w:t>
      </w:r>
    </w:p>
    <w:p w14:paraId="5A6A0B4D" w14:textId="77777777" w:rsidR="00C060F4" w:rsidRPr="00C060F4" w:rsidRDefault="00C060F4" w:rsidP="00C060F4">
      <w:pPr>
        <w:pStyle w:val="20"/>
        <w:snapToGrid w:val="0"/>
        <w:ind w:firstLineChars="100" w:firstLine="211"/>
        <w:jc w:val="left"/>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利废建材选用及其用量比例，按下列规则评分：</w:t>
      </w:r>
    </w:p>
    <w:p w14:paraId="31405C38"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 xml:space="preserve">1) </w:t>
      </w:r>
      <w:r w:rsidRPr="00C060F4">
        <w:rPr>
          <w:rFonts w:ascii="Times New Roman" w:hAnsi="Times New Roman" w:cs="Times New Roman"/>
          <w:bCs/>
          <w:color w:val="auto"/>
        </w:rPr>
        <w:t>采用一种利废建材，其占同类建材的用量比例不低于</w:t>
      </w:r>
      <w:r w:rsidRPr="00C060F4">
        <w:rPr>
          <w:rFonts w:ascii="Times New Roman" w:hAnsi="Times New Roman" w:cs="Times New Roman"/>
          <w:bCs/>
          <w:color w:val="auto"/>
        </w:rPr>
        <w:t>50</w:t>
      </w:r>
      <w:r w:rsidRPr="00C060F4">
        <w:rPr>
          <w:rFonts w:ascii="Times New Roman" w:hAnsi="Times New Roman" w:cs="Times New Roman"/>
          <w:bCs/>
          <w:color w:val="auto"/>
        </w:rPr>
        <w:t>％，得</w:t>
      </w:r>
      <w:r w:rsidRPr="00C060F4">
        <w:rPr>
          <w:rFonts w:ascii="Times New Roman" w:hAnsi="Times New Roman" w:cs="Times New Roman"/>
          <w:bCs/>
          <w:color w:val="auto"/>
        </w:rPr>
        <w:t>3</w:t>
      </w:r>
      <w:r w:rsidRPr="00C060F4">
        <w:rPr>
          <w:rFonts w:ascii="Times New Roman" w:hAnsi="Times New Roman" w:cs="Times New Roman"/>
          <w:bCs/>
          <w:color w:val="auto"/>
        </w:rPr>
        <w:t>分。</w:t>
      </w:r>
    </w:p>
    <w:p w14:paraId="0D1EA29E" w14:textId="77777777" w:rsidR="00C060F4" w:rsidRPr="00C060F4" w:rsidRDefault="00C060F4" w:rsidP="00C060F4">
      <w:pPr>
        <w:pStyle w:val="20"/>
        <w:snapToGrid w:val="0"/>
        <w:ind w:firstLineChars="200" w:firstLine="422"/>
        <w:jc w:val="left"/>
        <w:rPr>
          <w:rFonts w:ascii="Times New Roman" w:hAnsi="Times New Roman" w:cs="Times New Roman"/>
          <w:bCs/>
          <w:color w:val="auto"/>
        </w:rPr>
      </w:pPr>
      <w:r w:rsidRPr="00C060F4">
        <w:rPr>
          <w:rFonts w:ascii="Times New Roman" w:hAnsi="Times New Roman" w:cs="Times New Roman"/>
          <w:bCs/>
          <w:color w:val="auto"/>
        </w:rPr>
        <w:t xml:space="preserve">2) </w:t>
      </w:r>
      <w:r w:rsidRPr="00C060F4">
        <w:rPr>
          <w:rFonts w:ascii="Times New Roman" w:hAnsi="Times New Roman" w:cs="Times New Roman"/>
          <w:bCs/>
          <w:color w:val="auto"/>
        </w:rPr>
        <w:t>选用两种及以上的利废建材，每一种占同类建材的用量比例均不低于</w:t>
      </w:r>
      <w:r w:rsidRPr="00C060F4">
        <w:rPr>
          <w:rFonts w:ascii="Times New Roman" w:hAnsi="Times New Roman" w:cs="Times New Roman"/>
          <w:bCs/>
          <w:color w:val="auto"/>
        </w:rPr>
        <w:t>30</w:t>
      </w:r>
      <w:r w:rsidRPr="00C060F4">
        <w:rPr>
          <w:rFonts w:ascii="Times New Roman" w:hAnsi="Times New Roman" w:cs="Times New Roman"/>
          <w:bCs/>
          <w:color w:val="auto"/>
        </w:rPr>
        <w:t>％，得</w:t>
      </w:r>
      <w:r w:rsidRPr="00C060F4">
        <w:rPr>
          <w:rFonts w:ascii="Times New Roman" w:hAnsi="Times New Roman" w:cs="Times New Roman"/>
          <w:bCs/>
          <w:color w:val="auto"/>
        </w:rPr>
        <w:t>5</w:t>
      </w:r>
      <w:r w:rsidRPr="00C060F4">
        <w:rPr>
          <w:rFonts w:ascii="Times New Roman" w:hAnsi="Times New Roman" w:cs="Times New Roman"/>
          <w:bCs/>
          <w:color w:val="auto"/>
        </w:rPr>
        <w:t>分。</w:t>
      </w:r>
    </w:p>
    <w:p w14:paraId="7604C23A" w14:textId="77777777" w:rsidR="00715ABB" w:rsidRPr="0081478A" w:rsidRDefault="00F44390" w:rsidP="009252F8">
      <w:pPr>
        <w:pStyle w:val="20"/>
      </w:pPr>
      <w:r w:rsidRPr="0081478A">
        <w:t>【条文说明】</w:t>
      </w:r>
    </w:p>
    <w:p w14:paraId="64307DED" w14:textId="77777777" w:rsidR="0052438D" w:rsidRPr="00530A11" w:rsidRDefault="0052438D" w:rsidP="0052438D">
      <w:pPr>
        <w:ind w:firstLine="420"/>
        <w:rPr>
          <w:szCs w:val="24"/>
        </w:rPr>
      </w:pPr>
      <w:r w:rsidRPr="00530A11">
        <w:lastRenderedPageBreak/>
        <w:t>本条适用于各类民用建筑的预评价、评价。</w:t>
      </w:r>
    </w:p>
    <w:p w14:paraId="335BE85B"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年版的</w:t>
      </w:r>
      <w:r w:rsidRPr="00530A11">
        <w:rPr>
          <w:rFonts w:cs="Times New Roman"/>
          <w:kern w:val="44"/>
          <w:szCs w:val="24"/>
        </w:rPr>
        <w:t>第</w:t>
      </w:r>
      <w:r w:rsidRPr="00530A11">
        <w:rPr>
          <w:rFonts w:cs="Times New Roman"/>
          <w:kern w:val="44"/>
          <w:szCs w:val="24"/>
        </w:rPr>
        <w:t>7.2.12</w:t>
      </w:r>
      <w:r w:rsidRPr="00530A11">
        <w:rPr>
          <w:rFonts w:cs="Times New Roman"/>
          <w:kern w:val="44"/>
          <w:szCs w:val="24"/>
        </w:rPr>
        <w:t>和</w:t>
      </w:r>
      <w:r w:rsidRPr="00530A11">
        <w:rPr>
          <w:rFonts w:cs="Times New Roman"/>
          <w:kern w:val="44"/>
          <w:szCs w:val="24"/>
        </w:rPr>
        <w:t>7.2.13</w:t>
      </w:r>
      <w:r w:rsidRPr="00530A11">
        <w:rPr>
          <w:rFonts w:cs="Times New Roman"/>
          <w:kern w:val="44"/>
          <w:szCs w:val="24"/>
        </w:rPr>
        <w:t>条</w:t>
      </w:r>
      <w:r w:rsidRPr="00530A11">
        <w:rPr>
          <w:rFonts w:cs="Times New Roman"/>
        </w:rPr>
        <w:t>，地方标准</w:t>
      </w:r>
      <w:r w:rsidRPr="00530A11">
        <w:rPr>
          <w:rFonts w:cs="Times New Roman"/>
        </w:rPr>
        <w:t>2014</w:t>
      </w:r>
      <w:r w:rsidRPr="00530A11">
        <w:rPr>
          <w:rFonts w:cs="Times New Roman"/>
        </w:rPr>
        <w:t>版第</w:t>
      </w:r>
      <w:r w:rsidRPr="00530A11">
        <w:rPr>
          <w:rFonts w:cs="Times New Roman"/>
        </w:rPr>
        <w:t>7.2.15</w:t>
      </w:r>
      <w:r w:rsidRPr="00530A11">
        <w:rPr>
          <w:rFonts w:cs="Times New Roman"/>
        </w:rPr>
        <w:t>和</w:t>
      </w:r>
      <w:r w:rsidRPr="00530A11">
        <w:rPr>
          <w:rFonts w:cs="Times New Roman"/>
        </w:rPr>
        <w:t>7.2.16</w:t>
      </w:r>
      <w:r w:rsidRPr="00530A11">
        <w:rPr>
          <w:rFonts w:cs="Times New Roman"/>
        </w:rPr>
        <w:t>条的基础上发展而来。</w:t>
      </w:r>
    </w:p>
    <w:p w14:paraId="67EDBD2E" w14:textId="77777777" w:rsidR="0052438D" w:rsidRPr="00530A11" w:rsidRDefault="0052438D" w:rsidP="0052438D">
      <w:pPr>
        <w:ind w:firstLine="420"/>
        <w:rPr>
          <w:rFonts w:cs="Times New Roman"/>
        </w:rPr>
      </w:pPr>
      <w:r w:rsidRPr="00530A11">
        <w:rPr>
          <w:rFonts w:cs="Times New Roman"/>
        </w:rPr>
        <w:t>建筑材料的循环利用是建筑节材与材料资源利用的重要内容。本条的设置旨在整体考量建筑材料的循环利用对于节材与材料资源利用的贡献，评价范围是永久性安装在工程中的建筑材料，不包括电梯等设备。有的建筑材料可以在不改变材料的物质形态情况下直接进行再利用，或经过简单组合、修复后可直接再利用，如有些材质的门、窗等。有的建筑材料需要通过改变物质形态才能实现循环利用，如难以直接回用的钢筋、玻璃等，可以回炉再生产。有的建筑材料则既可以直接再利用又可以回炉后再循环利用，例如标准尺寸的钢结构型材等。以上各类材料均可纳入本条范畴。</w:t>
      </w:r>
    </w:p>
    <w:p w14:paraId="267F6A8D" w14:textId="77777777" w:rsidR="0052438D" w:rsidRPr="00530A11" w:rsidRDefault="0052438D" w:rsidP="0052438D">
      <w:pPr>
        <w:ind w:firstLine="420"/>
        <w:rPr>
          <w:rFonts w:cs="Times New Roman"/>
        </w:rPr>
      </w:pPr>
      <w:r w:rsidRPr="00530A11">
        <w:rPr>
          <w:rFonts w:cs="Times New Roman"/>
        </w:rPr>
        <w:t>建筑中选用的可再循环建筑材料和可再利用建筑材料，可以减少生产加工新材料带来的资源、能源消耗及环境污染，具有良好的经济、社会和环境效益。</w:t>
      </w:r>
    </w:p>
    <w:p w14:paraId="012758BA" w14:textId="77777777" w:rsidR="0052438D" w:rsidRPr="00530A11" w:rsidRDefault="0052438D" w:rsidP="0052438D">
      <w:pPr>
        <w:ind w:firstLine="420"/>
        <w:rPr>
          <w:rFonts w:cs="Times New Roman"/>
        </w:rPr>
      </w:pPr>
      <w:r w:rsidRPr="00530A11">
        <w:rPr>
          <w:rFonts w:cs="Times New Roman"/>
        </w:rPr>
        <w:t>利废建材即</w:t>
      </w:r>
      <w:r w:rsidRPr="00530A11">
        <w:rPr>
          <w:rFonts w:cs="Times New Roman"/>
        </w:rPr>
        <w:t>“</w:t>
      </w:r>
      <w:r w:rsidRPr="00530A11">
        <w:rPr>
          <w:rFonts w:cs="Times New Roman"/>
        </w:rPr>
        <w:t>以废弃物为原料生产的建筑材料</w:t>
      </w:r>
      <w:r w:rsidRPr="00530A11">
        <w:rPr>
          <w:rFonts w:cs="Times New Roman"/>
        </w:rPr>
        <w:t>”</w:t>
      </w:r>
      <w:r w:rsidRPr="00530A11">
        <w:rPr>
          <w:rFonts w:cs="Times New Roman"/>
        </w:rPr>
        <w:t>，是指在满足安全和使用性能的前提下，使用废弃物等作为原材料生产出的建筑材料，其中废弃物主要包括建筑废弃物、工业废料和生活废弃物。在满足使用性能的前提下，鼓励利用建筑废弃混凝土，生产再生骨料，制作成混凝土砌块、水泥制品或配制再生混凝土；鼓励利用工业废料、农作物秸秆、建筑垃圾、淤泥为原料制作成水泥、混凝土、墙体材料、保温材料等建筑材料；鼓励以工业副产品石膏制作成石膏制品；鼓励使用生活废弃物经处理后制成的建筑材料。</w:t>
      </w:r>
    </w:p>
    <w:p w14:paraId="5D837F35" w14:textId="77777777" w:rsidR="0052438D" w:rsidRPr="00530A11" w:rsidRDefault="0052438D" w:rsidP="0052438D">
      <w:pPr>
        <w:ind w:firstLine="420"/>
        <w:rPr>
          <w:rFonts w:cs="Times New Roman"/>
        </w:rPr>
      </w:pPr>
      <w:r w:rsidRPr="00530A11">
        <w:rPr>
          <w:rFonts w:cs="Times New Roman"/>
        </w:rPr>
        <w:t>为保证废弃物使用量达到一定比例，本条第</w:t>
      </w:r>
      <w:r w:rsidRPr="00530A11">
        <w:rPr>
          <w:rFonts w:cs="Times New Roman"/>
        </w:rPr>
        <w:t>2</w:t>
      </w:r>
      <w:r w:rsidRPr="00530A11">
        <w:rPr>
          <w:rFonts w:cs="Times New Roman"/>
        </w:rPr>
        <w:t>款对不同种类利废建材使用量进行了要求。若采用以废弃物为原料生产的建筑材料，应同时满足相应的国家或行业标准的要求。</w:t>
      </w:r>
    </w:p>
    <w:p w14:paraId="0F679637" w14:textId="77777777" w:rsidR="00EF512F" w:rsidRPr="009252F8" w:rsidRDefault="00EF512F" w:rsidP="009252F8">
      <w:pPr>
        <w:pStyle w:val="20"/>
      </w:pPr>
      <w:r w:rsidRPr="0081478A">
        <w:t>【评价要点】</w:t>
      </w:r>
    </w:p>
    <w:p w14:paraId="13FA6951" w14:textId="4A32BF94" w:rsidR="00EF512F" w:rsidRPr="0081478A" w:rsidRDefault="00ED3417" w:rsidP="00A37E71">
      <w:pPr>
        <w:ind w:firstLine="420"/>
        <w:rPr>
          <w:rFonts w:cs="Times New Roman"/>
        </w:rPr>
      </w:pPr>
      <w:r>
        <w:rPr>
          <w:rFonts w:cs="Times New Roman"/>
        </w:rPr>
        <w:t>1.</w:t>
      </w:r>
      <w:r w:rsidR="00EF512F" w:rsidRPr="0081478A">
        <w:rPr>
          <w:rFonts w:cs="Times New Roman"/>
        </w:rPr>
        <w:t>可再循环材料使用比例计算报告应满足本书附录</w:t>
      </w:r>
      <w:r w:rsidR="00EF512F" w:rsidRPr="0081478A">
        <w:rPr>
          <w:rFonts w:cs="Times New Roman"/>
        </w:rPr>
        <w:t>B.5</w:t>
      </w:r>
      <w:r w:rsidR="00EF512F" w:rsidRPr="0081478A">
        <w:rPr>
          <w:rFonts w:cs="Times New Roman"/>
        </w:rPr>
        <w:t>的要求。评价范围是永久性使用在工程中的建筑材料，不包括电梯等设备。</w:t>
      </w:r>
    </w:p>
    <w:p w14:paraId="08A6F7C9" w14:textId="77EBE119" w:rsidR="00EF512F" w:rsidRPr="0081478A" w:rsidRDefault="00ED3417" w:rsidP="00A37E71">
      <w:pPr>
        <w:ind w:firstLine="420"/>
        <w:rPr>
          <w:rFonts w:cs="Times New Roman"/>
        </w:rPr>
      </w:pPr>
      <w:r>
        <w:rPr>
          <w:rFonts w:cs="Times New Roman"/>
        </w:rPr>
        <w:t>2.</w:t>
      </w:r>
      <w:r>
        <w:rPr>
          <w:rFonts w:cs="Times New Roman" w:hint="eastAsia"/>
        </w:rPr>
        <w:t>本</w:t>
      </w:r>
      <w:r w:rsidR="00EF512F" w:rsidRPr="0081478A">
        <w:rPr>
          <w:rFonts w:cs="Times New Roman"/>
        </w:rPr>
        <w:t>条要求以废弃物为原料生产的建筑材料重量占同类建筑材料总重量的比例不小于</w:t>
      </w:r>
      <w:r w:rsidR="00A37E71" w:rsidRPr="0081478A">
        <w:rPr>
          <w:rFonts w:cs="Times New Roman"/>
        </w:rPr>
        <w:t>5</w:t>
      </w:r>
      <w:r w:rsidR="00EF512F" w:rsidRPr="0081478A">
        <w:rPr>
          <w:rFonts w:cs="Times New Roman"/>
        </w:rPr>
        <w:t>0%</w:t>
      </w:r>
      <w:r w:rsidR="00EF512F" w:rsidRPr="0081478A">
        <w:rPr>
          <w:rFonts w:cs="Times New Roman"/>
        </w:rPr>
        <w:t>，且其中废弃物的掺量不低于</w:t>
      </w:r>
      <w:r w:rsidR="00A37E71" w:rsidRPr="0081478A">
        <w:rPr>
          <w:rFonts w:cs="Times New Roman"/>
        </w:rPr>
        <w:t>5</w:t>
      </w:r>
      <w:r w:rsidR="00EF512F" w:rsidRPr="0081478A">
        <w:rPr>
          <w:rFonts w:cs="Times New Roman"/>
        </w:rPr>
        <w:t>0%</w:t>
      </w:r>
      <w:r w:rsidR="00EF512F" w:rsidRPr="0081478A">
        <w:rPr>
          <w:rFonts w:cs="Times New Roman"/>
        </w:rPr>
        <w:t>。</w:t>
      </w:r>
    </w:p>
    <w:p w14:paraId="087C85B5" w14:textId="77777777" w:rsidR="00715ABB" w:rsidRPr="009252F8" w:rsidRDefault="00F44390" w:rsidP="009252F8">
      <w:pPr>
        <w:pStyle w:val="20"/>
      </w:pPr>
      <w:r w:rsidRPr="0081478A">
        <w:t>【评价方法】</w:t>
      </w:r>
    </w:p>
    <w:p w14:paraId="4CE2018E"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工程概预算材料清单、各类材料用量比例计算书、各种建筑材料的使用部位及使用量一览表；评价查阅工程决算材料清单、相关产品检测报告、各类材料用量比例计算书，利废建材中废弃物掺量说明及证明材料。</w:t>
      </w:r>
    </w:p>
    <w:p w14:paraId="343C63F6" w14:textId="77777777" w:rsidR="00715ABB" w:rsidRPr="00E905A0" w:rsidRDefault="00715ABB">
      <w:pPr>
        <w:ind w:firstLineChars="0" w:firstLine="0"/>
        <w:rPr>
          <w:rFonts w:cs="Times New Roman"/>
          <w:bCs/>
          <w:kern w:val="44"/>
          <w:szCs w:val="24"/>
        </w:rPr>
      </w:pPr>
    </w:p>
    <w:p w14:paraId="54C12FCD" w14:textId="77777777" w:rsidR="00C060F4" w:rsidRPr="00530A11" w:rsidRDefault="00C060F4" w:rsidP="00C060F4">
      <w:pPr>
        <w:pStyle w:val="4"/>
        <w:rPr>
          <w:rFonts w:cs="Times New Roman"/>
          <w:bCs w:val="0"/>
        </w:rPr>
      </w:pPr>
      <w:r w:rsidRPr="00530A11">
        <w:rPr>
          <w:rFonts w:cs="Times New Roman"/>
          <w:bCs w:val="0"/>
        </w:rPr>
        <w:lastRenderedPageBreak/>
        <w:t xml:space="preserve">7.2.19 </w:t>
      </w:r>
      <w:r w:rsidRPr="00530A11">
        <w:rPr>
          <w:rFonts w:cs="Times New Roman"/>
          <w:bCs w:val="0"/>
        </w:rPr>
        <w:t>选用绿色建材，评价总分值为</w:t>
      </w:r>
      <w:r w:rsidRPr="00530A11">
        <w:rPr>
          <w:rFonts w:cs="Times New Roman"/>
          <w:bCs w:val="0"/>
        </w:rPr>
        <w:t>12</w:t>
      </w:r>
      <w:r w:rsidRPr="00530A11">
        <w:rPr>
          <w:rFonts w:cs="Times New Roman"/>
          <w:bCs w:val="0"/>
        </w:rPr>
        <w:t>分。</w:t>
      </w:r>
      <w:r w:rsidRPr="00530A11">
        <w:rPr>
          <w:rFonts w:cs="Times New Roman" w:hint="eastAsia"/>
          <w:bCs w:val="0"/>
        </w:rPr>
        <w:t>绿色建材应用比例不低于</w:t>
      </w:r>
      <w:r w:rsidRPr="00530A11">
        <w:rPr>
          <w:rFonts w:cs="Times New Roman"/>
          <w:bCs w:val="0"/>
        </w:rPr>
        <w:t>60</w:t>
      </w:r>
      <w:r w:rsidRPr="00530A11">
        <w:rPr>
          <w:rFonts w:cs="Times New Roman" w:hint="eastAsia"/>
          <w:bCs w:val="0"/>
        </w:rPr>
        <w:t>％，得</w:t>
      </w:r>
      <w:r w:rsidRPr="00530A11">
        <w:rPr>
          <w:rFonts w:cs="Times New Roman"/>
          <w:bCs w:val="0"/>
        </w:rPr>
        <w:t>6</w:t>
      </w:r>
      <w:r w:rsidRPr="00530A11">
        <w:rPr>
          <w:rFonts w:cs="Times New Roman" w:hint="eastAsia"/>
          <w:bCs w:val="0"/>
        </w:rPr>
        <w:t>分；不低于</w:t>
      </w:r>
      <w:r w:rsidRPr="00530A11">
        <w:rPr>
          <w:rFonts w:cs="Times New Roman"/>
          <w:bCs w:val="0"/>
        </w:rPr>
        <w:t>80</w:t>
      </w:r>
      <w:r w:rsidRPr="00530A11">
        <w:rPr>
          <w:rFonts w:cs="Times New Roman" w:hint="eastAsia"/>
          <w:bCs w:val="0"/>
        </w:rPr>
        <w:t>％，得</w:t>
      </w:r>
      <w:r w:rsidRPr="00530A11">
        <w:rPr>
          <w:rFonts w:cs="Times New Roman"/>
          <w:bCs w:val="0"/>
        </w:rPr>
        <w:t>12</w:t>
      </w:r>
      <w:r w:rsidRPr="00530A11">
        <w:rPr>
          <w:rFonts w:cs="Times New Roman" w:hint="eastAsia"/>
          <w:bCs w:val="0"/>
        </w:rPr>
        <w:t>分。</w:t>
      </w:r>
    </w:p>
    <w:p w14:paraId="50FA6E01" w14:textId="77777777" w:rsidR="00715ABB" w:rsidRPr="0081478A" w:rsidRDefault="00F44390" w:rsidP="009252F8">
      <w:pPr>
        <w:pStyle w:val="20"/>
      </w:pPr>
      <w:r w:rsidRPr="0081478A">
        <w:t>【条文说明】</w:t>
      </w:r>
    </w:p>
    <w:p w14:paraId="4DD322AE" w14:textId="77777777" w:rsidR="0052438D" w:rsidRPr="00530A11" w:rsidRDefault="0052438D" w:rsidP="0052438D">
      <w:pPr>
        <w:ind w:firstLine="420"/>
        <w:rPr>
          <w:szCs w:val="24"/>
        </w:rPr>
      </w:pPr>
      <w:r w:rsidRPr="00530A11">
        <w:t>本条适用于各类民用建筑的预评价、评价。</w:t>
      </w:r>
    </w:p>
    <w:p w14:paraId="37E63C7C" w14:textId="77777777" w:rsidR="0052438D" w:rsidRPr="00530A11" w:rsidRDefault="0052438D" w:rsidP="0052438D">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w:t>
      </w:r>
    </w:p>
    <w:p w14:paraId="16AB41A2" w14:textId="77777777" w:rsidR="0052438D" w:rsidRPr="00530A11" w:rsidRDefault="0052438D" w:rsidP="0052438D">
      <w:pPr>
        <w:ind w:firstLine="420"/>
        <w:rPr>
          <w:rFonts w:cs="Times New Roman"/>
        </w:rPr>
      </w:pPr>
      <w:r w:rsidRPr="00530A11">
        <w:rPr>
          <w:rFonts w:cs="Times New Roman"/>
        </w:rPr>
        <w:t>为加快绿色建材推广应用，更好地支撑绿色建筑发展，依据住房城乡建设部、工业和信息化部出台的《绿色建材评价标识管理办法》、《促进绿色建材促进绿色建材生产和应用行动方案》等一系列文件。本条中绿色建材应用比例应根据下式计算，并按表</w:t>
      </w:r>
      <w:r w:rsidRPr="00530A11">
        <w:rPr>
          <w:rFonts w:cs="Times New Roman"/>
        </w:rPr>
        <w:t>3</w:t>
      </w:r>
      <w:r w:rsidRPr="00530A11">
        <w:rPr>
          <w:rFonts w:cs="Times New Roman"/>
        </w:rPr>
        <w:t>中确定得分。</w:t>
      </w:r>
    </w:p>
    <w:p w14:paraId="43019C7F" w14:textId="77777777" w:rsidR="0052438D" w:rsidRPr="00530A11" w:rsidRDefault="0052438D" w:rsidP="0052438D">
      <w:pPr>
        <w:ind w:firstLine="420"/>
        <w:rPr>
          <w:rFonts w:cs="Times New Roman"/>
        </w:rPr>
      </w:pPr>
      <w:bookmarkStart w:id="162" w:name="_Hlk25680083"/>
      <m:oMathPara>
        <m:oMath>
          <m:r>
            <w:rPr>
              <w:rFonts w:ascii="Cambria Math" w:hAnsi="Cambria Math" w:cs="Times New Roman"/>
            </w:rPr>
            <m:t>P=</m:t>
          </m:r>
          <m:f>
            <m:fPr>
              <m:type m:val="lin"/>
              <m:ctrlPr>
                <w:rPr>
                  <w:rFonts w:ascii="Cambria Math" w:hAnsi="Cambria Math" w:cs="Times New Roman"/>
                  <w:i/>
                </w:rPr>
              </m:ctrlPr>
            </m:fPr>
            <m:num>
              <m:r>
                <w:rPr>
                  <w:rFonts w:ascii="Cambria Math" w:hAnsi="Cambria Math" w:cs="Times New Roman"/>
                </w:rPr>
                <m:t>[(S1+S2+S3+S4)</m:t>
              </m:r>
            </m:num>
            <m:den>
              <m:r>
                <w:rPr>
                  <w:rFonts w:ascii="Cambria Math" w:hAnsi="Cambria Math" w:cs="Times New Roman"/>
                </w:rPr>
                <m:t>100</m:t>
              </m:r>
            </m:den>
          </m:f>
          <m:r>
            <w:rPr>
              <w:rFonts w:ascii="Cambria Math" w:hAnsi="Cambria Math" w:cs="Times New Roman"/>
            </w:rPr>
            <m:t>×100%</m:t>
          </m:r>
        </m:oMath>
      </m:oMathPara>
      <w:bookmarkEnd w:id="162"/>
    </w:p>
    <w:p w14:paraId="2FDD9A44" w14:textId="77777777" w:rsidR="0052438D" w:rsidRPr="00530A11" w:rsidRDefault="0052438D" w:rsidP="0052438D">
      <w:pPr>
        <w:ind w:firstLine="420"/>
        <w:rPr>
          <w:rFonts w:cs="Times New Roman"/>
        </w:rPr>
      </w:pPr>
      <w:r w:rsidRPr="00530A11">
        <w:rPr>
          <w:rFonts w:cs="Times New Roman"/>
        </w:rPr>
        <w:t>式中：</w:t>
      </w:r>
      <w:r w:rsidRPr="00530A11">
        <w:rPr>
          <w:rFonts w:cs="Times New Roman"/>
        </w:rPr>
        <w:t>P——</w:t>
      </w:r>
      <w:r w:rsidRPr="00530A11">
        <w:rPr>
          <w:rFonts w:cs="Times New Roman"/>
        </w:rPr>
        <w:t>绿色建材应用比例；</w:t>
      </w:r>
    </w:p>
    <w:p w14:paraId="6373EC48" w14:textId="77777777" w:rsidR="0052438D" w:rsidRPr="00530A11" w:rsidRDefault="0052438D" w:rsidP="0052438D">
      <w:pPr>
        <w:ind w:firstLine="420"/>
        <w:rPr>
          <w:rFonts w:cs="Times New Roman"/>
        </w:rPr>
      </w:pPr>
      <w:r w:rsidRPr="00530A11">
        <w:rPr>
          <w:rFonts w:cs="Times New Roman"/>
        </w:rPr>
        <w:t>S</w:t>
      </w:r>
      <w:r w:rsidRPr="00530A11">
        <w:rPr>
          <w:rFonts w:cs="Times New Roman"/>
          <w:vertAlign w:val="subscript"/>
        </w:rPr>
        <w:t>1</w:t>
      </w:r>
      <w:r w:rsidRPr="00530A11">
        <w:rPr>
          <w:rFonts w:cs="Times New Roman"/>
        </w:rPr>
        <w:t>——</w:t>
      </w:r>
      <w:r w:rsidRPr="00530A11">
        <w:rPr>
          <w:rFonts w:cs="Times New Roman"/>
        </w:rPr>
        <w:t>主体结构材料指标实际得分值；</w:t>
      </w:r>
    </w:p>
    <w:p w14:paraId="713C6E3B" w14:textId="77777777" w:rsidR="0052438D" w:rsidRPr="00530A11" w:rsidRDefault="0052438D" w:rsidP="0052438D">
      <w:pPr>
        <w:ind w:firstLine="420"/>
        <w:rPr>
          <w:rFonts w:cs="Times New Roman"/>
        </w:rPr>
      </w:pPr>
      <w:r w:rsidRPr="00530A11">
        <w:rPr>
          <w:rFonts w:cs="Times New Roman"/>
        </w:rPr>
        <w:t>S</w:t>
      </w:r>
      <w:r w:rsidRPr="00530A11">
        <w:rPr>
          <w:rFonts w:cs="Times New Roman"/>
          <w:vertAlign w:val="subscript"/>
        </w:rPr>
        <w:t>2</w:t>
      </w:r>
      <w:r w:rsidRPr="00530A11">
        <w:rPr>
          <w:rFonts w:cs="Times New Roman"/>
        </w:rPr>
        <w:t>——</w:t>
      </w:r>
      <w:r w:rsidRPr="00530A11">
        <w:rPr>
          <w:rFonts w:cs="Times New Roman"/>
        </w:rPr>
        <w:t>围护墙和内隔墙指标实际得分值；</w:t>
      </w:r>
    </w:p>
    <w:p w14:paraId="365DB2BD" w14:textId="77777777" w:rsidR="0052438D" w:rsidRPr="00530A11" w:rsidRDefault="0052438D" w:rsidP="0052438D">
      <w:pPr>
        <w:ind w:firstLine="420"/>
        <w:rPr>
          <w:rFonts w:cs="Times New Roman"/>
        </w:rPr>
      </w:pPr>
      <w:r w:rsidRPr="00530A11">
        <w:rPr>
          <w:rFonts w:cs="Times New Roman"/>
        </w:rPr>
        <w:t>S</w:t>
      </w:r>
      <w:r w:rsidRPr="00530A11">
        <w:rPr>
          <w:rFonts w:cs="Times New Roman"/>
          <w:vertAlign w:val="subscript"/>
        </w:rPr>
        <w:t>3</w:t>
      </w:r>
      <w:r w:rsidRPr="00530A11">
        <w:rPr>
          <w:rFonts w:cs="Times New Roman"/>
        </w:rPr>
        <w:t>——</w:t>
      </w:r>
      <w:r w:rsidRPr="00530A11">
        <w:rPr>
          <w:rFonts w:cs="Times New Roman"/>
        </w:rPr>
        <w:t>装修指标实际得分值；</w:t>
      </w:r>
    </w:p>
    <w:p w14:paraId="439EC651" w14:textId="77777777" w:rsidR="0052438D" w:rsidRPr="00530A11" w:rsidRDefault="0052438D" w:rsidP="0052438D">
      <w:pPr>
        <w:ind w:firstLine="420"/>
        <w:rPr>
          <w:rFonts w:cs="Times New Roman"/>
        </w:rPr>
      </w:pPr>
      <w:r w:rsidRPr="00530A11">
        <w:rPr>
          <w:rFonts w:cs="Times New Roman"/>
        </w:rPr>
        <w:t>S</w:t>
      </w:r>
      <w:r w:rsidRPr="00530A11">
        <w:rPr>
          <w:rFonts w:cs="Times New Roman"/>
          <w:vertAlign w:val="subscript"/>
        </w:rPr>
        <w:t>4</w:t>
      </w:r>
      <w:r w:rsidRPr="00530A11">
        <w:rPr>
          <w:rFonts w:cs="Times New Roman"/>
        </w:rPr>
        <w:t>——</w:t>
      </w:r>
      <w:r w:rsidRPr="00530A11">
        <w:rPr>
          <w:rFonts w:cs="Times New Roman"/>
        </w:rPr>
        <w:t>其他指标实际得分值。</w:t>
      </w:r>
    </w:p>
    <w:p w14:paraId="3D2ADA1B" w14:textId="77777777" w:rsidR="0052438D" w:rsidRPr="00530A11" w:rsidRDefault="0052438D" w:rsidP="0052438D">
      <w:pPr>
        <w:pStyle w:val="ae"/>
        <w:rPr>
          <w:rFonts w:cs="Times New Roman"/>
          <w:b w:val="0"/>
        </w:rPr>
      </w:pPr>
      <w:r w:rsidRPr="00530A11">
        <w:rPr>
          <w:rFonts w:cs="Times New Roman"/>
          <w:b w:val="0"/>
        </w:rPr>
        <w:t>表</w:t>
      </w:r>
      <w:r w:rsidRPr="00530A11">
        <w:rPr>
          <w:rFonts w:cs="Times New Roman"/>
          <w:b w:val="0"/>
        </w:rPr>
        <w:t xml:space="preserve">3 </w:t>
      </w:r>
      <w:r w:rsidRPr="00530A11">
        <w:rPr>
          <w:rFonts w:cs="Times New Roman"/>
          <w:b w:val="0"/>
        </w:rPr>
        <w:t>绿色建材应用比例计算</w:t>
      </w:r>
    </w:p>
    <w:tbl>
      <w:tblPr>
        <w:tblStyle w:val="110"/>
        <w:tblW w:w="8302" w:type="dxa"/>
        <w:tblLayout w:type="fixed"/>
        <w:tblLook w:val="04A0" w:firstRow="1" w:lastRow="0" w:firstColumn="1" w:lastColumn="0" w:noHBand="0" w:noVBand="1"/>
      </w:tblPr>
      <w:tblGrid>
        <w:gridCol w:w="1652"/>
        <w:gridCol w:w="1662"/>
        <w:gridCol w:w="1663"/>
        <w:gridCol w:w="1654"/>
        <w:gridCol w:w="1671"/>
      </w:tblGrid>
      <w:tr w:rsidR="0052438D" w:rsidRPr="00530A11" w14:paraId="6B9BD961" w14:textId="77777777" w:rsidTr="009252F8">
        <w:tc>
          <w:tcPr>
            <w:tcW w:w="3314" w:type="dxa"/>
            <w:gridSpan w:val="2"/>
            <w:vAlign w:val="center"/>
          </w:tcPr>
          <w:p w14:paraId="2FFE1EFE" w14:textId="77777777" w:rsidR="0052438D" w:rsidRPr="00530A11" w:rsidRDefault="0052438D" w:rsidP="009252F8">
            <w:pPr>
              <w:pStyle w:val="ae"/>
              <w:rPr>
                <w:rFonts w:cs="Times New Roman"/>
                <w:b w:val="0"/>
              </w:rPr>
            </w:pPr>
            <w:bookmarkStart w:id="163" w:name="_Hlk24544425"/>
            <w:r w:rsidRPr="00530A11">
              <w:rPr>
                <w:rFonts w:cs="Times New Roman"/>
                <w:b w:val="0"/>
              </w:rPr>
              <w:t>计算项</w:t>
            </w:r>
          </w:p>
        </w:tc>
        <w:tc>
          <w:tcPr>
            <w:tcW w:w="1663" w:type="dxa"/>
            <w:vAlign w:val="center"/>
          </w:tcPr>
          <w:p w14:paraId="42F7C04E" w14:textId="77777777" w:rsidR="0052438D" w:rsidRPr="00530A11" w:rsidRDefault="0052438D" w:rsidP="009252F8">
            <w:pPr>
              <w:pStyle w:val="ae"/>
              <w:rPr>
                <w:rFonts w:cs="Times New Roman"/>
                <w:b w:val="0"/>
              </w:rPr>
            </w:pPr>
            <w:r w:rsidRPr="00530A11">
              <w:rPr>
                <w:rFonts w:cs="Times New Roman"/>
                <w:b w:val="0"/>
              </w:rPr>
              <w:t>计算要求</w:t>
            </w:r>
          </w:p>
        </w:tc>
        <w:tc>
          <w:tcPr>
            <w:tcW w:w="1654" w:type="dxa"/>
            <w:vAlign w:val="center"/>
          </w:tcPr>
          <w:p w14:paraId="3599357F" w14:textId="77777777" w:rsidR="0052438D" w:rsidRPr="00530A11" w:rsidRDefault="0052438D" w:rsidP="009252F8">
            <w:pPr>
              <w:pStyle w:val="ae"/>
              <w:rPr>
                <w:rFonts w:cs="Times New Roman"/>
                <w:b w:val="0"/>
              </w:rPr>
            </w:pPr>
            <w:r w:rsidRPr="00530A11">
              <w:rPr>
                <w:rFonts w:cs="Times New Roman"/>
                <w:b w:val="0"/>
              </w:rPr>
              <w:t>计算单位</w:t>
            </w:r>
          </w:p>
        </w:tc>
        <w:tc>
          <w:tcPr>
            <w:tcW w:w="1671" w:type="dxa"/>
            <w:vAlign w:val="center"/>
          </w:tcPr>
          <w:p w14:paraId="51A615B6" w14:textId="77777777" w:rsidR="0052438D" w:rsidRPr="00530A11" w:rsidRDefault="0052438D" w:rsidP="009252F8">
            <w:pPr>
              <w:pStyle w:val="ae"/>
              <w:rPr>
                <w:rFonts w:cs="Times New Roman"/>
                <w:b w:val="0"/>
              </w:rPr>
            </w:pPr>
            <w:r w:rsidRPr="00530A11">
              <w:rPr>
                <w:rFonts w:cs="Times New Roman"/>
                <w:b w:val="0"/>
              </w:rPr>
              <w:t>计算得分</w:t>
            </w:r>
          </w:p>
        </w:tc>
      </w:tr>
      <w:tr w:rsidR="0052438D" w:rsidRPr="00530A11" w14:paraId="4F12764E" w14:textId="77777777" w:rsidTr="009252F8">
        <w:tc>
          <w:tcPr>
            <w:tcW w:w="1652" w:type="dxa"/>
            <w:vMerge w:val="restart"/>
            <w:vAlign w:val="center"/>
          </w:tcPr>
          <w:p w14:paraId="54EF5E84" w14:textId="77777777" w:rsidR="0052438D" w:rsidRPr="00530A11" w:rsidRDefault="0052438D" w:rsidP="009252F8">
            <w:pPr>
              <w:pStyle w:val="ae"/>
              <w:rPr>
                <w:rFonts w:cs="Times New Roman"/>
                <w:b w:val="0"/>
              </w:rPr>
            </w:pPr>
            <w:r w:rsidRPr="00530A11">
              <w:rPr>
                <w:rFonts w:cs="Times New Roman"/>
                <w:b w:val="0"/>
              </w:rPr>
              <w:t>主体结构</w:t>
            </w:r>
          </w:p>
        </w:tc>
        <w:tc>
          <w:tcPr>
            <w:tcW w:w="1662" w:type="dxa"/>
            <w:vAlign w:val="center"/>
          </w:tcPr>
          <w:p w14:paraId="7E09C697" w14:textId="77777777" w:rsidR="0052438D" w:rsidRPr="00530A11" w:rsidRDefault="0052438D" w:rsidP="009252F8">
            <w:pPr>
              <w:pStyle w:val="ae"/>
              <w:rPr>
                <w:rFonts w:cs="Times New Roman"/>
                <w:b w:val="0"/>
              </w:rPr>
            </w:pPr>
            <w:r w:rsidRPr="00530A11">
              <w:rPr>
                <w:rFonts w:cs="Times New Roman"/>
                <w:b w:val="0"/>
              </w:rPr>
              <w:t>预拌混凝土</w:t>
            </w:r>
          </w:p>
        </w:tc>
        <w:tc>
          <w:tcPr>
            <w:tcW w:w="1663" w:type="dxa"/>
            <w:vAlign w:val="center"/>
          </w:tcPr>
          <w:p w14:paraId="58148A7C" w14:textId="77777777" w:rsidR="0052438D" w:rsidRPr="00530A11" w:rsidRDefault="0052438D" w:rsidP="009252F8">
            <w:pPr>
              <w:pStyle w:val="ae"/>
              <w:rPr>
                <w:rFonts w:cs="Times New Roman"/>
                <w:b w:val="0"/>
              </w:rPr>
            </w:pPr>
            <w:r w:rsidRPr="00530A11">
              <w:rPr>
                <w:rFonts w:cs="Times New Roman"/>
                <w:b w:val="0"/>
              </w:rPr>
              <w:t>80%≤P</w:t>
            </w:r>
            <w:r w:rsidRPr="00530A11">
              <w:rPr>
                <w:rFonts w:cs="Times New Roman"/>
                <w:b w:val="0"/>
                <w:vertAlign w:val="subscript"/>
              </w:rPr>
              <w:t>S</w:t>
            </w:r>
            <w:r w:rsidRPr="00530A11">
              <w:rPr>
                <w:rFonts w:cs="Times New Roman"/>
                <w:b w:val="0"/>
              </w:rPr>
              <w:t>≤100%</w:t>
            </w:r>
          </w:p>
        </w:tc>
        <w:tc>
          <w:tcPr>
            <w:tcW w:w="1654" w:type="dxa"/>
            <w:vAlign w:val="center"/>
          </w:tcPr>
          <w:p w14:paraId="2711AC29"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3</w:t>
            </w:r>
          </w:p>
        </w:tc>
        <w:tc>
          <w:tcPr>
            <w:tcW w:w="1671" w:type="dxa"/>
            <w:vAlign w:val="center"/>
          </w:tcPr>
          <w:p w14:paraId="6C06770F" w14:textId="77777777" w:rsidR="0052438D" w:rsidRPr="00530A11" w:rsidRDefault="0052438D" w:rsidP="009252F8">
            <w:pPr>
              <w:pStyle w:val="ae"/>
              <w:rPr>
                <w:rFonts w:cs="Times New Roman"/>
                <w:b w:val="0"/>
              </w:rPr>
            </w:pPr>
            <w:r w:rsidRPr="00530A11">
              <w:rPr>
                <w:rFonts w:cs="Times New Roman"/>
                <w:b w:val="0"/>
              </w:rPr>
              <w:t>10~20</w:t>
            </w:r>
            <w:r w:rsidRPr="00530A11">
              <w:rPr>
                <w:rFonts w:cs="Times New Roman"/>
                <w:b w:val="0"/>
                <w:vertAlign w:val="superscript"/>
              </w:rPr>
              <w:t>*</w:t>
            </w:r>
          </w:p>
        </w:tc>
      </w:tr>
      <w:tr w:rsidR="0052438D" w:rsidRPr="00530A11" w14:paraId="1AC42C52" w14:textId="77777777" w:rsidTr="009252F8">
        <w:tc>
          <w:tcPr>
            <w:tcW w:w="1652" w:type="dxa"/>
            <w:vMerge/>
            <w:vAlign w:val="center"/>
          </w:tcPr>
          <w:p w14:paraId="125171EB" w14:textId="77777777" w:rsidR="0052438D" w:rsidRPr="00530A11" w:rsidRDefault="0052438D" w:rsidP="009252F8">
            <w:pPr>
              <w:pStyle w:val="ae"/>
              <w:rPr>
                <w:rFonts w:cs="Times New Roman"/>
                <w:b w:val="0"/>
              </w:rPr>
            </w:pPr>
          </w:p>
        </w:tc>
        <w:tc>
          <w:tcPr>
            <w:tcW w:w="1662" w:type="dxa"/>
            <w:vAlign w:val="center"/>
          </w:tcPr>
          <w:p w14:paraId="598C0735" w14:textId="77777777" w:rsidR="0052438D" w:rsidRPr="00530A11" w:rsidRDefault="0052438D" w:rsidP="009252F8">
            <w:pPr>
              <w:pStyle w:val="ae"/>
              <w:rPr>
                <w:rFonts w:cs="Times New Roman"/>
                <w:b w:val="0"/>
              </w:rPr>
            </w:pPr>
            <w:r w:rsidRPr="00530A11">
              <w:rPr>
                <w:rFonts w:cs="Times New Roman"/>
                <w:b w:val="0"/>
              </w:rPr>
              <w:t>预拌砂浆</w:t>
            </w:r>
          </w:p>
        </w:tc>
        <w:tc>
          <w:tcPr>
            <w:tcW w:w="1663" w:type="dxa"/>
            <w:vAlign w:val="center"/>
          </w:tcPr>
          <w:p w14:paraId="6BFD56FD" w14:textId="77777777" w:rsidR="0052438D" w:rsidRPr="00530A11" w:rsidRDefault="0052438D" w:rsidP="009252F8">
            <w:pPr>
              <w:pStyle w:val="ae"/>
              <w:rPr>
                <w:rFonts w:cs="Times New Roman"/>
                <w:b w:val="0"/>
              </w:rPr>
            </w:pPr>
            <w:r w:rsidRPr="00530A11">
              <w:rPr>
                <w:rFonts w:cs="Times New Roman"/>
                <w:b w:val="0"/>
              </w:rPr>
              <w:t>50%≤P</w:t>
            </w:r>
            <w:r w:rsidRPr="00530A11">
              <w:rPr>
                <w:rFonts w:cs="Times New Roman"/>
                <w:b w:val="0"/>
                <w:vertAlign w:val="subscript"/>
              </w:rPr>
              <w:t>S</w:t>
            </w:r>
            <w:r w:rsidRPr="00530A11">
              <w:rPr>
                <w:rFonts w:cs="Times New Roman"/>
                <w:b w:val="0"/>
              </w:rPr>
              <w:t>≤100%</w:t>
            </w:r>
          </w:p>
        </w:tc>
        <w:tc>
          <w:tcPr>
            <w:tcW w:w="1654" w:type="dxa"/>
            <w:vAlign w:val="center"/>
          </w:tcPr>
          <w:p w14:paraId="70FF26D6"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3</w:t>
            </w:r>
          </w:p>
        </w:tc>
        <w:tc>
          <w:tcPr>
            <w:tcW w:w="1671" w:type="dxa"/>
            <w:vAlign w:val="center"/>
          </w:tcPr>
          <w:p w14:paraId="0781D48F" w14:textId="77777777" w:rsidR="0052438D" w:rsidRPr="00530A11" w:rsidRDefault="0052438D" w:rsidP="009252F8">
            <w:pPr>
              <w:pStyle w:val="ae"/>
              <w:rPr>
                <w:rFonts w:cs="Times New Roman"/>
                <w:b w:val="0"/>
              </w:rPr>
            </w:pPr>
            <w:r w:rsidRPr="00530A11">
              <w:rPr>
                <w:rFonts w:cs="Times New Roman"/>
                <w:b w:val="0"/>
              </w:rPr>
              <w:t>5~10</w:t>
            </w:r>
            <w:r w:rsidRPr="00530A11">
              <w:rPr>
                <w:rFonts w:cs="Times New Roman"/>
                <w:b w:val="0"/>
                <w:vertAlign w:val="superscript"/>
              </w:rPr>
              <w:t>*</w:t>
            </w:r>
          </w:p>
        </w:tc>
      </w:tr>
      <w:tr w:rsidR="0052438D" w:rsidRPr="00530A11" w14:paraId="33C59E4E" w14:textId="77777777" w:rsidTr="009252F8">
        <w:tc>
          <w:tcPr>
            <w:tcW w:w="1652" w:type="dxa"/>
            <w:vMerge w:val="restart"/>
            <w:vAlign w:val="center"/>
          </w:tcPr>
          <w:p w14:paraId="72E50C5E" w14:textId="77777777" w:rsidR="0052438D" w:rsidRPr="00530A11" w:rsidRDefault="0052438D" w:rsidP="009252F8">
            <w:pPr>
              <w:pStyle w:val="ae"/>
              <w:rPr>
                <w:rFonts w:cs="Times New Roman"/>
                <w:b w:val="0"/>
              </w:rPr>
            </w:pPr>
            <w:r w:rsidRPr="00530A11">
              <w:rPr>
                <w:rFonts w:cs="Times New Roman"/>
                <w:b w:val="0"/>
              </w:rPr>
              <w:t>围护墙和内隔墙</w:t>
            </w:r>
          </w:p>
        </w:tc>
        <w:tc>
          <w:tcPr>
            <w:tcW w:w="1662" w:type="dxa"/>
            <w:vAlign w:val="center"/>
          </w:tcPr>
          <w:p w14:paraId="58187665" w14:textId="77777777" w:rsidR="0052438D" w:rsidRPr="00530A11" w:rsidRDefault="0052438D" w:rsidP="009252F8">
            <w:pPr>
              <w:pStyle w:val="ae"/>
              <w:rPr>
                <w:rFonts w:cs="Times New Roman"/>
                <w:b w:val="0"/>
              </w:rPr>
            </w:pPr>
            <w:r w:rsidRPr="00530A11">
              <w:rPr>
                <w:rFonts w:cs="Times New Roman"/>
                <w:b w:val="0"/>
              </w:rPr>
              <w:t>非承重围护墙</w:t>
            </w:r>
          </w:p>
        </w:tc>
        <w:tc>
          <w:tcPr>
            <w:tcW w:w="1663" w:type="dxa"/>
            <w:vAlign w:val="center"/>
          </w:tcPr>
          <w:p w14:paraId="3D82F175"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6375FD81"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3</w:t>
            </w:r>
          </w:p>
        </w:tc>
        <w:tc>
          <w:tcPr>
            <w:tcW w:w="1671" w:type="dxa"/>
            <w:vAlign w:val="center"/>
          </w:tcPr>
          <w:p w14:paraId="408B1C33" w14:textId="77777777" w:rsidR="0052438D" w:rsidRPr="00530A11" w:rsidRDefault="0052438D" w:rsidP="009252F8">
            <w:pPr>
              <w:pStyle w:val="ae"/>
              <w:rPr>
                <w:rFonts w:cs="Times New Roman"/>
                <w:b w:val="0"/>
              </w:rPr>
            </w:pPr>
            <w:r w:rsidRPr="00530A11">
              <w:rPr>
                <w:rFonts w:cs="Times New Roman"/>
                <w:b w:val="0"/>
              </w:rPr>
              <w:t>10</w:t>
            </w:r>
          </w:p>
        </w:tc>
      </w:tr>
      <w:tr w:rsidR="0052438D" w:rsidRPr="00530A11" w14:paraId="5AC84EDF" w14:textId="77777777" w:rsidTr="009252F8">
        <w:tc>
          <w:tcPr>
            <w:tcW w:w="1652" w:type="dxa"/>
            <w:vMerge/>
            <w:vAlign w:val="center"/>
          </w:tcPr>
          <w:p w14:paraId="3F56DEA4" w14:textId="77777777" w:rsidR="0052438D" w:rsidRPr="00530A11" w:rsidRDefault="0052438D" w:rsidP="009252F8">
            <w:pPr>
              <w:pStyle w:val="ae"/>
              <w:rPr>
                <w:rFonts w:cs="Times New Roman"/>
                <w:b w:val="0"/>
              </w:rPr>
            </w:pPr>
          </w:p>
        </w:tc>
        <w:tc>
          <w:tcPr>
            <w:tcW w:w="1662" w:type="dxa"/>
            <w:vAlign w:val="center"/>
          </w:tcPr>
          <w:p w14:paraId="02A81E49" w14:textId="77777777" w:rsidR="0052438D" w:rsidRPr="00530A11" w:rsidRDefault="0052438D" w:rsidP="009252F8">
            <w:pPr>
              <w:pStyle w:val="ae"/>
              <w:rPr>
                <w:rFonts w:cs="Times New Roman"/>
                <w:b w:val="0"/>
              </w:rPr>
            </w:pPr>
            <w:r w:rsidRPr="00530A11">
              <w:rPr>
                <w:rFonts w:cs="Times New Roman"/>
                <w:b w:val="0"/>
              </w:rPr>
              <w:t>内隔墙</w:t>
            </w:r>
          </w:p>
        </w:tc>
        <w:tc>
          <w:tcPr>
            <w:tcW w:w="1663" w:type="dxa"/>
            <w:vAlign w:val="center"/>
          </w:tcPr>
          <w:p w14:paraId="069E8ECB"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0BD8C50A"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3</w:t>
            </w:r>
          </w:p>
        </w:tc>
        <w:tc>
          <w:tcPr>
            <w:tcW w:w="1671" w:type="dxa"/>
            <w:vAlign w:val="center"/>
          </w:tcPr>
          <w:p w14:paraId="160BB916"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6A1C2E7E" w14:textId="77777777" w:rsidTr="009252F8">
        <w:tc>
          <w:tcPr>
            <w:tcW w:w="1652" w:type="dxa"/>
            <w:vMerge w:val="restart"/>
            <w:vAlign w:val="center"/>
          </w:tcPr>
          <w:p w14:paraId="518697B4" w14:textId="77777777" w:rsidR="0052438D" w:rsidRPr="00530A11" w:rsidRDefault="0052438D" w:rsidP="009252F8">
            <w:pPr>
              <w:pStyle w:val="ae"/>
              <w:rPr>
                <w:rFonts w:cs="Times New Roman"/>
                <w:b w:val="0"/>
              </w:rPr>
            </w:pPr>
            <w:r w:rsidRPr="00530A11">
              <w:rPr>
                <w:rFonts w:cs="Times New Roman"/>
                <w:b w:val="0"/>
              </w:rPr>
              <w:t>装修</w:t>
            </w:r>
          </w:p>
        </w:tc>
        <w:tc>
          <w:tcPr>
            <w:tcW w:w="1662" w:type="dxa"/>
            <w:vAlign w:val="center"/>
          </w:tcPr>
          <w:p w14:paraId="3376B44D" w14:textId="77777777" w:rsidR="0052438D" w:rsidRPr="00530A11" w:rsidRDefault="0052438D" w:rsidP="009252F8">
            <w:pPr>
              <w:pStyle w:val="ae"/>
              <w:rPr>
                <w:rFonts w:cs="Times New Roman"/>
                <w:b w:val="0"/>
              </w:rPr>
            </w:pPr>
            <w:r w:rsidRPr="00530A11">
              <w:rPr>
                <w:rFonts w:cs="Times New Roman"/>
                <w:b w:val="0"/>
              </w:rPr>
              <w:t>外墙装饰面层涂料、面砖、非玻璃幕墙板等</w:t>
            </w:r>
          </w:p>
        </w:tc>
        <w:tc>
          <w:tcPr>
            <w:tcW w:w="1663" w:type="dxa"/>
            <w:vAlign w:val="center"/>
          </w:tcPr>
          <w:p w14:paraId="6BEFB4A1"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65F16957"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79631B53"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4DE5CB44" w14:textId="77777777" w:rsidTr="009252F8">
        <w:tc>
          <w:tcPr>
            <w:tcW w:w="1652" w:type="dxa"/>
            <w:vMerge/>
            <w:vAlign w:val="center"/>
          </w:tcPr>
          <w:p w14:paraId="563094FA" w14:textId="77777777" w:rsidR="0052438D" w:rsidRPr="00530A11" w:rsidRDefault="0052438D" w:rsidP="009252F8">
            <w:pPr>
              <w:pStyle w:val="ae"/>
              <w:rPr>
                <w:rFonts w:cs="Times New Roman"/>
                <w:b w:val="0"/>
              </w:rPr>
            </w:pPr>
          </w:p>
        </w:tc>
        <w:tc>
          <w:tcPr>
            <w:tcW w:w="1662" w:type="dxa"/>
            <w:vAlign w:val="center"/>
          </w:tcPr>
          <w:p w14:paraId="20D028AB" w14:textId="77777777" w:rsidR="0052438D" w:rsidRPr="00530A11" w:rsidRDefault="0052438D" w:rsidP="009252F8">
            <w:pPr>
              <w:pStyle w:val="ae"/>
              <w:rPr>
                <w:rFonts w:cs="Times New Roman"/>
                <w:b w:val="0"/>
              </w:rPr>
            </w:pPr>
            <w:r w:rsidRPr="00530A11">
              <w:rPr>
                <w:rFonts w:cs="Times New Roman"/>
                <w:b w:val="0"/>
              </w:rPr>
              <w:t>内墙装饰面层涂料、面砖、非玻璃幕墙板等</w:t>
            </w:r>
          </w:p>
        </w:tc>
        <w:tc>
          <w:tcPr>
            <w:tcW w:w="1663" w:type="dxa"/>
            <w:vAlign w:val="center"/>
          </w:tcPr>
          <w:p w14:paraId="6CB4E689"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72FCFB5F"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6E445109"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0EF906DB" w14:textId="77777777" w:rsidTr="009252F8">
        <w:tc>
          <w:tcPr>
            <w:tcW w:w="1652" w:type="dxa"/>
            <w:vMerge/>
            <w:vAlign w:val="center"/>
          </w:tcPr>
          <w:p w14:paraId="03B3D96E" w14:textId="77777777" w:rsidR="0052438D" w:rsidRPr="00530A11" w:rsidRDefault="0052438D" w:rsidP="009252F8">
            <w:pPr>
              <w:pStyle w:val="ae"/>
              <w:rPr>
                <w:rFonts w:cs="Times New Roman"/>
                <w:b w:val="0"/>
              </w:rPr>
            </w:pPr>
          </w:p>
        </w:tc>
        <w:tc>
          <w:tcPr>
            <w:tcW w:w="1662" w:type="dxa"/>
            <w:vAlign w:val="center"/>
          </w:tcPr>
          <w:p w14:paraId="25A90FC1" w14:textId="77777777" w:rsidR="0052438D" w:rsidRPr="00530A11" w:rsidRDefault="0052438D" w:rsidP="009252F8">
            <w:pPr>
              <w:pStyle w:val="ae"/>
              <w:rPr>
                <w:rFonts w:cs="Times New Roman"/>
                <w:b w:val="0"/>
              </w:rPr>
            </w:pPr>
            <w:r w:rsidRPr="00530A11">
              <w:rPr>
                <w:rFonts w:cs="Times New Roman"/>
                <w:b w:val="0"/>
              </w:rPr>
              <w:t>室内顶棚装饰面层涂料、吊顶</w:t>
            </w:r>
            <w:r w:rsidRPr="00530A11">
              <w:rPr>
                <w:rFonts w:cs="Times New Roman"/>
                <w:b w:val="0"/>
              </w:rPr>
              <w:lastRenderedPageBreak/>
              <w:t>等</w:t>
            </w:r>
          </w:p>
        </w:tc>
        <w:tc>
          <w:tcPr>
            <w:tcW w:w="1663" w:type="dxa"/>
            <w:vAlign w:val="center"/>
          </w:tcPr>
          <w:p w14:paraId="61CE1AD4" w14:textId="77777777" w:rsidR="0052438D" w:rsidRPr="00530A11" w:rsidRDefault="0052438D" w:rsidP="009252F8">
            <w:pPr>
              <w:pStyle w:val="ae"/>
              <w:rPr>
                <w:rFonts w:cs="Times New Roman"/>
                <w:b w:val="0"/>
              </w:rPr>
            </w:pPr>
            <w:r w:rsidRPr="00530A11">
              <w:rPr>
                <w:rFonts w:cs="Times New Roman"/>
                <w:b w:val="0"/>
              </w:rPr>
              <w:lastRenderedPageBreak/>
              <w:t>P</w:t>
            </w:r>
            <w:r w:rsidRPr="00530A11">
              <w:rPr>
                <w:rFonts w:cs="Times New Roman"/>
                <w:b w:val="0"/>
                <w:vertAlign w:val="subscript"/>
              </w:rPr>
              <w:t>S</w:t>
            </w:r>
            <w:r w:rsidRPr="00530A11">
              <w:rPr>
                <w:rFonts w:cs="Times New Roman"/>
                <w:b w:val="0"/>
              </w:rPr>
              <w:t>≥80%</w:t>
            </w:r>
          </w:p>
        </w:tc>
        <w:tc>
          <w:tcPr>
            <w:tcW w:w="1654" w:type="dxa"/>
            <w:vAlign w:val="center"/>
          </w:tcPr>
          <w:p w14:paraId="3AE82E4D"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78452067"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5F336EF2" w14:textId="77777777" w:rsidTr="009252F8">
        <w:tc>
          <w:tcPr>
            <w:tcW w:w="1652" w:type="dxa"/>
            <w:vMerge/>
            <w:vAlign w:val="center"/>
          </w:tcPr>
          <w:p w14:paraId="0288C7B8" w14:textId="77777777" w:rsidR="0052438D" w:rsidRPr="00530A11" w:rsidRDefault="0052438D" w:rsidP="009252F8">
            <w:pPr>
              <w:pStyle w:val="ae"/>
              <w:rPr>
                <w:rFonts w:cs="Times New Roman"/>
                <w:b w:val="0"/>
              </w:rPr>
            </w:pPr>
          </w:p>
        </w:tc>
        <w:tc>
          <w:tcPr>
            <w:tcW w:w="1662" w:type="dxa"/>
            <w:vAlign w:val="center"/>
          </w:tcPr>
          <w:p w14:paraId="54628E3F" w14:textId="77777777" w:rsidR="0052438D" w:rsidRPr="00530A11" w:rsidRDefault="0052438D" w:rsidP="009252F8">
            <w:pPr>
              <w:pStyle w:val="ae"/>
              <w:rPr>
                <w:rFonts w:cs="Times New Roman"/>
                <w:b w:val="0"/>
              </w:rPr>
            </w:pPr>
            <w:r w:rsidRPr="00530A11">
              <w:rPr>
                <w:rFonts w:cs="Times New Roman"/>
                <w:b w:val="0"/>
              </w:rPr>
              <w:t>室内地面装饰面层木地板、面砖等</w:t>
            </w:r>
          </w:p>
        </w:tc>
        <w:tc>
          <w:tcPr>
            <w:tcW w:w="1663" w:type="dxa"/>
            <w:vAlign w:val="center"/>
          </w:tcPr>
          <w:p w14:paraId="63F7EDC4"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396951BE"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1871C230"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5FE00E26" w14:textId="77777777" w:rsidTr="009252F8">
        <w:tc>
          <w:tcPr>
            <w:tcW w:w="1652" w:type="dxa"/>
            <w:vMerge/>
            <w:vAlign w:val="center"/>
          </w:tcPr>
          <w:p w14:paraId="53342D01" w14:textId="77777777" w:rsidR="0052438D" w:rsidRPr="00530A11" w:rsidRDefault="0052438D" w:rsidP="009252F8">
            <w:pPr>
              <w:pStyle w:val="ae"/>
              <w:rPr>
                <w:rFonts w:cs="Times New Roman"/>
                <w:b w:val="0"/>
              </w:rPr>
            </w:pPr>
          </w:p>
        </w:tc>
        <w:tc>
          <w:tcPr>
            <w:tcW w:w="1662" w:type="dxa"/>
            <w:vAlign w:val="center"/>
          </w:tcPr>
          <w:p w14:paraId="13AF5935" w14:textId="77777777" w:rsidR="0052438D" w:rsidRPr="00530A11" w:rsidRDefault="0052438D" w:rsidP="009252F8">
            <w:pPr>
              <w:pStyle w:val="ae"/>
              <w:rPr>
                <w:rFonts w:cs="Times New Roman"/>
                <w:b w:val="0"/>
              </w:rPr>
            </w:pPr>
            <w:r w:rsidRPr="00530A11">
              <w:rPr>
                <w:rFonts w:cs="Times New Roman"/>
                <w:b w:val="0"/>
              </w:rPr>
              <w:t>门窗、玻璃</w:t>
            </w:r>
          </w:p>
        </w:tc>
        <w:tc>
          <w:tcPr>
            <w:tcW w:w="1663" w:type="dxa"/>
            <w:vAlign w:val="center"/>
          </w:tcPr>
          <w:p w14:paraId="48FDF190"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5128FAB4"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2C26999E"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041B542C" w14:textId="77777777" w:rsidTr="009252F8">
        <w:tc>
          <w:tcPr>
            <w:tcW w:w="1652" w:type="dxa"/>
            <w:vMerge w:val="restart"/>
            <w:vAlign w:val="center"/>
          </w:tcPr>
          <w:p w14:paraId="318BBA25" w14:textId="77777777" w:rsidR="0052438D" w:rsidRPr="00530A11" w:rsidRDefault="0052438D" w:rsidP="009252F8">
            <w:pPr>
              <w:pStyle w:val="ae"/>
              <w:rPr>
                <w:rFonts w:cs="Times New Roman"/>
                <w:b w:val="0"/>
              </w:rPr>
            </w:pPr>
            <w:r w:rsidRPr="00530A11">
              <w:rPr>
                <w:rFonts w:cs="Times New Roman"/>
                <w:b w:val="0"/>
              </w:rPr>
              <w:t>其他</w:t>
            </w:r>
          </w:p>
        </w:tc>
        <w:tc>
          <w:tcPr>
            <w:tcW w:w="1662" w:type="dxa"/>
            <w:vAlign w:val="center"/>
          </w:tcPr>
          <w:p w14:paraId="5870FE53" w14:textId="77777777" w:rsidR="0052438D" w:rsidRPr="00530A11" w:rsidRDefault="0052438D" w:rsidP="009252F8">
            <w:pPr>
              <w:pStyle w:val="ae"/>
              <w:rPr>
                <w:rFonts w:cs="Times New Roman"/>
                <w:b w:val="0"/>
              </w:rPr>
            </w:pPr>
            <w:r w:rsidRPr="00530A11">
              <w:rPr>
                <w:rFonts w:cs="Times New Roman"/>
                <w:b w:val="0"/>
              </w:rPr>
              <w:t>保温材料</w:t>
            </w:r>
          </w:p>
        </w:tc>
        <w:tc>
          <w:tcPr>
            <w:tcW w:w="1663" w:type="dxa"/>
            <w:vAlign w:val="center"/>
          </w:tcPr>
          <w:p w14:paraId="01D98AAD" w14:textId="77777777" w:rsidR="0052438D" w:rsidRPr="00530A11" w:rsidRDefault="0052438D" w:rsidP="009252F8">
            <w:pPr>
              <w:pStyle w:val="ae"/>
              <w:rPr>
                <w:rFonts w:cs="Times New Roman"/>
                <w:b w:val="0"/>
              </w:rPr>
            </w:pPr>
            <w:r w:rsidRPr="00530A11">
              <w:rPr>
                <w:rFonts w:cs="Times New Roman"/>
                <w:b w:val="0"/>
              </w:rPr>
              <w:t>80%≤P</w:t>
            </w:r>
            <w:r w:rsidRPr="00530A11">
              <w:rPr>
                <w:rFonts w:cs="Times New Roman"/>
                <w:b w:val="0"/>
                <w:vertAlign w:val="subscript"/>
              </w:rPr>
              <w:t>S</w:t>
            </w:r>
            <w:r w:rsidRPr="00530A11">
              <w:rPr>
                <w:rFonts w:cs="Times New Roman"/>
                <w:b w:val="0"/>
              </w:rPr>
              <w:t>≤100%</w:t>
            </w:r>
          </w:p>
        </w:tc>
        <w:tc>
          <w:tcPr>
            <w:tcW w:w="1654" w:type="dxa"/>
            <w:vAlign w:val="center"/>
          </w:tcPr>
          <w:p w14:paraId="11A9BE21"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37EFC312" w14:textId="77777777" w:rsidR="0052438D" w:rsidRPr="00530A11" w:rsidRDefault="0052438D" w:rsidP="009252F8">
            <w:pPr>
              <w:pStyle w:val="ae"/>
              <w:rPr>
                <w:rFonts w:cs="Times New Roman"/>
                <w:b w:val="0"/>
              </w:rPr>
            </w:pPr>
            <w:r w:rsidRPr="00530A11">
              <w:rPr>
                <w:rFonts w:cs="Times New Roman"/>
                <w:b w:val="0"/>
              </w:rPr>
              <w:t>5~10</w:t>
            </w:r>
            <w:r w:rsidRPr="00530A11">
              <w:rPr>
                <w:rFonts w:cs="Times New Roman"/>
                <w:b w:val="0"/>
                <w:vertAlign w:val="superscript"/>
              </w:rPr>
              <w:t>*</w:t>
            </w:r>
          </w:p>
        </w:tc>
      </w:tr>
      <w:tr w:rsidR="0052438D" w:rsidRPr="00530A11" w14:paraId="272F2D71" w14:textId="77777777" w:rsidTr="009252F8">
        <w:tc>
          <w:tcPr>
            <w:tcW w:w="1652" w:type="dxa"/>
            <w:vMerge/>
            <w:vAlign w:val="center"/>
          </w:tcPr>
          <w:p w14:paraId="2778CC2A" w14:textId="77777777" w:rsidR="0052438D" w:rsidRPr="00530A11" w:rsidRDefault="0052438D" w:rsidP="009252F8">
            <w:pPr>
              <w:pStyle w:val="ae"/>
              <w:rPr>
                <w:rFonts w:cs="Times New Roman"/>
                <w:b w:val="0"/>
              </w:rPr>
            </w:pPr>
          </w:p>
        </w:tc>
        <w:tc>
          <w:tcPr>
            <w:tcW w:w="1662" w:type="dxa"/>
            <w:vAlign w:val="center"/>
          </w:tcPr>
          <w:p w14:paraId="603D393A" w14:textId="77777777" w:rsidR="0052438D" w:rsidRPr="00530A11" w:rsidRDefault="0052438D" w:rsidP="009252F8">
            <w:pPr>
              <w:pStyle w:val="ae"/>
              <w:rPr>
                <w:rFonts w:cs="Times New Roman"/>
                <w:b w:val="0"/>
              </w:rPr>
            </w:pPr>
            <w:r w:rsidRPr="00530A11">
              <w:rPr>
                <w:rFonts w:cs="Times New Roman"/>
                <w:b w:val="0"/>
              </w:rPr>
              <w:t>卫生洁具</w:t>
            </w:r>
          </w:p>
        </w:tc>
        <w:tc>
          <w:tcPr>
            <w:tcW w:w="1663" w:type="dxa"/>
            <w:vAlign w:val="center"/>
          </w:tcPr>
          <w:p w14:paraId="27C95B56"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72C1AFFB" w14:textId="77777777" w:rsidR="0052438D" w:rsidRPr="00530A11" w:rsidRDefault="0052438D" w:rsidP="009252F8">
            <w:pPr>
              <w:pStyle w:val="ae"/>
              <w:rPr>
                <w:rFonts w:cs="Times New Roman"/>
                <w:b w:val="0"/>
              </w:rPr>
            </w:pPr>
            <w:r w:rsidRPr="00530A11">
              <w:rPr>
                <w:rFonts w:cs="Times New Roman"/>
                <w:b w:val="0"/>
              </w:rPr>
              <w:t>具</w:t>
            </w:r>
          </w:p>
        </w:tc>
        <w:tc>
          <w:tcPr>
            <w:tcW w:w="1671" w:type="dxa"/>
            <w:vAlign w:val="center"/>
          </w:tcPr>
          <w:p w14:paraId="0B8923CD"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676DD778" w14:textId="77777777" w:rsidTr="009252F8">
        <w:tc>
          <w:tcPr>
            <w:tcW w:w="1652" w:type="dxa"/>
            <w:vMerge/>
            <w:vAlign w:val="center"/>
          </w:tcPr>
          <w:p w14:paraId="57EF03D8" w14:textId="77777777" w:rsidR="0052438D" w:rsidRPr="00530A11" w:rsidRDefault="0052438D" w:rsidP="009252F8">
            <w:pPr>
              <w:pStyle w:val="ae"/>
              <w:rPr>
                <w:rFonts w:cs="Times New Roman"/>
                <w:b w:val="0"/>
              </w:rPr>
            </w:pPr>
          </w:p>
        </w:tc>
        <w:tc>
          <w:tcPr>
            <w:tcW w:w="1662" w:type="dxa"/>
            <w:vAlign w:val="center"/>
          </w:tcPr>
          <w:p w14:paraId="07734D5D" w14:textId="77777777" w:rsidR="0052438D" w:rsidRPr="00530A11" w:rsidRDefault="0052438D" w:rsidP="009252F8">
            <w:pPr>
              <w:pStyle w:val="ae"/>
              <w:rPr>
                <w:rFonts w:cs="Times New Roman"/>
                <w:b w:val="0"/>
              </w:rPr>
            </w:pPr>
            <w:r w:rsidRPr="00530A11">
              <w:rPr>
                <w:rFonts w:cs="Times New Roman"/>
                <w:b w:val="0"/>
              </w:rPr>
              <w:t>防水材料</w:t>
            </w:r>
          </w:p>
        </w:tc>
        <w:tc>
          <w:tcPr>
            <w:tcW w:w="1663" w:type="dxa"/>
            <w:vAlign w:val="center"/>
          </w:tcPr>
          <w:p w14:paraId="6D6B9EBB"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54B563BE" w14:textId="77777777" w:rsidR="0052438D" w:rsidRPr="00530A11" w:rsidRDefault="0052438D" w:rsidP="009252F8">
            <w:pPr>
              <w:pStyle w:val="ae"/>
              <w:rPr>
                <w:rFonts w:cs="Times New Roman"/>
                <w:b w:val="0"/>
              </w:rPr>
            </w:pPr>
            <w:r w:rsidRPr="00530A11">
              <w:rPr>
                <w:rFonts w:cs="Times New Roman"/>
                <w:b w:val="0"/>
              </w:rPr>
              <w:t>m</w:t>
            </w:r>
            <w:r w:rsidRPr="00530A11">
              <w:rPr>
                <w:rFonts w:cs="Times New Roman"/>
                <w:b w:val="0"/>
                <w:vertAlign w:val="superscript"/>
              </w:rPr>
              <w:t>2</w:t>
            </w:r>
          </w:p>
        </w:tc>
        <w:tc>
          <w:tcPr>
            <w:tcW w:w="1671" w:type="dxa"/>
            <w:vAlign w:val="center"/>
          </w:tcPr>
          <w:p w14:paraId="4DC05AF2"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3EF77201" w14:textId="77777777" w:rsidTr="009252F8">
        <w:tc>
          <w:tcPr>
            <w:tcW w:w="1652" w:type="dxa"/>
            <w:vMerge/>
            <w:vAlign w:val="center"/>
          </w:tcPr>
          <w:p w14:paraId="7BF00376" w14:textId="77777777" w:rsidR="0052438D" w:rsidRPr="00530A11" w:rsidRDefault="0052438D" w:rsidP="009252F8">
            <w:pPr>
              <w:pStyle w:val="ae"/>
              <w:rPr>
                <w:rFonts w:cs="Times New Roman"/>
                <w:b w:val="0"/>
              </w:rPr>
            </w:pPr>
          </w:p>
        </w:tc>
        <w:tc>
          <w:tcPr>
            <w:tcW w:w="1662" w:type="dxa"/>
            <w:vAlign w:val="center"/>
          </w:tcPr>
          <w:p w14:paraId="41C1C326" w14:textId="77777777" w:rsidR="0052438D" w:rsidRPr="00530A11" w:rsidRDefault="0052438D" w:rsidP="009252F8">
            <w:pPr>
              <w:pStyle w:val="ae"/>
              <w:rPr>
                <w:rFonts w:cs="Times New Roman"/>
                <w:b w:val="0"/>
              </w:rPr>
            </w:pPr>
            <w:r w:rsidRPr="00530A11">
              <w:rPr>
                <w:rFonts w:cs="Times New Roman"/>
                <w:b w:val="0"/>
              </w:rPr>
              <w:t>密封材料</w:t>
            </w:r>
          </w:p>
        </w:tc>
        <w:tc>
          <w:tcPr>
            <w:tcW w:w="1663" w:type="dxa"/>
            <w:vAlign w:val="center"/>
          </w:tcPr>
          <w:p w14:paraId="41685741"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5AE83945" w14:textId="77777777" w:rsidR="0052438D" w:rsidRPr="00530A11" w:rsidRDefault="0052438D" w:rsidP="009252F8">
            <w:pPr>
              <w:pStyle w:val="ae"/>
              <w:rPr>
                <w:rFonts w:cs="Times New Roman"/>
                <w:b w:val="0"/>
              </w:rPr>
            </w:pPr>
            <w:r w:rsidRPr="00530A11">
              <w:rPr>
                <w:rFonts w:cs="Times New Roman"/>
                <w:b w:val="0"/>
              </w:rPr>
              <w:t>kg</w:t>
            </w:r>
          </w:p>
        </w:tc>
        <w:tc>
          <w:tcPr>
            <w:tcW w:w="1671" w:type="dxa"/>
            <w:vAlign w:val="center"/>
          </w:tcPr>
          <w:p w14:paraId="19E9F20C" w14:textId="77777777" w:rsidR="0052438D" w:rsidRPr="00530A11" w:rsidRDefault="0052438D" w:rsidP="009252F8">
            <w:pPr>
              <w:pStyle w:val="ae"/>
              <w:rPr>
                <w:rFonts w:cs="Times New Roman"/>
                <w:b w:val="0"/>
              </w:rPr>
            </w:pPr>
            <w:r w:rsidRPr="00530A11">
              <w:rPr>
                <w:rFonts w:cs="Times New Roman"/>
                <w:b w:val="0"/>
              </w:rPr>
              <w:t>5</w:t>
            </w:r>
          </w:p>
        </w:tc>
      </w:tr>
      <w:tr w:rsidR="0052438D" w:rsidRPr="00530A11" w14:paraId="43FE0EFB" w14:textId="77777777" w:rsidTr="009252F8">
        <w:tc>
          <w:tcPr>
            <w:tcW w:w="1652" w:type="dxa"/>
            <w:vMerge/>
            <w:vAlign w:val="center"/>
          </w:tcPr>
          <w:p w14:paraId="35DD5A52" w14:textId="77777777" w:rsidR="0052438D" w:rsidRPr="00530A11" w:rsidRDefault="0052438D" w:rsidP="009252F8">
            <w:pPr>
              <w:pStyle w:val="ae"/>
              <w:rPr>
                <w:rFonts w:cs="Times New Roman"/>
                <w:b w:val="0"/>
              </w:rPr>
            </w:pPr>
          </w:p>
        </w:tc>
        <w:tc>
          <w:tcPr>
            <w:tcW w:w="1662" w:type="dxa"/>
            <w:vAlign w:val="center"/>
          </w:tcPr>
          <w:p w14:paraId="07DEB9FC" w14:textId="77777777" w:rsidR="0052438D" w:rsidRPr="00530A11" w:rsidRDefault="0052438D" w:rsidP="009252F8">
            <w:pPr>
              <w:pStyle w:val="ae"/>
              <w:rPr>
                <w:rFonts w:cs="Times New Roman"/>
                <w:b w:val="0"/>
              </w:rPr>
            </w:pPr>
            <w:r w:rsidRPr="00530A11">
              <w:rPr>
                <w:rFonts w:cs="Times New Roman"/>
                <w:b w:val="0"/>
              </w:rPr>
              <w:t>其他</w:t>
            </w:r>
          </w:p>
        </w:tc>
        <w:tc>
          <w:tcPr>
            <w:tcW w:w="1663" w:type="dxa"/>
            <w:vAlign w:val="center"/>
          </w:tcPr>
          <w:p w14:paraId="0691A2E3" w14:textId="77777777" w:rsidR="0052438D" w:rsidRPr="00530A11" w:rsidRDefault="0052438D" w:rsidP="009252F8">
            <w:pPr>
              <w:pStyle w:val="ae"/>
              <w:rPr>
                <w:rFonts w:cs="Times New Roman"/>
                <w:b w:val="0"/>
              </w:rPr>
            </w:pPr>
            <w:r w:rsidRPr="00530A11">
              <w:rPr>
                <w:rFonts w:cs="Times New Roman"/>
                <w:b w:val="0"/>
              </w:rPr>
              <w:t>P</w:t>
            </w:r>
            <w:r w:rsidRPr="00530A11">
              <w:rPr>
                <w:rFonts w:cs="Times New Roman"/>
                <w:b w:val="0"/>
                <w:vertAlign w:val="subscript"/>
              </w:rPr>
              <w:t>S</w:t>
            </w:r>
            <w:r w:rsidRPr="00530A11">
              <w:rPr>
                <w:rFonts w:cs="Times New Roman"/>
                <w:b w:val="0"/>
              </w:rPr>
              <w:t>≥80%</w:t>
            </w:r>
          </w:p>
        </w:tc>
        <w:tc>
          <w:tcPr>
            <w:tcW w:w="1654" w:type="dxa"/>
            <w:vAlign w:val="center"/>
          </w:tcPr>
          <w:p w14:paraId="1C2283A2" w14:textId="77777777" w:rsidR="0052438D" w:rsidRPr="00530A11" w:rsidRDefault="0052438D" w:rsidP="009252F8">
            <w:pPr>
              <w:pStyle w:val="ae"/>
              <w:rPr>
                <w:rFonts w:cs="Times New Roman"/>
                <w:b w:val="0"/>
              </w:rPr>
            </w:pPr>
            <w:r w:rsidRPr="00530A11">
              <w:rPr>
                <w:rFonts w:cs="Times New Roman"/>
                <w:b w:val="0"/>
              </w:rPr>
              <w:t>—</w:t>
            </w:r>
          </w:p>
        </w:tc>
        <w:tc>
          <w:tcPr>
            <w:tcW w:w="1671" w:type="dxa"/>
            <w:vAlign w:val="center"/>
          </w:tcPr>
          <w:p w14:paraId="732094EC" w14:textId="77777777" w:rsidR="0052438D" w:rsidRPr="00530A11" w:rsidRDefault="0052438D" w:rsidP="009252F8">
            <w:pPr>
              <w:pStyle w:val="ae"/>
              <w:rPr>
                <w:rFonts w:cs="Times New Roman"/>
                <w:b w:val="0"/>
              </w:rPr>
            </w:pPr>
            <w:r w:rsidRPr="00530A11">
              <w:rPr>
                <w:rFonts w:cs="Times New Roman"/>
                <w:b w:val="0"/>
              </w:rPr>
              <w:t>5</w:t>
            </w:r>
          </w:p>
        </w:tc>
      </w:tr>
    </w:tbl>
    <w:bookmarkEnd w:id="163"/>
    <w:p w14:paraId="049186BC" w14:textId="77777777" w:rsidR="0052438D" w:rsidRPr="00530A11" w:rsidRDefault="0052438D" w:rsidP="0052438D">
      <w:pPr>
        <w:pStyle w:val="ae"/>
        <w:jc w:val="both"/>
        <w:rPr>
          <w:rFonts w:cs="Times New Roman"/>
          <w:b w:val="0"/>
        </w:rPr>
      </w:pPr>
      <w:r w:rsidRPr="00530A11">
        <w:rPr>
          <w:rFonts w:cs="Times New Roman"/>
          <w:b w:val="0"/>
        </w:rPr>
        <w:t>注：</w:t>
      </w:r>
      <w:r w:rsidRPr="00530A11">
        <w:rPr>
          <w:rFonts w:cs="Times New Roman"/>
          <w:b w:val="0"/>
        </w:rPr>
        <w:t xml:space="preserve">1 </w:t>
      </w:r>
      <w:r w:rsidRPr="00530A11">
        <w:rPr>
          <w:rFonts w:cs="Times New Roman"/>
          <w:b w:val="0"/>
        </w:rPr>
        <w:t>表中带</w:t>
      </w:r>
      <w:r w:rsidRPr="00530A11">
        <w:rPr>
          <w:rFonts w:cs="Times New Roman"/>
          <w:b w:val="0"/>
        </w:rPr>
        <w:t>“*”</w:t>
      </w:r>
      <w:r w:rsidRPr="00530A11">
        <w:rPr>
          <w:rFonts w:cs="Times New Roman"/>
          <w:b w:val="0"/>
        </w:rPr>
        <w:t>项的分值采用</w:t>
      </w:r>
      <w:r w:rsidRPr="00530A11">
        <w:rPr>
          <w:rFonts w:cs="Times New Roman"/>
          <w:b w:val="0"/>
        </w:rPr>
        <w:t>“</w:t>
      </w:r>
      <w:r w:rsidRPr="00530A11">
        <w:rPr>
          <w:rFonts w:cs="Times New Roman"/>
          <w:b w:val="0"/>
        </w:rPr>
        <w:t>内插法</w:t>
      </w:r>
      <w:r w:rsidRPr="00530A11">
        <w:rPr>
          <w:rFonts w:cs="Times New Roman"/>
          <w:b w:val="0"/>
        </w:rPr>
        <w:t>”</w:t>
      </w:r>
      <w:r w:rsidRPr="00530A11">
        <w:rPr>
          <w:rFonts w:cs="Times New Roman"/>
          <w:b w:val="0"/>
        </w:rPr>
        <w:t>计算，计算结果取小数点后</w:t>
      </w:r>
      <w:r w:rsidRPr="00530A11">
        <w:rPr>
          <w:rFonts w:cs="Times New Roman"/>
          <w:b w:val="0"/>
        </w:rPr>
        <w:t>1</w:t>
      </w:r>
      <w:r w:rsidRPr="00530A11">
        <w:rPr>
          <w:rFonts w:cs="Times New Roman"/>
          <w:b w:val="0"/>
        </w:rPr>
        <w:t>位。</w:t>
      </w:r>
    </w:p>
    <w:p w14:paraId="5DEA7BB7" w14:textId="77777777" w:rsidR="0052438D" w:rsidRPr="00530A11" w:rsidRDefault="0052438D" w:rsidP="0052438D">
      <w:pPr>
        <w:pStyle w:val="ae"/>
        <w:jc w:val="both"/>
        <w:rPr>
          <w:rFonts w:cs="Times New Roman"/>
          <w:b w:val="0"/>
        </w:rPr>
      </w:pPr>
      <w:r w:rsidRPr="00530A11">
        <w:rPr>
          <w:rFonts w:cs="Times New Roman"/>
          <w:b w:val="0"/>
        </w:rPr>
        <w:t xml:space="preserve">2 </w:t>
      </w:r>
      <w:r w:rsidRPr="00530A11">
        <w:rPr>
          <w:rFonts w:cs="Times New Roman"/>
          <w:b w:val="0"/>
        </w:rPr>
        <w:t>预拌混凝土应包含预制部品部件的混凝土用量；预拌砂浆应包含预制部品部件的砂浆用量；围护墙、内隔墙采用预制构件时，计入相应体积计算；结构保温装修等一体化构件分别计入相应的墙体、装修、保温、防水材料计算公式进行计算。</w:t>
      </w:r>
    </w:p>
    <w:p w14:paraId="0798F5C6" w14:textId="77777777" w:rsidR="0052438D" w:rsidRPr="00530A11" w:rsidRDefault="0052438D" w:rsidP="0052438D">
      <w:pPr>
        <w:pStyle w:val="ae"/>
        <w:jc w:val="both"/>
        <w:rPr>
          <w:rFonts w:cs="Times New Roman"/>
          <w:b w:val="0"/>
        </w:rPr>
      </w:pPr>
      <w:bookmarkStart w:id="164" w:name="_Hlk25163006"/>
      <w:r w:rsidRPr="00530A11">
        <w:rPr>
          <w:rFonts w:cs="Times New Roman"/>
          <w:b w:val="0"/>
        </w:rPr>
        <w:t xml:space="preserve">3 </w:t>
      </w:r>
      <w:r w:rsidRPr="00530A11">
        <w:rPr>
          <w:rFonts w:cs="Times New Roman"/>
          <w:b w:val="0"/>
        </w:rPr>
        <w:t>表中最后一项的</w:t>
      </w:r>
      <w:r w:rsidRPr="00530A11">
        <w:rPr>
          <w:rFonts w:cs="Times New Roman"/>
          <w:b w:val="0"/>
        </w:rPr>
        <w:t>“</w:t>
      </w:r>
      <w:r w:rsidRPr="00530A11">
        <w:rPr>
          <w:rFonts w:cs="Times New Roman"/>
          <w:b w:val="0"/>
        </w:rPr>
        <w:t>其他</w:t>
      </w:r>
      <w:r w:rsidRPr="00530A11">
        <w:rPr>
          <w:rFonts w:cs="Times New Roman"/>
          <w:b w:val="0"/>
        </w:rPr>
        <w:t>”</w:t>
      </w:r>
      <w:r w:rsidRPr="00530A11">
        <w:rPr>
          <w:rFonts w:cs="Times New Roman"/>
          <w:b w:val="0"/>
        </w:rPr>
        <w:t>包括管材管件、遮阳设施、光伏组件等产品，</w:t>
      </w:r>
      <w:bookmarkStart w:id="165" w:name="_Hlk25680148"/>
      <w:r w:rsidRPr="00530A11">
        <w:rPr>
          <w:rFonts w:cs="Times New Roman"/>
          <w:b w:val="0"/>
        </w:rPr>
        <w:t>使用其中一种符合要求的产品即可得分。</w:t>
      </w:r>
      <w:bookmarkEnd w:id="165"/>
    </w:p>
    <w:p w14:paraId="12195BB0" w14:textId="77777777" w:rsidR="0052438D" w:rsidRPr="00530A11" w:rsidRDefault="0052438D" w:rsidP="0052438D">
      <w:pPr>
        <w:pStyle w:val="ae"/>
        <w:jc w:val="both"/>
        <w:rPr>
          <w:rFonts w:cs="Times New Roman"/>
          <w:b w:val="0"/>
        </w:rPr>
      </w:pPr>
      <w:r w:rsidRPr="00530A11">
        <w:rPr>
          <w:rFonts w:cs="Times New Roman"/>
          <w:b w:val="0"/>
        </w:rPr>
        <w:t xml:space="preserve">4 </w:t>
      </w:r>
      <w:r w:rsidRPr="00530A11">
        <w:rPr>
          <w:rFonts w:cs="Times New Roman"/>
          <w:b w:val="0"/>
        </w:rPr>
        <w:t>所涉材料如尚未开展绿色建材评价标识，则在式中分母的</w:t>
      </w:r>
      <w:r w:rsidRPr="00530A11">
        <w:rPr>
          <w:rFonts w:cs="Times New Roman"/>
          <w:b w:val="0"/>
        </w:rPr>
        <w:t>“100”</w:t>
      </w:r>
      <w:r w:rsidRPr="00530A11">
        <w:rPr>
          <w:rFonts w:cs="Times New Roman"/>
          <w:b w:val="0"/>
        </w:rPr>
        <w:t>中扣除相应的分值后计算。</w:t>
      </w:r>
    </w:p>
    <w:bookmarkEnd w:id="164"/>
    <w:p w14:paraId="4245E656" w14:textId="3C7E4D6C" w:rsidR="00EF512F" w:rsidRPr="009252F8" w:rsidRDefault="00EF512F" w:rsidP="009252F8">
      <w:pPr>
        <w:pStyle w:val="20"/>
      </w:pPr>
      <w:r w:rsidRPr="0081478A">
        <w:t>【评价要点】</w:t>
      </w:r>
    </w:p>
    <w:p w14:paraId="212E4825" w14:textId="683CAB5E" w:rsidR="00297BEE" w:rsidRPr="0081478A" w:rsidRDefault="00297BEE" w:rsidP="00297BEE">
      <w:pPr>
        <w:ind w:firstLine="420"/>
      </w:pPr>
      <w:r w:rsidRPr="0081478A">
        <w:rPr>
          <w:rFonts w:cs="Times New Roman"/>
        </w:rPr>
        <w:t>绿色建材应用比例</w:t>
      </w:r>
      <w:r>
        <w:rPr>
          <w:rFonts w:hint="eastAsia"/>
        </w:rPr>
        <w:t>应按照计算公式进行计算。</w:t>
      </w:r>
      <w:r w:rsidRPr="0081478A">
        <w:t>所涉材料如尚未开展绿色建材评价标识，则在式中分母的</w:t>
      </w:r>
      <w:r w:rsidRPr="0081478A">
        <w:t>“100”</w:t>
      </w:r>
      <w:r w:rsidRPr="0081478A">
        <w:t>中扣除相应的分值后计算。</w:t>
      </w:r>
    </w:p>
    <w:p w14:paraId="017DC972"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2AC17A3"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预评价查阅相关设计文件、计算分析报告；评价查阅相关竣工图、计算分析报告、检测报告、工程决算材料清单、绿色建材标识证书、施工记录。</w:t>
      </w:r>
    </w:p>
    <w:p w14:paraId="6031BD00" w14:textId="77777777" w:rsidR="00715ABB" w:rsidRPr="00E905A0" w:rsidRDefault="00715ABB">
      <w:pPr>
        <w:snapToGrid w:val="0"/>
        <w:ind w:firstLineChars="0" w:firstLine="0"/>
        <w:jc w:val="left"/>
        <w:rPr>
          <w:rFonts w:cs="Times New Roman"/>
          <w:b/>
          <w:bCs/>
          <w:szCs w:val="24"/>
        </w:rPr>
      </w:pPr>
    </w:p>
    <w:p w14:paraId="0FB0A99D" w14:textId="77777777" w:rsidR="00C060F4" w:rsidRPr="00530A11" w:rsidRDefault="00C060F4" w:rsidP="00C060F4">
      <w:pPr>
        <w:pStyle w:val="4"/>
        <w:rPr>
          <w:rFonts w:cs="Times New Roman"/>
          <w:bCs w:val="0"/>
        </w:rPr>
      </w:pPr>
      <w:r w:rsidRPr="00530A11">
        <w:rPr>
          <w:rFonts w:cs="Times New Roman"/>
          <w:bCs w:val="0"/>
        </w:rPr>
        <w:t xml:space="preserve">7.2.20 </w:t>
      </w:r>
      <w:r w:rsidRPr="00530A11">
        <w:rPr>
          <w:rFonts w:cs="Times New Roman" w:hint="eastAsia"/>
          <w:bCs w:val="0"/>
        </w:rPr>
        <w:t>采用建筑形体和布置规则的建筑结构，评价分值为</w:t>
      </w:r>
      <w:r w:rsidRPr="00530A11">
        <w:rPr>
          <w:rFonts w:cs="Times New Roman"/>
          <w:bCs w:val="0"/>
        </w:rPr>
        <w:t>3</w:t>
      </w:r>
      <w:r w:rsidRPr="00530A11">
        <w:rPr>
          <w:rFonts w:cs="Times New Roman" w:hint="eastAsia"/>
          <w:bCs w:val="0"/>
        </w:rPr>
        <w:t>分。</w:t>
      </w:r>
    </w:p>
    <w:p w14:paraId="1C9E0182" w14:textId="77777777" w:rsidR="00715ABB" w:rsidRPr="0081478A" w:rsidRDefault="00F44390" w:rsidP="009252F8">
      <w:pPr>
        <w:pStyle w:val="20"/>
      </w:pPr>
      <w:r w:rsidRPr="0081478A">
        <w:t>【条文说明】</w:t>
      </w:r>
    </w:p>
    <w:p w14:paraId="6A3B2C27" w14:textId="77777777" w:rsidR="0052438D" w:rsidRPr="00530A11" w:rsidRDefault="0052438D" w:rsidP="0052438D">
      <w:pPr>
        <w:ind w:firstLine="420"/>
        <w:rPr>
          <w:szCs w:val="24"/>
        </w:rPr>
      </w:pPr>
      <w:r w:rsidRPr="00530A11">
        <w:t>本条适用于各类民用建筑的预评价、评价。</w:t>
      </w:r>
    </w:p>
    <w:p w14:paraId="7B19B532" w14:textId="77777777" w:rsidR="0052438D" w:rsidRPr="00530A11" w:rsidRDefault="0052438D" w:rsidP="0052438D">
      <w:pPr>
        <w:ind w:firstLine="420"/>
        <w:rPr>
          <w:rFonts w:cs="Times New Roman"/>
        </w:rPr>
      </w:pPr>
      <w:r w:rsidRPr="00530A11">
        <w:rPr>
          <w:rFonts w:cs="Times New Roman"/>
        </w:rPr>
        <w:t>本条为地标新增条文。</w:t>
      </w:r>
    </w:p>
    <w:p w14:paraId="24393C48" w14:textId="77777777" w:rsidR="0052438D" w:rsidRDefault="0052438D" w:rsidP="0052438D">
      <w:pPr>
        <w:ind w:firstLine="420"/>
      </w:pPr>
      <w:r w:rsidRPr="00530A11">
        <w:t>形体指建筑平面形状和立面、竖向剖面的变化。绿色建筑设计应重视其平面、立面和竖向剖面的规则性对抗震性能及经济合理性的影响，宜择优选用规则的形体。为实现相同的抗</w:t>
      </w:r>
      <w:r w:rsidRPr="00530A11">
        <w:lastRenderedPageBreak/>
        <w:t>震设防目标，形体不规则的建筑，要比形体规则的建筑消耗更多的结构材料。不规则程度越高，对结构材料的消耗就越多，性能要求就越高，不利于节材。规则的建筑结构需满足《建筑抗震设计规范》</w:t>
      </w:r>
      <w:r w:rsidRPr="00530A11">
        <w:t>GB50011-2010</w:t>
      </w:r>
      <w:r w:rsidRPr="00530A11">
        <w:t>（</w:t>
      </w:r>
      <w:r w:rsidRPr="00530A11">
        <w:t>2016</w:t>
      </w:r>
      <w:r w:rsidRPr="00530A11">
        <w:t>年版）第</w:t>
      </w:r>
      <w:r w:rsidRPr="00530A11">
        <w:t>3.4.2</w:t>
      </w:r>
      <w:r w:rsidRPr="00530A11">
        <w:t>条的规定。</w:t>
      </w:r>
    </w:p>
    <w:p w14:paraId="73F64C32" w14:textId="3F6BC389" w:rsidR="009008FD" w:rsidRPr="0081478A" w:rsidRDefault="009008FD" w:rsidP="0052438D">
      <w:pPr>
        <w:pStyle w:val="20"/>
        <w:rPr>
          <w:rFonts w:ascii="Times New Roman" w:hAnsi="Times New Roman" w:cs="Times New Roman"/>
          <w:color w:val="auto"/>
        </w:rPr>
      </w:pPr>
      <w:r w:rsidRPr="0081478A">
        <w:rPr>
          <w:rFonts w:ascii="Times New Roman" w:hAnsi="Times New Roman" w:cs="Times New Roman"/>
          <w:color w:val="auto"/>
        </w:rPr>
        <w:t>【评价要点】</w:t>
      </w:r>
    </w:p>
    <w:p w14:paraId="4AD61353" w14:textId="625E170D" w:rsidR="009008FD" w:rsidRPr="0081478A" w:rsidRDefault="009008FD" w:rsidP="009008FD">
      <w:pPr>
        <w:ind w:firstLine="420"/>
        <w:rPr>
          <w:rFonts w:cs="Times New Roman"/>
        </w:rPr>
      </w:pPr>
      <w:r w:rsidRPr="0081478A">
        <w:rPr>
          <w:rFonts w:cs="Times New Roman"/>
        </w:rPr>
        <w:t>建筑设计应符合空间逻辑、使用逻辑。震害表明，简单、对称的建筑在地震时较不容易破坏。建筑设计应重视平面、立面和竖向剖面的规则性对抗震性能及经济合理性的影响。</w:t>
      </w:r>
      <w:r w:rsidRPr="0081478A">
        <w:rPr>
          <w:rFonts w:cs="Times New Roman"/>
        </w:rPr>
        <w:t>“</w:t>
      </w:r>
      <w:r w:rsidRPr="0081478A">
        <w:rPr>
          <w:rFonts w:cs="Times New Roman"/>
        </w:rPr>
        <w:t>规则</w:t>
      </w:r>
      <w:r w:rsidRPr="0081478A">
        <w:rPr>
          <w:rFonts w:cs="Times New Roman"/>
        </w:rPr>
        <w:t>”</w:t>
      </w:r>
      <w:r w:rsidRPr="0081478A">
        <w:rPr>
          <w:rFonts w:cs="Times New Roman"/>
        </w:rPr>
        <w:t>包含了对建筑的平、立面外形尺寸，抗侧力构件布置、质量分布，直至承载力分布等诸多因素的综合要求。规则性指的是平面及竖向规则性指标不属于《建筑抗震设计规范》</w:t>
      </w:r>
      <w:r w:rsidRPr="0081478A">
        <w:rPr>
          <w:rFonts w:cs="Times New Roman"/>
        </w:rPr>
        <w:t>GB 50011-2010</w:t>
      </w:r>
      <w:r w:rsidRPr="0081478A">
        <w:rPr>
          <w:rFonts w:cs="Times New Roman"/>
        </w:rPr>
        <w:t>（</w:t>
      </w:r>
      <w:r w:rsidRPr="0081478A">
        <w:rPr>
          <w:rFonts w:cs="Times New Roman"/>
        </w:rPr>
        <w:t>2016</w:t>
      </w:r>
      <w:r w:rsidRPr="0081478A">
        <w:rPr>
          <w:rFonts w:cs="Times New Roman"/>
        </w:rPr>
        <w:t>年版）第</w:t>
      </w:r>
      <w:r w:rsidRPr="0081478A">
        <w:rPr>
          <w:rFonts w:cs="Times New Roman"/>
        </w:rPr>
        <w:t>3.4.3</w:t>
      </w:r>
      <w:r w:rsidRPr="0081478A">
        <w:rPr>
          <w:rFonts w:cs="Times New Roman"/>
        </w:rPr>
        <w:t>条及《重庆市超限高层建筑工程界定规定（</w:t>
      </w:r>
      <w:r w:rsidRPr="0081478A">
        <w:rPr>
          <w:rFonts w:cs="Times New Roman"/>
        </w:rPr>
        <w:t>2016</w:t>
      </w:r>
      <w:r w:rsidRPr="0081478A">
        <w:rPr>
          <w:rFonts w:cs="Times New Roman"/>
        </w:rPr>
        <w:t>年版）》第五条</w:t>
      </w:r>
      <w:r w:rsidR="00474B83" w:rsidRPr="0081478A">
        <w:rPr>
          <w:rFonts w:cs="Times New Roman"/>
        </w:rPr>
        <w:t>界</w:t>
      </w:r>
      <w:r w:rsidRPr="0081478A">
        <w:rPr>
          <w:rFonts w:cs="Times New Roman"/>
        </w:rPr>
        <w:t>定的不规则建筑结构，规则性判断参考表</w:t>
      </w:r>
      <w:r w:rsidR="00ED3417" w:rsidRPr="00ED3417">
        <w:rPr>
          <w:rFonts w:cs="Times New Roman"/>
        </w:rPr>
        <w:t>7.1.8-</w:t>
      </w:r>
      <w:r w:rsidR="00ED3417">
        <w:rPr>
          <w:rFonts w:cs="Times New Roman"/>
        </w:rPr>
        <w:t>1</w:t>
      </w:r>
      <w:r w:rsidRPr="0081478A">
        <w:rPr>
          <w:rFonts w:cs="Times New Roman"/>
        </w:rPr>
        <w:t>、</w:t>
      </w:r>
      <w:r w:rsidR="00ED3417" w:rsidRPr="00ED3417">
        <w:rPr>
          <w:rFonts w:cs="Times New Roman"/>
        </w:rPr>
        <w:t>7.1.8-</w:t>
      </w:r>
      <w:r w:rsidR="00ED3417">
        <w:rPr>
          <w:rFonts w:cs="Times New Roman"/>
        </w:rPr>
        <w:t>2</w:t>
      </w:r>
      <w:r w:rsidRPr="0081478A">
        <w:rPr>
          <w:rFonts w:cs="Times New Roman"/>
        </w:rPr>
        <w:t>。</w:t>
      </w:r>
    </w:p>
    <w:p w14:paraId="11B0260E"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3CB8E2F5" w14:textId="4D0805A8" w:rsidR="00715ABB" w:rsidRPr="0081478A" w:rsidRDefault="00E905A0" w:rsidP="00E905A0">
      <w:pPr>
        <w:ind w:firstLine="420"/>
      </w:pPr>
      <w:bookmarkStart w:id="166" w:name="_Hlk33038853"/>
      <w:r w:rsidRPr="00530A11">
        <w:t>预评价查阅相关设计文件</w:t>
      </w:r>
      <w:r w:rsidRPr="00530A11">
        <w:t>(</w:t>
      </w:r>
      <w:r w:rsidRPr="00530A11">
        <w:t>建筑图、结构施工图</w:t>
      </w:r>
      <w:r w:rsidRPr="00530A11">
        <w:t>)</w:t>
      </w:r>
      <w:r w:rsidRPr="00530A11">
        <w:t>、建筑形体规则性判定报告；评价查阅相关竣工图、建筑形体规则性判定报告</w:t>
      </w:r>
      <w:r w:rsidRPr="00530A11">
        <w:rPr>
          <w:rFonts w:hint="eastAsia"/>
        </w:rPr>
        <w:t>。</w:t>
      </w:r>
      <w:bookmarkEnd w:id="166"/>
    </w:p>
    <w:p w14:paraId="1BE7AC58" w14:textId="77777777" w:rsidR="00715ABB" w:rsidRPr="0081478A" w:rsidRDefault="00715ABB">
      <w:pPr>
        <w:ind w:firstLine="420"/>
        <w:rPr>
          <w:rFonts w:cs="Times New Roman"/>
        </w:rPr>
      </w:pPr>
    </w:p>
    <w:p w14:paraId="21CB6F8E" w14:textId="77777777" w:rsidR="00E71ADE" w:rsidRPr="0081478A" w:rsidRDefault="00E71ADE">
      <w:pPr>
        <w:widowControl/>
        <w:ind w:firstLineChars="0" w:firstLine="0"/>
        <w:jc w:val="left"/>
        <w:rPr>
          <w:rFonts w:cs="Times New Roman"/>
        </w:rPr>
      </w:pPr>
      <w:r w:rsidRPr="0081478A">
        <w:rPr>
          <w:rFonts w:cs="Times New Roman"/>
        </w:rPr>
        <w:br w:type="page"/>
      </w:r>
    </w:p>
    <w:p w14:paraId="14836E49" w14:textId="77777777" w:rsidR="00715ABB" w:rsidRPr="0081478A" w:rsidRDefault="00F44390" w:rsidP="003C1556">
      <w:pPr>
        <w:pStyle w:val="1"/>
      </w:pPr>
      <w:bookmarkStart w:id="167" w:name="_Toc22221587"/>
      <w:bookmarkStart w:id="168" w:name="_Toc35364754"/>
      <w:r w:rsidRPr="0081478A">
        <w:lastRenderedPageBreak/>
        <w:t xml:space="preserve">8  </w:t>
      </w:r>
      <w:r w:rsidRPr="0081478A">
        <w:t>环境宜居</w:t>
      </w:r>
      <w:bookmarkEnd w:id="167"/>
      <w:bookmarkEnd w:id="168"/>
    </w:p>
    <w:p w14:paraId="112A95E1" w14:textId="77777777" w:rsidR="00715ABB" w:rsidRPr="0081478A" w:rsidRDefault="00F44390" w:rsidP="001A7E3B">
      <w:pPr>
        <w:pStyle w:val="2"/>
      </w:pPr>
      <w:bookmarkStart w:id="169" w:name="_Toc22221588"/>
      <w:bookmarkStart w:id="170" w:name="_Toc35364755"/>
      <w:r w:rsidRPr="0081478A">
        <w:t xml:space="preserve">8.1 </w:t>
      </w:r>
      <w:r w:rsidRPr="0081478A">
        <w:t>控制项</w:t>
      </w:r>
      <w:bookmarkEnd w:id="169"/>
      <w:bookmarkEnd w:id="170"/>
    </w:p>
    <w:p w14:paraId="59B49095" w14:textId="77777777" w:rsidR="0052438D" w:rsidRPr="00530A11" w:rsidRDefault="0052438D" w:rsidP="0052438D">
      <w:pPr>
        <w:pStyle w:val="4"/>
        <w:rPr>
          <w:rFonts w:cs="Times New Roman"/>
          <w:bCs w:val="0"/>
        </w:rPr>
      </w:pPr>
      <w:r w:rsidRPr="00530A11">
        <w:rPr>
          <w:rFonts w:cs="Times New Roman"/>
          <w:bCs w:val="0"/>
        </w:rPr>
        <w:t xml:space="preserve">8.1.1 </w:t>
      </w:r>
      <w:r w:rsidRPr="00530A11">
        <w:rPr>
          <w:rFonts w:cs="Times New Roman"/>
          <w:bCs w:val="0"/>
        </w:rPr>
        <w:t>建筑规划布局应满足日照标准，且不得降低周边建筑的日照标准。</w:t>
      </w:r>
    </w:p>
    <w:p w14:paraId="7318F919" w14:textId="77777777" w:rsidR="00715ABB" w:rsidRPr="0081478A" w:rsidRDefault="00F44390" w:rsidP="009252F8">
      <w:pPr>
        <w:pStyle w:val="20"/>
      </w:pPr>
      <w:r w:rsidRPr="0081478A">
        <w:t>【条文说明】</w:t>
      </w:r>
    </w:p>
    <w:p w14:paraId="4F2BD2F3" w14:textId="77777777" w:rsidR="00991D52" w:rsidRPr="00530A11" w:rsidRDefault="00991D52" w:rsidP="00991D52">
      <w:pPr>
        <w:ind w:firstLine="420"/>
        <w:rPr>
          <w:szCs w:val="24"/>
        </w:rPr>
      </w:pPr>
      <w:bookmarkStart w:id="171" w:name="_Hlk33035876"/>
      <w:r w:rsidRPr="00530A11">
        <w:t>本条适用于各类民用建筑的预评价、评价。</w:t>
      </w:r>
    </w:p>
    <w:p w14:paraId="5F488858" w14:textId="48B4CF64"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4.1.4</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4.1.</w:t>
      </w:r>
      <w:r w:rsidR="00651CA5">
        <w:rPr>
          <w:rFonts w:cs="Times New Roman"/>
        </w:rPr>
        <w:t>3</w:t>
      </w:r>
      <w:r w:rsidRPr="00530A11">
        <w:rPr>
          <w:rFonts w:cs="Times New Roman"/>
        </w:rPr>
        <w:t>条的基础上发展而来。建筑室内的环境质量与日照密切相关。</w:t>
      </w:r>
    </w:p>
    <w:p w14:paraId="7CA39086" w14:textId="2683CFFF" w:rsidR="00991D52" w:rsidRPr="00530A11" w:rsidRDefault="001125F4" w:rsidP="001125F4">
      <w:pPr>
        <w:ind w:firstLine="420"/>
        <w:rPr>
          <w:rFonts w:cs="Times New Roman"/>
        </w:rPr>
      </w:pPr>
      <w:r w:rsidRPr="00F42C24">
        <w:rPr>
          <w:rFonts w:cs="Times New Roman" w:hint="eastAsia"/>
        </w:rPr>
        <w:t>建筑的布局与设计应充分考虑现行国家标准《城市居住区规划设计标准》</w:t>
      </w:r>
      <w:r w:rsidRPr="00F42C24">
        <w:rPr>
          <w:rFonts w:cs="Times New Roman" w:hint="eastAsia"/>
        </w:rPr>
        <w:t>GB 50180</w:t>
      </w:r>
      <w:r w:rsidRPr="00F42C24">
        <w:rPr>
          <w:rFonts w:cs="Times New Roman" w:hint="eastAsia"/>
        </w:rPr>
        <w:t>、《中小学校设计规范》</w:t>
      </w:r>
      <w:r w:rsidRPr="00F42C24">
        <w:rPr>
          <w:rFonts w:cs="Times New Roman" w:hint="eastAsia"/>
        </w:rPr>
        <w:t>GB 50099</w:t>
      </w:r>
      <w:r w:rsidRPr="00F42C24">
        <w:rPr>
          <w:rFonts w:cs="Times New Roman" w:hint="eastAsia"/>
        </w:rPr>
        <w:t>等以及现行行业标准《托儿所、幼儿园建筑设计规范》</w:t>
      </w:r>
      <w:r w:rsidRPr="00F42C24">
        <w:rPr>
          <w:rFonts w:cs="Times New Roman" w:hint="eastAsia"/>
        </w:rPr>
        <w:t>JGJ 39</w:t>
      </w:r>
      <w:r w:rsidRPr="00F42C24">
        <w:rPr>
          <w:rFonts w:cs="Times New Roman" w:hint="eastAsia"/>
        </w:rPr>
        <w:t>等标准要求，居住建筑应至少满足《重庆市规划管理规定》的规定，其他建筑应满足相关标准的日照要求</w:t>
      </w:r>
      <w:r>
        <w:rPr>
          <w:rFonts w:cs="Times New Roman" w:hint="eastAsia"/>
        </w:rPr>
        <w:t>。</w:t>
      </w:r>
      <w:r w:rsidR="00991D52" w:rsidRPr="00530A11">
        <w:rPr>
          <w:rFonts w:cs="Times New Roman"/>
        </w:rPr>
        <w:t>采用日照的模拟分析时，应执行现行国家标准《建筑日照计算参数标准》</w:t>
      </w:r>
      <w:r w:rsidR="00991D52" w:rsidRPr="00530A11">
        <w:rPr>
          <w:rFonts w:cs="Times New Roman"/>
        </w:rPr>
        <w:t>GB/T 50947</w:t>
      </w:r>
      <w:r w:rsidR="00991D52" w:rsidRPr="00530A11">
        <w:rPr>
          <w:rFonts w:cs="Times New Roman"/>
        </w:rPr>
        <w:t>中的相关规定。</w:t>
      </w:r>
    </w:p>
    <w:p w14:paraId="29EC6ED9" w14:textId="77777777" w:rsidR="00991D52" w:rsidRPr="00530A11" w:rsidRDefault="00991D52" w:rsidP="00991D52">
      <w:pPr>
        <w:ind w:firstLine="420"/>
        <w:rPr>
          <w:rFonts w:cs="Times New Roman"/>
        </w:rPr>
      </w:pPr>
      <w:r w:rsidRPr="00530A11">
        <w:rPr>
          <w:rFonts w:cs="Times New Roman"/>
        </w:rPr>
        <w:t>除满足日照和热环境相关标准要求外，本条要求建筑布局还应兼顾周边，减少对相邻的住宅、幼儿园生活用房等有日照标准要求的建筑产生不利的日照遮挡。条文中的</w:t>
      </w:r>
      <w:r w:rsidRPr="00530A11">
        <w:rPr>
          <w:rFonts w:cs="Times New Roman"/>
        </w:rPr>
        <w:t>“</w:t>
      </w:r>
      <w:r w:rsidRPr="00530A11">
        <w:rPr>
          <w:rFonts w:cs="Times New Roman"/>
        </w:rPr>
        <w:t>不得降低周边建筑的日照标准</w:t>
      </w:r>
      <w:r w:rsidRPr="00530A11">
        <w:rPr>
          <w:rFonts w:cs="Times New Roman"/>
        </w:rPr>
        <w:t>”</w:t>
      </w:r>
      <w:r w:rsidRPr="00530A11">
        <w:rPr>
          <w:rFonts w:cs="Times New Roman"/>
        </w:rPr>
        <w:t>是指：</w:t>
      </w:r>
      <w:r w:rsidRPr="00530A11">
        <w:rPr>
          <w:rFonts w:ascii="宋体" w:hAnsi="宋体" w:cs="宋体" w:hint="eastAsia"/>
        </w:rPr>
        <w:t>①</w:t>
      </w:r>
      <w:r w:rsidRPr="00530A11">
        <w:rPr>
          <w:rFonts w:cs="Times New Roman"/>
        </w:rPr>
        <w:t>对于新建项目的建设，应满足周边建筑有关日照标准的要求。</w:t>
      </w:r>
      <w:r w:rsidRPr="00530A11">
        <w:rPr>
          <w:rFonts w:ascii="宋体" w:hAnsi="宋体" w:cs="宋体" w:hint="eastAsia"/>
        </w:rPr>
        <w:t>②</w:t>
      </w:r>
      <w:r w:rsidRPr="00530A11">
        <w:rPr>
          <w:rFonts w:cs="Times New Roman"/>
        </w:rPr>
        <w:t>对于改造项目分两种情况：周边建筑改造前满足日照标准的，应保证其改造后仍符合相关日照标准的要求；周边建筑改造前未满足日照标准的，改造后不可再降低其原有的日照水平。</w:t>
      </w:r>
    </w:p>
    <w:p w14:paraId="6E655292" w14:textId="77777777" w:rsidR="00991D52" w:rsidRPr="00530A11" w:rsidRDefault="00991D52" w:rsidP="00991D52">
      <w:pPr>
        <w:ind w:firstLine="420"/>
        <w:rPr>
          <w:rFonts w:cs="Times New Roman"/>
        </w:rPr>
      </w:pPr>
      <w:r w:rsidRPr="00530A11">
        <w:rPr>
          <w:rFonts w:cs="Times New Roman"/>
        </w:rPr>
        <w:t>对于周边建筑，现行标准对其日照标准有量化要求的，可以通过模拟计算报告来判定达标；对于周边的非住宅建筑，若现行设计标准对其日照标准没有量化的要求，则可以不进行日照的模拟计算，只要其满足控制性详规即可判定达标。</w:t>
      </w:r>
    </w:p>
    <w:bookmarkEnd w:id="171"/>
    <w:p w14:paraId="6489B694" w14:textId="77777777" w:rsidR="009008FD" w:rsidRPr="009252F8" w:rsidRDefault="009008FD" w:rsidP="009252F8">
      <w:pPr>
        <w:pStyle w:val="20"/>
      </w:pPr>
      <w:r w:rsidRPr="0081478A">
        <w:t>【评价要点】</w:t>
      </w:r>
    </w:p>
    <w:p w14:paraId="122E3F62" w14:textId="77777777" w:rsidR="009008FD" w:rsidRPr="0081478A" w:rsidRDefault="009008FD" w:rsidP="009008FD">
      <w:pPr>
        <w:ind w:firstLine="420"/>
        <w:rPr>
          <w:rFonts w:cs="Times New Roman"/>
        </w:rPr>
      </w:pPr>
      <w:r w:rsidRPr="0081478A">
        <w:rPr>
          <w:rFonts w:cs="Times New Roman"/>
        </w:rPr>
        <w:t>应符合重庆市城乡规划，且符合各类保护区、文物古迹保护的建设控制要求，</w:t>
      </w:r>
      <w:r w:rsidRPr="0081478A">
        <w:rPr>
          <w:rFonts w:cs="Times New Roman"/>
          <w:bCs/>
          <w:kern w:val="44"/>
        </w:rPr>
        <w:t>建筑布局应满足《重庆市规划管理规定》要求。</w:t>
      </w:r>
    </w:p>
    <w:p w14:paraId="1342507F" w14:textId="77777777" w:rsidR="009008FD" w:rsidRPr="0081478A" w:rsidRDefault="009008FD" w:rsidP="009008FD">
      <w:pPr>
        <w:ind w:firstLine="420"/>
        <w:rPr>
          <w:rFonts w:cs="Times New Roman"/>
        </w:rPr>
      </w:pPr>
      <w:r w:rsidRPr="0081478A">
        <w:rPr>
          <w:rFonts w:cs="Times New Roman"/>
        </w:rPr>
        <w:t>具体要求如下：</w:t>
      </w:r>
    </w:p>
    <w:p w14:paraId="7216CCF5" w14:textId="77777777" w:rsidR="009008FD" w:rsidRPr="0081478A" w:rsidRDefault="009008FD" w:rsidP="009008FD">
      <w:pPr>
        <w:ind w:firstLine="420"/>
        <w:rPr>
          <w:rFonts w:cs="Times New Roman"/>
        </w:rPr>
      </w:pPr>
      <w:r w:rsidRPr="0081478A">
        <w:rPr>
          <w:rFonts w:cs="Times New Roman"/>
        </w:rPr>
        <w:t>1</w:t>
      </w:r>
      <w:r w:rsidRPr="0081478A">
        <w:rPr>
          <w:rFonts w:cs="Times New Roman"/>
        </w:rPr>
        <w:t>）一般项目，应提供所在地城市（镇）总体规划的</w:t>
      </w:r>
      <w:r w:rsidRPr="0081478A">
        <w:rPr>
          <w:rFonts w:cs="Times New Roman"/>
        </w:rPr>
        <w:t>“</w:t>
      </w:r>
      <w:r w:rsidRPr="0081478A">
        <w:rPr>
          <w:rFonts w:cs="Times New Roman"/>
        </w:rPr>
        <w:t>土地利用规划图</w:t>
      </w:r>
      <w:r w:rsidRPr="0081478A">
        <w:rPr>
          <w:rFonts w:cs="Times New Roman"/>
        </w:rPr>
        <w:t>”</w:t>
      </w:r>
      <w:r w:rsidRPr="0081478A">
        <w:rPr>
          <w:rFonts w:cs="Times New Roman"/>
        </w:rPr>
        <w:t>或控制性详细规划的相关图纸及文件或控制性详细规划及建设项目地块的规划图，或提供项目规划许可证。</w:t>
      </w:r>
    </w:p>
    <w:p w14:paraId="6FC1D560" w14:textId="77777777" w:rsidR="009008FD" w:rsidRPr="0081478A" w:rsidRDefault="009008FD" w:rsidP="009008FD">
      <w:pPr>
        <w:ind w:firstLine="420"/>
        <w:rPr>
          <w:rFonts w:cs="Times New Roman"/>
        </w:rPr>
      </w:pPr>
      <w:r w:rsidRPr="0081478A">
        <w:rPr>
          <w:rFonts w:cs="Times New Roman"/>
        </w:rPr>
        <w:lastRenderedPageBreak/>
        <w:t>2</w:t>
      </w:r>
      <w:r w:rsidRPr="0081478A">
        <w:rPr>
          <w:rFonts w:cs="Times New Roman"/>
        </w:rPr>
        <w:t>）风景名胜区的项目，应提供已批复的风景名胜区总体规划有关图纸及文件，可核查城乡规划主管部门或该风景名胜区管理机构出具的同意该项目规划设计方案的证明文件。</w:t>
      </w:r>
    </w:p>
    <w:p w14:paraId="7A23C62C" w14:textId="77777777" w:rsidR="009008FD" w:rsidRPr="0081478A" w:rsidRDefault="009008FD" w:rsidP="009008FD">
      <w:pPr>
        <w:ind w:firstLine="420"/>
        <w:rPr>
          <w:rFonts w:cs="Times New Roman"/>
        </w:rPr>
      </w:pPr>
      <w:r w:rsidRPr="0081478A">
        <w:rPr>
          <w:rFonts w:cs="Times New Roman"/>
        </w:rPr>
        <w:t>3</w:t>
      </w:r>
      <w:r w:rsidRPr="0081478A">
        <w:rPr>
          <w:rFonts w:cs="Times New Roman"/>
        </w:rPr>
        <w:t>）历史文化名城或历史文化街区的项目，应提供已批复的历史文化名城或历史文化街区保护总体规划的有关图纸和文件，核查是否符合《城市紫线管理办法》的有关规定。</w:t>
      </w:r>
    </w:p>
    <w:p w14:paraId="49768164" w14:textId="77777777" w:rsidR="009008FD" w:rsidRPr="0081478A" w:rsidRDefault="009008FD" w:rsidP="009008FD">
      <w:pPr>
        <w:ind w:firstLine="420"/>
        <w:rPr>
          <w:rFonts w:cs="Times New Roman"/>
        </w:rPr>
      </w:pPr>
      <w:r w:rsidRPr="0081478A">
        <w:rPr>
          <w:rFonts w:cs="Times New Roman"/>
        </w:rPr>
        <w:t>4</w:t>
      </w:r>
      <w:r w:rsidRPr="0081478A">
        <w:rPr>
          <w:rFonts w:cs="Times New Roman"/>
        </w:rPr>
        <w:t>）文物保护单位的项目，应由所在地文化行政主管部门出具有关文件，明确该文物保护单位的保护要求。或核查该项目规划设计方案是否满足有关法定规划或相关主管部门对文保单位有关保护范围及建设控制地带的建设控制要求。</w:t>
      </w:r>
    </w:p>
    <w:p w14:paraId="624EB976" w14:textId="77777777" w:rsidR="00715ABB" w:rsidRPr="009252F8" w:rsidRDefault="00F44390" w:rsidP="009252F8">
      <w:pPr>
        <w:pStyle w:val="20"/>
      </w:pPr>
      <w:r w:rsidRPr="0081478A">
        <w:t>【评价方法】</w:t>
      </w:r>
    </w:p>
    <w:p w14:paraId="054FAE34"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预评价查阅相关设计文件、日照分析报告；评价查阅相关竣工图、日照分析报告。</w:t>
      </w:r>
    </w:p>
    <w:p w14:paraId="5315B773" w14:textId="77777777" w:rsidR="00715ABB" w:rsidRPr="00E905A0" w:rsidRDefault="00715ABB">
      <w:pPr>
        <w:snapToGrid w:val="0"/>
        <w:ind w:firstLineChars="0" w:firstLine="0"/>
        <w:jc w:val="left"/>
        <w:rPr>
          <w:rFonts w:cs="Times New Roman"/>
          <w:b/>
          <w:bCs/>
          <w:szCs w:val="24"/>
        </w:rPr>
      </w:pPr>
    </w:p>
    <w:p w14:paraId="495E4CA0" w14:textId="77777777" w:rsidR="001E5F08" w:rsidRPr="00530A11" w:rsidRDefault="001E5F08" w:rsidP="001E5F08">
      <w:pPr>
        <w:pStyle w:val="4"/>
        <w:rPr>
          <w:rFonts w:cs="Times New Roman"/>
          <w:bCs w:val="0"/>
        </w:rPr>
      </w:pPr>
      <w:bookmarkStart w:id="172" w:name="_Hlk22059519"/>
      <w:r w:rsidRPr="00530A11">
        <w:rPr>
          <w:rFonts w:cs="Times New Roman"/>
          <w:bCs w:val="0"/>
        </w:rPr>
        <w:t xml:space="preserve">8.1.2 </w:t>
      </w:r>
      <w:r w:rsidRPr="00530A11">
        <w:rPr>
          <w:rFonts w:cs="Times New Roman"/>
          <w:bCs w:val="0"/>
        </w:rPr>
        <w:t>室外热环境应满足国家现行有关标准的要求。</w:t>
      </w:r>
    </w:p>
    <w:p w14:paraId="41AE83D2" w14:textId="77777777" w:rsidR="001E5F08" w:rsidRPr="0081478A" w:rsidRDefault="001E5F08" w:rsidP="001E5F08">
      <w:pPr>
        <w:pStyle w:val="20"/>
      </w:pPr>
      <w:r w:rsidRPr="0081478A">
        <w:t>【条文说明】</w:t>
      </w:r>
    </w:p>
    <w:p w14:paraId="5F03E621" w14:textId="77777777" w:rsidR="001E5F08" w:rsidRPr="00530A11" w:rsidRDefault="001E5F08" w:rsidP="001E5F08">
      <w:pPr>
        <w:ind w:firstLine="420"/>
        <w:rPr>
          <w:szCs w:val="24"/>
        </w:rPr>
      </w:pPr>
      <w:r w:rsidRPr="00530A11">
        <w:t>本条适用于各类民用建筑的预评价、评价。</w:t>
      </w:r>
    </w:p>
    <w:p w14:paraId="33A06DD6" w14:textId="77777777" w:rsidR="001E5F08" w:rsidRPr="00530A11" w:rsidRDefault="001E5F08" w:rsidP="001E5F08">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p>
    <w:p w14:paraId="2CA26929" w14:textId="77777777" w:rsidR="001E5F08" w:rsidRPr="00530A11" w:rsidRDefault="001E5F08" w:rsidP="001E5F08">
      <w:pPr>
        <w:ind w:firstLine="420"/>
        <w:rPr>
          <w:rFonts w:cs="Times New Roman"/>
        </w:rPr>
      </w:pPr>
      <w:r w:rsidRPr="00530A11">
        <w:rPr>
          <w:rFonts w:cs="Times New Roman"/>
        </w:rPr>
        <w:t>建筑环境质量与场地热环境密切相关，热环境直接影响人们户外活动的热安全性和热舒适度。</w:t>
      </w:r>
    </w:p>
    <w:p w14:paraId="6DA90922" w14:textId="77777777" w:rsidR="001E5F08" w:rsidRPr="00530A11" w:rsidRDefault="001E5F08" w:rsidP="001E5F08">
      <w:pPr>
        <w:ind w:firstLine="420"/>
        <w:rPr>
          <w:rFonts w:cs="Times New Roman"/>
        </w:rPr>
      </w:pPr>
      <w:r w:rsidRPr="00530A11">
        <w:rPr>
          <w:rFonts w:cs="Times New Roman"/>
        </w:rPr>
        <w:t>现行行业标准《城市居住区热环境设计标准》</w:t>
      </w:r>
      <w:r w:rsidRPr="00530A11">
        <w:rPr>
          <w:rFonts w:cs="Times New Roman"/>
        </w:rPr>
        <w:t>JGJ 286</w:t>
      </w:r>
      <w:r w:rsidRPr="00530A11">
        <w:rPr>
          <w:rFonts w:cs="Times New Roman"/>
        </w:rPr>
        <w:t>对居住区详细规划阶段的热环境设计进行了规定，给出了设计方法、指标、参数。项目规划设计时，应充分考虑场地内热环境的舒适度，采取有效措施改善场地通风不良、遮阳不足、绿量不够、渗透不强的一系列的问题，降低热岛强度，提高环境舒适度。本条要求项目按现行行业标准《城市居住区热环境设计标准》</w:t>
      </w:r>
      <w:r w:rsidRPr="00530A11">
        <w:rPr>
          <w:rFonts w:cs="Times New Roman"/>
        </w:rPr>
        <w:t>JGJ 286</w:t>
      </w:r>
      <w:r w:rsidRPr="00530A11">
        <w:rPr>
          <w:rFonts w:cs="Times New Roman"/>
        </w:rPr>
        <w:t>进行热环境设计。城市居住区是指城市中住宅建筑相对集中布局的地区，简称居住区。如项目处于非居住区规划范围内，符合其城乡规划的要求即为达标。</w:t>
      </w:r>
    </w:p>
    <w:p w14:paraId="08D042E2" w14:textId="77777777" w:rsidR="001E5F08" w:rsidRPr="009252F8" w:rsidRDefault="001E5F08" w:rsidP="001E5F08">
      <w:pPr>
        <w:pStyle w:val="20"/>
      </w:pPr>
      <w:r w:rsidRPr="0081478A">
        <w:t>【评价要点】</w:t>
      </w:r>
    </w:p>
    <w:p w14:paraId="38A29060" w14:textId="77777777" w:rsidR="001E5F08" w:rsidRPr="0081478A" w:rsidRDefault="001E5F08" w:rsidP="001E5F08">
      <w:pPr>
        <w:ind w:firstLine="420"/>
        <w:rPr>
          <w:rFonts w:cs="Times New Roman"/>
        </w:rPr>
      </w:pPr>
      <w:r w:rsidRPr="0081478A">
        <w:rPr>
          <w:rFonts w:cs="Times New Roman"/>
        </w:rPr>
        <w:t>居住区的夏季平均迎风面积比不应</w:t>
      </w:r>
      <w:r>
        <w:rPr>
          <w:rFonts w:cs="Times New Roman" w:hint="eastAsia"/>
        </w:rPr>
        <w:t>大</w:t>
      </w:r>
      <w:r w:rsidRPr="0081478A">
        <w:rPr>
          <w:rFonts w:cs="Times New Roman"/>
        </w:rPr>
        <w:t>于</w:t>
      </w:r>
      <w:r w:rsidRPr="0081478A">
        <w:rPr>
          <w:rFonts w:cs="Times New Roman"/>
        </w:rPr>
        <w:t>0.80</w:t>
      </w:r>
      <w:r w:rsidRPr="0081478A">
        <w:rPr>
          <w:rFonts w:cs="Times New Roman"/>
        </w:rPr>
        <w:t>；夏季户外活动场地应有遮阳，广场的遮阳覆盖率不应低于</w:t>
      </w:r>
      <w:r w:rsidRPr="0081478A">
        <w:rPr>
          <w:rFonts w:cs="Times New Roman"/>
        </w:rPr>
        <w:t>25%</w:t>
      </w:r>
      <w:r w:rsidRPr="0081478A">
        <w:rPr>
          <w:rFonts w:cs="Times New Roman"/>
        </w:rPr>
        <w:t>，游憩场和停车场的遮阳覆盖率不应低于</w:t>
      </w:r>
      <w:r w:rsidRPr="0081478A">
        <w:rPr>
          <w:rFonts w:cs="Times New Roman"/>
        </w:rPr>
        <w:t>30%</w:t>
      </w:r>
      <w:r w:rsidRPr="0081478A">
        <w:rPr>
          <w:rFonts w:cs="Times New Roman"/>
        </w:rPr>
        <w:t>，人行道的遮阳覆盖率不应低于</w:t>
      </w:r>
      <w:r w:rsidRPr="0081478A">
        <w:rPr>
          <w:rFonts w:cs="Times New Roman"/>
        </w:rPr>
        <w:t>50%</w:t>
      </w:r>
      <w:r w:rsidRPr="0081478A">
        <w:rPr>
          <w:rFonts w:cs="Times New Roman"/>
        </w:rPr>
        <w:t>。居住区的绿地率不应低于</w:t>
      </w:r>
      <w:r w:rsidRPr="0081478A">
        <w:rPr>
          <w:rFonts w:cs="Times New Roman"/>
        </w:rPr>
        <w:t>30%</w:t>
      </w:r>
      <w:r w:rsidRPr="0081478A">
        <w:rPr>
          <w:rFonts w:cs="Times New Roman"/>
        </w:rPr>
        <w:t>，每</w:t>
      </w:r>
      <w:r w:rsidRPr="0081478A">
        <w:rPr>
          <w:rFonts w:cs="Times New Roman"/>
        </w:rPr>
        <w:t>100m</w:t>
      </w:r>
      <w:r w:rsidRPr="00643310">
        <w:rPr>
          <w:rFonts w:cs="Times New Roman"/>
          <w:vertAlign w:val="superscript"/>
        </w:rPr>
        <w:t>2</w:t>
      </w:r>
      <w:r w:rsidRPr="0081478A">
        <w:rPr>
          <w:rFonts w:cs="Times New Roman"/>
        </w:rPr>
        <w:t>绿地上不应少于</w:t>
      </w:r>
      <w:r w:rsidRPr="0081478A">
        <w:rPr>
          <w:rFonts w:cs="Times New Roman"/>
        </w:rPr>
        <w:t>3</w:t>
      </w:r>
      <w:r w:rsidRPr="0081478A">
        <w:rPr>
          <w:rFonts w:cs="Times New Roman"/>
        </w:rPr>
        <w:t>株乔木。应提供相应的计算报告。</w:t>
      </w:r>
    </w:p>
    <w:p w14:paraId="4F897629" w14:textId="21610171" w:rsidR="001E5F08" w:rsidRDefault="001E5F08" w:rsidP="001E5F08">
      <w:pPr>
        <w:ind w:firstLine="420"/>
        <w:rPr>
          <w:rFonts w:cs="Times New Roman"/>
        </w:rPr>
      </w:pPr>
      <w:r w:rsidRPr="0081478A">
        <w:rPr>
          <w:rFonts w:cs="Times New Roman"/>
        </w:rPr>
        <w:t>居住区当夏季主导风向上的建筑物迎风面宽超过</w:t>
      </w:r>
      <w:r w:rsidRPr="0081478A">
        <w:rPr>
          <w:rFonts w:cs="Times New Roman"/>
        </w:rPr>
        <w:t>80m</w:t>
      </w:r>
      <w:r w:rsidRPr="0081478A">
        <w:rPr>
          <w:rFonts w:cs="Times New Roman"/>
        </w:rPr>
        <w:t>时，该建筑底层的通风架空率不应小于</w:t>
      </w:r>
      <w:r w:rsidRPr="0081478A">
        <w:rPr>
          <w:rFonts w:cs="Times New Roman"/>
        </w:rPr>
        <w:t>10%</w:t>
      </w:r>
      <w:r w:rsidRPr="0081478A">
        <w:rPr>
          <w:rFonts w:cs="Times New Roman"/>
        </w:rPr>
        <w:t>；地面透水系数不应低于</w:t>
      </w:r>
      <w:r w:rsidRPr="0081478A">
        <w:rPr>
          <w:rFonts w:cs="Times New Roman"/>
        </w:rPr>
        <w:t>3mm/s</w:t>
      </w:r>
      <w:r w:rsidRPr="0081478A">
        <w:rPr>
          <w:rFonts w:cs="Times New Roman"/>
        </w:rPr>
        <w:t>，蒸发量不应低于</w:t>
      </w:r>
      <w:r w:rsidRPr="0081478A">
        <w:rPr>
          <w:rFonts w:cs="Times New Roman"/>
        </w:rPr>
        <w:t>1.3kg/</w:t>
      </w:r>
      <w:r w:rsidRPr="0081478A">
        <w:rPr>
          <w:rFonts w:cs="Times New Roman"/>
        </w:rPr>
        <w:t>（</w:t>
      </w:r>
      <w:r w:rsidRPr="0081478A">
        <w:rPr>
          <w:rFonts w:cs="Times New Roman"/>
        </w:rPr>
        <w:t>m</w:t>
      </w:r>
      <w:r w:rsidRPr="00643310">
        <w:rPr>
          <w:rFonts w:cs="Times New Roman"/>
          <w:vertAlign w:val="superscript"/>
        </w:rPr>
        <w:t>2</w:t>
      </w:r>
      <w:r w:rsidRPr="0081478A">
        <w:rPr>
          <w:rFonts w:cs="Times New Roman"/>
        </w:rPr>
        <w:t>·d</w:t>
      </w:r>
      <w:r w:rsidRPr="0081478A">
        <w:rPr>
          <w:rFonts w:cs="Times New Roman"/>
        </w:rPr>
        <w:t>），广场的渗透面积比率不应低于</w:t>
      </w:r>
      <w:r w:rsidRPr="0081478A">
        <w:rPr>
          <w:rFonts w:cs="Times New Roman"/>
        </w:rPr>
        <w:t>50%</w:t>
      </w:r>
      <w:r w:rsidRPr="0081478A">
        <w:rPr>
          <w:rFonts w:cs="Times New Roman"/>
        </w:rPr>
        <w:t>，</w:t>
      </w:r>
      <w:r>
        <w:rPr>
          <w:rFonts w:cs="Times New Roman" w:hint="eastAsia"/>
        </w:rPr>
        <w:t>游憩场和</w:t>
      </w:r>
      <w:r w:rsidRPr="0081478A">
        <w:rPr>
          <w:rFonts w:cs="Times New Roman"/>
        </w:rPr>
        <w:t>人行道的渗透面积比率不应低于</w:t>
      </w:r>
      <w:r>
        <w:rPr>
          <w:rFonts w:cs="Times New Roman"/>
        </w:rPr>
        <w:t>60</w:t>
      </w:r>
      <w:r w:rsidRPr="0081478A">
        <w:rPr>
          <w:rFonts w:cs="Times New Roman"/>
        </w:rPr>
        <w:t>%</w:t>
      </w:r>
      <w:r w:rsidRPr="0081478A">
        <w:rPr>
          <w:rFonts w:cs="Times New Roman"/>
        </w:rPr>
        <w:t>；建筑屋面的绿化</w:t>
      </w:r>
      <w:r w:rsidRPr="0081478A">
        <w:rPr>
          <w:rFonts w:cs="Times New Roman"/>
        </w:rPr>
        <w:lastRenderedPageBreak/>
        <w:t>面积不应低于可绿化屋面面积的</w:t>
      </w:r>
      <w:r w:rsidRPr="0081478A">
        <w:rPr>
          <w:rFonts w:cs="Times New Roman"/>
        </w:rPr>
        <w:t>50%</w:t>
      </w:r>
      <w:r w:rsidRPr="0081478A">
        <w:rPr>
          <w:rFonts w:cs="Times New Roman"/>
        </w:rPr>
        <w:t>。当以上任意一条不满足时，应进行评价性场地热环境计算报告。</w:t>
      </w:r>
    </w:p>
    <w:p w14:paraId="4D3B43AD" w14:textId="14B438BA" w:rsidR="00856E7E" w:rsidRPr="00856E7E" w:rsidRDefault="00856E7E" w:rsidP="00022856">
      <w:pPr>
        <w:ind w:firstLine="420"/>
        <w:rPr>
          <w:rFonts w:cs="Times New Roman"/>
        </w:rPr>
      </w:pPr>
      <w:r w:rsidRPr="00856E7E">
        <w:rPr>
          <w:rFonts w:cs="Times New Roman" w:hint="eastAsia"/>
        </w:rPr>
        <w:t>根据《重庆市城市园林绿化管理条例》规定，新建建设项目应当按照规定建设附属绿地，绿地率应当符合以下要求：</w:t>
      </w:r>
      <w:r w:rsidRPr="00856E7E">
        <w:rPr>
          <w:rFonts w:cs="Times New Roman" w:hint="eastAsia"/>
        </w:rPr>
        <w:t xml:space="preserve">  </w:t>
      </w:r>
    </w:p>
    <w:p w14:paraId="75A025ED" w14:textId="44524996" w:rsidR="00856E7E" w:rsidRPr="00856E7E" w:rsidRDefault="00856E7E" w:rsidP="00856E7E">
      <w:pPr>
        <w:ind w:firstLine="420"/>
        <w:rPr>
          <w:rFonts w:cs="Times New Roman"/>
        </w:rPr>
      </w:pPr>
      <w:r w:rsidRPr="00856E7E">
        <w:rPr>
          <w:rFonts w:cs="Times New Roman" w:hint="eastAsia"/>
        </w:rPr>
        <w:t>（一）居住项目不低于百分之三十，拆除重建的城市更新居住项目不低于百分之二十五；</w:t>
      </w:r>
      <w:r w:rsidRPr="00856E7E">
        <w:rPr>
          <w:rFonts w:cs="Times New Roman" w:hint="eastAsia"/>
        </w:rPr>
        <w:t xml:space="preserve">  </w:t>
      </w:r>
    </w:p>
    <w:p w14:paraId="1BDBEC63" w14:textId="77777777" w:rsidR="00856E7E" w:rsidRPr="00856E7E" w:rsidRDefault="00856E7E" w:rsidP="00856E7E">
      <w:pPr>
        <w:ind w:firstLine="420"/>
        <w:rPr>
          <w:rFonts w:cs="Times New Roman"/>
        </w:rPr>
      </w:pPr>
      <w:r w:rsidRPr="00856E7E">
        <w:rPr>
          <w:rFonts w:cs="Times New Roman" w:hint="eastAsia"/>
        </w:rPr>
        <w:t>（二）公共管理与公共服务设施项目不低于百分之三十五；</w:t>
      </w:r>
      <w:r w:rsidRPr="00856E7E">
        <w:rPr>
          <w:rFonts w:cs="Times New Roman" w:hint="eastAsia"/>
        </w:rPr>
        <w:t xml:space="preserve">  </w:t>
      </w:r>
    </w:p>
    <w:p w14:paraId="5F084C08" w14:textId="77777777" w:rsidR="00856E7E" w:rsidRPr="00856E7E" w:rsidRDefault="00856E7E" w:rsidP="00856E7E">
      <w:pPr>
        <w:ind w:firstLine="420"/>
        <w:rPr>
          <w:rFonts w:cs="Times New Roman"/>
        </w:rPr>
      </w:pPr>
      <w:r w:rsidRPr="00856E7E">
        <w:rPr>
          <w:rFonts w:cs="Times New Roman" w:hint="eastAsia"/>
        </w:rPr>
        <w:t>（三）商务设施项目不低于百分之二十五，商业设施项目不低于百分之十；</w:t>
      </w:r>
      <w:r w:rsidRPr="00856E7E">
        <w:rPr>
          <w:rFonts w:cs="Times New Roman" w:hint="eastAsia"/>
        </w:rPr>
        <w:t xml:space="preserve">  </w:t>
      </w:r>
    </w:p>
    <w:p w14:paraId="5C59C657" w14:textId="77777777" w:rsidR="00856E7E" w:rsidRPr="00856E7E" w:rsidRDefault="00856E7E" w:rsidP="00856E7E">
      <w:pPr>
        <w:ind w:firstLine="420"/>
        <w:rPr>
          <w:rFonts w:cs="Times New Roman"/>
        </w:rPr>
      </w:pPr>
      <w:r w:rsidRPr="00856E7E">
        <w:rPr>
          <w:rFonts w:cs="Times New Roman" w:hint="eastAsia"/>
        </w:rPr>
        <w:t>（四）道路与交通设施项目不低于百分之二十；</w:t>
      </w:r>
      <w:r w:rsidRPr="00856E7E">
        <w:rPr>
          <w:rFonts w:cs="Times New Roman" w:hint="eastAsia"/>
        </w:rPr>
        <w:t xml:space="preserve">  </w:t>
      </w:r>
    </w:p>
    <w:p w14:paraId="3F4402DE" w14:textId="7B1AE5F9" w:rsidR="00856E7E" w:rsidRPr="00856E7E" w:rsidRDefault="00856E7E" w:rsidP="00856E7E">
      <w:pPr>
        <w:ind w:firstLine="420"/>
        <w:rPr>
          <w:rFonts w:cs="Times New Roman"/>
        </w:rPr>
      </w:pPr>
      <w:r w:rsidRPr="00856E7E">
        <w:rPr>
          <w:rFonts w:cs="Times New Roman" w:hint="eastAsia"/>
        </w:rPr>
        <w:t>（五）其他类型的建设项目绿地率应当符合国家和本市相关规定。</w:t>
      </w:r>
    </w:p>
    <w:p w14:paraId="6786E114" w14:textId="77777777" w:rsidR="001E5F08" w:rsidRPr="009252F8" w:rsidRDefault="001E5F08" w:rsidP="001E5F08">
      <w:pPr>
        <w:pStyle w:val="20"/>
      </w:pPr>
      <w:r w:rsidRPr="0081478A">
        <w:t>【评价方法】</w:t>
      </w:r>
    </w:p>
    <w:p w14:paraId="3C75A278" w14:textId="77777777" w:rsidR="001E5F08" w:rsidRPr="00530A11" w:rsidRDefault="001E5F08" w:rsidP="001E5F08">
      <w:pPr>
        <w:pStyle w:val="20"/>
        <w:ind w:firstLineChars="200" w:firstLine="420"/>
        <w:rPr>
          <w:rFonts w:ascii="Times New Roman" w:hAnsi="Times New Roman" w:cs="Times New Roman"/>
          <w:b w:val="0"/>
          <w:color w:val="auto"/>
        </w:rPr>
      </w:pPr>
      <w:r w:rsidRPr="00530A11">
        <w:rPr>
          <w:rFonts w:cs="Times New Roman"/>
          <w:b w:val="0"/>
        </w:rPr>
        <w:t>预评价查阅相关设计文件、场地热环境计算报告；评价查阅相关竣工图、场地热环境计算报告。</w:t>
      </w:r>
    </w:p>
    <w:p w14:paraId="07E6A625" w14:textId="77777777" w:rsidR="001E5F08" w:rsidRPr="00E905A0" w:rsidRDefault="001E5F08" w:rsidP="001E5F08">
      <w:pPr>
        <w:snapToGrid w:val="0"/>
        <w:ind w:firstLineChars="0" w:firstLine="0"/>
        <w:jc w:val="left"/>
        <w:rPr>
          <w:rFonts w:cs="Times New Roman"/>
          <w:b/>
          <w:bCs/>
          <w:szCs w:val="24"/>
        </w:rPr>
      </w:pPr>
    </w:p>
    <w:bookmarkEnd w:id="172"/>
    <w:p w14:paraId="5B20E5E8" w14:textId="77777777" w:rsidR="001E5F08" w:rsidRPr="00530A11" w:rsidRDefault="001E5F08" w:rsidP="001E5F08">
      <w:pPr>
        <w:pStyle w:val="4"/>
        <w:rPr>
          <w:rFonts w:cs="Times New Roman"/>
          <w:bCs w:val="0"/>
        </w:rPr>
      </w:pPr>
      <w:r w:rsidRPr="00530A11">
        <w:rPr>
          <w:rFonts w:cs="Times New Roman"/>
          <w:bCs w:val="0"/>
        </w:rPr>
        <w:t xml:space="preserve">8.1.3 </w:t>
      </w:r>
      <w:r w:rsidRPr="00530A11">
        <w:rPr>
          <w:rFonts w:cs="Times New Roman"/>
          <w:bCs w:val="0"/>
        </w:rPr>
        <w:t>配建的绿地应符合所在地城乡规划的要求，应合理选择绿化方式，植物种植应适应当地气候和土壤，且应无毒害、易维护，种植区域覆土深度和排水能力应满足植物生长需求，并应采用复层绿化方式。</w:t>
      </w:r>
    </w:p>
    <w:p w14:paraId="1820D9B0" w14:textId="77777777" w:rsidR="001E5F08" w:rsidRPr="0081478A" w:rsidRDefault="001E5F08" w:rsidP="001E5F08">
      <w:pPr>
        <w:pStyle w:val="20"/>
      </w:pPr>
      <w:r w:rsidRPr="0081478A">
        <w:t>【条文说明】</w:t>
      </w:r>
    </w:p>
    <w:p w14:paraId="3F4BF7B3" w14:textId="77777777" w:rsidR="001E5F08" w:rsidRPr="00530A11" w:rsidRDefault="001E5F08" w:rsidP="001E5F08">
      <w:pPr>
        <w:ind w:firstLine="420"/>
        <w:rPr>
          <w:szCs w:val="24"/>
        </w:rPr>
      </w:pPr>
      <w:r w:rsidRPr="00530A11">
        <w:t>本条适用于各类民用建筑的预评价、评价。</w:t>
      </w:r>
    </w:p>
    <w:p w14:paraId="606A61CC" w14:textId="77777777" w:rsidR="001E5F08" w:rsidRPr="00530A11" w:rsidRDefault="001E5F08" w:rsidP="001E5F08">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4.2.15</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4.2.15</w:t>
      </w:r>
      <w:r w:rsidRPr="00530A11">
        <w:rPr>
          <w:rFonts w:cs="Times New Roman"/>
        </w:rPr>
        <w:t>条的基础上发展而来</w:t>
      </w:r>
    </w:p>
    <w:p w14:paraId="6C36ABCB" w14:textId="77777777" w:rsidR="001E5F08" w:rsidRPr="00530A11" w:rsidRDefault="001E5F08" w:rsidP="001E5F08">
      <w:pPr>
        <w:ind w:firstLine="420"/>
        <w:rPr>
          <w:rFonts w:cs="Times New Roman"/>
        </w:rPr>
      </w:pPr>
      <w:r w:rsidRPr="00530A11">
        <w:rPr>
          <w:rFonts w:cs="Times New Roman"/>
        </w:rPr>
        <w:t>绿化是城市环境建设的重要内容。本条规定要根据居住人口规模等因素提出配建绿地的控制要求。大面积的草坪不但维护费用昂贵，其生态效益也远远小于灌木、乔木。因此，合理搭配乔木、灌木和草坪，以乔木为主，能够提高绿地的空间利用率、增加绿量，使有限的绿地发挥更大的生态效益和景观效益。乔、灌、草组合配置，就是以乔木为主，灌木填补林下空间，地面栽花种草的种植模式，垂直面上形成乔、灌、草空间互补和重叠的效果。根据植物的不同特性</w:t>
      </w:r>
      <w:r w:rsidRPr="00530A11">
        <w:rPr>
          <w:rFonts w:cs="Times New Roman"/>
        </w:rPr>
        <w:t>(</w:t>
      </w:r>
      <w:r w:rsidRPr="00530A11">
        <w:rPr>
          <w:rFonts w:cs="Times New Roman"/>
        </w:rPr>
        <w:t>如高矮、冠幅大小、光及空间需求等</w:t>
      </w:r>
      <w:r w:rsidRPr="00530A11">
        <w:rPr>
          <w:rFonts w:cs="Times New Roman"/>
        </w:rPr>
        <w:t>)</w:t>
      </w:r>
      <w:r w:rsidRPr="00530A11">
        <w:rPr>
          <w:rFonts w:cs="Times New Roman"/>
        </w:rPr>
        <w:t>差异而取长补短，相互兼容，进行立体多层次种植，以求在单位面积内充分利用土地、阳光、空间、水分、养分而达到最大生长量的栽培方式。</w:t>
      </w:r>
    </w:p>
    <w:p w14:paraId="08697F0A" w14:textId="77777777" w:rsidR="001E5F08" w:rsidRPr="00530A11" w:rsidRDefault="001E5F08" w:rsidP="001E5F08">
      <w:pPr>
        <w:ind w:firstLine="420"/>
        <w:rPr>
          <w:rFonts w:cs="Times New Roman"/>
        </w:rPr>
      </w:pPr>
      <w:r w:rsidRPr="00530A11">
        <w:rPr>
          <w:rFonts w:cs="Times New Roman"/>
        </w:rPr>
        <w:t>植物配置应充分体现本地区植物资源的特点，突出地方特色</w:t>
      </w:r>
      <w:r w:rsidRPr="00530A11">
        <w:rPr>
          <w:rFonts w:cs="Times New Roman" w:hint="eastAsia"/>
        </w:rPr>
        <w:t>，并满足《重庆市园林栽植</w:t>
      </w:r>
      <w:r w:rsidRPr="00530A11">
        <w:rPr>
          <w:rFonts w:cs="Times New Roman" w:hint="eastAsia"/>
        </w:rPr>
        <w:lastRenderedPageBreak/>
        <w:t>土壤质量标准》</w:t>
      </w:r>
      <w:r w:rsidRPr="00530A11">
        <w:rPr>
          <w:rFonts w:cs="Times New Roman" w:hint="eastAsia"/>
        </w:rPr>
        <w:t>D</w:t>
      </w:r>
      <w:r w:rsidRPr="00530A11">
        <w:rPr>
          <w:rFonts w:cs="Times New Roman"/>
        </w:rPr>
        <w:t>BJ/T50-044</w:t>
      </w:r>
      <w:r w:rsidRPr="00530A11">
        <w:rPr>
          <w:rFonts w:cs="Times New Roman" w:hint="eastAsia"/>
        </w:rPr>
        <w:t>。</w:t>
      </w:r>
      <w:r w:rsidRPr="00530A11">
        <w:rPr>
          <w:rFonts w:cs="Times New Roman"/>
        </w:rPr>
        <w:t>在苗木的选择上，要保证绿植无毒无害，保证绿化环境安全和健康。合理的植物物种选择和搭配会对绿地植被的生长起到促进作用。种植区域的覆土深度应满足乔、灌、草自然生长的需要，一般来说，满足植物生长需求的覆土深度为：深根系乔木大于</w:t>
      </w:r>
      <w:r w:rsidRPr="00530A11">
        <w:rPr>
          <w:rFonts w:cs="Times New Roman"/>
        </w:rPr>
        <w:t>1.5m</w:t>
      </w:r>
      <w:r w:rsidRPr="00530A11">
        <w:rPr>
          <w:rFonts w:cs="Times New Roman"/>
        </w:rPr>
        <w:t>，乔木大于</w:t>
      </w:r>
      <w:r w:rsidRPr="00530A11">
        <w:rPr>
          <w:rFonts w:cs="Times New Roman"/>
        </w:rPr>
        <w:t>1.2m</w:t>
      </w:r>
      <w:r w:rsidRPr="00530A11">
        <w:rPr>
          <w:rFonts w:cs="Times New Roman"/>
        </w:rPr>
        <w:t>，灌木大于</w:t>
      </w:r>
      <w:r w:rsidRPr="00530A11">
        <w:rPr>
          <w:rFonts w:cs="Times New Roman"/>
        </w:rPr>
        <w:t>0.6m</w:t>
      </w:r>
      <w:r w:rsidRPr="00530A11">
        <w:rPr>
          <w:rFonts w:cs="Times New Roman"/>
        </w:rPr>
        <w:t>，草坪大于</w:t>
      </w:r>
      <w:r w:rsidRPr="00530A11">
        <w:rPr>
          <w:rFonts w:cs="Times New Roman"/>
        </w:rPr>
        <w:t>0.3m</w:t>
      </w:r>
      <w:r w:rsidRPr="00530A11">
        <w:rPr>
          <w:rFonts w:cs="Times New Roman"/>
        </w:rPr>
        <w:t>。种植区域的覆土深度应满足申报项目所在地园林主管部门对覆土深度的要求。</w:t>
      </w:r>
      <w:bookmarkStart w:id="173" w:name="_Hlk35680912"/>
      <w:r w:rsidRPr="00530A11">
        <w:rPr>
          <w:rFonts w:cs="Times New Roman"/>
        </w:rPr>
        <w:t>鼓励各类公共建筑进行屋顶绿化和墙面垂直绿化，既能增加绿化面积，又可以改善屋顶和墙壁的保温隔热效果，还可有效滞留雨水。</w:t>
      </w:r>
      <w:bookmarkEnd w:id="173"/>
    </w:p>
    <w:p w14:paraId="523B5283" w14:textId="499E1E38" w:rsidR="001E5F08" w:rsidRPr="00530A11" w:rsidRDefault="001E5F08" w:rsidP="001E5F08">
      <w:pPr>
        <w:ind w:firstLine="420"/>
        <w:rPr>
          <w:rFonts w:cs="Times New Roman"/>
        </w:rPr>
      </w:pPr>
      <w:r w:rsidRPr="00530A11">
        <w:rPr>
          <w:rFonts w:cs="Times New Roman"/>
        </w:rPr>
        <w:t>居住建筑及住区植物配置合理：常绿树与落叶树按</w:t>
      </w:r>
      <w:r w:rsidRPr="00530A11">
        <w:rPr>
          <w:rFonts w:cs="Times New Roman"/>
        </w:rPr>
        <w:t>1</w:t>
      </w:r>
      <w:r w:rsidRPr="00530A11">
        <w:rPr>
          <w:rFonts w:cs="Times New Roman"/>
        </w:rPr>
        <w:t>：</w:t>
      </w:r>
      <w:r w:rsidRPr="00530A11">
        <w:rPr>
          <w:rFonts w:cs="Times New Roman"/>
        </w:rPr>
        <w:t>1</w:t>
      </w:r>
      <w:r w:rsidRPr="00530A11">
        <w:rPr>
          <w:rFonts w:cs="Times New Roman"/>
        </w:rPr>
        <w:t>比例搭配；乔、灌、草复层配置合理，群落乔木量不少于</w:t>
      </w:r>
      <w:r w:rsidRPr="00530A11">
        <w:rPr>
          <w:rFonts w:cs="Times New Roman"/>
        </w:rPr>
        <w:t>3</w:t>
      </w:r>
      <w:r w:rsidRPr="00530A11">
        <w:rPr>
          <w:rFonts w:cs="Times New Roman"/>
        </w:rPr>
        <w:t>株</w:t>
      </w:r>
      <w:r w:rsidRPr="00530A11">
        <w:rPr>
          <w:rFonts w:cs="Times New Roman"/>
        </w:rPr>
        <w:t>/100</w:t>
      </w:r>
      <w:r w:rsidRPr="00530A11">
        <w:rPr>
          <w:rFonts w:cs="Times New Roman"/>
        </w:rPr>
        <w:t>㎡绿地；复层群落占绿地面积</w:t>
      </w:r>
      <w:r w:rsidRPr="00530A11">
        <w:rPr>
          <w:rFonts w:cs="Times New Roman"/>
        </w:rPr>
        <w:t>≥20%</w:t>
      </w:r>
      <w:r w:rsidRPr="00530A11">
        <w:rPr>
          <w:rFonts w:cs="Times New Roman"/>
        </w:rPr>
        <w:t>；纯草坪面积占绿地面积</w:t>
      </w:r>
      <w:r w:rsidRPr="00530A11">
        <w:rPr>
          <w:rFonts w:cs="Times New Roman"/>
        </w:rPr>
        <w:t>≤</w:t>
      </w:r>
      <w:r>
        <w:rPr>
          <w:rFonts w:cs="Times New Roman"/>
        </w:rPr>
        <w:t>2</w:t>
      </w:r>
      <w:r w:rsidRPr="00530A11">
        <w:rPr>
          <w:rFonts w:cs="Times New Roman"/>
        </w:rPr>
        <w:t>0%</w:t>
      </w:r>
      <w:r w:rsidRPr="00530A11">
        <w:rPr>
          <w:rFonts w:cs="Times New Roman"/>
        </w:rPr>
        <w:t>。</w:t>
      </w:r>
      <w:bookmarkStart w:id="174" w:name="_Hlk25680365"/>
      <w:r w:rsidR="00856E7E" w:rsidRPr="00856E7E">
        <w:rPr>
          <w:rFonts w:cs="Times New Roman" w:hint="eastAsia"/>
        </w:rPr>
        <w:t>根据《重庆市城市园林绿化管理条例》规定，植物种植面积应当不低于其绿地总面积的</w:t>
      </w:r>
      <w:r w:rsidR="00DA14A9">
        <w:rPr>
          <w:rFonts w:cs="Times New Roman" w:hint="eastAsia"/>
        </w:rPr>
        <w:t>8</w:t>
      </w:r>
      <w:r w:rsidR="00DA14A9">
        <w:rPr>
          <w:rFonts w:cs="Times New Roman"/>
        </w:rPr>
        <w:t>0</w:t>
      </w:r>
      <w:r w:rsidR="00DA14A9">
        <w:rPr>
          <w:rFonts w:cs="Times New Roman" w:hint="eastAsia"/>
        </w:rPr>
        <w:t>%</w:t>
      </w:r>
      <w:r w:rsidR="00856E7E">
        <w:rPr>
          <w:rFonts w:cs="Times New Roman" w:hint="eastAsia"/>
        </w:rPr>
        <w:t>，</w:t>
      </w:r>
      <w:r w:rsidRPr="00530A11">
        <w:rPr>
          <w:rFonts w:cs="Times New Roman"/>
        </w:rPr>
        <w:t>乡土植物</w:t>
      </w:r>
      <w:r w:rsidRPr="00530A11">
        <w:rPr>
          <w:rFonts w:cs="Times New Roman" w:hint="eastAsia"/>
        </w:rPr>
        <w:t>占总植物数量的比率应≥</w:t>
      </w:r>
      <w:r w:rsidRPr="00530A11">
        <w:rPr>
          <w:rFonts w:cs="Times New Roman" w:hint="eastAsia"/>
        </w:rPr>
        <w:t>70%</w:t>
      </w:r>
      <w:bookmarkEnd w:id="174"/>
      <w:r w:rsidRPr="00530A11">
        <w:rPr>
          <w:rFonts w:cs="Times New Roman" w:hint="eastAsia"/>
        </w:rPr>
        <w:t>，可参见附录</w:t>
      </w:r>
      <w:r>
        <w:rPr>
          <w:rFonts w:cs="Times New Roman"/>
        </w:rPr>
        <w:t>C</w:t>
      </w:r>
      <w:r w:rsidRPr="00530A11">
        <w:rPr>
          <w:rFonts w:cs="Times New Roman" w:hint="eastAsia"/>
        </w:rPr>
        <w:t>重庆市绿色建筑评价标识用乡土植物推荐名录，其中包括无须永久灌溉植物。</w:t>
      </w:r>
    </w:p>
    <w:p w14:paraId="48D9480D" w14:textId="0B3A6328" w:rsidR="001E5F08" w:rsidRPr="00530A11" w:rsidRDefault="001E5F08" w:rsidP="00856E7E">
      <w:pPr>
        <w:ind w:firstLine="420"/>
        <w:rPr>
          <w:rFonts w:cs="Times New Roman"/>
        </w:rPr>
      </w:pPr>
      <w:bookmarkStart w:id="175" w:name="_Hlk25757458"/>
      <w:r w:rsidRPr="00530A11">
        <w:rPr>
          <w:rFonts w:cs="Times New Roman" w:hint="eastAsia"/>
        </w:rPr>
        <w:t>公共建筑能全面进行护坡绿化、堡坎绿化、附属绿地绿化，</w:t>
      </w:r>
      <w:r w:rsidRPr="00530A11">
        <w:rPr>
          <w:rFonts w:cs="Times New Roman" w:hint="eastAsia"/>
        </w:rPr>
        <w:t>50%</w:t>
      </w:r>
      <w:r w:rsidRPr="00530A11">
        <w:rPr>
          <w:rFonts w:cs="Times New Roman" w:hint="eastAsia"/>
        </w:rPr>
        <w:t>屋面可绿化空间绿化，合理设置壁面空间及中庭空间绿化等。</w:t>
      </w:r>
      <w:r w:rsidR="00856E7E" w:rsidRPr="00856E7E">
        <w:rPr>
          <w:rFonts w:cs="Times New Roman" w:hint="eastAsia"/>
        </w:rPr>
        <w:t>根据《重庆市城市园林绿化管理条例》要求，新建、改建、扩建公共建筑的，应当对平屋顶实施绿化。因此，本条要求公共建筑平屋顶应实施绿化。</w:t>
      </w:r>
    </w:p>
    <w:bookmarkEnd w:id="175"/>
    <w:p w14:paraId="52ADFA1B" w14:textId="77777777" w:rsidR="001E5F08" w:rsidRPr="009252F8" w:rsidRDefault="001E5F08" w:rsidP="001E5F08">
      <w:pPr>
        <w:pStyle w:val="20"/>
      </w:pPr>
      <w:r w:rsidRPr="0081478A">
        <w:t>【评价要点】</w:t>
      </w:r>
    </w:p>
    <w:p w14:paraId="7760C069" w14:textId="77777777" w:rsidR="001E5F08" w:rsidRPr="0081478A" w:rsidRDefault="001E5F08" w:rsidP="001E5F08">
      <w:pPr>
        <w:ind w:firstLine="420"/>
        <w:rPr>
          <w:rFonts w:cs="Times New Roman"/>
        </w:rPr>
      </w:pPr>
      <w:r>
        <w:rPr>
          <w:rFonts w:cs="Times New Roman"/>
        </w:rPr>
        <w:t>1</w:t>
      </w:r>
      <w:r w:rsidRPr="0081478A">
        <w:rPr>
          <w:rFonts w:cs="Times New Roman"/>
        </w:rPr>
        <w:t>.</w:t>
      </w:r>
      <w:r w:rsidRPr="0081478A">
        <w:rPr>
          <w:rFonts w:cs="Times New Roman"/>
        </w:rPr>
        <w:t>公共建筑绿地率应满足当地控制性详细规划要求、严格遵照重庆市规划局建设工程选址意见书及工程规划许可证执行。</w:t>
      </w:r>
    </w:p>
    <w:p w14:paraId="55C27DD8" w14:textId="77777777" w:rsidR="001E5F08" w:rsidRPr="0081478A" w:rsidRDefault="001E5F08" w:rsidP="001E5F08">
      <w:pPr>
        <w:ind w:firstLine="420"/>
        <w:rPr>
          <w:rFonts w:cs="Times New Roman"/>
        </w:rPr>
      </w:pPr>
      <w:r>
        <w:rPr>
          <w:rFonts w:cs="Times New Roman"/>
        </w:rPr>
        <w:t>2</w:t>
      </w:r>
      <w:r w:rsidRPr="0081478A">
        <w:rPr>
          <w:rFonts w:cs="Times New Roman"/>
        </w:rPr>
        <w:t>.</w:t>
      </w:r>
      <w:r w:rsidRPr="0081478A">
        <w:rPr>
          <w:rFonts w:cs="Times New Roman"/>
        </w:rPr>
        <w:t>居住建筑及住区植物配置合理：常绿树与落叶树按</w:t>
      </w:r>
      <w:r w:rsidRPr="0081478A">
        <w:rPr>
          <w:rFonts w:cs="Times New Roman"/>
        </w:rPr>
        <w:t>1</w:t>
      </w:r>
      <w:r w:rsidRPr="0081478A">
        <w:rPr>
          <w:rFonts w:cs="Times New Roman"/>
        </w:rPr>
        <w:t>：</w:t>
      </w:r>
      <w:r w:rsidRPr="0081478A">
        <w:rPr>
          <w:rFonts w:cs="Times New Roman"/>
        </w:rPr>
        <w:t>1</w:t>
      </w:r>
      <w:r w:rsidRPr="0081478A">
        <w:rPr>
          <w:rFonts w:cs="Times New Roman"/>
        </w:rPr>
        <w:t>比例搭配；乔、灌、草复层配置合理，群落乔木量不少于</w:t>
      </w:r>
      <w:r w:rsidRPr="0081478A">
        <w:rPr>
          <w:rFonts w:cs="Times New Roman"/>
        </w:rPr>
        <w:t>3</w:t>
      </w:r>
      <w:r w:rsidRPr="0081478A">
        <w:rPr>
          <w:rFonts w:cs="Times New Roman"/>
        </w:rPr>
        <w:t>株</w:t>
      </w:r>
      <w:r w:rsidRPr="0081478A">
        <w:rPr>
          <w:rFonts w:cs="Times New Roman"/>
        </w:rPr>
        <w:t>/100</w:t>
      </w:r>
      <w:r w:rsidRPr="0081478A">
        <w:rPr>
          <w:rFonts w:cs="Times New Roman"/>
        </w:rPr>
        <w:t>㎡绿地；复层群落占绿地面积</w:t>
      </w:r>
      <w:r w:rsidRPr="0081478A">
        <w:rPr>
          <w:rFonts w:cs="Times New Roman"/>
        </w:rPr>
        <w:t>≥20%</w:t>
      </w:r>
      <w:r w:rsidRPr="0081478A">
        <w:rPr>
          <w:rFonts w:cs="Times New Roman"/>
        </w:rPr>
        <w:t>；纯草坪面积占绿地面积</w:t>
      </w:r>
      <w:r w:rsidRPr="0081478A">
        <w:rPr>
          <w:rFonts w:cs="Times New Roman"/>
        </w:rPr>
        <w:t>≤20%</w:t>
      </w:r>
      <w:r w:rsidRPr="0081478A">
        <w:rPr>
          <w:rFonts w:cs="Times New Roman"/>
        </w:rPr>
        <w:t>。</w:t>
      </w:r>
    </w:p>
    <w:p w14:paraId="2162B17F" w14:textId="77777777" w:rsidR="001E5F08" w:rsidRPr="0081478A" w:rsidRDefault="001E5F08" w:rsidP="001E5F08">
      <w:pPr>
        <w:ind w:firstLine="420"/>
        <w:rPr>
          <w:rFonts w:cs="Times New Roman"/>
        </w:rPr>
      </w:pPr>
      <w:r>
        <w:rPr>
          <w:rFonts w:cs="Times New Roman"/>
        </w:rPr>
        <w:t>3</w:t>
      </w:r>
      <w:r w:rsidRPr="0081478A">
        <w:rPr>
          <w:rFonts w:cs="Times New Roman"/>
        </w:rPr>
        <w:t>.</w:t>
      </w:r>
      <w:r w:rsidRPr="0081478A">
        <w:rPr>
          <w:rFonts w:cs="Times New Roman"/>
        </w:rPr>
        <w:t>公共建筑能全面进行屋面空间绿化、附属绿地、壁面空间及中庭空间绿化、护坡绿化、堡坎绿化等。</w:t>
      </w:r>
    </w:p>
    <w:p w14:paraId="2BD87911" w14:textId="77777777" w:rsidR="00B26CC8" w:rsidRDefault="001E5F08" w:rsidP="00EB74A4">
      <w:pPr>
        <w:ind w:firstLine="420"/>
      </w:pPr>
      <w:r>
        <w:t>4</w:t>
      </w:r>
      <w:r w:rsidRPr="0081478A">
        <w:t>.</w:t>
      </w:r>
      <w:r w:rsidRPr="0081478A">
        <w:t>车库顶板覆土绿化应满足园林要求，且采用乡土植物，乡土植物占总植物数量的比率应</w:t>
      </w:r>
      <w:r w:rsidRPr="0081478A">
        <w:t>≥70%</w:t>
      </w:r>
      <w:r w:rsidRPr="0081478A">
        <w:t>。车库顶板覆土深度不低于</w:t>
      </w:r>
      <w:r w:rsidRPr="0081478A">
        <w:t>1.5m</w:t>
      </w:r>
      <w:r w:rsidRPr="0081478A">
        <w:t>。</w:t>
      </w:r>
    </w:p>
    <w:p w14:paraId="4DB6DF49" w14:textId="3E610A64" w:rsidR="001E5F08" w:rsidRPr="0081478A" w:rsidRDefault="001E5F08" w:rsidP="001E5F08">
      <w:pPr>
        <w:pStyle w:val="20"/>
        <w:rPr>
          <w:rFonts w:ascii="Times New Roman" w:hAnsi="Times New Roman" w:cs="Times New Roman"/>
          <w:color w:val="auto"/>
        </w:rPr>
      </w:pPr>
      <w:r w:rsidRPr="0081478A">
        <w:rPr>
          <w:rFonts w:ascii="Times New Roman" w:hAnsi="Times New Roman" w:cs="Times New Roman"/>
          <w:color w:val="auto"/>
        </w:rPr>
        <w:t>【评价方法】</w:t>
      </w:r>
    </w:p>
    <w:p w14:paraId="7BA0C5F0" w14:textId="77777777" w:rsidR="001E5F08" w:rsidRPr="00530A11" w:rsidRDefault="001E5F08" w:rsidP="001E5F08">
      <w:pPr>
        <w:pStyle w:val="20"/>
        <w:ind w:firstLineChars="200" w:firstLine="420"/>
        <w:rPr>
          <w:rFonts w:ascii="Times New Roman" w:hAnsi="Times New Roman" w:cs="Times New Roman"/>
          <w:b w:val="0"/>
          <w:color w:val="auto"/>
        </w:rPr>
      </w:pPr>
      <w:r w:rsidRPr="00530A11">
        <w:rPr>
          <w:rFonts w:cs="Times New Roman"/>
          <w:b w:val="0"/>
        </w:rPr>
        <w:t>预评价查阅相关设计文件(绿地率分析计算图、人均公共绿地分析计算图、植物设计图、植物配植分析计算报告、垂直绿化分析图、种植区域竖向设计和排水设计图)；评价查阅相关竣工图和计算报告、苗木采购清单、养护资料并现场核实。</w:t>
      </w:r>
    </w:p>
    <w:p w14:paraId="61D680E5" w14:textId="77777777" w:rsidR="001E5F08" w:rsidRPr="00E905A0" w:rsidRDefault="001E5F08" w:rsidP="001E5F08">
      <w:pPr>
        <w:ind w:firstLine="420"/>
        <w:rPr>
          <w:rFonts w:cs="Times New Roman"/>
        </w:rPr>
      </w:pPr>
    </w:p>
    <w:p w14:paraId="1FFC845C" w14:textId="77777777" w:rsidR="00991D52" w:rsidRPr="00530A11" w:rsidRDefault="00991D52" w:rsidP="00991D52">
      <w:pPr>
        <w:pStyle w:val="4"/>
        <w:rPr>
          <w:rFonts w:cs="Times New Roman"/>
          <w:bCs w:val="0"/>
        </w:rPr>
      </w:pPr>
      <w:r w:rsidRPr="00530A11">
        <w:rPr>
          <w:rFonts w:cs="Times New Roman"/>
          <w:bCs w:val="0"/>
        </w:rPr>
        <w:t xml:space="preserve">8.1.4 </w:t>
      </w:r>
      <w:r w:rsidRPr="00530A11">
        <w:rPr>
          <w:rFonts w:cs="Times New Roman"/>
          <w:bCs w:val="0"/>
        </w:rPr>
        <w:t>场地的竖向设计应有利于雨水的收集或排放，应有效组织雨水的下渗、滞蓄或再利用；对大于</w:t>
      </w:r>
      <w:r w:rsidRPr="00530A11">
        <w:rPr>
          <w:rFonts w:cs="Times New Roman"/>
          <w:bCs w:val="0"/>
        </w:rPr>
        <w:t>10hm</w:t>
      </w:r>
      <w:r w:rsidRPr="00530A11">
        <w:rPr>
          <w:rFonts w:cs="Times New Roman"/>
          <w:bCs w:val="0"/>
          <w:vertAlign w:val="superscript"/>
        </w:rPr>
        <w:t>2</w:t>
      </w:r>
      <w:r w:rsidRPr="00530A11">
        <w:rPr>
          <w:rFonts w:cs="Times New Roman"/>
          <w:bCs w:val="0"/>
        </w:rPr>
        <w:t>的场地应进行雨水控制利用专项设计。</w:t>
      </w:r>
    </w:p>
    <w:p w14:paraId="73930E1E" w14:textId="77777777" w:rsidR="00715ABB" w:rsidRPr="0081478A" w:rsidRDefault="00F44390" w:rsidP="009252F8">
      <w:pPr>
        <w:pStyle w:val="20"/>
      </w:pPr>
      <w:r w:rsidRPr="0081478A">
        <w:t>【条文说明】</w:t>
      </w:r>
    </w:p>
    <w:p w14:paraId="09E5D008" w14:textId="77777777" w:rsidR="00991D52" w:rsidRPr="00530A11" w:rsidRDefault="00991D52" w:rsidP="00991D52">
      <w:pPr>
        <w:ind w:firstLine="420"/>
        <w:rPr>
          <w:szCs w:val="24"/>
        </w:rPr>
      </w:pPr>
      <w:bookmarkStart w:id="176" w:name="_Hlk33035957"/>
      <w:r w:rsidRPr="00530A11">
        <w:t>本条适用于各类民用建筑的预评价、评价。</w:t>
      </w:r>
    </w:p>
    <w:p w14:paraId="506A8930"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4.2.13</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4.2.13</w:t>
      </w:r>
      <w:r w:rsidRPr="00530A11">
        <w:rPr>
          <w:rFonts w:cs="Times New Roman"/>
        </w:rPr>
        <w:t>条的基础上发展而来。</w:t>
      </w:r>
    </w:p>
    <w:p w14:paraId="221DDED1" w14:textId="77777777" w:rsidR="00991D52" w:rsidRPr="00530A11" w:rsidRDefault="00991D52" w:rsidP="00991D52">
      <w:pPr>
        <w:ind w:firstLine="420"/>
        <w:rPr>
          <w:rFonts w:cs="Times New Roman"/>
        </w:rPr>
      </w:pPr>
      <w:r w:rsidRPr="00530A11">
        <w:rPr>
          <w:rFonts w:cs="Times New Roman"/>
        </w:rPr>
        <w:t>国务院办公厅</w:t>
      </w:r>
      <w:r w:rsidRPr="00530A11">
        <w:rPr>
          <w:rFonts w:cs="Times New Roman"/>
        </w:rPr>
        <w:t>2015</w:t>
      </w:r>
      <w:r w:rsidRPr="00530A11">
        <w:rPr>
          <w:rFonts w:cs="Times New Roman"/>
        </w:rPr>
        <w:t>年</w:t>
      </w:r>
      <w:r w:rsidRPr="00530A11">
        <w:rPr>
          <w:rFonts w:cs="Times New Roman"/>
        </w:rPr>
        <w:t>10</w:t>
      </w:r>
      <w:r w:rsidRPr="00530A11">
        <w:rPr>
          <w:rFonts w:cs="Times New Roman"/>
        </w:rPr>
        <w:t>月印发的《关于推进海绵城市建设的指导意见》指出，建设海绵城市，统筹发挥自然生态功能和人工干预功能，有效控制雨水径流，实现自然积存、自然渗透、自然净化的城市发展方式，有利于修复城市水生态、涵养水资源，增强城市防涝能力，扩大公共产品有效投资，提高新型城镇化质量，促进人与自然和谐发展。建海绵城市就要有</w:t>
      </w:r>
      <w:r w:rsidRPr="00530A11">
        <w:rPr>
          <w:rFonts w:cs="Times New Roman"/>
        </w:rPr>
        <w:t>“</w:t>
      </w:r>
      <w:r w:rsidRPr="00530A11">
        <w:rPr>
          <w:rFonts w:cs="Times New Roman"/>
        </w:rPr>
        <w:t>海绵体</w:t>
      </w:r>
      <w:r w:rsidRPr="00530A11">
        <w:rPr>
          <w:rFonts w:cs="Times New Roman"/>
        </w:rPr>
        <w:t>”</w:t>
      </w:r>
      <w:r w:rsidRPr="00530A11">
        <w:rPr>
          <w:rFonts w:cs="Times New Roman"/>
        </w:rPr>
        <w:t>。城市</w:t>
      </w:r>
      <w:r w:rsidRPr="00530A11">
        <w:rPr>
          <w:rFonts w:cs="Times New Roman"/>
        </w:rPr>
        <w:t>“</w:t>
      </w:r>
      <w:r w:rsidRPr="00530A11">
        <w:rPr>
          <w:rFonts w:cs="Times New Roman"/>
        </w:rPr>
        <w:t>海绵体</w:t>
      </w:r>
      <w:r w:rsidRPr="00530A11">
        <w:rPr>
          <w:rFonts w:cs="Times New Roman"/>
        </w:rPr>
        <w:t>”</w:t>
      </w:r>
      <w:r w:rsidRPr="00530A11">
        <w:rPr>
          <w:rFonts w:cs="Times New Roman"/>
        </w:rPr>
        <w:t>既包括河、湖、池塘等水系，也包括绿地、花园、可渗透路面这样的城市配套设施。雨水通过这些</w:t>
      </w:r>
      <w:r w:rsidRPr="00530A11">
        <w:rPr>
          <w:rFonts w:cs="Times New Roman"/>
        </w:rPr>
        <w:t>“</w:t>
      </w:r>
      <w:r w:rsidRPr="00530A11">
        <w:rPr>
          <w:rFonts w:cs="Times New Roman"/>
        </w:rPr>
        <w:t>海绵体</w:t>
      </w:r>
      <w:r w:rsidRPr="00530A11">
        <w:rPr>
          <w:rFonts w:cs="Times New Roman"/>
        </w:rPr>
        <w:t>”</w:t>
      </w:r>
      <w:r w:rsidRPr="00530A11">
        <w:rPr>
          <w:rFonts w:cs="Times New Roman"/>
        </w:rPr>
        <w:t>下渗、滞蓄、净化、回用，最后剩余部分径流通过管网、泵站外排，缓减城市内涝的压力。</w:t>
      </w:r>
    </w:p>
    <w:p w14:paraId="6EF9AC60" w14:textId="77777777" w:rsidR="00991D52" w:rsidRPr="00530A11" w:rsidRDefault="00991D52" w:rsidP="00991D52">
      <w:pPr>
        <w:ind w:firstLine="420"/>
        <w:rPr>
          <w:rFonts w:cs="Times New Roman"/>
        </w:rPr>
      </w:pPr>
      <w:r w:rsidRPr="00530A11">
        <w:rPr>
          <w:rFonts w:cs="Times New Roman"/>
        </w:rPr>
        <w:t>需要说明的是，本条作为控制项，在执行时要正确理解其要求：</w:t>
      </w:r>
      <w:r w:rsidRPr="00530A11">
        <w:rPr>
          <w:rFonts w:ascii="宋体" w:hAnsi="宋体" w:cs="宋体" w:hint="eastAsia"/>
        </w:rPr>
        <w:t>①</w:t>
      </w:r>
      <w:r w:rsidRPr="00530A11">
        <w:rPr>
          <w:rFonts w:cs="Times New Roman"/>
        </w:rPr>
        <w:t>无论是在水资源丰富的地区还是在水资源贫乏的地区，进行建设场地的竖向设计的目的之一是防止因降雨导致场地积水或内涝。现行行业标准《城乡建设用地竖向规划规范》</w:t>
      </w:r>
      <w:r w:rsidRPr="00530A11">
        <w:rPr>
          <w:rFonts w:cs="Times New Roman"/>
        </w:rPr>
        <w:t>CJJ 83</w:t>
      </w:r>
      <w:r w:rsidRPr="00530A11">
        <w:rPr>
          <w:rFonts w:cs="Times New Roman"/>
        </w:rPr>
        <w:t>对此也是有明确要求。</w:t>
      </w:r>
      <w:r w:rsidRPr="00530A11">
        <w:rPr>
          <w:rFonts w:ascii="宋体" w:hAnsi="宋体" w:cs="宋体" w:hint="eastAsia"/>
        </w:rPr>
        <w:t>②</w:t>
      </w:r>
      <w:r w:rsidRPr="00530A11">
        <w:rPr>
          <w:rFonts w:cs="Times New Roman"/>
        </w:rPr>
        <w:t>在竖向设计时，到底是有利于雨水收集还是排放，是有选择的，由具体项目及所在地决定。</w:t>
      </w:r>
      <w:r w:rsidRPr="00530A11">
        <w:rPr>
          <w:rFonts w:ascii="宋体" w:hAnsi="宋体" w:cs="宋体" w:hint="eastAsia"/>
        </w:rPr>
        <w:t>③</w:t>
      </w:r>
      <w:r w:rsidRPr="00530A11">
        <w:rPr>
          <w:rFonts w:cs="Times New Roman"/>
        </w:rPr>
        <w:t>按照国家推进海绵城市建设的部署，无论是年降雨量丰富的地区还是较少的地区，通过场地竖向设计使雨水下渗，或者滞蓄，或者再利用，都是不难做到的。</w:t>
      </w:r>
    </w:p>
    <w:p w14:paraId="7B56BE68" w14:textId="77777777" w:rsidR="00991D52" w:rsidRPr="00530A11" w:rsidRDefault="00991D52" w:rsidP="00991D52">
      <w:pPr>
        <w:ind w:firstLine="420"/>
        <w:rPr>
          <w:rFonts w:cs="Times New Roman"/>
        </w:rPr>
      </w:pPr>
      <w:r w:rsidRPr="00530A11">
        <w:rPr>
          <w:rFonts w:cs="Times New Roman"/>
        </w:rPr>
        <w:t>对大于</w:t>
      </w:r>
      <w:r w:rsidRPr="00530A11">
        <w:rPr>
          <w:rFonts w:cs="Times New Roman"/>
        </w:rPr>
        <w:t>10hm</w:t>
      </w:r>
      <w:r w:rsidRPr="00530A11">
        <w:rPr>
          <w:rFonts w:cs="Times New Roman"/>
          <w:vertAlign w:val="superscript"/>
        </w:rPr>
        <w:t>2</w:t>
      </w:r>
      <w:r w:rsidRPr="00530A11">
        <w:rPr>
          <w:rFonts w:cs="Times New Roman"/>
        </w:rPr>
        <w:t>的场地，应进行雨水控制与利用专项设计，避免实际工程中针对某个子系统</w:t>
      </w:r>
      <w:r w:rsidRPr="00530A11">
        <w:rPr>
          <w:rFonts w:cs="Times New Roman"/>
        </w:rPr>
        <w:t>(</w:t>
      </w:r>
      <w:r w:rsidRPr="00530A11">
        <w:rPr>
          <w:rFonts w:cs="Times New Roman"/>
        </w:rPr>
        <w:t>雨水利用、径流减排、污染控制等</w:t>
      </w:r>
      <w:r w:rsidRPr="00530A11">
        <w:rPr>
          <w:rFonts w:cs="Times New Roman"/>
        </w:rPr>
        <w:t>)</w:t>
      </w:r>
      <w:r w:rsidRPr="00530A11">
        <w:rPr>
          <w:rFonts w:cs="Times New Roman"/>
        </w:rPr>
        <w:t>进行独立设计所带来的诸多资源配置和统筹衔接不当的问题。具体评价时，场地占地面积大于</w:t>
      </w:r>
      <w:r w:rsidRPr="00530A11">
        <w:rPr>
          <w:rFonts w:cs="Times New Roman"/>
        </w:rPr>
        <w:t>10hm</w:t>
      </w:r>
      <w:r w:rsidRPr="00530A11">
        <w:rPr>
          <w:rFonts w:cs="Times New Roman"/>
          <w:vertAlign w:val="superscript"/>
        </w:rPr>
        <w:t>2</w:t>
      </w:r>
      <w:r w:rsidRPr="00530A11">
        <w:rPr>
          <w:rFonts w:cs="Times New Roman"/>
        </w:rPr>
        <w:t>的项目，应提供雨水专项设计文件；小于</w:t>
      </w:r>
      <w:r w:rsidRPr="00530A11">
        <w:rPr>
          <w:rFonts w:cs="Times New Roman"/>
        </w:rPr>
        <w:t>10hm</w:t>
      </w:r>
      <w:r w:rsidRPr="00530A11">
        <w:rPr>
          <w:rFonts w:cs="Times New Roman"/>
          <w:vertAlign w:val="superscript"/>
        </w:rPr>
        <w:t>2</w:t>
      </w:r>
      <w:r w:rsidRPr="00530A11">
        <w:rPr>
          <w:rFonts w:cs="Times New Roman"/>
        </w:rPr>
        <w:t>的项目可不做雨水专项设计，但也应根据场地条件合理采用雨水控制利用措施，编制场地雨水综合控制利用方案。</w:t>
      </w:r>
    </w:p>
    <w:p w14:paraId="47F65EE2" w14:textId="77777777" w:rsidR="00991D52" w:rsidRDefault="00991D52" w:rsidP="00991D52">
      <w:pPr>
        <w:ind w:firstLine="420"/>
      </w:pPr>
      <w:r w:rsidRPr="00530A11">
        <w:rPr>
          <w:rFonts w:hint="eastAsia"/>
        </w:rPr>
        <w:t>如果项目场地已进行了海绵城市专项设计和实施，则可视为本条达标。</w:t>
      </w:r>
      <w:bookmarkEnd w:id="176"/>
    </w:p>
    <w:p w14:paraId="36971890" w14:textId="3A25673D" w:rsidR="009008FD" w:rsidRPr="009252F8" w:rsidRDefault="009008FD" w:rsidP="009252F8">
      <w:pPr>
        <w:pStyle w:val="20"/>
      </w:pPr>
      <w:r w:rsidRPr="0081478A">
        <w:t>【评价要点】</w:t>
      </w:r>
    </w:p>
    <w:p w14:paraId="5D962FBE" w14:textId="77777777" w:rsidR="009008FD" w:rsidRPr="0081478A" w:rsidRDefault="009008FD" w:rsidP="009008FD">
      <w:pPr>
        <w:ind w:firstLine="420"/>
        <w:rPr>
          <w:rFonts w:cs="Times New Roman"/>
        </w:rPr>
      </w:pPr>
      <w:r w:rsidRPr="0081478A">
        <w:rPr>
          <w:rFonts w:cs="Times New Roman"/>
        </w:rPr>
        <w:t>场地大于</w:t>
      </w:r>
      <w:r w:rsidRPr="0081478A">
        <w:rPr>
          <w:rFonts w:cs="Times New Roman"/>
        </w:rPr>
        <w:t>10hm</w:t>
      </w:r>
      <w:r w:rsidRPr="0081478A">
        <w:rPr>
          <w:rFonts w:cs="Times New Roman"/>
          <w:vertAlign w:val="superscript"/>
        </w:rPr>
        <w:t>2</w:t>
      </w:r>
      <w:r w:rsidRPr="0081478A">
        <w:rPr>
          <w:rFonts w:cs="Times New Roman"/>
        </w:rPr>
        <w:t>的应提供雨水专项规划设计（申报绿色建筑的场地面积的范围，应按照申报建筑所具有的规划批复文件对应的范围进行计算；综合性建筑为项目整体指标），没有提供的此条不得分。如仅将经物化净化处理后的雨水，再回用于绿化浇灌，不能认定为满足</w:t>
      </w:r>
      <w:r w:rsidRPr="0081478A">
        <w:rPr>
          <w:rFonts w:cs="Times New Roman"/>
        </w:rPr>
        <w:lastRenderedPageBreak/>
        <w:t>要求。</w:t>
      </w:r>
      <w:r w:rsidRPr="0081478A">
        <w:rPr>
          <w:rFonts w:cs="Times New Roman"/>
        </w:rPr>
        <w:t>“</w:t>
      </w:r>
      <w:r w:rsidRPr="0081478A">
        <w:rPr>
          <w:rFonts w:cs="Times New Roman"/>
        </w:rPr>
        <w:t>硬质铺装地面</w:t>
      </w:r>
      <w:r w:rsidRPr="0081478A">
        <w:rPr>
          <w:rFonts w:cs="Times New Roman"/>
        </w:rPr>
        <w:t>”</w:t>
      </w:r>
      <w:r w:rsidRPr="0081478A">
        <w:rPr>
          <w:rFonts w:cs="Times New Roman"/>
        </w:rPr>
        <w:t>指场地中停车场、道路和室外活动场地等，不包括建筑占地（屋面）、绿地、水面、重型消防车道等。停车场、道路和室外活动场地等具有一定承载能力要求，多采用石材、砖、混凝土、砾石等为铺地材料，透水性能较差，雨水无法入渗，形成大量地面径流，增加城市排水系统的压力。</w:t>
      </w:r>
      <w:r w:rsidRPr="0081478A">
        <w:rPr>
          <w:rFonts w:cs="Times New Roman"/>
        </w:rPr>
        <w:t>“</w:t>
      </w:r>
      <w:r w:rsidRPr="0081478A">
        <w:rPr>
          <w:rFonts w:cs="Times New Roman"/>
        </w:rPr>
        <w:t>透水铺装</w:t>
      </w:r>
      <w:r w:rsidRPr="0081478A">
        <w:rPr>
          <w:rFonts w:cs="Times New Roman"/>
        </w:rPr>
        <w:t>”</w:t>
      </w:r>
      <w:r w:rsidRPr="0081478A">
        <w:rPr>
          <w:rFonts w:cs="Times New Roman"/>
        </w:rPr>
        <w:t>是指采用如植草砖、透水沥青、透水混凝土、透水地砖等透水铺装系统，既能满足路用及铺地强度和耐久性要求，又能使雨水通过本身与铺装下基层相通的渗水路径直接渗入下部土壤的地面铺装。采用如透水沥青、透水混凝土、透水地砖等透水铺装系统，可以改善地面透水性能。当透水铺装下为地下室顶板时，若地下室顶板设有疏水板及导水管等可将渗透雨水导入与地下室顶板接壤的实土，或地下室顶板上覆土深度能满足当地绿化要求时，仍可认定其为透水铺装地面，并且透水铺装面积要求有效覆土深度达到</w:t>
      </w:r>
      <w:r w:rsidRPr="0081478A">
        <w:rPr>
          <w:rFonts w:cs="Times New Roman"/>
        </w:rPr>
        <w:t>1.5m</w:t>
      </w:r>
      <w:r w:rsidRPr="0081478A">
        <w:rPr>
          <w:rFonts w:cs="Times New Roman"/>
        </w:rPr>
        <w:t>以上。有新增材料的，需要提交材料样本，并经相关主管部门的认可。评价时以场地中硬质铺装地面中透水铺装所占的面积比例为依据。</w:t>
      </w:r>
    </w:p>
    <w:p w14:paraId="65B26749" w14:textId="77777777" w:rsidR="009008FD" w:rsidRPr="0081478A" w:rsidRDefault="009008FD" w:rsidP="009008FD">
      <w:pPr>
        <w:ind w:firstLine="420"/>
        <w:rPr>
          <w:rFonts w:cs="Times New Roman"/>
        </w:rPr>
      </w:pPr>
      <w:r w:rsidRPr="0081478A">
        <w:rPr>
          <w:rFonts w:cs="Times New Roman"/>
        </w:rPr>
        <w:t>对于项目属于海绵城市建设内容，且具备通过相关评审的海绵城市建设方案的项目，经专家评议，可认可进行了雨水专项规划设计。</w:t>
      </w:r>
    </w:p>
    <w:p w14:paraId="08313E81" w14:textId="77777777" w:rsidR="00715ABB" w:rsidRPr="009252F8" w:rsidRDefault="00F44390" w:rsidP="009252F8">
      <w:pPr>
        <w:pStyle w:val="20"/>
      </w:pPr>
      <w:r w:rsidRPr="0081478A">
        <w:t>【评价方法】</w:t>
      </w:r>
    </w:p>
    <w:p w14:paraId="1FF5314A"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t>预评价查阅相关设计文件(场地竖向设计文件)、年径流总量控制率计算书、设计控制雨量计算书、场地雨水综合利用方案或专项设计文件；评价查阅相关竣工图、年径流总量控制率计算书、设计控制雨量计算书、场地雨水综合利用方案或专项设计文件。</w:t>
      </w:r>
    </w:p>
    <w:p w14:paraId="420ED4C5" w14:textId="77777777" w:rsidR="00715ABB" w:rsidRPr="00E905A0" w:rsidRDefault="00715ABB">
      <w:pPr>
        <w:snapToGrid w:val="0"/>
        <w:ind w:firstLineChars="0" w:firstLine="0"/>
        <w:jc w:val="left"/>
        <w:rPr>
          <w:rFonts w:cs="Times New Roman"/>
          <w:b/>
          <w:bCs/>
          <w:szCs w:val="24"/>
        </w:rPr>
      </w:pPr>
    </w:p>
    <w:p w14:paraId="58C7CD79" w14:textId="77777777" w:rsidR="00991D52" w:rsidRPr="00530A11" w:rsidRDefault="00991D52" w:rsidP="00991D52">
      <w:pPr>
        <w:pStyle w:val="4"/>
        <w:rPr>
          <w:rFonts w:cs="Times New Roman"/>
          <w:bCs w:val="0"/>
        </w:rPr>
      </w:pPr>
      <w:r w:rsidRPr="00530A11">
        <w:rPr>
          <w:rFonts w:cs="Times New Roman"/>
          <w:bCs w:val="0"/>
        </w:rPr>
        <w:t xml:space="preserve">8.1.5 </w:t>
      </w:r>
      <w:r w:rsidRPr="00530A11">
        <w:rPr>
          <w:rFonts w:cs="Times New Roman"/>
          <w:bCs w:val="0"/>
        </w:rPr>
        <w:t>场地内不应有排放超标的污染源。</w:t>
      </w:r>
    </w:p>
    <w:p w14:paraId="3F1F85D3" w14:textId="77777777" w:rsidR="00715ABB" w:rsidRPr="0081478A" w:rsidRDefault="00F44390" w:rsidP="009252F8">
      <w:pPr>
        <w:pStyle w:val="20"/>
      </w:pPr>
      <w:r w:rsidRPr="0081478A">
        <w:t>【条文说明】</w:t>
      </w:r>
    </w:p>
    <w:p w14:paraId="21ACC182" w14:textId="77777777" w:rsidR="00991D52" w:rsidRPr="00530A11" w:rsidRDefault="00991D52" w:rsidP="00991D52">
      <w:pPr>
        <w:ind w:firstLine="420"/>
        <w:rPr>
          <w:szCs w:val="24"/>
        </w:rPr>
      </w:pPr>
      <w:r w:rsidRPr="00530A11">
        <w:t>本条适用于各类民用建筑的预评价、评价。</w:t>
      </w:r>
    </w:p>
    <w:p w14:paraId="7B885E48"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4.1.3</w:t>
      </w:r>
      <w:r w:rsidRPr="00530A11">
        <w:rPr>
          <w:rFonts w:cs="Times New Roman"/>
        </w:rPr>
        <w:t>条，地方标准</w:t>
      </w:r>
      <w:r w:rsidRPr="00530A11">
        <w:rPr>
          <w:rFonts w:cs="Times New Roman"/>
        </w:rPr>
        <w:t>2014</w:t>
      </w:r>
      <w:r w:rsidRPr="00530A11">
        <w:rPr>
          <w:rFonts w:cs="Times New Roman"/>
        </w:rPr>
        <w:t>版</w:t>
      </w:r>
      <w:r w:rsidRPr="00530A11">
        <w:rPr>
          <w:rFonts w:cs="Times New Roman"/>
        </w:rPr>
        <w:t>4.1.4</w:t>
      </w:r>
      <w:r w:rsidRPr="00530A11">
        <w:rPr>
          <w:rFonts w:cs="Times New Roman"/>
        </w:rPr>
        <w:t>条的基础上发展而来。</w:t>
      </w:r>
    </w:p>
    <w:p w14:paraId="3995E9FE" w14:textId="77777777" w:rsidR="00991D52" w:rsidRPr="00530A11" w:rsidRDefault="00991D52" w:rsidP="00991D52">
      <w:pPr>
        <w:ind w:firstLine="420"/>
        <w:rPr>
          <w:rFonts w:cs="Times New Roman"/>
        </w:rPr>
      </w:pPr>
      <w:r w:rsidRPr="00530A11">
        <w:rPr>
          <w:rFonts w:cs="Times New Roman"/>
        </w:rPr>
        <w:t>建筑场地内不应存在未达标排放或者超标排放的气态、液态或固态的污染源，包括噪声、车库废气、油烟等的排放，例如：易产生噪声的运动和营业场所，油烟未达标排放的厨房，煤气或工业废气超标排放的燃煤锅炉房，污染物排放超标的垃圾堆等。若有污染源应积极采取相应的治理措施并达到无超标污染物排放的要求。</w:t>
      </w:r>
    </w:p>
    <w:p w14:paraId="6744769E" w14:textId="77777777" w:rsidR="009008FD" w:rsidRPr="009252F8" w:rsidRDefault="009008FD" w:rsidP="009252F8">
      <w:pPr>
        <w:pStyle w:val="20"/>
      </w:pPr>
      <w:r w:rsidRPr="0081478A">
        <w:t>【评价要点】</w:t>
      </w:r>
    </w:p>
    <w:p w14:paraId="48877499" w14:textId="77777777" w:rsidR="009008FD" w:rsidRPr="0081478A" w:rsidRDefault="009008FD" w:rsidP="009008FD">
      <w:pPr>
        <w:ind w:firstLine="420"/>
        <w:rPr>
          <w:rFonts w:cs="Times New Roman"/>
        </w:rPr>
      </w:pPr>
      <w:r w:rsidRPr="0081478A" w:rsidDel="00163E81">
        <w:rPr>
          <w:rFonts w:cs="Times New Roman"/>
        </w:rPr>
        <w:t>场地内无排放超标的污染源。</w:t>
      </w:r>
    </w:p>
    <w:p w14:paraId="0F90EC53" w14:textId="77777777" w:rsidR="00715ABB" w:rsidRPr="009252F8" w:rsidRDefault="00F44390" w:rsidP="009252F8">
      <w:pPr>
        <w:pStyle w:val="20"/>
      </w:pPr>
      <w:r w:rsidRPr="0081478A">
        <w:t>【评价方法】</w:t>
      </w:r>
    </w:p>
    <w:p w14:paraId="253AD2E8" w14:textId="77777777" w:rsidR="00E905A0" w:rsidRPr="00530A11" w:rsidRDefault="00E905A0" w:rsidP="00E905A0">
      <w:pPr>
        <w:pStyle w:val="20"/>
        <w:ind w:firstLineChars="200" w:firstLine="420"/>
        <w:rPr>
          <w:rFonts w:ascii="Times New Roman" w:hAnsi="Times New Roman" w:cs="Times New Roman"/>
          <w:b w:val="0"/>
          <w:color w:val="auto"/>
        </w:rPr>
      </w:pPr>
      <w:r w:rsidRPr="00530A11">
        <w:rPr>
          <w:rFonts w:cs="Times New Roman"/>
          <w:b w:val="0"/>
        </w:rPr>
        <w:lastRenderedPageBreak/>
        <w:t>预评价查阅环评报告、治理措施分析报告；评价查阅环评报告、治理措施分析报告，组织现场查勘。</w:t>
      </w:r>
    </w:p>
    <w:p w14:paraId="794D175B" w14:textId="77777777" w:rsidR="00715ABB" w:rsidRPr="00E905A0" w:rsidRDefault="00715ABB">
      <w:pPr>
        <w:snapToGrid w:val="0"/>
        <w:ind w:firstLineChars="0" w:firstLine="0"/>
        <w:jc w:val="left"/>
        <w:rPr>
          <w:rFonts w:cs="Times New Roman"/>
          <w:b/>
          <w:bCs/>
          <w:szCs w:val="24"/>
        </w:rPr>
      </w:pPr>
    </w:p>
    <w:p w14:paraId="7A799F9A" w14:textId="77777777" w:rsidR="00991D52" w:rsidRPr="00530A11" w:rsidRDefault="00991D52" w:rsidP="00991D52">
      <w:pPr>
        <w:pStyle w:val="4"/>
        <w:rPr>
          <w:rFonts w:cs="Times New Roman"/>
          <w:bCs w:val="0"/>
        </w:rPr>
      </w:pPr>
      <w:r w:rsidRPr="00530A11">
        <w:rPr>
          <w:rFonts w:cs="Times New Roman"/>
          <w:bCs w:val="0"/>
        </w:rPr>
        <w:t xml:space="preserve">8.1.6 </w:t>
      </w:r>
      <w:r w:rsidRPr="00530A11">
        <w:rPr>
          <w:rFonts w:cs="Times New Roman"/>
          <w:bCs w:val="0"/>
        </w:rPr>
        <w:t>生活垃圾应分类收集</w:t>
      </w:r>
      <w:r w:rsidRPr="00530A11">
        <w:rPr>
          <w:rFonts w:cs="Times New Roman" w:hint="eastAsia"/>
          <w:bCs w:val="0"/>
        </w:rPr>
        <w:t>、运输</w:t>
      </w:r>
      <w:r w:rsidRPr="00530A11">
        <w:rPr>
          <w:rFonts w:cs="Times New Roman"/>
          <w:bCs w:val="0"/>
        </w:rPr>
        <w:t>，垃圾容器和收集点的设置应合理</w:t>
      </w:r>
      <w:r w:rsidRPr="00530A11">
        <w:rPr>
          <w:rFonts w:cs="Times New Roman" w:hint="eastAsia"/>
          <w:bCs w:val="0"/>
        </w:rPr>
        <w:t>、规范</w:t>
      </w:r>
      <w:r w:rsidRPr="00530A11">
        <w:rPr>
          <w:rFonts w:cs="Times New Roman"/>
          <w:bCs w:val="0"/>
        </w:rPr>
        <w:t>并应与周围景观协调。</w:t>
      </w:r>
    </w:p>
    <w:p w14:paraId="37670E4C" w14:textId="77777777" w:rsidR="00715ABB" w:rsidRPr="0081478A" w:rsidRDefault="00F44390" w:rsidP="009252F8">
      <w:pPr>
        <w:pStyle w:val="20"/>
      </w:pPr>
      <w:r w:rsidRPr="0081478A">
        <w:t>【条文说明】</w:t>
      </w:r>
    </w:p>
    <w:p w14:paraId="7EFEEB11" w14:textId="77777777" w:rsidR="00991D52" w:rsidRPr="00530A11" w:rsidRDefault="00991D52" w:rsidP="00991D52">
      <w:pPr>
        <w:ind w:firstLine="420"/>
        <w:rPr>
          <w:szCs w:val="24"/>
        </w:rPr>
      </w:pPr>
      <w:r w:rsidRPr="00530A11">
        <w:t>本条适用于各类民用建筑的预评价、评价。</w:t>
      </w:r>
    </w:p>
    <w:p w14:paraId="148CE83C"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10.1.2</w:t>
      </w:r>
      <w:r w:rsidRPr="00530A11">
        <w:rPr>
          <w:rFonts w:cs="Times New Roman"/>
        </w:rPr>
        <w:t>条、第</w:t>
      </w:r>
      <w:r w:rsidRPr="00530A11">
        <w:rPr>
          <w:rFonts w:cs="Times New Roman"/>
        </w:rPr>
        <w:t>10.2.12</w:t>
      </w:r>
      <w:r w:rsidRPr="00530A11">
        <w:rPr>
          <w:rFonts w:cs="Times New Roman"/>
        </w:rPr>
        <w:t>条、第</w:t>
      </w:r>
      <w:r w:rsidRPr="00530A11">
        <w:rPr>
          <w:rFonts w:cs="Times New Roman"/>
        </w:rPr>
        <w:t>10.2.13</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10.1.2</w:t>
      </w:r>
      <w:r w:rsidRPr="00530A11">
        <w:rPr>
          <w:rFonts w:cs="Times New Roman"/>
        </w:rPr>
        <w:t>条、第</w:t>
      </w:r>
      <w:r w:rsidRPr="00530A11">
        <w:rPr>
          <w:rFonts w:cs="Times New Roman"/>
        </w:rPr>
        <w:t>10.2.13</w:t>
      </w:r>
      <w:r w:rsidRPr="00530A11">
        <w:rPr>
          <w:rFonts w:cs="Times New Roman"/>
        </w:rPr>
        <w:t>条、第</w:t>
      </w:r>
      <w:r w:rsidRPr="00530A11">
        <w:rPr>
          <w:rFonts w:cs="Times New Roman"/>
        </w:rPr>
        <w:t>10.2.14</w:t>
      </w:r>
      <w:r w:rsidRPr="00530A11">
        <w:rPr>
          <w:rFonts w:cs="Times New Roman"/>
        </w:rPr>
        <w:t>条的基础上发展而来。</w:t>
      </w:r>
    </w:p>
    <w:p w14:paraId="7CB5FF6A" w14:textId="77777777" w:rsidR="00991D52" w:rsidRPr="00530A11" w:rsidRDefault="00991D52" w:rsidP="00991D52">
      <w:pPr>
        <w:ind w:firstLine="420"/>
        <w:rPr>
          <w:rFonts w:cs="Times New Roman"/>
        </w:rPr>
      </w:pPr>
      <w:r w:rsidRPr="00530A11">
        <w:rPr>
          <w:rFonts w:cs="Times New Roman"/>
        </w:rPr>
        <w:t>建筑设计时应合理规划和设置垃圾收集设施，评价时应制定垃圾分类收集管理制度，并予以贯彻实施。</w:t>
      </w:r>
    </w:p>
    <w:p w14:paraId="6D14797F" w14:textId="77777777" w:rsidR="00991D52" w:rsidRPr="00530A11" w:rsidRDefault="00991D52" w:rsidP="00991D52">
      <w:pPr>
        <w:ind w:firstLine="420"/>
        <w:rPr>
          <w:rFonts w:cs="Times New Roman"/>
        </w:rPr>
      </w:pPr>
      <w:r w:rsidRPr="00530A11">
        <w:rPr>
          <w:rFonts w:cs="Times New Roman"/>
        </w:rPr>
        <w:t>本条要求根据垃圾产生量和种类合理设置垃圾分类收集设施，其中有害垃圾必须单独收集、单独清运。垃圾收集设施规格和位置应符合国家有关标准的规定，其数量、外观色彩及标志应符合垃圾分类收集的要求，并置于隐蔽、避风处，与周围景观相协调。垃圾收集设施应坚固耐用，防止垃圾无序倾倒和露天堆放。</w:t>
      </w:r>
    </w:p>
    <w:p w14:paraId="4585DDDE" w14:textId="77777777" w:rsidR="00991D52" w:rsidRPr="00530A11" w:rsidRDefault="00991D52" w:rsidP="00991D52">
      <w:pPr>
        <w:ind w:firstLine="420"/>
        <w:rPr>
          <w:rFonts w:cs="Times New Roman"/>
        </w:rPr>
      </w:pPr>
      <w:r w:rsidRPr="00530A11">
        <w:rPr>
          <w:rFonts w:cs="Times New Roman"/>
        </w:rPr>
        <w:t>生活垃圾一般分四类，包括有害垃圾、易腐垃圾</w:t>
      </w:r>
      <w:r w:rsidRPr="00530A11">
        <w:rPr>
          <w:rFonts w:cs="Times New Roman"/>
        </w:rPr>
        <w:t>(</w:t>
      </w:r>
      <w:r w:rsidRPr="00530A11">
        <w:rPr>
          <w:rFonts w:cs="Times New Roman"/>
        </w:rPr>
        <w:t>厨余垃圾</w:t>
      </w:r>
      <w:r w:rsidRPr="00530A11">
        <w:rPr>
          <w:rFonts w:cs="Times New Roman"/>
        </w:rPr>
        <w:t>)</w:t>
      </w:r>
      <w:r w:rsidRPr="00530A11">
        <w:rPr>
          <w:rFonts w:cs="Times New Roman"/>
        </w:rPr>
        <w:t>、可回收垃圾和其他垃圾。有害垃圾主要包括：废电池</w:t>
      </w:r>
      <w:r w:rsidRPr="00530A11">
        <w:rPr>
          <w:rFonts w:cs="Times New Roman"/>
        </w:rPr>
        <w:t>(</w:t>
      </w:r>
      <w:r w:rsidRPr="00530A11">
        <w:rPr>
          <w:rFonts w:cs="Times New Roman"/>
        </w:rPr>
        <w:t>镉镍电池、氧化汞电池、铅蓄电池等</w:t>
      </w:r>
      <w:r w:rsidRPr="00530A11">
        <w:rPr>
          <w:rFonts w:cs="Times New Roman"/>
        </w:rPr>
        <w:t>)</w:t>
      </w:r>
      <w:r w:rsidRPr="00530A11">
        <w:rPr>
          <w:rFonts w:cs="Times New Roman"/>
        </w:rPr>
        <w:t>，废荧光灯管</w:t>
      </w:r>
      <w:r w:rsidRPr="00530A11">
        <w:rPr>
          <w:rFonts w:cs="Times New Roman"/>
        </w:rPr>
        <w:t>(</w:t>
      </w:r>
      <w:r w:rsidRPr="00530A11">
        <w:rPr>
          <w:rFonts w:cs="Times New Roman"/>
        </w:rPr>
        <w:t>日光灯管、节能灯等</w:t>
      </w:r>
      <w:r w:rsidRPr="00530A11">
        <w:rPr>
          <w:rFonts w:cs="Times New Roman"/>
        </w:rPr>
        <w:t>)</w:t>
      </w:r>
      <w:r w:rsidRPr="00530A11">
        <w:rPr>
          <w:rFonts w:cs="Times New Roman"/>
        </w:rPr>
        <w:t>，废温度计，废血压计，废药品及其包装物，废油漆、溶剂及其包装物，废杀虫剂、消毒剂及其包装物，废胶片及废相纸等。易腐垃圾</w:t>
      </w:r>
      <w:r w:rsidRPr="00530A11">
        <w:rPr>
          <w:rFonts w:cs="Times New Roman"/>
        </w:rPr>
        <w:t>(</w:t>
      </w:r>
      <w:r w:rsidRPr="00530A11">
        <w:rPr>
          <w:rFonts w:cs="Times New Roman"/>
        </w:rPr>
        <w:t>厨余垃圾</w:t>
      </w:r>
      <w:r w:rsidRPr="00530A11">
        <w:rPr>
          <w:rFonts w:cs="Times New Roman"/>
        </w:rPr>
        <w:t>)</w:t>
      </w:r>
      <w:r w:rsidRPr="00530A11">
        <w:rPr>
          <w:rFonts w:cs="Times New Roman"/>
        </w:rPr>
        <w:t>包括剩菜剩饭、骨头、菜根菜叶、果皮等可腐烂有机物。可回收垃圾主要包括：废纸，废塑料，废金属，废包装物，废旧纺织物，废弃电器电子产品，废玻璃，废纸塑铝复合包装，大件垃圾等。有害垃圾、易腐垃圾</w:t>
      </w:r>
      <w:r w:rsidRPr="00530A11">
        <w:rPr>
          <w:rFonts w:cs="Times New Roman"/>
        </w:rPr>
        <w:t>(</w:t>
      </w:r>
      <w:r w:rsidRPr="00530A11">
        <w:rPr>
          <w:rFonts w:cs="Times New Roman"/>
        </w:rPr>
        <w:t>厨余垃圾</w:t>
      </w:r>
      <w:r w:rsidRPr="00530A11">
        <w:rPr>
          <w:rFonts w:cs="Times New Roman"/>
        </w:rPr>
        <w:t>)</w:t>
      </w:r>
      <w:r w:rsidRPr="00530A11">
        <w:rPr>
          <w:rFonts w:cs="Times New Roman"/>
        </w:rPr>
        <w:t>、可回收垃圾应分别收集。</w:t>
      </w:r>
    </w:p>
    <w:p w14:paraId="3B9D7AAB" w14:textId="77777777" w:rsidR="00991D52" w:rsidRPr="00530A11" w:rsidRDefault="00991D52" w:rsidP="00991D52">
      <w:pPr>
        <w:ind w:firstLine="420"/>
        <w:rPr>
          <w:rFonts w:cs="Times New Roman"/>
        </w:rPr>
      </w:pPr>
      <w:r w:rsidRPr="00530A11">
        <w:rPr>
          <w:rFonts w:cs="Times New Roman"/>
        </w:rPr>
        <w:t>同时，在垃圾容器和收集点布置时，重视垃圾容器和收集点的环境卫生与景观美化问题，做到密闭并相对位置固定，如果按规划需配垃圾收集站，应能具备定期冲洗，消杀条件，并能及时做到密闭清运。</w:t>
      </w:r>
    </w:p>
    <w:p w14:paraId="2377D6FA" w14:textId="77777777" w:rsidR="00991D52" w:rsidRPr="00530A11" w:rsidRDefault="00991D52" w:rsidP="00991D52">
      <w:pPr>
        <w:ind w:firstLine="420"/>
        <w:rPr>
          <w:rFonts w:cs="Times New Roman"/>
        </w:rPr>
      </w:pPr>
      <w:r w:rsidRPr="00530A11">
        <w:rPr>
          <w:rFonts w:cs="Times New Roman"/>
        </w:rPr>
        <w:t>《重庆市生活垃圾分类管理办法》于</w:t>
      </w:r>
      <w:r w:rsidRPr="00530A11">
        <w:rPr>
          <w:rFonts w:cs="Times New Roman"/>
        </w:rPr>
        <w:t>2019</w:t>
      </w:r>
      <w:r w:rsidRPr="00530A11">
        <w:rPr>
          <w:rFonts w:cs="Times New Roman"/>
        </w:rPr>
        <w:t>年</w:t>
      </w:r>
      <w:r w:rsidRPr="00530A11">
        <w:rPr>
          <w:rFonts w:cs="Times New Roman"/>
        </w:rPr>
        <w:t>1</w:t>
      </w:r>
      <w:r w:rsidRPr="00530A11">
        <w:rPr>
          <w:rFonts w:cs="Times New Roman"/>
        </w:rPr>
        <w:t>月</w:t>
      </w:r>
      <w:r w:rsidRPr="00530A11">
        <w:rPr>
          <w:rFonts w:cs="Times New Roman"/>
        </w:rPr>
        <w:t>1</w:t>
      </w:r>
      <w:r w:rsidRPr="00530A11">
        <w:rPr>
          <w:rFonts w:cs="Times New Roman"/>
        </w:rPr>
        <w:t>日在重庆市正式施行，重庆市主城城区范围内公共机构、相关企业、以及主城以外区县（自治县）党政机关开展了生活垃圾强制分类，主城区</w:t>
      </w:r>
      <w:r w:rsidRPr="00530A11">
        <w:rPr>
          <w:rFonts w:cs="Times New Roman"/>
        </w:rPr>
        <w:t>23</w:t>
      </w:r>
      <w:r w:rsidRPr="00530A11">
        <w:rPr>
          <w:rFonts w:cs="Times New Roman"/>
        </w:rPr>
        <w:t>个街镇也开展了居民生活垃圾分类试点工作，并取得了良好的成果。建筑环境中的生活垃圾分类收集、运输应满足《重庆市生活垃圾分类管理办法》要求。</w:t>
      </w:r>
    </w:p>
    <w:p w14:paraId="477EFB07" w14:textId="77777777" w:rsidR="00991D52" w:rsidRPr="00530A11" w:rsidRDefault="00991D52" w:rsidP="00991D52">
      <w:pPr>
        <w:ind w:firstLine="420"/>
        <w:rPr>
          <w:rFonts w:cs="Times New Roman"/>
        </w:rPr>
      </w:pPr>
      <w:r w:rsidRPr="00530A11">
        <w:rPr>
          <w:rFonts w:cs="Times New Roman"/>
        </w:rPr>
        <w:lastRenderedPageBreak/>
        <w:t>《重庆市生活垃圾分类管理办法》明确</w:t>
      </w:r>
      <w:r w:rsidRPr="00530A11">
        <w:rPr>
          <w:rFonts w:cs="Times New Roman"/>
        </w:rPr>
        <w:t>“</w:t>
      </w:r>
      <w:r w:rsidRPr="00530A11">
        <w:rPr>
          <w:rFonts w:cs="Times New Roman"/>
        </w:rPr>
        <w:t>住房城乡建设部门负责指导物业服务企业按照责任分工做好生活垃圾分类相关工作。</w:t>
      </w:r>
      <w:r w:rsidRPr="00530A11">
        <w:rPr>
          <w:rFonts w:cs="Times New Roman"/>
        </w:rPr>
        <w:t>”“</w:t>
      </w:r>
      <w:r w:rsidRPr="00530A11">
        <w:rPr>
          <w:rFonts w:cs="Times New Roman"/>
        </w:rPr>
        <w:t>鼓励物业服务企业、商场、超市、便利店、快递收发点等设立回收点，采用押金返还、以旧换新、设置自动回收机、积分奖励等方式开展可回收物回收。</w:t>
      </w:r>
      <w:r w:rsidRPr="00530A11">
        <w:rPr>
          <w:rFonts w:cs="Times New Roman"/>
        </w:rPr>
        <w:t>”“</w:t>
      </w:r>
      <w:r w:rsidRPr="00530A11">
        <w:rPr>
          <w:rFonts w:cs="Times New Roman"/>
        </w:rPr>
        <w:t>生活垃圾分类投放和收集实行管理责任人制度</w:t>
      </w:r>
      <w:r w:rsidRPr="00530A11">
        <w:rPr>
          <w:rFonts w:cs="Times New Roman"/>
        </w:rPr>
        <w:t>”</w:t>
      </w:r>
      <w:r w:rsidRPr="00530A11">
        <w:rPr>
          <w:rFonts w:cs="Times New Roman"/>
        </w:rPr>
        <w:t>，并由</w:t>
      </w:r>
      <w:r w:rsidRPr="00530A11">
        <w:rPr>
          <w:rFonts w:cs="Times New Roman"/>
        </w:rPr>
        <w:t>“</w:t>
      </w:r>
      <w:r w:rsidRPr="00530A11">
        <w:rPr>
          <w:rFonts w:cs="Times New Roman"/>
        </w:rPr>
        <w:t>住宅小区实行物业管理的，物业服务企业为责任人</w:t>
      </w:r>
      <w:r w:rsidRPr="00530A11">
        <w:rPr>
          <w:rFonts w:cs="Times New Roman"/>
        </w:rPr>
        <w:t>”</w:t>
      </w:r>
      <w:r w:rsidRPr="00530A11">
        <w:rPr>
          <w:rFonts w:cs="Times New Roman"/>
        </w:rPr>
        <w:t>，公共建筑应参照居住小区，由物业管理企业落实责任。</w:t>
      </w:r>
    </w:p>
    <w:p w14:paraId="6D711CF3" w14:textId="77777777" w:rsidR="00991D52" w:rsidRPr="00530A11" w:rsidRDefault="00991D52" w:rsidP="00991D52">
      <w:pPr>
        <w:ind w:firstLine="420"/>
        <w:rPr>
          <w:rFonts w:cs="Times New Roman"/>
        </w:rPr>
      </w:pPr>
      <w:r w:rsidRPr="00530A11">
        <w:rPr>
          <w:rFonts w:cs="Times New Roman"/>
        </w:rPr>
        <w:t>1</w:t>
      </w:r>
      <w:r w:rsidRPr="00530A11">
        <w:rPr>
          <w:rFonts w:cs="Times New Roman"/>
        </w:rPr>
        <w:t>、容器收集点设置合理。</w:t>
      </w:r>
    </w:p>
    <w:p w14:paraId="27707537" w14:textId="77777777" w:rsidR="00991D52" w:rsidRPr="00530A11" w:rsidRDefault="00991D52" w:rsidP="00991D52">
      <w:pPr>
        <w:ind w:firstLine="420"/>
        <w:rPr>
          <w:rFonts w:cs="Times New Roman"/>
        </w:rPr>
      </w:pPr>
      <w:r w:rsidRPr="00530A11">
        <w:rPr>
          <w:rFonts w:cs="Times New Roman"/>
        </w:rPr>
        <w:t>《环境卫生设施设置标准》</w:t>
      </w:r>
      <w:r w:rsidRPr="00530A11">
        <w:rPr>
          <w:rFonts w:cs="Times New Roman"/>
        </w:rPr>
        <w:t>CJJ 27-2012</w:t>
      </w:r>
      <w:r w:rsidRPr="00530A11">
        <w:rPr>
          <w:rFonts w:cs="Times New Roman"/>
        </w:rPr>
        <w:t>第</w:t>
      </w:r>
      <w:r w:rsidRPr="00530A11">
        <w:rPr>
          <w:rFonts w:cs="Times New Roman"/>
        </w:rPr>
        <w:t>3.1</w:t>
      </w:r>
      <w:r w:rsidRPr="00530A11">
        <w:rPr>
          <w:rFonts w:cs="Times New Roman"/>
        </w:rPr>
        <w:t>、</w:t>
      </w:r>
      <w:r w:rsidRPr="00530A11">
        <w:rPr>
          <w:rFonts w:cs="Times New Roman"/>
        </w:rPr>
        <w:t>3.2</w:t>
      </w:r>
      <w:r w:rsidRPr="00530A11">
        <w:rPr>
          <w:rFonts w:cs="Times New Roman"/>
        </w:rPr>
        <w:t>、</w:t>
      </w:r>
      <w:r w:rsidRPr="00530A11">
        <w:rPr>
          <w:rFonts w:cs="Times New Roman"/>
        </w:rPr>
        <w:t>3.3</w:t>
      </w:r>
      <w:r w:rsidRPr="00530A11">
        <w:rPr>
          <w:rFonts w:cs="Times New Roman"/>
        </w:rPr>
        <w:t>、</w:t>
      </w:r>
      <w:r w:rsidRPr="00530A11">
        <w:rPr>
          <w:rFonts w:cs="Times New Roman"/>
        </w:rPr>
        <w:t>4.2</w:t>
      </w:r>
      <w:r w:rsidRPr="00530A11">
        <w:rPr>
          <w:rFonts w:cs="Times New Roman"/>
        </w:rPr>
        <w:t>节对废物箱、垃圾垃圾收集站（点）的设置有具体规定，此处不再详述。《生活垃圾收集站技术规程》</w:t>
      </w:r>
      <w:r w:rsidRPr="00530A11">
        <w:rPr>
          <w:rFonts w:cs="Times New Roman"/>
        </w:rPr>
        <w:t>CJJ 179-2012</w:t>
      </w:r>
      <w:r w:rsidRPr="00530A11">
        <w:rPr>
          <w:rFonts w:cs="Times New Roman"/>
        </w:rPr>
        <w:t>对垃圾收集站（点）的规划、设计、建设、验收、运行及维护均有要求，其设计要求包括高效、节能、环能、安全、卫生等，设备选型也应标准化、系列化。</w:t>
      </w:r>
    </w:p>
    <w:p w14:paraId="7B580A85" w14:textId="11CF8503" w:rsidR="00346FFC" w:rsidRDefault="00991D52">
      <w:pPr>
        <w:ind w:firstLine="420"/>
        <w:rPr>
          <w:rFonts w:cs="Times New Roman"/>
        </w:rPr>
      </w:pPr>
      <w:r w:rsidRPr="00530A11">
        <w:rPr>
          <w:rFonts w:cs="Times New Roman"/>
        </w:rPr>
        <w:t>2</w:t>
      </w:r>
      <w:r w:rsidRPr="00530A11">
        <w:rPr>
          <w:rFonts w:cs="Times New Roman"/>
        </w:rPr>
        <w:t>、规范垃圾收集容器。</w:t>
      </w:r>
    </w:p>
    <w:p w14:paraId="4C89969A" w14:textId="77777777" w:rsidR="001F1484" w:rsidRPr="00530A11" w:rsidRDefault="001F1484" w:rsidP="001F1484">
      <w:pPr>
        <w:ind w:firstLine="420"/>
      </w:pPr>
      <w:r w:rsidRPr="00346FFC">
        <w:rPr>
          <w:rFonts w:hint="eastAsia"/>
        </w:rPr>
        <w:t>《城市生活垃圾分类及其评价标准》</w:t>
      </w:r>
      <w:r w:rsidRPr="00346FFC">
        <w:rPr>
          <w:rFonts w:hint="eastAsia"/>
        </w:rPr>
        <w:t>CJJ/T 102-2004</w:t>
      </w:r>
      <w:r w:rsidRPr="00346FFC">
        <w:rPr>
          <w:rFonts w:hint="eastAsia"/>
        </w:rPr>
        <w:t>要求垃圾分类结合本地区垃圾的特性和处理方式选择垃圾分类方法，对于垃圾分类的操作，该标准要求按本地区垃圾分类指南进行操作，并对垃圾投放、垃圾容器、垃圾收集等有具体要求。此外，国家标准《生活垃圾分类标志》</w:t>
      </w:r>
      <w:r w:rsidRPr="00346FFC">
        <w:rPr>
          <w:rFonts w:hint="eastAsia"/>
        </w:rPr>
        <w:t>GB/T 19095-2019</w:t>
      </w:r>
      <w:r w:rsidRPr="00346FFC">
        <w:rPr>
          <w:rFonts w:hint="eastAsia"/>
        </w:rPr>
        <w:t>于</w:t>
      </w:r>
      <w:r w:rsidRPr="00346FFC">
        <w:rPr>
          <w:rFonts w:hint="eastAsia"/>
        </w:rPr>
        <w:t>2019</w:t>
      </w:r>
      <w:r w:rsidRPr="00346FFC">
        <w:rPr>
          <w:rFonts w:hint="eastAsia"/>
        </w:rPr>
        <w:t>年</w:t>
      </w:r>
      <w:r w:rsidRPr="00346FFC">
        <w:rPr>
          <w:rFonts w:hint="eastAsia"/>
        </w:rPr>
        <w:t>12</w:t>
      </w:r>
      <w:r w:rsidRPr="00346FFC">
        <w:rPr>
          <w:rFonts w:hint="eastAsia"/>
        </w:rPr>
        <w:t>月</w:t>
      </w:r>
      <w:r w:rsidRPr="00346FFC">
        <w:rPr>
          <w:rFonts w:hint="eastAsia"/>
        </w:rPr>
        <w:t>1</w:t>
      </w:r>
      <w:r w:rsidRPr="00346FFC">
        <w:rPr>
          <w:rFonts w:hint="eastAsia"/>
        </w:rPr>
        <w:t>日起实施，对垃圾分类进行细化为</w:t>
      </w:r>
      <w:r w:rsidRPr="00346FFC">
        <w:rPr>
          <w:rFonts w:hint="eastAsia"/>
        </w:rPr>
        <w:t>4</w:t>
      </w:r>
      <w:r w:rsidRPr="00346FFC">
        <w:rPr>
          <w:rFonts w:hint="eastAsia"/>
        </w:rPr>
        <w:t>大类</w:t>
      </w:r>
      <w:r w:rsidRPr="00346FFC">
        <w:rPr>
          <w:rFonts w:hint="eastAsia"/>
        </w:rPr>
        <w:t>11</w:t>
      </w:r>
      <w:r w:rsidRPr="00346FFC">
        <w:rPr>
          <w:rFonts w:hint="eastAsia"/>
        </w:rPr>
        <w:t>个小类，对垃圾标志进行了进一步明确，应参照执行，当本地区有高于或严于国家要求的垃圾分类地方标准时，应同时执行。垃圾容器设置的基本要求是，容器应做到颜色（同一类垃圾对应固定颜色）、形状（各类垃圾容器形状规范、固定）、标识（对不同类垃圾的文字标识、图形标识要一致，便于识别）统一，便于使用。</w:t>
      </w:r>
    </w:p>
    <w:p w14:paraId="123C93DE" w14:textId="77777777" w:rsidR="00991D52" w:rsidRPr="00530A11" w:rsidRDefault="00991D52" w:rsidP="00991D52">
      <w:pPr>
        <w:ind w:firstLine="420"/>
        <w:rPr>
          <w:rFonts w:cs="Times New Roman"/>
        </w:rPr>
      </w:pPr>
      <w:r w:rsidRPr="00530A11">
        <w:rPr>
          <w:rFonts w:cs="Times New Roman"/>
        </w:rPr>
        <w:t>3</w:t>
      </w:r>
      <w:r w:rsidRPr="00530A11">
        <w:rPr>
          <w:rFonts w:cs="Times New Roman"/>
        </w:rPr>
        <w:t>、增加对于垃圾的运输、处置问题。</w:t>
      </w:r>
    </w:p>
    <w:p w14:paraId="39016E7C" w14:textId="77777777" w:rsidR="00991D52" w:rsidRPr="00530A11" w:rsidRDefault="00991D52" w:rsidP="00991D52">
      <w:pPr>
        <w:ind w:firstLine="420"/>
        <w:rPr>
          <w:rFonts w:cs="Times New Roman"/>
        </w:rPr>
      </w:pPr>
      <w:r w:rsidRPr="00530A11">
        <w:rPr>
          <w:rFonts w:cs="Times New Roman"/>
        </w:rPr>
        <w:t>垃圾的分类收集需要后续分类运输、处置，分类收集后，对垃圾的运输处置，是物业管理环节的一项重要内容，一是保障垃圾分类的效果，二是减少垃圾运输处置对环境的影响。《重庆市生活垃圾分类管理办法》对垃圾运输、处置进行了明确要求，项目应该集中考虑分类运输的需要以及分类处置的需要进行垃圾收集站点设计，物业服务公司应该制订相应分类运输、分类处置工作制度。</w:t>
      </w:r>
    </w:p>
    <w:p w14:paraId="06F865CA" w14:textId="77777777" w:rsidR="00991D52" w:rsidRPr="00530A11" w:rsidRDefault="00991D52" w:rsidP="00991D52">
      <w:pPr>
        <w:ind w:firstLine="420"/>
        <w:rPr>
          <w:rFonts w:cs="Times New Roman"/>
        </w:rPr>
      </w:pPr>
      <w:r w:rsidRPr="00530A11">
        <w:rPr>
          <w:rFonts w:cs="Times New Roman"/>
        </w:rPr>
        <w:t>4</w:t>
      </w:r>
      <w:r w:rsidRPr="00530A11">
        <w:rPr>
          <w:rFonts w:cs="Times New Roman"/>
        </w:rPr>
        <w:t>、垃圾收集设施应与环境相协调。</w:t>
      </w:r>
    </w:p>
    <w:p w14:paraId="0265A897" w14:textId="77777777" w:rsidR="00991D52" w:rsidRPr="00530A11" w:rsidRDefault="00991D52" w:rsidP="00991D52">
      <w:pPr>
        <w:ind w:firstLine="420"/>
        <w:rPr>
          <w:rFonts w:cs="Times New Roman"/>
        </w:rPr>
      </w:pPr>
      <w:r w:rsidRPr="00530A11">
        <w:rPr>
          <w:rFonts w:cs="Times New Roman"/>
        </w:rPr>
        <w:t>垃圾收集设施应置于隐蔽、避风处，与周围景观相协调。垃圾收集设施应坚固耐用，防止垃圾无序倾倒和露天堆放。同时，在垃圾容器和收集点布置时，重视垃圾容器和收集点的环境卫生与景观美化问题，做到密闭并相对位置固定，保持垃圾收集容器、收集点整洁、卫生、美观。</w:t>
      </w:r>
    </w:p>
    <w:p w14:paraId="18DD26AE" w14:textId="751B791D" w:rsidR="00346FFC" w:rsidRPr="009252F8" w:rsidRDefault="009008FD" w:rsidP="009252F8">
      <w:pPr>
        <w:pStyle w:val="20"/>
      </w:pPr>
      <w:r w:rsidRPr="0081478A">
        <w:lastRenderedPageBreak/>
        <w:t>【评价要点】</w:t>
      </w:r>
    </w:p>
    <w:p w14:paraId="327C51C0" w14:textId="18052806" w:rsidR="00346FFC" w:rsidRPr="00346FFC" w:rsidRDefault="00346FFC" w:rsidP="00346FFC">
      <w:pPr>
        <w:ind w:firstLine="420"/>
      </w:pPr>
      <w:r w:rsidRPr="00346FFC">
        <w:rPr>
          <w:rFonts w:hint="eastAsia"/>
        </w:rPr>
        <w:t>1.</w:t>
      </w:r>
      <w:r w:rsidRPr="00346FFC">
        <w:rPr>
          <w:rFonts w:hint="eastAsia"/>
        </w:rPr>
        <w:t>满足《重庆市生活垃圾分类管理办法》的要求，生活垃圾收集容器应当使用国家标准规定的标识和颜色。</w:t>
      </w:r>
    </w:p>
    <w:p w14:paraId="6658F416" w14:textId="77777777" w:rsidR="00346FFC" w:rsidRPr="00346FFC" w:rsidRDefault="00346FFC" w:rsidP="00346FFC">
      <w:pPr>
        <w:ind w:firstLine="420"/>
        <w:rPr>
          <w:rFonts w:cs="Times New Roman"/>
          <w:bCs/>
        </w:rPr>
      </w:pPr>
      <w:r w:rsidRPr="00346FFC">
        <w:rPr>
          <w:rFonts w:cs="Times New Roman" w:hint="eastAsia"/>
          <w:bCs/>
        </w:rPr>
        <w:t>2.</w:t>
      </w:r>
      <w:r w:rsidRPr="00346FFC">
        <w:rPr>
          <w:rFonts w:cs="Times New Roman" w:hint="eastAsia"/>
          <w:bCs/>
        </w:rPr>
        <w:t>重点审查垃圾收集处理的竣工图纸及设施清单、物业管理机构制定的垃圾管理制度，并现场核实垃圾收集、清运的效果。</w:t>
      </w:r>
    </w:p>
    <w:p w14:paraId="7D98D8D0" w14:textId="77777777" w:rsidR="00346FFC" w:rsidRPr="00346FFC" w:rsidRDefault="00346FFC" w:rsidP="00346FFC">
      <w:pPr>
        <w:ind w:firstLine="420"/>
        <w:rPr>
          <w:rFonts w:cs="Times New Roman"/>
          <w:bCs/>
        </w:rPr>
      </w:pPr>
      <w:r w:rsidRPr="00346FFC">
        <w:rPr>
          <w:rFonts w:cs="Times New Roman" w:hint="eastAsia"/>
          <w:bCs/>
        </w:rPr>
        <w:t>主要评价内容如下：</w:t>
      </w:r>
    </w:p>
    <w:p w14:paraId="6BC2A82F" w14:textId="77777777" w:rsidR="00346FFC" w:rsidRPr="00346FFC" w:rsidRDefault="00346FFC" w:rsidP="00346FFC">
      <w:pPr>
        <w:ind w:firstLine="420"/>
        <w:rPr>
          <w:rFonts w:cs="Times New Roman"/>
          <w:bCs/>
        </w:rPr>
      </w:pPr>
      <w:r w:rsidRPr="00346FFC">
        <w:rPr>
          <w:rFonts w:cs="Times New Roman" w:hint="eastAsia"/>
          <w:bCs/>
        </w:rPr>
        <w:t>1</w:t>
      </w:r>
      <w:r w:rsidRPr="00346FFC">
        <w:rPr>
          <w:rFonts w:cs="Times New Roman" w:hint="eastAsia"/>
          <w:bCs/>
        </w:rPr>
        <w:t>）</w:t>
      </w:r>
      <w:r w:rsidRPr="00346FFC">
        <w:rPr>
          <w:rFonts w:cs="Times New Roman" w:hint="eastAsia"/>
          <w:bCs/>
        </w:rPr>
        <w:t xml:space="preserve"> </w:t>
      </w:r>
      <w:r w:rsidRPr="00346FFC">
        <w:rPr>
          <w:rFonts w:cs="Times New Roman" w:hint="eastAsia"/>
          <w:bCs/>
        </w:rPr>
        <w:t>垃圾管理制度中应明确垃圾分类方式，对可回收垃圾、厨余垃圾、有害垃圾、其他垃圾进行分类收集。</w:t>
      </w:r>
      <w:r w:rsidRPr="00346FFC">
        <w:rPr>
          <w:rFonts w:cs="Times New Roman" w:hint="eastAsia"/>
          <w:bCs/>
        </w:rPr>
        <w:t xml:space="preserve"> </w:t>
      </w:r>
    </w:p>
    <w:p w14:paraId="25BB0066" w14:textId="77777777" w:rsidR="00346FFC" w:rsidRPr="00346FFC" w:rsidRDefault="00346FFC" w:rsidP="00346FFC">
      <w:pPr>
        <w:ind w:firstLine="420"/>
        <w:rPr>
          <w:rFonts w:cs="Times New Roman"/>
          <w:bCs/>
        </w:rPr>
      </w:pPr>
      <w:r w:rsidRPr="00346FFC">
        <w:rPr>
          <w:rFonts w:cs="Times New Roman" w:hint="eastAsia"/>
          <w:bCs/>
        </w:rPr>
        <w:t>2</w:t>
      </w:r>
      <w:r w:rsidRPr="00346FFC">
        <w:rPr>
          <w:rFonts w:cs="Times New Roman" w:hint="eastAsia"/>
          <w:bCs/>
        </w:rPr>
        <w:t>）</w:t>
      </w:r>
      <w:r w:rsidRPr="00346FFC">
        <w:rPr>
          <w:rFonts w:cs="Times New Roman" w:hint="eastAsia"/>
          <w:bCs/>
        </w:rPr>
        <w:t xml:space="preserve"> </w:t>
      </w:r>
      <w:r w:rsidRPr="00346FFC">
        <w:rPr>
          <w:rFonts w:cs="Times New Roman" w:hint="eastAsia"/>
          <w:bCs/>
        </w:rPr>
        <w:t>场地内应设置分类容器，容器分布满足标准要求，容器应做到颜色（同一类垃圾对应固定颜色）、形状（各类垃圾容器形状规范、固定）、标识（对不同类垃圾的文字标识、图形标识要一致，便于识别）统一，便于使用。</w:t>
      </w:r>
      <w:r w:rsidRPr="00346FFC">
        <w:rPr>
          <w:rFonts w:cs="Times New Roman" w:hint="eastAsia"/>
          <w:bCs/>
        </w:rPr>
        <w:t xml:space="preserve"> </w:t>
      </w:r>
    </w:p>
    <w:p w14:paraId="120AFD22" w14:textId="77777777" w:rsidR="00346FFC" w:rsidRPr="00346FFC" w:rsidRDefault="00346FFC" w:rsidP="00346FFC">
      <w:pPr>
        <w:ind w:firstLine="420"/>
        <w:rPr>
          <w:rFonts w:cs="Times New Roman"/>
          <w:bCs/>
        </w:rPr>
      </w:pPr>
      <w:r w:rsidRPr="00346FFC">
        <w:rPr>
          <w:rFonts w:cs="Times New Roman" w:hint="eastAsia"/>
          <w:bCs/>
        </w:rPr>
        <w:t>3</w:t>
      </w:r>
      <w:r w:rsidRPr="00346FFC">
        <w:rPr>
          <w:rFonts w:cs="Times New Roman" w:hint="eastAsia"/>
          <w:bCs/>
        </w:rPr>
        <w:t>）</w:t>
      </w:r>
      <w:r w:rsidRPr="00346FFC">
        <w:rPr>
          <w:rFonts w:cs="Times New Roman" w:hint="eastAsia"/>
          <w:bCs/>
        </w:rPr>
        <w:t xml:space="preserve"> </w:t>
      </w:r>
      <w:r w:rsidRPr="00346FFC">
        <w:rPr>
          <w:rFonts w:cs="Times New Roman" w:hint="eastAsia"/>
          <w:bCs/>
        </w:rPr>
        <w:t>有垃圾收集和运输工作方案，并有相关工作记录，运输过程符合环卫相关规定。</w:t>
      </w:r>
    </w:p>
    <w:p w14:paraId="4A9DBE0B" w14:textId="77777777" w:rsidR="00346FFC" w:rsidRPr="00346FFC" w:rsidRDefault="00346FFC" w:rsidP="00346FFC">
      <w:pPr>
        <w:ind w:firstLine="420"/>
        <w:rPr>
          <w:rFonts w:cs="Times New Roman"/>
          <w:bCs/>
        </w:rPr>
      </w:pPr>
      <w:r w:rsidRPr="00346FFC">
        <w:rPr>
          <w:rFonts w:cs="Times New Roman" w:hint="eastAsia"/>
          <w:bCs/>
        </w:rPr>
        <w:t>4</w:t>
      </w:r>
      <w:r w:rsidRPr="00346FFC">
        <w:rPr>
          <w:rFonts w:cs="Times New Roman" w:hint="eastAsia"/>
          <w:bCs/>
        </w:rPr>
        <w:t>）</w:t>
      </w:r>
      <w:r w:rsidRPr="00346FFC">
        <w:rPr>
          <w:rFonts w:cs="Times New Roman" w:hint="eastAsia"/>
          <w:bCs/>
        </w:rPr>
        <w:t xml:space="preserve"> </w:t>
      </w:r>
      <w:r w:rsidRPr="00346FFC">
        <w:rPr>
          <w:rFonts w:cs="Times New Roman" w:hint="eastAsia"/>
          <w:bCs/>
        </w:rPr>
        <w:t>垃圾的分类排放，应明确专业人员管理，严禁随意混合或在专门处理处置设施外处置垃圾。</w:t>
      </w:r>
    </w:p>
    <w:p w14:paraId="28C75AA7" w14:textId="449D8CE2" w:rsidR="00346FFC" w:rsidRDefault="00235608" w:rsidP="00346FFC">
      <w:pPr>
        <w:ind w:firstLine="420"/>
        <w:rPr>
          <w:rFonts w:cs="Times New Roman"/>
          <w:bCs/>
        </w:rPr>
      </w:pPr>
      <w:r>
        <w:rPr>
          <w:rFonts w:cs="Times New Roman"/>
          <w:bCs/>
        </w:rPr>
        <w:t>3.</w:t>
      </w:r>
      <w:r w:rsidR="00346FFC" w:rsidRPr="00346FFC">
        <w:rPr>
          <w:rFonts w:cs="Times New Roman" w:hint="eastAsia"/>
          <w:bCs/>
        </w:rPr>
        <w:t>重点关注垃圾收集站（点）及垃圾间的环境卫生状况。</w:t>
      </w:r>
    </w:p>
    <w:p w14:paraId="6C315244" w14:textId="77777777" w:rsidR="00715ABB" w:rsidRPr="009252F8" w:rsidRDefault="00F44390" w:rsidP="009252F8">
      <w:pPr>
        <w:pStyle w:val="20"/>
      </w:pPr>
      <w:r w:rsidRPr="0081478A">
        <w:t>【评价方法】</w:t>
      </w:r>
    </w:p>
    <w:p w14:paraId="69A7DCD7" w14:textId="77777777"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t>预评价查阅相关设计文件、垃圾收集设施布置图；评价查阅相关竣工图、垃圾收集设施布置图，投入使用的项目尚应查阅相关管理制度，组织现场查勘。</w:t>
      </w:r>
    </w:p>
    <w:p w14:paraId="6C365C83" w14:textId="77777777" w:rsidR="00715ABB" w:rsidRPr="001E54E5" w:rsidRDefault="00715ABB">
      <w:pPr>
        <w:ind w:firstLineChars="0" w:firstLine="0"/>
        <w:rPr>
          <w:rFonts w:cs="Times New Roman"/>
          <w:b/>
          <w:szCs w:val="24"/>
        </w:rPr>
      </w:pPr>
    </w:p>
    <w:p w14:paraId="1D351146" w14:textId="77777777" w:rsidR="00991D52" w:rsidRPr="00530A11" w:rsidRDefault="00991D52" w:rsidP="00991D52">
      <w:pPr>
        <w:pStyle w:val="4"/>
        <w:rPr>
          <w:rFonts w:cs="Times New Roman"/>
          <w:bCs w:val="0"/>
        </w:rPr>
      </w:pPr>
      <w:r w:rsidRPr="00530A11">
        <w:rPr>
          <w:rFonts w:cs="Times New Roman"/>
          <w:bCs w:val="0"/>
        </w:rPr>
        <w:t xml:space="preserve">8.1.7 </w:t>
      </w:r>
      <w:r w:rsidRPr="00530A11">
        <w:rPr>
          <w:rFonts w:cs="Times New Roman" w:hint="eastAsia"/>
          <w:bCs w:val="0"/>
        </w:rPr>
        <w:t>幼儿园、中小学校全面禁止吸烟。</w:t>
      </w:r>
    </w:p>
    <w:p w14:paraId="0AEA920C" w14:textId="77777777" w:rsidR="00715ABB" w:rsidRPr="0081478A" w:rsidRDefault="00F44390" w:rsidP="009252F8">
      <w:pPr>
        <w:pStyle w:val="20"/>
      </w:pPr>
      <w:r w:rsidRPr="0081478A">
        <w:t>【条文说明】</w:t>
      </w:r>
    </w:p>
    <w:p w14:paraId="533634AD" w14:textId="77777777" w:rsidR="00991D52" w:rsidRPr="00530A11" w:rsidRDefault="00991D52" w:rsidP="00991D52">
      <w:pPr>
        <w:ind w:firstLine="420"/>
      </w:pPr>
      <w:r w:rsidRPr="00530A11">
        <w:rPr>
          <w:rFonts w:hint="eastAsia"/>
        </w:rPr>
        <w:t>本条为地标新增条文。</w:t>
      </w:r>
    </w:p>
    <w:p w14:paraId="618FA48A" w14:textId="77777777" w:rsidR="00991D52" w:rsidRPr="00530A11" w:rsidRDefault="00991D52" w:rsidP="00991D52">
      <w:pPr>
        <w:ind w:firstLine="420"/>
        <w:rPr>
          <w:rFonts w:cs="Times New Roman"/>
        </w:rPr>
      </w:pPr>
      <w:r w:rsidRPr="00530A11">
        <w:rPr>
          <w:rFonts w:cs="Times New Roman"/>
        </w:rPr>
        <w:t>教育部颁发的《无烟学校参考标准》适用于中等职业学校和中小学校、托幼机构及适用于中等职业学校和中小学校、</w:t>
      </w:r>
      <w:r w:rsidRPr="00530A11">
        <w:rPr>
          <w:rFonts w:cs="Times New Roman"/>
        </w:rPr>
        <w:t> </w:t>
      </w:r>
      <w:r w:rsidRPr="00530A11">
        <w:rPr>
          <w:rFonts w:cs="Times New Roman"/>
        </w:rPr>
        <w:t>专门的未成年人校外活动场所，标准指出：</w:t>
      </w:r>
    </w:p>
    <w:p w14:paraId="5EA83E36" w14:textId="77777777" w:rsidR="00991D52" w:rsidRPr="00530A11" w:rsidRDefault="00991D52" w:rsidP="00991D52">
      <w:pPr>
        <w:ind w:firstLine="420"/>
        <w:rPr>
          <w:rFonts w:cs="Times New Roman"/>
        </w:rPr>
      </w:pPr>
      <w:r w:rsidRPr="00530A11">
        <w:rPr>
          <w:rFonts w:cs="Times New Roman"/>
        </w:rPr>
        <w:t>第一，建立学校控烟制度</w:t>
      </w:r>
    </w:p>
    <w:p w14:paraId="77679606" w14:textId="77777777" w:rsidR="00991D52" w:rsidRPr="00530A11" w:rsidRDefault="00991D52" w:rsidP="00991D52">
      <w:pPr>
        <w:ind w:firstLine="420"/>
        <w:rPr>
          <w:rFonts w:cs="Times New Roman"/>
        </w:rPr>
      </w:pPr>
      <w:r w:rsidRPr="00530A11">
        <w:rPr>
          <w:rFonts w:cs="Times New Roman"/>
        </w:rPr>
        <w:t>（</w:t>
      </w:r>
      <w:r w:rsidRPr="00530A11">
        <w:rPr>
          <w:rFonts w:cs="Times New Roman"/>
        </w:rPr>
        <w:t>1</w:t>
      </w:r>
      <w:r w:rsidRPr="00530A11">
        <w:rPr>
          <w:rFonts w:cs="Times New Roman"/>
        </w:rPr>
        <w:t>）建立由学校领导牵头，相关职能部门共同参与的控烟领导小组，相关职能部门职责明确。</w:t>
      </w:r>
    </w:p>
    <w:p w14:paraId="5BF36069" w14:textId="77777777" w:rsidR="00991D52" w:rsidRPr="00530A11" w:rsidRDefault="00991D52" w:rsidP="00991D52">
      <w:pPr>
        <w:ind w:firstLine="420"/>
        <w:rPr>
          <w:rFonts w:cs="Times New Roman"/>
        </w:rPr>
      </w:pPr>
      <w:r w:rsidRPr="00530A11">
        <w:rPr>
          <w:rFonts w:cs="Times New Roman"/>
        </w:rPr>
        <w:t>（</w:t>
      </w:r>
      <w:r w:rsidRPr="00530A11">
        <w:rPr>
          <w:rFonts w:cs="Times New Roman"/>
        </w:rPr>
        <w:t>2</w:t>
      </w:r>
      <w:r w:rsidRPr="00530A11">
        <w:rPr>
          <w:rFonts w:cs="Times New Roman"/>
        </w:rPr>
        <w:t>）将控烟工作纳入学校年度工作计划，做到年初有计划，年终有总结。</w:t>
      </w:r>
    </w:p>
    <w:p w14:paraId="22C67C48" w14:textId="77777777" w:rsidR="00991D52" w:rsidRPr="00530A11" w:rsidRDefault="00991D52" w:rsidP="00991D52">
      <w:pPr>
        <w:ind w:firstLine="420"/>
        <w:rPr>
          <w:rFonts w:cs="Times New Roman"/>
        </w:rPr>
      </w:pPr>
      <w:r w:rsidRPr="00530A11">
        <w:rPr>
          <w:rFonts w:cs="Times New Roman"/>
        </w:rPr>
        <w:t>（</w:t>
      </w:r>
      <w:r w:rsidRPr="00530A11">
        <w:rPr>
          <w:rFonts w:cs="Times New Roman"/>
        </w:rPr>
        <w:t>3</w:t>
      </w:r>
      <w:r w:rsidRPr="00530A11">
        <w:rPr>
          <w:rFonts w:cs="Times New Roman"/>
        </w:rPr>
        <w:t>）制定校内控烟管理规章制度。制度中应包括下列核心内容</w:t>
      </w:r>
      <w:r w:rsidRPr="00530A11">
        <w:rPr>
          <w:rFonts w:cs="Times New Roman"/>
        </w:rPr>
        <w:t>:1</w:t>
      </w:r>
      <w:r w:rsidRPr="00530A11">
        <w:rPr>
          <w:rFonts w:cs="Times New Roman"/>
        </w:rPr>
        <w:t>）学生禁止吸烟</w:t>
      </w:r>
      <w:r w:rsidRPr="00530A11">
        <w:rPr>
          <w:rFonts w:cs="Times New Roman"/>
        </w:rPr>
        <w:t>;2</w:t>
      </w:r>
      <w:r w:rsidRPr="00530A11">
        <w:rPr>
          <w:rFonts w:cs="Times New Roman"/>
        </w:rPr>
        <w:t>）任何人</w:t>
      </w:r>
      <w:r w:rsidRPr="00530A11">
        <w:rPr>
          <w:rFonts w:cs="Times New Roman"/>
        </w:rPr>
        <w:t>(</w:t>
      </w:r>
      <w:r w:rsidRPr="00530A11">
        <w:rPr>
          <w:rFonts w:cs="Times New Roman"/>
        </w:rPr>
        <w:t>包括外来人员</w:t>
      </w:r>
      <w:r w:rsidRPr="00530A11">
        <w:rPr>
          <w:rFonts w:cs="Times New Roman"/>
        </w:rPr>
        <w:t>)</w:t>
      </w:r>
      <w:r w:rsidRPr="00530A11">
        <w:rPr>
          <w:rFonts w:cs="Times New Roman"/>
        </w:rPr>
        <w:t>都不得在校园内吸烟；</w:t>
      </w:r>
      <w:r w:rsidRPr="00530A11">
        <w:rPr>
          <w:rFonts w:cs="Times New Roman"/>
        </w:rPr>
        <w:t>3</w:t>
      </w:r>
      <w:r w:rsidRPr="00530A11">
        <w:rPr>
          <w:rFonts w:cs="Times New Roman"/>
        </w:rPr>
        <w:t>）设立兼职控烟宣传员、监督员等</w:t>
      </w:r>
      <w:r w:rsidRPr="00530A11">
        <w:rPr>
          <w:rFonts w:cs="Times New Roman"/>
        </w:rPr>
        <w:t>(</w:t>
      </w:r>
      <w:r w:rsidRPr="00530A11">
        <w:rPr>
          <w:rFonts w:cs="Times New Roman"/>
        </w:rPr>
        <w:t>门卫或保洁</w:t>
      </w:r>
      <w:r w:rsidRPr="00530A11">
        <w:rPr>
          <w:rFonts w:cs="Times New Roman"/>
        </w:rPr>
        <w:lastRenderedPageBreak/>
        <w:t>员配戴</w:t>
      </w:r>
      <w:r w:rsidRPr="00530A11">
        <w:rPr>
          <w:rFonts w:cs="Times New Roman"/>
        </w:rPr>
        <w:t>“</w:t>
      </w:r>
      <w:r w:rsidRPr="00530A11">
        <w:rPr>
          <w:rFonts w:cs="Times New Roman"/>
        </w:rPr>
        <w:t>控烟劝导员</w:t>
      </w:r>
      <w:r w:rsidRPr="00530A11">
        <w:rPr>
          <w:rFonts w:cs="Times New Roman"/>
        </w:rPr>
        <w:t>”</w:t>
      </w:r>
      <w:r w:rsidRPr="00530A11">
        <w:rPr>
          <w:rFonts w:cs="Times New Roman"/>
        </w:rPr>
        <w:t>袖标</w:t>
      </w:r>
      <w:r w:rsidRPr="00530A11">
        <w:rPr>
          <w:rFonts w:cs="Times New Roman"/>
        </w:rPr>
        <w:t>)</w:t>
      </w:r>
      <w:r w:rsidRPr="00530A11">
        <w:rPr>
          <w:rFonts w:cs="Times New Roman"/>
        </w:rPr>
        <w:t>，明确相关控烟人员的职责；</w:t>
      </w:r>
      <w:r w:rsidRPr="00530A11">
        <w:rPr>
          <w:rFonts w:cs="Times New Roman"/>
        </w:rPr>
        <w:t>4</w:t>
      </w:r>
      <w:r w:rsidRPr="00530A11">
        <w:rPr>
          <w:rFonts w:cs="Times New Roman"/>
        </w:rPr>
        <w:t>）将履行控烟职责的情况作为师生员工评优评先的参考指标之一。</w:t>
      </w:r>
    </w:p>
    <w:p w14:paraId="339A8B5B" w14:textId="77777777" w:rsidR="00991D52" w:rsidRPr="00530A11" w:rsidRDefault="00991D52" w:rsidP="00991D52">
      <w:pPr>
        <w:ind w:firstLine="420"/>
        <w:rPr>
          <w:rFonts w:cs="Times New Roman"/>
        </w:rPr>
      </w:pPr>
      <w:r w:rsidRPr="00530A11">
        <w:rPr>
          <w:rFonts w:cs="Times New Roman"/>
        </w:rPr>
        <w:t>第二，创建学校无烟环境</w:t>
      </w:r>
    </w:p>
    <w:p w14:paraId="4AE0FA8C" w14:textId="77777777" w:rsidR="00991D52" w:rsidRPr="00530A11" w:rsidRDefault="00991D52" w:rsidP="00991D52">
      <w:pPr>
        <w:ind w:firstLine="420"/>
        <w:rPr>
          <w:rFonts w:cs="Times New Roman"/>
        </w:rPr>
      </w:pPr>
      <w:r w:rsidRPr="00530A11">
        <w:rPr>
          <w:rFonts w:cs="Times New Roman"/>
        </w:rPr>
        <w:t>（</w:t>
      </w:r>
      <w:r w:rsidRPr="00530A11">
        <w:rPr>
          <w:rFonts w:cs="Times New Roman"/>
        </w:rPr>
        <w:t>1</w:t>
      </w:r>
      <w:r w:rsidRPr="00530A11">
        <w:rPr>
          <w:rFonts w:cs="Times New Roman"/>
        </w:rPr>
        <w:t>）校园内</w:t>
      </w:r>
      <w:r w:rsidRPr="00530A11">
        <w:rPr>
          <w:rFonts w:cs="Times New Roman"/>
        </w:rPr>
        <w:t>(</w:t>
      </w:r>
      <w:r w:rsidRPr="00530A11">
        <w:rPr>
          <w:rFonts w:cs="Times New Roman"/>
        </w:rPr>
        <w:t>包括建筑物内，操场等室外区域</w:t>
      </w:r>
      <w:r w:rsidRPr="00530A11">
        <w:rPr>
          <w:rFonts w:cs="Times New Roman"/>
        </w:rPr>
        <w:t>)</w:t>
      </w:r>
      <w:r w:rsidRPr="00530A11">
        <w:rPr>
          <w:rFonts w:cs="Times New Roman"/>
        </w:rPr>
        <w:t>无人吸烟，校园内无烟蒂、无吸烟者。</w:t>
      </w:r>
    </w:p>
    <w:p w14:paraId="33F8BA8E" w14:textId="77777777" w:rsidR="00991D52" w:rsidRPr="00530A11" w:rsidRDefault="00991D52" w:rsidP="00991D52">
      <w:pPr>
        <w:ind w:firstLine="420"/>
        <w:rPr>
          <w:rFonts w:cs="Times New Roman"/>
        </w:rPr>
      </w:pPr>
      <w:r w:rsidRPr="00530A11">
        <w:rPr>
          <w:rFonts w:cs="Times New Roman"/>
        </w:rPr>
        <w:t>（</w:t>
      </w:r>
      <w:r w:rsidRPr="00530A11">
        <w:rPr>
          <w:rFonts w:cs="Times New Roman"/>
        </w:rPr>
        <w:t>2</w:t>
      </w:r>
      <w:r w:rsidRPr="00530A11">
        <w:rPr>
          <w:rFonts w:cs="Times New Roman"/>
        </w:rPr>
        <w:t>）校园内重点区域，如大门、教案楼、实验室、行政楼、会议室、教师办公室、室内运动场、图书室、教职工科学生食堂、接待室、楼道走廊、电梯、卫生间</w:t>
      </w:r>
      <w:r w:rsidRPr="00530A11">
        <w:rPr>
          <w:rFonts w:cs="Times New Roman"/>
        </w:rPr>
        <w:t>(</w:t>
      </w:r>
      <w:r w:rsidRPr="00530A11">
        <w:rPr>
          <w:rFonts w:cs="Times New Roman"/>
        </w:rPr>
        <w:t>每一层</w:t>
      </w:r>
      <w:r w:rsidRPr="00530A11">
        <w:rPr>
          <w:rFonts w:cs="Times New Roman"/>
        </w:rPr>
        <w:t>)</w:t>
      </w:r>
      <w:r w:rsidRPr="00530A11">
        <w:rPr>
          <w:rFonts w:cs="Times New Roman"/>
        </w:rPr>
        <w:t>等有醒目的禁烟标识。</w:t>
      </w:r>
    </w:p>
    <w:p w14:paraId="6819B06D" w14:textId="77777777" w:rsidR="00991D52" w:rsidRPr="00530A11" w:rsidRDefault="00991D52" w:rsidP="00991D52">
      <w:pPr>
        <w:ind w:firstLine="420"/>
        <w:rPr>
          <w:rFonts w:cs="Times New Roman"/>
        </w:rPr>
      </w:pPr>
      <w:r w:rsidRPr="00530A11">
        <w:rPr>
          <w:rFonts w:cs="Times New Roman"/>
        </w:rPr>
        <w:t>（</w:t>
      </w:r>
      <w:r w:rsidRPr="00530A11">
        <w:rPr>
          <w:rFonts w:cs="Times New Roman"/>
        </w:rPr>
        <w:t>3</w:t>
      </w:r>
      <w:r w:rsidRPr="00530A11">
        <w:rPr>
          <w:rFonts w:cs="Times New Roman"/>
        </w:rPr>
        <w:t>）校园内不设置吸烟点，不摆放烟具。</w:t>
      </w:r>
      <w:r w:rsidRPr="00530A11">
        <w:rPr>
          <w:rFonts w:cs="Times New Roman"/>
        </w:rPr>
        <w:t xml:space="preserve"> </w:t>
      </w:r>
    </w:p>
    <w:p w14:paraId="3C923371" w14:textId="77777777" w:rsidR="00991D52" w:rsidRPr="00530A11" w:rsidRDefault="00991D52" w:rsidP="00991D52">
      <w:pPr>
        <w:ind w:firstLine="420"/>
        <w:rPr>
          <w:rFonts w:cs="Times New Roman"/>
        </w:rPr>
      </w:pPr>
      <w:r w:rsidRPr="00530A11">
        <w:rPr>
          <w:rFonts w:cs="Times New Roman"/>
        </w:rPr>
        <w:t>（</w:t>
      </w:r>
      <w:r w:rsidRPr="00530A11">
        <w:rPr>
          <w:rFonts w:cs="Times New Roman"/>
        </w:rPr>
        <w:t>4</w:t>
      </w:r>
      <w:r w:rsidRPr="00530A11">
        <w:rPr>
          <w:rFonts w:cs="Times New Roman"/>
        </w:rPr>
        <w:t>）校园内禁止烟草广告和变相烟草广告。</w:t>
      </w:r>
    </w:p>
    <w:p w14:paraId="4FCC5AD4" w14:textId="77777777" w:rsidR="00991D52" w:rsidRPr="00530A11" w:rsidRDefault="00991D52" w:rsidP="00991D52">
      <w:pPr>
        <w:ind w:firstLine="420"/>
        <w:rPr>
          <w:rFonts w:cs="Times New Roman"/>
        </w:rPr>
      </w:pPr>
      <w:r w:rsidRPr="00530A11">
        <w:rPr>
          <w:rFonts w:cs="Times New Roman"/>
        </w:rPr>
        <w:t>（</w:t>
      </w:r>
      <w:r w:rsidRPr="00530A11">
        <w:rPr>
          <w:rFonts w:cs="Times New Roman"/>
        </w:rPr>
        <w:t>5</w:t>
      </w:r>
      <w:r w:rsidRPr="00530A11">
        <w:rPr>
          <w:rFonts w:cs="Times New Roman"/>
        </w:rPr>
        <w:t>）校园内禁止出售烟草制品。</w:t>
      </w:r>
    </w:p>
    <w:p w14:paraId="6DC55C9E" w14:textId="77777777" w:rsidR="00991D52" w:rsidRPr="00530A11" w:rsidRDefault="00991D52" w:rsidP="00991D52">
      <w:pPr>
        <w:ind w:firstLine="420"/>
        <w:rPr>
          <w:rFonts w:cs="Times New Roman"/>
        </w:rPr>
      </w:pPr>
      <w:r w:rsidRPr="00530A11">
        <w:rPr>
          <w:rFonts w:cs="Times New Roman"/>
        </w:rPr>
        <w:t>第三，开展控烟宣传教育</w:t>
      </w:r>
    </w:p>
    <w:p w14:paraId="477EFEED" w14:textId="77777777" w:rsidR="00991D52" w:rsidRPr="00530A11" w:rsidRDefault="00991D52" w:rsidP="00991D52">
      <w:pPr>
        <w:ind w:firstLine="420"/>
        <w:rPr>
          <w:rFonts w:cs="Times New Roman"/>
        </w:rPr>
      </w:pPr>
      <w:r w:rsidRPr="00530A11">
        <w:rPr>
          <w:rFonts w:cs="Times New Roman"/>
        </w:rPr>
        <w:t>（</w:t>
      </w:r>
      <w:r w:rsidRPr="00530A11">
        <w:rPr>
          <w:rFonts w:cs="Times New Roman"/>
        </w:rPr>
        <w:t>1</w:t>
      </w:r>
      <w:r w:rsidRPr="00530A11">
        <w:rPr>
          <w:rFonts w:cs="Times New Roman"/>
        </w:rPr>
        <w:t>）利用健康教育课或其他课程向学生传授烟草危害、不尝试吸烟、劝阻他人吸烟、拒绝吸二手烟等控烟核心知识和技能。</w:t>
      </w:r>
    </w:p>
    <w:p w14:paraId="6E06A8BB" w14:textId="77777777" w:rsidR="00991D52" w:rsidRPr="00530A11" w:rsidRDefault="00991D52" w:rsidP="00991D52">
      <w:pPr>
        <w:ind w:firstLine="420"/>
        <w:rPr>
          <w:rFonts w:cs="Times New Roman"/>
        </w:rPr>
      </w:pPr>
      <w:r w:rsidRPr="00530A11">
        <w:rPr>
          <w:rFonts w:cs="Times New Roman"/>
        </w:rPr>
        <w:t>（</w:t>
      </w:r>
      <w:r w:rsidRPr="00530A11">
        <w:rPr>
          <w:rFonts w:cs="Times New Roman"/>
        </w:rPr>
        <w:t>2</w:t>
      </w:r>
      <w:r w:rsidRPr="00530A11">
        <w:rPr>
          <w:rFonts w:cs="Times New Roman"/>
        </w:rPr>
        <w:t>）充分运用主题班会、同伴教育、知识竞赛、板报、棚窗、广播等形式，向师生员工开展控烟宣传教育。</w:t>
      </w:r>
    </w:p>
    <w:p w14:paraId="1083F796" w14:textId="77777777" w:rsidR="00991D52" w:rsidRPr="00530A11" w:rsidRDefault="00991D52" w:rsidP="00991D52">
      <w:pPr>
        <w:ind w:firstLine="420"/>
        <w:rPr>
          <w:rFonts w:cs="Times New Roman"/>
        </w:rPr>
      </w:pPr>
      <w:r w:rsidRPr="00530A11">
        <w:rPr>
          <w:rFonts w:cs="Times New Roman"/>
        </w:rPr>
        <w:t>（</w:t>
      </w:r>
      <w:r w:rsidRPr="00530A11">
        <w:rPr>
          <w:rFonts w:cs="Times New Roman"/>
        </w:rPr>
        <w:t>3</w:t>
      </w:r>
      <w:r w:rsidRPr="00530A11">
        <w:rPr>
          <w:rFonts w:cs="Times New Roman"/>
        </w:rPr>
        <w:t>）利用</w:t>
      </w:r>
      <w:r w:rsidRPr="00530A11">
        <w:rPr>
          <w:rFonts w:cs="Times New Roman"/>
        </w:rPr>
        <w:t>5</w:t>
      </w:r>
      <w:r w:rsidRPr="00530A11">
        <w:rPr>
          <w:rFonts w:cs="Times New Roman"/>
        </w:rPr>
        <w:t>月</w:t>
      </w:r>
      <w:r w:rsidRPr="00530A11">
        <w:rPr>
          <w:rFonts w:cs="Times New Roman"/>
        </w:rPr>
        <w:t>31</w:t>
      </w:r>
      <w:r w:rsidRPr="00530A11">
        <w:rPr>
          <w:rFonts w:cs="Times New Roman"/>
        </w:rPr>
        <w:t>日世界无烟日开展控烟宣传活动。</w:t>
      </w:r>
    </w:p>
    <w:p w14:paraId="31BDED77" w14:textId="77777777" w:rsidR="00991D52" w:rsidRPr="00530A11" w:rsidRDefault="00991D52" w:rsidP="00991D52">
      <w:pPr>
        <w:ind w:firstLine="420"/>
        <w:rPr>
          <w:rFonts w:cs="Times New Roman"/>
        </w:rPr>
      </w:pPr>
      <w:r w:rsidRPr="00530A11">
        <w:rPr>
          <w:rFonts w:cs="Times New Roman"/>
        </w:rPr>
        <w:t>（</w:t>
      </w:r>
      <w:r w:rsidRPr="00530A11">
        <w:rPr>
          <w:rFonts w:cs="Times New Roman"/>
        </w:rPr>
        <w:t>4</w:t>
      </w:r>
      <w:r w:rsidRPr="00530A11">
        <w:rPr>
          <w:rFonts w:cs="Times New Roman"/>
        </w:rPr>
        <w:t>）学据师生员工吸烟动态，并对现烟者进行劝阻。</w:t>
      </w:r>
    </w:p>
    <w:p w14:paraId="5E4BBC01" w14:textId="77777777" w:rsidR="00991D52" w:rsidRPr="00530A11" w:rsidRDefault="00991D52" w:rsidP="00991D52">
      <w:pPr>
        <w:ind w:firstLine="420"/>
        <w:rPr>
          <w:rFonts w:cs="Times New Roman"/>
        </w:rPr>
      </w:pPr>
      <w:r w:rsidRPr="00530A11">
        <w:rPr>
          <w:rFonts w:cs="Times New Roman"/>
        </w:rPr>
        <w:t>第四，加强控烟监督检查</w:t>
      </w:r>
    </w:p>
    <w:p w14:paraId="1A786109" w14:textId="77777777" w:rsidR="00991D52" w:rsidRPr="00530A11" w:rsidRDefault="00991D52" w:rsidP="00991D52">
      <w:pPr>
        <w:ind w:firstLine="420"/>
        <w:rPr>
          <w:rFonts w:cs="Times New Roman"/>
        </w:rPr>
      </w:pPr>
      <w:r w:rsidRPr="00530A11">
        <w:rPr>
          <w:rFonts w:cs="Times New Roman"/>
        </w:rPr>
        <w:t>（</w:t>
      </w:r>
      <w:r w:rsidRPr="00530A11">
        <w:rPr>
          <w:rFonts w:cs="Times New Roman"/>
        </w:rPr>
        <w:t>1</w:t>
      </w:r>
      <w:r w:rsidRPr="00530A11">
        <w:rPr>
          <w:rFonts w:cs="Times New Roman"/>
        </w:rPr>
        <w:t>）有明确的部门和人员负责学校控烟工作的经常性监督检查。</w:t>
      </w:r>
    </w:p>
    <w:p w14:paraId="172F549D" w14:textId="77777777" w:rsidR="00991D52" w:rsidRPr="00530A11" w:rsidRDefault="00991D52" w:rsidP="00991D52">
      <w:pPr>
        <w:ind w:firstLine="420"/>
        <w:rPr>
          <w:rFonts w:cs="Times New Roman"/>
        </w:rPr>
      </w:pPr>
      <w:r w:rsidRPr="00530A11">
        <w:rPr>
          <w:rFonts w:cs="Times New Roman"/>
        </w:rPr>
        <w:t>（</w:t>
      </w:r>
      <w:r w:rsidRPr="00530A11">
        <w:rPr>
          <w:rFonts w:cs="Times New Roman"/>
        </w:rPr>
        <w:t>2</w:t>
      </w:r>
      <w:r w:rsidRPr="00530A11">
        <w:rPr>
          <w:rFonts w:cs="Times New Roman"/>
        </w:rPr>
        <w:t>）师生员工有责任对在校园内吸烟者进行劝阻。</w:t>
      </w:r>
    </w:p>
    <w:p w14:paraId="0DCDC34F" w14:textId="77777777" w:rsidR="00991D52" w:rsidRPr="00530A11" w:rsidRDefault="00991D52" w:rsidP="00991D52">
      <w:pPr>
        <w:ind w:firstLine="420"/>
        <w:rPr>
          <w:rFonts w:cs="Times New Roman"/>
        </w:rPr>
      </w:pPr>
      <w:r w:rsidRPr="00530A11">
        <w:rPr>
          <w:rFonts w:cs="Times New Roman"/>
        </w:rPr>
        <w:t>（</w:t>
      </w:r>
      <w:r w:rsidRPr="00530A11">
        <w:rPr>
          <w:rFonts w:cs="Times New Roman"/>
        </w:rPr>
        <w:t>3</w:t>
      </w:r>
      <w:r w:rsidRPr="00530A11">
        <w:rPr>
          <w:rFonts w:cs="Times New Roman"/>
        </w:rPr>
        <w:t>）定期组织对学校各部门、各班级控烟工作进行检查，每学期至少一次。</w:t>
      </w:r>
    </w:p>
    <w:p w14:paraId="5F270AAC" w14:textId="77777777" w:rsidR="009008FD" w:rsidRPr="009252F8" w:rsidRDefault="009008FD" w:rsidP="009252F8">
      <w:pPr>
        <w:pStyle w:val="20"/>
      </w:pPr>
      <w:r w:rsidRPr="0081478A">
        <w:t>【评价要点】</w:t>
      </w:r>
    </w:p>
    <w:p w14:paraId="5EFC3926" w14:textId="7F0521A9" w:rsidR="00C07966" w:rsidRDefault="00297BEE" w:rsidP="00297BEE">
      <w:pPr>
        <w:ind w:firstLine="420"/>
      </w:pPr>
      <w:r>
        <w:rPr>
          <w:rFonts w:hint="eastAsia"/>
        </w:rPr>
        <w:t>1</w:t>
      </w:r>
      <w:r>
        <w:t>.</w:t>
      </w:r>
      <w:r w:rsidR="00001D3D">
        <w:rPr>
          <w:rFonts w:hint="eastAsia"/>
        </w:rPr>
        <w:t>查阅</w:t>
      </w:r>
      <w:r w:rsidRPr="00297BEE">
        <w:rPr>
          <w:rFonts w:hint="eastAsia"/>
        </w:rPr>
        <w:t>学校相关管理</w:t>
      </w:r>
      <w:r w:rsidR="007D635A">
        <w:rPr>
          <w:rFonts w:hint="eastAsia"/>
        </w:rPr>
        <w:t>规章</w:t>
      </w:r>
      <w:r w:rsidRPr="00297BEE">
        <w:rPr>
          <w:rFonts w:hint="eastAsia"/>
        </w:rPr>
        <w:t>制度</w:t>
      </w:r>
      <w:r w:rsidR="00C07966">
        <w:rPr>
          <w:rFonts w:hint="eastAsia"/>
        </w:rPr>
        <w:t>、</w:t>
      </w:r>
      <w:r w:rsidR="007D635A">
        <w:rPr>
          <w:rFonts w:cs="Times New Roman" w:hint="eastAsia"/>
        </w:rPr>
        <w:t>控烟宣传活动、</w:t>
      </w:r>
      <w:r w:rsidR="007D635A" w:rsidRPr="007D635A">
        <w:rPr>
          <w:rFonts w:cs="Times New Roman" w:hint="eastAsia"/>
        </w:rPr>
        <w:t>禁烟标识布置图</w:t>
      </w:r>
      <w:r w:rsidR="00C07966">
        <w:rPr>
          <w:rFonts w:cs="Times New Roman" w:hint="eastAsia"/>
        </w:rPr>
        <w:t>等</w:t>
      </w:r>
      <w:r w:rsidR="00C07966">
        <w:rPr>
          <w:rFonts w:hint="eastAsia"/>
        </w:rPr>
        <w:t>。</w:t>
      </w:r>
    </w:p>
    <w:p w14:paraId="64AF13AE" w14:textId="24DE9835" w:rsidR="00C07966" w:rsidRDefault="00C07966" w:rsidP="00297BEE">
      <w:pPr>
        <w:ind w:firstLine="420"/>
      </w:pPr>
      <w:r>
        <w:rPr>
          <w:rFonts w:hint="eastAsia"/>
        </w:rPr>
        <w:t>2</w:t>
      </w:r>
      <w:r>
        <w:t>.</w:t>
      </w:r>
      <w:r w:rsidR="00001D3D">
        <w:rPr>
          <w:rFonts w:hint="eastAsia"/>
        </w:rPr>
        <w:t>现场检查是否</w:t>
      </w:r>
      <w:r w:rsidRPr="0081478A">
        <w:rPr>
          <w:rFonts w:cs="Times New Roman"/>
        </w:rPr>
        <w:t>设立兼职控烟宣传员、监督员等</w:t>
      </w:r>
      <w:r>
        <w:rPr>
          <w:rFonts w:cs="Times New Roman" w:hint="eastAsia"/>
        </w:rPr>
        <w:t>。</w:t>
      </w:r>
    </w:p>
    <w:p w14:paraId="4F8730E5" w14:textId="26C0E21B" w:rsidR="00297BEE" w:rsidRDefault="00C07966" w:rsidP="00297BEE">
      <w:pPr>
        <w:ind w:firstLine="420"/>
        <w:rPr>
          <w:rFonts w:cs="Times New Roman"/>
        </w:rPr>
      </w:pPr>
      <w:r>
        <w:t>3.</w:t>
      </w:r>
      <w:r>
        <w:rPr>
          <w:rFonts w:hint="eastAsia"/>
        </w:rPr>
        <w:t>现场查勘</w:t>
      </w:r>
      <w:r w:rsidR="00297BEE" w:rsidRPr="00297BEE">
        <w:t>校园内重点区域</w:t>
      </w:r>
      <w:r w:rsidR="00297BEE">
        <w:rPr>
          <w:rFonts w:hint="eastAsia"/>
        </w:rPr>
        <w:t>，包括</w:t>
      </w:r>
      <w:r w:rsidR="00297BEE" w:rsidRPr="0081478A">
        <w:rPr>
          <w:rFonts w:cs="Times New Roman"/>
        </w:rPr>
        <w:t>大门、教案楼、实验室、行政楼、会议室、教师办公室、室内运动场、图书室、教职工科学生食堂、接待室、楼道走廊、电梯、卫生间</w:t>
      </w:r>
      <w:r w:rsidR="00297BEE" w:rsidRPr="0081478A">
        <w:rPr>
          <w:rFonts w:cs="Times New Roman"/>
        </w:rPr>
        <w:t>(</w:t>
      </w:r>
      <w:r w:rsidR="00297BEE" w:rsidRPr="0081478A">
        <w:rPr>
          <w:rFonts w:cs="Times New Roman"/>
        </w:rPr>
        <w:t>每一层</w:t>
      </w:r>
      <w:r w:rsidR="00297BEE" w:rsidRPr="0081478A">
        <w:rPr>
          <w:rFonts w:cs="Times New Roman"/>
        </w:rPr>
        <w:t>)</w:t>
      </w:r>
      <w:r w:rsidR="00297BEE" w:rsidRPr="0081478A">
        <w:rPr>
          <w:rFonts w:cs="Times New Roman"/>
        </w:rPr>
        <w:t>等</w:t>
      </w:r>
      <w:r>
        <w:rPr>
          <w:rFonts w:cs="Times New Roman" w:hint="eastAsia"/>
        </w:rPr>
        <w:t>应</w:t>
      </w:r>
      <w:r w:rsidR="00297BEE" w:rsidRPr="0081478A">
        <w:rPr>
          <w:rFonts w:cs="Times New Roman"/>
        </w:rPr>
        <w:t>有醒目的禁烟标识。</w:t>
      </w:r>
    </w:p>
    <w:p w14:paraId="31FE5AEC" w14:textId="77777777" w:rsidR="00715ABB" w:rsidRPr="009252F8" w:rsidRDefault="00F44390" w:rsidP="009252F8">
      <w:pPr>
        <w:pStyle w:val="20"/>
      </w:pPr>
      <w:r w:rsidRPr="0081478A">
        <w:t>【评价方法】</w:t>
      </w:r>
    </w:p>
    <w:p w14:paraId="76C7A83C" w14:textId="77777777"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t>预评价查阅相关设计文件、禁烟标识布置图；评价查阅相关竣工图、禁烟标识布置图，投入使用的项目尚应查阅相关管理制度，组织现场查勘。</w:t>
      </w:r>
    </w:p>
    <w:p w14:paraId="4E967083" w14:textId="77777777" w:rsidR="00715ABB" w:rsidRPr="001E54E5" w:rsidRDefault="00715ABB">
      <w:pPr>
        <w:ind w:firstLineChars="0" w:firstLine="0"/>
        <w:rPr>
          <w:rFonts w:cs="Times New Roman"/>
          <w:b/>
          <w:szCs w:val="24"/>
        </w:rPr>
      </w:pPr>
    </w:p>
    <w:p w14:paraId="7C6726EE" w14:textId="77777777" w:rsidR="00715ABB" w:rsidRPr="0081478A" w:rsidRDefault="00F44390" w:rsidP="001A7E3B">
      <w:pPr>
        <w:pStyle w:val="2"/>
      </w:pPr>
      <w:bookmarkStart w:id="177" w:name="_Toc22221589"/>
      <w:bookmarkStart w:id="178" w:name="_Toc35364756"/>
      <w:r w:rsidRPr="0081478A">
        <w:t xml:space="preserve">8.2 </w:t>
      </w:r>
      <w:r w:rsidRPr="0081478A">
        <w:t>评分项</w:t>
      </w:r>
      <w:bookmarkEnd w:id="177"/>
      <w:bookmarkEnd w:id="178"/>
    </w:p>
    <w:p w14:paraId="1C4D7465" w14:textId="77777777" w:rsidR="00715ABB" w:rsidRPr="0081478A" w:rsidRDefault="00F44390" w:rsidP="001A7E3B">
      <w:pPr>
        <w:pStyle w:val="3"/>
      </w:pPr>
      <w:bookmarkStart w:id="179" w:name="_Toc22221590"/>
      <w:bookmarkStart w:id="180" w:name="_Toc35364757"/>
      <w:r w:rsidRPr="0081478A">
        <w:t xml:space="preserve">Ⅰ </w:t>
      </w:r>
      <w:r w:rsidRPr="0081478A">
        <w:t>场地生态与景观</w:t>
      </w:r>
      <w:bookmarkEnd w:id="179"/>
      <w:bookmarkEnd w:id="180"/>
    </w:p>
    <w:p w14:paraId="6D107233" w14:textId="77777777" w:rsidR="00991D52" w:rsidRPr="00530A11" w:rsidRDefault="00991D52" w:rsidP="00991D52">
      <w:pPr>
        <w:pStyle w:val="4"/>
        <w:rPr>
          <w:rFonts w:cs="Times New Roman"/>
          <w:bCs w:val="0"/>
        </w:rPr>
      </w:pPr>
      <w:r w:rsidRPr="00530A11">
        <w:rPr>
          <w:rFonts w:cs="Times New Roman"/>
          <w:bCs w:val="0"/>
        </w:rPr>
        <w:t xml:space="preserve">8.2.1 </w:t>
      </w:r>
      <w:r w:rsidRPr="00530A11">
        <w:rPr>
          <w:rFonts w:cs="Times New Roman"/>
          <w:bCs w:val="0"/>
        </w:rPr>
        <w:t>充分保护或修复场地生态环境，合理布局建筑及景观，评价总分值为</w:t>
      </w:r>
      <w:r w:rsidRPr="00530A11">
        <w:rPr>
          <w:rFonts w:cs="Times New Roman"/>
          <w:bCs w:val="0"/>
        </w:rPr>
        <w:t>10</w:t>
      </w:r>
      <w:r w:rsidRPr="00530A11">
        <w:rPr>
          <w:rFonts w:cs="Times New Roman"/>
          <w:bCs w:val="0"/>
        </w:rPr>
        <w:t>分，并按下列规则评分：</w:t>
      </w:r>
    </w:p>
    <w:p w14:paraId="2AFA0B49"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保护场地内原有的自然水域、湿地、植被等，保持场地内的生态系统与场地外生态系统的连贯性，得</w:t>
      </w:r>
      <w:r w:rsidRPr="00991D52">
        <w:rPr>
          <w:rFonts w:ascii="Times New Roman" w:hAnsi="Times New Roman" w:cs="Times New Roman"/>
          <w:bCs/>
          <w:color w:val="auto"/>
        </w:rPr>
        <w:t>10</w:t>
      </w:r>
      <w:r w:rsidRPr="00991D52">
        <w:rPr>
          <w:rFonts w:ascii="Times New Roman" w:hAnsi="Times New Roman" w:cs="Times New Roman"/>
          <w:bCs/>
          <w:color w:val="auto"/>
        </w:rPr>
        <w:t>分。</w:t>
      </w:r>
    </w:p>
    <w:p w14:paraId="558FB3A1"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bCs/>
          <w:color w:val="auto"/>
        </w:rPr>
        <w:t>采取净地表层土回收利用等生态补偿措施，得</w:t>
      </w:r>
      <w:r w:rsidRPr="00991D52">
        <w:rPr>
          <w:rFonts w:ascii="Times New Roman" w:hAnsi="Times New Roman" w:cs="Times New Roman"/>
          <w:bCs/>
          <w:color w:val="auto"/>
        </w:rPr>
        <w:t>10</w:t>
      </w:r>
      <w:r w:rsidRPr="00991D52">
        <w:rPr>
          <w:rFonts w:ascii="Times New Roman" w:hAnsi="Times New Roman" w:cs="Times New Roman"/>
          <w:bCs/>
          <w:color w:val="auto"/>
        </w:rPr>
        <w:t>分。</w:t>
      </w:r>
    </w:p>
    <w:p w14:paraId="04EB059A"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3 </w:t>
      </w:r>
      <w:r w:rsidRPr="00991D52">
        <w:rPr>
          <w:rFonts w:ascii="Times New Roman" w:hAnsi="Times New Roman" w:cs="Times New Roman"/>
          <w:bCs/>
          <w:color w:val="auto"/>
        </w:rPr>
        <w:t>根据场地实际状况，采取其他生态恢复或补偿措施，得</w:t>
      </w:r>
      <w:r w:rsidRPr="00991D52">
        <w:rPr>
          <w:rFonts w:ascii="Times New Roman" w:hAnsi="Times New Roman" w:cs="Times New Roman"/>
          <w:bCs/>
          <w:color w:val="auto"/>
        </w:rPr>
        <w:t>10</w:t>
      </w:r>
      <w:r w:rsidRPr="00991D52">
        <w:rPr>
          <w:rFonts w:ascii="Times New Roman" w:hAnsi="Times New Roman" w:cs="Times New Roman"/>
          <w:bCs/>
          <w:color w:val="auto"/>
        </w:rPr>
        <w:t>分。</w:t>
      </w:r>
    </w:p>
    <w:p w14:paraId="11BA4B76" w14:textId="77777777" w:rsidR="00715ABB" w:rsidRPr="0081478A" w:rsidRDefault="00F44390" w:rsidP="009252F8">
      <w:pPr>
        <w:pStyle w:val="20"/>
      </w:pPr>
      <w:r w:rsidRPr="0081478A">
        <w:t>【条文说明】</w:t>
      </w:r>
    </w:p>
    <w:p w14:paraId="64F28FDF" w14:textId="77777777" w:rsidR="00991D52" w:rsidRPr="00530A11" w:rsidRDefault="00991D52" w:rsidP="00991D52">
      <w:pPr>
        <w:ind w:firstLine="420"/>
        <w:rPr>
          <w:szCs w:val="24"/>
        </w:rPr>
      </w:pPr>
      <w:r w:rsidRPr="00530A11">
        <w:t>本条适用于各类民用建筑的预评价、评价。</w:t>
      </w:r>
    </w:p>
    <w:p w14:paraId="48864124"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4.2.12</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4.2.12</w:t>
      </w:r>
      <w:r w:rsidRPr="00530A11">
        <w:rPr>
          <w:rFonts w:cs="Times New Roman"/>
        </w:rPr>
        <w:t>条的基础上发展而来。</w:t>
      </w:r>
    </w:p>
    <w:p w14:paraId="617DE7D4" w14:textId="77777777" w:rsidR="00991D52" w:rsidRPr="00530A11" w:rsidRDefault="00991D52" w:rsidP="00991D52">
      <w:pPr>
        <w:ind w:firstLine="420"/>
        <w:rPr>
          <w:rFonts w:cs="Times New Roman"/>
        </w:rPr>
      </w:pPr>
      <w:r w:rsidRPr="00530A11">
        <w:rPr>
          <w:rFonts w:cs="Times New Roman"/>
        </w:rPr>
        <w:t>第</w:t>
      </w:r>
      <w:r w:rsidRPr="00530A11">
        <w:rPr>
          <w:rFonts w:cs="Times New Roman"/>
        </w:rPr>
        <w:t>1</w:t>
      </w:r>
      <w:r w:rsidRPr="00530A11">
        <w:rPr>
          <w:rFonts w:cs="Times New Roman"/>
        </w:rPr>
        <w:t>款，建设项目应对场地的地形和场地内可利用的资源进行勘察，充分利用原有地形地貌进行场地设计以及建筑、生态景观的布局，尽量减少土石方量，减少开发建设过程对场地及周边环境生态系统的改变，包括原有植被、水体、山体、地表行泄洪通道、滞蓄洪坑塘洼地等。在建设过程中确需改造场地内的地形、地貌、水体、植被等时，应在工程结束后及时采取生态复原措施，减少对原场地环境的改变和破坏。场地内外生态系统保持衔接，形成连贯的生态系统更有利于生态建设和保护。</w:t>
      </w:r>
    </w:p>
    <w:p w14:paraId="3633A37B" w14:textId="77777777" w:rsidR="00991D52" w:rsidRPr="00530A11" w:rsidRDefault="00991D52" w:rsidP="00991D52">
      <w:pPr>
        <w:ind w:firstLine="420"/>
        <w:rPr>
          <w:rFonts w:cs="Times New Roman"/>
        </w:rPr>
      </w:pPr>
      <w:r w:rsidRPr="00530A11">
        <w:rPr>
          <w:rFonts w:cs="Times New Roman"/>
        </w:rPr>
        <w:t>第</w:t>
      </w:r>
      <w:r w:rsidRPr="00530A11">
        <w:rPr>
          <w:rFonts w:cs="Times New Roman"/>
        </w:rPr>
        <w:t>2</w:t>
      </w:r>
      <w:r w:rsidRPr="00530A11">
        <w:rPr>
          <w:rFonts w:cs="Times New Roman"/>
        </w:rPr>
        <w:t>款，表层土含有丰富的有机质、矿物质和微量元素，适合植物和微生物的生长，有利于生态环境的恢复。对于场地内未受污染的净地表层土进行保护和回收利用是土壤资源保护、维持生物多样性的重要方法。</w:t>
      </w:r>
    </w:p>
    <w:p w14:paraId="76137BFF" w14:textId="77777777" w:rsidR="00991D52" w:rsidRPr="00530A11" w:rsidRDefault="00991D52" w:rsidP="00991D52">
      <w:pPr>
        <w:ind w:firstLine="420"/>
        <w:rPr>
          <w:rFonts w:cs="Times New Roman"/>
        </w:rPr>
      </w:pPr>
      <w:r w:rsidRPr="00530A11">
        <w:rPr>
          <w:rFonts w:cs="Times New Roman"/>
        </w:rPr>
        <w:t>第</w:t>
      </w:r>
      <w:r w:rsidRPr="00530A11">
        <w:rPr>
          <w:rFonts w:cs="Times New Roman"/>
        </w:rPr>
        <w:t>3</w:t>
      </w:r>
      <w:r w:rsidRPr="00530A11">
        <w:rPr>
          <w:rFonts w:cs="Times New Roman"/>
        </w:rPr>
        <w:t>款，基于场地资源与生态诊断的科学规划设计，在开发建设的同时采取符合场地实际的技术措施，并提供足够证据表明该技术措施可有效实现生态恢复或生态补偿，可参与评审。比如，在场地内规划设计多样化的生态体系，如湿地系统、乔灌草复合绿化体系、结合多层空间的立体绿化系统等，为本土动物提供生物通道和栖息场所。采用生态驳岸、生态浮岛等措施增加本地生物生存活动空间，充分利用水生动植物的水质自然净化功能保障水体水</w:t>
      </w:r>
      <w:r w:rsidRPr="00530A11">
        <w:rPr>
          <w:rFonts w:cs="Times New Roman"/>
        </w:rPr>
        <w:lastRenderedPageBreak/>
        <w:t>质。对于本条未列出的其他生态恢复或补偿措施，只要申请方能够提供足够相关证明文件即可认为满足得分要求。</w:t>
      </w:r>
    </w:p>
    <w:p w14:paraId="425C98D9" w14:textId="6D4A787D" w:rsidR="00C36303" w:rsidRPr="009252F8" w:rsidRDefault="00C36303" w:rsidP="009252F8">
      <w:pPr>
        <w:pStyle w:val="20"/>
      </w:pPr>
      <w:r w:rsidRPr="0081478A">
        <w:t>【评价要点】</w:t>
      </w:r>
    </w:p>
    <w:p w14:paraId="5CFD4719" w14:textId="01BE629E" w:rsidR="00F01066" w:rsidRPr="0081478A" w:rsidRDefault="00F01066" w:rsidP="00F01066">
      <w:pPr>
        <w:ind w:firstLine="420"/>
      </w:pPr>
      <w:r>
        <w:rPr>
          <w:rFonts w:hint="eastAsia"/>
        </w:rPr>
        <w:t>查阅</w:t>
      </w:r>
      <w:r w:rsidRPr="00F01066">
        <w:rPr>
          <w:rFonts w:hint="eastAsia"/>
        </w:rPr>
        <w:t>场地原地形图、相关设计文件</w:t>
      </w:r>
      <w:r>
        <w:rPr>
          <w:rFonts w:hint="eastAsia"/>
        </w:rPr>
        <w:t>、</w:t>
      </w:r>
      <w:r w:rsidRPr="00F01066">
        <w:rPr>
          <w:rFonts w:hint="eastAsia"/>
        </w:rPr>
        <w:t>竣工图</w:t>
      </w:r>
      <w:r>
        <w:rPr>
          <w:rFonts w:hint="eastAsia"/>
        </w:rPr>
        <w:t>等相关资料。</w:t>
      </w:r>
    </w:p>
    <w:p w14:paraId="17725FC9" w14:textId="77777777" w:rsidR="00715ABB" w:rsidRPr="009252F8" w:rsidRDefault="00F44390" w:rsidP="009252F8">
      <w:pPr>
        <w:pStyle w:val="20"/>
      </w:pPr>
      <w:r w:rsidRPr="0081478A">
        <w:t>【评价方法】</w:t>
      </w:r>
    </w:p>
    <w:p w14:paraId="6A490491" w14:textId="77777777"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t>预评价查阅场地原地形图、相关设计文件(带地形的规划设计图、总平面图、竖向设计图、景观设计总平面图)；评价查阅相关竣工图、生态补偿方案(植被保护方案及记录、水面保留方案、表层土利用相关图纸或说明文件等)、施工记录、影像材料。</w:t>
      </w:r>
    </w:p>
    <w:p w14:paraId="111F9FE9" w14:textId="77777777" w:rsidR="00715ABB" w:rsidRPr="001E54E5" w:rsidRDefault="00715ABB">
      <w:pPr>
        <w:topLinePunct/>
        <w:adjustRightInd w:val="0"/>
        <w:snapToGrid w:val="0"/>
        <w:spacing w:line="312" w:lineRule="atLeast"/>
        <w:ind w:firstLineChars="0" w:firstLine="0"/>
        <w:textAlignment w:val="center"/>
        <w:rPr>
          <w:rFonts w:cs="Times New Roman"/>
          <w:kern w:val="21"/>
          <w:szCs w:val="24"/>
        </w:rPr>
      </w:pPr>
    </w:p>
    <w:p w14:paraId="6009244F" w14:textId="77777777" w:rsidR="00991D52" w:rsidRPr="00530A11" w:rsidRDefault="00991D52" w:rsidP="00991D52">
      <w:pPr>
        <w:pStyle w:val="4"/>
        <w:rPr>
          <w:bCs w:val="0"/>
        </w:rPr>
      </w:pPr>
      <w:bookmarkStart w:id="181" w:name="_Hlk25680558"/>
      <w:r w:rsidRPr="00530A11">
        <w:rPr>
          <w:bCs w:val="0"/>
        </w:rPr>
        <w:t xml:space="preserve">8.2.2 </w:t>
      </w:r>
      <w:r w:rsidRPr="00530A11">
        <w:rPr>
          <w:rFonts w:hint="eastAsia"/>
          <w:bCs w:val="0"/>
        </w:rPr>
        <w:t>规划场地地表和屋面雨水径流，对场地雨水实施外排水质水量控制，评价总分值为</w:t>
      </w:r>
      <w:r w:rsidRPr="00530A11">
        <w:rPr>
          <w:bCs w:val="0"/>
        </w:rPr>
        <w:t>10</w:t>
      </w:r>
      <w:r w:rsidRPr="00530A11">
        <w:rPr>
          <w:rFonts w:hint="eastAsia"/>
          <w:bCs w:val="0"/>
        </w:rPr>
        <w:t>分。场地年径流总量控制率不低于</w:t>
      </w:r>
      <w:r w:rsidRPr="00530A11">
        <w:rPr>
          <w:bCs w:val="0"/>
        </w:rPr>
        <w:t>70</w:t>
      </w:r>
      <w:r w:rsidRPr="00530A11">
        <w:rPr>
          <w:rFonts w:hint="eastAsia"/>
          <w:bCs w:val="0"/>
        </w:rPr>
        <w:t>％，场地年径流污染去除率不低于</w:t>
      </w:r>
      <w:r w:rsidRPr="00530A11">
        <w:rPr>
          <w:bCs w:val="0"/>
        </w:rPr>
        <w:t>50</w:t>
      </w:r>
      <w:r w:rsidRPr="00530A11">
        <w:rPr>
          <w:rFonts w:hint="eastAsia"/>
          <w:bCs w:val="0"/>
        </w:rPr>
        <w:t>％，得</w:t>
      </w:r>
      <w:r w:rsidRPr="00530A11">
        <w:rPr>
          <w:bCs w:val="0"/>
        </w:rPr>
        <w:t>5</w:t>
      </w:r>
      <w:r w:rsidRPr="00530A11">
        <w:rPr>
          <w:rFonts w:hint="eastAsia"/>
          <w:bCs w:val="0"/>
        </w:rPr>
        <w:t>分；场地年径流总量控制率不低于</w:t>
      </w:r>
      <w:r w:rsidRPr="00530A11">
        <w:rPr>
          <w:bCs w:val="0"/>
        </w:rPr>
        <w:t>80</w:t>
      </w:r>
      <w:r w:rsidRPr="00530A11">
        <w:rPr>
          <w:rFonts w:hint="eastAsia"/>
          <w:bCs w:val="0"/>
        </w:rPr>
        <w:t>％，场地年径流污染去除率不低于</w:t>
      </w:r>
      <w:r w:rsidRPr="00530A11">
        <w:rPr>
          <w:bCs w:val="0"/>
        </w:rPr>
        <w:t>55</w:t>
      </w:r>
      <w:r w:rsidRPr="00530A11">
        <w:rPr>
          <w:rFonts w:hint="eastAsia"/>
          <w:bCs w:val="0"/>
        </w:rPr>
        <w:t>％，得</w:t>
      </w:r>
      <w:r w:rsidRPr="00530A11">
        <w:rPr>
          <w:bCs w:val="0"/>
        </w:rPr>
        <w:t>10</w:t>
      </w:r>
      <w:r w:rsidRPr="00530A11">
        <w:rPr>
          <w:rFonts w:hint="eastAsia"/>
          <w:bCs w:val="0"/>
        </w:rPr>
        <w:t>分。</w:t>
      </w:r>
    </w:p>
    <w:bookmarkEnd w:id="181"/>
    <w:p w14:paraId="7BBD4941" w14:textId="77777777" w:rsidR="00715ABB" w:rsidRPr="009252F8" w:rsidRDefault="00F44390" w:rsidP="009252F8">
      <w:pPr>
        <w:pStyle w:val="20"/>
      </w:pPr>
      <w:r w:rsidRPr="0081478A">
        <w:t>【条文说明】</w:t>
      </w:r>
    </w:p>
    <w:p w14:paraId="0F788C9C" w14:textId="77777777" w:rsidR="00991D52" w:rsidRPr="00530A11" w:rsidRDefault="00991D52" w:rsidP="00991D52">
      <w:pPr>
        <w:ind w:firstLine="420"/>
        <w:rPr>
          <w:szCs w:val="24"/>
        </w:rPr>
      </w:pPr>
      <w:r w:rsidRPr="00530A11">
        <w:t>本条适用于各类民用建筑的预评价、评价。</w:t>
      </w:r>
    </w:p>
    <w:p w14:paraId="1EB6FCF6"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，并进行了局部补充。本条在国家标准</w:t>
      </w:r>
      <w:r w:rsidRPr="00530A11">
        <w:rPr>
          <w:rFonts w:cs="Times New Roman"/>
        </w:rPr>
        <w:t>2014</w:t>
      </w:r>
      <w:r w:rsidRPr="00530A11">
        <w:rPr>
          <w:rFonts w:cs="Times New Roman"/>
        </w:rPr>
        <w:t>年版第</w:t>
      </w:r>
      <w:r w:rsidRPr="00530A11">
        <w:rPr>
          <w:rFonts w:cs="Times New Roman"/>
        </w:rPr>
        <w:t>4.2.14</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4.2.14</w:t>
      </w:r>
      <w:r w:rsidRPr="00530A11">
        <w:rPr>
          <w:rFonts w:cs="Times New Roman"/>
        </w:rPr>
        <w:t>条的基础上发展而来。</w:t>
      </w:r>
    </w:p>
    <w:p w14:paraId="6D133D5C" w14:textId="77777777" w:rsidR="00991D52" w:rsidRPr="00530A11" w:rsidRDefault="00991D52" w:rsidP="00991D52">
      <w:pPr>
        <w:ind w:firstLine="420"/>
        <w:rPr>
          <w:rFonts w:cs="Times New Roman"/>
        </w:rPr>
      </w:pPr>
      <w:r w:rsidRPr="00530A11">
        <w:rPr>
          <w:rFonts w:cs="Times New Roman"/>
        </w:rPr>
        <w:t>年径流总量控制率定义为：通过自然和人工强化的入渗、滞蓄、调蓄和收集回用，场地内累计一年得到控制的雨水量占全年总降雨量的比例。</w:t>
      </w:r>
    </w:p>
    <w:p w14:paraId="1625E404" w14:textId="77777777" w:rsidR="00991D52" w:rsidRPr="00530A11" w:rsidRDefault="00991D52" w:rsidP="00991D52">
      <w:pPr>
        <w:ind w:firstLine="420"/>
        <w:rPr>
          <w:rFonts w:cs="Times New Roman"/>
        </w:rPr>
      </w:pPr>
      <w:r w:rsidRPr="00530A11">
        <w:rPr>
          <w:rFonts w:cs="Times New Roman"/>
        </w:rPr>
        <w:t>年径流污染去除率定义为：区域内的年径流总量控制与海绵城市建设设施对污染物（以</w:t>
      </w:r>
      <w:r w:rsidRPr="00530A11">
        <w:rPr>
          <w:rFonts w:cs="Times New Roman"/>
        </w:rPr>
        <w:t>SS</w:t>
      </w:r>
      <w:r w:rsidRPr="00530A11">
        <w:rPr>
          <w:rFonts w:cs="Times New Roman"/>
        </w:rPr>
        <w:t>计）的平均去除率的乘积。</w:t>
      </w:r>
    </w:p>
    <w:p w14:paraId="46A92F04" w14:textId="77777777" w:rsidR="00991D52" w:rsidRPr="00530A11" w:rsidRDefault="00991D52" w:rsidP="00991D52">
      <w:pPr>
        <w:ind w:firstLine="420"/>
        <w:rPr>
          <w:rFonts w:cs="Times New Roman"/>
        </w:rPr>
      </w:pPr>
      <w:r w:rsidRPr="00530A11">
        <w:rPr>
          <w:rFonts w:cs="Times New Roman"/>
        </w:rPr>
        <w:t>外排总量控制包括径流减排、污染控制、雨水调节和收集回用等，应依据场地的实际情况，通过合理的技术经济比较，来确定最优方案。</w:t>
      </w:r>
    </w:p>
    <w:p w14:paraId="637D83D1" w14:textId="77777777" w:rsidR="00991D52" w:rsidRPr="00530A11" w:rsidRDefault="00991D52" w:rsidP="00991D52">
      <w:pPr>
        <w:ind w:firstLine="420"/>
        <w:rPr>
          <w:rFonts w:cs="Times New Roman"/>
        </w:rPr>
      </w:pPr>
      <w:r w:rsidRPr="00530A11">
        <w:rPr>
          <w:rFonts w:cs="Times New Roman"/>
        </w:rPr>
        <w:t>从区域角度看，雨水的过量收集会导致原有水体的萎缩或影响水系统的良性循环。要使硬化地面恢复到自然地貌的环境水平，最佳的雨水控制量应以雨水排放量接近自然地貌为标准，因此从经济性和维持区域性水环境的良性循环角度出发，径流的控制率也不宜过大而应有合适的量</w:t>
      </w:r>
      <w:r w:rsidRPr="00530A11">
        <w:rPr>
          <w:rFonts w:cs="Times New Roman"/>
        </w:rPr>
        <w:t>(</w:t>
      </w:r>
      <w:r w:rsidRPr="00530A11">
        <w:rPr>
          <w:rFonts w:cs="Times New Roman"/>
        </w:rPr>
        <w:t>除非具体项目有特殊的防洪排涝设计要求</w:t>
      </w:r>
      <w:r w:rsidRPr="00530A11">
        <w:rPr>
          <w:rFonts w:cs="Times New Roman"/>
        </w:rPr>
        <w:t>)</w:t>
      </w:r>
      <w:r w:rsidRPr="00530A11">
        <w:rPr>
          <w:rFonts w:cs="Times New Roman"/>
        </w:rPr>
        <w:t>。出于维持场地生态、基流的需要，年径流总量控制率不宜超过</w:t>
      </w:r>
      <w:r w:rsidRPr="00530A11">
        <w:rPr>
          <w:rFonts w:cs="Times New Roman"/>
        </w:rPr>
        <w:t>85</w:t>
      </w:r>
      <w:r w:rsidRPr="00530A11">
        <w:rPr>
          <w:rFonts w:cs="Times New Roman"/>
        </w:rPr>
        <w:t>％。</w:t>
      </w:r>
    </w:p>
    <w:p w14:paraId="6136E12F" w14:textId="77777777" w:rsidR="00991D52" w:rsidRPr="00530A11" w:rsidRDefault="00991D52" w:rsidP="00991D52">
      <w:pPr>
        <w:ind w:firstLine="420"/>
        <w:rPr>
          <w:rFonts w:cs="Times New Roman"/>
        </w:rPr>
      </w:pPr>
      <w:r w:rsidRPr="00530A11">
        <w:rPr>
          <w:rFonts w:cs="Times New Roman"/>
        </w:rPr>
        <w:t>年径流总量控制率为</w:t>
      </w:r>
      <w:r w:rsidRPr="00530A11">
        <w:rPr>
          <w:rFonts w:cs="Times New Roman"/>
        </w:rPr>
        <w:t>55</w:t>
      </w:r>
      <w:r w:rsidRPr="00530A11">
        <w:rPr>
          <w:rFonts w:cs="Times New Roman"/>
        </w:rPr>
        <w:t>％、</w:t>
      </w:r>
      <w:r w:rsidRPr="00530A11">
        <w:rPr>
          <w:rFonts w:cs="Times New Roman"/>
        </w:rPr>
        <w:t>70</w:t>
      </w:r>
      <w:r w:rsidRPr="00530A11">
        <w:rPr>
          <w:rFonts w:cs="Times New Roman"/>
        </w:rPr>
        <w:t>％或</w:t>
      </w:r>
      <w:r w:rsidRPr="00530A11">
        <w:rPr>
          <w:rFonts w:cs="Times New Roman"/>
        </w:rPr>
        <w:t>85</w:t>
      </w:r>
      <w:r w:rsidRPr="00530A11">
        <w:rPr>
          <w:rFonts w:cs="Times New Roman"/>
        </w:rPr>
        <w:t>％时对应的降雨量</w:t>
      </w:r>
      <w:r w:rsidRPr="00530A11">
        <w:rPr>
          <w:rFonts w:cs="Times New Roman"/>
        </w:rPr>
        <w:t>(</w:t>
      </w:r>
      <w:r w:rsidRPr="00530A11">
        <w:rPr>
          <w:rFonts w:cs="Times New Roman"/>
        </w:rPr>
        <w:t>日值</w:t>
      </w:r>
      <w:r w:rsidRPr="00530A11">
        <w:rPr>
          <w:rFonts w:cs="Times New Roman"/>
        </w:rPr>
        <w:t>)</w:t>
      </w:r>
      <w:r w:rsidRPr="00530A11">
        <w:rPr>
          <w:rFonts w:cs="Times New Roman"/>
        </w:rPr>
        <w:t>为设计控制雨量，参见表</w:t>
      </w:r>
      <w:r w:rsidRPr="00530A11">
        <w:rPr>
          <w:rFonts w:cs="Times New Roman"/>
        </w:rPr>
        <w:t>4</w:t>
      </w:r>
      <w:r w:rsidRPr="00530A11">
        <w:rPr>
          <w:rFonts w:cs="Times New Roman"/>
        </w:rPr>
        <w:t>。设计控制雨量的确定要通过统计学方法获得。统计年限不同时，不同控制率下对应的设计雨量会有差异。考虑气候变化的趋势和周期性，推荐采用最近</w:t>
      </w:r>
      <w:r w:rsidRPr="00530A11">
        <w:rPr>
          <w:rFonts w:cs="Times New Roman"/>
        </w:rPr>
        <w:t>30</w:t>
      </w:r>
      <w:r w:rsidRPr="00530A11">
        <w:rPr>
          <w:rFonts w:cs="Times New Roman"/>
        </w:rPr>
        <w:t>年的统计数据，特殊</w:t>
      </w:r>
      <w:r w:rsidRPr="00530A11">
        <w:rPr>
          <w:rFonts w:cs="Times New Roman"/>
        </w:rPr>
        <w:lastRenderedPageBreak/>
        <w:t>情况除外。</w:t>
      </w:r>
    </w:p>
    <w:p w14:paraId="1169B65F" w14:textId="77777777" w:rsidR="00991D52" w:rsidRPr="00530A11" w:rsidRDefault="00991D52" w:rsidP="00991D52">
      <w:pPr>
        <w:pStyle w:val="ae"/>
        <w:rPr>
          <w:rFonts w:cs="Times New Roman"/>
          <w:b w:val="0"/>
        </w:rPr>
      </w:pPr>
      <w:r w:rsidRPr="00530A11">
        <w:rPr>
          <w:rFonts w:cs="Times New Roman"/>
          <w:b w:val="0"/>
        </w:rPr>
        <w:t>表</w:t>
      </w:r>
      <w:r w:rsidRPr="00530A11">
        <w:rPr>
          <w:rFonts w:cs="Times New Roman"/>
          <w:b w:val="0"/>
        </w:rPr>
        <w:t xml:space="preserve">4 </w:t>
      </w:r>
      <w:r w:rsidRPr="00530A11">
        <w:rPr>
          <w:rFonts w:cs="Times New Roman"/>
          <w:b w:val="0"/>
        </w:rPr>
        <w:t>年径流总量控制率对应的设计控制雨量</w:t>
      </w:r>
    </w:p>
    <w:tbl>
      <w:tblPr>
        <w:tblStyle w:val="110"/>
        <w:tblW w:w="8302" w:type="dxa"/>
        <w:tblLayout w:type="fixed"/>
        <w:tblLook w:val="04A0" w:firstRow="1" w:lastRow="0" w:firstColumn="1" w:lastColumn="0" w:noHBand="0" w:noVBand="1"/>
      </w:tblPr>
      <w:tblGrid>
        <w:gridCol w:w="1652"/>
        <w:gridCol w:w="1669"/>
        <w:gridCol w:w="1657"/>
        <w:gridCol w:w="1662"/>
        <w:gridCol w:w="1662"/>
      </w:tblGrid>
      <w:tr w:rsidR="00991D52" w:rsidRPr="00530A11" w14:paraId="0B7C508D" w14:textId="77777777" w:rsidTr="009252F8">
        <w:tc>
          <w:tcPr>
            <w:tcW w:w="1652" w:type="dxa"/>
            <w:vMerge w:val="restart"/>
          </w:tcPr>
          <w:p w14:paraId="1F861C60" w14:textId="77777777" w:rsidR="00991D52" w:rsidRPr="00530A11" w:rsidRDefault="00991D52" w:rsidP="00EC70DB">
            <w:pPr>
              <w:pStyle w:val="ae"/>
              <w:rPr>
                <w:rFonts w:cs="Times New Roman"/>
                <w:b w:val="0"/>
              </w:rPr>
            </w:pPr>
            <w:r w:rsidRPr="00530A11">
              <w:rPr>
                <w:rFonts w:cs="Times New Roman"/>
                <w:b w:val="0"/>
              </w:rPr>
              <w:t>城市</w:t>
            </w:r>
          </w:p>
        </w:tc>
        <w:tc>
          <w:tcPr>
            <w:tcW w:w="1669" w:type="dxa"/>
            <w:vMerge w:val="restart"/>
          </w:tcPr>
          <w:p w14:paraId="76FB5BC0" w14:textId="77777777" w:rsidR="00991D52" w:rsidRPr="00530A11" w:rsidRDefault="00991D52" w:rsidP="00EC70DB">
            <w:pPr>
              <w:pStyle w:val="ae"/>
              <w:rPr>
                <w:rFonts w:cs="Times New Roman"/>
                <w:b w:val="0"/>
              </w:rPr>
            </w:pPr>
            <w:r w:rsidRPr="00530A11">
              <w:rPr>
                <w:rFonts w:cs="Times New Roman"/>
                <w:b w:val="0"/>
              </w:rPr>
              <w:t>年均降雨量（</w:t>
            </w:r>
            <w:r w:rsidRPr="00530A11">
              <w:rPr>
                <w:rFonts w:cs="Times New Roman"/>
                <w:b w:val="0"/>
              </w:rPr>
              <w:t>mm</w:t>
            </w:r>
            <w:r w:rsidRPr="00530A11">
              <w:rPr>
                <w:rFonts w:cs="Times New Roman"/>
                <w:b w:val="0"/>
              </w:rPr>
              <w:t>）</w:t>
            </w:r>
          </w:p>
        </w:tc>
        <w:tc>
          <w:tcPr>
            <w:tcW w:w="4981" w:type="dxa"/>
            <w:gridSpan w:val="3"/>
          </w:tcPr>
          <w:p w14:paraId="23FBBC87" w14:textId="77777777" w:rsidR="00991D52" w:rsidRPr="00530A11" w:rsidRDefault="00991D52" w:rsidP="00EC70DB">
            <w:pPr>
              <w:pStyle w:val="ae"/>
              <w:rPr>
                <w:rFonts w:cs="Times New Roman"/>
                <w:b w:val="0"/>
              </w:rPr>
            </w:pPr>
            <w:r w:rsidRPr="00530A11">
              <w:rPr>
                <w:rFonts w:cs="Times New Roman"/>
                <w:b w:val="0"/>
              </w:rPr>
              <w:t>年径流总量控制率对应的设计控制雨量</w:t>
            </w:r>
          </w:p>
        </w:tc>
      </w:tr>
      <w:tr w:rsidR="00991D52" w:rsidRPr="00530A11" w14:paraId="53FB506D" w14:textId="77777777" w:rsidTr="009252F8">
        <w:tc>
          <w:tcPr>
            <w:tcW w:w="1652" w:type="dxa"/>
            <w:vMerge/>
          </w:tcPr>
          <w:p w14:paraId="3B2AEBF8" w14:textId="77777777" w:rsidR="00991D52" w:rsidRPr="00530A11" w:rsidRDefault="00991D52" w:rsidP="00EC70DB">
            <w:pPr>
              <w:pStyle w:val="ae"/>
              <w:rPr>
                <w:rFonts w:cs="Times New Roman"/>
                <w:b w:val="0"/>
              </w:rPr>
            </w:pPr>
          </w:p>
        </w:tc>
        <w:tc>
          <w:tcPr>
            <w:tcW w:w="1669" w:type="dxa"/>
            <w:vMerge/>
          </w:tcPr>
          <w:p w14:paraId="78AB4C27" w14:textId="77777777" w:rsidR="00991D52" w:rsidRPr="00530A11" w:rsidRDefault="00991D52" w:rsidP="00EC70DB">
            <w:pPr>
              <w:pStyle w:val="ae"/>
              <w:rPr>
                <w:rFonts w:cs="Times New Roman"/>
                <w:b w:val="0"/>
              </w:rPr>
            </w:pPr>
          </w:p>
        </w:tc>
        <w:tc>
          <w:tcPr>
            <w:tcW w:w="1657" w:type="dxa"/>
          </w:tcPr>
          <w:p w14:paraId="5E9563CF" w14:textId="77777777" w:rsidR="00991D52" w:rsidRPr="00530A11" w:rsidRDefault="00991D52" w:rsidP="00EC70DB">
            <w:pPr>
              <w:pStyle w:val="ae"/>
              <w:rPr>
                <w:rFonts w:cs="Times New Roman"/>
                <w:b w:val="0"/>
              </w:rPr>
            </w:pPr>
            <w:r w:rsidRPr="00530A11">
              <w:rPr>
                <w:rFonts w:cs="Times New Roman"/>
                <w:b w:val="0"/>
              </w:rPr>
              <w:t>55%</w:t>
            </w:r>
          </w:p>
        </w:tc>
        <w:tc>
          <w:tcPr>
            <w:tcW w:w="1662" w:type="dxa"/>
          </w:tcPr>
          <w:p w14:paraId="2422EEEB" w14:textId="77777777" w:rsidR="00991D52" w:rsidRPr="00530A11" w:rsidRDefault="00991D52" w:rsidP="00EC70DB">
            <w:pPr>
              <w:pStyle w:val="ae"/>
              <w:rPr>
                <w:rFonts w:cs="Times New Roman"/>
                <w:b w:val="0"/>
              </w:rPr>
            </w:pPr>
            <w:r w:rsidRPr="00530A11">
              <w:rPr>
                <w:rFonts w:cs="Times New Roman"/>
                <w:b w:val="0"/>
              </w:rPr>
              <w:t>70%</w:t>
            </w:r>
          </w:p>
        </w:tc>
        <w:tc>
          <w:tcPr>
            <w:tcW w:w="1662" w:type="dxa"/>
          </w:tcPr>
          <w:p w14:paraId="6B34645E" w14:textId="77777777" w:rsidR="00991D52" w:rsidRPr="00530A11" w:rsidRDefault="00991D52" w:rsidP="00EC70DB">
            <w:pPr>
              <w:pStyle w:val="ae"/>
              <w:rPr>
                <w:rFonts w:cs="Times New Roman"/>
                <w:b w:val="0"/>
              </w:rPr>
            </w:pPr>
            <w:r w:rsidRPr="00530A11">
              <w:rPr>
                <w:rFonts w:cs="Times New Roman"/>
                <w:b w:val="0"/>
              </w:rPr>
              <w:t>80%</w:t>
            </w:r>
          </w:p>
        </w:tc>
      </w:tr>
      <w:tr w:rsidR="00991D52" w:rsidRPr="00530A11" w14:paraId="7B2C8263" w14:textId="77777777" w:rsidTr="009252F8">
        <w:tc>
          <w:tcPr>
            <w:tcW w:w="1652" w:type="dxa"/>
          </w:tcPr>
          <w:p w14:paraId="6B493D30" w14:textId="77777777" w:rsidR="00991D52" w:rsidRPr="00530A11" w:rsidRDefault="00991D52" w:rsidP="00EC70DB">
            <w:pPr>
              <w:pStyle w:val="ae"/>
              <w:rPr>
                <w:rFonts w:cs="Times New Roman"/>
                <w:b w:val="0"/>
              </w:rPr>
            </w:pPr>
            <w:r w:rsidRPr="00530A11">
              <w:rPr>
                <w:rFonts w:cs="Times New Roman"/>
                <w:b w:val="0"/>
              </w:rPr>
              <w:t>重庆</w:t>
            </w:r>
          </w:p>
        </w:tc>
        <w:tc>
          <w:tcPr>
            <w:tcW w:w="1669" w:type="dxa"/>
          </w:tcPr>
          <w:p w14:paraId="73BD413C" w14:textId="77777777" w:rsidR="00991D52" w:rsidRPr="00530A11" w:rsidRDefault="00991D52" w:rsidP="00EC70DB">
            <w:pPr>
              <w:pStyle w:val="ae"/>
              <w:rPr>
                <w:rFonts w:cs="Times New Roman"/>
                <w:b w:val="0"/>
              </w:rPr>
            </w:pPr>
            <w:r w:rsidRPr="00530A11">
              <w:rPr>
                <w:rFonts w:cs="Times New Roman"/>
                <w:b w:val="0"/>
              </w:rPr>
              <w:t>1101</w:t>
            </w:r>
          </w:p>
        </w:tc>
        <w:tc>
          <w:tcPr>
            <w:tcW w:w="1657" w:type="dxa"/>
          </w:tcPr>
          <w:p w14:paraId="3E7CA318" w14:textId="77777777" w:rsidR="00991D52" w:rsidRPr="00530A11" w:rsidRDefault="00991D52" w:rsidP="00EC70DB">
            <w:pPr>
              <w:pStyle w:val="ae"/>
              <w:rPr>
                <w:rFonts w:cs="Times New Roman"/>
                <w:b w:val="0"/>
              </w:rPr>
            </w:pPr>
            <w:r w:rsidRPr="00530A11">
              <w:rPr>
                <w:rFonts w:cs="Times New Roman"/>
                <w:b w:val="0"/>
              </w:rPr>
              <w:t>9.6</w:t>
            </w:r>
          </w:p>
        </w:tc>
        <w:tc>
          <w:tcPr>
            <w:tcW w:w="1662" w:type="dxa"/>
          </w:tcPr>
          <w:p w14:paraId="4E8992C7" w14:textId="77777777" w:rsidR="00991D52" w:rsidRPr="00530A11" w:rsidRDefault="00991D52" w:rsidP="00EC70DB">
            <w:pPr>
              <w:pStyle w:val="ae"/>
              <w:rPr>
                <w:rFonts w:cs="Times New Roman"/>
                <w:b w:val="0"/>
              </w:rPr>
            </w:pPr>
            <w:r w:rsidRPr="00530A11">
              <w:rPr>
                <w:rFonts w:cs="Times New Roman"/>
                <w:b w:val="0"/>
              </w:rPr>
              <w:t>16.7</w:t>
            </w:r>
          </w:p>
        </w:tc>
        <w:tc>
          <w:tcPr>
            <w:tcW w:w="1662" w:type="dxa"/>
          </w:tcPr>
          <w:p w14:paraId="0ED0CBF0" w14:textId="77777777" w:rsidR="00991D52" w:rsidRPr="00530A11" w:rsidRDefault="00991D52" w:rsidP="00EC70DB">
            <w:pPr>
              <w:pStyle w:val="ae"/>
              <w:rPr>
                <w:rFonts w:cs="Times New Roman"/>
                <w:b w:val="0"/>
              </w:rPr>
            </w:pPr>
            <w:r w:rsidRPr="00530A11">
              <w:rPr>
                <w:rFonts w:cs="Times New Roman"/>
                <w:b w:val="0"/>
              </w:rPr>
              <w:t>31.0</w:t>
            </w:r>
          </w:p>
        </w:tc>
      </w:tr>
    </w:tbl>
    <w:p w14:paraId="759305C0" w14:textId="77777777" w:rsidR="00991D52" w:rsidRPr="00530A11" w:rsidRDefault="00991D52" w:rsidP="00991D52">
      <w:pPr>
        <w:pStyle w:val="ae"/>
        <w:jc w:val="both"/>
        <w:rPr>
          <w:rFonts w:cs="Times New Roman"/>
          <w:b w:val="0"/>
          <w:sz w:val="18"/>
          <w:szCs w:val="18"/>
        </w:rPr>
      </w:pPr>
      <w:r w:rsidRPr="00530A11">
        <w:rPr>
          <w:rFonts w:cs="Times New Roman" w:hint="eastAsia"/>
          <w:b w:val="0"/>
          <w:sz w:val="18"/>
          <w:szCs w:val="18"/>
        </w:rPr>
        <w:t>注：</w:t>
      </w:r>
      <w:r w:rsidRPr="00530A11">
        <w:rPr>
          <w:rFonts w:cs="Times New Roman"/>
          <w:b w:val="0"/>
          <w:sz w:val="18"/>
          <w:szCs w:val="18"/>
        </w:rPr>
        <w:t xml:space="preserve">1 </w:t>
      </w:r>
      <w:r w:rsidRPr="00530A11">
        <w:rPr>
          <w:rFonts w:cs="Times New Roman" w:hint="eastAsia"/>
          <w:b w:val="0"/>
          <w:sz w:val="18"/>
          <w:szCs w:val="18"/>
        </w:rPr>
        <w:t>表中的统计数据年限为</w:t>
      </w:r>
      <w:r w:rsidRPr="00530A11">
        <w:rPr>
          <w:rFonts w:cs="Times New Roman"/>
          <w:b w:val="0"/>
          <w:sz w:val="18"/>
          <w:szCs w:val="18"/>
        </w:rPr>
        <w:t>1977</w:t>
      </w:r>
      <w:r w:rsidRPr="00530A11">
        <w:rPr>
          <w:rFonts w:cs="Times New Roman" w:hint="eastAsia"/>
          <w:b w:val="0"/>
          <w:sz w:val="18"/>
          <w:szCs w:val="18"/>
        </w:rPr>
        <w:t>年～</w:t>
      </w:r>
      <w:r w:rsidRPr="00530A11">
        <w:rPr>
          <w:rFonts w:cs="Times New Roman"/>
          <w:b w:val="0"/>
          <w:sz w:val="18"/>
          <w:szCs w:val="18"/>
        </w:rPr>
        <w:t>2006</w:t>
      </w:r>
      <w:r w:rsidRPr="00530A11">
        <w:rPr>
          <w:rFonts w:cs="Times New Roman" w:hint="eastAsia"/>
          <w:b w:val="0"/>
          <w:sz w:val="18"/>
          <w:szCs w:val="18"/>
        </w:rPr>
        <w:t>年。</w:t>
      </w:r>
    </w:p>
    <w:p w14:paraId="24508545" w14:textId="77777777" w:rsidR="00991D52" w:rsidRPr="00530A11" w:rsidRDefault="00991D52" w:rsidP="00991D52">
      <w:pPr>
        <w:pStyle w:val="ae"/>
        <w:ind w:firstLineChars="200" w:firstLine="420"/>
        <w:jc w:val="both"/>
        <w:rPr>
          <w:rFonts w:cs="Times New Roman"/>
          <w:b w:val="0"/>
        </w:rPr>
      </w:pPr>
      <w:r w:rsidRPr="00530A11">
        <w:rPr>
          <w:rFonts w:cs="Times New Roman"/>
          <w:b w:val="0"/>
        </w:rPr>
        <w:t>设计时应根据年径流总量控制率对应的设计控制雨量来确定雨水设施规模和最终方案，有条件时，可通过相关雨水控制利用模型进行设计计算；也可采用简单计算方法，通过设计控制雨量、场地综合径流系数、总汇水面积来确定项目雨水设施需要的总规模，再分别计算滞蓄、调蓄和收集回用等措施实现的控制容积，达到设计控制雨量对应的控制规模要求，即判定得分。</w:t>
      </w:r>
    </w:p>
    <w:p w14:paraId="40157EE9" w14:textId="77777777" w:rsidR="00991D52" w:rsidRPr="00530A11" w:rsidRDefault="00991D52" w:rsidP="00991D52">
      <w:pPr>
        <w:pStyle w:val="ae"/>
        <w:ind w:firstLineChars="200" w:firstLine="420"/>
        <w:jc w:val="both"/>
        <w:rPr>
          <w:rFonts w:cs="Times New Roman"/>
          <w:b w:val="0"/>
        </w:rPr>
      </w:pPr>
      <w:r w:rsidRPr="00530A11">
        <w:rPr>
          <w:rFonts w:cs="Times New Roman"/>
          <w:b w:val="0"/>
        </w:rPr>
        <w:t>对于地质、气候等自然条件特殊的地区，如湿陷性黄土地区等，应根据当地相关规定实施雨水控制利用。</w:t>
      </w:r>
    </w:p>
    <w:p w14:paraId="02168B2A" w14:textId="77777777" w:rsidR="00C36303" w:rsidRPr="0081478A" w:rsidRDefault="00C36303" w:rsidP="00C36303">
      <w:pPr>
        <w:pStyle w:val="20"/>
        <w:rPr>
          <w:rFonts w:ascii="Times New Roman" w:hAnsi="Times New Roman" w:cs="Times New Roman"/>
          <w:color w:val="auto"/>
        </w:rPr>
      </w:pPr>
      <w:r w:rsidRPr="0081478A">
        <w:rPr>
          <w:rFonts w:ascii="Times New Roman" w:hAnsi="Times New Roman" w:cs="Times New Roman"/>
          <w:color w:val="auto"/>
        </w:rPr>
        <w:t>【评价要点】</w:t>
      </w:r>
    </w:p>
    <w:p w14:paraId="56B6546E" w14:textId="5671D5E9" w:rsidR="00054EA6" w:rsidRPr="0081478A" w:rsidRDefault="00054EA6" w:rsidP="00C36303">
      <w:pPr>
        <w:ind w:firstLine="420"/>
        <w:rPr>
          <w:rFonts w:cs="Times New Roman"/>
        </w:rPr>
      </w:pPr>
      <w:r w:rsidRPr="0081478A">
        <w:rPr>
          <w:rFonts w:cs="Times New Roman"/>
        </w:rPr>
        <w:t>年径流总量控制率计算书、设计控制雨量计算书应满足</w:t>
      </w:r>
      <w:r w:rsidR="00B74A69" w:rsidRPr="0081478A">
        <w:rPr>
          <w:rFonts w:cs="Times New Roman"/>
        </w:rPr>
        <w:t>《海绵城市建设评价标准》</w:t>
      </w:r>
      <w:r w:rsidR="00B74A69" w:rsidRPr="0081478A">
        <w:rPr>
          <w:rFonts w:cs="Times New Roman"/>
        </w:rPr>
        <w:t>GB/T 51345</w:t>
      </w:r>
      <w:r w:rsidRPr="0081478A">
        <w:rPr>
          <w:rFonts w:cs="Times New Roman"/>
        </w:rPr>
        <w:t>的要求。</w:t>
      </w:r>
    </w:p>
    <w:p w14:paraId="3FB96B1C" w14:textId="77777777" w:rsidR="00715ABB" w:rsidRPr="0081478A" w:rsidRDefault="00F44390">
      <w:pPr>
        <w:pStyle w:val="20"/>
        <w:rPr>
          <w:rFonts w:ascii="Times New Roman" w:hAnsi="Times New Roman" w:cs="Times New Roman"/>
          <w:color w:val="auto"/>
        </w:rPr>
      </w:pPr>
      <w:r w:rsidRPr="0081478A">
        <w:rPr>
          <w:rFonts w:ascii="Times New Roman" w:hAnsi="Times New Roman" w:cs="Times New Roman"/>
          <w:color w:val="auto"/>
        </w:rPr>
        <w:t>【评价方法】</w:t>
      </w:r>
    </w:p>
    <w:p w14:paraId="6C958253" w14:textId="5F95D07D"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t>预评价查阅相关设计文件、年径流总量控制率计算书、设计控制雨量计算书、场地雨水综合利用方案或专项设计文件；评价查阅相关竣工图、年径流总量控制率计算书、设计控制雨量计算书、场地雨水综合利用方案或专项设计文件</w:t>
      </w:r>
      <w:r w:rsidR="00834E7B">
        <w:rPr>
          <w:rFonts w:cs="Times New Roman" w:hint="eastAsia"/>
          <w:b w:val="0"/>
        </w:rPr>
        <w:t>，</w:t>
      </w:r>
      <w:r w:rsidR="00834E7B" w:rsidRPr="00834E7B">
        <w:rPr>
          <w:rFonts w:cs="Times New Roman" w:hint="eastAsia"/>
          <w:b w:val="0"/>
        </w:rPr>
        <w:t>核查场地雨水综合利用设施的完工情况，重点审查场地雨水综合利用设计内容在项目现场的落实情况</w:t>
      </w:r>
      <w:r w:rsidRPr="00530A11">
        <w:rPr>
          <w:rFonts w:cs="Times New Roman"/>
          <w:b w:val="0"/>
        </w:rPr>
        <w:t>。</w:t>
      </w:r>
    </w:p>
    <w:p w14:paraId="39C00215" w14:textId="77777777" w:rsidR="00715ABB" w:rsidRPr="001E54E5" w:rsidRDefault="00715ABB">
      <w:pPr>
        <w:ind w:firstLine="420"/>
        <w:rPr>
          <w:rFonts w:cs="Times New Roman"/>
        </w:rPr>
      </w:pPr>
    </w:p>
    <w:p w14:paraId="68A5D1C3" w14:textId="77777777" w:rsidR="00991D52" w:rsidRPr="00530A11" w:rsidRDefault="00991D52" w:rsidP="00991D52">
      <w:pPr>
        <w:pStyle w:val="4"/>
        <w:rPr>
          <w:rFonts w:cs="Times New Roman"/>
          <w:bCs w:val="0"/>
        </w:rPr>
      </w:pPr>
      <w:r w:rsidRPr="00530A11">
        <w:rPr>
          <w:rFonts w:cs="Times New Roman"/>
          <w:bCs w:val="0"/>
        </w:rPr>
        <w:t xml:space="preserve">8.2.3 </w:t>
      </w:r>
      <w:r w:rsidRPr="00530A11">
        <w:rPr>
          <w:rFonts w:cs="Times New Roman"/>
          <w:bCs w:val="0"/>
        </w:rPr>
        <w:t>充分利用场地空间设置绿化用地，评价总分值为</w:t>
      </w:r>
      <w:r w:rsidRPr="00530A11">
        <w:rPr>
          <w:rFonts w:cs="Times New Roman"/>
          <w:bCs w:val="0"/>
        </w:rPr>
        <w:t>11</w:t>
      </w:r>
      <w:r w:rsidRPr="00530A11">
        <w:rPr>
          <w:rFonts w:cs="Times New Roman"/>
          <w:bCs w:val="0"/>
        </w:rPr>
        <w:t>分，并按下列规则评分：</w:t>
      </w:r>
    </w:p>
    <w:p w14:paraId="3C6D1183"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住宅建筑按下列规则分别评分并累计：</w:t>
      </w:r>
    </w:p>
    <w:p w14:paraId="3F45A91B" w14:textId="77777777" w:rsidR="00991D52" w:rsidRPr="00991D52" w:rsidRDefault="00991D52" w:rsidP="00991D52">
      <w:pPr>
        <w:pStyle w:val="20"/>
        <w:ind w:firstLineChars="200" w:firstLine="422"/>
        <w:rPr>
          <w:rFonts w:ascii="Times New Roman" w:hAnsi="Times New Roman" w:cs="Times New Roman"/>
          <w:bCs/>
          <w:color w:val="auto"/>
        </w:rPr>
      </w:pPr>
      <w:r w:rsidRPr="00991D52">
        <w:rPr>
          <w:rFonts w:ascii="Times New Roman" w:hAnsi="Times New Roman" w:cs="Times New Roman"/>
          <w:bCs/>
          <w:color w:val="auto"/>
        </w:rPr>
        <w:t>1)</w:t>
      </w:r>
      <w:r w:rsidRPr="00991D52">
        <w:rPr>
          <w:rFonts w:ascii="Times New Roman" w:hAnsi="Times New Roman" w:cs="Times New Roman"/>
          <w:bCs/>
          <w:color w:val="auto"/>
        </w:rPr>
        <w:t>绿地率达到规划指标</w:t>
      </w:r>
      <w:r w:rsidRPr="00991D52">
        <w:rPr>
          <w:rFonts w:ascii="Times New Roman" w:hAnsi="Times New Roman" w:cs="Times New Roman"/>
          <w:bCs/>
          <w:color w:val="auto"/>
        </w:rPr>
        <w:t>115</w:t>
      </w:r>
      <w:r w:rsidRPr="00991D52">
        <w:rPr>
          <w:rFonts w:ascii="Times New Roman" w:hAnsi="Times New Roman" w:cs="Times New Roman" w:hint="eastAsia"/>
          <w:bCs/>
          <w:color w:val="auto"/>
        </w:rPr>
        <w:t>％</w:t>
      </w:r>
      <w:r w:rsidRPr="00991D52">
        <w:rPr>
          <w:rFonts w:ascii="Times New Roman" w:hAnsi="Times New Roman" w:cs="Times New Roman"/>
          <w:bCs/>
          <w:color w:val="auto"/>
        </w:rPr>
        <w:t>及以上，得</w:t>
      </w:r>
      <w:r w:rsidRPr="00991D52">
        <w:rPr>
          <w:rFonts w:ascii="Times New Roman" w:hAnsi="Times New Roman" w:cs="Times New Roman"/>
          <w:bCs/>
          <w:color w:val="auto"/>
        </w:rPr>
        <w:t>6</w:t>
      </w:r>
      <w:r w:rsidRPr="00991D52">
        <w:rPr>
          <w:rFonts w:ascii="Times New Roman" w:hAnsi="Times New Roman" w:cs="Times New Roman"/>
          <w:bCs/>
          <w:color w:val="auto"/>
        </w:rPr>
        <w:t>分；</w:t>
      </w:r>
      <w:r w:rsidRPr="00991D52">
        <w:rPr>
          <w:rFonts w:ascii="Times New Roman" w:hAnsi="Times New Roman" w:cs="Times New Roman"/>
          <w:bCs/>
          <w:color w:val="auto"/>
        </w:rPr>
        <w:t xml:space="preserve"> </w:t>
      </w:r>
    </w:p>
    <w:p w14:paraId="6E753477" w14:textId="77777777" w:rsidR="00991D52" w:rsidRPr="00991D52" w:rsidRDefault="00991D52" w:rsidP="00991D52">
      <w:pPr>
        <w:pStyle w:val="20"/>
        <w:ind w:firstLineChars="200" w:firstLine="422"/>
        <w:rPr>
          <w:rFonts w:ascii="Times New Roman" w:hAnsi="Times New Roman" w:cs="Times New Roman"/>
          <w:bCs/>
          <w:color w:val="auto"/>
        </w:rPr>
      </w:pPr>
      <w:r w:rsidRPr="00991D52">
        <w:rPr>
          <w:rFonts w:ascii="Times New Roman" w:hAnsi="Times New Roman" w:cs="Times New Roman"/>
          <w:bCs/>
          <w:color w:val="auto"/>
        </w:rPr>
        <w:t>2)</w:t>
      </w:r>
      <w:bookmarkStart w:id="182" w:name="_Hlk26103311"/>
      <w:r w:rsidRPr="00991D52">
        <w:rPr>
          <w:rFonts w:ascii="Times New Roman" w:hAnsi="Times New Roman" w:cs="Times New Roman"/>
          <w:bCs/>
          <w:color w:val="auto"/>
        </w:rPr>
        <w:t>住宅建筑</w:t>
      </w:r>
      <w:bookmarkStart w:id="183" w:name="_Hlk25163816"/>
      <w:r w:rsidRPr="00991D52">
        <w:rPr>
          <w:rFonts w:ascii="Times New Roman" w:hAnsi="Times New Roman" w:cs="Times New Roman"/>
          <w:bCs/>
          <w:color w:val="auto"/>
        </w:rPr>
        <w:t>人均集中绿地</w:t>
      </w:r>
      <w:bookmarkEnd w:id="183"/>
      <w:r w:rsidRPr="00991D52">
        <w:rPr>
          <w:rFonts w:ascii="Times New Roman" w:hAnsi="Times New Roman" w:cs="Times New Roman"/>
          <w:bCs/>
          <w:color w:val="auto"/>
        </w:rPr>
        <w:t>面积</w:t>
      </w:r>
      <w:r w:rsidRPr="00991D52">
        <w:rPr>
          <w:rFonts w:ascii="Times New Roman" w:hAnsi="Times New Roman" w:cs="Times New Roman" w:hint="eastAsia"/>
          <w:bCs/>
          <w:color w:val="auto"/>
        </w:rPr>
        <w:t>＞</w:t>
      </w:r>
      <w:r w:rsidRPr="00991D52">
        <w:rPr>
          <w:rFonts w:ascii="Times New Roman" w:hAnsi="Times New Roman" w:cs="Times New Roman"/>
          <w:bCs/>
          <w:color w:val="auto"/>
        </w:rPr>
        <w:t>1.2m</w:t>
      </w:r>
      <w:r w:rsidRPr="00991D52">
        <w:rPr>
          <w:rFonts w:ascii="Times New Roman" w:hAnsi="Times New Roman" w:cs="Times New Roman"/>
          <w:bCs/>
          <w:color w:val="auto"/>
          <w:vertAlign w:val="superscript"/>
        </w:rPr>
        <w:t>2</w:t>
      </w:r>
      <w:r w:rsidRPr="00991D52">
        <w:rPr>
          <w:rFonts w:ascii="Times New Roman" w:hAnsi="Times New Roman" w:cs="Times New Roman" w:hint="eastAsia"/>
          <w:bCs/>
          <w:color w:val="auto"/>
        </w:rPr>
        <w:t>但≤</w:t>
      </w:r>
      <w:r w:rsidRPr="00991D52">
        <w:rPr>
          <w:rFonts w:ascii="Times New Roman" w:hAnsi="Times New Roman" w:cs="Times New Roman"/>
          <w:bCs/>
          <w:color w:val="auto"/>
        </w:rPr>
        <w:t>1.5m</w:t>
      </w:r>
      <w:r w:rsidRPr="00991D52">
        <w:rPr>
          <w:rFonts w:ascii="Times New Roman" w:hAnsi="Times New Roman" w:cs="Times New Roman"/>
          <w:bCs/>
          <w:color w:val="auto"/>
          <w:vertAlign w:val="superscript"/>
        </w:rPr>
        <w:t>2</w:t>
      </w:r>
      <w:r w:rsidRPr="00991D52">
        <w:rPr>
          <w:rFonts w:ascii="Times New Roman" w:hAnsi="Times New Roman" w:cs="Times New Roman" w:hint="eastAsia"/>
          <w:bCs/>
          <w:color w:val="auto"/>
        </w:rPr>
        <w:t>，得</w:t>
      </w:r>
      <w:r w:rsidRPr="00991D52">
        <w:rPr>
          <w:rFonts w:ascii="Times New Roman" w:hAnsi="Times New Roman" w:cs="Times New Roman"/>
          <w:bCs/>
          <w:color w:val="auto"/>
        </w:rPr>
        <w:t>2</w:t>
      </w:r>
      <w:r w:rsidRPr="00991D52">
        <w:rPr>
          <w:rFonts w:ascii="Times New Roman" w:hAnsi="Times New Roman" w:cs="Times New Roman" w:hint="eastAsia"/>
          <w:bCs/>
          <w:color w:val="auto"/>
        </w:rPr>
        <w:t>分；＞</w:t>
      </w:r>
      <w:r w:rsidRPr="00991D52">
        <w:rPr>
          <w:rFonts w:ascii="Times New Roman" w:hAnsi="Times New Roman" w:cs="Times New Roman"/>
          <w:bCs/>
          <w:color w:val="auto"/>
        </w:rPr>
        <w:t>1.5m</w:t>
      </w:r>
      <w:r w:rsidRPr="00991D52">
        <w:rPr>
          <w:rFonts w:ascii="Times New Roman" w:hAnsi="Times New Roman" w:cs="Times New Roman"/>
          <w:bCs/>
          <w:color w:val="auto"/>
          <w:vertAlign w:val="superscript"/>
        </w:rPr>
        <w:t>2</w:t>
      </w:r>
      <w:r w:rsidRPr="00991D52">
        <w:rPr>
          <w:rFonts w:ascii="Times New Roman" w:hAnsi="Times New Roman" w:cs="Times New Roman" w:hint="eastAsia"/>
          <w:bCs/>
          <w:color w:val="auto"/>
        </w:rPr>
        <w:t>但≤</w:t>
      </w:r>
      <w:r w:rsidRPr="00991D52">
        <w:rPr>
          <w:rFonts w:ascii="Times New Roman" w:hAnsi="Times New Roman" w:cs="Times New Roman"/>
          <w:bCs/>
          <w:color w:val="auto"/>
        </w:rPr>
        <w:t>1.8m</w:t>
      </w:r>
      <w:r w:rsidRPr="00991D52">
        <w:rPr>
          <w:rFonts w:ascii="Times New Roman" w:hAnsi="Times New Roman" w:cs="Times New Roman"/>
          <w:bCs/>
          <w:color w:val="auto"/>
          <w:vertAlign w:val="superscript"/>
        </w:rPr>
        <w:t>2</w:t>
      </w:r>
      <w:r w:rsidRPr="00991D52">
        <w:rPr>
          <w:rFonts w:ascii="Times New Roman" w:hAnsi="Times New Roman" w:cs="Times New Roman" w:hint="eastAsia"/>
          <w:bCs/>
          <w:color w:val="auto"/>
        </w:rPr>
        <w:t>，得</w:t>
      </w:r>
      <w:r w:rsidRPr="00991D52">
        <w:rPr>
          <w:rFonts w:ascii="Times New Roman" w:hAnsi="Times New Roman" w:cs="Times New Roman" w:hint="eastAsia"/>
          <w:bCs/>
          <w:color w:val="auto"/>
        </w:rPr>
        <w:t>3</w:t>
      </w:r>
      <w:r w:rsidRPr="00991D52">
        <w:rPr>
          <w:rFonts w:ascii="Times New Roman" w:hAnsi="Times New Roman" w:cs="Times New Roman" w:hint="eastAsia"/>
          <w:bCs/>
          <w:color w:val="auto"/>
        </w:rPr>
        <w:t>分；＞</w:t>
      </w:r>
      <w:r w:rsidRPr="00991D52">
        <w:rPr>
          <w:rFonts w:ascii="Times New Roman" w:hAnsi="Times New Roman" w:cs="Times New Roman"/>
          <w:bCs/>
          <w:color w:val="auto"/>
        </w:rPr>
        <w:t>1.8m</w:t>
      </w:r>
      <w:r w:rsidRPr="00991D52">
        <w:rPr>
          <w:rFonts w:ascii="Times New Roman" w:hAnsi="Times New Roman" w:cs="Times New Roman"/>
          <w:bCs/>
          <w:color w:val="auto"/>
          <w:vertAlign w:val="superscript"/>
        </w:rPr>
        <w:t>2</w:t>
      </w:r>
      <w:r w:rsidRPr="00991D52">
        <w:rPr>
          <w:rFonts w:ascii="Times New Roman" w:hAnsi="Times New Roman" w:cs="Times New Roman" w:hint="eastAsia"/>
          <w:bCs/>
          <w:color w:val="auto"/>
        </w:rPr>
        <w:t>，得</w:t>
      </w:r>
      <w:r w:rsidRPr="00991D52">
        <w:rPr>
          <w:rFonts w:ascii="Times New Roman" w:hAnsi="Times New Roman" w:cs="Times New Roman"/>
          <w:bCs/>
          <w:color w:val="auto"/>
        </w:rPr>
        <w:t>5</w:t>
      </w:r>
      <w:r w:rsidRPr="00991D52">
        <w:rPr>
          <w:rFonts w:ascii="Times New Roman" w:hAnsi="Times New Roman" w:cs="Times New Roman" w:hint="eastAsia"/>
          <w:bCs/>
          <w:color w:val="auto"/>
        </w:rPr>
        <w:t>分。</w:t>
      </w:r>
    </w:p>
    <w:bookmarkEnd w:id="182"/>
    <w:p w14:paraId="216ABA42"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bCs/>
          <w:color w:val="auto"/>
        </w:rPr>
        <w:t>公共建筑按下列规则分别评分并累计：</w:t>
      </w:r>
    </w:p>
    <w:p w14:paraId="167847BA" w14:textId="77777777" w:rsidR="00991D52" w:rsidRPr="00991D52" w:rsidRDefault="00991D52" w:rsidP="00991D52">
      <w:pPr>
        <w:pStyle w:val="20"/>
        <w:ind w:firstLineChars="200" w:firstLine="422"/>
        <w:rPr>
          <w:rFonts w:ascii="Times New Roman" w:hAnsi="Times New Roman" w:cs="Times New Roman"/>
          <w:bCs/>
          <w:color w:val="auto"/>
        </w:rPr>
      </w:pPr>
      <w:r w:rsidRPr="00991D52">
        <w:rPr>
          <w:rFonts w:ascii="Times New Roman" w:hAnsi="Times New Roman" w:cs="Times New Roman"/>
          <w:bCs/>
          <w:color w:val="auto"/>
        </w:rPr>
        <w:t>1)</w:t>
      </w:r>
      <w:r w:rsidRPr="00991D52">
        <w:rPr>
          <w:rFonts w:ascii="Times New Roman" w:hAnsi="Times New Roman" w:cs="Times New Roman"/>
          <w:bCs/>
          <w:color w:val="auto"/>
        </w:rPr>
        <w:t>绿地率达到规划指标</w:t>
      </w:r>
      <w:r w:rsidRPr="00991D52">
        <w:rPr>
          <w:rFonts w:ascii="Times New Roman" w:hAnsi="Times New Roman" w:cs="Times New Roman"/>
          <w:bCs/>
          <w:color w:val="auto"/>
        </w:rPr>
        <w:t>105</w:t>
      </w:r>
      <w:r w:rsidRPr="00991D52">
        <w:rPr>
          <w:rFonts w:ascii="Times New Roman" w:hAnsi="Times New Roman" w:cs="Times New Roman"/>
          <w:bCs/>
          <w:color w:val="auto"/>
        </w:rPr>
        <w:t>％及以上，得</w:t>
      </w:r>
      <w:r w:rsidRPr="00991D52">
        <w:rPr>
          <w:rFonts w:ascii="Times New Roman" w:hAnsi="Times New Roman" w:cs="Times New Roman"/>
          <w:bCs/>
          <w:color w:val="auto"/>
        </w:rPr>
        <w:t>7</w:t>
      </w:r>
      <w:r w:rsidRPr="00991D52">
        <w:rPr>
          <w:rFonts w:ascii="Times New Roman" w:hAnsi="Times New Roman" w:cs="Times New Roman"/>
          <w:bCs/>
          <w:color w:val="auto"/>
        </w:rPr>
        <w:t>分；</w:t>
      </w:r>
    </w:p>
    <w:p w14:paraId="1F646491" w14:textId="77777777" w:rsidR="00991D52" w:rsidRPr="00991D52" w:rsidRDefault="00991D52" w:rsidP="00991D52">
      <w:pPr>
        <w:pStyle w:val="20"/>
        <w:ind w:firstLineChars="200" w:firstLine="422"/>
        <w:rPr>
          <w:rFonts w:ascii="Times New Roman" w:hAnsi="Times New Roman" w:cs="Times New Roman"/>
          <w:bCs/>
          <w:color w:val="auto"/>
        </w:rPr>
      </w:pPr>
      <w:r w:rsidRPr="00991D52">
        <w:rPr>
          <w:rFonts w:ascii="Times New Roman" w:hAnsi="Times New Roman" w:cs="Times New Roman"/>
          <w:bCs/>
          <w:color w:val="auto"/>
        </w:rPr>
        <w:lastRenderedPageBreak/>
        <w:t>2)</w:t>
      </w:r>
      <w:r w:rsidRPr="00991D52">
        <w:rPr>
          <w:rFonts w:ascii="Times New Roman" w:hAnsi="Times New Roman" w:cs="Times New Roman"/>
          <w:bCs/>
          <w:color w:val="auto"/>
        </w:rPr>
        <w:t>绿地向公众开放，得</w:t>
      </w:r>
      <w:r w:rsidRPr="00991D52">
        <w:rPr>
          <w:rFonts w:ascii="Times New Roman" w:hAnsi="Times New Roman" w:cs="Times New Roman"/>
          <w:bCs/>
          <w:color w:val="auto"/>
        </w:rPr>
        <w:t>4</w:t>
      </w:r>
      <w:r w:rsidRPr="00991D52">
        <w:rPr>
          <w:rFonts w:ascii="Times New Roman" w:hAnsi="Times New Roman" w:cs="Times New Roman"/>
          <w:bCs/>
          <w:color w:val="auto"/>
        </w:rPr>
        <w:t>分。</w:t>
      </w:r>
    </w:p>
    <w:p w14:paraId="372DB79E" w14:textId="77777777" w:rsidR="00715ABB" w:rsidRPr="0081478A" w:rsidRDefault="00F44390" w:rsidP="009252F8">
      <w:pPr>
        <w:pStyle w:val="20"/>
      </w:pPr>
      <w:r w:rsidRPr="0081478A">
        <w:t>【条文说明】</w:t>
      </w:r>
    </w:p>
    <w:p w14:paraId="205773FB" w14:textId="77777777" w:rsidR="00991D52" w:rsidRPr="00530A11" w:rsidRDefault="00991D52" w:rsidP="00991D52">
      <w:pPr>
        <w:ind w:firstLine="420"/>
      </w:pPr>
      <w:r w:rsidRPr="00530A11">
        <w:t>本条适用于各类民用建筑的预评价、评价。</w:t>
      </w:r>
    </w:p>
    <w:p w14:paraId="56091BA1"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4.2.2</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4.2.2</w:t>
      </w:r>
      <w:r w:rsidRPr="00530A11">
        <w:rPr>
          <w:rFonts w:cs="Times New Roman"/>
        </w:rPr>
        <w:t>条的基础上发展而来。</w:t>
      </w:r>
    </w:p>
    <w:p w14:paraId="3675D937" w14:textId="77777777" w:rsidR="00991D52" w:rsidRPr="00530A11" w:rsidRDefault="00991D52" w:rsidP="00991D52">
      <w:pPr>
        <w:ind w:firstLine="420"/>
        <w:rPr>
          <w:rFonts w:cs="Times New Roman"/>
        </w:rPr>
      </w:pPr>
      <w:r w:rsidRPr="00530A11">
        <w:rPr>
          <w:rFonts w:cs="Times New Roman"/>
        </w:rPr>
        <w:t>绿地率指建设项目用地范围内各类绿地面积的总和占该项目总用地面积的比率</w:t>
      </w:r>
      <w:r w:rsidRPr="00530A11">
        <w:rPr>
          <w:rFonts w:cs="Times New Roman"/>
        </w:rPr>
        <w:t>(</w:t>
      </w:r>
      <w:r w:rsidRPr="00530A11">
        <w:rPr>
          <w:rFonts w:cs="Times New Roman"/>
        </w:rPr>
        <w:t>％</w:t>
      </w:r>
      <w:r w:rsidRPr="00530A11">
        <w:rPr>
          <w:rFonts w:cs="Times New Roman"/>
        </w:rPr>
        <w:t>)</w:t>
      </w:r>
      <w:r w:rsidRPr="00530A11">
        <w:rPr>
          <w:rFonts w:cs="Times New Roman"/>
        </w:rPr>
        <w:t>。绿地包括建设项目用地中各类用作绿化的用地。合理设置绿地可起到改善和美化环境、调节小气候、缓解城市热岛效应等作用。绿地率以及公共绿地的数量是衡量住区环境质量的重要指标之一。根据现行国家标准《城市居住区规划设计标准》</w:t>
      </w:r>
      <w:r w:rsidRPr="00530A11">
        <w:rPr>
          <w:rFonts w:cs="Times New Roman"/>
        </w:rPr>
        <w:t>GB 50180</w:t>
      </w:r>
      <w:r w:rsidRPr="00530A11">
        <w:rPr>
          <w:rFonts w:cs="Times New Roman"/>
        </w:rPr>
        <w:t>，集中绿地是指居住街坊配套建设、可供居民休憩、开展户外活动的绿化场地。集中绿地应满足的基本要求：宽度不小于</w:t>
      </w:r>
      <w:r w:rsidRPr="00530A11">
        <w:rPr>
          <w:rFonts w:cs="Times New Roman"/>
        </w:rPr>
        <w:t>8m</w:t>
      </w:r>
      <w:r w:rsidRPr="00530A11">
        <w:rPr>
          <w:rFonts w:cs="Times New Roman"/>
        </w:rPr>
        <w:t>，面积不小于</w:t>
      </w:r>
      <w:r w:rsidRPr="00530A11">
        <w:rPr>
          <w:rFonts w:cs="Times New Roman"/>
        </w:rPr>
        <w:t>400m</w:t>
      </w:r>
      <w:r w:rsidRPr="00530A11">
        <w:rPr>
          <w:rFonts w:cs="Times New Roman"/>
          <w:vertAlign w:val="superscript"/>
        </w:rPr>
        <w:t>2</w:t>
      </w:r>
      <w:r w:rsidRPr="00530A11">
        <w:rPr>
          <w:rFonts w:cs="Times New Roman"/>
        </w:rPr>
        <w:t>，集中绿地应设置供幼儿、老年人在家门口日常户外活动的场地。并应有不少于</w:t>
      </w:r>
      <w:r w:rsidRPr="00530A11">
        <w:rPr>
          <w:rFonts w:cs="Times New Roman"/>
        </w:rPr>
        <w:t>1/3</w:t>
      </w:r>
      <w:r w:rsidRPr="00530A11">
        <w:rPr>
          <w:rFonts w:cs="Times New Roman"/>
        </w:rPr>
        <w:t>的绿地面积在标准的建筑日照阴影线</w:t>
      </w:r>
      <w:r w:rsidRPr="00530A11">
        <w:rPr>
          <w:rFonts w:cs="Times New Roman"/>
        </w:rPr>
        <w:t>(</w:t>
      </w:r>
      <w:r w:rsidRPr="00530A11">
        <w:rPr>
          <w:rFonts w:cs="Times New Roman"/>
        </w:rPr>
        <w:t>即日照标准的等时线</w:t>
      </w:r>
      <w:r w:rsidRPr="00530A11">
        <w:rPr>
          <w:rFonts w:cs="Times New Roman"/>
        </w:rPr>
        <w:t>)</w:t>
      </w:r>
      <w:r w:rsidRPr="00530A11">
        <w:rPr>
          <w:rFonts w:cs="Times New Roman"/>
        </w:rPr>
        <w:t>范围之外，并在此区域设置供儿童、老年人户外活动场地，为老年人及儿童在家门口提供日常游憩及游戏活动场所。居住区公共绿地植物种植面积不得小于公共绿地面积的</w:t>
      </w:r>
      <w:r w:rsidRPr="00530A11">
        <w:rPr>
          <w:rFonts w:cs="Times New Roman"/>
        </w:rPr>
        <w:t>80%</w:t>
      </w:r>
      <w:r w:rsidRPr="00530A11">
        <w:rPr>
          <w:rFonts w:cs="Times New Roman"/>
        </w:rPr>
        <w:t>，小于</w:t>
      </w:r>
      <w:r w:rsidRPr="00530A11">
        <w:rPr>
          <w:rFonts w:cs="Times New Roman"/>
        </w:rPr>
        <w:t>80%</w:t>
      </w:r>
      <w:r w:rsidRPr="00530A11">
        <w:rPr>
          <w:rFonts w:cs="Times New Roman"/>
        </w:rPr>
        <w:t>的按实际种植面积计算。</w:t>
      </w:r>
    </w:p>
    <w:p w14:paraId="68086FEF" w14:textId="77777777" w:rsidR="00991D52" w:rsidRDefault="00991D52" w:rsidP="00991D52">
      <w:pPr>
        <w:ind w:firstLine="420"/>
      </w:pPr>
      <w:r w:rsidRPr="00530A11">
        <w:t>为保障城市公共空间的品质、提高服务质量，每个城市对城市中不同地段或不同性质的公共设施建设项目，都制定有相应的绿地管理控制要求。本条鼓励公共建筑项目优化建筑布局，提供更多的绿化用地或绿化广场，创造更加宜人的公共空间；鼓励绿地或绿化广场设置休憩、娱乐等设施并定时向社会公众免费开放，以提供更多的公共活动空间。</w:t>
      </w:r>
    </w:p>
    <w:p w14:paraId="4CF92B29" w14:textId="2C30D281" w:rsidR="00C36303" w:rsidRPr="009252F8" w:rsidRDefault="00C36303" w:rsidP="009252F8">
      <w:pPr>
        <w:pStyle w:val="20"/>
      </w:pPr>
      <w:r w:rsidRPr="0081478A">
        <w:t>【评价要点】</w:t>
      </w:r>
    </w:p>
    <w:p w14:paraId="0DF9AC7F" w14:textId="2C5C4532" w:rsidR="00C36303" w:rsidRDefault="007D635A" w:rsidP="00C36303">
      <w:pPr>
        <w:ind w:firstLine="420"/>
        <w:rPr>
          <w:rFonts w:cs="Times New Roman"/>
        </w:rPr>
      </w:pPr>
      <w:r>
        <w:rPr>
          <w:rFonts w:cs="Times New Roman"/>
        </w:rPr>
        <w:t>1.</w:t>
      </w:r>
      <w:r w:rsidR="00C36303" w:rsidRPr="0081478A">
        <w:rPr>
          <w:rFonts w:cs="Times New Roman"/>
        </w:rPr>
        <w:t>住区公共绿地应满足的基本要求：宽度不小于</w:t>
      </w:r>
      <w:r w:rsidR="00C36303" w:rsidRPr="0081478A">
        <w:rPr>
          <w:rFonts w:cs="Times New Roman"/>
        </w:rPr>
        <w:t>8m</w:t>
      </w:r>
      <w:r w:rsidR="00C36303" w:rsidRPr="0081478A">
        <w:rPr>
          <w:rFonts w:cs="Times New Roman"/>
        </w:rPr>
        <w:t>，面积不小于</w:t>
      </w:r>
      <w:r w:rsidR="00C36303" w:rsidRPr="0081478A">
        <w:rPr>
          <w:rFonts w:cs="Times New Roman"/>
        </w:rPr>
        <w:t>400m²</w:t>
      </w:r>
      <w:r w:rsidR="00C36303" w:rsidRPr="0081478A">
        <w:rPr>
          <w:rFonts w:cs="Times New Roman"/>
        </w:rPr>
        <w:t>，并应有不少于</w:t>
      </w:r>
      <w:r w:rsidR="00C36303" w:rsidRPr="0081478A">
        <w:rPr>
          <w:rFonts w:cs="Times New Roman"/>
        </w:rPr>
        <w:t>1/3</w:t>
      </w:r>
      <w:r w:rsidR="00C36303" w:rsidRPr="0081478A">
        <w:rPr>
          <w:rFonts w:cs="Times New Roman"/>
        </w:rPr>
        <w:t>的绿地面积在标准的建筑日照阴影线范围之外。</w:t>
      </w:r>
    </w:p>
    <w:p w14:paraId="6AD764CE" w14:textId="77C03DAB" w:rsidR="00962F9A" w:rsidRPr="0081478A" w:rsidRDefault="00962F9A" w:rsidP="00C36303">
      <w:pPr>
        <w:ind w:firstLine="420"/>
        <w:rPr>
          <w:rFonts w:cs="Times New Roman"/>
        </w:rPr>
      </w:pPr>
      <w:r>
        <w:rPr>
          <w:rFonts w:cs="Times New Roman" w:hint="eastAsia"/>
        </w:rPr>
        <w:t>2</w:t>
      </w:r>
      <w:r>
        <w:rPr>
          <w:rFonts w:cs="Times New Roman"/>
        </w:rPr>
        <w:t>.</w:t>
      </w:r>
      <w:r>
        <w:rPr>
          <w:rFonts w:cs="Times New Roman" w:hint="eastAsia"/>
        </w:rPr>
        <w:t>第</w:t>
      </w:r>
      <w:r>
        <w:rPr>
          <w:rFonts w:cs="Times New Roman" w:hint="eastAsia"/>
        </w:rPr>
        <w:t>2</w:t>
      </w:r>
      <w:r>
        <w:rPr>
          <w:rFonts w:cs="Times New Roman" w:hint="eastAsia"/>
        </w:rPr>
        <w:t>款第</w:t>
      </w:r>
      <w:r>
        <w:rPr>
          <w:rFonts w:cs="Times New Roman" w:hint="eastAsia"/>
        </w:rPr>
        <w:t>1</w:t>
      </w:r>
      <w:r>
        <w:rPr>
          <w:rFonts w:cs="Times New Roman" w:hint="eastAsia"/>
        </w:rPr>
        <w:t>项，</w:t>
      </w:r>
      <w:r>
        <w:rPr>
          <w:rFonts w:hint="eastAsia"/>
        </w:rPr>
        <w:t>规划指标中对绿地率没有要求的项目，而设计中也未明确，本条不得分。</w:t>
      </w:r>
    </w:p>
    <w:p w14:paraId="3E5B4D7E" w14:textId="49FDC43E" w:rsidR="00C36303" w:rsidRPr="0081478A" w:rsidRDefault="00962F9A" w:rsidP="00C36303">
      <w:pPr>
        <w:ind w:firstLine="420"/>
        <w:rPr>
          <w:rFonts w:cs="Times New Roman"/>
        </w:rPr>
      </w:pPr>
      <w:r>
        <w:rPr>
          <w:rFonts w:cs="Times New Roman"/>
        </w:rPr>
        <w:t>3</w:t>
      </w:r>
      <w:r w:rsidR="007D635A">
        <w:rPr>
          <w:rFonts w:cs="Times New Roman"/>
        </w:rPr>
        <w:t>.</w:t>
      </w:r>
      <w:r w:rsidR="005539A3">
        <w:rPr>
          <w:rFonts w:cs="Times New Roman" w:hint="eastAsia"/>
        </w:rPr>
        <w:t>第</w:t>
      </w:r>
      <w:r w:rsidR="005539A3">
        <w:rPr>
          <w:rFonts w:cs="Times New Roman" w:hint="eastAsia"/>
        </w:rPr>
        <w:t>2</w:t>
      </w:r>
      <w:r w:rsidR="005539A3">
        <w:rPr>
          <w:rFonts w:cs="Times New Roman" w:hint="eastAsia"/>
        </w:rPr>
        <w:t>款第</w:t>
      </w:r>
      <w:r w:rsidR="005539A3">
        <w:rPr>
          <w:rFonts w:cs="Times New Roman" w:hint="eastAsia"/>
        </w:rPr>
        <w:t>2</w:t>
      </w:r>
      <w:r w:rsidR="005539A3">
        <w:rPr>
          <w:rFonts w:cs="Times New Roman" w:hint="eastAsia"/>
        </w:rPr>
        <w:t>项，</w:t>
      </w:r>
      <w:r w:rsidR="00C36303" w:rsidRPr="0081478A">
        <w:rPr>
          <w:rFonts w:cs="Times New Roman"/>
        </w:rPr>
        <w:t>对于医院</w:t>
      </w:r>
      <w:r w:rsidR="00C36303" w:rsidRPr="0081478A">
        <w:rPr>
          <w:rFonts w:cs="Times New Roman" w:hint="eastAsia"/>
        </w:rPr>
        <w:t>建</w:t>
      </w:r>
      <w:r w:rsidR="00C36303" w:rsidRPr="0081478A">
        <w:rPr>
          <w:rFonts w:cs="Times New Roman"/>
        </w:rPr>
        <w:t>筑</w:t>
      </w:r>
      <w:r w:rsidR="0000636D">
        <w:rPr>
          <w:rFonts w:cs="Times New Roman" w:hint="eastAsia"/>
        </w:rPr>
        <w:t>等开放管理的项目</w:t>
      </w:r>
      <w:r w:rsidR="00C36303" w:rsidRPr="0081478A">
        <w:rPr>
          <w:rFonts w:cs="Times New Roman"/>
        </w:rPr>
        <w:t>的绿地，可直接视为开放的绿地，评价时直接得分。其他没有可开放绿地的公共建筑建设项目，</w:t>
      </w:r>
      <w:r w:rsidR="005539A3">
        <w:rPr>
          <w:rFonts w:cs="Times New Roman" w:hint="eastAsia"/>
        </w:rPr>
        <w:t>本项</w:t>
      </w:r>
      <w:r w:rsidR="00C36303" w:rsidRPr="0081478A">
        <w:rPr>
          <w:rFonts w:cs="Times New Roman"/>
        </w:rPr>
        <w:t>不得分。</w:t>
      </w:r>
    </w:p>
    <w:p w14:paraId="4FB8ADF1" w14:textId="275E6D7E" w:rsidR="00C36303" w:rsidRPr="0081478A" w:rsidRDefault="00962F9A" w:rsidP="00C36303">
      <w:pPr>
        <w:ind w:firstLine="420"/>
        <w:rPr>
          <w:rFonts w:cs="Times New Roman"/>
        </w:rPr>
      </w:pPr>
      <w:r>
        <w:rPr>
          <w:rFonts w:cs="Times New Roman"/>
        </w:rPr>
        <w:t>4</w:t>
      </w:r>
      <w:r w:rsidR="007D635A">
        <w:rPr>
          <w:rFonts w:cs="Times New Roman"/>
        </w:rPr>
        <w:t>.</w:t>
      </w:r>
      <w:r w:rsidR="00C36303" w:rsidRPr="0081478A">
        <w:rPr>
          <w:rFonts w:cs="Times New Roman"/>
        </w:rPr>
        <w:t>人均绿地指标和人均居住用地指标应采用相同的人口基数。</w:t>
      </w:r>
    </w:p>
    <w:p w14:paraId="381D7A60" w14:textId="1E183C10" w:rsidR="00684E45" w:rsidRPr="0081478A" w:rsidRDefault="00962F9A" w:rsidP="00962F9A">
      <w:pPr>
        <w:ind w:firstLine="420"/>
        <w:rPr>
          <w:rFonts w:cs="Times New Roman"/>
        </w:rPr>
      </w:pPr>
      <w:r>
        <w:rPr>
          <w:rFonts w:cs="Times New Roman"/>
        </w:rPr>
        <w:t>5</w:t>
      </w:r>
      <w:r w:rsidR="007D635A">
        <w:rPr>
          <w:rFonts w:cs="Times New Roman"/>
        </w:rPr>
        <w:t>.</w:t>
      </w:r>
      <w:r w:rsidR="00C36303" w:rsidRPr="0081478A">
        <w:rPr>
          <w:rFonts w:cs="Times New Roman"/>
        </w:rPr>
        <w:t>若申报范围为某建设项目中的局部，可基于该建设项目的总体为基准进行评价。</w:t>
      </w:r>
    </w:p>
    <w:p w14:paraId="46DA74E0" w14:textId="77777777" w:rsidR="00715ABB" w:rsidRPr="009252F8" w:rsidRDefault="00F44390" w:rsidP="009252F8">
      <w:pPr>
        <w:pStyle w:val="20"/>
      </w:pPr>
      <w:r w:rsidRPr="0081478A">
        <w:t>【评价方法】</w:t>
      </w:r>
    </w:p>
    <w:p w14:paraId="1C049962" w14:textId="77777777"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lastRenderedPageBreak/>
        <w:t>预评价查阅规划许可的设计条件、相关设计文件、日照分析报告、绿地率计算书；评价查阅相关竣工图、绿地率计算书，组织现场查勘。</w:t>
      </w:r>
    </w:p>
    <w:p w14:paraId="53000E08" w14:textId="77777777" w:rsidR="00715ABB" w:rsidRPr="001E54E5" w:rsidRDefault="00715ABB">
      <w:pPr>
        <w:snapToGrid w:val="0"/>
        <w:ind w:firstLineChars="0" w:firstLine="0"/>
        <w:jc w:val="left"/>
        <w:rPr>
          <w:rFonts w:cs="Times New Roman"/>
          <w:b/>
          <w:bCs/>
          <w:szCs w:val="24"/>
        </w:rPr>
      </w:pPr>
    </w:p>
    <w:p w14:paraId="7799AEBE" w14:textId="77777777" w:rsidR="00991D52" w:rsidRPr="00530A11" w:rsidRDefault="00991D52" w:rsidP="00991D52">
      <w:pPr>
        <w:pStyle w:val="4"/>
        <w:rPr>
          <w:rFonts w:cs="Times New Roman"/>
          <w:bCs w:val="0"/>
        </w:rPr>
      </w:pPr>
      <w:r w:rsidRPr="00530A11">
        <w:rPr>
          <w:rFonts w:cs="Times New Roman"/>
          <w:bCs w:val="0"/>
        </w:rPr>
        <w:t xml:space="preserve">8.2.4 </w:t>
      </w:r>
      <w:r w:rsidRPr="00530A11">
        <w:rPr>
          <w:rFonts w:cs="Times New Roman"/>
          <w:bCs w:val="0"/>
        </w:rPr>
        <w:t>室外吸烟区位置布局合理，评价总分值为</w:t>
      </w:r>
      <w:r w:rsidRPr="00530A11">
        <w:rPr>
          <w:rFonts w:cs="Times New Roman"/>
          <w:bCs w:val="0"/>
        </w:rPr>
        <w:t>4</w:t>
      </w:r>
      <w:r w:rsidRPr="00530A11">
        <w:rPr>
          <w:rFonts w:cs="Times New Roman"/>
          <w:bCs w:val="0"/>
        </w:rPr>
        <w:t>分，并按下列规则分别评分：</w:t>
      </w:r>
    </w:p>
    <w:p w14:paraId="5DD1ACE7"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室外吸烟区与绿植结合布置，并合理配置座椅和带烟头收集的垃圾筒，从建筑主出入口至室外吸烟区的导向标识完整、定位标识醒目，吸烟区设置吸烟有害健康的警示标识，得</w:t>
      </w:r>
      <w:r w:rsidRPr="00991D52">
        <w:rPr>
          <w:rFonts w:ascii="Times New Roman" w:hAnsi="Times New Roman" w:cs="Times New Roman"/>
          <w:bCs/>
          <w:color w:val="auto"/>
        </w:rPr>
        <w:t>2</w:t>
      </w:r>
      <w:r w:rsidRPr="00991D52">
        <w:rPr>
          <w:rFonts w:ascii="Times New Roman" w:hAnsi="Times New Roman" w:cs="Times New Roman"/>
          <w:bCs/>
          <w:color w:val="auto"/>
        </w:rPr>
        <w:t>分。</w:t>
      </w:r>
    </w:p>
    <w:p w14:paraId="4FE2F9C0"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hint="eastAsia"/>
          <w:bCs/>
          <w:color w:val="auto"/>
        </w:rPr>
        <w:t>全面禁止吸烟，得</w:t>
      </w:r>
      <w:r w:rsidRPr="00991D52">
        <w:rPr>
          <w:rFonts w:ascii="Times New Roman" w:hAnsi="Times New Roman" w:cs="Times New Roman"/>
          <w:bCs/>
          <w:color w:val="auto"/>
        </w:rPr>
        <w:t>4</w:t>
      </w:r>
      <w:r w:rsidRPr="00991D52">
        <w:rPr>
          <w:rFonts w:ascii="Times New Roman" w:hAnsi="Times New Roman" w:cs="Times New Roman" w:hint="eastAsia"/>
          <w:bCs/>
          <w:color w:val="auto"/>
        </w:rPr>
        <w:t>分。</w:t>
      </w:r>
    </w:p>
    <w:p w14:paraId="3EE1EF28" w14:textId="77777777" w:rsidR="00715ABB" w:rsidRPr="0081478A" w:rsidRDefault="00F44390" w:rsidP="009252F8">
      <w:pPr>
        <w:pStyle w:val="20"/>
      </w:pPr>
      <w:r w:rsidRPr="0081478A">
        <w:t>【条文说明】</w:t>
      </w:r>
    </w:p>
    <w:p w14:paraId="0A07A9A6" w14:textId="77777777" w:rsidR="00991D52" w:rsidRPr="00530A11" w:rsidRDefault="00991D52" w:rsidP="00991D52">
      <w:pPr>
        <w:ind w:firstLine="420"/>
        <w:rPr>
          <w:szCs w:val="24"/>
        </w:rPr>
      </w:pPr>
      <w:r w:rsidRPr="00530A11">
        <w:t>本条适用于各类民用建筑的预评价、评价。幼儿园、中小学校设置吸烟区不得分。</w:t>
      </w:r>
    </w:p>
    <w:p w14:paraId="6303E85F"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p>
    <w:p w14:paraId="27F65EA7" w14:textId="7D533FFB" w:rsidR="00991D52" w:rsidRPr="00530A11" w:rsidRDefault="00991D52" w:rsidP="00991D52">
      <w:pPr>
        <w:ind w:firstLine="420"/>
        <w:rPr>
          <w:rFonts w:cs="Times New Roman"/>
        </w:rPr>
      </w:pPr>
      <w:r w:rsidRPr="00530A11">
        <w:rPr>
          <w:rFonts w:cs="Times New Roman"/>
        </w:rPr>
        <w:t>本标准第</w:t>
      </w:r>
      <w:r w:rsidRPr="00530A11">
        <w:rPr>
          <w:rFonts w:cs="Times New Roman"/>
        </w:rPr>
        <w:t>5.1.1</w:t>
      </w:r>
      <w:r w:rsidRPr="00530A11">
        <w:rPr>
          <w:rFonts w:cs="Times New Roman"/>
        </w:rPr>
        <w:t>条规定了室内禁止吸烟，并规定了室外吸烟区设置的要求，同时需要为</w:t>
      </w:r>
      <w:r w:rsidRPr="00530A11">
        <w:rPr>
          <w:rFonts w:cs="Times New Roman"/>
        </w:rPr>
        <w:t>“</w:t>
      </w:r>
      <w:r w:rsidRPr="00530A11">
        <w:rPr>
          <w:rFonts w:cs="Times New Roman"/>
        </w:rPr>
        <w:t>烟民</w:t>
      </w:r>
      <w:r w:rsidRPr="00530A11">
        <w:rPr>
          <w:rFonts w:cs="Times New Roman"/>
        </w:rPr>
        <w:t>”</w:t>
      </w:r>
      <w:r w:rsidRPr="00530A11">
        <w:rPr>
          <w:rFonts w:cs="Times New Roman"/>
        </w:rPr>
        <w:t>设置专门的室外吸烟区，有效地引导有吸烟习惯的人群，走出室内，在规定的合理范围内吸烟，做到</w:t>
      </w:r>
      <w:r w:rsidRPr="00530A11">
        <w:rPr>
          <w:rFonts w:cs="Times New Roman"/>
        </w:rPr>
        <w:t>“</w:t>
      </w:r>
      <w:r w:rsidRPr="00530A11">
        <w:rPr>
          <w:rFonts w:cs="Times New Roman"/>
        </w:rPr>
        <w:t>疏堵结合</w:t>
      </w:r>
      <w:r w:rsidRPr="00530A11">
        <w:rPr>
          <w:rFonts w:cs="Times New Roman"/>
        </w:rPr>
        <w:t>”</w:t>
      </w:r>
      <w:r w:rsidRPr="00530A11">
        <w:rPr>
          <w:rFonts w:cs="Times New Roman"/>
        </w:rPr>
        <w:t>。室外吸烟区的选择还须避免人员密集区、有遮阴的人员聚集区，建筑出入口、雨篷等半开敞的空间、可开启窗户、建筑新风引入口、儿童年和老年人活动区域等位置，吸烟区内须配置垃圾筒和吸烟有害健康的警示标识</w:t>
      </w:r>
      <w:r w:rsidR="00834E7B">
        <w:rPr>
          <w:rFonts w:cs="Times New Roman" w:hint="eastAsia"/>
        </w:rPr>
        <w:t>，距离上述位置的距离不少于</w:t>
      </w:r>
      <w:r w:rsidR="00834E7B">
        <w:rPr>
          <w:rFonts w:cs="Times New Roman" w:hint="eastAsia"/>
        </w:rPr>
        <w:t>8m</w:t>
      </w:r>
      <w:r w:rsidRPr="00530A11">
        <w:rPr>
          <w:rFonts w:cs="Times New Roman"/>
        </w:rPr>
        <w:t>。</w:t>
      </w:r>
    </w:p>
    <w:p w14:paraId="3199F3DA" w14:textId="77777777" w:rsidR="00991D52" w:rsidRPr="00530A11" w:rsidRDefault="00991D52" w:rsidP="00991D52">
      <w:pPr>
        <w:ind w:firstLine="420"/>
        <w:rPr>
          <w:rFonts w:cs="Times New Roman"/>
        </w:rPr>
      </w:pPr>
      <w:r w:rsidRPr="00530A11">
        <w:rPr>
          <w:rFonts w:cs="Times New Roman"/>
        </w:rPr>
        <w:t>为减少和消除烟草烟雾危害，保障公众健康，</w:t>
      </w:r>
      <w:r w:rsidRPr="00530A11">
        <w:rPr>
          <w:rFonts w:cs="Times New Roman" w:hint="eastAsia"/>
        </w:rPr>
        <w:t>室外全面禁止吸烟，并粘贴全面禁止吸烟的标识，设置规章制度，设立控烟监督员等员工，按照相关制度对违反者进行罚款。</w:t>
      </w:r>
    </w:p>
    <w:p w14:paraId="0762A4DC" w14:textId="7BD78BEC" w:rsidR="00C36303" w:rsidRPr="009252F8" w:rsidRDefault="00C36303" w:rsidP="009252F8">
      <w:pPr>
        <w:pStyle w:val="20"/>
      </w:pPr>
      <w:r w:rsidRPr="0081478A">
        <w:t>【评价要点】</w:t>
      </w:r>
    </w:p>
    <w:p w14:paraId="171FDA18" w14:textId="0A990CAA" w:rsidR="005B05B1" w:rsidRDefault="005B05B1" w:rsidP="005B05B1">
      <w:pPr>
        <w:ind w:firstLine="420"/>
      </w:pPr>
      <w:r>
        <w:rPr>
          <w:rFonts w:hint="eastAsia"/>
        </w:rPr>
        <w:t>第</w:t>
      </w:r>
      <w:r>
        <w:rPr>
          <w:rFonts w:hint="eastAsia"/>
        </w:rPr>
        <w:t>1</w:t>
      </w:r>
      <w:r>
        <w:rPr>
          <w:rFonts w:hint="eastAsia"/>
        </w:rPr>
        <w:t>条，</w:t>
      </w:r>
      <w:r w:rsidRPr="005B05B1">
        <w:rPr>
          <w:rFonts w:hint="eastAsia"/>
        </w:rPr>
        <w:t>重点审核室外吸烟区在总平面图上的布置点</w:t>
      </w:r>
      <w:r>
        <w:rPr>
          <w:rFonts w:hint="eastAsia"/>
        </w:rPr>
        <w:t>，</w:t>
      </w:r>
      <w:r w:rsidRPr="0081478A">
        <w:rPr>
          <w:rFonts w:cs="Times New Roman"/>
        </w:rPr>
        <w:t>建筑主出入口至室外吸烟区的导向标识</w:t>
      </w:r>
      <w:r>
        <w:rPr>
          <w:rFonts w:cs="Times New Roman" w:hint="eastAsia"/>
        </w:rPr>
        <w:t>，</w:t>
      </w:r>
      <w:r w:rsidRPr="0081478A">
        <w:rPr>
          <w:rFonts w:cs="Times New Roman"/>
        </w:rPr>
        <w:t>吸烟区</w:t>
      </w:r>
      <w:r>
        <w:rPr>
          <w:rFonts w:cs="Times New Roman" w:hint="eastAsia"/>
        </w:rPr>
        <w:t>是否</w:t>
      </w:r>
      <w:r w:rsidRPr="0081478A">
        <w:rPr>
          <w:rFonts w:cs="Times New Roman"/>
        </w:rPr>
        <w:t>设置吸烟有害健康的警示标识</w:t>
      </w:r>
      <w:r>
        <w:rPr>
          <w:rFonts w:cs="Times New Roman" w:hint="eastAsia"/>
        </w:rPr>
        <w:t>，</w:t>
      </w:r>
      <w:r w:rsidRPr="005B05B1">
        <w:rPr>
          <w:rFonts w:hint="eastAsia"/>
        </w:rPr>
        <w:t>不设吸烟区的场地内是否设置禁烟标识</w:t>
      </w:r>
      <w:r>
        <w:rPr>
          <w:rFonts w:hint="eastAsia"/>
        </w:rPr>
        <w:t>。</w:t>
      </w:r>
    </w:p>
    <w:p w14:paraId="77ACD975" w14:textId="7FDBCDD4" w:rsidR="005B05B1" w:rsidRPr="0081478A" w:rsidRDefault="005B05B1" w:rsidP="005B05B1">
      <w:pPr>
        <w:ind w:firstLine="420"/>
      </w:pPr>
      <w:r>
        <w:rPr>
          <w:rFonts w:hint="eastAsia"/>
        </w:rPr>
        <w:t>第</w:t>
      </w:r>
      <w:r>
        <w:rPr>
          <w:rFonts w:hint="eastAsia"/>
        </w:rPr>
        <w:t>2</w:t>
      </w:r>
      <w:r>
        <w:rPr>
          <w:rFonts w:hint="eastAsia"/>
        </w:rPr>
        <w:t>条，室内外是否设置全面禁止吸烟的标识</w:t>
      </w:r>
      <w:r w:rsidR="007D635A">
        <w:rPr>
          <w:rFonts w:hint="eastAsia"/>
        </w:rPr>
        <w:t>，并查阅</w:t>
      </w:r>
      <w:r>
        <w:rPr>
          <w:rFonts w:hint="eastAsia"/>
        </w:rPr>
        <w:t>相关</w:t>
      </w:r>
      <w:r w:rsidRPr="0081478A">
        <w:rPr>
          <w:rFonts w:cs="Times New Roman"/>
        </w:rPr>
        <w:t>规章制度</w:t>
      </w:r>
      <w:r w:rsidR="007D635A">
        <w:rPr>
          <w:rFonts w:cs="Times New Roman" w:hint="eastAsia"/>
        </w:rPr>
        <w:t>文件</w:t>
      </w:r>
      <w:r>
        <w:rPr>
          <w:rFonts w:cs="Times New Roman" w:hint="eastAsia"/>
        </w:rPr>
        <w:t>，现场</w:t>
      </w:r>
      <w:r w:rsidR="007D635A">
        <w:rPr>
          <w:rFonts w:cs="Times New Roman" w:hint="eastAsia"/>
        </w:rPr>
        <w:t>检查</w:t>
      </w:r>
      <w:r>
        <w:rPr>
          <w:rFonts w:cs="Times New Roman" w:hint="eastAsia"/>
        </w:rPr>
        <w:t>是否</w:t>
      </w:r>
      <w:r w:rsidRPr="0081478A">
        <w:rPr>
          <w:rFonts w:cs="Times New Roman"/>
        </w:rPr>
        <w:t>设立控烟监督员</w:t>
      </w:r>
      <w:r>
        <w:rPr>
          <w:rFonts w:cs="Times New Roman" w:hint="eastAsia"/>
        </w:rPr>
        <w:t>。</w:t>
      </w:r>
    </w:p>
    <w:p w14:paraId="3C686B91" w14:textId="77777777" w:rsidR="00715ABB" w:rsidRPr="009252F8" w:rsidRDefault="00F44390" w:rsidP="009252F8">
      <w:pPr>
        <w:pStyle w:val="20"/>
      </w:pPr>
      <w:r w:rsidRPr="0081478A">
        <w:t>【评价方法】</w:t>
      </w:r>
    </w:p>
    <w:p w14:paraId="0473E0D3" w14:textId="77777777"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t>预评价查阅相关设计文件；评价查阅相关竣工图，项目范围内吸烟区设置、相关禁烟标识影像资料，组织现场查勘。</w:t>
      </w:r>
    </w:p>
    <w:p w14:paraId="6FAC82C4" w14:textId="77777777" w:rsidR="00715ABB" w:rsidRPr="001E54E5" w:rsidRDefault="00715ABB">
      <w:pPr>
        <w:snapToGrid w:val="0"/>
        <w:ind w:firstLineChars="0" w:firstLine="0"/>
        <w:jc w:val="left"/>
        <w:rPr>
          <w:rFonts w:cs="Times New Roman"/>
          <w:b/>
          <w:bCs/>
          <w:szCs w:val="24"/>
        </w:rPr>
      </w:pPr>
    </w:p>
    <w:p w14:paraId="02EB9143" w14:textId="77777777" w:rsidR="00991D52" w:rsidRPr="00530A11" w:rsidRDefault="00991D52" w:rsidP="00991D52">
      <w:pPr>
        <w:pStyle w:val="4"/>
        <w:rPr>
          <w:rFonts w:cs="Times New Roman"/>
          <w:bCs w:val="0"/>
        </w:rPr>
      </w:pPr>
      <w:r w:rsidRPr="00530A11">
        <w:rPr>
          <w:rFonts w:cs="Times New Roman"/>
          <w:bCs w:val="0"/>
        </w:rPr>
        <w:lastRenderedPageBreak/>
        <w:t xml:space="preserve">8.2.5 </w:t>
      </w:r>
      <w:r w:rsidRPr="00530A11">
        <w:rPr>
          <w:rFonts w:cs="Times New Roman"/>
          <w:bCs w:val="0"/>
        </w:rPr>
        <w:t>利用场地空间设置绿色雨水基础设施，评价总分值为</w:t>
      </w:r>
      <w:r w:rsidRPr="00530A11">
        <w:rPr>
          <w:rFonts w:cs="Times New Roman"/>
          <w:bCs w:val="0"/>
        </w:rPr>
        <w:t>15</w:t>
      </w:r>
      <w:r w:rsidRPr="00530A11">
        <w:rPr>
          <w:rFonts w:cs="Times New Roman"/>
          <w:bCs w:val="0"/>
        </w:rPr>
        <w:t>分，并按下列规则分别评分并累计：</w:t>
      </w:r>
    </w:p>
    <w:p w14:paraId="22307070"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下凹式绿地、雨水花园等有调蓄雨水功能的绿地和水体的面积之和占绿地面积的比例达到</w:t>
      </w:r>
      <w:r w:rsidRPr="00991D52">
        <w:rPr>
          <w:rFonts w:ascii="Times New Roman" w:hAnsi="Times New Roman" w:cs="Times New Roman"/>
          <w:bCs/>
          <w:color w:val="auto"/>
        </w:rPr>
        <w:t>40</w:t>
      </w:r>
      <w:r w:rsidRPr="00991D52">
        <w:rPr>
          <w:rFonts w:ascii="Times New Roman" w:hAnsi="Times New Roman" w:cs="Times New Roman"/>
          <w:bCs/>
          <w:color w:val="auto"/>
        </w:rPr>
        <w:t>％，得</w:t>
      </w:r>
      <w:r w:rsidRPr="00991D52">
        <w:rPr>
          <w:rFonts w:ascii="Times New Roman" w:hAnsi="Times New Roman" w:cs="Times New Roman"/>
          <w:bCs/>
          <w:color w:val="auto"/>
        </w:rPr>
        <w:t>3</w:t>
      </w:r>
      <w:r w:rsidRPr="00991D52">
        <w:rPr>
          <w:rFonts w:ascii="Times New Roman" w:hAnsi="Times New Roman" w:cs="Times New Roman"/>
          <w:bCs/>
          <w:color w:val="auto"/>
        </w:rPr>
        <w:t>分；达到</w:t>
      </w:r>
      <w:r w:rsidRPr="00991D52">
        <w:rPr>
          <w:rFonts w:ascii="Times New Roman" w:hAnsi="Times New Roman" w:cs="Times New Roman"/>
          <w:bCs/>
          <w:color w:val="auto"/>
        </w:rPr>
        <w:t>60</w:t>
      </w:r>
      <w:r w:rsidRPr="00991D52">
        <w:rPr>
          <w:rFonts w:ascii="Times New Roman" w:hAnsi="Times New Roman" w:cs="Times New Roman"/>
          <w:bCs/>
          <w:color w:val="auto"/>
        </w:rPr>
        <w:t>％，得</w:t>
      </w:r>
      <w:r w:rsidRPr="00991D52">
        <w:rPr>
          <w:rFonts w:ascii="Times New Roman" w:hAnsi="Times New Roman" w:cs="Times New Roman"/>
          <w:bCs/>
          <w:color w:val="auto"/>
        </w:rPr>
        <w:t>5</w:t>
      </w:r>
      <w:r w:rsidRPr="00991D52">
        <w:rPr>
          <w:rFonts w:ascii="Times New Roman" w:hAnsi="Times New Roman" w:cs="Times New Roman"/>
          <w:bCs/>
          <w:color w:val="auto"/>
        </w:rPr>
        <w:t>分；</w:t>
      </w:r>
    </w:p>
    <w:p w14:paraId="37563BE7"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bCs/>
          <w:color w:val="auto"/>
        </w:rPr>
        <w:t>衔接和引导不少于</w:t>
      </w:r>
      <w:r w:rsidRPr="00991D52">
        <w:rPr>
          <w:rFonts w:ascii="Times New Roman" w:hAnsi="Times New Roman" w:cs="Times New Roman"/>
          <w:bCs/>
          <w:color w:val="auto"/>
        </w:rPr>
        <w:t>80</w:t>
      </w:r>
      <w:r w:rsidRPr="00991D52">
        <w:rPr>
          <w:rFonts w:ascii="Times New Roman" w:hAnsi="Times New Roman" w:cs="Times New Roman"/>
          <w:bCs/>
          <w:color w:val="auto"/>
        </w:rPr>
        <w:t>％的屋面雨水进入地面生态设施，得</w:t>
      </w:r>
      <w:r w:rsidRPr="00991D52">
        <w:rPr>
          <w:rFonts w:ascii="Times New Roman" w:hAnsi="Times New Roman" w:cs="Times New Roman"/>
          <w:bCs/>
          <w:color w:val="auto"/>
        </w:rPr>
        <w:t>3</w:t>
      </w:r>
      <w:r w:rsidRPr="00991D52">
        <w:rPr>
          <w:rFonts w:ascii="Times New Roman" w:hAnsi="Times New Roman" w:cs="Times New Roman"/>
          <w:bCs/>
          <w:color w:val="auto"/>
        </w:rPr>
        <w:t>分</w:t>
      </w:r>
    </w:p>
    <w:p w14:paraId="0244D4C7"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3 </w:t>
      </w:r>
      <w:r w:rsidRPr="00991D52">
        <w:rPr>
          <w:rFonts w:ascii="Times New Roman" w:hAnsi="Times New Roman" w:cs="Times New Roman"/>
          <w:bCs/>
          <w:color w:val="auto"/>
        </w:rPr>
        <w:t>衔接和引导不少于</w:t>
      </w:r>
      <w:r w:rsidRPr="00991D52">
        <w:rPr>
          <w:rFonts w:ascii="Times New Roman" w:hAnsi="Times New Roman" w:cs="Times New Roman"/>
          <w:bCs/>
          <w:color w:val="auto"/>
        </w:rPr>
        <w:t>80</w:t>
      </w:r>
      <w:r w:rsidRPr="00991D52">
        <w:rPr>
          <w:rFonts w:ascii="Times New Roman" w:hAnsi="Times New Roman" w:cs="Times New Roman"/>
          <w:bCs/>
          <w:color w:val="auto"/>
        </w:rPr>
        <w:t>％的道路雨水进入地面生态设施，得</w:t>
      </w:r>
      <w:r w:rsidRPr="00991D52">
        <w:rPr>
          <w:rFonts w:ascii="Times New Roman" w:hAnsi="Times New Roman" w:cs="Times New Roman"/>
          <w:bCs/>
          <w:color w:val="auto"/>
        </w:rPr>
        <w:t>4</w:t>
      </w:r>
      <w:r w:rsidRPr="00991D52">
        <w:rPr>
          <w:rFonts w:ascii="Times New Roman" w:hAnsi="Times New Roman" w:cs="Times New Roman"/>
          <w:bCs/>
          <w:color w:val="auto"/>
        </w:rPr>
        <w:t>分；</w:t>
      </w:r>
    </w:p>
    <w:p w14:paraId="25A39130" w14:textId="77777777" w:rsidR="00991D52" w:rsidRPr="00991D52" w:rsidRDefault="00991D52" w:rsidP="00991D52">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4 </w:t>
      </w:r>
      <w:r w:rsidRPr="00991D52">
        <w:rPr>
          <w:rFonts w:ascii="Times New Roman" w:hAnsi="Times New Roman" w:cs="Times New Roman"/>
          <w:bCs/>
          <w:color w:val="auto"/>
        </w:rPr>
        <w:t>硬质铺装地面中透水铺装面积的比例达到</w:t>
      </w:r>
      <w:r w:rsidRPr="00991D52">
        <w:rPr>
          <w:rFonts w:ascii="Times New Roman" w:hAnsi="Times New Roman" w:cs="Times New Roman"/>
          <w:bCs/>
          <w:color w:val="auto"/>
        </w:rPr>
        <w:t>50</w:t>
      </w:r>
      <w:r w:rsidRPr="00991D52">
        <w:rPr>
          <w:rFonts w:ascii="Times New Roman" w:hAnsi="Times New Roman" w:cs="Times New Roman"/>
          <w:bCs/>
          <w:color w:val="auto"/>
        </w:rPr>
        <w:t>％，得</w:t>
      </w:r>
      <w:r w:rsidRPr="00991D52">
        <w:rPr>
          <w:rFonts w:ascii="Times New Roman" w:hAnsi="Times New Roman" w:cs="Times New Roman"/>
          <w:bCs/>
          <w:color w:val="auto"/>
        </w:rPr>
        <w:t>3</w:t>
      </w:r>
      <w:r w:rsidRPr="00991D52">
        <w:rPr>
          <w:rFonts w:ascii="Times New Roman" w:hAnsi="Times New Roman" w:cs="Times New Roman"/>
          <w:bCs/>
          <w:color w:val="auto"/>
        </w:rPr>
        <w:t>分。</w:t>
      </w:r>
    </w:p>
    <w:p w14:paraId="0F04E70F" w14:textId="77777777" w:rsidR="00715ABB" w:rsidRPr="0081478A" w:rsidRDefault="00F44390" w:rsidP="009252F8">
      <w:pPr>
        <w:pStyle w:val="20"/>
      </w:pPr>
      <w:r w:rsidRPr="0081478A">
        <w:t>【条文说明】</w:t>
      </w:r>
    </w:p>
    <w:p w14:paraId="147FAFA6" w14:textId="77777777" w:rsidR="00991D52" w:rsidRPr="00530A11" w:rsidRDefault="00991D52" w:rsidP="00991D52">
      <w:pPr>
        <w:ind w:firstLine="420"/>
        <w:rPr>
          <w:szCs w:val="24"/>
        </w:rPr>
      </w:pPr>
      <w:r w:rsidRPr="00530A11">
        <w:t>本条适用于各类民用建筑的预评价、评价。</w:t>
      </w:r>
    </w:p>
    <w:p w14:paraId="01823386" w14:textId="77777777" w:rsidR="00991D52" w:rsidRPr="00530A11" w:rsidRDefault="00991D52" w:rsidP="00991D52">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4.2.13</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4.2.13</w:t>
      </w:r>
      <w:r w:rsidRPr="00530A11">
        <w:rPr>
          <w:rFonts w:cs="Times New Roman"/>
        </w:rPr>
        <w:t>条的基础上发展而来。</w:t>
      </w:r>
    </w:p>
    <w:p w14:paraId="7AFF4257" w14:textId="77777777" w:rsidR="00991D52" w:rsidRPr="00530A11" w:rsidRDefault="00991D52" w:rsidP="00991D52">
      <w:pPr>
        <w:ind w:firstLine="420"/>
        <w:rPr>
          <w:rFonts w:cs="Times New Roman"/>
        </w:rPr>
      </w:pPr>
      <w:r w:rsidRPr="00530A11">
        <w:rPr>
          <w:rFonts w:cs="Times New Roman"/>
        </w:rPr>
        <w:t>场地开发应遵循低影响开发原则，合理利用场地空间设置绿色雨水基础设施。绿色雨水基础设施有雨水花园、下凹式绿地、屋顶绿化、植被浅沟、截污设施、渗透设施、雨水塘、雨水湿地、景观水体等。绿色雨水基础设施有别于传统的灰色雨水设施</w:t>
      </w:r>
      <w:r w:rsidRPr="00530A11">
        <w:rPr>
          <w:rFonts w:cs="Times New Roman"/>
        </w:rPr>
        <w:t>(</w:t>
      </w:r>
      <w:r w:rsidRPr="00530A11">
        <w:rPr>
          <w:rFonts w:cs="Times New Roman"/>
        </w:rPr>
        <w:t>雨水口、雨水管道、调蓄池等</w:t>
      </w:r>
      <w:r w:rsidRPr="00530A11">
        <w:rPr>
          <w:rFonts w:cs="Times New Roman"/>
        </w:rPr>
        <w:t>)</w:t>
      </w:r>
      <w:r w:rsidRPr="00530A11">
        <w:rPr>
          <w:rFonts w:cs="Times New Roman"/>
        </w:rPr>
        <w:t>，能够以自然的方式削减雨水径流、控制径流污染、保护水环境。</w:t>
      </w:r>
    </w:p>
    <w:p w14:paraId="2DA0F952" w14:textId="77777777" w:rsidR="00991D52" w:rsidRPr="00530A11" w:rsidRDefault="00991D52" w:rsidP="00991D52">
      <w:pPr>
        <w:ind w:firstLine="420"/>
        <w:rPr>
          <w:rFonts w:cs="Times New Roman"/>
        </w:rPr>
      </w:pPr>
      <w:r w:rsidRPr="00530A11">
        <w:rPr>
          <w:rFonts w:cs="Times New Roman"/>
        </w:rPr>
        <w:t>第</w:t>
      </w:r>
      <w:r w:rsidRPr="00530A11">
        <w:rPr>
          <w:rFonts w:cs="Times New Roman"/>
        </w:rPr>
        <w:t>1</w:t>
      </w:r>
      <w:r w:rsidRPr="00530A11">
        <w:rPr>
          <w:rFonts w:cs="Times New Roman"/>
        </w:rPr>
        <w:t>款，利用场地内的水塘、湿地、低洼地等作为雨水调蓄设施，或利用场地内设计景观</w:t>
      </w:r>
      <w:r w:rsidRPr="00530A11">
        <w:rPr>
          <w:rFonts w:cs="Times New Roman"/>
        </w:rPr>
        <w:t>(</w:t>
      </w:r>
      <w:r w:rsidRPr="00530A11">
        <w:rPr>
          <w:rFonts w:cs="Times New Roman"/>
        </w:rPr>
        <w:t>如景观绿地、旱溪和景观水体</w:t>
      </w:r>
      <w:r w:rsidRPr="00530A11">
        <w:rPr>
          <w:rFonts w:cs="Times New Roman"/>
        </w:rPr>
        <w:t>)</w:t>
      </w:r>
      <w:r w:rsidRPr="00530A11">
        <w:rPr>
          <w:rFonts w:cs="Times New Roman"/>
        </w:rPr>
        <w:t>来调蓄雨水，可实现有限土地资源综合利用的目标。能调蓄雨水的景观绿地包括下凹式绿地、雨水花园、树池、干塘等。</w:t>
      </w:r>
    </w:p>
    <w:p w14:paraId="13898B98" w14:textId="77777777" w:rsidR="00991D52" w:rsidRPr="00530A11" w:rsidRDefault="00991D52" w:rsidP="00991D52">
      <w:pPr>
        <w:ind w:firstLine="420"/>
        <w:rPr>
          <w:rFonts w:cs="Times New Roman"/>
        </w:rPr>
      </w:pPr>
      <w:r w:rsidRPr="00530A11">
        <w:rPr>
          <w:rFonts w:cs="Times New Roman"/>
        </w:rPr>
        <w:t>第</w:t>
      </w:r>
      <w:r w:rsidRPr="00530A11">
        <w:rPr>
          <w:rFonts w:cs="Times New Roman"/>
        </w:rPr>
        <w:t>2</w:t>
      </w:r>
      <w:r w:rsidRPr="00530A11">
        <w:rPr>
          <w:rFonts w:cs="Times New Roman"/>
        </w:rPr>
        <w:t>、</w:t>
      </w:r>
      <w:r w:rsidRPr="00530A11">
        <w:rPr>
          <w:rFonts w:cs="Times New Roman"/>
        </w:rPr>
        <w:t>3</w:t>
      </w:r>
      <w:r w:rsidRPr="00530A11">
        <w:rPr>
          <w:rFonts w:cs="Times New Roman"/>
        </w:rPr>
        <w:t>款，屋面雨水和道路雨水是建筑场地产生径流的重要源头，易被污染并形成污染源，故宜合理引导其进入地面生态设施进行调蓄、下渗和利用，并采取相应截污措施。地面生态设施是指下凹式绿地、植草沟、树池等，即在地势较低的区域种植植物，通过植物截流、土壤过滤滞留处理小流量径流雨水，达到控制径流污染的目的。洗衣废水若排入绿地，将危害植物的生长，物业应定期检查并杜绝阳台洗衣废水接入雨水管的情况发生。</w:t>
      </w:r>
    </w:p>
    <w:p w14:paraId="1EBD00AA" w14:textId="77777777" w:rsidR="00991D52" w:rsidRPr="00530A11" w:rsidRDefault="00991D52" w:rsidP="00991D52">
      <w:pPr>
        <w:ind w:firstLine="420"/>
        <w:rPr>
          <w:rFonts w:cs="Times New Roman"/>
        </w:rPr>
      </w:pPr>
      <w:r w:rsidRPr="00530A11">
        <w:rPr>
          <w:rFonts w:cs="Times New Roman"/>
        </w:rPr>
        <w:t>第</w:t>
      </w:r>
      <w:r w:rsidRPr="00530A11">
        <w:rPr>
          <w:rFonts w:cs="Times New Roman"/>
        </w:rPr>
        <w:t>4</w:t>
      </w:r>
      <w:r w:rsidRPr="00530A11">
        <w:rPr>
          <w:rFonts w:cs="Times New Roman"/>
        </w:rPr>
        <w:t>款，雨水下渗也是削减径流和径流污染的重要途径之一。</w:t>
      </w:r>
      <w:r w:rsidRPr="00530A11">
        <w:rPr>
          <w:rFonts w:cs="Times New Roman"/>
        </w:rPr>
        <w:t>“</w:t>
      </w:r>
      <w:r w:rsidRPr="00530A11">
        <w:rPr>
          <w:rFonts w:cs="Times New Roman"/>
        </w:rPr>
        <w:t>硬质铺装地面</w:t>
      </w:r>
      <w:r w:rsidRPr="00530A11">
        <w:rPr>
          <w:rFonts w:cs="Times New Roman"/>
        </w:rPr>
        <w:t>”</w:t>
      </w:r>
      <w:r w:rsidRPr="00530A11">
        <w:rPr>
          <w:rFonts w:cs="Times New Roman"/>
        </w:rPr>
        <w:t>指场地中停车场、道路和室外活动场地等，不包括建筑占地</w:t>
      </w:r>
      <w:r w:rsidRPr="00530A11">
        <w:rPr>
          <w:rFonts w:cs="Times New Roman"/>
        </w:rPr>
        <w:t>(</w:t>
      </w:r>
      <w:r w:rsidRPr="00530A11">
        <w:rPr>
          <w:rFonts w:cs="Times New Roman"/>
        </w:rPr>
        <w:t>屋面</w:t>
      </w:r>
      <w:r w:rsidRPr="00530A11">
        <w:rPr>
          <w:rFonts w:cs="Times New Roman"/>
        </w:rPr>
        <w:t>)</w:t>
      </w:r>
      <w:r w:rsidRPr="00530A11">
        <w:rPr>
          <w:rFonts w:cs="Times New Roman"/>
        </w:rPr>
        <w:t>、绿地、水面等。</w:t>
      </w:r>
      <w:r w:rsidRPr="00530A11">
        <w:rPr>
          <w:rFonts w:cs="Times New Roman"/>
        </w:rPr>
        <w:t>“</w:t>
      </w:r>
      <w:r w:rsidRPr="00530A11">
        <w:rPr>
          <w:rFonts w:cs="Times New Roman"/>
        </w:rPr>
        <w:t>透水铺装</w:t>
      </w:r>
      <w:r w:rsidRPr="00530A11">
        <w:rPr>
          <w:rFonts w:cs="Times New Roman"/>
        </w:rPr>
        <w:t>”</w:t>
      </w:r>
      <w:r w:rsidRPr="00530A11">
        <w:rPr>
          <w:rFonts w:cs="Times New Roman"/>
        </w:rPr>
        <w:t>指既能满足路用及铺地强度和耐久性要求，又能使雨水通过本身与铺装下基层相通的渗水路径直接渗入下部土壤的地面铺装系统，包括采用透水铺装方式或使用植草砖、透水沥青、透水混凝土、透水地砖等透水铺装材料。当透水铺装下为地下室顶板时，若地下室顶板设有疏水板及导水管等可将渗透雨水导入与地下室顶板接壤的实土，或地下室顶板上覆土深度能满足当地园林绿化部门要求时，仍可认定其为透水铺装地面，但覆土深度不得小于</w:t>
      </w:r>
      <w:r w:rsidRPr="00530A11">
        <w:rPr>
          <w:rFonts w:cs="Times New Roman"/>
        </w:rPr>
        <w:t>600mm</w:t>
      </w:r>
      <w:r w:rsidRPr="00530A11">
        <w:rPr>
          <w:rFonts w:cs="Times New Roman"/>
        </w:rPr>
        <w:t>。评价</w:t>
      </w:r>
      <w:r w:rsidRPr="00530A11">
        <w:rPr>
          <w:rFonts w:cs="Times New Roman"/>
        </w:rPr>
        <w:lastRenderedPageBreak/>
        <w:t>时以场地硬质铺装地面中透水铺装所占的面积比例为依据。申报材料中应提供场地铺装图，要求明确透水铺装地面位置、面积、铺装材料和透水铺装方式。</w:t>
      </w:r>
    </w:p>
    <w:p w14:paraId="36136CC2" w14:textId="1DBC4E51" w:rsidR="00C36303" w:rsidRPr="009252F8" w:rsidRDefault="00C36303" w:rsidP="009252F8">
      <w:pPr>
        <w:pStyle w:val="20"/>
      </w:pPr>
      <w:r w:rsidRPr="0081478A">
        <w:t>【评价要点】</w:t>
      </w:r>
    </w:p>
    <w:p w14:paraId="22402B9D" w14:textId="22C4F6AC" w:rsidR="00C36303" w:rsidRPr="0081478A" w:rsidRDefault="00C36303" w:rsidP="00C36303">
      <w:pPr>
        <w:ind w:firstLine="420"/>
        <w:rPr>
          <w:rFonts w:cs="Times New Roman"/>
        </w:rPr>
      </w:pPr>
      <w:r w:rsidRPr="0081478A">
        <w:rPr>
          <w:rFonts w:cs="Times New Roman"/>
        </w:rPr>
        <w:t>第</w:t>
      </w:r>
      <w:r w:rsidR="00F01066">
        <w:rPr>
          <w:rFonts w:cs="Times New Roman"/>
        </w:rPr>
        <w:t>4</w:t>
      </w:r>
      <w:r w:rsidRPr="0081478A">
        <w:rPr>
          <w:rFonts w:cs="Times New Roman"/>
        </w:rPr>
        <w:t>款所指的</w:t>
      </w:r>
      <w:bookmarkStart w:id="184" w:name="_Hlk34052382"/>
      <w:r w:rsidRPr="0081478A">
        <w:rPr>
          <w:rFonts w:cs="Times New Roman"/>
        </w:rPr>
        <w:t>“</w:t>
      </w:r>
      <w:r w:rsidRPr="0081478A">
        <w:rPr>
          <w:rFonts w:cs="Times New Roman"/>
        </w:rPr>
        <w:t>硬质铺装地面</w:t>
      </w:r>
      <w:r w:rsidRPr="0081478A">
        <w:rPr>
          <w:rFonts w:cs="Times New Roman"/>
        </w:rPr>
        <w:t>”</w:t>
      </w:r>
      <w:r w:rsidRPr="0081478A">
        <w:rPr>
          <w:rFonts w:cs="Times New Roman"/>
        </w:rPr>
        <w:t>指场地中停车场、道路和室外活动场地等，不包括建筑占地（屋面）、绿地、水面等。</w:t>
      </w:r>
      <w:bookmarkEnd w:id="184"/>
      <w:r w:rsidRPr="0081478A">
        <w:rPr>
          <w:rFonts w:cs="Times New Roman"/>
        </w:rPr>
        <w:t>停车场、道路和室外活动场地等具有一定承载能力要求，多采用石材、砖、混凝土、砾石等为铺地材料，透水性能较差，雨水无法入渗，形成大量地面径流，增加城市排水系统的压力。</w:t>
      </w:r>
      <w:r w:rsidRPr="0081478A">
        <w:rPr>
          <w:rFonts w:cs="Times New Roman"/>
        </w:rPr>
        <w:t>“</w:t>
      </w:r>
      <w:r w:rsidRPr="0081478A">
        <w:rPr>
          <w:rFonts w:cs="Times New Roman"/>
        </w:rPr>
        <w:t>透水铺装</w:t>
      </w:r>
      <w:r w:rsidRPr="0081478A">
        <w:rPr>
          <w:rFonts w:cs="Times New Roman"/>
        </w:rPr>
        <w:t>”</w:t>
      </w:r>
      <w:r w:rsidRPr="0081478A">
        <w:rPr>
          <w:rFonts w:cs="Times New Roman"/>
        </w:rPr>
        <w:t>是指采用如植草砖、透水沥青、透水混凝土、透水地砖等透水铺装系统，既能满足路用及铺地强度和耐久性要求，又能使雨水通过本身与铺装下基层相通的渗水路径直接渗入下部土壤的地面铺装。采用如透水沥青、透水混凝土、透水地砖等透水铺装系统，可以改善地面透水性能。当透水铺装下为地下室顶板时，若地下室顶板设有疏水板及导水管等可将渗透雨水导入与地下室顶板接壤的实土，或地下室顶板上覆土深度能满足当地绿化要求时，仍可认定其为透水铺装地面，并且透水铺装面积要求有效覆土深度达到</w:t>
      </w:r>
      <w:r w:rsidRPr="0081478A">
        <w:rPr>
          <w:rFonts w:cs="Times New Roman"/>
        </w:rPr>
        <w:t>1.5m</w:t>
      </w:r>
      <w:r w:rsidRPr="0081478A">
        <w:rPr>
          <w:rFonts w:cs="Times New Roman"/>
        </w:rPr>
        <w:t>以上。有新增材料的，需要提交材料样本，并经相关主管部门的认可。评价时以场地中硬质铺装地面中透水铺装所占的面积比例为依据。</w:t>
      </w:r>
    </w:p>
    <w:p w14:paraId="358134A9" w14:textId="77777777" w:rsidR="00715ABB" w:rsidRPr="009252F8" w:rsidRDefault="00F44390" w:rsidP="009252F8">
      <w:pPr>
        <w:pStyle w:val="20"/>
      </w:pPr>
      <w:r w:rsidRPr="0081478A">
        <w:t>【评价方法】</w:t>
      </w:r>
    </w:p>
    <w:p w14:paraId="5ED83440" w14:textId="77777777" w:rsidR="001E54E5" w:rsidRPr="00530A11" w:rsidRDefault="001E54E5" w:rsidP="001E54E5">
      <w:pPr>
        <w:pStyle w:val="20"/>
        <w:ind w:firstLineChars="200" w:firstLine="420"/>
        <w:rPr>
          <w:rFonts w:ascii="Times New Roman" w:hAnsi="Times New Roman" w:cs="Times New Roman"/>
          <w:b w:val="0"/>
          <w:color w:val="auto"/>
        </w:rPr>
      </w:pPr>
      <w:r w:rsidRPr="00530A11">
        <w:rPr>
          <w:rFonts w:cs="Times New Roman"/>
          <w:b w:val="0"/>
        </w:rPr>
        <w:t>预评价查阅相关设计文件(含总平面图、景观设计图、室外给水排水总平面图等)、计算书；评价查阅相关竣工图、计算书，组织现场查勘。</w:t>
      </w:r>
    </w:p>
    <w:p w14:paraId="04647F12" w14:textId="1E6B84F9" w:rsidR="00991D52" w:rsidRPr="001E54E5" w:rsidRDefault="00991D52">
      <w:pPr>
        <w:ind w:firstLine="420"/>
        <w:rPr>
          <w:rFonts w:cs="Times New Roman"/>
        </w:rPr>
      </w:pPr>
    </w:p>
    <w:p w14:paraId="278CBEEC" w14:textId="77777777" w:rsidR="00991D52" w:rsidRPr="00530A11" w:rsidRDefault="00991D52" w:rsidP="00991D52">
      <w:pPr>
        <w:pStyle w:val="4"/>
        <w:rPr>
          <w:bCs w:val="0"/>
        </w:rPr>
      </w:pPr>
      <w:r w:rsidRPr="00530A11">
        <w:rPr>
          <w:rFonts w:hint="eastAsia"/>
          <w:bCs w:val="0"/>
        </w:rPr>
        <w:t>8.2.</w:t>
      </w:r>
      <w:r w:rsidRPr="00530A11">
        <w:rPr>
          <w:bCs w:val="0"/>
        </w:rPr>
        <w:t>6</w:t>
      </w:r>
      <w:r w:rsidRPr="00530A11">
        <w:rPr>
          <w:rFonts w:hint="eastAsia"/>
          <w:bCs w:val="0"/>
        </w:rPr>
        <w:t xml:space="preserve">  </w:t>
      </w:r>
      <w:r w:rsidRPr="00530A11">
        <w:rPr>
          <w:rFonts w:hint="eastAsia"/>
          <w:bCs w:val="0"/>
        </w:rPr>
        <w:t>总体布局尊重并利用现状自然资源条件，保护生态环境，避免大填大挖，评价总分值为</w:t>
      </w:r>
      <w:r w:rsidRPr="00530A11">
        <w:rPr>
          <w:rFonts w:hint="eastAsia"/>
          <w:bCs w:val="0"/>
        </w:rPr>
        <w:t>5</w:t>
      </w:r>
      <w:r w:rsidRPr="00530A11">
        <w:rPr>
          <w:rFonts w:hint="eastAsia"/>
          <w:bCs w:val="0"/>
        </w:rPr>
        <w:t>分。场地土石方工程量与防护工程量限值满足表</w:t>
      </w:r>
      <w:r w:rsidRPr="00530A11">
        <w:rPr>
          <w:rFonts w:hint="eastAsia"/>
          <w:bCs w:val="0"/>
        </w:rPr>
        <w:t>8.2.</w:t>
      </w:r>
      <w:r w:rsidRPr="00530A11">
        <w:rPr>
          <w:bCs w:val="0"/>
        </w:rPr>
        <w:t>3</w:t>
      </w:r>
      <w:r w:rsidRPr="00530A11">
        <w:rPr>
          <w:rFonts w:hint="eastAsia"/>
          <w:bCs w:val="0"/>
        </w:rPr>
        <w:t>，得</w:t>
      </w:r>
      <w:r w:rsidRPr="00530A11">
        <w:rPr>
          <w:rFonts w:hint="eastAsia"/>
          <w:bCs w:val="0"/>
        </w:rPr>
        <w:t>3</w:t>
      </w:r>
      <w:r w:rsidRPr="00530A11">
        <w:rPr>
          <w:rFonts w:hint="eastAsia"/>
          <w:bCs w:val="0"/>
        </w:rPr>
        <w:t>分；其中土石方量平衡比例限值≤</w:t>
      </w:r>
      <w:r w:rsidRPr="00530A11">
        <w:rPr>
          <w:rFonts w:hint="eastAsia"/>
          <w:bCs w:val="0"/>
        </w:rPr>
        <w:t>1%</w:t>
      </w:r>
      <w:r w:rsidRPr="00530A11">
        <w:rPr>
          <w:rFonts w:hint="eastAsia"/>
          <w:bCs w:val="0"/>
        </w:rPr>
        <w:t>，得</w:t>
      </w:r>
      <w:r w:rsidRPr="00530A11">
        <w:rPr>
          <w:rFonts w:hint="eastAsia"/>
          <w:bCs w:val="0"/>
        </w:rPr>
        <w:t>5</w:t>
      </w:r>
      <w:r w:rsidRPr="00530A11">
        <w:rPr>
          <w:rFonts w:hint="eastAsia"/>
          <w:bCs w:val="0"/>
        </w:rPr>
        <w:t>分。</w:t>
      </w:r>
    </w:p>
    <w:p w14:paraId="5D851DBA" w14:textId="77777777" w:rsidR="00991D52" w:rsidRPr="00530A11" w:rsidRDefault="00991D52" w:rsidP="00991D52">
      <w:pPr>
        <w:pStyle w:val="ae"/>
        <w:rPr>
          <w:b w:val="0"/>
        </w:rPr>
      </w:pPr>
      <w:r w:rsidRPr="00530A11">
        <w:rPr>
          <w:rFonts w:hint="eastAsia"/>
          <w:b w:val="0"/>
          <w:color w:val="000000" w:themeColor="text1"/>
        </w:rPr>
        <w:t>表</w:t>
      </w:r>
      <w:r w:rsidRPr="00530A11">
        <w:rPr>
          <w:b w:val="0"/>
          <w:color w:val="000000" w:themeColor="text1"/>
        </w:rPr>
        <w:t xml:space="preserve">8.2.3 </w:t>
      </w:r>
      <w:bookmarkStart w:id="185" w:name="_Hlk21179571"/>
      <w:r w:rsidRPr="00530A11">
        <w:rPr>
          <w:b w:val="0"/>
        </w:rPr>
        <w:t>土石方工程量与防护工程限值表</w:t>
      </w:r>
      <w:bookmarkEnd w:id="185"/>
    </w:p>
    <w:tbl>
      <w:tblPr>
        <w:tblW w:w="8505" w:type="dxa"/>
        <w:tblInd w:w="-5" w:type="dxa"/>
        <w:tblLayout w:type="fixed"/>
        <w:tblLook w:val="04A0" w:firstRow="1" w:lastRow="0" w:firstColumn="1" w:lastColumn="0" w:noHBand="0" w:noVBand="1"/>
      </w:tblPr>
      <w:tblGrid>
        <w:gridCol w:w="709"/>
        <w:gridCol w:w="1985"/>
        <w:gridCol w:w="2976"/>
        <w:gridCol w:w="2835"/>
      </w:tblGrid>
      <w:tr w:rsidR="00991D52" w:rsidRPr="00530A11" w14:paraId="5BCF39B2" w14:textId="77777777" w:rsidTr="00F83296">
        <w:trPr>
          <w:trHeight w:val="763"/>
        </w:trPr>
        <w:tc>
          <w:tcPr>
            <w:tcW w:w="709" w:type="dxa"/>
            <w:tcBorders>
              <w:top w:val="single" w:sz="4" w:space="0" w:color="auto"/>
              <w:left w:val="single" w:sz="4" w:space="0" w:color="auto"/>
              <w:bottom w:val="single" w:sz="4" w:space="0" w:color="auto"/>
              <w:right w:val="single" w:sz="4" w:space="0" w:color="auto"/>
            </w:tcBorders>
            <w:vAlign w:val="center"/>
          </w:tcPr>
          <w:p w14:paraId="56D25909" w14:textId="77777777" w:rsidR="00991D52" w:rsidRPr="00530A11" w:rsidRDefault="00991D52" w:rsidP="00EC70DB">
            <w:pPr>
              <w:pStyle w:val="ae"/>
              <w:rPr>
                <w:b w:val="0"/>
              </w:rPr>
            </w:pPr>
            <w:r w:rsidRPr="00530A11">
              <w:rPr>
                <w:b w:val="0"/>
              </w:rPr>
              <w:t>序号</w:t>
            </w:r>
          </w:p>
        </w:tc>
        <w:tc>
          <w:tcPr>
            <w:tcW w:w="1985" w:type="dxa"/>
            <w:tcBorders>
              <w:top w:val="single" w:sz="4" w:space="0" w:color="auto"/>
              <w:left w:val="single" w:sz="4" w:space="0" w:color="auto"/>
              <w:bottom w:val="single" w:sz="4" w:space="0" w:color="auto"/>
              <w:right w:val="single" w:sz="4" w:space="0" w:color="auto"/>
            </w:tcBorders>
            <w:vAlign w:val="center"/>
          </w:tcPr>
          <w:p w14:paraId="5EAEA0C2" w14:textId="77777777" w:rsidR="00991D52" w:rsidRPr="00530A11" w:rsidRDefault="00991D52" w:rsidP="00EC70DB">
            <w:pPr>
              <w:pStyle w:val="ae"/>
              <w:rPr>
                <w:b w:val="0"/>
              </w:rPr>
            </w:pPr>
            <w:r w:rsidRPr="00530A11">
              <w:rPr>
                <w:b w:val="0"/>
              </w:rPr>
              <w:t>用地自然坡度（</w:t>
            </w:r>
            <w:r w:rsidRPr="00530A11">
              <w:rPr>
                <w:b w:val="0"/>
              </w:rPr>
              <w:t>i</w:t>
            </w:r>
            <w:r w:rsidRPr="00530A11">
              <w:rPr>
                <w:b w:val="0"/>
              </w:rPr>
              <w:t>）</w:t>
            </w:r>
          </w:p>
        </w:tc>
        <w:tc>
          <w:tcPr>
            <w:tcW w:w="2976" w:type="dxa"/>
            <w:tcBorders>
              <w:top w:val="single" w:sz="4" w:space="0" w:color="auto"/>
              <w:left w:val="single" w:sz="4" w:space="0" w:color="auto"/>
              <w:bottom w:val="single" w:sz="4" w:space="0" w:color="auto"/>
              <w:right w:val="single" w:sz="4" w:space="0" w:color="auto"/>
            </w:tcBorders>
            <w:vAlign w:val="center"/>
          </w:tcPr>
          <w:p w14:paraId="6C5A214B" w14:textId="77777777" w:rsidR="00991D52" w:rsidRPr="00530A11" w:rsidRDefault="00991D52" w:rsidP="00EC70DB">
            <w:pPr>
              <w:pStyle w:val="ae"/>
              <w:rPr>
                <w:b w:val="0"/>
              </w:rPr>
            </w:pPr>
            <w:bookmarkStart w:id="186" w:name="_Hlk20191809"/>
            <w:r w:rsidRPr="00530A11">
              <w:rPr>
                <w:b w:val="0"/>
              </w:rPr>
              <w:t>单位用地面积土石方工程总量限值（</w:t>
            </w:r>
            <w:r w:rsidRPr="00530A11">
              <w:rPr>
                <w:b w:val="0"/>
              </w:rPr>
              <w:t>A</w:t>
            </w:r>
            <w:r w:rsidRPr="00530A11">
              <w:rPr>
                <w:b w:val="0"/>
              </w:rPr>
              <w:t>）</w:t>
            </w:r>
            <w:bookmarkEnd w:id="186"/>
            <w:r w:rsidRPr="00530A11">
              <w:rPr>
                <w:b w:val="0"/>
              </w:rPr>
              <w:t>（</w:t>
            </w:r>
            <w:r w:rsidRPr="00530A11">
              <w:rPr>
                <w:b w:val="0"/>
              </w:rPr>
              <w:t>m</w:t>
            </w:r>
            <w:r w:rsidRPr="00530A11">
              <w:rPr>
                <w:b w:val="0"/>
                <w:vertAlign w:val="superscript"/>
              </w:rPr>
              <w:t>3</w:t>
            </w:r>
            <w:r w:rsidRPr="00530A11">
              <w:rPr>
                <w:b w:val="0"/>
              </w:rPr>
              <w:t>/m</w:t>
            </w:r>
            <w:r w:rsidRPr="00530A11">
              <w:rPr>
                <w:b w:val="0"/>
                <w:vertAlign w:val="superscript"/>
              </w:rPr>
              <w:t>2</w:t>
            </w:r>
            <w:r w:rsidRPr="00530A11">
              <w:rPr>
                <w:b w:val="0"/>
              </w:rPr>
              <w:t>）</w:t>
            </w:r>
          </w:p>
        </w:tc>
        <w:tc>
          <w:tcPr>
            <w:tcW w:w="2835" w:type="dxa"/>
            <w:tcBorders>
              <w:top w:val="single" w:sz="4" w:space="0" w:color="auto"/>
              <w:left w:val="single" w:sz="4" w:space="0" w:color="auto"/>
              <w:bottom w:val="single" w:sz="4" w:space="0" w:color="auto"/>
              <w:right w:val="single" w:sz="4" w:space="0" w:color="auto"/>
            </w:tcBorders>
            <w:vAlign w:val="center"/>
          </w:tcPr>
          <w:p w14:paraId="58BC2CE3" w14:textId="77777777" w:rsidR="00991D52" w:rsidRPr="00530A11" w:rsidRDefault="00991D52" w:rsidP="00EC70DB">
            <w:pPr>
              <w:pStyle w:val="ae"/>
              <w:rPr>
                <w:b w:val="0"/>
              </w:rPr>
            </w:pPr>
            <w:bookmarkStart w:id="187" w:name="_Hlk20191837"/>
            <w:r w:rsidRPr="00530A11">
              <w:rPr>
                <w:b w:val="0"/>
              </w:rPr>
              <w:t>土石方量平衡比例</w:t>
            </w:r>
          </w:p>
          <w:p w14:paraId="4612D702" w14:textId="77777777" w:rsidR="00991D52" w:rsidRPr="00530A11" w:rsidRDefault="00991D52" w:rsidP="00EC70DB">
            <w:pPr>
              <w:pStyle w:val="ae"/>
              <w:rPr>
                <w:b w:val="0"/>
              </w:rPr>
            </w:pPr>
            <w:r w:rsidRPr="00530A11">
              <w:rPr>
                <w:b w:val="0"/>
              </w:rPr>
              <w:t>限值</w:t>
            </w:r>
            <w:r w:rsidRPr="00530A11">
              <w:rPr>
                <w:b w:val="0"/>
              </w:rPr>
              <w:t>(B)</w:t>
            </w:r>
            <w:bookmarkEnd w:id="187"/>
            <w:r w:rsidRPr="00530A11">
              <w:rPr>
                <w:b w:val="0"/>
              </w:rPr>
              <w:t>（</w:t>
            </w:r>
            <w:r w:rsidRPr="00530A11">
              <w:rPr>
                <w:b w:val="0"/>
              </w:rPr>
              <w:t>%</w:t>
            </w:r>
            <w:r w:rsidRPr="00530A11">
              <w:rPr>
                <w:b w:val="0"/>
              </w:rPr>
              <w:t>）</w:t>
            </w:r>
          </w:p>
        </w:tc>
      </w:tr>
      <w:tr w:rsidR="00991D52" w:rsidRPr="00530A11" w14:paraId="400192F0"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37E556ED" w14:textId="77777777" w:rsidR="00991D52" w:rsidRPr="00530A11" w:rsidRDefault="00991D52" w:rsidP="00EC70DB">
            <w:pPr>
              <w:pStyle w:val="ae"/>
              <w:rPr>
                <w:b w:val="0"/>
              </w:rPr>
            </w:pPr>
            <w:r w:rsidRPr="00530A11">
              <w:rPr>
                <w:b w:val="0"/>
              </w:rPr>
              <w:t>1</w:t>
            </w:r>
          </w:p>
        </w:tc>
        <w:tc>
          <w:tcPr>
            <w:tcW w:w="1985" w:type="dxa"/>
            <w:tcBorders>
              <w:top w:val="single" w:sz="4" w:space="0" w:color="auto"/>
              <w:left w:val="single" w:sz="4" w:space="0" w:color="auto"/>
              <w:bottom w:val="single" w:sz="4" w:space="0" w:color="auto"/>
              <w:right w:val="single" w:sz="4" w:space="0" w:color="auto"/>
            </w:tcBorders>
            <w:vAlign w:val="center"/>
          </w:tcPr>
          <w:p w14:paraId="7444A633" w14:textId="77777777" w:rsidR="00991D52" w:rsidRPr="00530A11" w:rsidRDefault="00991D52" w:rsidP="00EC70DB">
            <w:pPr>
              <w:pStyle w:val="ae"/>
              <w:rPr>
                <w:b w:val="0"/>
              </w:rPr>
            </w:pPr>
            <w:r w:rsidRPr="00530A11">
              <w:rPr>
                <w:b w:val="0"/>
              </w:rPr>
              <w:t>i≤10%</w:t>
            </w:r>
          </w:p>
        </w:tc>
        <w:tc>
          <w:tcPr>
            <w:tcW w:w="2976" w:type="dxa"/>
            <w:tcBorders>
              <w:top w:val="single" w:sz="4" w:space="0" w:color="auto"/>
              <w:left w:val="single" w:sz="4" w:space="0" w:color="auto"/>
              <w:bottom w:val="single" w:sz="4" w:space="0" w:color="auto"/>
              <w:right w:val="single" w:sz="4" w:space="0" w:color="auto"/>
            </w:tcBorders>
            <w:vAlign w:val="center"/>
          </w:tcPr>
          <w:p w14:paraId="08A8E625" w14:textId="77777777" w:rsidR="00991D52" w:rsidRPr="00530A11" w:rsidRDefault="00991D52" w:rsidP="00EC70DB">
            <w:pPr>
              <w:pStyle w:val="ae"/>
              <w:rPr>
                <w:b w:val="0"/>
              </w:rPr>
            </w:pPr>
            <w:r w:rsidRPr="00530A11">
              <w:rPr>
                <w:b w:val="0"/>
              </w:rPr>
              <w:t>≤2</w:t>
            </w:r>
          </w:p>
        </w:tc>
        <w:tc>
          <w:tcPr>
            <w:tcW w:w="2835" w:type="dxa"/>
            <w:tcBorders>
              <w:top w:val="single" w:sz="4" w:space="0" w:color="auto"/>
              <w:left w:val="single" w:sz="4" w:space="0" w:color="auto"/>
              <w:bottom w:val="single" w:sz="4" w:space="0" w:color="auto"/>
              <w:right w:val="single" w:sz="4" w:space="0" w:color="auto"/>
            </w:tcBorders>
            <w:vAlign w:val="center"/>
          </w:tcPr>
          <w:p w14:paraId="5291D768" w14:textId="77777777" w:rsidR="00991D52" w:rsidRPr="00530A11" w:rsidRDefault="00991D52" w:rsidP="00EC70DB">
            <w:pPr>
              <w:pStyle w:val="ae"/>
              <w:rPr>
                <w:b w:val="0"/>
              </w:rPr>
            </w:pPr>
            <w:r w:rsidRPr="00530A11">
              <w:rPr>
                <w:b w:val="0"/>
              </w:rPr>
              <w:t>≤5%</w:t>
            </w:r>
          </w:p>
        </w:tc>
      </w:tr>
      <w:tr w:rsidR="00991D52" w:rsidRPr="00530A11" w14:paraId="3BFF10F8"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176ED915" w14:textId="77777777" w:rsidR="00991D52" w:rsidRPr="00530A11" w:rsidRDefault="00991D52" w:rsidP="00EC70DB">
            <w:pPr>
              <w:pStyle w:val="ae"/>
              <w:rPr>
                <w:b w:val="0"/>
              </w:rPr>
            </w:pPr>
            <w:r w:rsidRPr="00530A11">
              <w:rPr>
                <w:b w:val="0"/>
              </w:rPr>
              <w:t>2</w:t>
            </w:r>
          </w:p>
        </w:tc>
        <w:tc>
          <w:tcPr>
            <w:tcW w:w="1985" w:type="dxa"/>
            <w:tcBorders>
              <w:top w:val="single" w:sz="4" w:space="0" w:color="auto"/>
              <w:left w:val="single" w:sz="4" w:space="0" w:color="auto"/>
              <w:bottom w:val="single" w:sz="4" w:space="0" w:color="auto"/>
              <w:right w:val="single" w:sz="4" w:space="0" w:color="auto"/>
            </w:tcBorders>
            <w:vAlign w:val="center"/>
          </w:tcPr>
          <w:p w14:paraId="128AB095" w14:textId="77777777" w:rsidR="00991D52" w:rsidRPr="00530A11" w:rsidRDefault="00991D52" w:rsidP="00EC70DB">
            <w:pPr>
              <w:pStyle w:val="ae"/>
              <w:rPr>
                <w:b w:val="0"/>
              </w:rPr>
            </w:pPr>
            <w:r w:rsidRPr="00530A11">
              <w:rPr>
                <w:b w:val="0"/>
              </w:rPr>
              <w:t>10%</w:t>
            </w:r>
            <w:r w:rsidRPr="00530A11">
              <w:rPr>
                <w:b w:val="0"/>
              </w:rPr>
              <w:t>＜</w:t>
            </w:r>
            <w:r w:rsidRPr="00530A11">
              <w:rPr>
                <w:b w:val="0"/>
              </w:rPr>
              <w:t>i≤15%</w:t>
            </w:r>
          </w:p>
        </w:tc>
        <w:tc>
          <w:tcPr>
            <w:tcW w:w="2976" w:type="dxa"/>
            <w:tcBorders>
              <w:top w:val="single" w:sz="4" w:space="0" w:color="auto"/>
              <w:left w:val="single" w:sz="4" w:space="0" w:color="auto"/>
              <w:bottom w:val="single" w:sz="4" w:space="0" w:color="auto"/>
              <w:right w:val="single" w:sz="4" w:space="0" w:color="auto"/>
            </w:tcBorders>
            <w:vAlign w:val="center"/>
          </w:tcPr>
          <w:p w14:paraId="6DA4EF36" w14:textId="77777777" w:rsidR="00991D52" w:rsidRPr="00530A11" w:rsidRDefault="00991D52" w:rsidP="00EC70DB">
            <w:pPr>
              <w:pStyle w:val="ae"/>
              <w:rPr>
                <w:b w:val="0"/>
              </w:rPr>
            </w:pPr>
            <w:r w:rsidRPr="00530A11">
              <w:rPr>
                <w:b w:val="0"/>
              </w:rPr>
              <w:t>≤2.5</w:t>
            </w:r>
          </w:p>
        </w:tc>
        <w:tc>
          <w:tcPr>
            <w:tcW w:w="2835" w:type="dxa"/>
            <w:tcBorders>
              <w:top w:val="single" w:sz="4" w:space="0" w:color="auto"/>
              <w:left w:val="single" w:sz="4" w:space="0" w:color="auto"/>
              <w:bottom w:val="single" w:sz="4" w:space="0" w:color="auto"/>
              <w:right w:val="single" w:sz="4" w:space="0" w:color="auto"/>
            </w:tcBorders>
            <w:vAlign w:val="center"/>
          </w:tcPr>
          <w:p w14:paraId="6B79D576" w14:textId="77777777" w:rsidR="00991D52" w:rsidRPr="00530A11" w:rsidRDefault="00991D52" w:rsidP="00EC70DB">
            <w:pPr>
              <w:pStyle w:val="ae"/>
              <w:rPr>
                <w:b w:val="0"/>
              </w:rPr>
            </w:pPr>
            <w:r w:rsidRPr="00530A11">
              <w:rPr>
                <w:b w:val="0"/>
              </w:rPr>
              <w:t>≤7.5%</w:t>
            </w:r>
          </w:p>
        </w:tc>
      </w:tr>
      <w:tr w:rsidR="00991D52" w:rsidRPr="00530A11" w14:paraId="21F307EB"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433AD2BC" w14:textId="77777777" w:rsidR="00991D52" w:rsidRPr="00530A11" w:rsidRDefault="00991D52" w:rsidP="00EC70DB">
            <w:pPr>
              <w:pStyle w:val="ae"/>
              <w:rPr>
                <w:b w:val="0"/>
              </w:rPr>
            </w:pPr>
            <w:r w:rsidRPr="00530A11">
              <w:rPr>
                <w:b w:val="0"/>
              </w:rPr>
              <w:t>3</w:t>
            </w:r>
          </w:p>
        </w:tc>
        <w:tc>
          <w:tcPr>
            <w:tcW w:w="1985" w:type="dxa"/>
            <w:tcBorders>
              <w:top w:val="single" w:sz="4" w:space="0" w:color="auto"/>
              <w:left w:val="single" w:sz="4" w:space="0" w:color="auto"/>
              <w:bottom w:val="single" w:sz="4" w:space="0" w:color="auto"/>
              <w:right w:val="single" w:sz="4" w:space="0" w:color="auto"/>
            </w:tcBorders>
            <w:vAlign w:val="center"/>
          </w:tcPr>
          <w:p w14:paraId="42B34B91" w14:textId="77777777" w:rsidR="00991D52" w:rsidRPr="00530A11" w:rsidRDefault="00991D52" w:rsidP="00EC70DB">
            <w:pPr>
              <w:pStyle w:val="ae"/>
              <w:rPr>
                <w:b w:val="0"/>
              </w:rPr>
            </w:pPr>
            <w:r w:rsidRPr="00530A11">
              <w:rPr>
                <w:b w:val="0"/>
              </w:rPr>
              <w:t>15%</w:t>
            </w:r>
            <w:r w:rsidRPr="00530A11">
              <w:rPr>
                <w:b w:val="0"/>
              </w:rPr>
              <w:t>＜</w:t>
            </w:r>
            <w:r w:rsidRPr="00530A11">
              <w:rPr>
                <w:b w:val="0"/>
              </w:rPr>
              <w:t>i≤20%</w:t>
            </w:r>
          </w:p>
        </w:tc>
        <w:tc>
          <w:tcPr>
            <w:tcW w:w="2976" w:type="dxa"/>
            <w:tcBorders>
              <w:top w:val="single" w:sz="4" w:space="0" w:color="auto"/>
              <w:left w:val="single" w:sz="4" w:space="0" w:color="auto"/>
              <w:bottom w:val="single" w:sz="4" w:space="0" w:color="auto"/>
              <w:right w:val="single" w:sz="4" w:space="0" w:color="auto"/>
            </w:tcBorders>
            <w:vAlign w:val="center"/>
          </w:tcPr>
          <w:p w14:paraId="7366C846" w14:textId="77777777" w:rsidR="00991D52" w:rsidRPr="00530A11" w:rsidRDefault="00991D52" w:rsidP="00EC70DB">
            <w:pPr>
              <w:pStyle w:val="ae"/>
              <w:rPr>
                <w:b w:val="0"/>
              </w:rPr>
            </w:pPr>
            <w:r w:rsidRPr="00530A11">
              <w:rPr>
                <w:b w:val="0"/>
              </w:rPr>
              <w:t>≤3</w:t>
            </w:r>
          </w:p>
        </w:tc>
        <w:tc>
          <w:tcPr>
            <w:tcW w:w="2835" w:type="dxa"/>
            <w:tcBorders>
              <w:top w:val="single" w:sz="4" w:space="0" w:color="auto"/>
              <w:left w:val="single" w:sz="4" w:space="0" w:color="auto"/>
              <w:bottom w:val="single" w:sz="4" w:space="0" w:color="auto"/>
              <w:right w:val="single" w:sz="4" w:space="0" w:color="auto"/>
            </w:tcBorders>
            <w:vAlign w:val="center"/>
          </w:tcPr>
          <w:p w14:paraId="491E1406" w14:textId="77777777" w:rsidR="00991D52" w:rsidRPr="00530A11" w:rsidRDefault="00991D52" w:rsidP="00EC70DB">
            <w:pPr>
              <w:pStyle w:val="ae"/>
              <w:rPr>
                <w:b w:val="0"/>
              </w:rPr>
            </w:pPr>
            <w:r w:rsidRPr="00530A11">
              <w:rPr>
                <w:b w:val="0"/>
              </w:rPr>
              <w:t>≤10%</w:t>
            </w:r>
          </w:p>
        </w:tc>
      </w:tr>
      <w:tr w:rsidR="00991D52" w:rsidRPr="00530A11" w14:paraId="7775F0C4"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03837EC4" w14:textId="77777777" w:rsidR="00991D52" w:rsidRPr="00530A11" w:rsidRDefault="00991D52" w:rsidP="00EC70DB">
            <w:pPr>
              <w:pStyle w:val="ae"/>
              <w:rPr>
                <w:b w:val="0"/>
              </w:rPr>
            </w:pPr>
            <w:r w:rsidRPr="00530A11">
              <w:rPr>
                <w:b w:val="0"/>
              </w:rPr>
              <w:t>4</w:t>
            </w:r>
          </w:p>
        </w:tc>
        <w:tc>
          <w:tcPr>
            <w:tcW w:w="1985" w:type="dxa"/>
            <w:tcBorders>
              <w:top w:val="single" w:sz="4" w:space="0" w:color="auto"/>
              <w:left w:val="single" w:sz="4" w:space="0" w:color="auto"/>
              <w:bottom w:val="single" w:sz="4" w:space="0" w:color="auto"/>
              <w:right w:val="single" w:sz="4" w:space="0" w:color="auto"/>
            </w:tcBorders>
            <w:vAlign w:val="center"/>
          </w:tcPr>
          <w:p w14:paraId="66A2E81D" w14:textId="77777777" w:rsidR="00991D52" w:rsidRPr="00530A11" w:rsidRDefault="00991D52" w:rsidP="00EC70DB">
            <w:pPr>
              <w:pStyle w:val="ae"/>
              <w:rPr>
                <w:b w:val="0"/>
              </w:rPr>
            </w:pPr>
            <w:r w:rsidRPr="00530A11">
              <w:rPr>
                <w:b w:val="0"/>
              </w:rPr>
              <w:t>20%</w:t>
            </w:r>
            <w:r w:rsidRPr="00530A11">
              <w:rPr>
                <w:b w:val="0"/>
              </w:rPr>
              <w:t>＜</w:t>
            </w:r>
            <w:r w:rsidRPr="00530A11">
              <w:rPr>
                <w:b w:val="0"/>
              </w:rPr>
              <w:t>i≤25%</w:t>
            </w:r>
          </w:p>
        </w:tc>
        <w:tc>
          <w:tcPr>
            <w:tcW w:w="2976" w:type="dxa"/>
            <w:tcBorders>
              <w:top w:val="single" w:sz="4" w:space="0" w:color="auto"/>
              <w:left w:val="single" w:sz="4" w:space="0" w:color="auto"/>
              <w:bottom w:val="single" w:sz="4" w:space="0" w:color="auto"/>
              <w:right w:val="single" w:sz="4" w:space="0" w:color="auto"/>
            </w:tcBorders>
            <w:vAlign w:val="center"/>
          </w:tcPr>
          <w:p w14:paraId="12AF823F" w14:textId="77777777" w:rsidR="00991D52" w:rsidRPr="00530A11" w:rsidRDefault="00991D52" w:rsidP="00EC70DB">
            <w:pPr>
              <w:pStyle w:val="ae"/>
              <w:rPr>
                <w:b w:val="0"/>
              </w:rPr>
            </w:pPr>
            <w:r w:rsidRPr="00530A11">
              <w:rPr>
                <w:b w:val="0"/>
              </w:rPr>
              <w:t>≤3.5</w:t>
            </w:r>
          </w:p>
        </w:tc>
        <w:tc>
          <w:tcPr>
            <w:tcW w:w="2835" w:type="dxa"/>
            <w:tcBorders>
              <w:top w:val="single" w:sz="4" w:space="0" w:color="auto"/>
              <w:left w:val="single" w:sz="4" w:space="0" w:color="auto"/>
              <w:bottom w:val="single" w:sz="4" w:space="0" w:color="auto"/>
              <w:right w:val="single" w:sz="4" w:space="0" w:color="auto"/>
            </w:tcBorders>
            <w:vAlign w:val="center"/>
          </w:tcPr>
          <w:p w14:paraId="722458F7" w14:textId="77777777" w:rsidR="00991D52" w:rsidRPr="00530A11" w:rsidRDefault="00991D52" w:rsidP="00EC70DB">
            <w:pPr>
              <w:pStyle w:val="ae"/>
              <w:rPr>
                <w:b w:val="0"/>
              </w:rPr>
            </w:pPr>
            <w:r w:rsidRPr="00530A11">
              <w:rPr>
                <w:b w:val="0"/>
              </w:rPr>
              <w:t>≤12.5%</w:t>
            </w:r>
          </w:p>
        </w:tc>
      </w:tr>
      <w:tr w:rsidR="00991D52" w:rsidRPr="00530A11" w14:paraId="76873B71"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02A284EB" w14:textId="77777777" w:rsidR="00991D52" w:rsidRPr="00530A11" w:rsidRDefault="00991D52" w:rsidP="00EC70DB">
            <w:pPr>
              <w:pStyle w:val="ae"/>
              <w:rPr>
                <w:b w:val="0"/>
              </w:rPr>
            </w:pPr>
            <w:r w:rsidRPr="00530A11">
              <w:rPr>
                <w:b w:val="0"/>
              </w:rPr>
              <w:t>5</w:t>
            </w:r>
          </w:p>
        </w:tc>
        <w:tc>
          <w:tcPr>
            <w:tcW w:w="1985" w:type="dxa"/>
            <w:tcBorders>
              <w:top w:val="single" w:sz="4" w:space="0" w:color="auto"/>
              <w:left w:val="single" w:sz="4" w:space="0" w:color="auto"/>
              <w:bottom w:val="single" w:sz="4" w:space="0" w:color="auto"/>
              <w:right w:val="single" w:sz="4" w:space="0" w:color="auto"/>
            </w:tcBorders>
            <w:vAlign w:val="center"/>
          </w:tcPr>
          <w:p w14:paraId="2FD1ECA3" w14:textId="77777777" w:rsidR="00991D52" w:rsidRPr="00530A11" w:rsidRDefault="00991D52" w:rsidP="00EC70DB">
            <w:pPr>
              <w:pStyle w:val="ae"/>
              <w:rPr>
                <w:b w:val="0"/>
              </w:rPr>
            </w:pPr>
            <w:r w:rsidRPr="00530A11">
              <w:rPr>
                <w:b w:val="0"/>
              </w:rPr>
              <w:t>25%</w:t>
            </w:r>
            <w:r w:rsidRPr="00530A11">
              <w:rPr>
                <w:b w:val="0"/>
              </w:rPr>
              <w:t>＜</w:t>
            </w:r>
            <w:r w:rsidRPr="00530A11">
              <w:rPr>
                <w:b w:val="0"/>
              </w:rPr>
              <w:t>i≤30%</w:t>
            </w:r>
          </w:p>
        </w:tc>
        <w:tc>
          <w:tcPr>
            <w:tcW w:w="2976" w:type="dxa"/>
            <w:tcBorders>
              <w:top w:val="single" w:sz="4" w:space="0" w:color="auto"/>
              <w:left w:val="single" w:sz="4" w:space="0" w:color="auto"/>
              <w:bottom w:val="single" w:sz="4" w:space="0" w:color="auto"/>
              <w:right w:val="single" w:sz="4" w:space="0" w:color="auto"/>
            </w:tcBorders>
            <w:vAlign w:val="center"/>
          </w:tcPr>
          <w:p w14:paraId="236FE4B6" w14:textId="77777777" w:rsidR="00991D52" w:rsidRPr="00530A11" w:rsidRDefault="00991D52" w:rsidP="00EC70DB">
            <w:pPr>
              <w:pStyle w:val="ae"/>
              <w:rPr>
                <w:b w:val="0"/>
              </w:rPr>
            </w:pPr>
            <w:r w:rsidRPr="00530A11">
              <w:rPr>
                <w:b w:val="0"/>
              </w:rPr>
              <w:t>≤4</w:t>
            </w:r>
          </w:p>
        </w:tc>
        <w:tc>
          <w:tcPr>
            <w:tcW w:w="2835" w:type="dxa"/>
            <w:tcBorders>
              <w:top w:val="single" w:sz="4" w:space="0" w:color="auto"/>
              <w:left w:val="single" w:sz="4" w:space="0" w:color="auto"/>
              <w:bottom w:val="single" w:sz="4" w:space="0" w:color="auto"/>
              <w:right w:val="single" w:sz="4" w:space="0" w:color="auto"/>
            </w:tcBorders>
            <w:vAlign w:val="center"/>
          </w:tcPr>
          <w:p w14:paraId="16A5ED24" w14:textId="77777777" w:rsidR="00991D52" w:rsidRPr="00530A11" w:rsidRDefault="00991D52" w:rsidP="00EC70DB">
            <w:pPr>
              <w:pStyle w:val="ae"/>
              <w:rPr>
                <w:b w:val="0"/>
              </w:rPr>
            </w:pPr>
            <w:r w:rsidRPr="00530A11">
              <w:rPr>
                <w:b w:val="0"/>
              </w:rPr>
              <w:t>≤15%</w:t>
            </w:r>
          </w:p>
        </w:tc>
      </w:tr>
      <w:tr w:rsidR="00991D52" w:rsidRPr="00530A11" w14:paraId="78C03D98"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3D005530" w14:textId="77777777" w:rsidR="00991D52" w:rsidRPr="00530A11" w:rsidRDefault="00991D52" w:rsidP="00EC70DB">
            <w:pPr>
              <w:pStyle w:val="ae"/>
              <w:rPr>
                <w:b w:val="0"/>
              </w:rPr>
            </w:pPr>
            <w:r w:rsidRPr="00530A11">
              <w:rPr>
                <w:b w:val="0"/>
              </w:rPr>
              <w:lastRenderedPageBreak/>
              <w:t>6</w:t>
            </w:r>
          </w:p>
        </w:tc>
        <w:tc>
          <w:tcPr>
            <w:tcW w:w="1985" w:type="dxa"/>
            <w:tcBorders>
              <w:top w:val="single" w:sz="4" w:space="0" w:color="auto"/>
              <w:left w:val="single" w:sz="4" w:space="0" w:color="auto"/>
              <w:bottom w:val="single" w:sz="4" w:space="0" w:color="auto"/>
              <w:right w:val="single" w:sz="4" w:space="0" w:color="auto"/>
            </w:tcBorders>
            <w:vAlign w:val="center"/>
          </w:tcPr>
          <w:p w14:paraId="50D0E515" w14:textId="77777777" w:rsidR="00991D52" w:rsidRPr="00530A11" w:rsidRDefault="00991D52" w:rsidP="00EC70DB">
            <w:pPr>
              <w:pStyle w:val="ae"/>
              <w:rPr>
                <w:b w:val="0"/>
              </w:rPr>
            </w:pPr>
            <w:r w:rsidRPr="00530A11">
              <w:rPr>
                <w:b w:val="0"/>
              </w:rPr>
              <w:t>i</w:t>
            </w:r>
            <w:r w:rsidRPr="00530A11">
              <w:rPr>
                <w:b w:val="0"/>
              </w:rPr>
              <w:t>＞</w:t>
            </w:r>
            <w:r w:rsidRPr="00530A11">
              <w:rPr>
                <w:b w:val="0"/>
              </w:rPr>
              <w:t>30%</w:t>
            </w:r>
          </w:p>
        </w:tc>
        <w:tc>
          <w:tcPr>
            <w:tcW w:w="2976" w:type="dxa"/>
            <w:tcBorders>
              <w:top w:val="single" w:sz="4" w:space="0" w:color="auto"/>
              <w:left w:val="single" w:sz="4" w:space="0" w:color="auto"/>
              <w:bottom w:val="single" w:sz="4" w:space="0" w:color="auto"/>
              <w:right w:val="single" w:sz="4" w:space="0" w:color="auto"/>
            </w:tcBorders>
            <w:vAlign w:val="center"/>
          </w:tcPr>
          <w:p w14:paraId="78F13DE0" w14:textId="77777777" w:rsidR="00991D52" w:rsidRPr="00530A11" w:rsidRDefault="00991D52" w:rsidP="00EC70DB">
            <w:pPr>
              <w:pStyle w:val="ae"/>
              <w:rPr>
                <w:b w:val="0"/>
              </w:rPr>
            </w:pPr>
            <w:r w:rsidRPr="00530A11">
              <w:rPr>
                <w:b w:val="0"/>
              </w:rPr>
              <w:t>≤5</w:t>
            </w:r>
          </w:p>
        </w:tc>
        <w:tc>
          <w:tcPr>
            <w:tcW w:w="2835" w:type="dxa"/>
            <w:tcBorders>
              <w:top w:val="single" w:sz="4" w:space="0" w:color="auto"/>
              <w:left w:val="single" w:sz="4" w:space="0" w:color="auto"/>
              <w:bottom w:val="single" w:sz="4" w:space="0" w:color="auto"/>
              <w:right w:val="single" w:sz="4" w:space="0" w:color="auto"/>
            </w:tcBorders>
            <w:vAlign w:val="center"/>
          </w:tcPr>
          <w:p w14:paraId="59DFC61D" w14:textId="77777777" w:rsidR="00991D52" w:rsidRPr="00530A11" w:rsidRDefault="00991D52" w:rsidP="00EC70DB">
            <w:pPr>
              <w:pStyle w:val="ae"/>
              <w:rPr>
                <w:b w:val="0"/>
              </w:rPr>
            </w:pPr>
            <w:r w:rsidRPr="00530A11">
              <w:rPr>
                <w:b w:val="0"/>
              </w:rPr>
              <w:t>≤20%</w:t>
            </w:r>
          </w:p>
        </w:tc>
      </w:tr>
      <w:tr w:rsidR="00991D52" w:rsidRPr="00530A11" w14:paraId="009B0C90" w14:textId="77777777" w:rsidTr="00F83296">
        <w:trPr>
          <w:trHeight w:val="454"/>
        </w:trPr>
        <w:tc>
          <w:tcPr>
            <w:tcW w:w="709" w:type="dxa"/>
            <w:vMerge w:val="restart"/>
            <w:tcBorders>
              <w:top w:val="single" w:sz="4" w:space="0" w:color="auto"/>
              <w:left w:val="single" w:sz="4" w:space="0" w:color="auto"/>
              <w:bottom w:val="single" w:sz="4" w:space="0" w:color="auto"/>
              <w:right w:val="single" w:sz="4" w:space="0" w:color="auto"/>
            </w:tcBorders>
            <w:vAlign w:val="center"/>
          </w:tcPr>
          <w:p w14:paraId="0207E21D" w14:textId="77777777" w:rsidR="00991D52" w:rsidRPr="00530A11" w:rsidRDefault="00991D52" w:rsidP="00EC70DB">
            <w:pPr>
              <w:pStyle w:val="ae"/>
              <w:rPr>
                <w:b w:val="0"/>
              </w:rPr>
            </w:pPr>
            <w:r w:rsidRPr="00530A11">
              <w:rPr>
                <w:b w:val="0"/>
              </w:rPr>
              <w:t>7</w:t>
            </w:r>
          </w:p>
        </w:tc>
        <w:tc>
          <w:tcPr>
            <w:tcW w:w="7796" w:type="dxa"/>
            <w:gridSpan w:val="3"/>
            <w:tcBorders>
              <w:top w:val="single" w:sz="4" w:space="0" w:color="auto"/>
              <w:left w:val="single" w:sz="4" w:space="0" w:color="auto"/>
              <w:bottom w:val="single" w:sz="4" w:space="0" w:color="auto"/>
              <w:right w:val="single" w:sz="4" w:space="0" w:color="auto"/>
            </w:tcBorders>
            <w:vAlign w:val="center"/>
          </w:tcPr>
          <w:p w14:paraId="037A299D" w14:textId="77777777" w:rsidR="00991D52" w:rsidRPr="00530A11" w:rsidRDefault="00991D52" w:rsidP="00EC70DB">
            <w:pPr>
              <w:pStyle w:val="ae"/>
              <w:rPr>
                <w:b w:val="0"/>
              </w:rPr>
            </w:pPr>
            <w:r w:rsidRPr="00530A11">
              <w:rPr>
                <w:b w:val="0"/>
              </w:rPr>
              <w:t>7.1</w:t>
            </w:r>
            <w:r w:rsidRPr="00530A11">
              <w:rPr>
                <w:b w:val="0"/>
              </w:rPr>
              <w:t>临城市道路时，最近一级挡土墙最大高度（</w:t>
            </w:r>
            <w:r w:rsidRPr="00530A11">
              <w:rPr>
                <w:b w:val="0"/>
              </w:rPr>
              <w:t>C1</w:t>
            </w:r>
            <w:r w:rsidRPr="00530A11">
              <w:rPr>
                <w:b w:val="0"/>
              </w:rPr>
              <w:t>）</w:t>
            </w:r>
            <w:r w:rsidRPr="00530A11">
              <w:rPr>
                <w:b w:val="0"/>
              </w:rPr>
              <w:t>≤1.5m</w:t>
            </w:r>
          </w:p>
        </w:tc>
      </w:tr>
      <w:tr w:rsidR="00991D52" w:rsidRPr="00530A11" w14:paraId="15092888" w14:textId="77777777" w:rsidTr="00F83296">
        <w:trPr>
          <w:trHeight w:val="454"/>
        </w:trPr>
        <w:tc>
          <w:tcPr>
            <w:tcW w:w="709" w:type="dxa"/>
            <w:vMerge/>
            <w:tcBorders>
              <w:top w:val="single" w:sz="4" w:space="0" w:color="auto"/>
              <w:left w:val="single" w:sz="4" w:space="0" w:color="auto"/>
              <w:bottom w:val="single" w:sz="4" w:space="0" w:color="auto"/>
              <w:right w:val="single" w:sz="4" w:space="0" w:color="auto"/>
            </w:tcBorders>
            <w:vAlign w:val="center"/>
          </w:tcPr>
          <w:p w14:paraId="573D8DF9" w14:textId="77777777" w:rsidR="00991D52" w:rsidRPr="00530A11" w:rsidRDefault="00991D52" w:rsidP="00EC70DB">
            <w:pPr>
              <w:pStyle w:val="ae"/>
              <w:rPr>
                <w:b w:val="0"/>
              </w:rPr>
            </w:pPr>
          </w:p>
        </w:tc>
        <w:tc>
          <w:tcPr>
            <w:tcW w:w="7796" w:type="dxa"/>
            <w:gridSpan w:val="3"/>
            <w:tcBorders>
              <w:top w:val="single" w:sz="4" w:space="0" w:color="auto"/>
              <w:left w:val="single" w:sz="4" w:space="0" w:color="auto"/>
              <w:bottom w:val="single" w:sz="4" w:space="0" w:color="auto"/>
              <w:right w:val="single" w:sz="4" w:space="0" w:color="auto"/>
            </w:tcBorders>
            <w:vAlign w:val="center"/>
          </w:tcPr>
          <w:p w14:paraId="6F7C77B4" w14:textId="77777777" w:rsidR="00991D52" w:rsidRPr="00530A11" w:rsidRDefault="00991D52" w:rsidP="00EC70DB">
            <w:pPr>
              <w:pStyle w:val="ae"/>
              <w:rPr>
                <w:b w:val="0"/>
              </w:rPr>
            </w:pPr>
            <w:r w:rsidRPr="00530A11">
              <w:rPr>
                <w:b w:val="0"/>
              </w:rPr>
              <w:t>7.2</w:t>
            </w:r>
            <w:r w:rsidRPr="00530A11">
              <w:rPr>
                <w:b w:val="0"/>
              </w:rPr>
              <w:t>临公建时，每级挡土墙最大高度（</w:t>
            </w:r>
            <w:r w:rsidRPr="00530A11">
              <w:rPr>
                <w:b w:val="0"/>
              </w:rPr>
              <w:t>C2</w:t>
            </w:r>
            <w:r w:rsidRPr="00530A11">
              <w:rPr>
                <w:b w:val="0"/>
              </w:rPr>
              <w:t>）与公建层高一致且</w:t>
            </w:r>
            <w:r w:rsidRPr="00530A11">
              <w:rPr>
                <w:b w:val="0"/>
              </w:rPr>
              <w:t>≤6m</w:t>
            </w:r>
          </w:p>
        </w:tc>
      </w:tr>
      <w:tr w:rsidR="00991D52" w:rsidRPr="00530A11" w14:paraId="334865B5" w14:textId="77777777" w:rsidTr="00F83296">
        <w:trPr>
          <w:trHeight w:val="454"/>
        </w:trPr>
        <w:tc>
          <w:tcPr>
            <w:tcW w:w="709" w:type="dxa"/>
            <w:vMerge/>
            <w:tcBorders>
              <w:top w:val="single" w:sz="4" w:space="0" w:color="auto"/>
              <w:left w:val="single" w:sz="4" w:space="0" w:color="auto"/>
              <w:bottom w:val="single" w:sz="4" w:space="0" w:color="auto"/>
              <w:right w:val="single" w:sz="4" w:space="0" w:color="auto"/>
            </w:tcBorders>
            <w:vAlign w:val="center"/>
          </w:tcPr>
          <w:p w14:paraId="1B64B1DD" w14:textId="77777777" w:rsidR="00991D52" w:rsidRPr="00530A11" w:rsidRDefault="00991D52" w:rsidP="00EC70DB">
            <w:pPr>
              <w:pStyle w:val="ae"/>
              <w:rPr>
                <w:b w:val="0"/>
              </w:rPr>
            </w:pPr>
          </w:p>
        </w:tc>
        <w:tc>
          <w:tcPr>
            <w:tcW w:w="7796" w:type="dxa"/>
            <w:gridSpan w:val="3"/>
            <w:tcBorders>
              <w:top w:val="single" w:sz="4" w:space="0" w:color="auto"/>
              <w:left w:val="single" w:sz="4" w:space="0" w:color="auto"/>
              <w:bottom w:val="single" w:sz="4" w:space="0" w:color="auto"/>
              <w:right w:val="single" w:sz="4" w:space="0" w:color="auto"/>
            </w:tcBorders>
            <w:vAlign w:val="center"/>
          </w:tcPr>
          <w:p w14:paraId="01083791" w14:textId="77777777" w:rsidR="00991D52" w:rsidRPr="00530A11" w:rsidRDefault="00991D52" w:rsidP="00EC70DB">
            <w:pPr>
              <w:pStyle w:val="ae"/>
              <w:rPr>
                <w:b w:val="0"/>
              </w:rPr>
            </w:pPr>
            <w:r w:rsidRPr="00530A11">
              <w:rPr>
                <w:b w:val="0"/>
              </w:rPr>
              <w:t>7.3</w:t>
            </w:r>
            <w:r w:rsidRPr="00530A11">
              <w:rPr>
                <w:b w:val="0"/>
              </w:rPr>
              <w:t>临住宅时，每级挡土墙最大高度（</w:t>
            </w:r>
            <w:r w:rsidRPr="00530A11">
              <w:rPr>
                <w:b w:val="0"/>
              </w:rPr>
              <w:t>C3</w:t>
            </w:r>
            <w:r w:rsidRPr="00530A11">
              <w:rPr>
                <w:b w:val="0"/>
              </w:rPr>
              <w:t>）与住宅层高一致且</w:t>
            </w:r>
            <w:r w:rsidRPr="00530A11">
              <w:rPr>
                <w:b w:val="0"/>
              </w:rPr>
              <w:t>≤3m</w:t>
            </w:r>
          </w:p>
        </w:tc>
      </w:tr>
      <w:tr w:rsidR="00991D52" w:rsidRPr="00530A11" w14:paraId="51E5944B" w14:textId="77777777" w:rsidTr="00F83296">
        <w:trPr>
          <w:trHeight w:val="454"/>
        </w:trPr>
        <w:tc>
          <w:tcPr>
            <w:tcW w:w="709" w:type="dxa"/>
            <w:tcBorders>
              <w:top w:val="single" w:sz="4" w:space="0" w:color="auto"/>
              <w:left w:val="single" w:sz="4" w:space="0" w:color="auto"/>
              <w:bottom w:val="single" w:sz="4" w:space="0" w:color="auto"/>
              <w:right w:val="single" w:sz="4" w:space="0" w:color="auto"/>
            </w:tcBorders>
            <w:vAlign w:val="center"/>
          </w:tcPr>
          <w:p w14:paraId="7B7294C9" w14:textId="77777777" w:rsidR="00991D52" w:rsidRPr="00530A11" w:rsidRDefault="00991D52" w:rsidP="00EC70DB">
            <w:pPr>
              <w:pStyle w:val="ae"/>
              <w:rPr>
                <w:b w:val="0"/>
              </w:rPr>
            </w:pPr>
            <w:r w:rsidRPr="00530A11">
              <w:rPr>
                <w:b w:val="0"/>
              </w:rPr>
              <w:t>8</w:t>
            </w:r>
          </w:p>
        </w:tc>
        <w:tc>
          <w:tcPr>
            <w:tcW w:w="7796" w:type="dxa"/>
            <w:gridSpan w:val="3"/>
            <w:tcBorders>
              <w:top w:val="single" w:sz="4" w:space="0" w:color="auto"/>
              <w:left w:val="single" w:sz="4" w:space="0" w:color="auto"/>
              <w:bottom w:val="single" w:sz="4" w:space="0" w:color="auto"/>
              <w:right w:val="single" w:sz="4" w:space="0" w:color="auto"/>
            </w:tcBorders>
            <w:vAlign w:val="center"/>
          </w:tcPr>
          <w:p w14:paraId="75C2EC06" w14:textId="77777777" w:rsidR="00991D52" w:rsidRPr="00530A11" w:rsidRDefault="00991D52" w:rsidP="00EC70DB">
            <w:pPr>
              <w:pStyle w:val="ae"/>
              <w:rPr>
                <w:b w:val="0"/>
              </w:rPr>
            </w:pPr>
            <w:r w:rsidRPr="00530A11">
              <w:rPr>
                <w:b w:val="0"/>
              </w:rPr>
              <w:t>每级挡土墙之间的水平距离（</w:t>
            </w:r>
            <w:r w:rsidRPr="00530A11">
              <w:rPr>
                <w:b w:val="0"/>
              </w:rPr>
              <w:t>D</w:t>
            </w:r>
            <w:r w:rsidRPr="00530A11">
              <w:rPr>
                <w:b w:val="0"/>
              </w:rPr>
              <w:t>）</w:t>
            </w:r>
            <w:r w:rsidRPr="00530A11">
              <w:rPr>
                <w:b w:val="0"/>
              </w:rPr>
              <w:t>≥2 m</w:t>
            </w:r>
          </w:p>
        </w:tc>
      </w:tr>
    </w:tbl>
    <w:p w14:paraId="6F76F3A9" w14:textId="39094523" w:rsidR="00991D52" w:rsidRPr="00530A11" w:rsidRDefault="00991D52" w:rsidP="00991D52">
      <w:pPr>
        <w:pStyle w:val="ae"/>
        <w:jc w:val="left"/>
        <w:rPr>
          <w:b w:val="0"/>
          <w:sz w:val="18"/>
          <w:szCs w:val="18"/>
        </w:rPr>
      </w:pPr>
      <w:r w:rsidRPr="00530A11">
        <w:rPr>
          <w:rFonts w:hint="eastAsia"/>
          <w:b w:val="0"/>
          <w:sz w:val="18"/>
          <w:szCs w:val="18"/>
        </w:rPr>
        <w:t>注：</w:t>
      </w:r>
      <w:r w:rsidRPr="00530A11">
        <w:rPr>
          <w:b w:val="0"/>
          <w:sz w:val="18"/>
          <w:szCs w:val="18"/>
        </w:rPr>
        <w:t>1</w:t>
      </w:r>
      <w:r w:rsidRPr="00530A11">
        <w:rPr>
          <w:rFonts w:hint="eastAsia"/>
          <w:b w:val="0"/>
          <w:sz w:val="18"/>
          <w:szCs w:val="18"/>
        </w:rPr>
        <w:t>、用地自然坡度（</w:t>
      </w:r>
      <w:r w:rsidRPr="00530A11">
        <w:rPr>
          <w:b w:val="0"/>
          <w:sz w:val="18"/>
          <w:szCs w:val="18"/>
        </w:rPr>
        <w:t>i</w:t>
      </w:r>
      <w:r w:rsidRPr="00530A11">
        <w:rPr>
          <w:rFonts w:hint="eastAsia"/>
          <w:b w:val="0"/>
          <w:sz w:val="18"/>
          <w:szCs w:val="18"/>
        </w:rPr>
        <w:t>）</w:t>
      </w:r>
      <w:r w:rsidRPr="00530A11">
        <w:rPr>
          <w:b w:val="0"/>
          <w:sz w:val="18"/>
          <w:szCs w:val="18"/>
        </w:rPr>
        <w:t>=</w:t>
      </w:r>
      <w:r w:rsidRPr="00530A11">
        <w:rPr>
          <w:rFonts w:hint="eastAsia"/>
          <w:b w:val="0"/>
          <w:sz w:val="18"/>
          <w:szCs w:val="18"/>
        </w:rPr>
        <w:t>用地</w:t>
      </w:r>
      <w:bookmarkStart w:id="188" w:name="_Hlk21196629"/>
      <w:r w:rsidRPr="00530A11">
        <w:rPr>
          <w:rFonts w:hint="eastAsia"/>
          <w:b w:val="0"/>
          <w:sz w:val="18"/>
          <w:szCs w:val="18"/>
        </w:rPr>
        <w:t>自然地形平均坡度</w:t>
      </w:r>
      <w:bookmarkEnd w:id="188"/>
      <w:r w:rsidRPr="00530A11">
        <w:rPr>
          <w:rFonts w:hint="eastAsia"/>
          <w:b w:val="0"/>
          <w:sz w:val="18"/>
          <w:szCs w:val="18"/>
        </w:rPr>
        <w:t>。计算公式：</w:t>
      </w:r>
      <w:r w:rsidRPr="00530A11">
        <w:rPr>
          <w:b w:val="0"/>
          <w:sz w:val="18"/>
          <w:szCs w:val="18"/>
        </w:rPr>
        <w:t>i=</w:t>
      </w:r>
      <m:oMath>
        <m:nary>
          <m:naryPr>
            <m:chr m:val="∑"/>
            <m:ctrlPr>
              <w:rPr>
                <w:rFonts w:ascii="Cambria Math" w:hAnsi="Cambria Math"/>
                <w:b w:val="0"/>
                <w:i/>
                <w:iCs/>
                <w:sz w:val="18"/>
                <w:szCs w:val="18"/>
                <w:lang w:val="pt-BR"/>
              </w:rPr>
            </m:ctrlPr>
          </m:naryPr>
          <m:sub>
            <m:r>
              <m:rPr>
                <m:sty m:val="bi"/>
              </m:rPr>
              <w:rPr>
                <w:rFonts w:ascii="Cambria Math" w:hAnsi="Cambria Math"/>
                <w:sz w:val="18"/>
                <w:szCs w:val="18"/>
              </w:rPr>
              <m:t>I</m:t>
            </m:r>
            <m:r>
              <m:rPr>
                <m:sty m:val="bi"/>
              </m:rPr>
              <w:rPr>
                <w:rFonts w:ascii="Cambria Math" w:hAnsi="Cambria Math"/>
                <w:sz w:val="18"/>
                <w:szCs w:val="18"/>
                <w:lang w:val="pt-BR"/>
              </w:rPr>
              <m:t>=</m:t>
            </m:r>
            <m:r>
              <m:rPr>
                <m:sty m:val="bi"/>
              </m:rPr>
              <w:rPr>
                <w:rFonts w:ascii="Cambria Math" w:hAnsi="Cambria Math"/>
                <w:sz w:val="18"/>
                <w:szCs w:val="18"/>
              </w:rPr>
              <m:t>1</m:t>
            </m:r>
          </m:sub>
          <m:sup>
            <m:r>
              <m:rPr>
                <m:sty m:val="bi"/>
              </m:rPr>
              <w:rPr>
                <w:rFonts w:ascii="Cambria Math" w:hAnsi="Cambria Math"/>
                <w:sz w:val="18"/>
                <w:szCs w:val="18"/>
                <w:lang w:val="pt-BR"/>
              </w:rPr>
              <m:t>n</m:t>
            </m:r>
          </m:sup>
          <m:e>
            <m:r>
              <m:rPr>
                <m:sty m:val="bi"/>
              </m:rPr>
              <w:rPr>
                <w:rFonts w:ascii="Cambria Math" w:hAnsi="Cambria Math"/>
                <w:sz w:val="18"/>
                <w:szCs w:val="18"/>
              </w:rPr>
              <m:t>SiFi</m:t>
            </m:r>
          </m:e>
        </m:nary>
      </m:oMath>
      <w:r w:rsidRPr="00530A11">
        <w:rPr>
          <w:rFonts w:hint="eastAsia"/>
          <w:b w:val="0"/>
          <w:sz w:val="18"/>
          <w:szCs w:val="18"/>
        </w:rPr>
        <w:t>其中：</w:t>
      </w:r>
      <w:r w:rsidRPr="00530A11">
        <w:rPr>
          <w:b w:val="0"/>
          <w:sz w:val="18"/>
          <w:szCs w:val="18"/>
        </w:rPr>
        <w:t>i</w:t>
      </w:r>
      <w:r w:rsidRPr="00530A11">
        <w:rPr>
          <w:rFonts w:hint="eastAsia"/>
          <w:b w:val="0"/>
          <w:sz w:val="18"/>
          <w:szCs w:val="18"/>
        </w:rPr>
        <w:t>为用地自然地形平均坡度，</w:t>
      </w:r>
      <w:r w:rsidRPr="00530A11">
        <w:rPr>
          <w:b w:val="0"/>
          <w:sz w:val="18"/>
          <w:szCs w:val="18"/>
        </w:rPr>
        <w:t>Si</w:t>
      </w:r>
      <w:r w:rsidRPr="00530A11">
        <w:rPr>
          <w:rFonts w:hint="eastAsia"/>
          <w:b w:val="0"/>
          <w:sz w:val="18"/>
          <w:szCs w:val="18"/>
        </w:rPr>
        <w:t>为计算网格的自然地形平均坡度值，</w:t>
      </w:r>
      <w:r w:rsidRPr="00530A11">
        <w:rPr>
          <w:b w:val="0"/>
          <w:sz w:val="18"/>
          <w:szCs w:val="18"/>
        </w:rPr>
        <w:t>Fi</w:t>
      </w:r>
      <w:r w:rsidRPr="00530A11">
        <w:rPr>
          <w:rFonts w:hint="eastAsia"/>
          <w:b w:val="0"/>
          <w:sz w:val="18"/>
          <w:szCs w:val="18"/>
        </w:rPr>
        <w:t>为权重，即计算网格面积占总用地面积的比例。</w:t>
      </w:r>
      <w:r w:rsidRPr="00530A11">
        <w:rPr>
          <w:b w:val="0"/>
          <w:sz w:val="18"/>
          <w:szCs w:val="18"/>
        </w:rPr>
        <w:t>i</w:t>
      </w:r>
      <w:r w:rsidRPr="00530A11">
        <w:rPr>
          <w:rFonts w:hint="eastAsia"/>
          <w:b w:val="0"/>
          <w:sz w:val="18"/>
          <w:szCs w:val="18"/>
        </w:rPr>
        <w:t>可通过地理信息软件计算。</w:t>
      </w:r>
    </w:p>
    <w:p w14:paraId="416E823F" w14:textId="77777777" w:rsidR="00991D52" w:rsidRPr="00530A11" w:rsidRDefault="00991D52" w:rsidP="00991D52">
      <w:pPr>
        <w:pStyle w:val="ae"/>
        <w:ind w:firstLineChars="200" w:firstLine="360"/>
        <w:jc w:val="left"/>
        <w:rPr>
          <w:b w:val="0"/>
          <w:sz w:val="18"/>
          <w:szCs w:val="18"/>
        </w:rPr>
      </w:pPr>
      <w:r w:rsidRPr="00530A11">
        <w:rPr>
          <w:b w:val="0"/>
          <w:sz w:val="18"/>
          <w:szCs w:val="18"/>
        </w:rPr>
        <w:t>2</w:t>
      </w:r>
      <w:r w:rsidRPr="00530A11">
        <w:rPr>
          <w:rFonts w:hint="eastAsia"/>
          <w:b w:val="0"/>
          <w:sz w:val="18"/>
          <w:szCs w:val="18"/>
        </w:rPr>
        <w:t>、单位用地面积土石方工程总量（</w:t>
      </w:r>
      <w:r w:rsidRPr="00530A11">
        <w:rPr>
          <w:b w:val="0"/>
          <w:sz w:val="18"/>
          <w:szCs w:val="18"/>
        </w:rPr>
        <w:t>A</w:t>
      </w:r>
      <w:r w:rsidRPr="00530A11">
        <w:rPr>
          <w:rFonts w:hint="eastAsia"/>
          <w:b w:val="0"/>
          <w:sz w:val="18"/>
          <w:szCs w:val="18"/>
        </w:rPr>
        <w:t>）</w:t>
      </w:r>
      <w:r w:rsidRPr="00530A11">
        <w:rPr>
          <w:b w:val="0"/>
          <w:sz w:val="18"/>
          <w:szCs w:val="18"/>
        </w:rPr>
        <w:t>=</w:t>
      </w:r>
      <w:r w:rsidRPr="00530A11">
        <w:rPr>
          <w:rFonts w:hint="eastAsia"/>
          <w:b w:val="0"/>
          <w:sz w:val="18"/>
          <w:szCs w:val="18"/>
        </w:rPr>
        <w:t>填方和挖方之和</w:t>
      </w:r>
      <w:r w:rsidRPr="00530A11">
        <w:rPr>
          <w:b w:val="0"/>
          <w:sz w:val="18"/>
          <w:szCs w:val="18"/>
        </w:rPr>
        <w:t>÷</w:t>
      </w:r>
      <w:r w:rsidRPr="00530A11">
        <w:rPr>
          <w:rFonts w:hint="eastAsia"/>
          <w:b w:val="0"/>
          <w:sz w:val="18"/>
          <w:szCs w:val="18"/>
        </w:rPr>
        <w:t>用地面积。</w:t>
      </w:r>
    </w:p>
    <w:p w14:paraId="47877B6F" w14:textId="77777777" w:rsidR="00991D52" w:rsidRPr="00530A11" w:rsidRDefault="00991D52" w:rsidP="00991D52">
      <w:pPr>
        <w:pStyle w:val="ae"/>
        <w:ind w:firstLineChars="200" w:firstLine="360"/>
        <w:jc w:val="left"/>
        <w:rPr>
          <w:b w:val="0"/>
          <w:sz w:val="18"/>
          <w:szCs w:val="18"/>
        </w:rPr>
      </w:pPr>
      <w:r w:rsidRPr="00530A11">
        <w:rPr>
          <w:b w:val="0"/>
          <w:sz w:val="18"/>
          <w:szCs w:val="18"/>
        </w:rPr>
        <w:t>3</w:t>
      </w:r>
      <w:r w:rsidRPr="00530A11">
        <w:rPr>
          <w:rFonts w:hint="eastAsia"/>
          <w:b w:val="0"/>
          <w:sz w:val="18"/>
          <w:szCs w:val="18"/>
        </w:rPr>
        <w:t>、土石方量平衡比例（</w:t>
      </w:r>
      <w:r w:rsidRPr="00530A11">
        <w:rPr>
          <w:b w:val="0"/>
          <w:sz w:val="18"/>
          <w:szCs w:val="18"/>
        </w:rPr>
        <w:t>B</w:t>
      </w:r>
      <w:r w:rsidRPr="00530A11">
        <w:rPr>
          <w:rFonts w:hint="eastAsia"/>
          <w:b w:val="0"/>
          <w:sz w:val="18"/>
          <w:szCs w:val="18"/>
        </w:rPr>
        <w:t>）</w:t>
      </w:r>
      <w:r w:rsidRPr="00530A11">
        <w:rPr>
          <w:b w:val="0"/>
          <w:sz w:val="18"/>
          <w:szCs w:val="18"/>
        </w:rPr>
        <w:t>=</w:t>
      </w:r>
      <w:r w:rsidRPr="00530A11">
        <w:rPr>
          <w:rFonts w:hint="eastAsia"/>
          <w:b w:val="0"/>
          <w:sz w:val="18"/>
          <w:szCs w:val="18"/>
        </w:rPr>
        <w:t>（余方或缺方</w:t>
      </w:r>
      <w:r w:rsidRPr="00530A11">
        <w:rPr>
          <w:b w:val="0"/>
          <w:sz w:val="18"/>
          <w:szCs w:val="18"/>
        </w:rPr>
        <w:t>÷</w:t>
      </w:r>
      <w:r w:rsidRPr="00530A11">
        <w:rPr>
          <w:rFonts w:hint="eastAsia"/>
          <w:b w:val="0"/>
          <w:sz w:val="18"/>
          <w:szCs w:val="18"/>
        </w:rPr>
        <w:t>土石方工程总量）</w:t>
      </w:r>
      <w:r w:rsidRPr="00530A11">
        <w:rPr>
          <w:b w:val="0"/>
          <w:sz w:val="18"/>
          <w:szCs w:val="18"/>
        </w:rPr>
        <w:t>×100</w:t>
      </w:r>
      <w:r w:rsidRPr="00530A11">
        <w:rPr>
          <w:rFonts w:hint="eastAsia"/>
          <w:b w:val="0"/>
          <w:sz w:val="18"/>
          <w:szCs w:val="18"/>
        </w:rPr>
        <w:t>％。</w:t>
      </w:r>
    </w:p>
    <w:p w14:paraId="33973548" w14:textId="77777777" w:rsidR="00991D52" w:rsidRPr="00530A11" w:rsidRDefault="00991D52" w:rsidP="00991D52">
      <w:pPr>
        <w:pStyle w:val="ae"/>
        <w:ind w:firstLineChars="200" w:firstLine="360"/>
        <w:jc w:val="left"/>
        <w:rPr>
          <w:b w:val="0"/>
          <w:sz w:val="18"/>
          <w:szCs w:val="18"/>
        </w:rPr>
      </w:pPr>
      <w:r w:rsidRPr="00530A11">
        <w:rPr>
          <w:b w:val="0"/>
          <w:sz w:val="18"/>
          <w:szCs w:val="18"/>
        </w:rPr>
        <w:t>4</w:t>
      </w:r>
      <w:r w:rsidRPr="00530A11">
        <w:rPr>
          <w:rFonts w:hint="eastAsia"/>
          <w:b w:val="0"/>
          <w:sz w:val="18"/>
          <w:szCs w:val="18"/>
        </w:rPr>
        <w:t>、土石方量的计算应将参与平衡的挖方、填方换算成相同状态的土。挡土墙统一按垂直考虑，不区分土石比，不计施工措施工程量、基础开挖工程量。</w:t>
      </w:r>
    </w:p>
    <w:p w14:paraId="4AE3CA78" w14:textId="77777777" w:rsidR="00991D52" w:rsidRPr="00530A11" w:rsidRDefault="00991D52" w:rsidP="00991D52">
      <w:pPr>
        <w:pStyle w:val="ae"/>
        <w:ind w:firstLineChars="200" w:firstLine="360"/>
        <w:jc w:val="left"/>
        <w:rPr>
          <w:b w:val="0"/>
          <w:sz w:val="18"/>
          <w:szCs w:val="18"/>
          <w:u w:val="single"/>
        </w:rPr>
      </w:pPr>
      <w:r w:rsidRPr="00530A11">
        <w:rPr>
          <w:b w:val="0"/>
          <w:sz w:val="18"/>
          <w:szCs w:val="18"/>
        </w:rPr>
        <w:t>5</w:t>
      </w:r>
      <w:r w:rsidRPr="00530A11">
        <w:rPr>
          <w:rFonts w:hint="eastAsia"/>
          <w:b w:val="0"/>
          <w:sz w:val="18"/>
          <w:szCs w:val="18"/>
        </w:rPr>
        <w:t>、计算精度：采用</w:t>
      </w:r>
      <w:r w:rsidRPr="00530A11">
        <w:rPr>
          <w:b w:val="0"/>
          <w:sz w:val="18"/>
          <w:szCs w:val="18"/>
        </w:rPr>
        <w:t>1</w:t>
      </w:r>
      <w:r w:rsidRPr="00530A11">
        <w:rPr>
          <w:rFonts w:hint="eastAsia"/>
          <w:b w:val="0"/>
          <w:sz w:val="18"/>
          <w:szCs w:val="18"/>
        </w:rPr>
        <w:t>：</w:t>
      </w:r>
      <w:r w:rsidRPr="00530A11">
        <w:rPr>
          <w:b w:val="0"/>
          <w:sz w:val="18"/>
          <w:szCs w:val="18"/>
        </w:rPr>
        <w:t>500</w:t>
      </w:r>
      <w:r w:rsidRPr="00530A11">
        <w:rPr>
          <w:rFonts w:hint="eastAsia"/>
          <w:b w:val="0"/>
          <w:sz w:val="18"/>
          <w:szCs w:val="18"/>
        </w:rPr>
        <w:t>现状地形图，计算网格不大于</w:t>
      </w:r>
      <w:r w:rsidRPr="00530A11">
        <w:rPr>
          <w:b w:val="0"/>
          <w:sz w:val="18"/>
          <w:szCs w:val="18"/>
        </w:rPr>
        <w:t>5m</w:t>
      </w:r>
      <w:r w:rsidRPr="00530A11">
        <w:rPr>
          <w:rFonts w:hint="eastAsia"/>
          <w:b w:val="0"/>
          <w:sz w:val="18"/>
          <w:szCs w:val="18"/>
        </w:rPr>
        <w:t>。</w:t>
      </w:r>
    </w:p>
    <w:p w14:paraId="7284F532" w14:textId="77777777" w:rsidR="00991D52" w:rsidRPr="0081478A" w:rsidRDefault="00991D52" w:rsidP="009252F8">
      <w:pPr>
        <w:pStyle w:val="20"/>
      </w:pPr>
      <w:r w:rsidRPr="0081478A">
        <w:t>【条文说明】</w:t>
      </w:r>
    </w:p>
    <w:p w14:paraId="7306FDF5" w14:textId="66169219" w:rsidR="00991D52" w:rsidRDefault="00991D52" w:rsidP="00991D52">
      <w:pPr>
        <w:ind w:firstLine="420"/>
      </w:pPr>
      <w:r w:rsidRPr="00530A11">
        <w:rPr>
          <w:rFonts w:hint="eastAsia"/>
        </w:rPr>
        <w:t>本条适用于预评价、评价。</w:t>
      </w:r>
    </w:p>
    <w:p w14:paraId="6E4997E3" w14:textId="622E3302" w:rsidR="00991D52" w:rsidRPr="00530A11" w:rsidRDefault="00A24AA5" w:rsidP="00991D52">
      <w:pPr>
        <w:ind w:firstLine="420"/>
      </w:pPr>
      <w:bookmarkStart w:id="189" w:name="_Hlk39418821"/>
      <w:r w:rsidRPr="00530A11">
        <w:rPr>
          <w:rFonts w:hint="eastAsia"/>
        </w:rPr>
        <w:t>本条为地标新增条文。</w:t>
      </w:r>
      <w:bookmarkEnd w:id="189"/>
      <w:r w:rsidR="00991D52" w:rsidRPr="00530A11">
        <w:rPr>
          <w:rFonts w:hint="eastAsia"/>
        </w:rPr>
        <w:t>基地内的地表形态、土壤状况以及水系、生物群落，都是自然长期演化的结果，是具有生态平衡和相对稳定的生态系统。应对基地原有山体、水系、绿色植被、既有建筑物或构筑物的价值进行评价，充分保护、合理利用上述资源，不仅能减少能源与材料资源消耗，还保留了和谐的自然秩序和不可复制、不易雷同的历史文化特征或个性特征。利用和保护施工用地范围内原有绿色植被，对于施工周期较长的现场，可按建筑永久绿化的要求，安排场地新建绿化，既可以固定施工过程排放的</w:t>
      </w:r>
      <w:r w:rsidR="00991D52" w:rsidRPr="00530A11">
        <w:rPr>
          <w:rFonts w:hint="eastAsia"/>
        </w:rPr>
        <w:t>CO</w:t>
      </w:r>
      <w:r w:rsidR="00991D52" w:rsidRPr="00F01066">
        <w:rPr>
          <w:rFonts w:hint="eastAsia"/>
          <w:vertAlign w:val="subscript"/>
        </w:rPr>
        <w:t>2</w:t>
      </w:r>
      <w:r w:rsidR="00991D52" w:rsidRPr="00530A11">
        <w:rPr>
          <w:rFonts w:hint="eastAsia"/>
        </w:rPr>
        <w:t>，又可以提升绿化投资的效益。在建设过程中确需改造场地内的地形、地貌、水体、植被等时，应在工程结束后及时采取生态复原措施，减少对原场地环境的改变和破坏。</w:t>
      </w:r>
    </w:p>
    <w:p w14:paraId="1854D149" w14:textId="77777777" w:rsidR="00991D52" w:rsidRPr="00530A11" w:rsidRDefault="00991D52" w:rsidP="00991D52">
      <w:pPr>
        <w:ind w:firstLine="420"/>
      </w:pPr>
      <w:r w:rsidRPr="00530A11">
        <w:rPr>
          <w:rFonts w:hint="eastAsia"/>
        </w:rPr>
        <w:t>建设项目应对场地可利用的自然资源进行勘查，充分利用原有地形地貌，尽量减少土石方工程量，减少开发建设过程对场地及周边环境生态系统的改变，包括原有水体和植被，特别是胸径在</w:t>
      </w:r>
      <w:r w:rsidRPr="00530A11">
        <w:rPr>
          <w:rFonts w:hint="eastAsia"/>
        </w:rPr>
        <w:t>15cm-40cm</w:t>
      </w:r>
      <w:r w:rsidRPr="00530A11">
        <w:rPr>
          <w:rFonts w:hint="eastAsia"/>
        </w:rPr>
        <w:t>的中龄期以上的乔木。在建设过程中确需改造场地内的地形、地貌、水体、植被等时，应在工程结束后及时采取生态复原措施，减少对原场地环境的改变和破坏。</w:t>
      </w:r>
    </w:p>
    <w:p w14:paraId="08ED8DB4" w14:textId="77777777" w:rsidR="00991D52" w:rsidRPr="00530A11" w:rsidRDefault="00991D52" w:rsidP="00991D52">
      <w:pPr>
        <w:ind w:firstLine="420"/>
      </w:pPr>
      <w:r w:rsidRPr="00530A11">
        <w:rPr>
          <w:rFonts w:hint="eastAsia"/>
        </w:rPr>
        <w:t>重庆属于典型的山地城市，坡地建筑场地比较常见，该类场地的建筑布局和竖向设计对建设工程投资、工期、安全和生态环境影响较大，更需要精心规划，在满足各项使用功能和</w:t>
      </w:r>
      <w:r w:rsidRPr="00530A11">
        <w:rPr>
          <w:rFonts w:hint="eastAsia"/>
        </w:rPr>
        <w:lastRenderedPageBreak/>
        <w:t>保护现状生态资源的基础上，充分利用现状地形地貌，进行合理的竖向设计。</w:t>
      </w:r>
    </w:p>
    <w:p w14:paraId="1C61DE00" w14:textId="2E4D911F" w:rsidR="00991D52" w:rsidRDefault="00991D52" w:rsidP="00991D52">
      <w:pPr>
        <w:ind w:firstLine="420"/>
      </w:pPr>
      <w:r w:rsidRPr="00530A11">
        <w:rPr>
          <w:rFonts w:hint="eastAsia"/>
        </w:rPr>
        <w:t>重庆地貌类型以山地、丘陵为主，属于典型的山地城市，其中山地</w:t>
      </w:r>
      <w:r w:rsidRPr="00530A11">
        <w:rPr>
          <w:rFonts w:hint="eastAsia"/>
        </w:rPr>
        <w:t>(</w:t>
      </w:r>
      <w:r w:rsidRPr="00530A11">
        <w:rPr>
          <w:rFonts w:hint="eastAsia"/>
        </w:rPr>
        <w:t>中山和低山</w:t>
      </w:r>
      <w:r w:rsidRPr="00530A11">
        <w:rPr>
          <w:rFonts w:hint="eastAsia"/>
        </w:rPr>
        <w:t>)</w:t>
      </w:r>
      <w:r w:rsidRPr="00530A11">
        <w:rPr>
          <w:rFonts w:hint="eastAsia"/>
        </w:rPr>
        <w:t>占幅员面积</w:t>
      </w:r>
      <w:r w:rsidRPr="00530A11">
        <w:rPr>
          <w:rFonts w:hint="eastAsia"/>
        </w:rPr>
        <w:t>75.8</w:t>
      </w:r>
      <w:r w:rsidR="00EB3E79" w:rsidRPr="00530A11">
        <w:rPr>
          <w:rFonts w:hint="eastAsia"/>
        </w:rPr>
        <w:t>%</w:t>
      </w:r>
      <w:r w:rsidR="00EB3E79">
        <w:rPr>
          <w:rFonts w:hint="eastAsia"/>
        </w:rPr>
        <w:t>；</w:t>
      </w:r>
      <w:r w:rsidRPr="00530A11">
        <w:rPr>
          <w:rFonts w:hint="eastAsia"/>
        </w:rPr>
        <w:t>丘陵面积占</w:t>
      </w:r>
      <w:r w:rsidRPr="00530A11">
        <w:rPr>
          <w:rFonts w:hint="eastAsia"/>
        </w:rPr>
        <w:t>18.2</w:t>
      </w:r>
      <w:r w:rsidR="00EB3E79" w:rsidRPr="00530A11">
        <w:rPr>
          <w:rFonts w:hint="eastAsia"/>
        </w:rPr>
        <w:t>%</w:t>
      </w:r>
      <w:r w:rsidR="00EB3E79">
        <w:rPr>
          <w:rFonts w:hint="eastAsia"/>
        </w:rPr>
        <w:t>；</w:t>
      </w:r>
      <w:r w:rsidRPr="00530A11">
        <w:rPr>
          <w:rFonts w:hint="eastAsia"/>
        </w:rPr>
        <w:t>平地占</w:t>
      </w:r>
      <w:r w:rsidRPr="00530A11">
        <w:rPr>
          <w:rFonts w:hint="eastAsia"/>
        </w:rPr>
        <w:t>3.6</w:t>
      </w:r>
      <w:r w:rsidR="00EB3E79" w:rsidRPr="00530A11">
        <w:rPr>
          <w:rFonts w:hint="eastAsia"/>
        </w:rPr>
        <w:t>%</w:t>
      </w:r>
      <w:r w:rsidR="00EB3E79">
        <w:rPr>
          <w:rFonts w:hint="eastAsia"/>
        </w:rPr>
        <w:t>；</w:t>
      </w:r>
      <w:r w:rsidRPr="00530A11">
        <w:rPr>
          <w:rFonts w:hint="eastAsia"/>
        </w:rPr>
        <w:t>平坝面积占</w:t>
      </w:r>
      <w:r w:rsidRPr="00530A11">
        <w:rPr>
          <w:rFonts w:hint="eastAsia"/>
        </w:rPr>
        <w:t>2.4%</w:t>
      </w:r>
      <w:r w:rsidRPr="00530A11">
        <w:rPr>
          <w:rFonts w:hint="eastAsia"/>
        </w:rPr>
        <w:t>。山地建筑的平面布局和竖向设计对建设工程投资、工期、安全和城市生态环境质量影响较大，因此，需要在规划和建筑方案设计阶段精心规划，在满足各项使用功能和保护现状生态资源的基础上，应充分利用现状地形地貌，进行合理的竖向设计。由于地形坡度变化情况不同、建筑规模和功能要求不同、城市道路和用地的高差关系不同，土地的开发强度不同，使用地土石方工程量测算结果千变万化，很难从中找出明显规律性或普遍适用的指标。但从对城市生态环境影响的角度评价，应首先遵循“就近合理平衡”的原则，根据规划建设时序，分工程或分地段，充分利用场地取土和弃土条件实现土石方量就地平衡，同时应有利于采取安全的防护措施。本款中的土石方工程量与防护工程量限值指标是在大量实际工程案例基础上，从有利于减少对生态环境的影响总结的，并不完全适用于普通住宅小区。为统一评价标准和方便评价，土石方工程量计算规则没有包括对总量影响不大的内容，没有完全体现建设过程中的所有实际情况。</w:t>
      </w:r>
    </w:p>
    <w:p w14:paraId="04CF06F3" w14:textId="77777777" w:rsidR="00991D52" w:rsidRPr="0081478A" w:rsidRDefault="00991D52" w:rsidP="00991D52">
      <w:pPr>
        <w:pStyle w:val="20"/>
        <w:rPr>
          <w:rFonts w:ascii="Times New Roman" w:hAnsi="Times New Roman" w:cs="Times New Roman"/>
          <w:color w:val="auto"/>
        </w:rPr>
      </w:pPr>
      <w:r w:rsidRPr="0081478A">
        <w:rPr>
          <w:rFonts w:ascii="Times New Roman" w:hAnsi="Times New Roman" w:cs="Times New Roman"/>
          <w:color w:val="auto"/>
        </w:rPr>
        <w:t>【评价要点】</w:t>
      </w:r>
    </w:p>
    <w:p w14:paraId="7B9D754D" w14:textId="77777777" w:rsidR="00F01066" w:rsidRPr="0081478A" w:rsidRDefault="00F01066" w:rsidP="00F01066">
      <w:pPr>
        <w:ind w:firstLine="420"/>
        <w:rPr>
          <w:rFonts w:cs="Times New Roman"/>
        </w:rPr>
      </w:pPr>
      <w:r w:rsidRPr="0081478A">
        <w:rPr>
          <w:rFonts w:cs="Times New Roman"/>
        </w:rPr>
        <w:t>土石方平衡分析计算报告应满足附录</w:t>
      </w:r>
      <w:r w:rsidRPr="0081478A">
        <w:rPr>
          <w:rFonts w:cs="Times New Roman"/>
        </w:rPr>
        <w:t>B.1</w:t>
      </w:r>
      <w:r w:rsidRPr="0081478A">
        <w:rPr>
          <w:rFonts w:cs="Times New Roman"/>
        </w:rPr>
        <w:t>的要求。</w:t>
      </w:r>
    </w:p>
    <w:p w14:paraId="4D3AAEF5" w14:textId="6C5E23AD" w:rsidR="00991D52" w:rsidRDefault="00991D52" w:rsidP="00991D52">
      <w:pPr>
        <w:pStyle w:val="20"/>
        <w:rPr>
          <w:rFonts w:ascii="Times New Roman" w:hAnsi="Times New Roman" w:cs="Times New Roman"/>
          <w:color w:val="auto"/>
        </w:rPr>
      </w:pPr>
      <w:r w:rsidRPr="0081478A">
        <w:rPr>
          <w:rFonts w:ascii="Times New Roman" w:hAnsi="Times New Roman" w:cs="Times New Roman"/>
          <w:color w:val="auto"/>
        </w:rPr>
        <w:t>【评价</w:t>
      </w:r>
      <w:r>
        <w:rPr>
          <w:rFonts w:ascii="Times New Roman" w:hAnsi="Times New Roman" w:cs="Times New Roman" w:hint="eastAsia"/>
          <w:color w:val="auto"/>
        </w:rPr>
        <w:t>方法</w:t>
      </w:r>
      <w:r w:rsidRPr="0081478A">
        <w:rPr>
          <w:rFonts w:ascii="Times New Roman" w:hAnsi="Times New Roman" w:cs="Times New Roman"/>
          <w:color w:val="auto"/>
        </w:rPr>
        <w:t>】</w:t>
      </w:r>
    </w:p>
    <w:p w14:paraId="0B27129F" w14:textId="77777777" w:rsidR="001E54E5" w:rsidRPr="00530A11" w:rsidRDefault="001E54E5" w:rsidP="001E54E5">
      <w:pPr>
        <w:pStyle w:val="20"/>
        <w:ind w:firstLineChars="200" w:firstLine="420"/>
        <w:rPr>
          <w:b w:val="0"/>
        </w:rPr>
      </w:pPr>
      <w:bookmarkStart w:id="190" w:name="_Hlk33036203"/>
      <w:r w:rsidRPr="00530A11">
        <w:rPr>
          <w:rFonts w:hint="eastAsia"/>
          <w:b w:val="0"/>
        </w:rPr>
        <w:t>预评价查阅相关规划设计文件、场地竖向分析图、土石方平衡计算书、生态补偿计划；评价查阅施工过程生态恢复工程资料，组织现场查勘。</w:t>
      </w:r>
    </w:p>
    <w:bookmarkEnd w:id="190"/>
    <w:p w14:paraId="5532D410" w14:textId="77777777" w:rsidR="00715ABB" w:rsidRPr="0081478A" w:rsidRDefault="00715ABB">
      <w:pPr>
        <w:snapToGrid w:val="0"/>
        <w:ind w:firstLineChars="0" w:firstLine="0"/>
        <w:jc w:val="left"/>
        <w:rPr>
          <w:rFonts w:cs="Times New Roman"/>
          <w:b/>
          <w:bCs/>
          <w:szCs w:val="24"/>
        </w:rPr>
      </w:pPr>
    </w:p>
    <w:p w14:paraId="36B78B96" w14:textId="77777777" w:rsidR="00076964" w:rsidRPr="0081478A" w:rsidRDefault="00076964" w:rsidP="00076964">
      <w:pPr>
        <w:pStyle w:val="3"/>
      </w:pPr>
      <w:bookmarkStart w:id="191" w:name="_Toc22221591"/>
      <w:bookmarkStart w:id="192" w:name="_Toc35364758"/>
      <w:bookmarkStart w:id="193" w:name="_Toc22221592"/>
      <w:r w:rsidRPr="0081478A">
        <w:t xml:space="preserve">Ⅱ </w:t>
      </w:r>
      <w:r w:rsidRPr="0081478A">
        <w:t>室外物理环境</w:t>
      </w:r>
      <w:bookmarkEnd w:id="191"/>
      <w:bookmarkEnd w:id="192"/>
    </w:p>
    <w:p w14:paraId="3A72D6DA" w14:textId="77777777" w:rsidR="00076964" w:rsidRPr="00530A11" w:rsidRDefault="00076964" w:rsidP="00076964">
      <w:pPr>
        <w:pStyle w:val="4"/>
        <w:rPr>
          <w:rFonts w:cs="Times New Roman"/>
          <w:bCs w:val="0"/>
        </w:rPr>
      </w:pPr>
      <w:r w:rsidRPr="00530A11">
        <w:rPr>
          <w:rFonts w:cs="Times New Roman"/>
          <w:bCs w:val="0"/>
        </w:rPr>
        <w:t xml:space="preserve">8.2.7 </w:t>
      </w:r>
      <w:r w:rsidRPr="00530A11">
        <w:rPr>
          <w:rFonts w:cs="Times New Roman"/>
          <w:bCs w:val="0"/>
        </w:rPr>
        <w:t>场地内的环境噪声优于现行国家标准</w:t>
      </w:r>
      <w:bookmarkStart w:id="194" w:name="_Hlk32659550"/>
      <w:r w:rsidRPr="00530A11">
        <w:rPr>
          <w:rFonts w:cs="Times New Roman"/>
          <w:bCs w:val="0"/>
        </w:rPr>
        <w:t>《声环境质量标准》</w:t>
      </w:r>
      <w:r w:rsidRPr="00530A11">
        <w:rPr>
          <w:rFonts w:cs="Times New Roman"/>
          <w:bCs w:val="0"/>
        </w:rPr>
        <w:t>GB3096</w:t>
      </w:r>
      <w:bookmarkEnd w:id="194"/>
      <w:r w:rsidRPr="00530A11">
        <w:rPr>
          <w:rFonts w:cs="Times New Roman"/>
          <w:bCs w:val="0"/>
        </w:rPr>
        <w:t>的要求，评价总分值为</w:t>
      </w:r>
      <w:r w:rsidRPr="00530A11">
        <w:rPr>
          <w:rFonts w:cs="Times New Roman"/>
          <w:bCs w:val="0"/>
        </w:rPr>
        <w:t>10</w:t>
      </w:r>
      <w:r w:rsidRPr="00530A11">
        <w:rPr>
          <w:rFonts w:cs="Times New Roman"/>
          <w:bCs w:val="0"/>
        </w:rPr>
        <w:t>分，并按下列规则评分：</w:t>
      </w:r>
    </w:p>
    <w:p w14:paraId="62A94F78" w14:textId="77777777" w:rsidR="00076964" w:rsidRPr="00F01066" w:rsidRDefault="00076964" w:rsidP="00076964">
      <w:pPr>
        <w:pStyle w:val="20"/>
        <w:ind w:firstLineChars="100" w:firstLine="211"/>
        <w:rPr>
          <w:rFonts w:ascii="Times New Roman" w:hAnsi="Times New Roman" w:cs="Times New Roman"/>
          <w:bCs/>
          <w:color w:val="auto"/>
        </w:rPr>
      </w:pPr>
      <w:r w:rsidRPr="00F01066">
        <w:rPr>
          <w:rFonts w:ascii="Times New Roman" w:hAnsi="Times New Roman" w:cs="Times New Roman"/>
          <w:bCs/>
          <w:color w:val="auto"/>
        </w:rPr>
        <w:t xml:space="preserve">1 </w:t>
      </w:r>
      <w:r w:rsidRPr="00F01066">
        <w:rPr>
          <w:rFonts w:ascii="Times New Roman" w:hAnsi="Times New Roman" w:cs="Times New Roman"/>
          <w:bCs/>
          <w:color w:val="auto"/>
        </w:rPr>
        <w:t>环境噪声值大于</w:t>
      </w:r>
      <w:r w:rsidRPr="00F01066">
        <w:rPr>
          <w:rFonts w:ascii="Times New Roman" w:hAnsi="Times New Roman" w:cs="Times New Roman"/>
          <w:bCs/>
          <w:color w:val="auto"/>
        </w:rPr>
        <w:t>2</w:t>
      </w:r>
      <w:r w:rsidRPr="00F01066">
        <w:rPr>
          <w:rFonts w:ascii="Times New Roman" w:hAnsi="Times New Roman" w:cs="Times New Roman"/>
          <w:bCs/>
          <w:color w:val="auto"/>
        </w:rPr>
        <w:t>类声环境功能区标准限值，且小于或等于</w:t>
      </w:r>
      <w:r w:rsidRPr="00F01066">
        <w:rPr>
          <w:rFonts w:ascii="Times New Roman" w:hAnsi="Times New Roman" w:cs="Times New Roman"/>
          <w:bCs/>
          <w:color w:val="auto"/>
        </w:rPr>
        <w:t>3</w:t>
      </w:r>
      <w:r w:rsidRPr="00F01066">
        <w:rPr>
          <w:rFonts w:ascii="Times New Roman" w:hAnsi="Times New Roman" w:cs="Times New Roman"/>
          <w:bCs/>
          <w:color w:val="auto"/>
        </w:rPr>
        <w:t>类声环境功能区标准限值，得</w:t>
      </w:r>
      <w:r w:rsidRPr="00F01066">
        <w:rPr>
          <w:rFonts w:ascii="Times New Roman" w:hAnsi="Times New Roman" w:cs="Times New Roman"/>
          <w:bCs/>
          <w:color w:val="auto"/>
        </w:rPr>
        <w:t>5</w:t>
      </w:r>
      <w:r w:rsidRPr="00F01066">
        <w:rPr>
          <w:rFonts w:ascii="Times New Roman" w:hAnsi="Times New Roman" w:cs="Times New Roman"/>
          <w:bCs/>
          <w:color w:val="auto"/>
        </w:rPr>
        <w:t>分。</w:t>
      </w:r>
    </w:p>
    <w:p w14:paraId="145AAC7A" w14:textId="77777777" w:rsidR="00076964" w:rsidRPr="00F01066" w:rsidRDefault="00076964" w:rsidP="00076964">
      <w:pPr>
        <w:pStyle w:val="20"/>
        <w:ind w:firstLineChars="100" w:firstLine="211"/>
        <w:rPr>
          <w:rFonts w:ascii="Times New Roman" w:hAnsi="Times New Roman" w:cs="Times New Roman"/>
          <w:bCs/>
          <w:color w:val="auto"/>
        </w:rPr>
      </w:pPr>
      <w:r w:rsidRPr="00F01066">
        <w:rPr>
          <w:rFonts w:ascii="Times New Roman" w:hAnsi="Times New Roman" w:cs="Times New Roman"/>
          <w:bCs/>
          <w:color w:val="auto"/>
        </w:rPr>
        <w:t xml:space="preserve">2 </w:t>
      </w:r>
      <w:r w:rsidRPr="00F01066">
        <w:rPr>
          <w:rFonts w:ascii="Times New Roman" w:hAnsi="Times New Roman" w:cs="Times New Roman"/>
          <w:bCs/>
          <w:color w:val="auto"/>
        </w:rPr>
        <w:t>环境噪声值小于或等于</w:t>
      </w:r>
      <w:r w:rsidRPr="00F01066">
        <w:rPr>
          <w:rFonts w:ascii="Times New Roman" w:hAnsi="Times New Roman" w:cs="Times New Roman"/>
          <w:bCs/>
          <w:color w:val="auto"/>
        </w:rPr>
        <w:t>2</w:t>
      </w:r>
      <w:r w:rsidRPr="00F01066">
        <w:rPr>
          <w:rFonts w:ascii="Times New Roman" w:hAnsi="Times New Roman" w:cs="Times New Roman"/>
          <w:bCs/>
          <w:color w:val="auto"/>
        </w:rPr>
        <w:t>类声环境功能区标准限值，得</w:t>
      </w:r>
      <w:r w:rsidRPr="00F01066">
        <w:rPr>
          <w:rFonts w:ascii="Times New Roman" w:hAnsi="Times New Roman" w:cs="Times New Roman"/>
          <w:bCs/>
          <w:color w:val="auto"/>
        </w:rPr>
        <w:t>10</w:t>
      </w:r>
      <w:r w:rsidRPr="00F01066">
        <w:rPr>
          <w:rFonts w:ascii="Times New Roman" w:hAnsi="Times New Roman" w:cs="Times New Roman"/>
          <w:bCs/>
          <w:color w:val="auto"/>
        </w:rPr>
        <w:t>分。</w:t>
      </w:r>
    </w:p>
    <w:p w14:paraId="75977DCA" w14:textId="77777777" w:rsidR="00076964" w:rsidRPr="0081478A" w:rsidRDefault="00076964" w:rsidP="009252F8">
      <w:pPr>
        <w:pStyle w:val="20"/>
      </w:pPr>
      <w:r w:rsidRPr="0081478A">
        <w:t>【条文说明】</w:t>
      </w:r>
    </w:p>
    <w:p w14:paraId="4FC1946F" w14:textId="77777777" w:rsidR="00076964" w:rsidRPr="00530A11" w:rsidRDefault="00076964" w:rsidP="00076964">
      <w:pPr>
        <w:ind w:firstLine="420"/>
        <w:rPr>
          <w:szCs w:val="24"/>
        </w:rPr>
      </w:pPr>
      <w:r w:rsidRPr="00530A11">
        <w:t>本条适用于各类民用建筑的预评价、评价。</w:t>
      </w:r>
    </w:p>
    <w:p w14:paraId="50684F73" w14:textId="77777777"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lastRenderedPageBreak/>
        <w:t>4.2.5</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4.2.5</w:t>
      </w:r>
      <w:r w:rsidRPr="00530A11">
        <w:rPr>
          <w:rFonts w:cs="Times New Roman"/>
        </w:rPr>
        <w:t>条的基础上发展而来。</w:t>
      </w:r>
    </w:p>
    <w:p w14:paraId="4CBCC28C" w14:textId="77777777" w:rsidR="00076964" w:rsidRPr="00530A11" w:rsidRDefault="00076964" w:rsidP="00076964">
      <w:pPr>
        <w:ind w:firstLine="420"/>
        <w:rPr>
          <w:rFonts w:cs="Times New Roman"/>
        </w:rPr>
      </w:pPr>
      <w:r w:rsidRPr="00530A11">
        <w:rPr>
          <w:rFonts w:cs="Times New Roman"/>
        </w:rPr>
        <w:t>国家标准《声环境质量标准》</w:t>
      </w:r>
      <w:r w:rsidRPr="00530A11">
        <w:rPr>
          <w:rFonts w:cs="Times New Roman"/>
        </w:rPr>
        <w:t>GB 3096-2008</w:t>
      </w:r>
      <w:r w:rsidRPr="00530A11">
        <w:rPr>
          <w:rFonts w:cs="Times New Roman"/>
        </w:rPr>
        <w:t>中对各类声环境功能区的环境噪声等效声级限值进行了规定，见表</w:t>
      </w:r>
      <w:r w:rsidRPr="00530A11">
        <w:rPr>
          <w:rFonts w:cs="Times New Roman"/>
        </w:rPr>
        <w:t>5</w:t>
      </w:r>
      <w:r w:rsidRPr="00530A11">
        <w:rPr>
          <w:rFonts w:cs="Times New Roman"/>
        </w:rPr>
        <w:t>。</w:t>
      </w:r>
    </w:p>
    <w:p w14:paraId="0080518D" w14:textId="77777777" w:rsidR="00076964" w:rsidRPr="00530A11" w:rsidRDefault="00076964" w:rsidP="00076964">
      <w:pPr>
        <w:pStyle w:val="ae"/>
        <w:rPr>
          <w:rFonts w:cs="Times New Roman"/>
          <w:b w:val="0"/>
        </w:rPr>
      </w:pPr>
      <w:r w:rsidRPr="00530A11">
        <w:rPr>
          <w:rFonts w:cs="Times New Roman"/>
          <w:b w:val="0"/>
        </w:rPr>
        <w:t>表</w:t>
      </w:r>
      <w:r w:rsidRPr="00530A11">
        <w:rPr>
          <w:rFonts w:cs="Times New Roman"/>
          <w:b w:val="0"/>
        </w:rPr>
        <w:t xml:space="preserve">5 </w:t>
      </w:r>
      <w:r w:rsidRPr="00530A11">
        <w:rPr>
          <w:rFonts w:cs="Times New Roman"/>
          <w:b w:val="0"/>
        </w:rPr>
        <w:t>各类声环境功能区的环境噪声等效声级限值</w:t>
      </w:r>
      <w:r w:rsidRPr="00530A11">
        <w:rPr>
          <w:rFonts w:cs="Times New Roman"/>
          <w:b w:val="0"/>
        </w:rPr>
        <w:t>(dB(A))</w:t>
      </w:r>
    </w:p>
    <w:tbl>
      <w:tblPr>
        <w:tblStyle w:val="110"/>
        <w:tblW w:w="8302" w:type="dxa"/>
        <w:tblLayout w:type="fixed"/>
        <w:tblLook w:val="04A0" w:firstRow="1" w:lastRow="0" w:firstColumn="1" w:lastColumn="0" w:noHBand="0" w:noVBand="1"/>
      </w:tblPr>
      <w:tblGrid>
        <w:gridCol w:w="1717"/>
        <w:gridCol w:w="1431"/>
        <w:gridCol w:w="2618"/>
        <w:gridCol w:w="2536"/>
      </w:tblGrid>
      <w:tr w:rsidR="00076964" w:rsidRPr="00530A11" w14:paraId="55079044" w14:textId="77777777" w:rsidTr="009252F8">
        <w:tc>
          <w:tcPr>
            <w:tcW w:w="3148" w:type="dxa"/>
            <w:gridSpan w:val="2"/>
            <w:vMerge w:val="restart"/>
            <w:vAlign w:val="center"/>
          </w:tcPr>
          <w:p w14:paraId="55C535C9" w14:textId="77777777" w:rsidR="00076964" w:rsidRPr="00530A11" w:rsidRDefault="00076964" w:rsidP="009252F8">
            <w:pPr>
              <w:pStyle w:val="ae"/>
              <w:rPr>
                <w:rFonts w:cs="Times New Roman"/>
                <w:b w:val="0"/>
              </w:rPr>
            </w:pPr>
            <w:r w:rsidRPr="00530A11">
              <w:rPr>
                <w:rFonts w:cs="Times New Roman"/>
                <w:b w:val="0"/>
              </w:rPr>
              <w:t>声环境功能区类别</w:t>
            </w:r>
          </w:p>
        </w:tc>
        <w:tc>
          <w:tcPr>
            <w:tcW w:w="5154" w:type="dxa"/>
            <w:gridSpan w:val="2"/>
            <w:vAlign w:val="center"/>
          </w:tcPr>
          <w:p w14:paraId="09AD3644" w14:textId="77777777" w:rsidR="00076964" w:rsidRPr="00530A11" w:rsidRDefault="00076964" w:rsidP="009252F8">
            <w:pPr>
              <w:pStyle w:val="ae"/>
              <w:rPr>
                <w:rFonts w:cs="Times New Roman"/>
                <w:b w:val="0"/>
              </w:rPr>
            </w:pPr>
            <w:r w:rsidRPr="00530A11">
              <w:rPr>
                <w:rFonts w:cs="Times New Roman"/>
                <w:b w:val="0"/>
              </w:rPr>
              <w:t>时段</w:t>
            </w:r>
          </w:p>
        </w:tc>
      </w:tr>
      <w:tr w:rsidR="00076964" w:rsidRPr="00530A11" w14:paraId="1BB441A0" w14:textId="77777777" w:rsidTr="009252F8">
        <w:tc>
          <w:tcPr>
            <w:tcW w:w="3148" w:type="dxa"/>
            <w:gridSpan w:val="2"/>
            <w:vMerge/>
            <w:vAlign w:val="center"/>
          </w:tcPr>
          <w:p w14:paraId="1E365812" w14:textId="77777777" w:rsidR="00076964" w:rsidRPr="00530A11" w:rsidRDefault="00076964" w:rsidP="009252F8">
            <w:pPr>
              <w:pStyle w:val="ae"/>
              <w:rPr>
                <w:rFonts w:cs="Times New Roman"/>
                <w:b w:val="0"/>
              </w:rPr>
            </w:pPr>
          </w:p>
        </w:tc>
        <w:tc>
          <w:tcPr>
            <w:tcW w:w="2618" w:type="dxa"/>
            <w:vAlign w:val="center"/>
          </w:tcPr>
          <w:p w14:paraId="25DD7C70" w14:textId="77777777" w:rsidR="00076964" w:rsidRPr="00530A11" w:rsidRDefault="00076964" w:rsidP="009252F8">
            <w:pPr>
              <w:pStyle w:val="ae"/>
              <w:rPr>
                <w:rFonts w:cs="Times New Roman"/>
                <w:b w:val="0"/>
              </w:rPr>
            </w:pPr>
            <w:r w:rsidRPr="00530A11">
              <w:rPr>
                <w:rFonts w:cs="Times New Roman"/>
                <w:b w:val="0"/>
              </w:rPr>
              <w:t>昼间</w:t>
            </w:r>
          </w:p>
        </w:tc>
        <w:tc>
          <w:tcPr>
            <w:tcW w:w="2536" w:type="dxa"/>
            <w:vAlign w:val="center"/>
          </w:tcPr>
          <w:p w14:paraId="3CFB9C9F" w14:textId="77777777" w:rsidR="00076964" w:rsidRPr="00530A11" w:rsidRDefault="00076964" w:rsidP="009252F8">
            <w:pPr>
              <w:pStyle w:val="ae"/>
              <w:rPr>
                <w:rFonts w:cs="Times New Roman"/>
                <w:b w:val="0"/>
              </w:rPr>
            </w:pPr>
            <w:r w:rsidRPr="00530A11">
              <w:rPr>
                <w:rFonts w:cs="Times New Roman"/>
                <w:b w:val="0"/>
              </w:rPr>
              <w:t>夜间</w:t>
            </w:r>
          </w:p>
        </w:tc>
      </w:tr>
      <w:tr w:rsidR="00076964" w:rsidRPr="00530A11" w14:paraId="75D41537" w14:textId="77777777" w:rsidTr="009252F8">
        <w:tc>
          <w:tcPr>
            <w:tcW w:w="3148" w:type="dxa"/>
            <w:gridSpan w:val="2"/>
            <w:vAlign w:val="center"/>
          </w:tcPr>
          <w:p w14:paraId="6D466400" w14:textId="77777777" w:rsidR="00076964" w:rsidRPr="00530A11" w:rsidRDefault="00076964" w:rsidP="009252F8">
            <w:pPr>
              <w:pStyle w:val="ae"/>
              <w:rPr>
                <w:rFonts w:cs="Times New Roman"/>
                <w:b w:val="0"/>
              </w:rPr>
            </w:pPr>
            <w:r w:rsidRPr="00530A11">
              <w:rPr>
                <w:rFonts w:cs="Times New Roman"/>
                <w:b w:val="0"/>
              </w:rPr>
              <w:t>0</w:t>
            </w:r>
            <w:r w:rsidRPr="00530A11">
              <w:rPr>
                <w:rFonts w:cs="Times New Roman"/>
                <w:b w:val="0"/>
              </w:rPr>
              <w:t>类</w:t>
            </w:r>
          </w:p>
        </w:tc>
        <w:tc>
          <w:tcPr>
            <w:tcW w:w="2618" w:type="dxa"/>
            <w:vAlign w:val="center"/>
          </w:tcPr>
          <w:p w14:paraId="40773BC7" w14:textId="77777777" w:rsidR="00076964" w:rsidRPr="00530A11" w:rsidRDefault="00076964" w:rsidP="009252F8">
            <w:pPr>
              <w:pStyle w:val="ae"/>
              <w:rPr>
                <w:rFonts w:cs="Times New Roman"/>
                <w:b w:val="0"/>
              </w:rPr>
            </w:pPr>
            <w:r w:rsidRPr="00530A11">
              <w:rPr>
                <w:rFonts w:cs="Times New Roman"/>
                <w:b w:val="0"/>
              </w:rPr>
              <w:t>50</w:t>
            </w:r>
          </w:p>
        </w:tc>
        <w:tc>
          <w:tcPr>
            <w:tcW w:w="2536" w:type="dxa"/>
            <w:vAlign w:val="center"/>
          </w:tcPr>
          <w:p w14:paraId="393D0ACC" w14:textId="77777777" w:rsidR="00076964" w:rsidRPr="00530A11" w:rsidRDefault="00076964" w:rsidP="009252F8">
            <w:pPr>
              <w:pStyle w:val="ae"/>
              <w:rPr>
                <w:rFonts w:cs="Times New Roman"/>
                <w:b w:val="0"/>
              </w:rPr>
            </w:pPr>
            <w:r w:rsidRPr="00530A11">
              <w:rPr>
                <w:rFonts w:cs="Times New Roman"/>
                <w:b w:val="0"/>
              </w:rPr>
              <w:t>40</w:t>
            </w:r>
          </w:p>
        </w:tc>
      </w:tr>
      <w:tr w:rsidR="00076964" w:rsidRPr="00530A11" w14:paraId="15287BC5" w14:textId="77777777" w:rsidTr="009252F8">
        <w:tc>
          <w:tcPr>
            <w:tcW w:w="3148" w:type="dxa"/>
            <w:gridSpan w:val="2"/>
            <w:vAlign w:val="center"/>
          </w:tcPr>
          <w:p w14:paraId="643EC867" w14:textId="77777777" w:rsidR="00076964" w:rsidRPr="00530A11" w:rsidRDefault="00076964" w:rsidP="009252F8">
            <w:pPr>
              <w:pStyle w:val="ae"/>
              <w:rPr>
                <w:rFonts w:cs="Times New Roman"/>
                <w:b w:val="0"/>
              </w:rPr>
            </w:pPr>
            <w:r w:rsidRPr="00530A11">
              <w:rPr>
                <w:rFonts w:cs="Times New Roman"/>
                <w:b w:val="0"/>
              </w:rPr>
              <w:t>1</w:t>
            </w:r>
            <w:r w:rsidRPr="00530A11">
              <w:rPr>
                <w:rFonts w:cs="Times New Roman"/>
                <w:b w:val="0"/>
              </w:rPr>
              <w:t>类</w:t>
            </w:r>
          </w:p>
        </w:tc>
        <w:tc>
          <w:tcPr>
            <w:tcW w:w="2618" w:type="dxa"/>
            <w:vAlign w:val="center"/>
          </w:tcPr>
          <w:p w14:paraId="579B0723" w14:textId="77777777" w:rsidR="00076964" w:rsidRPr="00530A11" w:rsidRDefault="00076964" w:rsidP="009252F8">
            <w:pPr>
              <w:pStyle w:val="ae"/>
              <w:rPr>
                <w:rFonts w:cs="Times New Roman"/>
                <w:b w:val="0"/>
              </w:rPr>
            </w:pPr>
            <w:r w:rsidRPr="00530A11">
              <w:rPr>
                <w:rFonts w:cs="Times New Roman"/>
                <w:b w:val="0"/>
              </w:rPr>
              <w:t>55</w:t>
            </w:r>
          </w:p>
        </w:tc>
        <w:tc>
          <w:tcPr>
            <w:tcW w:w="2536" w:type="dxa"/>
            <w:vAlign w:val="center"/>
          </w:tcPr>
          <w:p w14:paraId="716D9CE2" w14:textId="77777777" w:rsidR="00076964" w:rsidRPr="00530A11" w:rsidRDefault="00076964" w:rsidP="009252F8">
            <w:pPr>
              <w:pStyle w:val="ae"/>
              <w:rPr>
                <w:rFonts w:cs="Times New Roman"/>
                <w:b w:val="0"/>
              </w:rPr>
            </w:pPr>
            <w:r w:rsidRPr="00530A11">
              <w:rPr>
                <w:rFonts w:cs="Times New Roman"/>
                <w:b w:val="0"/>
              </w:rPr>
              <w:t>45</w:t>
            </w:r>
          </w:p>
        </w:tc>
      </w:tr>
      <w:tr w:rsidR="00076964" w:rsidRPr="00530A11" w14:paraId="743BB4FE" w14:textId="77777777" w:rsidTr="009252F8">
        <w:tc>
          <w:tcPr>
            <w:tcW w:w="3148" w:type="dxa"/>
            <w:gridSpan w:val="2"/>
            <w:vAlign w:val="center"/>
          </w:tcPr>
          <w:p w14:paraId="4D20FD2C" w14:textId="77777777" w:rsidR="00076964" w:rsidRPr="00530A11" w:rsidRDefault="00076964" w:rsidP="009252F8">
            <w:pPr>
              <w:pStyle w:val="ae"/>
              <w:rPr>
                <w:rFonts w:cs="Times New Roman"/>
                <w:b w:val="0"/>
              </w:rPr>
            </w:pPr>
            <w:r w:rsidRPr="00530A11">
              <w:rPr>
                <w:rFonts w:cs="Times New Roman"/>
                <w:b w:val="0"/>
              </w:rPr>
              <w:t>2</w:t>
            </w:r>
            <w:r w:rsidRPr="00530A11">
              <w:rPr>
                <w:rFonts w:cs="Times New Roman"/>
                <w:b w:val="0"/>
              </w:rPr>
              <w:t>类</w:t>
            </w:r>
          </w:p>
        </w:tc>
        <w:tc>
          <w:tcPr>
            <w:tcW w:w="2618" w:type="dxa"/>
            <w:vAlign w:val="center"/>
          </w:tcPr>
          <w:p w14:paraId="059D5B34" w14:textId="77777777" w:rsidR="00076964" w:rsidRPr="00530A11" w:rsidRDefault="00076964" w:rsidP="009252F8">
            <w:pPr>
              <w:pStyle w:val="ae"/>
              <w:rPr>
                <w:rFonts w:cs="Times New Roman"/>
                <w:b w:val="0"/>
              </w:rPr>
            </w:pPr>
            <w:r w:rsidRPr="00530A11">
              <w:rPr>
                <w:rFonts w:cs="Times New Roman"/>
                <w:b w:val="0"/>
              </w:rPr>
              <w:t>60</w:t>
            </w:r>
          </w:p>
        </w:tc>
        <w:tc>
          <w:tcPr>
            <w:tcW w:w="2536" w:type="dxa"/>
            <w:vAlign w:val="center"/>
          </w:tcPr>
          <w:p w14:paraId="00C081AF" w14:textId="77777777" w:rsidR="00076964" w:rsidRPr="00530A11" w:rsidRDefault="00076964" w:rsidP="009252F8">
            <w:pPr>
              <w:pStyle w:val="ae"/>
              <w:rPr>
                <w:rFonts w:cs="Times New Roman"/>
                <w:b w:val="0"/>
              </w:rPr>
            </w:pPr>
            <w:r w:rsidRPr="00530A11">
              <w:rPr>
                <w:rFonts w:cs="Times New Roman"/>
                <w:b w:val="0"/>
              </w:rPr>
              <w:t>50</w:t>
            </w:r>
          </w:p>
        </w:tc>
      </w:tr>
      <w:tr w:rsidR="00076964" w:rsidRPr="00530A11" w14:paraId="11A534AE" w14:textId="77777777" w:rsidTr="009252F8">
        <w:tc>
          <w:tcPr>
            <w:tcW w:w="3148" w:type="dxa"/>
            <w:gridSpan w:val="2"/>
            <w:vAlign w:val="center"/>
          </w:tcPr>
          <w:p w14:paraId="319B6ABD" w14:textId="77777777" w:rsidR="00076964" w:rsidRPr="00530A11" w:rsidRDefault="00076964" w:rsidP="009252F8">
            <w:pPr>
              <w:pStyle w:val="ae"/>
              <w:rPr>
                <w:rFonts w:cs="Times New Roman"/>
                <w:b w:val="0"/>
              </w:rPr>
            </w:pPr>
            <w:r w:rsidRPr="00530A11">
              <w:rPr>
                <w:rFonts w:cs="Times New Roman"/>
                <w:b w:val="0"/>
              </w:rPr>
              <w:t>3</w:t>
            </w:r>
            <w:r w:rsidRPr="00530A11">
              <w:rPr>
                <w:rFonts w:cs="Times New Roman"/>
                <w:b w:val="0"/>
              </w:rPr>
              <w:t>类</w:t>
            </w:r>
          </w:p>
        </w:tc>
        <w:tc>
          <w:tcPr>
            <w:tcW w:w="2618" w:type="dxa"/>
            <w:vAlign w:val="center"/>
          </w:tcPr>
          <w:p w14:paraId="325A9A6B" w14:textId="77777777" w:rsidR="00076964" w:rsidRPr="00530A11" w:rsidRDefault="00076964" w:rsidP="009252F8">
            <w:pPr>
              <w:pStyle w:val="ae"/>
              <w:rPr>
                <w:rFonts w:cs="Times New Roman"/>
                <w:b w:val="0"/>
              </w:rPr>
            </w:pPr>
            <w:r w:rsidRPr="00530A11">
              <w:rPr>
                <w:rFonts w:cs="Times New Roman"/>
                <w:b w:val="0"/>
              </w:rPr>
              <w:t>65</w:t>
            </w:r>
          </w:p>
        </w:tc>
        <w:tc>
          <w:tcPr>
            <w:tcW w:w="2536" w:type="dxa"/>
            <w:vAlign w:val="center"/>
          </w:tcPr>
          <w:p w14:paraId="58E2D8D4" w14:textId="77777777" w:rsidR="00076964" w:rsidRPr="00530A11" w:rsidRDefault="00076964" w:rsidP="009252F8">
            <w:pPr>
              <w:pStyle w:val="ae"/>
              <w:rPr>
                <w:rFonts w:cs="Times New Roman"/>
                <w:b w:val="0"/>
              </w:rPr>
            </w:pPr>
            <w:r w:rsidRPr="00530A11">
              <w:rPr>
                <w:rFonts w:cs="Times New Roman"/>
                <w:b w:val="0"/>
              </w:rPr>
              <w:t>55</w:t>
            </w:r>
          </w:p>
        </w:tc>
      </w:tr>
      <w:tr w:rsidR="00076964" w:rsidRPr="00530A11" w14:paraId="22D0F684" w14:textId="77777777" w:rsidTr="009252F8">
        <w:tc>
          <w:tcPr>
            <w:tcW w:w="1717" w:type="dxa"/>
            <w:vMerge w:val="restart"/>
            <w:vAlign w:val="center"/>
          </w:tcPr>
          <w:p w14:paraId="09E2ADC3" w14:textId="77777777" w:rsidR="00076964" w:rsidRPr="00530A11" w:rsidRDefault="00076964" w:rsidP="009252F8">
            <w:pPr>
              <w:pStyle w:val="ae"/>
              <w:rPr>
                <w:rFonts w:cs="Times New Roman"/>
                <w:b w:val="0"/>
              </w:rPr>
            </w:pPr>
            <w:r w:rsidRPr="00530A11">
              <w:rPr>
                <w:rFonts w:cs="Times New Roman"/>
                <w:b w:val="0"/>
              </w:rPr>
              <w:t>4</w:t>
            </w:r>
            <w:r w:rsidRPr="00530A11">
              <w:rPr>
                <w:rFonts w:cs="Times New Roman"/>
                <w:b w:val="0"/>
              </w:rPr>
              <w:t>类</w:t>
            </w:r>
          </w:p>
        </w:tc>
        <w:tc>
          <w:tcPr>
            <w:tcW w:w="1431" w:type="dxa"/>
            <w:vAlign w:val="center"/>
          </w:tcPr>
          <w:p w14:paraId="5830CE4E" w14:textId="77777777" w:rsidR="00076964" w:rsidRPr="00530A11" w:rsidRDefault="00076964" w:rsidP="009252F8">
            <w:pPr>
              <w:pStyle w:val="ae"/>
              <w:rPr>
                <w:rFonts w:cs="Times New Roman"/>
                <w:b w:val="0"/>
              </w:rPr>
            </w:pPr>
            <w:r w:rsidRPr="00530A11">
              <w:rPr>
                <w:rFonts w:cs="Times New Roman"/>
                <w:b w:val="0"/>
              </w:rPr>
              <w:t>4a</w:t>
            </w:r>
            <w:r w:rsidRPr="00530A11">
              <w:rPr>
                <w:rFonts w:cs="Times New Roman"/>
                <w:b w:val="0"/>
              </w:rPr>
              <w:t>类</w:t>
            </w:r>
          </w:p>
        </w:tc>
        <w:tc>
          <w:tcPr>
            <w:tcW w:w="2618" w:type="dxa"/>
            <w:vAlign w:val="center"/>
          </w:tcPr>
          <w:p w14:paraId="63677694" w14:textId="77777777" w:rsidR="00076964" w:rsidRPr="00530A11" w:rsidRDefault="00076964" w:rsidP="009252F8">
            <w:pPr>
              <w:pStyle w:val="ae"/>
              <w:rPr>
                <w:rFonts w:cs="Times New Roman"/>
                <w:b w:val="0"/>
              </w:rPr>
            </w:pPr>
            <w:r w:rsidRPr="00530A11">
              <w:rPr>
                <w:rFonts w:cs="Times New Roman"/>
                <w:b w:val="0"/>
              </w:rPr>
              <w:t>70</w:t>
            </w:r>
          </w:p>
        </w:tc>
        <w:tc>
          <w:tcPr>
            <w:tcW w:w="2536" w:type="dxa"/>
            <w:vAlign w:val="center"/>
          </w:tcPr>
          <w:p w14:paraId="133CE95B" w14:textId="77777777" w:rsidR="00076964" w:rsidRPr="00530A11" w:rsidRDefault="00076964" w:rsidP="009252F8">
            <w:pPr>
              <w:pStyle w:val="ae"/>
              <w:rPr>
                <w:rFonts w:cs="Times New Roman"/>
                <w:b w:val="0"/>
              </w:rPr>
            </w:pPr>
            <w:r w:rsidRPr="00530A11">
              <w:rPr>
                <w:rFonts w:cs="Times New Roman"/>
                <w:b w:val="0"/>
              </w:rPr>
              <w:t>55</w:t>
            </w:r>
          </w:p>
        </w:tc>
      </w:tr>
      <w:tr w:rsidR="00076964" w:rsidRPr="00530A11" w14:paraId="5EEACBF9" w14:textId="77777777" w:rsidTr="009252F8">
        <w:tc>
          <w:tcPr>
            <w:tcW w:w="1717" w:type="dxa"/>
            <w:vMerge/>
            <w:vAlign w:val="center"/>
          </w:tcPr>
          <w:p w14:paraId="458DF11B" w14:textId="77777777" w:rsidR="00076964" w:rsidRPr="00530A11" w:rsidRDefault="00076964" w:rsidP="009252F8">
            <w:pPr>
              <w:pStyle w:val="ae"/>
              <w:rPr>
                <w:rFonts w:cs="Times New Roman"/>
                <w:b w:val="0"/>
              </w:rPr>
            </w:pPr>
          </w:p>
        </w:tc>
        <w:tc>
          <w:tcPr>
            <w:tcW w:w="1431" w:type="dxa"/>
            <w:vAlign w:val="center"/>
          </w:tcPr>
          <w:p w14:paraId="716779C3" w14:textId="77777777" w:rsidR="00076964" w:rsidRPr="00530A11" w:rsidRDefault="00076964" w:rsidP="009252F8">
            <w:pPr>
              <w:pStyle w:val="ae"/>
              <w:rPr>
                <w:rFonts w:cs="Times New Roman"/>
                <w:b w:val="0"/>
              </w:rPr>
            </w:pPr>
            <w:r w:rsidRPr="00530A11">
              <w:rPr>
                <w:rFonts w:cs="Times New Roman"/>
                <w:b w:val="0"/>
              </w:rPr>
              <w:t>4b</w:t>
            </w:r>
            <w:r w:rsidRPr="00530A11">
              <w:rPr>
                <w:rFonts w:cs="Times New Roman"/>
                <w:b w:val="0"/>
              </w:rPr>
              <w:t>类</w:t>
            </w:r>
          </w:p>
        </w:tc>
        <w:tc>
          <w:tcPr>
            <w:tcW w:w="2618" w:type="dxa"/>
            <w:vAlign w:val="center"/>
          </w:tcPr>
          <w:p w14:paraId="29B72FB1" w14:textId="77777777" w:rsidR="00076964" w:rsidRPr="00530A11" w:rsidRDefault="00076964" w:rsidP="009252F8">
            <w:pPr>
              <w:pStyle w:val="ae"/>
              <w:rPr>
                <w:rFonts w:cs="Times New Roman"/>
                <w:b w:val="0"/>
              </w:rPr>
            </w:pPr>
            <w:r w:rsidRPr="00530A11">
              <w:rPr>
                <w:rFonts w:cs="Times New Roman"/>
                <w:b w:val="0"/>
              </w:rPr>
              <w:t>70</w:t>
            </w:r>
          </w:p>
        </w:tc>
        <w:tc>
          <w:tcPr>
            <w:tcW w:w="2536" w:type="dxa"/>
            <w:vAlign w:val="center"/>
          </w:tcPr>
          <w:p w14:paraId="73AD6AE5" w14:textId="77777777" w:rsidR="00076964" w:rsidRPr="00530A11" w:rsidRDefault="00076964" w:rsidP="009252F8">
            <w:pPr>
              <w:pStyle w:val="ae"/>
              <w:rPr>
                <w:rFonts w:cs="Times New Roman"/>
                <w:b w:val="0"/>
              </w:rPr>
            </w:pPr>
            <w:r w:rsidRPr="00530A11">
              <w:rPr>
                <w:rFonts w:cs="Times New Roman"/>
                <w:b w:val="0"/>
              </w:rPr>
              <w:t>60</w:t>
            </w:r>
          </w:p>
        </w:tc>
      </w:tr>
    </w:tbl>
    <w:p w14:paraId="70A0082A" w14:textId="77777777" w:rsidR="00076964" w:rsidRPr="00530A11" w:rsidRDefault="00076964" w:rsidP="00076964">
      <w:pPr>
        <w:ind w:firstLine="420"/>
        <w:rPr>
          <w:rFonts w:cs="Times New Roman"/>
        </w:rPr>
      </w:pPr>
      <w:r w:rsidRPr="00530A11">
        <w:rPr>
          <w:rFonts w:cs="Times New Roman"/>
        </w:rPr>
        <w:t>本条评价时，仅考虑室外环境噪声对人的影响，不考虑建筑所处的声环境功能分区，项目应尽可能地采取措施来实现环境噪声控制。本条既可以通过合理选址规划来实现，也可以通过设置植物防护等方式对室外场地的超标噪声进行降噪处理实现。有研究表明，</w:t>
      </w:r>
      <w:r w:rsidRPr="00530A11">
        <w:rPr>
          <w:rFonts w:cs="Times New Roman"/>
        </w:rPr>
        <w:t>10m</w:t>
      </w:r>
      <w:r w:rsidRPr="00530A11">
        <w:rPr>
          <w:rFonts w:cs="Times New Roman"/>
        </w:rPr>
        <w:t>左右宽的乔木林可实现噪声</w:t>
      </w:r>
      <w:r w:rsidRPr="00530A11">
        <w:rPr>
          <w:rFonts w:cs="Times New Roman"/>
        </w:rPr>
        <w:t>5dB(A)</w:t>
      </w:r>
      <w:r w:rsidRPr="00530A11">
        <w:rPr>
          <w:rFonts w:cs="Times New Roman"/>
        </w:rPr>
        <w:t>的降低。</w:t>
      </w:r>
    </w:p>
    <w:p w14:paraId="46662500"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【评价要点】</w:t>
      </w:r>
    </w:p>
    <w:p w14:paraId="57A640A6" w14:textId="77777777" w:rsidR="00076964" w:rsidRPr="0081478A" w:rsidRDefault="00076964" w:rsidP="00076964">
      <w:pPr>
        <w:ind w:firstLine="420"/>
        <w:rPr>
          <w:rFonts w:cs="Times New Roman"/>
        </w:rPr>
      </w:pPr>
      <w:r>
        <w:rPr>
          <w:rFonts w:cs="Times New Roman"/>
        </w:rPr>
        <w:t>1.</w:t>
      </w:r>
      <w:r w:rsidRPr="0081478A">
        <w:rPr>
          <w:rFonts w:cs="Times New Roman"/>
        </w:rPr>
        <w:t>应对场地周边的噪声现状进行检测，并对规划实施后的环境噪声进行预测，必要时采取有效措施改善环境噪声状况，使之符合现行国家标准《声环境质量标准》（</w:t>
      </w:r>
      <w:r w:rsidRPr="0081478A">
        <w:rPr>
          <w:rFonts w:cs="Times New Roman"/>
        </w:rPr>
        <w:t>GB 3096—2008</w:t>
      </w:r>
      <w:r w:rsidRPr="0081478A">
        <w:rPr>
          <w:rFonts w:cs="Times New Roman"/>
        </w:rPr>
        <w:t>）中对于不同声环境功能区噪声标准的规定（表</w:t>
      </w:r>
      <w:r w:rsidRPr="0081478A">
        <w:rPr>
          <w:rFonts w:cs="Times New Roman"/>
        </w:rPr>
        <w:t>8.2.</w:t>
      </w:r>
      <w:r>
        <w:rPr>
          <w:rFonts w:cs="Times New Roman"/>
        </w:rPr>
        <w:t>7</w:t>
      </w:r>
      <w:r w:rsidRPr="0081478A">
        <w:rPr>
          <w:rFonts w:cs="Times New Roman"/>
        </w:rPr>
        <w:t>-1</w:t>
      </w:r>
      <w:r w:rsidRPr="0081478A">
        <w:rPr>
          <w:rFonts w:cs="Times New Roman"/>
        </w:rPr>
        <w:t>）。</w:t>
      </w:r>
    </w:p>
    <w:p w14:paraId="200AFD5E" w14:textId="77777777" w:rsidR="00076964" w:rsidRPr="0081478A" w:rsidRDefault="00076964" w:rsidP="00076964">
      <w:pPr>
        <w:pStyle w:val="ae"/>
        <w:ind w:firstLine="420"/>
        <w:rPr>
          <w:rFonts w:cs="Times New Roman"/>
          <w:b w:val="0"/>
          <w:bCs/>
        </w:rPr>
      </w:pPr>
      <w:r w:rsidRPr="0081478A">
        <w:rPr>
          <w:rFonts w:cs="Times New Roman"/>
          <w:b w:val="0"/>
          <w:bCs/>
        </w:rPr>
        <w:t>表</w:t>
      </w:r>
      <w:r w:rsidRPr="0081478A">
        <w:rPr>
          <w:rFonts w:cs="Times New Roman"/>
          <w:b w:val="0"/>
          <w:bCs/>
        </w:rPr>
        <w:t>8.2.</w:t>
      </w:r>
      <w:r>
        <w:rPr>
          <w:rFonts w:cs="Times New Roman"/>
          <w:b w:val="0"/>
          <w:bCs/>
        </w:rPr>
        <w:t>7</w:t>
      </w:r>
      <w:r w:rsidRPr="0081478A">
        <w:rPr>
          <w:rFonts w:cs="Times New Roman"/>
          <w:b w:val="0"/>
          <w:bCs/>
        </w:rPr>
        <w:t>-1</w:t>
      </w:r>
      <w:r w:rsidRPr="0081478A">
        <w:rPr>
          <w:rFonts w:cs="Times New Roman"/>
        </w:rPr>
        <w:t xml:space="preserve"> </w:t>
      </w:r>
      <w:r w:rsidRPr="0081478A">
        <w:rPr>
          <w:rFonts w:cs="Times New Roman"/>
          <w:b w:val="0"/>
          <w:bCs/>
        </w:rPr>
        <w:t>环境噪声限值</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 w:type="dxa"/>
        </w:tblCellMar>
        <w:tblLook w:val="00A0" w:firstRow="1" w:lastRow="0" w:firstColumn="1" w:lastColumn="0" w:noHBand="0" w:noVBand="0"/>
      </w:tblPr>
      <w:tblGrid>
        <w:gridCol w:w="1349"/>
        <w:gridCol w:w="1349"/>
        <w:gridCol w:w="2336"/>
        <w:gridCol w:w="2336"/>
      </w:tblGrid>
      <w:tr w:rsidR="00076964" w:rsidRPr="0081478A" w14:paraId="00217F0C" w14:textId="77777777" w:rsidTr="00AC2900">
        <w:trPr>
          <w:jc w:val="center"/>
        </w:trPr>
        <w:tc>
          <w:tcPr>
            <w:tcW w:w="1830" w:type="pct"/>
            <w:gridSpan w:val="2"/>
            <w:vMerge w:val="restart"/>
            <w:shd w:val="clear" w:color="auto" w:fill="auto"/>
            <w:vAlign w:val="center"/>
          </w:tcPr>
          <w:p w14:paraId="60A6C98D" w14:textId="77777777" w:rsidR="00076964" w:rsidRPr="0081478A" w:rsidRDefault="00076964" w:rsidP="00AC2900">
            <w:pPr>
              <w:pStyle w:val="ae"/>
              <w:ind w:firstLine="420"/>
              <w:rPr>
                <w:rFonts w:cs="Times New Roman"/>
                <w:b w:val="0"/>
                <w:bCs/>
              </w:rPr>
            </w:pPr>
            <w:r w:rsidRPr="0081478A">
              <w:rPr>
                <w:rFonts w:cs="Times New Roman"/>
                <w:b w:val="0"/>
                <w:bCs/>
              </w:rPr>
              <w:t>声环境功能区类别</w:t>
            </w:r>
          </w:p>
        </w:tc>
        <w:tc>
          <w:tcPr>
            <w:tcW w:w="3170" w:type="pct"/>
            <w:gridSpan w:val="2"/>
            <w:shd w:val="clear" w:color="auto" w:fill="auto"/>
            <w:vAlign w:val="center"/>
          </w:tcPr>
          <w:p w14:paraId="798F0E38" w14:textId="77777777" w:rsidR="00076964" w:rsidRPr="0081478A" w:rsidRDefault="00076964" w:rsidP="00AC2900">
            <w:pPr>
              <w:pStyle w:val="ae"/>
              <w:ind w:firstLine="420"/>
              <w:rPr>
                <w:rFonts w:cs="Times New Roman"/>
                <w:b w:val="0"/>
                <w:bCs/>
              </w:rPr>
            </w:pPr>
            <w:r w:rsidRPr="0081478A">
              <w:rPr>
                <w:rFonts w:cs="Times New Roman"/>
                <w:b w:val="0"/>
                <w:bCs/>
              </w:rPr>
              <w:t>时段</w:t>
            </w:r>
          </w:p>
        </w:tc>
      </w:tr>
      <w:tr w:rsidR="00076964" w:rsidRPr="0081478A" w14:paraId="7E9E6081" w14:textId="77777777" w:rsidTr="00AC2900">
        <w:trPr>
          <w:jc w:val="center"/>
        </w:trPr>
        <w:tc>
          <w:tcPr>
            <w:tcW w:w="1830" w:type="pct"/>
            <w:gridSpan w:val="2"/>
            <w:vMerge/>
            <w:shd w:val="clear" w:color="auto" w:fill="auto"/>
            <w:vAlign w:val="center"/>
          </w:tcPr>
          <w:p w14:paraId="201396D9" w14:textId="77777777" w:rsidR="00076964" w:rsidRPr="0081478A" w:rsidRDefault="00076964" w:rsidP="00AC2900">
            <w:pPr>
              <w:pStyle w:val="ae"/>
              <w:ind w:firstLine="420"/>
              <w:rPr>
                <w:rFonts w:cs="Times New Roman"/>
                <w:b w:val="0"/>
                <w:bCs/>
              </w:rPr>
            </w:pPr>
          </w:p>
        </w:tc>
        <w:tc>
          <w:tcPr>
            <w:tcW w:w="1585" w:type="pct"/>
            <w:shd w:val="clear" w:color="auto" w:fill="auto"/>
            <w:vAlign w:val="center"/>
          </w:tcPr>
          <w:p w14:paraId="2A8ED21C" w14:textId="77777777" w:rsidR="00076964" w:rsidRPr="0081478A" w:rsidRDefault="00076964" w:rsidP="00AC2900">
            <w:pPr>
              <w:pStyle w:val="ae"/>
              <w:ind w:firstLine="420"/>
              <w:rPr>
                <w:rFonts w:cs="Times New Roman"/>
                <w:b w:val="0"/>
                <w:bCs/>
              </w:rPr>
            </w:pPr>
            <w:r w:rsidRPr="0081478A">
              <w:rPr>
                <w:rFonts w:cs="Times New Roman"/>
                <w:b w:val="0"/>
                <w:bCs/>
              </w:rPr>
              <w:t>昼间</w:t>
            </w:r>
            <w:r w:rsidRPr="0081478A">
              <w:rPr>
                <w:rFonts w:cs="Times New Roman"/>
                <w:b w:val="0"/>
                <w:bCs/>
              </w:rPr>
              <w:t>/dB</w:t>
            </w:r>
            <w:r w:rsidRPr="0081478A">
              <w:rPr>
                <w:rFonts w:cs="Times New Roman"/>
                <w:b w:val="0"/>
                <w:bCs/>
              </w:rPr>
              <w:t>（</w:t>
            </w:r>
            <w:r w:rsidRPr="0081478A">
              <w:rPr>
                <w:rFonts w:cs="Times New Roman"/>
                <w:b w:val="0"/>
                <w:bCs/>
              </w:rPr>
              <w:t>A</w:t>
            </w:r>
            <w:r w:rsidRPr="0081478A">
              <w:rPr>
                <w:rFonts w:cs="Times New Roman"/>
                <w:b w:val="0"/>
                <w:bCs/>
              </w:rPr>
              <w:t>）</w:t>
            </w:r>
          </w:p>
        </w:tc>
        <w:tc>
          <w:tcPr>
            <w:tcW w:w="1585" w:type="pct"/>
            <w:shd w:val="clear" w:color="auto" w:fill="auto"/>
            <w:vAlign w:val="center"/>
          </w:tcPr>
          <w:p w14:paraId="441F44C7" w14:textId="77777777" w:rsidR="00076964" w:rsidRPr="0081478A" w:rsidRDefault="00076964" w:rsidP="00AC2900">
            <w:pPr>
              <w:pStyle w:val="ae"/>
              <w:ind w:firstLine="420"/>
              <w:rPr>
                <w:rFonts w:cs="Times New Roman"/>
                <w:b w:val="0"/>
                <w:bCs/>
              </w:rPr>
            </w:pPr>
            <w:r w:rsidRPr="0081478A">
              <w:rPr>
                <w:rFonts w:cs="Times New Roman"/>
                <w:b w:val="0"/>
                <w:bCs/>
              </w:rPr>
              <w:t>夜间</w:t>
            </w:r>
            <w:r w:rsidRPr="0081478A">
              <w:rPr>
                <w:rFonts w:cs="Times New Roman"/>
                <w:b w:val="0"/>
                <w:bCs/>
              </w:rPr>
              <w:t>/dB</w:t>
            </w:r>
            <w:r w:rsidRPr="0081478A">
              <w:rPr>
                <w:rFonts w:cs="Times New Roman"/>
                <w:b w:val="0"/>
                <w:bCs/>
              </w:rPr>
              <w:t>（</w:t>
            </w:r>
            <w:r w:rsidRPr="0081478A">
              <w:rPr>
                <w:rFonts w:cs="Times New Roman"/>
                <w:b w:val="0"/>
                <w:bCs/>
              </w:rPr>
              <w:t>A</w:t>
            </w:r>
            <w:r w:rsidRPr="0081478A">
              <w:rPr>
                <w:rFonts w:cs="Times New Roman"/>
                <w:b w:val="0"/>
                <w:bCs/>
              </w:rPr>
              <w:t>）</w:t>
            </w:r>
          </w:p>
        </w:tc>
      </w:tr>
      <w:tr w:rsidR="00076964" w:rsidRPr="0081478A" w14:paraId="0CF91732" w14:textId="77777777" w:rsidTr="00AC2900">
        <w:trPr>
          <w:jc w:val="center"/>
        </w:trPr>
        <w:tc>
          <w:tcPr>
            <w:tcW w:w="1830" w:type="pct"/>
            <w:gridSpan w:val="2"/>
            <w:shd w:val="clear" w:color="auto" w:fill="auto"/>
            <w:vAlign w:val="center"/>
          </w:tcPr>
          <w:p w14:paraId="1CE92961" w14:textId="77777777" w:rsidR="00076964" w:rsidRPr="0081478A" w:rsidRDefault="00076964" w:rsidP="00AC2900">
            <w:pPr>
              <w:pStyle w:val="ae"/>
              <w:ind w:firstLine="420"/>
              <w:rPr>
                <w:rFonts w:cs="Times New Roman"/>
                <w:b w:val="0"/>
                <w:bCs/>
              </w:rPr>
            </w:pPr>
            <w:r w:rsidRPr="0081478A">
              <w:rPr>
                <w:rFonts w:cs="Times New Roman"/>
                <w:b w:val="0"/>
                <w:bCs/>
              </w:rPr>
              <w:t>0</w:t>
            </w:r>
            <w:r w:rsidRPr="0081478A">
              <w:rPr>
                <w:rFonts w:cs="Times New Roman"/>
                <w:b w:val="0"/>
                <w:bCs/>
              </w:rPr>
              <w:t>类</w:t>
            </w:r>
          </w:p>
        </w:tc>
        <w:tc>
          <w:tcPr>
            <w:tcW w:w="1585" w:type="pct"/>
            <w:shd w:val="clear" w:color="auto" w:fill="auto"/>
            <w:vAlign w:val="center"/>
          </w:tcPr>
          <w:p w14:paraId="37E53319" w14:textId="77777777" w:rsidR="00076964" w:rsidRPr="0081478A" w:rsidRDefault="00076964" w:rsidP="00AC2900">
            <w:pPr>
              <w:pStyle w:val="ae"/>
              <w:ind w:firstLine="420"/>
              <w:rPr>
                <w:rFonts w:cs="Times New Roman"/>
                <w:b w:val="0"/>
                <w:bCs/>
              </w:rPr>
            </w:pPr>
            <w:r w:rsidRPr="0081478A">
              <w:rPr>
                <w:rFonts w:cs="Times New Roman"/>
                <w:b w:val="0"/>
                <w:bCs/>
              </w:rPr>
              <w:t>50</w:t>
            </w:r>
          </w:p>
        </w:tc>
        <w:tc>
          <w:tcPr>
            <w:tcW w:w="1585" w:type="pct"/>
            <w:shd w:val="clear" w:color="auto" w:fill="auto"/>
            <w:vAlign w:val="center"/>
          </w:tcPr>
          <w:p w14:paraId="6EE61D25" w14:textId="77777777" w:rsidR="00076964" w:rsidRPr="0081478A" w:rsidRDefault="00076964" w:rsidP="00AC2900">
            <w:pPr>
              <w:pStyle w:val="ae"/>
              <w:ind w:firstLine="420"/>
              <w:rPr>
                <w:rFonts w:cs="Times New Roman"/>
                <w:b w:val="0"/>
                <w:bCs/>
              </w:rPr>
            </w:pPr>
            <w:r w:rsidRPr="0081478A">
              <w:rPr>
                <w:rFonts w:cs="Times New Roman"/>
                <w:b w:val="0"/>
                <w:bCs/>
              </w:rPr>
              <w:t>40</w:t>
            </w:r>
          </w:p>
        </w:tc>
      </w:tr>
      <w:tr w:rsidR="00076964" w:rsidRPr="0081478A" w14:paraId="32C57728" w14:textId="77777777" w:rsidTr="00AC2900">
        <w:trPr>
          <w:jc w:val="center"/>
        </w:trPr>
        <w:tc>
          <w:tcPr>
            <w:tcW w:w="1830" w:type="pct"/>
            <w:gridSpan w:val="2"/>
            <w:shd w:val="clear" w:color="auto" w:fill="auto"/>
            <w:vAlign w:val="center"/>
          </w:tcPr>
          <w:p w14:paraId="4AFB8B4A" w14:textId="77777777" w:rsidR="00076964" w:rsidRPr="0081478A" w:rsidRDefault="00076964" w:rsidP="00AC2900">
            <w:pPr>
              <w:pStyle w:val="ae"/>
              <w:ind w:firstLine="420"/>
              <w:rPr>
                <w:rFonts w:cs="Times New Roman"/>
                <w:b w:val="0"/>
                <w:bCs/>
              </w:rPr>
            </w:pPr>
            <w:r w:rsidRPr="0081478A">
              <w:rPr>
                <w:rFonts w:cs="Times New Roman"/>
                <w:b w:val="0"/>
                <w:bCs/>
              </w:rPr>
              <w:t>1</w:t>
            </w:r>
            <w:r w:rsidRPr="0081478A">
              <w:rPr>
                <w:rFonts w:cs="Times New Roman"/>
                <w:b w:val="0"/>
                <w:bCs/>
              </w:rPr>
              <w:t>类</w:t>
            </w:r>
          </w:p>
        </w:tc>
        <w:tc>
          <w:tcPr>
            <w:tcW w:w="1585" w:type="pct"/>
            <w:shd w:val="clear" w:color="auto" w:fill="auto"/>
            <w:vAlign w:val="center"/>
          </w:tcPr>
          <w:p w14:paraId="2F1B8394" w14:textId="77777777" w:rsidR="00076964" w:rsidRPr="0081478A" w:rsidRDefault="00076964" w:rsidP="00AC2900">
            <w:pPr>
              <w:pStyle w:val="ae"/>
              <w:ind w:firstLine="420"/>
              <w:rPr>
                <w:rFonts w:cs="Times New Roman"/>
                <w:b w:val="0"/>
                <w:bCs/>
              </w:rPr>
            </w:pPr>
            <w:r w:rsidRPr="0081478A">
              <w:rPr>
                <w:rFonts w:cs="Times New Roman"/>
                <w:b w:val="0"/>
                <w:bCs/>
              </w:rPr>
              <w:t>55</w:t>
            </w:r>
          </w:p>
        </w:tc>
        <w:tc>
          <w:tcPr>
            <w:tcW w:w="1585" w:type="pct"/>
            <w:shd w:val="clear" w:color="auto" w:fill="auto"/>
            <w:vAlign w:val="center"/>
          </w:tcPr>
          <w:p w14:paraId="4D939B9B" w14:textId="77777777" w:rsidR="00076964" w:rsidRPr="0081478A" w:rsidRDefault="00076964" w:rsidP="00AC2900">
            <w:pPr>
              <w:pStyle w:val="ae"/>
              <w:ind w:firstLine="420"/>
              <w:rPr>
                <w:rFonts w:cs="Times New Roman"/>
                <w:b w:val="0"/>
                <w:bCs/>
              </w:rPr>
            </w:pPr>
            <w:r w:rsidRPr="0081478A">
              <w:rPr>
                <w:rFonts w:cs="Times New Roman"/>
                <w:b w:val="0"/>
                <w:bCs/>
              </w:rPr>
              <w:t>45</w:t>
            </w:r>
          </w:p>
        </w:tc>
      </w:tr>
      <w:tr w:rsidR="00076964" w:rsidRPr="0081478A" w14:paraId="6FDF2A3E" w14:textId="77777777" w:rsidTr="00AC2900">
        <w:trPr>
          <w:jc w:val="center"/>
        </w:trPr>
        <w:tc>
          <w:tcPr>
            <w:tcW w:w="1830" w:type="pct"/>
            <w:gridSpan w:val="2"/>
            <w:shd w:val="clear" w:color="auto" w:fill="auto"/>
            <w:vAlign w:val="center"/>
          </w:tcPr>
          <w:p w14:paraId="5C78F7F2" w14:textId="77777777" w:rsidR="00076964" w:rsidRPr="0081478A" w:rsidRDefault="00076964" w:rsidP="00AC2900">
            <w:pPr>
              <w:pStyle w:val="ae"/>
              <w:ind w:firstLine="420"/>
              <w:rPr>
                <w:rFonts w:cs="Times New Roman"/>
                <w:b w:val="0"/>
                <w:bCs/>
              </w:rPr>
            </w:pPr>
            <w:r w:rsidRPr="0081478A">
              <w:rPr>
                <w:rFonts w:cs="Times New Roman"/>
                <w:b w:val="0"/>
                <w:bCs/>
              </w:rPr>
              <w:t>2</w:t>
            </w:r>
            <w:r w:rsidRPr="0081478A">
              <w:rPr>
                <w:rFonts w:cs="Times New Roman"/>
                <w:b w:val="0"/>
                <w:bCs/>
              </w:rPr>
              <w:t>类</w:t>
            </w:r>
          </w:p>
        </w:tc>
        <w:tc>
          <w:tcPr>
            <w:tcW w:w="1585" w:type="pct"/>
            <w:shd w:val="clear" w:color="auto" w:fill="auto"/>
            <w:vAlign w:val="center"/>
          </w:tcPr>
          <w:p w14:paraId="27CCE485" w14:textId="77777777" w:rsidR="00076964" w:rsidRPr="0081478A" w:rsidRDefault="00076964" w:rsidP="00AC2900">
            <w:pPr>
              <w:pStyle w:val="ae"/>
              <w:ind w:firstLine="420"/>
              <w:rPr>
                <w:rFonts w:cs="Times New Roman"/>
                <w:b w:val="0"/>
                <w:bCs/>
              </w:rPr>
            </w:pPr>
            <w:r w:rsidRPr="0081478A">
              <w:rPr>
                <w:rFonts w:cs="Times New Roman"/>
                <w:b w:val="0"/>
                <w:bCs/>
              </w:rPr>
              <w:t>60</w:t>
            </w:r>
          </w:p>
        </w:tc>
        <w:tc>
          <w:tcPr>
            <w:tcW w:w="1585" w:type="pct"/>
            <w:shd w:val="clear" w:color="auto" w:fill="auto"/>
            <w:vAlign w:val="center"/>
          </w:tcPr>
          <w:p w14:paraId="7A67817A" w14:textId="77777777" w:rsidR="00076964" w:rsidRPr="0081478A" w:rsidRDefault="00076964" w:rsidP="00AC2900">
            <w:pPr>
              <w:pStyle w:val="ae"/>
              <w:ind w:firstLine="420"/>
              <w:rPr>
                <w:rFonts w:cs="Times New Roman"/>
                <w:b w:val="0"/>
                <w:bCs/>
              </w:rPr>
            </w:pPr>
            <w:r w:rsidRPr="0081478A">
              <w:rPr>
                <w:rFonts w:cs="Times New Roman"/>
                <w:b w:val="0"/>
                <w:bCs/>
              </w:rPr>
              <w:t>50</w:t>
            </w:r>
          </w:p>
        </w:tc>
      </w:tr>
      <w:tr w:rsidR="00076964" w:rsidRPr="0081478A" w14:paraId="57CEE5A3" w14:textId="77777777" w:rsidTr="00AC2900">
        <w:trPr>
          <w:jc w:val="center"/>
        </w:trPr>
        <w:tc>
          <w:tcPr>
            <w:tcW w:w="1830" w:type="pct"/>
            <w:gridSpan w:val="2"/>
            <w:shd w:val="clear" w:color="auto" w:fill="auto"/>
            <w:vAlign w:val="center"/>
          </w:tcPr>
          <w:p w14:paraId="5F646F5A" w14:textId="77777777" w:rsidR="00076964" w:rsidRPr="0081478A" w:rsidRDefault="00076964" w:rsidP="00AC2900">
            <w:pPr>
              <w:pStyle w:val="ae"/>
              <w:ind w:firstLine="420"/>
              <w:rPr>
                <w:rFonts w:cs="Times New Roman"/>
                <w:b w:val="0"/>
                <w:bCs/>
              </w:rPr>
            </w:pPr>
            <w:r w:rsidRPr="0081478A">
              <w:rPr>
                <w:rFonts w:cs="Times New Roman"/>
                <w:b w:val="0"/>
                <w:bCs/>
              </w:rPr>
              <w:t>3</w:t>
            </w:r>
            <w:r w:rsidRPr="0081478A">
              <w:rPr>
                <w:rFonts w:cs="Times New Roman"/>
                <w:b w:val="0"/>
                <w:bCs/>
              </w:rPr>
              <w:t>类</w:t>
            </w:r>
          </w:p>
        </w:tc>
        <w:tc>
          <w:tcPr>
            <w:tcW w:w="1585" w:type="pct"/>
            <w:shd w:val="clear" w:color="auto" w:fill="auto"/>
            <w:vAlign w:val="center"/>
          </w:tcPr>
          <w:p w14:paraId="2B10C004" w14:textId="77777777" w:rsidR="00076964" w:rsidRPr="0081478A" w:rsidRDefault="00076964" w:rsidP="00AC2900">
            <w:pPr>
              <w:pStyle w:val="ae"/>
              <w:ind w:firstLine="420"/>
              <w:rPr>
                <w:rFonts w:cs="Times New Roman"/>
                <w:b w:val="0"/>
                <w:bCs/>
              </w:rPr>
            </w:pPr>
            <w:r w:rsidRPr="0081478A">
              <w:rPr>
                <w:rFonts w:cs="Times New Roman"/>
                <w:b w:val="0"/>
                <w:bCs/>
              </w:rPr>
              <w:t>65</w:t>
            </w:r>
          </w:p>
        </w:tc>
        <w:tc>
          <w:tcPr>
            <w:tcW w:w="1585" w:type="pct"/>
            <w:shd w:val="clear" w:color="auto" w:fill="auto"/>
            <w:vAlign w:val="center"/>
          </w:tcPr>
          <w:p w14:paraId="3CA317A5" w14:textId="77777777" w:rsidR="00076964" w:rsidRPr="0081478A" w:rsidRDefault="00076964" w:rsidP="00AC2900">
            <w:pPr>
              <w:pStyle w:val="ae"/>
              <w:ind w:firstLine="420"/>
              <w:rPr>
                <w:rFonts w:cs="Times New Roman"/>
                <w:b w:val="0"/>
                <w:bCs/>
              </w:rPr>
            </w:pPr>
            <w:r w:rsidRPr="0081478A">
              <w:rPr>
                <w:rFonts w:cs="Times New Roman"/>
                <w:b w:val="0"/>
                <w:bCs/>
              </w:rPr>
              <w:t>55</w:t>
            </w:r>
          </w:p>
        </w:tc>
      </w:tr>
      <w:tr w:rsidR="00076964" w:rsidRPr="0081478A" w14:paraId="327E0194" w14:textId="77777777" w:rsidTr="00AC2900">
        <w:trPr>
          <w:jc w:val="center"/>
        </w:trPr>
        <w:tc>
          <w:tcPr>
            <w:tcW w:w="915" w:type="pct"/>
            <w:vMerge w:val="restart"/>
            <w:shd w:val="clear" w:color="auto" w:fill="auto"/>
            <w:vAlign w:val="center"/>
          </w:tcPr>
          <w:p w14:paraId="374C901B" w14:textId="77777777" w:rsidR="00076964" w:rsidRPr="0081478A" w:rsidRDefault="00076964" w:rsidP="00AC2900">
            <w:pPr>
              <w:pStyle w:val="ae"/>
              <w:ind w:firstLine="420"/>
              <w:rPr>
                <w:rFonts w:cs="Times New Roman"/>
                <w:b w:val="0"/>
                <w:bCs/>
              </w:rPr>
            </w:pPr>
            <w:r w:rsidRPr="0081478A">
              <w:rPr>
                <w:rFonts w:cs="Times New Roman"/>
                <w:b w:val="0"/>
                <w:bCs/>
              </w:rPr>
              <w:t>4</w:t>
            </w:r>
            <w:r w:rsidRPr="0081478A">
              <w:rPr>
                <w:rFonts w:cs="Times New Roman"/>
                <w:b w:val="0"/>
                <w:bCs/>
              </w:rPr>
              <w:t>类</w:t>
            </w:r>
          </w:p>
        </w:tc>
        <w:tc>
          <w:tcPr>
            <w:tcW w:w="915" w:type="pct"/>
            <w:shd w:val="clear" w:color="auto" w:fill="auto"/>
            <w:vAlign w:val="center"/>
          </w:tcPr>
          <w:p w14:paraId="0F41393F" w14:textId="77777777" w:rsidR="00076964" w:rsidRPr="0081478A" w:rsidRDefault="00076964" w:rsidP="00AC2900">
            <w:pPr>
              <w:pStyle w:val="ae"/>
              <w:ind w:firstLine="420"/>
              <w:rPr>
                <w:rFonts w:cs="Times New Roman"/>
                <w:b w:val="0"/>
                <w:bCs/>
              </w:rPr>
            </w:pPr>
            <w:r w:rsidRPr="0081478A">
              <w:rPr>
                <w:rFonts w:cs="Times New Roman"/>
                <w:b w:val="0"/>
                <w:bCs/>
              </w:rPr>
              <w:t>4a</w:t>
            </w:r>
            <w:r w:rsidRPr="0081478A">
              <w:rPr>
                <w:rFonts w:cs="Times New Roman"/>
                <w:b w:val="0"/>
                <w:bCs/>
              </w:rPr>
              <w:t>类</w:t>
            </w:r>
          </w:p>
        </w:tc>
        <w:tc>
          <w:tcPr>
            <w:tcW w:w="1585" w:type="pct"/>
            <w:shd w:val="clear" w:color="auto" w:fill="auto"/>
            <w:vAlign w:val="center"/>
          </w:tcPr>
          <w:p w14:paraId="543DECC5" w14:textId="77777777" w:rsidR="00076964" w:rsidRPr="0081478A" w:rsidRDefault="00076964" w:rsidP="00AC2900">
            <w:pPr>
              <w:pStyle w:val="ae"/>
              <w:ind w:firstLine="420"/>
              <w:rPr>
                <w:rFonts w:cs="Times New Roman"/>
                <w:b w:val="0"/>
                <w:bCs/>
              </w:rPr>
            </w:pPr>
            <w:r w:rsidRPr="0081478A">
              <w:rPr>
                <w:rFonts w:cs="Times New Roman"/>
                <w:b w:val="0"/>
                <w:bCs/>
              </w:rPr>
              <w:t>70</w:t>
            </w:r>
          </w:p>
        </w:tc>
        <w:tc>
          <w:tcPr>
            <w:tcW w:w="1585" w:type="pct"/>
            <w:shd w:val="clear" w:color="auto" w:fill="auto"/>
            <w:vAlign w:val="center"/>
          </w:tcPr>
          <w:p w14:paraId="66B114F6" w14:textId="77777777" w:rsidR="00076964" w:rsidRPr="0081478A" w:rsidRDefault="00076964" w:rsidP="00AC2900">
            <w:pPr>
              <w:pStyle w:val="ae"/>
              <w:ind w:firstLine="420"/>
              <w:rPr>
                <w:rFonts w:cs="Times New Roman"/>
                <w:b w:val="0"/>
                <w:bCs/>
              </w:rPr>
            </w:pPr>
            <w:r w:rsidRPr="0081478A">
              <w:rPr>
                <w:rFonts w:cs="Times New Roman"/>
                <w:b w:val="0"/>
                <w:bCs/>
              </w:rPr>
              <w:t>55</w:t>
            </w:r>
          </w:p>
        </w:tc>
      </w:tr>
      <w:tr w:rsidR="00076964" w:rsidRPr="0081478A" w14:paraId="5D72A81E" w14:textId="77777777" w:rsidTr="00AC2900">
        <w:trPr>
          <w:jc w:val="center"/>
        </w:trPr>
        <w:tc>
          <w:tcPr>
            <w:tcW w:w="915" w:type="pct"/>
            <w:vMerge/>
            <w:shd w:val="clear" w:color="auto" w:fill="auto"/>
            <w:vAlign w:val="center"/>
          </w:tcPr>
          <w:p w14:paraId="270F46EF" w14:textId="77777777" w:rsidR="00076964" w:rsidRPr="0081478A" w:rsidRDefault="00076964" w:rsidP="00AC2900">
            <w:pPr>
              <w:pStyle w:val="ae"/>
              <w:ind w:firstLine="420"/>
              <w:rPr>
                <w:rFonts w:cs="Times New Roman"/>
                <w:b w:val="0"/>
                <w:bCs/>
              </w:rPr>
            </w:pPr>
          </w:p>
        </w:tc>
        <w:tc>
          <w:tcPr>
            <w:tcW w:w="915" w:type="pct"/>
            <w:shd w:val="clear" w:color="auto" w:fill="auto"/>
            <w:vAlign w:val="center"/>
          </w:tcPr>
          <w:p w14:paraId="10211332" w14:textId="77777777" w:rsidR="00076964" w:rsidRPr="0081478A" w:rsidRDefault="00076964" w:rsidP="00AC2900">
            <w:pPr>
              <w:pStyle w:val="ae"/>
              <w:ind w:firstLine="420"/>
              <w:rPr>
                <w:rFonts w:cs="Times New Roman"/>
                <w:b w:val="0"/>
                <w:bCs/>
              </w:rPr>
            </w:pPr>
            <w:r w:rsidRPr="0081478A">
              <w:rPr>
                <w:rFonts w:cs="Times New Roman"/>
                <w:b w:val="0"/>
                <w:bCs/>
              </w:rPr>
              <w:t>4b</w:t>
            </w:r>
            <w:r w:rsidRPr="0081478A">
              <w:rPr>
                <w:rFonts w:cs="Times New Roman"/>
                <w:b w:val="0"/>
                <w:bCs/>
              </w:rPr>
              <w:t>类</w:t>
            </w:r>
          </w:p>
        </w:tc>
        <w:tc>
          <w:tcPr>
            <w:tcW w:w="1585" w:type="pct"/>
            <w:shd w:val="clear" w:color="auto" w:fill="auto"/>
            <w:vAlign w:val="center"/>
          </w:tcPr>
          <w:p w14:paraId="5FEA2CDE" w14:textId="77777777" w:rsidR="00076964" w:rsidRPr="0081478A" w:rsidRDefault="00076964" w:rsidP="00AC2900">
            <w:pPr>
              <w:pStyle w:val="ae"/>
              <w:ind w:firstLine="420"/>
              <w:rPr>
                <w:rFonts w:cs="Times New Roman"/>
                <w:b w:val="0"/>
                <w:bCs/>
              </w:rPr>
            </w:pPr>
            <w:r w:rsidRPr="0081478A">
              <w:rPr>
                <w:rFonts w:cs="Times New Roman"/>
                <w:b w:val="0"/>
                <w:bCs/>
              </w:rPr>
              <w:t>70</w:t>
            </w:r>
          </w:p>
        </w:tc>
        <w:tc>
          <w:tcPr>
            <w:tcW w:w="1585" w:type="pct"/>
            <w:shd w:val="clear" w:color="auto" w:fill="auto"/>
            <w:vAlign w:val="center"/>
          </w:tcPr>
          <w:p w14:paraId="35C83A55" w14:textId="77777777" w:rsidR="00076964" w:rsidRPr="0081478A" w:rsidRDefault="00076964" w:rsidP="00AC2900">
            <w:pPr>
              <w:pStyle w:val="ae"/>
              <w:ind w:firstLine="420"/>
              <w:rPr>
                <w:rFonts w:cs="Times New Roman"/>
                <w:b w:val="0"/>
                <w:bCs/>
              </w:rPr>
            </w:pPr>
            <w:r w:rsidRPr="0081478A">
              <w:rPr>
                <w:rFonts w:cs="Times New Roman"/>
                <w:b w:val="0"/>
                <w:bCs/>
              </w:rPr>
              <w:t>60</w:t>
            </w:r>
          </w:p>
        </w:tc>
      </w:tr>
    </w:tbl>
    <w:p w14:paraId="12A86D8E" w14:textId="77777777" w:rsidR="00076964" w:rsidRPr="0081478A" w:rsidRDefault="00076964" w:rsidP="00076964">
      <w:pPr>
        <w:ind w:firstLine="420"/>
        <w:rPr>
          <w:rFonts w:cs="Times New Roman"/>
          <w:spacing w:val="-4"/>
        </w:rPr>
      </w:pPr>
      <w:r>
        <w:rPr>
          <w:rFonts w:cs="Times New Roman"/>
        </w:rPr>
        <w:lastRenderedPageBreak/>
        <w:t>2.</w:t>
      </w:r>
      <w:r w:rsidRPr="0081478A">
        <w:rPr>
          <w:rFonts w:cs="Times New Roman"/>
          <w:spacing w:val="-4"/>
        </w:rPr>
        <w:t>采用数值分析时，室外声环境的数值分析报告应满足本书附录</w:t>
      </w:r>
      <w:r w:rsidRPr="0081478A">
        <w:rPr>
          <w:rFonts w:cs="Times New Roman"/>
          <w:spacing w:val="-4"/>
        </w:rPr>
        <w:t>A.1</w:t>
      </w:r>
      <w:r w:rsidRPr="0081478A">
        <w:rPr>
          <w:rFonts w:cs="Times New Roman"/>
          <w:spacing w:val="-4"/>
        </w:rPr>
        <w:t>的要求。</w:t>
      </w:r>
    </w:p>
    <w:p w14:paraId="627F8E37"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【评价方法】</w:t>
      </w:r>
    </w:p>
    <w:p w14:paraId="527FC592" w14:textId="77777777" w:rsidR="00076964" w:rsidRPr="00530A11" w:rsidRDefault="00076964" w:rsidP="00076964">
      <w:pPr>
        <w:pStyle w:val="20"/>
        <w:ind w:firstLineChars="200" w:firstLine="420"/>
        <w:rPr>
          <w:rFonts w:ascii="Times New Roman" w:hAnsi="Times New Roman" w:cs="Times New Roman"/>
          <w:b w:val="0"/>
          <w:color w:val="auto"/>
        </w:rPr>
      </w:pPr>
      <w:r w:rsidRPr="00530A11">
        <w:rPr>
          <w:rFonts w:cs="Times New Roman"/>
          <w:b w:val="0"/>
        </w:rPr>
        <w:t>预评价查阅环评报告(含有噪声检测及预测评价或独立的环境噪声影响测试评估报告)、相关设计文件、声环境优化报告；评价查阅相关竣工图、声环境检测报告。</w:t>
      </w:r>
    </w:p>
    <w:p w14:paraId="0ACB59F8" w14:textId="77777777" w:rsidR="00076964" w:rsidRPr="001E54E5" w:rsidRDefault="00076964" w:rsidP="00076964">
      <w:pPr>
        <w:snapToGrid w:val="0"/>
        <w:ind w:firstLineChars="0" w:firstLine="0"/>
        <w:jc w:val="left"/>
        <w:rPr>
          <w:rFonts w:cs="Times New Roman"/>
          <w:b/>
          <w:bCs/>
          <w:szCs w:val="24"/>
        </w:rPr>
      </w:pPr>
    </w:p>
    <w:p w14:paraId="36473019" w14:textId="77777777" w:rsidR="00076964" w:rsidRPr="00530A11" w:rsidRDefault="00076964" w:rsidP="00076964">
      <w:pPr>
        <w:pStyle w:val="4"/>
        <w:rPr>
          <w:rFonts w:cs="Times New Roman"/>
          <w:bCs w:val="0"/>
        </w:rPr>
      </w:pPr>
      <w:r w:rsidRPr="00530A11">
        <w:rPr>
          <w:rFonts w:cs="Times New Roman"/>
          <w:bCs w:val="0"/>
        </w:rPr>
        <w:t xml:space="preserve">8.2.8 </w:t>
      </w:r>
      <w:r w:rsidRPr="00530A11">
        <w:rPr>
          <w:rFonts w:cs="Times New Roman"/>
          <w:bCs w:val="0"/>
        </w:rPr>
        <w:t>建筑及照明设计避免产生光污染，评价总分值为</w:t>
      </w:r>
      <w:r w:rsidRPr="00530A11">
        <w:rPr>
          <w:rFonts w:cs="Times New Roman"/>
          <w:bCs w:val="0"/>
        </w:rPr>
        <w:t>10</w:t>
      </w:r>
      <w:r w:rsidRPr="00530A11">
        <w:rPr>
          <w:rFonts w:cs="Times New Roman"/>
          <w:bCs w:val="0"/>
        </w:rPr>
        <w:t>分，并按下列规则分别评分并累计：</w:t>
      </w:r>
    </w:p>
    <w:p w14:paraId="640D00FA" w14:textId="77777777" w:rsidR="00076964" w:rsidRPr="00991D52" w:rsidRDefault="00076964" w:rsidP="00076964">
      <w:pPr>
        <w:snapToGrid w:val="0"/>
        <w:ind w:firstLineChars="100" w:firstLine="211"/>
        <w:jc w:val="left"/>
        <w:rPr>
          <w:rFonts w:cs="Times New Roman"/>
          <w:b/>
          <w:bCs/>
          <w:szCs w:val="24"/>
        </w:rPr>
      </w:pPr>
      <w:r w:rsidRPr="00991D52">
        <w:rPr>
          <w:rFonts w:cs="Times New Roman"/>
          <w:b/>
          <w:bCs/>
          <w:szCs w:val="24"/>
        </w:rPr>
        <w:t xml:space="preserve">1 </w:t>
      </w:r>
      <w:r w:rsidRPr="00991D52">
        <w:rPr>
          <w:rFonts w:cs="Times New Roman"/>
          <w:b/>
          <w:bCs/>
          <w:szCs w:val="24"/>
        </w:rPr>
        <w:t>玻璃幕墙的可见光反射比及反射光对周边环境的影响符合</w:t>
      </w:r>
      <w:bookmarkStart w:id="195" w:name="_Hlk32659560"/>
      <w:r w:rsidRPr="00991D52">
        <w:rPr>
          <w:rFonts w:cs="Times New Roman"/>
          <w:b/>
          <w:bCs/>
          <w:szCs w:val="24"/>
        </w:rPr>
        <w:t>《玻璃幕墙光热性能》</w:t>
      </w:r>
      <w:r w:rsidRPr="00991D52">
        <w:rPr>
          <w:rFonts w:cs="Times New Roman"/>
          <w:b/>
          <w:bCs/>
          <w:szCs w:val="24"/>
        </w:rPr>
        <w:t>GB/T 18091</w:t>
      </w:r>
      <w:bookmarkEnd w:id="195"/>
      <w:r w:rsidRPr="00991D52">
        <w:rPr>
          <w:rFonts w:cs="Times New Roman"/>
          <w:b/>
          <w:bCs/>
          <w:szCs w:val="24"/>
        </w:rPr>
        <w:t>的规定，得</w:t>
      </w:r>
      <w:r w:rsidRPr="00991D52">
        <w:rPr>
          <w:rFonts w:cs="Times New Roman"/>
          <w:b/>
          <w:bCs/>
          <w:szCs w:val="24"/>
        </w:rPr>
        <w:t>5</w:t>
      </w:r>
      <w:r w:rsidRPr="00991D52">
        <w:rPr>
          <w:rFonts w:cs="Times New Roman"/>
          <w:b/>
          <w:bCs/>
          <w:szCs w:val="24"/>
        </w:rPr>
        <w:t>分；</w:t>
      </w:r>
    </w:p>
    <w:p w14:paraId="61EB651D" w14:textId="77777777" w:rsidR="00076964" w:rsidRPr="00991D52" w:rsidRDefault="00076964" w:rsidP="00076964">
      <w:pPr>
        <w:snapToGrid w:val="0"/>
        <w:ind w:firstLineChars="100" w:firstLine="211"/>
        <w:jc w:val="left"/>
        <w:rPr>
          <w:rFonts w:cs="Times New Roman"/>
          <w:b/>
          <w:bCs/>
          <w:szCs w:val="24"/>
        </w:rPr>
      </w:pPr>
      <w:r w:rsidRPr="00991D52">
        <w:rPr>
          <w:rFonts w:cs="Times New Roman"/>
          <w:b/>
          <w:bCs/>
          <w:szCs w:val="24"/>
        </w:rPr>
        <w:t xml:space="preserve">2 </w:t>
      </w:r>
      <w:r w:rsidRPr="00991D52">
        <w:rPr>
          <w:rFonts w:cs="Times New Roman"/>
          <w:b/>
          <w:bCs/>
          <w:szCs w:val="24"/>
        </w:rPr>
        <w:t>室外夜景照明光污染的限制符合现行国家标准</w:t>
      </w:r>
      <w:bookmarkStart w:id="196" w:name="_Hlk32659569"/>
      <w:r w:rsidRPr="00991D52">
        <w:rPr>
          <w:rFonts w:cs="Times New Roman"/>
          <w:b/>
          <w:bCs/>
          <w:szCs w:val="24"/>
        </w:rPr>
        <w:t>《室外照明干扰光限制规范》</w:t>
      </w:r>
      <w:r w:rsidRPr="00991D52">
        <w:rPr>
          <w:rFonts w:cs="Times New Roman"/>
          <w:b/>
          <w:bCs/>
          <w:szCs w:val="24"/>
        </w:rPr>
        <w:t>GB/T 35626</w:t>
      </w:r>
      <w:bookmarkEnd w:id="196"/>
      <w:r w:rsidRPr="00991D52">
        <w:rPr>
          <w:rFonts w:cs="Times New Roman"/>
          <w:b/>
          <w:bCs/>
          <w:szCs w:val="24"/>
        </w:rPr>
        <w:t>和现行行业标准</w:t>
      </w:r>
      <w:bookmarkStart w:id="197" w:name="_Hlk32659581"/>
      <w:r w:rsidRPr="00991D52">
        <w:rPr>
          <w:rFonts w:cs="Times New Roman"/>
          <w:b/>
          <w:bCs/>
          <w:szCs w:val="24"/>
        </w:rPr>
        <w:t>《城市夜景照明设计规范》</w:t>
      </w:r>
      <w:r w:rsidRPr="00991D52">
        <w:rPr>
          <w:rFonts w:cs="Times New Roman"/>
          <w:b/>
          <w:bCs/>
          <w:szCs w:val="24"/>
        </w:rPr>
        <w:t>JGJ/T 163</w:t>
      </w:r>
      <w:bookmarkEnd w:id="197"/>
      <w:r w:rsidRPr="00991D52">
        <w:rPr>
          <w:rFonts w:cs="Times New Roman"/>
          <w:b/>
          <w:bCs/>
          <w:szCs w:val="24"/>
        </w:rPr>
        <w:t>的规定，得</w:t>
      </w:r>
      <w:r w:rsidRPr="00991D52">
        <w:rPr>
          <w:rFonts w:cs="Times New Roman"/>
          <w:b/>
          <w:bCs/>
          <w:szCs w:val="24"/>
        </w:rPr>
        <w:t>5</w:t>
      </w:r>
      <w:r w:rsidRPr="00991D52">
        <w:rPr>
          <w:rFonts w:cs="Times New Roman"/>
          <w:b/>
          <w:bCs/>
          <w:szCs w:val="24"/>
        </w:rPr>
        <w:t>分。</w:t>
      </w:r>
    </w:p>
    <w:p w14:paraId="1E92F1C3" w14:textId="77777777" w:rsidR="00076964" w:rsidRPr="0081478A" w:rsidRDefault="00076964" w:rsidP="009252F8">
      <w:pPr>
        <w:pStyle w:val="20"/>
      </w:pPr>
      <w:r w:rsidRPr="0081478A">
        <w:t>【条文说明】</w:t>
      </w:r>
    </w:p>
    <w:p w14:paraId="065192B8" w14:textId="77777777" w:rsidR="00076964" w:rsidRPr="00530A11" w:rsidRDefault="00076964" w:rsidP="00076964">
      <w:pPr>
        <w:ind w:firstLine="420"/>
        <w:rPr>
          <w:szCs w:val="24"/>
        </w:rPr>
      </w:pPr>
      <w:r w:rsidRPr="00530A11">
        <w:t>本条适用于各类民用建筑的预评价、评价。非玻璃幕墙建筑，第</w:t>
      </w:r>
      <w:r w:rsidRPr="00530A11">
        <w:t>1</w:t>
      </w:r>
      <w:r w:rsidRPr="00530A11">
        <w:t>款可直接得分。</w:t>
      </w:r>
    </w:p>
    <w:p w14:paraId="02765E43" w14:textId="77777777"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4.2.4</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4.2.4</w:t>
      </w:r>
      <w:r w:rsidRPr="00530A11">
        <w:rPr>
          <w:rFonts w:cs="Times New Roman"/>
        </w:rPr>
        <w:t>条的基础上发展而来。</w:t>
      </w:r>
    </w:p>
    <w:p w14:paraId="120AD369" w14:textId="77777777" w:rsidR="00076964" w:rsidRPr="00530A11" w:rsidRDefault="00076964" w:rsidP="00076964">
      <w:pPr>
        <w:ind w:firstLine="420"/>
        <w:rPr>
          <w:rFonts w:cs="Times New Roman"/>
        </w:rPr>
      </w:pPr>
      <w:r w:rsidRPr="00530A11">
        <w:rPr>
          <w:rFonts w:cs="Times New Roman"/>
        </w:rPr>
        <w:t>建筑物光污染包括建筑反射光</w:t>
      </w:r>
      <w:r w:rsidRPr="00530A11">
        <w:rPr>
          <w:rFonts w:cs="Times New Roman"/>
        </w:rPr>
        <w:t>(</w:t>
      </w:r>
      <w:r w:rsidRPr="00530A11">
        <w:rPr>
          <w:rFonts w:cs="Times New Roman"/>
        </w:rPr>
        <w:t>眩光</w:t>
      </w:r>
      <w:r w:rsidRPr="00530A11">
        <w:rPr>
          <w:rFonts w:cs="Times New Roman"/>
        </w:rPr>
        <w:t>)</w:t>
      </w:r>
      <w:r w:rsidRPr="00530A11">
        <w:rPr>
          <w:rFonts w:cs="Times New Roman"/>
        </w:rPr>
        <w:t>、夜间的室外夜景照明以及广告照明等造成的光污染。光污染产生的眩光会让人感到不舒服，还会使人降低对灯光信号等重要信息的辨识力，甚至带来道路安全隐患。</w:t>
      </w:r>
    </w:p>
    <w:p w14:paraId="445D16EC" w14:textId="77777777" w:rsidR="00076964" w:rsidRPr="00530A11" w:rsidRDefault="00076964" w:rsidP="00076964">
      <w:pPr>
        <w:ind w:firstLine="420"/>
        <w:rPr>
          <w:rFonts w:cs="Times New Roman"/>
        </w:rPr>
      </w:pPr>
      <w:r w:rsidRPr="00530A11">
        <w:rPr>
          <w:rFonts w:cs="Times New Roman"/>
        </w:rPr>
        <w:t>光污染控制对策包括降低建筑物表面</w:t>
      </w:r>
      <w:r w:rsidRPr="00530A11">
        <w:rPr>
          <w:rFonts w:cs="Times New Roman"/>
        </w:rPr>
        <w:t>(</w:t>
      </w:r>
      <w:r w:rsidRPr="00530A11">
        <w:rPr>
          <w:rFonts w:cs="Times New Roman"/>
        </w:rPr>
        <w:t>玻璃和其他材料、涂料</w:t>
      </w:r>
      <w:r w:rsidRPr="00530A11">
        <w:rPr>
          <w:rFonts w:cs="Times New Roman"/>
        </w:rPr>
        <w:t>)</w:t>
      </w:r>
      <w:r w:rsidRPr="00530A11">
        <w:rPr>
          <w:rFonts w:cs="Times New Roman"/>
        </w:rPr>
        <w:t>的可见光反射比，合理选配照明器具，采取防止溢光措施等。现行国家标准《玻璃幕墙光热性能》</w:t>
      </w:r>
      <w:r w:rsidRPr="00530A11">
        <w:rPr>
          <w:rFonts w:cs="Times New Roman"/>
        </w:rPr>
        <w:t>GB/T 18091</w:t>
      </w:r>
      <w:r w:rsidRPr="00530A11">
        <w:rPr>
          <w:rFonts w:cs="Times New Roman"/>
        </w:rPr>
        <w:t>将玻璃幕墙的光污染定义为有害光反射，对玻璃幕墙的可见光反射比作了规定。本条要求玻璃幕墙的可见光反射比及反射光对周边环境的影响符合《玻璃幕墙光热性能》</w:t>
      </w:r>
      <w:r w:rsidRPr="00530A11">
        <w:rPr>
          <w:rFonts w:cs="Times New Roman"/>
        </w:rPr>
        <w:t>GB/T 18091</w:t>
      </w:r>
      <w:r w:rsidRPr="00530A11">
        <w:rPr>
          <w:rFonts w:cs="Times New Roman"/>
        </w:rPr>
        <w:t>的规定。</w:t>
      </w:r>
    </w:p>
    <w:p w14:paraId="424539EB" w14:textId="77777777" w:rsidR="00076964" w:rsidRPr="00530A11" w:rsidRDefault="00076964" w:rsidP="00076964">
      <w:pPr>
        <w:ind w:firstLine="420"/>
        <w:rPr>
          <w:rFonts w:cs="Times New Roman"/>
        </w:rPr>
      </w:pPr>
      <w:r w:rsidRPr="00530A11">
        <w:rPr>
          <w:rFonts w:cs="Times New Roman"/>
        </w:rPr>
        <w:t>室外夜景照明设计应满足现行国家标准《室外照明干扰光限制规范》</w:t>
      </w:r>
      <w:r w:rsidRPr="00530A11">
        <w:rPr>
          <w:rFonts w:cs="Times New Roman"/>
        </w:rPr>
        <w:t>GB/T 35626</w:t>
      </w:r>
      <w:r w:rsidRPr="00530A11">
        <w:rPr>
          <w:rFonts w:cs="Times New Roman"/>
        </w:rPr>
        <w:t>和现行行业标准《城市夜景照明设计规范》</w:t>
      </w:r>
      <w:r w:rsidRPr="00530A11">
        <w:rPr>
          <w:rFonts w:cs="Times New Roman"/>
        </w:rPr>
        <w:t>JGJ/T 163</w:t>
      </w:r>
      <w:r w:rsidRPr="00530A11">
        <w:rPr>
          <w:rFonts w:cs="Times New Roman"/>
        </w:rPr>
        <w:t>中关于光污染控制的相关要求，并在室外照明设计图纸中体现。</w:t>
      </w:r>
    </w:p>
    <w:p w14:paraId="74CBD292" w14:textId="77777777" w:rsidR="00076964" w:rsidRPr="00530A11" w:rsidRDefault="00076964" w:rsidP="00076964">
      <w:pPr>
        <w:ind w:firstLine="420"/>
        <w:rPr>
          <w:rFonts w:cs="Times New Roman"/>
        </w:rPr>
      </w:pPr>
      <w:r w:rsidRPr="00530A11">
        <w:rPr>
          <w:rFonts w:cs="Times New Roman"/>
        </w:rPr>
        <w:t>住宅建筑应限值设置玻璃幕墙，避免通过采用落地外窗的构造措施等方式来达到玻璃幕墙的效果。</w:t>
      </w:r>
    </w:p>
    <w:p w14:paraId="4A5A21F3"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【评价要点】</w:t>
      </w:r>
    </w:p>
    <w:p w14:paraId="7ED54B4E" w14:textId="77777777" w:rsidR="00076964" w:rsidRPr="0081478A" w:rsidRDefault="00076964" w:rsidP="00076964">
      <w:pPr>
        <w:ind w:firstLine="420"/>
        <w:rPr>
          <w:rFonts w:cs="Times New Roman"/>
        </w:rPr>
      </w:pPr>
      <w:r w:rsidRPr="0081478A">
        <w:rPr>
          <w:rFonts w:cs="Times New Roman"/>
        </w:rPr>
        <w:t xml:space="preserve">1 </w:t>
      </w:r>
      <w:r w:rsidRPr="0081478A">
        <w:rPr>
          <w:rFonts w:cs="Times New Roman"/>
        </w:rPr>
        <w:t>非玻璃幕墙建筑，第</w:t>
      </w:r>
      <w:r w:rsidRPr="0081478A">
        <w:rPr>
          <w:rFonts w:cs="Times New Roman"/>
        </w:rPr>
        <w:t>1</w:t>
      </w:r>
      <w:r w:rsidRPr="0081478A">
        <w:rPr>
          <w:rFonts w:cs="Times New Roman"/>
        </w:rPr>
        <w:t>款直接得</w:t>
      </w:r>
      <w:r>
        <w:rPr>
          <w:rFonts w:cs="Times New Roman"/>
        </w:rPr>
        <w:t>5</w:t>
      </w:r>
      <w:r w:rsidRPr="0081478A">
        <w:rPr>
          <w:rFonts w:cs="Times New Roman"/>
        </w:rPr>
        <w:t>分。</w:t>
      </w:r>
    </w:p>
    <w:p w14:paraId="57B6DBFB" w14:textId="77777777" w:rsidR="00076964" w:rsidRPr="0081478A" w:rsidRDefault="00076964" w:rsidP="00076964">
      <w:pPr>
        <w:ind w:firstLine="420"/>
        <w:rPr>
          <w:rFonts w:cs="Times New Roman"/>
        </w:rPr>
      </w:pPr>
      <w:r w:rsidRPr="0081478A">
        <w:rPr>
          <w:rFonts w:cs="Times New Roman"/>
        </w:rPr>
        <w:lastRenderedPageBreak/>
        <w:t xml:space="preserve">2 </w:t>
      </w:r>
      <w:r w:rsidRPr="0081478A">
        <w:rPr>
          <w:rFonts w:cs="Times New Roman"/>
        </w:rPr>
        <w:t>不设室外夜景照明且经论证合理的，第</w:t>
      </w:r>
      <w:r w:rsidRPr="0081478A">
        <w:rPr>
          <w:rFonts w:cs="Times New Roman"/>
        </w:rPr>
        <w:t>2</w:t>
      </w:r>
      <w:r w:rsidRPr="0081478A">
        <w:rPr>
          <w:rFonts w:cs="Times New Roman"/>
        </w:rPr>
        <w:t>款直接得</w:t>
      </w:r>
      <w:r>
        <w:rPr>
          <w:rFonts w:cs="Times New Roman"/>
        </w:rPr>
        <w:t>5</w:t>
      </w:r>
      <w:r w:rsidRPr="0081478A">
        <w:rPr>
          <w:rFonts w:cs="Times New Roman"/>
        </w:rPr>
        <w:t>分。</w:t>
      </w:r>
    </w:p>
    <w:p w14:paraId="1D2214B6"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【评价方法】</w:t>
      </w:r>
    </w:p>
    <w:p w14:paraId="3F814C81" w14:textId="77777777" w:rsidR="00076964" w:rsidRPr="00530A11" w:rsidRDefault="00076964" w:rsidP="00076964">
      <w:pPr>
        <w:pStyle w:val="20"/>
        <w:ind w:firstLineChars="200" w:firstLine="420"/>
        <w:rPr>
          <w:rFonts w:ascii="Times New Roman" w:hAnsi="Times New Roman" w:cs="Times New Roman"/>
          <w:b w:val="0"/>
          <w:color w:val="auto"/>
        </w:rPr>
      </w:pPr>
      <w:r w:rsidRPr="00530A11">
        <w:rPr>
          <w:rFonts w:cs="Times New Roman"/>
          <w:b w:val="0"/>
        </w:rPr>
        <w:t>预评价查阅相关设计文件、光污染分析报告；评价查阅相关竣工图、光污染分析报告、检测报告。</w:t>
      </w:r>
    </w:p>
    <w:p w14:paraId="5E60C827" w14:textId="77777777" w:rsidR="00076964" w:rsidRPr="001E54E5" w:rsidRDefault="00076964" w:rsidP="00076964">
      <w:pPr>
        <w:ind w:firstLine="420"/>
        <w:rPr>
          <w:rFonts w:cs="Times New Roman"/>
        </w:rPr>
      </w:pPr>
    </w:p>
    <w:p w14:paraId="41EB7176" w14:textId="77777777" w:rsidR="00076964" w:rsidRPr="00530A11" w:rsidRDefault="00076964" w:rsidP="00076964">
      <w:pPr>
        <w:pStyle w:val="4"/>
        <w:rPr>
          <w:rFonts w:cs="Times New Roman"/>
          <w:bCs w:val="0"/>
        </w:rPr>
      </w:pPr>
      <w:r w:rsidRPr="00530A11">
        <w:rPr>
          <w:rFonts w:cs="Times New Roman"/>
          <w:bCs w:val="0"/>
        </w:rPr>
        <w:t xml:space="preserve">8.2.9 </w:t>
      </w:r>
      <w:r w:rsidRPr="00530A11">
        <w:rPr>
          <w:rFonts w:cs="Times New Roman"/>
          <w:bCs w:val="0"/>
        </w:rPr>
        <w:t>场地内风环境有利于室外行走、活动舒适和建筑的自然通风，评价总分值为</w:t>
      </w:r>
      <w:r w:rsidRPr="00530A11">
        <w:rPr>
          <w:rFonts w:cs="Times New Roman"/>
          <w:bCs w:val="0"/>
        </w:rPr>
        <w:t>10</w:t>
      </w:r>
      <w:r w:rsidRPr="00530A11">
        <w:rPr>
          <w:rFonts w:cs="Times New Roman"/>
          <w:bCs w:val="0"/>
        </w:rPr>
        <w:t>分，并按下列规则分别评分并累计：</w:t>
      </w:r>
    </w:p>
    <w:p w14:paraId="006C87EC" w14:textId="77777777" w:rsidR="00076964" w:rsidRPr="00991D52" w:rsidRDefault="00076964" w:rsidP="00076964">
      <w:pPr>
        <w:pStyle w:val="20"/>
        <w:snapToGrid w:val="0"/>
        <w:ind w:firstLineChars="100" w:firstLine="211"/>
        <w:jc w:val="left"/>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在冬季典型风速和风向条件下，按下列规则分别评分并累计：</w:t>
      </w:r>
    </w:p>
    <w:p w14:paraId="5EA72A38" w14:textId="77777777" w:rsidR="00076964" w:rsidRPr="00991D52" w:rsidRDefault="00076964" w:rsidP="00076964">
      <w:pPr>
        <w:pStyle w:val="20"/>
        <w:snapToGrid w:val="0"/>
        <w:ind w:firstLineChars="200" w:firstLine="422"/>
        <w:jc w:val="left"/>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建筑物周围人行区距地高</w:t>
      </w:r>
      <w:r w:rsidRPr="00991D52">
        <w:rPr>
          <w:rFonts w:ascii="Times New Roman" w:hAnsi="Times New Roman" w:cs="Times New Roman"/>
          <w:bCs/>
          <w:color w:val="auto"/>
        </w:rPr>
        <w:t>1.5m</w:t>
      </w:r>
      <w:r w:rsidRPr="00991D52">
        <w:rPr>
          <w:rFonts w:ascii="Times New Roman" w:hAnsi="Times New Roman" w:cs="Times New Roman"/>
          <w:bCs/>
          <w:color w:val="auto"/>
        </w:rPr>
        <w:t>处风速小于</w:t>
      </w:r>
      <w:r w:rsidRPr="00991D52">
        <w:rPr>
          <w:rFonts w:ascii="Times New Roman" w:hAnsi="Times New Roman" w:cs="Times New Roman"/>
          <w:bCs/>
          <w:color w:val="auto"/>
        </w:rPr>
        <w:t>5m/s</w:t>
      </w:r>
      <w:r w:rsidRPr="00991D52">
        <w:rPr>
          <w:rFonts w:ascii="Times New Roman" w:hAnsi="Times New Roman" w:cs="Times New Roman"/>
          <w:bCs/>
          <w:color w:val="auto"/>
        </w:rPr>
        <w:t>，户外休息区、儿童娱乐区风速小于</w:t>
      </w:r>
      <w:r w:rsidRPr="00991D52">
        <w:rPr>
          <w:rFonts w:ascii="Times New Roman" w:hAnsi="Times New Roman" w:cs="Times New Roman"/>
          <w:bCs/>
          <w:color w:val="auto"/>
        </w:rPr>
        <w:t>2m/s</w:t>
      </w:r>
      <w:r w:rsidRPr="00991D52">
        <w:rPr>
          <w:rFonts w:ascii="Times New Roman" w:hAnsi="Times New Roman" w:cs="Times New Roman"/>
          <w:bCs/>
          <w:color w:val="auto"/>
        </w:rPr>
        <w:t>，且室外风速放大系数小于</w:t>
      </w:r>
      <w:r w:rsidRPr="00991D52">
        <w:rPr>
          <w:rFonts w:ascii="Times New Roman" w:hAnsi="Times New Roman" w:cs="Times New Roman"/>
          <w:bCs/>
          <w:color w:val="auto"/>
        </w:rPr>
        <w:t>2</w:t>
      </w:r>
      <w:r w:rsidRPr="00991D52">
        <w:rPr>
          <w:rFonts w:ascii="Times New Roman" w:hAnsi="Times New Roman" w:cs="Times New Roman"/>
          <w:bCs/>
          <w:color w:val="auto"/>
        </w:rPr>
        <w:t>，得</w:t>
      </w:r>
      <w:r w:rsidRPr="00991D52">
        <w:rPr>
          <w:rFonts w:ascii="Times New Roman" w:hAnsi="Times New Roman" w:cs="Times New Roman"/>
          <w:bCs/>
          <w:color w:val="auto"/>
        </w:rPr>
        <w:t>3</w:t>
      </w:r>
      <w:r w:rsidRPr="00991D52">
        <w:rPr>
          <w:rFonts w:ascii="Times New Roman" w:hAnsi="Times New Roman" w:cs="Times New Roman"/>
          <w:bCs/>
          <w:color w:val="auto"/>
        </w:rPr>
        <w:t>分；</w:t>
      </w:r>
    </w:p>
    <w:p w14:paraId="4E0B9D1B" w14:textId="77777777" w:rsidR="00076964" w:rsidRPr="00991D52" w:rsidRDefault="00076964" w:rsidP="00076964">
      <w:pPr>
        <w:pStyle w:val="20"/>
        <w:snapToGrid w:val="0"/>
        <w:ind w:firstLineChars="200" w:firstLine="422"/>
        <w:jc w:val="left"/>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bCs/>
          <w:color w:val="auto"/>
        </w:rPr>
        <w:t>除迎风第一排建筑外，建筑迎风面与背风面表面风压差不大于</w:t>
      </w:r>
      <w:r w:rsidRPr="00991D52">
        <w:rPr>
          <w:rFonts w:ascii="Times New Roman" w:hAnsi="Times New Roman" w:cs="Times New Roman"/>
          <w:bCs/>
          <w:color w:val="auto"/>
        </w:rPr>
        <w:t>5Pa</w:t>
      </w:r>
      <w:r w:rsidRPr="00991D52">
        <w:rPr>
          <w:rFonts w:ascii="Times New Roman" w:hAnsi="Times New Roman" w:cs="Times New Roman"/>
          <w:bCs/>
          <w:color w:val="auto"/>
        </w:rPr>
        <w:t>，得</w:t>
      </w:r>
      <w:r w:rsidRPr="00991D52">
        <w:rPr>
          <w:rFonts w:ascii="Times New Roman" w:hAnsi="Times New Roman" w:cs="Times New Roman"/>
          <w:bCs/>
          <w:color w:val="auto"/>
        </w:rPr>
        <w:t>2</w:t>
      </w:r>
      <w:r w:rsidRPr="00991D52">
        <w:rPr>
          <w:rFonts w:ascii="Times New Roman" w:hAnsi="Times New Roman" w:cs="Times New Roman"/>
          <w:bCs/>
          <w:color w:val="auto"/>
        </w:rPr>
        <w:t>分。</w:t>
      </w:r>
    </w:p>
    <w:p w14:paraId="2E96F64B" w14:textId="77777777" w:rsidR="00076964" w:rsidRPr="00991D52" w:rsidRDefault="00076964" w:rsidP="00076964">
      <w:pPr>
        <w:pStyle w:val="20"/>
        <w:snapToGrid w:val="0"/>
        <w:ind w:firstLineChars="100" w:firstLine="211"/>
        <w:jc w:val="left"/>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bCs/>
          <w:color w:val="auto"/>
        </w:rPr>
        <w:t>过渡季、夏季典型风速和风向条件下，按下列规则分别评分并累计：</w:t>
      </w:r>
    </w:p>
    <w:p w14:paraId="70735AC8" w14:textId="77777777" w:rsidR="00076964" w:rsidRPr="00991D52" w:rsidRDefault="00076964" w:rsidP="00076964">
      <w:pPr>
        <w:pStyle w:val="20"/>
        <w:snapToGrid w:val="0"/>
        <w:ind w:firstLineChars="200" w:firstLine="422"/>
        <w:jc w:val="left"/>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场地内人活动区不出现涡旋或无风区，得</w:t>
      </w:r>
      <w:r w:rsidRPr="00991D52">
        <w:rPr>
          <w:rFonts w:ascii="Times New Roman" w:hAnsi="Times New Roman" w:cs="Times New Roman"/>
          <w:bCs/>
          <w:color w:val="auto"/>
        </w:rPr>
        <w:t>3</w:t>
      </w:r>
      <w:r w:rsidRPr="00991D52">
        <w:rPr>
          <w:rFonts w:ascii="Times New Roman" w:hAnsi="Times New Roman" w:cs="Times New Roman"/>
          <w:bCs/>
          <w:color w:val="auto"/>
        </w:rPr>
        <w:t>分；</w:t>
      </w:r>
    </w:p>
    <w:p w14:paraId="146EAC0F" w14:textId="77777777" w:rsidR="00076964" w:rsidRPr="00991D52" w:rsidRDefault="00076964" w:rsidP="00076964">
      <w:pPr>
        <w:pStyle w:val="20"/>
        <w:snapToGrid w:val="0"/>
        <w:ind w:firstLineChars="200" w:firstLine="422"/>
        <w:jc w:val="left"/>
        <w:rPr>
          <w:rFonts w:ascii="Times New Roman" w:hAnsi="Times New Roman" w:cs="Times New Roman"/>
          <w:bCs/>
          <w:color w:val="auto"/>
        </w:rPr>
      </w:pPr>
      <w:r w:rsidRPr="00991D52">
        <w:rPr>
          <w:rFonts w:ascii="Times New Roman" w:hAnsi="Times New Roman" w:cs="Times New Roman"/>
          <w:bCs/>
          <w:color w:val="auto"/>
        </w:rPr>
        <w:t>2) 50</w:t>
      </w:r>
      <w:r w:rsidRPr="00991D52">
        <w:rPr>
          <w:rFonts w:ascii="Times New Roman" w:hAnsi="Times New Roman" w:cs="Times New Roman"/>
          <w:bCs/>
          <w:color w:val="auto"/>
        </w:rPr>
        <w:t>％以上可开启外窗室内外表面的风压差大于</w:t>
      </w:r>
      <w:r w:rsidRPr="00991D52">
        <w:rPr>
          <w:rFonts w:ascii="Times New Roman" w:hAnsi="Times New Roman" w:cs="Times New Roman"/>
          <w:bCs/>
          <w:color w:val="auto"/>
        </w:rPr>
        <w:t>0.5Pa</w:t>
      </w:r>
      <w:r w:rsidRPr="00991D52">
        <w:rPr>
          <w:rFonts w:ascii="Times New Roman" w:hAnsi="Times New Roman" w:cs="Times New Roman"/>
          <w:bCs/>
          <w:color w:val="auto"/>
        </w:rPr>
        <w:t>，得</w:t>
      </w:r>
      <w:r w:rsidRPr="00991D52">
        <w:rPr>
          <w:rFonts w:ascii="Times New Roman" w:hAnsi="Times New Roman" w:cs="Times New Roman"/>
          <w:bCs/>
          <w:color w:val="auto"/>
        </w:rPr>
        <w:t>2</w:t>
      </w:r>
      <w:r w:rsidRPr="00991D52">
        <w:rPr>
          <w:rFonts w:ascii="Times New Roman" w:hAnsi="Times New Roman" w:cs="Times New Roman"/>
          <w:bCs/>
          <w:color w:val="auto"/>
        </w:rPr>
        <w:t>分。</w:t>
      </w:r>
    </w:p>
    <w:p w14:paraId="74CB8999" w14:textId="77777777" w:rsidR="00076964" w:rsidRPr="0081478A" w:rsidRDefault="00076964" w:rsidP="009252F8">
      <w:pPr>
        <w:pStyle w:val="20"/>
      </w:pPr>
      <w:r w:rsidRPr="0081478A">
        <w:t>【条文说明】</w:t>
      </w:r>
    </w:p>
    <w:p w14:paraId="3F6A9DBB" w14:textId="77777777" w:rsidR="00076964" w:rsidRPr="00530A11" w:rsidRDefault="00076964" w:rsidP="00076964">
      <w:pPr>
        <w:ind w:firstLine="420"/>
        <w:rPr>
          <w:szCs w:val="24"/>
        </w:rPr>
      </w:pPr>
      <w:r w:rsidRPr="00530A11">
        <w:t>本条适用于各类民用建筑的预评价、评价。若只有一排建筑，本条第</w:t>
      </w:r>
      <w:r w:rsidRPr="00530A11">
        <w:t>1</w:t>
      </w:r>
      <w:r w:rsidRPr="00530A11">
        <w:t>款的第二项可直接得分。对于半下沉室外空间，此条也需要进行评价。</w:t>
      </w:r>
    </w:p>
    <w:p w14:paraId="7831DF2E" w14:textId="77777777"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4.2.6</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4.2.6</w:t>
      </w:r>
      <w:r w:rsidRPr="00530A11">
        <w:rPr>
          <w:rFonts w:cs="Times New Roman"/>
        </w:rPr>
        <w:t>条的基础上发展而来。</w:t>
      </w:r>
    </w:p>
    <w:p w14:paraId="2C4BD628" w14:textId="77777777" w:rsidR="00076964" w:rsidRPr="00530A11" w:rsidRDefault="00076964" w:rsidP="00076964">
      <w:pPr>
        <w:ind w:firstLine="420"/>
        <w:rPr>
          <w:rFonts w:cs="Times New Roman"/>
        </w:rPr>
      </w:pPr>
      <w:r w:rsidRPr="00530A11">
        <w:rPr>
          <w:rFonts w:cs="Times New Roman"/>
        </w:rPr>
        <w:t>本条人行区是指区域范围内功能或主要功能可供行人通行和停留的场所。冬季建筑物周围人行区距地</w:t>
      </w:r>
      <w:r w:rsidRPr="00530A11">
        <w:rPr>
          <w:rFonts w:cs="Times New Roman"/>
        </w:rPr>
        <w:t>1.5m</w:t>
      </w:r>
      <w:r w:rsidRPr="00530A11">
        <w:rPr>
          <w:rFonts w:cs="Times New Roman"/>
        </w:rPr>
        <w:t>高处风速小于</w:t>
      </w:r>
      <w:r w:rsidRPr="00530A11">
        <w:rPr>
          <w:rFonts w:cs="Times New Roman"/>
        </w:rPr>
        <w:t>5m/s</w:t>
      </w:r>
      <w:r w:rsidRPr="00530A11">
        <w:rPr>
          <w:rFonts w:cs="Times New Roman"/>
        </w:rPr>
        <w:t>是不影响人们正常室外活动的基本要求。建筑的迎风面与背风面风压差不超过</w:t>
      </w:r>
      <w:r w:rsidRPr="00530A11">
        <w:rPr>
          <w:rFonts w:cs="Times New Roman"/>
        </w:rPr>
        <w:t>5Pa</w:t>
      </w:r>
      <w:r w:rsidRPr="00530A11">
        <w:rPr>
          <w:rFonts w:cs="Times New Roman"/>
        </w:rPr>
        <w:t>，可以减少冷风向室内渗透。</w:t>
      </w:r>
    </w:p>
    <w:p w14:paraId="74638C7A" w14:textId="77777777" w:rsidR="00076964" w:rsidRPr="00530A11" w:rsidRDefault="00076964" w:rsidP="00076964">
      <w:pPr>
        <w:ind w:firstLine="420"/>
        <w:rPr>
          <w:rFonts w:cs="Times New Roman"/>
        </w:rPr>
      </w:pPr>
      <w:r w:rsidRPr="00530A11">
        <w:rPr>
          <w:rFonts w:cs="Times New Roman"/>
        </w:rPr>
        <w:t>夏季、过渡季通风不畅在某些区域形成无风区或涡旋区，将影响室外散热和污染物消散。外窗室内外表面的风压差达到</w:t>
      </w:r>
      <w:r w:rsidRPr="00530A11">
        <w:rPr>
          <w:rFonts w:cs="Times New Roman"/>
        </w:rPr>
        <w:t>0.5Pa</w:t>
      </w:r>
      <w:r w:rsidRPr="00530A11">
        <w:rPr>
          <w:rFonts w:cs="Times New Roman"/>
        </w:rPr>
        <w:t>有利于建筑的自然通风。</w:t>
      </w:r>
    </w:p>
    <w:p w14:paraId="2A111D42" w14:textId="77777777" w:rsidR="00076964" w:rsidRPr="00530A11" w:rsidRDefault="00076964" w:rsidP="00076964">
      <w:pPr>
        <w:ind w:firstLine="420"/>
        <w:rPr>
          <w:rFonts w:cs="Times New Roman"/>
        </w:rPr>
      </w:pPr>
      <w:r w:rsidRPr="00530A11">
        <w:rPr>
          <w:rFonts w:cs="Times New Roman"/>
        </w:rPr>
        <w:t>利用计算流体动力学</w:t>
      </w:r>
      <w:r w:rsidRPr="00530A11">
        <w:rPr>
          <w:rFonts w:cs="Times New Roman"/>
        </w:rPr>
        <w:t>(CFD)</w:t>
      </w:r>
      <w:r w:rsidRPr="00530A11">
        <w:rPr>
          <w:rFonts w:cs="Times New Roman"/>
        </w:rPr>
        <w:t>手段对不同季节典型风向、风速可对建筑外风环境进行模拟，其中来流风速、风向为对应季节内出现频率最高的风向和平均风速，室外风环境模拟使用的气象参数建议依次按地方有关标准要求、现行行业标准《建筑节能气象参数标准》</w:t>
      </w:r>
      <w:r w:rsidRPr="00530A11">
        <w:rPr>
          <w:rFonts w:cs="Times New Roman"/>
        </w:rPr>
        <w:t>JGJ/T 346</w:t>
      </w:r>
      <w:r w:rsidRPr="00530A11">
        <w:rPr>
          <w:rFonts w:cs="Times New Roman"/>
        </w:rPr>
        <w:t>、现行国家标准《民用建筑供暖通风与空气调节设计规范》</w:t>
      </w:r>
      <w:r w:rsidRPr="00530A11">
        <w:rPr>
          <w:rFonts w:cs="Times New Roman"/>
        </w:rPr>
        <w:t>GB 50736</w:t>
      </w:r>
      <w:r w:rsidRPr="00530A11">
        <w:rPr>
          <w:rFonts w:cs="Times New Roman"/>
        </w:rPr>
        <w:t>、《中国建筑热环境分析专用气象数据集》的优先顺序取得风向风速资料。数据选用尽可能使用地区内的气象站过去十年内的代表性数据，也可以采用相关气象部门出具逐时气象数据，计算</w:t>
      </w:r>
      <w:r w:rsidRPr="00530A11">
        <w:rPr>
          <w:rFonts w:cs="Times New Roman"/>
        </w:rPr>
        <w:t>“</w:t>
      </w:r>
      <w:r w:rsidRPr="00530A11">
        <w:rPr>
          <w:rFonts w:cs="Times New Roman"/>
        </w:rPr>
        <w:t>可开启外窗室</w:t>
      </w:r>
      <w:r w:rsidRPr="00530A11">
        <w:rPr>
          <w:rFonts w:cs="Times New Roman"/>
        </w:rPr>
        <w:lastRenderedPageBreak/>
        <w:t>内外表面的风压差</w:t>
      </w:r>
      <w:r w:rsidRPr="00530A11">
        <w:rPr>
          <w:rFonts w:cs="Times New Roman"/>
        </w:rPr>
        <w:t>”</w:t>
      </w:r>
      <w:r w:rsidRPr="00530A11">
        <w:rPr>
          <w:rFonts w:cs="Times New Roman"/>
        </w:rPr>
        <w:t>可将建筑外窗室内表面风压默认为</w:t>
      </w:r>
      <w:r w:rsidRPr="00530A11">
        <w:rPr>
          <w:rFonts w:cs="Times New Roman"/>
        </w:rPr>
        <w:t>0Pa</w:t>
      </w:r>
      <w:r w:rsidRPr="00530A11">
        <w:rPr>
          <w:rFonts w:cs="Times New Roman"/>
        </w:rPr>
        <w:t>，可开启外窗的室外风压绝对值大于</w:t>
      </w:r>
      <w:r w:rsidRPr="00530A11">
        <w:rPr>
          <w:rFonts w:cs="Times New Roman"/>
        </w:rPr>
        <w:t>0.5Pa</w:t>
      </w:r>
      <w:r w:rsidRPr="00530A11">
        <w:rPr>
          <w:rFonts w:cs="Times New Roman"/>
        </w:rPr>
        <w:t>，即可判定此外窗满足要求。</w:t>
      </w:r>
    </w:p>
    <w:p w14:paraId="6D9C270B" w14:textId="77777777" w:rsidR="00076964" w:rsidRPr="00530A11" w:rsidRDefault="00076964" w:rsidP="00076964">
      <w:pPr>
        <w:ind w:firstLine="420"/>
        <w:rPr>
          <w:rFonts w:cs="Times New Roman"/>
        </w:rPr>
      </w:pPr>
      <w:r w:rsidRPr="00530A11">
        <w:rPr>
          <w:rFonts w:cs="Times New Roman"/>
        </w:rPr>
        <w:t>室外风环境模拟应得到以下输出结果：</w:t>
      </w:r>
    </w:p>
    <w:p w14:paraId="1A92C86F" w14:textId="77777777" w:rsidR="00076964" w:rsidRPr="00530A11" w:rsidRDefault="00076964" w:rsidP="00076964">
      <w:pPr>
        <w:ind w:firstLine="420"/>
        <w:rPr>
          <w:rFonts w:cs="Times New Roman"/>
        </w:rPr>
      </w:pPr>
      <w:r w:rsidRPr="00530A11">
        <w:rPr>
          <w:rFonts w:cs="Times New Roman"/>
        </w:rPr>
        <w:t xml:space="preserve">1 </w:t>
      </w:r>
      <w:r w:rsidRPr="00530A11">
        <w:rPr>
          <w:rFonts w:cs="Times New Roman"/>
        </w:rPr>
        <w:t>不同季节不同来流风速下，模拟得到场地内</w:t>
      </w:r>
      <w:r w:rsidRPr="00530A11">
        <w:rPr>
          <w:rFonts w:cs="Times New Roman"/>
        </w:rPr>
        <w:t>1.5m</w:t>
      </w:r>
      <w:r w:rsidRPr="00530A11">
        <w:rPr>
          <w:rFonts w:cs="Times New Roman"/>
        </w:rPr>
        <w:t>高处的风速分布。</w:t>
      </w:r>
    </w:p>
    <w:p w14:paraId="0C20127C" w14:textId="77777777" w:rsidR="00076964" w:rsidRPr="00530A11" w:rsidRDefault="00076964" w:rsidP="00076964">
      <w:pPr>
        <w:ind w:firstLine="420"/>
        <w:rPr>
          <w:rFonts w:cs="Times New Roman"/>
        </w:rPr>
      </w:pPr>
      <w:r w:rsidRPr="00530A11">
        <w:rPr>
          <w:rFonts w:cs="Times New Roman"/>
        </w:rPr>
        <w:t xml:space="preserve">2 </w:t>
      </w:r>
      <w:r w:rsidRPr="00530A11">
        <w:rPr>
          <w:rFonts w:cs="Times New Roman"/>
        </w:rPr>
        <w:t>不同季节不同来流风速下，模拟得到冬季室外活动区的风速放大系数。</w:t>
      </w:r>
    </w:p>
    <w:p w14:paraId="4571CF73" w14:textId="77777777" w:rsidR="00076964" w:rsidRPr="00530A11" w:rsidRDefault="00076964" w:rsidP="00076964">
      <w:pPr>
        <w:ind w:firstLine="420"/>
        <w:rPr>
          <w:rFonts w:cs="Times New Roman"/>
        </w:rPr>
      </w:pPr>
      <w:r w:rsidRPr="00530A11">
        <w:rPr>
          <w:rFonts w:cs="Times New Roman"/>
        </w:rPr>
        <w:t xml:space="preserve">3 </w:t>
      </w:r>
      <w:r w:rsidRPr="00530A11">
        <w:rPr>
          <w:rFonts w:cs="Times New Roman"/>
        </w:rPr>
        <w:t>不同季节不同来流风速下，模拟得到建筑首层及以上典型楼层迎风面与背风面</w:t>
      </w:r>
      <w:r w:rsidRPr="00530A11">
        <w:rPr>
          <w:rFonts w:cs="Times New Roman"/>
        </w:rPr>
        <w:t>(</w:t>
      </w:r>
      <w:r w:rsidRPr="00530A11">
        <w:rPr>
          <w:rFonts w:cs="Times New Roman"/>
        </w:rPr>
        <w:t>或主要开窗面</w:t>
      </w:r>
      <w:r w:rsidRPr="00530A11">
        <w:rPr>
          <w:rFonts w:cs="Times New Roman"/>
        </w:rPr>
        <w:t>)</w:t>
      </w:r>
      <w:r w:rsidRPr="00530A11">
        <w:rPr>
          <w:rFonts w:cs="Times New Roman"/>
        </w:rPr>
        <w:t>表面的压力分布。</w:t>
      </w:r>
    </w:p>
    <w:p w14:paraId="3A3055A8" w14:textId="77777777" w:rsidR="00076964" w:rsidRPr="00530A11" w:rsidRDefault="00076964" w:rsidP="00076964">
      <w:pPr>
        <w:ind w:firstLine="420"/>
        <w:rPr>
          <w:rFonts w:cs="Times New Roman"/>
        </w:rPr>
      </w:pPr>
      <w:r w:rsidRPr="00530A11">
        <w:rPr>
          <w:rFonts w:cs="Times New Roman"/>
        </w:rPr>
        <w:t>对于不同季节，如果主导风向、风速不唯一</w:t>
      </w:r>
      <w:r w:rsidRPr="00530A11">
        <w:rPr>
          <w:rFonts w:cs="Times New Roman"/>
        </w:rPr>
        <w:t>(</w:t>
      </w:r>
      <w:r w:rsidRPr="00530A11">
        <w:rPr>
          <w:rFonts w:cs="Times New Roman"/>
        </w:rPr>
        <w:t>可参考《实用供热空调设计手册》陆耀庆，中国建筑工业出版社出版；或当地气象局历史数据</w:t>
      </w:r>
      <w:r w:rsidRPr="00530A11">
        <w:rPr>
          <w:rFonts w:cs="Times New Roman"/>
        </w:rPr>
        <w:t>)</w:t>
      </w:r>
      <w:r w:rsidRPr="00530A11">
        <w:rPr>
          <w:rFonts w:cs="Times New Roman"/>
        </w:rPr>
        <w:t>，宜分析两种主导风向下的情况。</w:t>
      </w:r>
    </w:p>
    <w:p w14:paraId="6B52D091"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【评价要点】</w:t>
      </w:r>
    </w:p>
    <w:p w14:paraId="63182FE7" w14:textId="77777777" w:rsidR="00076964" w:rsidRPr="0081478A" w:rsidRDefault="00076964" w:rsidP="00076964">
      <w:pPr>
        <w:ind w:firstLine="420"/>
        <w:rPr>
          <w:rFonts w:cs="Times New Roman"/>
        </w:rPr>
      </w:pPr>
      <w:r>
        <w:rPr>
          <w:rFonts w:cs="Times New Roman"/>
        </w:rPr>
        <w:t>1.</w:t>
      </w:r>
      <w:r w:rsidRPr="0081478A">
        <w:rPr>
          <w:rFonts w:cs="Times New Roman"/>
        </w:rPr>
        <w:t>室外风环境的数值分析报告应满足本书附录</w:t>
      </w:r>
      <w:r w:rsidRPr="0081478A">
        <w:rPr>
          <w:rFonts w:cs="Times New Roman"/>
        </w:rPr>
        <w:t>A.2</w:t>
      </w:r>
      <w:r w:rsidRPr="0081478A">
        <w:rPr>
          <w:rFonts w:cs="Times New Roman"/>
        </w:rPr>
        <w:t>的要求。</w:t>
      </w:r>
    </w:p>
    <w:p w14:paraId="31F29A0B" w14:textId="77777777" w:rsidR="00076964" w:rsidRPr="0081478A" w:rsidRDefault="00076964" w:rsidP="00076964">
      <w:pPr>
        <w:ind w:firstLine="420"/>
        <w:rPr>
          <w:rFonts w:cs="Times New Roman"/>
        </w:rPr>
      </w:pPr>
      <w:r>
        <w:rPr>
          <w:rFonts w:cs="Times New Roman"/>
        </w:rPr>
        <w:t>2.</w:t>
      </w:r>
      <w:r w:rsidRPr="0081478A">
        <w:rPr>
          <w:rFonts w:cs="Times New Roman"/>
        </w:rPr>
        <w:t>若只有</w:t>
      </w:r>
      <w:r w:rsidRPr="0081478A">
        <w:rPr>
          <w:rFonts w:cs="Times New Roman"/>
        </w:rPr>
        <w:t>1</w:t>
      </w:r>
      <w:r w:rsidRPr="0081478A">
        <w:rPr>
          <w:rFonts w:cs="Times New Roman"/>
        </w:rPr>
        <w:t>排建筑，第</w:t>
      </w:r>
      <w:r w:rsidRPr="0081478A">
        <w:rPr>
          <w:rFonts w:cs="Times New Roman"/>
        </w:rPr>
        <w:t>1</w:t>
      </w:r>
      <w:r w:rsidRPr="0081478A">
        <w:rPr>
          <w:rFonts w:cs="Times New Roman"/>
        </w:rPr>
        <w:t>款</w:t>
      </w:r>
      <w:r>
        <w:rPr>
          <w:rFonts w:cs="Times New Roman" w:hint="eastAsia"/>
        </w:rPr>
        <w:t>第</w:t>
      </w:r>
      <w:r>
        <w:rPr>
          <w:rFonts w:cs="Times New Roman" w:hint="eastAsia"/>
        </w:rPr>
        <w:t>2</w:t>
      </w:r>
      <w:r>
        <w:rPr>
          <w:rFonts w:cs="Times New Roman" w:hint="eastAsia"/>
        </w:rPr>
        <w:t>）条</w:t>
      </w:r>
      <w:r w:rsidRPr="0081478A">
        <w:rPr>
          <w:rFonts w:cs="Times New Roman"/>
        </w:rPr>
        <w:t>直接得</w:t>
      </w:r>
      <w:r w:rsidRPr="0081478A">
        <w:rPr>
          <w:rFonts w:cs="Times New Roman"/>
        </w:rPr>
        <w:t>2</w:t>
      </w:r>
      <w:r w:rsidRPr="0081478A">
        <w:rPr>
          <w:rFonts w:cs="Times New Roman"/>
        </w:rPr>
        <w:t>分。</w:t>
      </w:r>
    </w:p>
    <w:p w14:paraId="430C6BC4" w14:textId="77777777" w:rsidR="00076964" w:rsidRPr="0081478A" w:rsidRDefault="00076964" w:rsidP="00076964">
      <w:pPr>
        <w:ind w:firstLine="420"/>
        <w:rPr>
          <w:rFonts w:cs="Times New Roman"/>
        </w:rPr>
      </w:pPr>
      <w:r>
        <w:rPr>
          <w:rFonts w:cs="Times New Roman"/>
        </w:rPr>
        <w:t>3.</w:t>
      </w:r>
      <w:r w:rsidRPr="0081478A">
        <w:rPr>
          <w:rFonts w:cs="Times New Roman"/>
        </w:rPr>
        <w:t>对于半下沉室外空间，也需进行评价。</w:t>
      </w:r>
    </w:p>
    <w:p w14:paraId="4E8F1AE4"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【评价方法】</w:t>
      </w:r>
    </w:p>
    <w:p w14:paraId="63076AC0" w14:textId="41E8F623" w:rsidR="00076964" w:rsidRDefault="00076964" w:rsidP="00076964">
      <w:pPr>
        <w:pStyle w:val="20"/>
        <w:ind w:firstLineChars="200" w:firstLine="420"/>
        <w:rPr>
          <w:rFonts w:cs="Times New Roman"/>
          <w:b w:val="0"/>
        </w:rPr>
      </w:pPr>
      <w:r w:rsidRPr="00530A11">
        <w:rPr>
          <w:rFonts w:cs="Times New Roman"/>
          <w:b w:val="0"/>
        </w:rPr>
        <w:t>预评价查阅相关设计文件、风环境分析报告等；评价查阅相关竣工文件、风环境分析报告</w:t>
      </w:r>
      <w:r w:rsidR="00EC125A">
        <w:rPr>
          <w:rFonts w:cs="Times New Roman" w:hint="eastAsia"/>
          <w:b w:val="0"/>
        </w:rPr>
        <w:t>，</w:t>
      </w:r>
      <w:r w:rsidR="00EC125A" w:rsidRPr="00EC125A">
        <w:rPr>
          <w:rFonts w:cs="Times New Roman" w:hint="eastAsia"/>
          <w:b w:val="0"/>
        </w:rPr>
        <w:t>项目及场地周边建筑物的实景影像资料</w:t>
      </w:r>
      <w:r w:rsidRPr="00530A11">
        <w:rPr>
          <w:rFonts w:cs="Times New Roman"/>
          <w:b w:val="0"/>
        </w:rPr>
        <w:t>。</w:t>
      </w:r>
    </w:p>
    <w:p w14:paraId="2E97445B" w14:textId="77777777" w:rsidR="00076964" w:rsidRPr="00530A11" w:rsidRDefault="00076964" w:rsidP="00076964">
      <w:pPr>
        <w:pStyle w:val="20"/>
        <w:ind w:firstLineChars="200" w:firstLine="420"/>
        <w:rPr>
          <w:rFonts w:ascii="Times New Roman" w:hAnsi="Times New Roman" w:cs="Times New Roman"/>
          <w:b w:val="0"/>
          <w:color w:val="auto"/>
        </w:rPr>
      </w:pPr>
    </w:p>
    <w:p w14:paraId="7C263384" w14:textId="77777777" w:rsidR="00076964" w:rsidRPr="00530A11" w:rsidRDefault="00076964" w:rsidP="00076964">
      <w:pPr>
        <w:pStyle w:val="4"/>
        <w:rPr>
          <w:rFonts w:cs="Times New Roman"/>
          <w:bCs w:val="0"/>
        </w:rPr>
      </w:pPr>
      <w:r w:rsidRPr="00530A11">
        <w:rPr>
          <w:rFonts w:cs="Times New Roman"/>
          <w:bCs w:val="0"/>
        </w:rPr>
        <w:t xml:space="preserve">8.2.10 </w:t>
      </w:r>
      <w:r w:rsidRPr="00530A11">
        <w:rPr>
          <w:rFonts w:cs="Times New Roman"/>
          <w:bCs w:val="0"/>
        </w:rPr>
        <w:t>采取措施</w:t>
      </w:r>
      <w:bookmarkStart w:id="198" w:name="_Hlk26797722"/>
      <w:r w:rsidRPr="00530A11">
        <w:rPr>
          <w:rFonts w:cs="Times New Roman"/>
          <w:bCs w:val="0"/>
        </w:rPr>
        <w:t>降低热岛强度</w:t>
      </w:r>
      <w:bookmarkEnd w:id="198"/>
      <w:r w:rsidRPr="00530A11">
        <w:rPr>
          <w:rFonts w:cs="Times New Roman"/>
          <w:bCs w:val="0"/>
        </w:rPr>
        <w:t>，评价总分值为</w:t>
      </w:r>
      <w:r w:rsidRPr="00530A11">
        <w:rPr>
          <w:rFonts w:cs="Times New Roman"/>
          <w:bCs w:val="0"/>
        </w:rPr>
        <w:t>15</w:t>
      </w:r>
      <w:r w:rsidRPr="00530A11">
        <w:rPr>
          <w:rFonts w:cs="Times New Roman"/>
          <w:bCs w:val="0"/>
        </w:rPr>
        <w:t>分，按下列规则分别评分并累计：</w:t>
      </w:r>
    </w:p>
    <w:p w14:paraId="609354B3"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1 </w:t>
      </w:r>
      <w:r w:rsidRPr="00991D52">
        <w:rPr>
          <w:rFonts w:ascii="Times New Roman" w:hAnsi="Times New Roman" w:cs="Times New Roman"/>
          <w:bCs/>
          <w:color w:val="auto"/>
        </w:rPr>
        <w:t>场地中处于建筑阴影区外的步道、游憩场、庭院、广场等室外活动场地设有乔木、花架等遮阴措施的面积比例，</w:t>
      </w:r>
      <w:r w:rsidRPr="00991D52">
        <w:rPr>
          <w:rFonts w:ascii="Times New Roman" w:hAnsi="Times New Roman" w:cs="Times New Roman" w:hint="eastAsia"/>
          <w:bCs/>
          <w:color w:val="auto"/>
        </w:rPr>
        <w:t>住宅建筑达到</w:t>
      </w:r>
      <w:r w:rsidRPr="00991D52">
        <w:rPr>
          <w:rFonts w:ascii="Times New Roman" w:hAnsi="Times New Roman" w:cs="Times New Roman"/>
          <w:bCs/>
          <w:color w:val="auto"/>
        </w:rPr>
        <w:t>40</w:t>
      </w:r>
      <w:r w:rsidRPr="00991D52">
        <w:rPr>
          <w:rFonts w:ascii="Times New Roman" w:hAnsi="Times New Roman" w:cs="Times New Roman" w:hint="eastAsia"/>
          <w:bCs/>
          <w:color w:val="auto"/>
        </w:rPr>
        <w:t>％，公共建筑达到</w:t>
      </w:r>
      <w:r w:rsidRPr="00991D52">
        <w:rPr>
          <w:rFonts w:ascii="Times New Roman" w:hAnsi="Times New Roman" w:cs="Times New Roman"/>
          <w:bCs/>
          <w:color w:val="auto"/>
        </w:rPr>
        <w:t>10</w:t>
      </w:r>
      <w:r w:rsidRPr="00991D52">
        <w:rPr>
          <w:rFonts w:ascii="Times New Roman" w:hAnsi="Times New Roman" w:cs="Times New Roman" w:hint="eastAsia"/>
          <w:bCs/>
          <w:color w:val="auto"/>
        </w:rPr>
        <w:t>％，得</w:t>
      </w:r>
      <w:r w:rsidRPr="00991D52">
        <w:rPr>
          <w:rFonts w:ascii="Times New Roman" w:hAnsi="Times New Roman" w:cs="Times New Roman"/>
          <w:bCs/>
          <w:color w:val="auto"/>
        </w:rPr>
        <w:t>1</w:t>
      </w:r>
      <w:r w:rsidRPr="00991D52">
        <w:rPr>
          <w:rFonts w:ascii="Times New Roman" w:hAnsi="Times New Roman" w:cs="Times New Roman" w:hint="eastAsia"/>
          <w:bCs/>
          <w:color w:val="auto"/>
        </w:rPr>
        <w:t>分；住宅建筑达到</w:t>
      </w:r>
      <w:r w:rsidRPr="00991D52">
        <w:rPr>
          <w:rFonts w:ascii="Times New Roman" w:hAnsi="Times New Roman" w:cs="Times New Roman"/>
          <w:bCs/>
          <w:color w:val="auto"/>
        </w:rPr>
        <w:t>50</w:t>
      </w:r>
      <w:r w:rsidRPr="00991D52">
        <w:rPr>
          <w:rFonts w:ascii="Times New Roman" w:hAnsi="Times New Roman" w:cs="Times New Roman" w:hint="eastAsia"/>
          <w:bCs/>
          <w:color w:val="auto"/>
        </w:rPr>
        <w:t>％，公共建筑达到</w:t>
      </w:r>
      <w:r w:rsidRPr="00991D52">
        <w:rPr>
          <w:rFonts w:ascii="Times New Roman" w:hAnsi="Times New Roman" w:cs="Times New Roman"/>
          <w:bCs/>
          <w:color w:val="auto"/>
        </w:rPr>
        <w:t>20</w:t>
      </w:r>
      <w:r w:rsidRPr="00991D52">
        <w:rPr>
          <w:rFonts w:ascii="Times New Roman" w:hAnsi="Times New Roman" w:cs="Times New Roman" w:hint="eastAsia"/>
          <w:bCs/>
          <w:color w:val="auto"/>
        </w:rPr>
        <w:t>％，得</w:t>
      </w:r>
      <w:r w:rsidRPr="00991D52">
        <w:rPr>
          <w:rFonts w:ascii="Times New Roman" w:hAnsi="Times New Roman" w:cs="Times New Roman"/>
          <w:bCs/>
          <w:color w:val="auto"/>
        </w:rPr>
        <w:t>2</w:t>
      </w:r>
      <w:r w:rsidRPr="00991D52">
        <w:rPr>
          <w:rFonts w:ascii="Times New Roman" w:hAnsi="Times New Roman" w:cs="Times New Roman" w:hint="eastAsia"/>
          <w:bCs/>
          <w:color w:val="auto"/>
        </w:rPr>
        <w:t>分；</w:t>
      </w:r>
    </w:p>
    <w:p w14:paraId="0F2539B6"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2 </w:t>
      </w:r>
      <w:r w:rsidRPr="00991D52">
        <w:rPr>
          <w:rFonts w:ascii="Times New Roman" w:hAnsi="Times New Roman" w:cs="Times New Roman"/>
          <w:bCs/>
          <w:color w:val="auto"/>
        </w:rPr>
        <w:t>场地中处于建筑阴影区外的机动车道，路面太阳辐射反射系数不小于</w:t>
      </w:r>
      <w:r w:rsidRPr="00991D52">
        <w:rPr>
          <w:rFonts w:ascii="Times New Roman" w:hAnsi="Times New Roman" w:cs="Times New Roman"/>
          <w:bCs/>
          <w:color w:val="auto"/>
        </w:rPr>
        <w:t>0.4</w:t>
      </w:r>
      <w:r w:rsidRPr="00991D52">
        <w:rPr>
          <w:rFonts w:ascii="Times New Roman" w:hAnsi="Times New Roman" w:cs="Times New Roman"/>
          <w:bCs/>
          <w:color w:val="auto"/>
        </w:rPr>
        <w:t>或设有遮阴面积较大的行道树的路段长度超过</w:t>
      </w:r>
      <w:r w:rsidRPr="00991D52">
        <w:rPr>
          <w:rFonts w:ascii="Times New Roman" w:hAnsi="Times New Roman" w:cs="Times New Roman"/>
          <w:bCs/>
          <w:color w:val="auto"/>
        </w:rPr>
        <w:t>70</w:t>
      </w:r>
      <w:r w:rsidRPr="00991D52">
        <w:rPr>
          <w:rFonts w:ascii="Times New Roman" w:hAnsi="Times New Roman" w:cs="Times New Roman"/>
          <w:bCs/>
          <w:color w:val="auto"/>
        </w:rPr>
        <w:t>％，得</w:t>
      </w:r>
      <w:r w:rsidRPr="00991D52">
        <w:rPr>
          <w:rFonts w:ascii="Times New Roman" w:hAnsi="Times New Roman" w:cs="Times New Roman"/>
          <w:bCs/>
          <w:color w:val="auto"/>
        </w:rPr>
        <w:t>3</w:t>
      </w:r>
      <w:r w:rsidRPr="00991D52">
        <w:rPr>
          <w:rFonts w:ascii="Times New Roman" w:hAnsi="Times New Roman" w:cs="Times New Roman"/>
          <w:bCs/>
          <w:color w:val="auto"/>
        </w:rPr>
        <w:t>分；</w:t>
      </w:r>
    </w:p>
    <w:p w14:paraId="2223B710"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3 </w:t>
      </w:r>
      <w:r w:rsidRPr="00991D52">
        <w:rPr>
          <w:rFonts w:ascii="Times New Roman" w:hAnsi="Times New Roman" w:cs="Times New Roman"/>
          <w:bCs/>
          <w:color w:val="auto"/>
        </w:rPr>
        <w:t>屋顶的绿化面积、太阳能板水平投影面积以及太阳辐射反射系数不小于</w:t>
      </w:r>
      <w:r w:rsidRPr="00991D52">
        <w:rPr>
          <w:rFonts w:ascii="Times New Roman" w:hAnsi="Times New Roman" w:cs="Times New Roman"/>
          <w:bCs/>
          <w:color w:val="auto"/>
        </w:rPr>
        <w:t>0.4</w:t>
      </w:r>
      <w:r w:rsidRPr="00991D52">
        <w:rPr>
          <w:rFonts w:ascii="Times New Roman" w:hAnsi="Times New Roman" w:cs="Times New Roman"/>
          <w:bCs/>
          <w:color w:val="auto"/>
        </w:rPr>
        <w:t>的屋面面积合计达到</w:t>
      </w:r>
      <w:r w:rsidRPr="00991D52">
        <w:rPr>
          <w:rFonts w:ascii="Times New Roman" w:hAnsi="Times New Roman" w:cs="Times New Roman"/>
          <w:bCs/>
          <w:color w:val="auto"/>
        </w:rPr>
        <w:t>75</w:t>
      </w:r>
      <w:r w:rsidRPr="00991D52">
        <w:rPr>
          <w:rFonts w:ascii="Times New Roman" w:hAnsi="Times New Roman" w:cs="Times New Roman"/>
          <w:bCs/>
          <w:color w:val="auto"/>
        </w:rPr>
        <w:t>％，得</w:t>
      </w:r>
      <w:r w:rsidRPr="00991D52">
        <w:rPr>
          <w:rFonts w:ascii="Times New Roman" w:hAnsi="Times New Roman" w:cs="Times New Roman"/>
          <w:bCs/>
          <w:color w:val="auto"/>
        </w:rPr>
        <w:t>3</w:t>
      </w:r>
      <w:r w:rsidRPr="00991D52">
        <w:rPr>
          <w:rFonts w:ascii="Times New Roman" w:hAnsi="Times New Roman" w:cs="Times New Roman"/>
          <w:bCs/>
          <w:color w:val="auto"/>
        </w:rPr>
        <w:t>分；</w:t>
      </w:r>
    </w:p>
    <w:p w14:paraId="4F32A047"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4 </w:t>
      </w:r>
      <w:r w:rsidRPr="00991D52">
        <w:rPr>
          <w:rFonts w:ascii="Times New Roman" w:hAnsi="Times New Roman" w:cs="Times New Roman" w:hint="eastAsia"/>
          <w:bCs/>
          <w:color w:val="auto"/>
        </w:rPr>
        <w:t>每</w:t>
      </w:r>
      <w:r w:rsidRPr="00991D52">
        <w:rPr>
          <w:rFonts w:ascii="Times New Roman" w:hAnsi="Times New Roman" w:cs="Times New Roman"/>
          <w:bCs/>
          <w:color w:val="auto"/>
        </w:rPr>
        <w:t>100m</w:t>
      </w:r>
      <w:r w:rsidRPr="00991D52">
        <w:rPr>
          <w:rFonts w:ascii="Times New Roman" w:hAnsi="Times New Roman" w:cs="Times New Roman"/>
          <w:bCs/>
          <w:color w:val="auto"/>
          <w:sz w:val="23"/>
          <w:szCs w:val="23"/>
          <w:vertAlign w:val="superscript"/>
        </w:rPr>
        <w:t>2</w:t>
      </w:r>
      <w:r w:rsidRPr="00991D52">
        <w:rPr>
          <w:rFonts w:ascii="Times New Roman" w:hAnsi="Times New Roman" w:cs="Times New Roman" w:hint="eastAsia"/>
          <w:bCs/>
          <w:color w:val="auto"/>
        </w:rPr>
        <w:t>绿地上不少于</w:t>
      </w:r>
      <w:r w:rsidRPr="00991D52">
        <w:rPr>
          <w:rFonts w:ascii="Times New Roman" w:hAnsi="Times New Roman" w:cs="Times New Roman"/>
          <w:bCs/>
          <w:color w:val="auto"/>
        </w:rPr>
        <w:t>4</w:t>
      </w:r>
      <w:r w:rsidRPr="00991D52">
        <w:rPr>
          <w:rFonts w:ascii="Times New Roman" w:hAnsi="Times New Roman" w:cs="Times New Roman" w:hint="eastAsia"/>
          <w:bCs/>
          <w:color w:val="auto"/>
        </w:rPr>
        <w:t>株乔木，得</w:t>
      </w:r>
      <w:r w:rsidRPr="00991D52">
        <w:rPr>
          <w:rFonts w:ascii="Times New Roman" w:hAnsi="Times New Roman" w:cs="Times New Roman"/>
          <w:bCs/>
          <w:color w:val="auto"/>
        </w:rPr>
        <w:t>1</w:t>
      </w:r>
      <w:r w:rsidRPr="00991D52">
        <w:rPr>
          <w:rFonts w:ascii="Times New Roman" w:hAnsi="Times New Roman" w:cs="Times New Roman" w:hint="eastAsia"/>
          <w:bCs/>
          <w:color w:val="auto"/>
        </w:rPr>
        <w:t>分；</w:t>
      </w:r>
    </w:p>
    <w:p w14:paraId="643B97DC"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5 </w:t>
      </w:r>
      <w:bookmarkStart w:id="199" w:name="_Hlk20685441"/>
      <w:r w:rsidRPr="00991D52">
        <w:rPr>
          <w:rFonts w:ascii="Times New Roman" w:hAnsi="Times New Roman" w:cs="Times New Roman" w:hint="eastAsia"/>
          <w:bCs/>
          <w:color w:val="auto"/>
        </w:rPr>
        <w:t>东、南、西向墙面合理设置绿化，绿化率达到</w:t>
      </w:r>
      <w:r w:rsidRPr="00991D52">
        <w:rPr>
          <w:rFonts w:ascii="Times New Roman" w:hAnsi="Times New Roman" w:cs="Times New Roman"/>
          <w:bCs/>
          <w:color w:val="auto"/>
        </w:rPr>
        <w:t>10%</w:t>
      </w:r>
      <w:r w:rsidRPr="00991D52">
        <w:rPr>
          <w:rFonts w:ascii="Times New Roman" w:hAnsi="Times New Roman" w:cs="Times New Roman" w:hint="eastAsia"/>
          <w:bCs/>
          <w:color w:val="auto"/>
        </w:rPr>
        <w:t>，</w:t>
      </w:r>
      <w:bookmarkEnd w:id="199"/>
      <w:r w:rsidRPr="00991D52">
        <w:rPr>
          <w:rFonts w:ascii="Times New Roman" w:hAnsi="Times New Roman" w:cs="Times New Roman" w:hint="eastAsia"/>
          <w:bCs/>
          <w:color w:val="auto"/>
        </w:rPr>
        <w:t>得</w:t>
      </w:r>
      <w:r w:rsidRPr="00991D52">
        <w:rPr>
          <w:rFonts w:ascii="Times New Roman" w:hAnsi="Times New Roman" w:cs="Times New Roman"/>
          <w:bCs/>
          <w:color w:val="auto"/>
        </w:rPr>
        <w:t>2</w:t>
      </w:r>
      <w:r w:rsidRPr="00991D52">
        <w:rPr>
          <w:rFonts w:ascii="Times New Roman" w:hAnsi="Times New Roman" w:cs="Times New Roman" w:hint="eastAsia"/>
          <w:bCs/>
          <w:color w:val="auto"/>
        </w:rPr>
        <w:t>分；</w:t>
      </w:r>
    </w:p>
    <w:p w14:paraId="5D3DCB7B"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 xml:space="preserve">6 </w:t>
      </w:r>
      <w:r w:rsidRPr="00991D52">
        <w:rPr>
          <w:rFonts w:ascii="Times New Roman" w:hAnsi="Times New Roman" w:cs="Times New Roman" w:hint="eastAsia"/>
          <w:bCs/>
          <w:color w:val="auto"/>
        </w:rPr>
        <w:t>建筑底层的通风架空率达到</w:t>
      </w:r>
      <w:r w:rsidRPr="00991D52">
        <w:rPr>
          <w:rFonts w:ascii="Times New Roman" w:hAnsi="Times New Roman" w:cs="Times New Roman"/>
          <w:bCs/>
          <w:color w:val="auto"/>
        </w:rPr>
        <w:t>10%</w:t>
      </w:r>
      <w:r w:rsidRPr="00991D52">
        <w:rPr>
          <w:rFonts w:ascii="Times New Roman" w:hAnsi="Times New Roman" w:cs="Times New Roman" w:hint="eastAsia"/>
          <w:bCs/>
          <w:color w:val="auto"/>
        </w:rPr>
        <w:t>，得</w:t>
      </w:r>
      <w:r w:rsidRPr="00991D52">
        <w:rPr>
          <w:rFonts w:ascii="Times New Roman" w:hAnsi="Times New Roman" w:cs="Times New Roman"/>
          <w:bCs/>
          <w:color w:val="auto"/>
        </w:rPr>
        <w:t>2</w:t>
      </w:r>
      <w:r w:rsidRPr="00991D52">
        <w:rPr>
          <w:rFonts w:ascii="Times New Roman" w:hAnsi="Times New Roman" w:cs="Times New Roman" w:hint="eastAsia"/>
          <w:bCs/>
          <w:color w:val="auto"/>
        </w:rPr>
        <w:t>分；</w:t>
      </w:r>
    </w:p>
    <w:p w14:paraId="26B4117D" w14:textId="77777777" w:rsidR="00076964" w:rsidRPr="00991D52" w:rsidRDefault="00076964" w:rsidP="00076964">
      <w:pPr>
        <w:pStyle w:val="20"/>
        <w:ind w:firstLineChars="100" w:firstLine="211"/>
        <w:rPr>
          <w:rFonts w:ascii="Times New Roman" w:hAnsi="Times New Roman" w:cs="Times New Roman"/>
          <w:bCs/>
          <w:color w:val="auto"/>
        </w:rPr>
      </w:pPr>
      <w:r w:rsidRPr="00991D52">
        <w:rPr>
          <w:rFonts w:ascii="Times New Roman" w:hAnsi="Times New Roman" w:cs="Times New Roman"/>
          <w:bCs/>
          <w:color w:val="auto"/>
        </w:rPr>
        <w:t>7</w:t>
      </w:r>
      <w:r w:rsidRPr="00991D52">
        <w:rPr>
          <w:rFonts w:ascii="Times New Roman" w:hAnsi="Times New Roman" w:cs="Times New Roman" w:hint="eastAsia"/>
          <w:bCs/>
          <w:color w:val="auto"/>
        </w:rPr>
        <w:t>室外休憩场所采用人工雾化蒸发降温，得</w:t>
      </w:r>
      <w:r w:rsidRPr="00991D52">
        <w:rPr>
          <w:rFonts w:ascii="Times New Roman" w:hAnsi="Times New Roman" w:cs="Times New Roman"/>
          <w:bCs/>
          <w:color w:val="auto"/>
        </w:rPr>
        <w:t>2</w:t>
      </w:r>
      <w:r w:rsidRPr="00991D52">
        <w:rPr>
          <w:rFonts w:ascii="Times New Roman" w:hAnsi="Times New Roman" w:cs="Times New Roman" w:hint="eastAsia"/>
          <w:bCs/>
          <w:color w:val="auto"/>
        </w:rPr>
        <w:t>分。</w:t>
      </w:r>
    </w:p>
    <w:p w14:paraId="650FC026" w14:textId="77777777" w:rsidR="00076964" w:rsidRPr="0081478A" w:rsidRDefault="00076964" w:rsidP="009252F8">
      <w:pPr>
        <w:pStyle w:val="20"/>
      </w:pPr>
      <w:r w:rsidRPr="0081478A">
        <w:t>【条文说明】</w:t>
      </w:r>
    </w:p>
    <w:p w14:paraId="284B668B" w14:textId="77777777" w:rsidR="00076964" w:rsidRPr="00530A11" w:rsidRDefault="00076964" w:rsidP="00076964">
      <w:pPr>
        <w:ind w:firstLine="420"/>
        <w:rPr>
          <w:szCs w:val="24"/>
        </w:rPr>
      </w:pPr>
      <w:r w:rsidRPr="00530A11">
        <w:lastRenderedPageBreak/>
        <w:t>本条适用于各类民用建筑的预评价、评价。</w:t>
      </w:r>
    </w:p>
    <w:p w14:paraId="6FA9BC2F" w14:textId="70C52774"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Pr="00530A11">
        <w:rPr>
          <w:rFonts w:cs="Times New Roman"/>
        </w:rPr>
        <w:t>本条在国家标准</w:t>
      </w:r>
      <w:r w:rsidRPr="00530A11">
        <w:rPr>
          <w:rFonts w:cs="Times New Roman"/>
        </w:rPr>
        <w:t>2014</w:t>
      </w:r>
      <w:r w:rsidRPr="00530A11">
        <w:rPr>
          <w:rFonts w:cs="Times New Roman"/>
        </w:rPr>
        <w:t>年版第</w:t>
      </w:r>
      <w:r w:rsidRPr="00530A11">
        <w:rPr>
          <w:rFonts w:cs="Times New Roman"/>
        </w:rPr>
        <w:t>4.2.7</w:t>
      </w:r>
      <w:r w:rsidRPr="00530A11">
        <w:rPr>
          <w:rFonts w:cs="Times New Roman"/>
        </w:rPr>
        <w:t>条，地方标准</w:t>
      </w:r>
      <w:r w:rsidRPr="00530A11">
        <w:rPr>
          <w:rFonts w:cs="Times New Roman"/>
        </w:rPr>
        <w:t>2014</w:t>
      </w:r>
      <w:r w:rsidRPr="00530A11">
        <w:rPr>
          <w:rFonts w:cs="Times New Roman"/>
        </w:rPr>
        <w:t>版第</w:t>
      </w:r>
      <w:r w:rsidRPr="00530A11">
        <w:rPr>
          <w:rFonts w:cs="Times New Roman"/>
        </w:rPr>
        <w:t>4.2.7</w:t>
      </w:r>
      <w:r w:rsidRPr="00530A11">
        <w:rPr>
          <w:rFonts w:cs="Times New Roman"/>
        </w:rPr>
        <w:t>条的基础上发展而来。</w:t>
      </w:r>
    </w:p>
    <w:p w14:paraId="5DA5412C" w14:textId="77777777" w:rsidR="00076964" w:rsidRPr="00530A11" w:rsidRDefault="00076964" w:rsidP="00076964">
      <w:pPr>
        <w:ind w:firstLine="420"/>
        <w:rPr>
          <w:rFonts w:cs="Times New Roman"/>
        </w:rPr>
      </w:pPr>
      <w:r w:rsidRPr="00530A11">
        <w:rPr>
          <w:rFonts w:cs="Times New Roman"/>
        </w:rPr>
        <w:t xml:space="preserve"> “</w:t>
      </w:r>
      <w:r w:rsidRPr="00530A11">
        <w:rPr>
          <w:rFonts w:cs="Times New Roman"/>
        </w:rPr>
        <w:t>热岛</w:t>
      </w:r>
      <w:r w:rsidRPr="00530A11">
        <w:rPr>
          <w:rFonts w:cs="Times New Roman"/>
        </w:rPr>
        <w:t>”</w:t>
      </w:r>
      <w:r w:rsidRPr="00530A11">
        <w:rPr>
          <w:rFonts w:cs="Times New Roman"/>
        </w:rPr>
        <w:t>现象在夏季出现，不仅会使人们高温中暑的概率变大，同时还容易形成光化学烟雾污染，并增加建筑的空调能耗，给人们的生活和工作带来负面影响。室外硬质地面采用遮阴措施可有效降低室外活动场地地表温度，减少热岛效应，提高场地热舒适度。</w:t>
      </w:r>
    </w:p>
    <w:p w14:paraId="27C2169E" w14:textId="77777777" w:rsidR="00076964" w:rsidRPr="00530A11" w:rsidRDefault="00076964" w:rsidP="00076964">
      <w:pPr>
        <w:ind w:firstLine="420"/>
        <w:rPr>
          <w:rFonts w:cs="Times New Roman"/>
        </w:rPr>
      </w:pPr>
      <w:r w:rsidRPr="00530A11">
        <w:rPr>
          <w:rFonts w:cs="Times New Roman"/>
        </w:rPr>
        <w:t>第</w:t>
      </w:r>
      <w:r w:rsidRPr="00530A11">
        <w:rPr>
          <w:rFonts w:cs="Times New Roman"/>
        </w:rPr>
        <w:t>1</w:t>
      </w:r>
      <w:r w:rsidRPr="00530A11">
        <w:rPr>
          <w:rFonts w:cs="Times New Roman"/>
        </w:rPr>
        <w:t>款中的室外活动场地包括：步道、庭院、广场、游憩场和非机动车停车场。不包括机动车道和机动车停车场，本款仅对建筑阴影区外的户外活动场地提出要求，建筑阴影区为夏至日</w:t>
      </w:r>
      <w:r w:rsidRPr="00530A11">
        <w:rPr>
          <w:rFonts w:cs="Times New Roman"/>
        </w:rPr>
        <w:t>8:00</w:t>
      </w:r>
      <w:r w:rsidRPr="00530A11">
        <w:rPr>
          <w:rFonts w:cs="Times New Roman"/>
        </w:rPr>
        <w:t>～</w:t>
      </w:r>
      <w:r w:rsidRPr="00530A11">
        <w:rPr>
          <w:rFonts w:cs="Times New Roman"/>
        </w:rPr>
        <w:t>16:00</w:t>
      </w:r>
      <w:r w:rsidRPr="00530A11">
        <w:rPr>
          <w:rFonts w:cs="Times New Roman"/>
        </w:rPr>
        <w:t>时段在</w:t>
      </w:r>
      <w:r w:rsidRPr="00530A11">
        <w:rPr>
          <w:rFonts w:cs="Times New Roman"/>
        </w:rPr>
        <w:t>4h</w:t>
      </w:r>
      <w:r w:rsidRPr="00530A11">
        <w:rPr>
          <w:rFonts w:cs="Times New Roman"/>
        </w:rPr>
        <w:t>日照等时线内的区域。</w:t>
      </w:r>
    </w:p>
    <w:p w14:paraId="5BEA78DF" w14:textId="77777777" w:rsidR="00076964" w:rsidRPr="00530A11" w:rsidRDefault="00076964" w:rsidP="00076964">
      <w:pPr>
        <w:ind w:firstLine="420"/>
        <w:rPr>
          <w:rFonts w:cs="Times New Roman"/>
        </w:rPr>
      </w:pPr>
      <w:r w:rsidRPr="00530A11">
        <w:rPr>
          <w:rFonts w:cs="Times New Roman"/>
        </w:rPr>
        <w:t>户外活动场地遮阴面积</w:t>
      </w:r>
      <w:r w:rsidRPr="00530A11">
        <w:rPr>
          <w:rFonts w:cs="Times New Roman"/>
        </w:rPr>
        <w:t>=</w:t>
      </w:r>
      <w:r w:rsidRPr="00530A11">
        <w:rPr>
          <w:rFonts w:cs="Times New Roman"/>
        </w:rPr>
        <w:t>乔木遮阴面积</w:t>
      </w:r>
      <w:r w:rsidRPr="00530A11">
        <w:rPr>
          <w:rFonts w:cs="Times New Roman"/>
        </w:rPr>
        <w:t>+</w:t>
      </w:r>
      <w:r w:rsidRPr="00530A11">
        <w:rPr>
          <w:rFonts w:cs="Times New Roman"/>
        </w:rPr>
        <w:t>构筑物遮阴面积</w:t>
      </w:r>
      <w:r w:rsidRPr="00530A11">
        <w:rPr>
          <w:rFonts w:cs="Times New Roman"/>
        </w:rPr>
        <w:t>-</w:t>
      </w:r>
      <w:r w:rsidRPr="00530A11">
        <w:rPr>
          <w:rFonts w:cs="Times New Roman"/>
        </w:rPr>
        <w:t>建筑日照投影区内乔木与构筑物的遮阴面积。</w:t>
      </w:r>
    </w:p>
    <w:p w14:paraId="4D2BFC2C" w14:textId="77777777" w:rsidR="00076964" w:rsidRPr="00530A11" w:rsidRDefault="00076964" w:rsidP="00076964">
      <w:pPr>
        <w:ind w:firstLine="420"/>
        <w:rPr>
          <w:rFonts w:cs="Times New Roman"/>
        </w:rPr>
      </w:pPr>
      <w:r w:rsidRPr="00530A11">
        <w:rPr>
          <w:rFonts w:cs="Times New Roman"/>
        </w:rPr>
        <w:t>建筑日照投影遮阳面积指夏至日日照分析图中，</w:t>
      </w:r>
      <w:r w:rsidRPr="00530A11">
        <w:rPr>
          <w:rFonts w:cs="Times New Roman"/>
        </w:rPr>
        <w:t>8:00</w:t>
      </w:r>
      <w:r w:rsidRPr="00530A11">
        <w:rPr>
          <w:rFonts w:cs="Times New Roman"/>
        </w:rPr>
        <w:t>～</w:t>
      </w:r>
      <w:r w:rsidRPr="00530A11">
        <w:rPr>
          <w:rFonts w:cs="Times New Roman"/>
        </w:rPr>
        <w:t>16:00</w:t>
      </w:r>
      <w:r w:rsidRPr="00530A11">
        <w:rPr>
          <w:rFonts w:cs="Times New Roman"/>
        </w:rPr>
        <w:t>内日照时数不足</w:t>
      </w:r>
      <w:r w:rsidRPr="00530A11">
        <w:rPr>
          <w:rFonts w:cs="Times New Roman"/>
        </w:rPr>
        <w:t>4h</w:t>
      </w:r>
      <w:r w:rsidRPr="00530A11">
        <w:rPr>
          <w:rFonts w:cs="Times New Roman"/>
        </w:rPr>
        <w:t>的户外活动场地面积；乔木遮阴面积按照成年乔木的树冠正投影面积计算；构筑物遮阴面积按照构筑物正投影面积计算。对于首层架空构筑物，架空空间如果是活动空间，可计算在内。</w:t>
      </w:r>
    </w:p>
    <w:p w14:paraId="2B75F2CF" w14:textId="77777777" w:rsidR="00076964" w:rsidRPr="00530A11" w:rsidRDefault="00076964" w:rsidP="00076964">
      <w:pPr>
        <w:ind w:firstLine="420"/>
        <w:rPr>
          <w:rFonts w:cs="Times New Roman"/>
        </w:rPr>
      </w:pPr>
      <w:r w:rsidRPr="00530A11">
        <w:rPr>
          <w:rFonts w:cs="Times New Roman"/>
        </w:rPr>
        <w:t>第</w:t>
      </w:r>
      <w:r w:rsidRPr="00530A11">
        <w:rPr>
          <w:rFonts w:cs="Times New Roman"/>
        </w:rPr>
        <w:t>2</w:t>
      </w:r>
      <w:r w:rsidRPr="00530A11">
        <w:rPr>
          <w:rFonts w:cs="Times New Roman"/>
        </w:rPr>
        <w:t>款，遮阴面积较大的行道树路段指：实际树冠正投影对于路段的有效遮荫面积大于</w:t>
      </w:r>
      <w:r w:rsidRPr="00530A11">
        <w:rPr>
          <w:rFonts w:cs="Times New Roman"/>
        </w:rPr>
        <w:t>50%</w:t>
      </w:r>
      <w:r w:rsidRPr="00530A11">
        <w:rPr>
          <w:rFonts w:cs="Times New Roman"/>
        </w:rPr>
        <w:t>。行道树需选用冠幅大于</w:t>
      </w:r>
      <w:r w:rsidRPr="00530A11">
        <w:rPr>
          <w:rFonts w:cs="Times New Roman"/>
        </w:rPr>
        <w:t>3</w:t>
      </w:r>
      <w:r w:rsidRPr="00530A11">
        <w:rPr>
          <w:rFonts w:cs="Times New Roman"/>
        </w:rPr>
        <w:t>米、枝下高大于</w:t>
      </w:r>
      <w:r w:rsidRPr="00530A11">
        <w:rPr>
          <w:rFonts w:cs="Times New Roman"/>
        </w:rPr>
        <w:t>2m</w:t>
      </w:r>
      <w:r w:rsidRPr="00530A11">
        <w:rPr>
          <w:rFonts w:cs="Times New Roman"/>
        </w:rPr>
        <w:t>的乔木，株距为</w:t>
      </w:r>
      <w:r w:rsidRPr="00530A11">
        <w:rPr>
          <w:rFonts w:cs="Times New Roman"/>
        </w:rPr>
        <w:t>4-6m</w:t>
      </w:r>
      <w:r w:rsidRPr="00530A11">
        <w:rPr>
          <w:rFonts w:cs="Times New Roman"/>
        </w:rPr>
        <w:t>。路用反射隔热涂料按现行国家标准《建筑用反射隔热涂料》</w:t>
      </w:r>
      <w:r w:rsidRPr="00530A11">
        <w:rPr>
          <w:rFonts w:cs="Times New Roman"/>
        </w:rPr>
        <w:t>GB/T 25261-2018</w:t>
      </w:r>
      <w:r w:rsidRPr="00530A11">
        <w:rPr>
          <w:rFonts w:cs="Times New Roman"/>
        </w:rPr>
        <w:t>的方法进行耐沾污性处理后太阳光反射比仍保持不少于</w:t>
      </w:r>
      <w:r w:rsidRPr="00530A11">
        <w:rPr>
          <w:rFonts w:cs="Times New Roman"/>
        </w:rPr>
        <w:t>0.4</w:t>
      </w:r>
      <w:r w:rsidRPr="00530A11">
        <w:rPr>
          <w:rFonts w:cs="Times New Roman"/>
        </w:rPr>
        <w:t>。</w:t>
      </w:r>
    </w:p>
    <w:p w14:paraId="66F0CC55" w14:textId="77777777" w:rsidR="00076964" w:rsidRPr="00530A11" w:rsidRDefault="00076964" w:rsidP="00076964">
      <w:pPr>
        <w:ind w:firstLine="420"/>
        <w:rPr>
          <w:rFonts w:cs="Times New Roman"/>
        </w:rPr>
      </w:pPr>
      <w:r w:rsidRPr="00530A11">
        <w:rPr>
          <w:rFonts w:cs="Times New Roman"/>
        </w:rPr>
        <w:t>第</w:t>
      </w:r>
      <w:r w:rsidRPr="00530A11">
        <w:rPr>
          <w:rFonts w:cs="Times New Roman"/>
        </w:rPr>
        <w:t>3</w:t>
      </w:r>
      <w:r w:rsidRPr="00530A11">
        <w:rPr>
          <w:rFonts w:cs="Times New Roman"/>
        </w:rPr>
        <w:t>款中屋面可采用高反射率涂料等面层，本款计算绿化屋面面积、设有太阳能集热板或光电板的水平投影面积、反射率高的屋面面积之和。</w:t>
      </w:r>
    </w:p>
    <w:p w14:paraId="3EDBD09D" w14:textId="77777777" w:rsidR="00076964" w:rsidRPr="00530A11" w:rsidRDefault="00076964" w:rsidP="00076964">
      <w:pPr>
        <w:ind w:firstLine="420"/>
        <w:rPr>
          <w:rFonts w:cs="Times New Roman"/>
        </w:rPr>
      </w:pPr>
      <w:r w:rsidRPr="00530A11">
        <w:rPr>
          <w:rFonts w:cs="Times New Roman"/>
        </w:rPr>
        <w:t>计算分子为绿化屋面面积、屋面上安装的太阳能集热板或光伏板的水平投影面积、太阳光反射比不小于</w:t>
      </w:r>
      <w:r w:rsidRPr="00530A11">
        <w:rPr>
          <w:rFonts w:cs="Times New Roman"/>
        </w:rPr>
        <w:t>0.4</w:t>
      </w:r>
      <w:r w:rsidRPr="00530A11">
        <w:rPr>
          <w:rFonts w:cs="Times New Roman"/>
        </w:rPr>
        <w:t>的屋面面积三者之和；分母为屋面面积。</w:t>
      </w:r>
    </w:p>
    <w:p w14:paraId="11DEFAEB" w14:textId="77777777" w:rsidR="00076964" w:rsidRPr="00530A11" w:rsidRDefault="00076964" w:rsidP="00076964">
      <w:pPr>
        <w:ind w:firstLine="420"/>
        <w:rPr>
          <w:rFonts w:cs="Times New Roman"/>
        </w:rPr>
      </w:pPr>
      <w:r w:rsidRPr="00530A11">
        <w:rPr>
          <w:rFonts w:cs="Times New Roman"/>
        </w:rPr>
        <w:t>第</w:t>
      </w:r>
      <w:r w:rsidRPr="00530A11">
        <w:rPr>
          <w:rFonts w:cs="Times New Roman"/>
        </w:rPr>
        <w:t>4</w:t>
      </w:r>
      <w:r w:rsidRPr="00530A11">
        <w:rPr>
          <w:rFonts w:cs="Times New Roman"/>
        </w:rPr>
        <w:t>款，适当增加乔木种植数量，可以提高遮阴场地率，弱化热岛效应，并宜配合乔灌草形成复层绿化。</w:t>
      </w:r>
    </w:p>
    <w:p w14:paraId="324CC1B8" w14:textId="77777777" w:rsidR="00076964" w:rsidRPr="00530A11" w:rsidRDefault="00076964" w:rsidP="00076964">
      <w:pPr>
        <w:ind w:firstLine="420"/>
        <w:rPr>
          <w:rFonts w:cs="Times New Roman"/>
        </w:rPr>
      </w:pPr>
      <w:r w:rsidRPr="00530A11">
        <w:rPr>
          <w:rFonts w:cs="Times New Roman"/>
        </w:rPr>
        <w:t>第</w:t>
      </w:r>
      <w:r w:rsidRPr="00530A11">
        <w:rPr>
          <w:rFonts w:cs="Times New Roman"/>
        </w:rPr>
        <w:t>5</w:t>
      </w:r>
      <w:r w:rsidRPr="00530A11">
        <w:rPr>
          <w:rFonts w:cs="Times New Roman"/>
        </w:rPr>
        <w:t>款，建筑的东、西向，夏季分别会受到早上和下午较强的太阳辐射，南向中午到下午会有较强的太阳辐射，合理的绿化，可以有效地形成遮阴，减少太阳辐射的反射，不仅会改善室内的热环境，还可以有效减弱室外的热散发。考虑到外立面窗户等采光通风构件的设置，本条要求在东、南、西面外墙</w:t>
      </w:r>
      <w:r w:rsidRPr="00530A11">
        <w:rPr>
          <w:rFonts w:cs="Times New Roman"/>
        </w:rPr>
        <w:t>10%</w:t>
      </w:r>
      <w:r w:rsidRPr="00530A11">
        <w:rPr>
          <w:rFonts w:cs="Times New Roman"/>
        </w:rPr>
        <w:t>以上的面积设置垂直绿化，三面均应设置同时还需要考虑绿化设施的可维护、可保养性，并保证相关设施的安全性。对于设置玻璃幕墙或窗户</w:t>
      </w:r>
      <w:r w:rsidRPr="00530A11">
        <w:rPr>
          <w:rFonts w:cs="Times New Roman"/>
        </w:rPr>
        <w:lastRenderedPageBreak/>
        <w:t>面积大于</w:t>
      </w:r>
      <w:r w:rsidRPr="00530A11">
        <w:rPr>
          <w:rFonts w:cs="Times New Roman"/>
        </w:rPr>
        <w:t>90%</w:t>
      </w:r>
      <w:r w:rsidRPr="00530A11">
        <w:rPr>
          <w:rFonts w:cs="Times New Roman"/>
        </w:rPr>
        <w:t>以上墙面（单独一个朝向的）的项目，本款不得分。</w:t>
      </w:r>
    </w:p>
    <w:p w14:paraId="45B07A19" w14:textId="77777777" w:rsidR="00076964" w:rsidRPr="00530A11" w:rsidRDefault="00076964" w:rsidP="00076964">
      <w:pPr>
        <w:widowControl/>
        <w:ind w:firstLine="420"/>
        <w:jc w:val="left"/>
        <w:rPr>
          <w:rFonts w:cs="Times New Roman"/>
        </w:rPr>
      </w:pPr>
      <w:r w:rsidRPr="00530A11">
        <w:rPr>
          <w:rFonts w:cs="Times New Roman"/>
        </w:rPr>
        <w:t>第</w:t>
      </w:r>
      <w:r w:rsidRPr="00530A11">
        <w:rPr>
          <w:rFonts w:cs="Times New Roman"/>
        </w:rPr>
        <w:t>6</w:t>
      </w:r>
      <w:r w:rsidRPr="00530A11">
        <w:rPr>
          <w:rFonts w:cs="Times New Roman"/>
        </w:rPr>
        <w:t>款，建筑底层的通风架空率达到</w:t>
      </w:r>
      <w:r w:rsidRPr="00530A11">
        <w:rPr>
          <w:rFonts w:cs="Times New Roman"/>
        </w:rPr>
        <w:t>10%</w:t>
      </w:r>
      <w:r w:rsidRPr="00530A11">
        <w:rPr>
          <w:rFonts w:cs="Times New Roman"/>
        </w:rPr>
        <w:t>，可</w:t>
      </w:r>
      <w:r w:rsidRPr="00530A11">
        <w:rPr>
          <w:rFonts w:cs="Times New Roman"/>
          <w:lang w:bidi="ar"/>
        </w:rPr>
        <w:t>保持气流流通，加速空气热扩散，有效地降低室外温度，减弱室外热岛效应，因此本条要求对于项目整个区域内的建筑底部应形成有助于气流流通的通道。</w:t>
      </w:r>
    </w:p>
    <w:p w14:paraId="1E48EB26" w14:textId="77777777" w:rsidR="00076964" w:rsidRPr="00530A11" w:rsidRDefault="00076964" w:rsidP="00076964">
      <w:pPr>
        <w:widowControl/>
        <w:ind w:firstLine="420"/>
        <w:jc w:val="left"/>
        <w:rPr>
          <w:rFonts w:cs="Times New Roman"/>
        </w:rPr>
      </w:pPr>
      <w:r w:rsidRPr="00530A11">
        <w:rPr>
          <w:rFonts w:cs="Times New Roman"/>
        </w:rPr>
        <w:t>第</w:t>
      </w:r>
      <w:r w:rsidRPr="00530A11">
        <w:rPr>
          <w:rFonts w:cs="Times New Roman"/>
        </w:rPr>
        <w:t>7</w:t>
      </w:r>
      <w:r w:rsidRPr="00530A11">
        <w:rPr>
          <w:rFonts w:cs="Times New Roman"/>
        </w:rPr>
        <w:t>款</w:t>
      </w:r>
      <w:r w:rsidRPr="00530A11">
        <w:rPr>
          <w:rFonts w:cs="Times New Roman"/>
          <w:szCs w:val="24"/>
        </w:rPr>
        <w:t>，</w:t>
      </w:r>
      <w:r w:rsidRPr="00530A11">
        <w:rPr>
          <w:rFonts w:cs="Times New Roman"/>
          <w:kern w:val="0"/>
          <w:szCs w:val="24"/>
          <w:lang w:bidi="ar"/>
        </w:rPr>
        <w:t>人工雾化蒸发降温设施，如离心式加湿器、超声波加湿器、湿膜加湿器等，常用在室外就餐场所、娱乐场所、运动场所、集会场所等室外休憩场所，在炎热高温季节，对室外环境降温，十分有效</w:t>
      </w:r>
      <w:r w:rsidRPr="00530A11">
        <w:rPr>
          <w:rFonts w:cs="Times New Roman"/>
        </w:rPr>
        <w:t>。</w:t>
      </w:r>
    </w:p>
    <w:p w14:paraId="6E71D104" w14:textId="77777777" w:rsidR="00076964" w:rsidRPr="000A2FC0" w:rsidRDefault="00076964" w:rsidP="00076964">
      <w:pPr>
        <w:pStyle w:val="20"/>
      </w:pPr>
      <w:r w:rsidRPr="0081478A">
        <w:t>【评价要点】</w:t>
      </w:r>
    </w:p>
    <w:p w14:paraId="1F6C79D8" w14:textId="77777777" w:rsidR="00076964" w:rsidRPr="0081478A" w:rsidRDefault="00076964" w:rsidP="00076964">
      <w:pPr>
        <w:ind w:firstLine="420"/>
        <w:rPr>
          <w:rFonts w:cs="Times New Roman"/>
        </w:rPr>
      </w:pPr>
      <w:r w:rsidRPr="0081478A">
        <w:rPr>
          <w:rFonts w:cs="Times New Roman"/>
        </w:rPr>
        <w:t>户外活动场地包括步道、庭院、广场、游憩场和停车场。</w:t>
      </w:r>
    </w:p>
    <w:p w14:paraId="1F8B22D2" w14:textId="77777777" w:rsidR="00076964" w:rsidRPr="0081478A" w:rsidRDefault="00076964" w:rsidP="00076964">
      <w:pPr>
        <w:ind w:firstLine="420"/>
        <w:rPr>
          <w:rFonts w:cs="Times New Roman"/>
        </w:rPr>
      </w:pPr>
      <w:r w:rsidRPr="0081478A">
        <w:rPr>
          <w:rFonts w:cs="Times New Roman"/>
        </w:rPr>
        <w:t>乔木遮阴面积：按照成年乔木的树冠正投影面积计算；首层架空且架空空间是活动空间，可计算在内。</w:t>
      </w:r>
    </w:p>
    <w:p w14:paraId="37C3937A" w14:textId="77777777" w:rsidR="00076964" w:rsidRPr="0081478A" w:rsidRDefault="00076964" w:rsidP="00076964">
      <w:pPr>
        <w:ind w:firstLine="420"/>
        <w:rPr>
          <w:rFonts w:cs="Times New Roman"/>
        </w:rPr>
      </w:pPr>
      <w:r w:rsidRPr="0081478A">
        <w:rPr>
          <w:rFonts w:cs="Times New Roman"/>
        </w:rPr>
        <w:t>若项目设计选用材料的太阳辐射反射系数低于</w:t>
      </w:r>
      <w:r w:rsidRPr="0081478A">
        <w:rPr>
          <w:rFonts w:cs="Times New Roman"/>
        </w:rPr>
        <w:t>0.4</w:t>
      </w:r>
      <w:r w:rsidRPr="0081478A">
        <w:rPr>
          <w:rFonts w:cs="Times New Roman"/>
        </w:rPr>
        <w:t>时，在核算该项目迎风面积比满足《城市居住区热环境设计标准》（</w:t>
      </w:r>
      <w:r w:rsidRPr="0081478A">
        <w:rPr>
          <w:rFonts w:cs="Times New Roman"/>
        </w:rPr>
        <w:t>JGJ 286—2013</w:t>
      </w:r>
      <w:r w:rsidRPr="0081478A">
        <w:rPr>
          <w:rFonts w:cs="Times New Roman"/>
        </w:rPr>
        <w:t>）第</w:t>
      </w:r>
      <w:r w:rsidRPr="0081478A">
        <w:rPr>
          <w:rFonts w:cs="Times New Roman"/>
        </w:rPr>
        <w:t>4.1.1</w:t>
      </w:r>
      <w:r w:rsidRPr="0081478A">
        <w:rPr>
          <w:rFonts w:cs="Times New Roman"/>
        </w:rPr>
        <w:t>条或采取其他</w:t>
      </w:r>
      <w:r w:rsidRPr="0081478A">
        <w:rPr>
          <w:rFonts w:cs="Times New Roman"/>
          <w:spacing w:val="-2"/>
        </w:rPr>
        <w:t>能有效降低热岛效应的措施后，可认定满足</w:t>
      </w:r>
      <w:r>
        <w:rPr>
          <w:rFonts w:cs="Times New Roman" w:hint="eastAsia"/>
          <w:spacing w:val="-2"/>
        </w:rPr>
        <w:t>本</w:t>
      </w:r>
      <w:r w:rsidRPr="0081478A">
        <w:rPr>
          <w:rFonts w:cs="Times New Roman"/>
        </w:rPr>
        <w:t>条中第</w:t>
      </w:r>
      <w:r>
        <w:rPr>
          <w:rFonts w:cs="Times New Roman"/>
        </w:rPr>
        <w:t>2</w:t>
      </w:r>
      <w:r w:rsidRPr="0081478A">
        <w:rPr>
          <w:rFonts w:cs="Times New Roman"/>
        </w:rPr>
        <w:t>款的要求。</w:t>
      </w:r>
    </w:p>
    <w:p w14:paraId="64FD8A35"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【评价方法】</w:t>
      </w:r>
    </w:p>
    <w:p w14:paraId="6DABF9C1" w14:textId="77777777" w:rsidR="00076964" w:rsidRPr="0081478A" w:rsidRDefault="00076964" w:rsidP="00076964">
      <w:pPr>
        <w:ind w:firstLine="420"/>
        <w:rPr>
          <w:bCs/>
          <w:szCs w:val="24"/>
        </w:rPr>
      </w:pPr>
      <w:r w:rsidRPr="00530A11">
        <w:t>预评价查阅相关设计文件、日照分析报告、计算书；评价查阅相关竣工图、日照分析报告、计算书、材料性能检测报告。</w:t>
      </w:r>
    </w:p>
    <w:p w14:paraId="79994D88" w14:textId="77777777" w:rsidR="00076964" w:rsidRPr="0081478A" w:rsidRDefault="00076964" w:rsidP="00076964">
      <w:pPr>
        <w:snapToGrid w:val="0"/>
        <w:ind w:firstLineChars="0" w:firstLine="0"/>
        <w:jc w:val="left"/>
        <w:rPr>
          <w:rFonts w:cs="Times New Roman"/>
          <w:b/>
          <w:bCs/>
          <w:szCs w:val="24"/>
        </w:rPr>
      </w:pPr>
    </w:p>
    <w:p w14:paraId="09405451" w14:textId="77777777" w:rsidR="00076964" w:rsidRPr="0081478A" w:rsidRDefault="00076964" w:rsidP="00076964">
      <w:pPr>
        <w:ind w:firstLineChars="0" w:firstLine="0"/>
        <w:rPr>
          <w:rFonts w:eastAsia="等线" w:cs="Times New Roman"/>
          <w:b/>
          <w:bCs/>
        </w:rPr>
      </w:pPr>
    </w:p>
    <w:p w14:paraId="03EF6F49" w14:textId="55AD20C8" w:rsidR="00076964" w:rsidRDefault="00076964" w:rsidP="00076964">
      <w:pPr>
        <w:widowControl/>
        <w:spacing w:line="240" w:lineRule="auto"/>
        <w:ind w:firstLineChars="0" w:firstLine="0"/>
        <w:jc w:val="left"/>
        <w:rPr>
          <w:rFonts w:cs="Times New Roman"/>
        </w:rPr>
      </w:pPr>
      <w:r w:rsidRPr="0081478A">
        <w:rPr>
          <w:rFonts w:cs="Times New Roman"/>
        </w:rPr>
        <w:br w:type="page"/>
      </w:r>
    </w:p>
    <w:p w14:paraId="4C3DB47B" w14:textId="77777777" w:rsidR="00076964" w:rsidRPr="0081478A" w:rsidRDefault="00076964" w:rsidP="00076964">
      <w:pPr>
        <w:pStyle w:val="1"/>
      </w:pPr>
      <w:bookmarkStart w:id="200" w:name="_Toc22234372"/>
      <w:bookmarkStart w:id="201" w:name="_Toc35364759"/>
      <w:bookmarkStart w:id="202" w:name="_Hlk35336813"/>
      <w:r w:rsidRPr="0081478A">
        <w:lastRenderedPageBreak/>
        <w:t xml:space="preserve">9 </w:t>
      </w:r>
      <w:r w:rsidRPr="0081478A">
        <w:t>提高与创新</w:t>
      </w:r>
      <w:bookmarkEnd w:id="200"/>
      <w:bookmarkEnd w:id="201"/>
    </w:p>
    <w:p w14:paraId="7641BE21" w14:textId="77777777" w:rsidR="00076964" w:rsidRPr="0081478A" w:rsidRDefault="00076964" w:rsidP="00076964">
      <w:pPr>
        <w:pStyle w:val="2"/>
      </w:pPr>
      <w:bookmarkStart w:id="203" w:name="_Toc22234373"/>
      <w:bookmarkStart w:id="204" w:name="_Toc22221593"/>
      <w:bookmarkStart w:id="205" w:name="_Toc35364760"/>
      <w:r w:rsidRPr="0081478A">
        <w:t xml:space="preserve">9.1 </w:t>
      </w:r>
      <w:r w:rsidRPr="0081478A">
        <w:t>一般规定</w:t>
      </w:r>
      <w:bookmarkEnd w:id="203"/>
      <w:bookmarkEnd w:id="204"/>
      <w:bookmarkEnd w:id="205"/>
    </w:p>
    <w:p w14:paraId="5327E3F6" w14:textId="77777777" w:rsidR="00076964" w:rsidRPr="00530A11" w:rsidRDefault="00076964" w:rsidP="00076964">
      <w:pPr>
        <w:pStyle w:val="4"/>
      </w:pPr>
      <w:r w:rsidRPr="00530A11">
        <w:rPr>
          <w:kern w:val="44"/>
        </w:rPr>
        <w:t xml:space="preserve">9.1.1 </w:t>
      </w:r>
      <w:r w:rsidRPr="00530A11">
        <w:t>绿色建筑评价时，应按本章规定对提高与创新项进行评价。</w:t>
      </w:r>
    </w:p>
    <w:p w14:paraId="3C612477" w14:textId="77777777" w:rsidR="00076964" w:rsidRPr="0081478A" w:rsidRDefault="00076964" w:rsidP="009252F8">
      <w:pPr>
        <w:pStyle w:val="20"/>
      </w:pPr>
      <w:r w:rsidRPr="0081478A">
        <w:t>【条文说明】</w:t>
      </w:r>
    </w:p>
    <w:p w14:paraId="75C0C9BC" w14:textId="77777777" w:rsidR="00076964" w:rsidRPr="00530A11" w:rsidRDefault="00076964" w:rsidP="00076964">
      <w:pPr>
        <w:ind w:firstLine="420"/>
        <w:rPr>
          <w:szCs w:val="24"/>
        </w:rPr>
      </w:pPr>
      <w:r w:rsidRPr="00530A11">
        <w:t>绿色建筑全寿命期内各环节和阶段，都有可能在技术、产品选用和管理方式上进行性能提高和创新。为鼓励性能提高和创新，在各环节和阶段采用先进、适用、经济的技术、产品和管理方式，本次修订增设了相应的评价项目。比照</w:t>
      </w:r>
      <w:r w:rsidRPr="00530A11">
        <w:t>“</w:t>
      </w:r>
      <w:r w:rsidRPr="00530A11">
        <w:t>控制项</w:t>
      </w:r>
      <w:r w:rsidRPr="00530A11">
        <w:t>”</w:t>
      </w:r>
      <w:r w:rsidRPr="00530A11">
        <w:t>和</w:t>
      </w:r>
      <w:r w:rsidRPr="00530A11">
        <w:t>“</w:t>
      </w:r>
      <w:r w:rsidRPr="00530A11">
        <w:t>评分项</w:t>
      </w:r>
      <w:r w:rsidRPr="00530A11">
        <w:t>”</w:t>
      </w:r>
      <w:r w:rsidRPr="00530A11">
        <w:t>，本标准中将此类评价项目称为</w:t>
      </w:r>
      <w:r w:rsidRPr="00530A11">
        <w:t>“</w:t>
      </w:r>
      <w:r w:rsidRPr="00530A11">
        <w:t>加分项</w:t>
      </w:r>
      <w:r w:rsidRPr="00530A11">
        <w:t>”</w:t>
      </w:r>
      <w:r w:rsidRPr="00530A11">
        <w:t>。</w:t>
      </w:r>
    </w:p>
    <w:p w14:paraId="00082FB5" w14:textId="77777777" w:rsidR="00076964" w:rsidRPr="00530A11" w:rsidRDefault="00076964" w:rsidP="00076964">
      <w:pPr>
        <w:ind w:firstLine="420"/>
        <w:rPr>
          <w:rFonts w:cs="Times New Roman"/>
        </w:rPr>
      </w:pPr>
      <w:r w:rsidRPr="00530A11">
        <w:rPr>
          <w:rFonts w:cs="Times New Roman"/>
        </w:rPr>
        <w:t>本次修订增设的加分项内容，有的在属性分类上属于性能提高，如进一步降低建筑综合能耗；有的在属性分类上属于创新，如传承地域建筑文化、建筑信息模型</w:t>
      </w:r>
      <w:r w:rsidRPr="00530A11">
        <w:rPr>
          <w:rFonts w:cs="Times New Roman"/>
        </w:rPr>
        <w:t>(BIM)</w:t>
      </w:r>
      <w:r w:rsidRPr="00530A11">
        <w:rPr>
          <w:rFonts w:cs="Times New Roman"/>
        </w:rPr>
        <w:t>、碳排放分析计算等，鼓励在技术、管理、生产方式等方面的创新。</w:t>
      </w:r>
    </w:p>
    <w:p w14:paraId="551AD05A" w14:textId="77777777" w:rsidR="00076964" w:rsidRPr="00135E4F" w:rsidRDefault="00076964" w:rsidP="00076964">
      <w:pPr>
        <w:ind w:firstLine="420"/>
        <w:rPr>
          <w:rFonts w:cs="Times New Roman"/>
          <w:bCs/>
          <w:kern w:val="44"/>
          <w:szCs w:val="24"/>
        </w:rPr>
      </w:pPr>
    </w:p>
    <w:p w14:paraId="00B7DCE0" w14:textId="77777777" w:rsidR="00076964" w:rsidRDefault="00076964" w:rsidP="00076964">
      <w:pPr>
        <w:pStyle w:val="4"/>
      </w:pPr>
      <w:r w:rsidRPr="00135E4F">
        <w:rPr>
          <w:rFonts w:hint="eastAsia"/>
        </w:rPr>
        <w:t xml:space="preserve">9.1.2 </w:t>
      </w:r>
      <w:r w:rsidRPr="00135E4F">
        <w:rPr>
          <w:rFonts w:hint="eastAsia"/>
        </w:rPr>
        <w:t>提高与创新项得分为加分项得分之和，当得分大于</w:t>
      </w:r>
      <w:r w:rsidRPr="00135E4F">
        <w:rPr>
          <w:rFonts w:hint="eastAsia"/>
        </w:rPr>
        <w:t>100</w:t>
      </w:r>
      <w:r w:rsidRPr="00135E4F">
        <w:rPr>
          <w:rFonts w:hint="eastAsia"/>
        </w:rPr>
        <w:t>分时，应取为</w:t>
      </w:r>
      <w:r w:rsidRPr="00135E4F">
        <w:rPr>
          <w:rFonts w:hint="eastAsia"/>
        </w:rPr>
        <w:t>100</w:t>
      </w:r>
      <w:r w:rsidRPr="00135E4F">
        <w:rPr>
          <w:rFonts w:hint="eastAsia"/>
        </w:rPr>
        <w:t>分。</w:t>
      </w:r>
    </w:p>
    <w:p w14:paraId="28A125C3" w14:textId="77777777" w:rsidR="00076964" w:rsidRPr="0081478A" w:rsidRDefault="00076964" w:rsidP="00076964">
      <w:pPr>
        <w:ind w:firstLineChars="0" w:firstLine="0"/>
        <w:rPr>
          <w:rFonts w:cs="Times New Roman"/>
          <w:b/>
          <w:szCs w:val="24"/>
        </w:rPr>
      </w:pPr>
      <w:r w:rsidRPr="0081478A">
        <w:rPr>
          <w:rFonts w:cs="Times New Roman"/>
          <w:b/>
          <w:szCs w:val="24"/>
        </w:rPr>
        <w:t>【条文说明】</w:t>
      </w:r>
    </w:p>
    <w:p w14:paraId="49328002" w14:textId="77777777" w:rsidR="00076964" w:rsidRPr="00530A11" w:rsidRDefault="00076964" w:rsidP="00076964">
      <w:pPr>
        <w:ind w:firstLine="420"/>
        <w:rPr>
          <w:szCs w:val="24"/>
        </w:rPr>
      </w:pPr>
      <w:r w:rsidRPr="00530A11">
        <w:t>加分项的评定结果为某得分值或不得分。考虑到与绿色建筑总得分要求的平衡，以及加分项对建筑绿色性能的贡献，本标准对加分项附加得分作了不大于</w:t>
      </w:r>
      <w:r w:rsidRPr="00530A11">
        <w:t>100</w:t>
      </w:r>
      <w:r w:rsidRPr="00530A11">
        <w:t>分的限制。某些加分项是对前面章节中评分项的提高，符合条件时，加分项和相应评分项均可得分。</w:t>
      </w:r>
    </w:p>
    <w:p w14:paraId="3165ADB9" w14:textId="77777777" w:rsidR="00076964" w:rsidRPr="00135E4F" w:rsidRDefault="00076964" w:rsidP="00076964">
      <w:pPr>
        <w:ind w:firstLine="420"/>
        <w:rPr>
          <w:rFonts w:cs="Times New Roman"/>
        </w:rPr>
      </w:pPr>
    </w:p>
    <w:p w14:paraId="24C65E09" w14:textId="77777777" w:rsidR="00076964" w:rsidRPr="0081478A" w:rsidRDefault="00076964" w:rsidP="00076964">
      <w:pPr>
        <w:pStyle w:val="2"/>
      </w:pPr>
      <w:bookmarkStart w:id="206" w:name="_Toc22234374"/>
      <w:bookmarkStart w:id="207" w:name="_Toc22221594"/>
      <w:bookmarkStart w:id="208" w:name="_Toc35364761"/>
      <w:r w:rsidRPr="0081478A">
        <w:t xml:space="preserve">9.2 </w:t>
      </w:r>
      <w:r w:rsidRPr="0081478A">
        <w:t>加分项</w:t>
      </w:r>
      <w:bookmarkEnd w:id="206"/>
      <w:bookmarkEnd w:id="207"/>
      <w:bookmarkEnd w:id="208"/>
    </w:p>
    <w:p w14:paraId="69125237" w14:textId="77777777" w:rsidR="00076964" w:rsidRPr="00530A11" w:rsidRDefault="00076964" w:rsidP="00076964">
      <w:pPr>
        <w:pStyle w:val="4"/>
        <w:rPr>
          <w:bCs w:val="0"/>
        </w:rPr>
      </w:pPr>
      <w:r w:rsidRPr="00530A11">
        <w:rPr>
          <w:bCs w:val="0"/>
        </w:rPr>
        <w:t xml:space="preserve">9.2.1 </w:t>
      </w:r>
      <w:r w:rsidRPr="00530A11">
        <w:rPr>
          <w:bCs w:val="0"/>
        </w:rPr>
        <w:t>采取措施进一步降低建筑能耗，评价总分值为</w:t>
      </w:r>
      <w:r w:rsidRPr="00530A11">
        <w:rPr>
          <w:bCs w:val="0"/>
        </w:rPr>
        <w:t>30</w:t>
      </w:r>
      <w:r w:rsidRPr="00530A11">
        <w:rPr>
          <w:bCs w:val="0"/>
        </w:rPr>
        <w:t>分。</w:t>
      </w:r>
    </w:p>
    <w:p w14:paraId="7EE8E4BD" w14:textId="56877B22" w:rsidR="00076964" w:rsidRPr="00135E4F" w:rsidRDefault="00076964" w:rsidP="00076964">
      <w:pPr>
        <w:ind w:firstLineChars="100" w:firstLine="211"/>
        <w:rPr>
          <w:rFonts w:cs="Times New Roman"/>
          <w:b/>
          <w:bCs/>
          <w:szCs w:val="24"/>
        </w:rPr>
      </w:pPr>
      <w:r w:rsidRPr="00135E4F">
        <w:rPr>
          <w:rFonts w:cs="Times New Roman"/>
          <w:b/>
          <w:bCs/>
          <w:szCs w:val="24"/>
        </w:rPr>
        <w:t xml:space="preserve">1 </w:t>
      </w:r>
      <w:r w:rsidRPr="00135E4F">
        <w:rPr>
          <w:rFonts w:cs="Times New Roman"/>
          <w:b/>
          <w:bCs/>
          <w:szCs w:val="24"/>
        </w:rPr>
        <w:t>建筑供暖空调系统能耗相比重庆市现行有关建筑节能标准降低</w:t>
      </w:r>
      <w:r w:rsidRPr="00135E4F">
        <w:rPr>
          <w:rFonts w:cs="Times New Roman"/>
          <w:b/>
          <w:bCs/>
          <w:szCs w:val="24"/>
        </w:rPr>
        <w:t>40%</w:t>
      </w:r>
      <w:r w:rsidRPr="00135E4F">
        <w:rPr>
          <w:rFonts w:cs="Times New Roman"/>
          <w:b/>
          <w:bCs/>
          <w:szCs w:val="24"/>
        </w:rPr>
        <w:t>，得</w:t>
      </w:r>
      <w:r w:rsidRPr="00135E4F">
        <w:rPr>
          <w:rFonts w:cs="Times New Roman"/>
          <w:b/>
          <w:bCs/>
          <w:szCs w:val="24"/>
        </w:rPr>
        <w:t>10</w:t>
      </w:r>
      <w:r w:rsidRPr="00135E4F">
        <w:rPr>
          <w:rFonts w:cs="Times New Roman"/>
          <w:b/>
          <w:bCs/>
          <w:szCs w:val="24"/>
        </w:rPr>
        <w:t>分；再降低</w:t>
      </w:r>
      <w:r w:rsidRPr="00135E4F">
        <w:rPr>
          <w:rFonts w:cs="Times New Roman"/>
          <w:b/>
          <w:bCs/>
          <w:szCs w:val="24"/>
        </w:rPr>
        <w:t>10</w:t>
      </w:r>
      <w:r w:rsidR="00E56BCA" w:rsidRPr="00135E4F">
        <w:rPr>
          <w:rFonts w:cs="Times New Roman"/>
          <w:b/>
          <w:bCs/>
          <w:szCs w:val="24"/>
        </w:rPr>
        <w:t>%</w:t>
      </w:r>
      <w:r w:rsidR="00E56BCA">
        <w:rPr>
          <w:rFonts w:cs="Times New Roman" w:hint="eastAsia"/>
          <w:b/>
          <w:bCs/>
          <w:szCs w:val="24"/>
        </w:rPr>
        <w:t>，</w:t>
      </w:r>
      <w:r w:rsidRPr="00135E4F">
        <w:rPr>
          <w:rFonts w:cs="Times New Roman"/>
          <w:b/>
          <w:bCs/>
          <w:szCs w:val="24"/>
        </w:rPr>
        <w:t>得</w:t>
      </w:r>
      <w:r w:rsidRPr="00135E4F">
        <w:rPr>
          <w:rFonts w:cs="Times New Roman"/>
          <w:b/>
          <w:bCs/>
          <w:szCs w:val="24"/>
        </w:rPr>
        <w:t>15</w:t>
      </w:r>
      <w:r w:rsidRPr="00135E4F">
        <w:rPr>
          <w:rFonts w:cs="Times New Roman"/>
          <w:b/>
          <w:bCs/>
          <w:szCs w:val="24"/>
        </w:rPr>
        <w:t>分。</w:t>
      </w:r>
    </w:p>
    <w:p w14:paraId="479C21EB" w14:textId="77777777" w:rsidR="00076964" w:rsidRPr="00135E4F" w:rsidRDefault="00076964" w:rsidP="00076964">
      <w:pPr>
        <w:ind w:firstLineChars="100" w:firstLine="211"/>
        <w:rPr>
          <w:rFonts w:cs="Times New Roman"/>
          <w:b/>
          <w:bCs/>
          <w:szCs w:val="24"/>
        </w:rPr>
      </w:pPr>
      <w:r w:rsidRPr="00135E4F">
        <w:rPr>
          <w:rFonts w:cs="Times New Roman"/>
          <w:b/>
          <w:bCs/>
          <w:szCs w:val="24"/>
        </w:rPr>
        <w:t xml:space="preserve">2 </w:t>
      </w:r>
      <w:r w:rsidRPr="00135E4F">
        <w:rPr>
          <w:rFonts w:cs="Times New Roman" w:hint="eastAsia"/>
          <w:b/>
          <w:bCs/>
          <w:szCs w:val="24"/>
        </w:rPr>
        <w:t>建筑能耗水平达到超低能耗建筑要求，得</w:t>
      </w:r>
      <w:r w:rsidRPr="00135E4F">
        <w:rPr>
          <w:rFonts w:cs="Times New Roman"/>
          <w:b/>
          <w:bCs/>
          <w:szCs w:val="24"/>
        </w:rPr>
        <w:t>10</w:t>
      </w:r>
      <w:r w:rsidRPr="00135E4F">
        <w:rPr>
          <w:rFonts w:cs="Times New Roman" w:hint="eastAsia"/>
          <w:b/>
          <w:bCs/>
          <w:szCs w:val="24"/>
        </w:rPr>
        <w:t>分；达到近零能耗建筑要求，得</w:t>
      </w:r>
      <w:r w:rsidRPr="00135E4F">
        <w:rPr>
          <w:rFonts w:cs="Times New Roman"/>
          <w:b/>
          <w:bCs/>
          <w:szCs w:val="24"/>
        </w:rPr>
        <w:t>15</w:t>
      </w:r>
      <w:r w:rsidRPr="00135E4F">
        <w:rPr>
          <w:rFonts w:cs="Times New Roman" w:hint="eastAsia"/>
          <w:b/>
          <w:bCs/>
          <w:szCs w:val="24"/>
        </w:rPr>
        <w:t>分。</w:t>
      </w:r>
    </w:p>
    <w:p w14:paraId="4BCE0691" w14:textId="77777777" w:rsidR="00076964" w:rsidRPr="0081478A" w:rsidRDefault="00076964" w:rsidP="00076964">
      <w:pPr>
        <w:ind w:firstLineChars="0" w:firstLine="0"/>
        <w:rPr>
          <w:rFonts w:cs="Times New Roman"/>
          <w:b/>
          <w:szCs w:val="24"/>
        </w:rPr>
      </w:pPr>
      <w:r w:rsidRPr="0081478A">
        <w:rPr>
          <w:rFonts w:cs="Times New Roman"/>
          <w:b/>
          <w:szCs w:val="24"/>
        </w:rPr>
        <w:t>【条文说明】</w:t>
      </w:r>
    </w:p>
    <w:p w14:paraId="39DECC7B" w14:textId="77777777" w:rsidR="00076964" w:rsidRPr="00530A11" w:rsidRDefault="00076964" w:rsidP="00076964">
      <w:pPr>
        <w:ind w:firstLine="420"/>
        <w:rPr>
          <w:szCs w:val="24"/>
        </w:rPr>
      </w:pPr>
      <w:r w:rsidRPr="00530A11">
        <w:t>本条适用于各类民用建筑的预评价、评价。</w:t>
      </w:r>
    </w:p>
    <w:p w14:paraId="3A67BDF9" w14:textId="268BBA12"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w:t>
      </w:r>
      <w:r w:rsidRPr="00530A11">
        <w:rPr>
          <w:rFonts w:cs="Times New Roman" w:hint="eastAsia"/>
        </w:rPr>
        <w:lastRenderedPageBreak/>
        <w:t>部修改和补充。</w:t>
      </w:r>
      <w:r w:rsidRPr="00530A11">
        <w:rPr>
          <w:rFonts w:cs="Times New Roman"/>
        </w:rPr>
        <w:t>鼓励项目根据所在地的气候、资源特点，在本标准第</w:t>
      </w:r>
      <w:r w:rsidRPr="00530A11">
        <w:rPr>
          <w:rFonts w:cs="Times New Roman"/>
        </w:rPr>
        <w:t xml:space="preserve"> 7. 2. 4 </w:t>
      </w:r>
      <w:r w:rsidRPr="00530A11">
        <w:rPr>
          <w:rFonts w:cs="Times New Roman"/>
        </w:rPr>
        <w:t>条和第</w:t>
      </w:r>
      <w:r w:rsidRPr="00530A11">
        <w:rPr>
          <w:rFonts w:cs="Times New Roman"/>
        </w:rPr>
        <w:t xml:space="preserve"> 7. 2. 8 </w:t>
      </w:r>
      <w:r w:rsidRPr="00530A11">
        <w:rPr>
          <w:rFonts w:cs="Times New Roman"/>
        </w:rPr>
        <w:t>条的基础上，通过进一步提升建筑围护结构热工性能、提高供暖空调设备系统能效，以最少的供暖空调能源消耗提供舒适室内环境。本条可与本标准第</w:t>
      </w:r>
      <w:r w:rsidRPr="00530A11">
        <w:rPr>
          <w:rFonts w:cs="Times New Roman"/>
        </w:rPr>
        <w:t xml:space="preserve"> 7. 2. 4</w:t>
      </w:r>
      <w:r w:rsidRPr="00530A11">
        <w:rPr>
          <w:rFonts w:cs="Times New Roman"/>
        </w:rPr>
        <w:t>条、第</w:t>
      </w:r>
      <w:r w:rsidRPr="00530A11">
        <w:rPr>
          <w:rFonts w:cs="Times New Roman"/>
        </w:rPr>
        <w:t xml:space="preserve"> 7.2.8 </w:t>
      </w:r>
      <w:r w:rsidRPr="00530A11">
        <w:rPr>
          <w:rFonts w:cs="Times New Roman"/>
        </w:rPr>
        <w:t>条同时得分。</w:t>
      </w:r>
    </w:p>
    <w:p w14:paraId="38EFD326" w14:textId="77777777" w:rsidR="00076964" w:rsidRPr="00530A11" w:rsidRDefault="00076964" w:rsidP="00076964">
      <w:pPr>
        <w:ind w:firstLine="420"/>
        <w:rPr>
          <w:rFonts w:cs="Times New Roman"/>
        </w:rPr>
      </w:pPr>
      <w:r w:rsidRPr="00530A11">
        <w:rPr>
          <w:rFonts w:cs="Times New Roman"/>
        </w:rPr>
        <w:t>应根据行业标准《民用建筑绿色性能计算标准》</w:t>
      </w:r>
      <w:r w:rsidRPr="00530A11">
        <w:rPr>
          <w:rFonts w:cs="Times New Roman"/>
        </w:rPr>
        <w:t xml:space="preserve">JGJ/T 449- 2018 </w:t>
      </w:r>
      <w:r w:rsidRPr="00530A11">
        <w:rPr>
          <w:rFonts w:cs="Times New Roman"/>
        </w:rPr>
        <w:t>第</w:t>
      </w:r>
      <w:r w:rsidRPr="00530A11">
        <w:rPr>
          <w:rFonts w:cs="Times New Roman"/>
        </w:rPr>
        <w:t xml:space="preserve"> 5.3 </w:t>
      </w:r>
      <w:r w:rsidRPr="00530A11">
        <w:rPr>
          <w:rFonts w:cs="Times New Roman"/>
        </w:rPr>
        <w:t>节的相关规定，分别计算设计建筑及满足重庆市现行建筑节能设计标准规定的参照建筑的供暖空调能耗，计算其节能率并进行得分判定。建筑供暖空调系统能耗相比重庆市现行有关建筑节能标准降低</w:t>
      </w:r>
      <w:r w:rsidRPr="00530A11">
        <w:rPr>
          <w:rFonts w:cs="Times New Roman"/>
        </w:rPr>
        <w:t xml:space="preserve"> 40%, </w:t>
      </w:r>
      <w:r w:rsidRPr="00530A11">
        <w:rPr>
          <w:rFonts w:cs="Times New Roman"/>
        </w:rPr>
        <w:t>得</w:t>
      </w:r>
      <w:r w:rsidRPr="00530A11">
        <w:rPr>
          <w:rFonts w:cs="Times New Roman"/>
        </w:rPr>
        <w:t>10</w:t>
      </w:r>
      <w:r w:rsidRPr="00530A11">
        <w:rPr>
          <w:rFonts w:cs="Times New Roman"/>
        </w:rPr>
        <w:t>分；在此基础上，再降低</w:t>
      </w:r>
      <w:r w:rsidRPr="00530A11">
        <w:rPr>
          <w:rFonts w:cs="Times New Roman"/>
        </w:rPr>
        <w:t xml:space="preserve"> 10%</w:t>
      </w:r>
      <w:r w:rsidRPr="00530A11">
        <w:rPr>
          <w:rFonts w:cs="Times New Roman"/>
        </w:rPr>
        <w:t>，得</w:t>
      </w:r>
      <w:r w:rsidRPr="00530A11">
        <w:rPr>
          <w:rFonts w:cs="Times New Roman"/>
        </w:rPr>
        <w:t xml:space="preserve">15 </w:t>
      </w:r>
      <w:r w:rsidRPr="00530A11">
        <w:rPr>
          <w:rFonts w:cs="Times New Roman"/>
        </w:rPr>
        <w:t>分，本款最高得分不超过</w:t>
      </w:r>
      <w:r w:rsidRPr="00530A11">
        <w:rPr>
          <w:rFonts w:cs="Times New Roman"/>
        </w:rPr>
        <w:t>15</w:t>
      </w:r>
      <w:r w:rsidRPr="00530A11">
        <w:rPr>
          <w:rFonts w:cs="Times New Roman"/>
        </w:rPr>
        <w:t>分。</w:t>
      </w:r>
    </w:p>
    <w:p w14:paraId="63841C8A" w14:textId="77777777" w:rsidR="00076964" w:rsidRPr="00530A11" w:rsidRDefault="00076964" w:rsidP="00076964">
      <w:pPr>
        <w:ind w:firstLine="420"/>
        <w:rPr>
          <w:rFonts w:cs="Times New Roman"/>
        </w:rPr>
      </w:pPr>
      <w:r w:rsidRPr="00530A11">
        <w:rPr>
          <w:rFonts w:cs="Times New Roman"/>
        </w:rPr>
        <w:t>考虑到推动建筑能耗的进一步降低，本条在国家标准的基础上进行了修改，除了对供暖空调系统能耗降低提出了要求，还依据国家标准《近零能耗建筑技术标准》</w:t>
      </w:r>
      <w:bookmarkStart w:id="209" w:name="_Hlk36290183"/>
      <w:r w:rsidRPr="00044DDC">
        <w:rPr>
          <w:rFonts w:cs="Times New Roman"/>
        </w:rPr>
        <w:t>GB/T51350</w:t>
      </w:r>
      <w:bookmarkEnd w:id="209"/>
      <w:r w:rsidRPr="00530A11">
        <w:rPr>
          <w:rFonts w:cs="Times New Roman"/>
        </w:rPr>
        <w:t>，对建筑能耗对应达到的效果进行了要求。建筑能耗达到超低能耗建筑要求，得</w:t>
      </w:r>
      <w:r w:rsidRPr="00530A11">
        <w:rPr>
          <w:rFonts w:cs="Times New Roman"/>
        </w:rPr>
        <w:t>10</w:t>
      </w:r>
      <w:r w:rsidRPr="00530A11">
        <w:rPr>
          <w:rFonts w:cs="Times New Roman"/>
        </w:rPr>
        <w:t>分；达到近零能耗建筑要求，得</w:t>
      </w:r>
      <w:r w:rsidRPr="00530A11">
        <w:rPr>
          <w:rFonts w:cs="Times New Roman"/>
        </w:rPr>
        <w:t>15</w:t>
      </w:r>
      <w:r w:rsidRPr="00530A11">
        <w:rPr>
          <w:rFonts w:cs="Times New Roman"/>
        </w:rPr>
        <w:t>分。</w:t>
      </w:r>
    </w:p>
    <w:p w14:paraId="5E47BBC3" w14:textId="77777777" w:rsidR="00076964" w:rsidRDefault="00076964" w:rsidP="00076964">
      <w:pPr>
        <w:ind w:firstLine="420"/>
        <w:rPr>
          <w:rFonts w:cs="Times New Roman"/>
        </w:rPr>
      </w:pPr>
      <w:r w:rsidRPr="00530A11">
        <w:rPr>
          <w:rFonts w:cs="Times New Roman"/>
        </w:rPr>
        <w:t>本条文涉及到的供暖空调系统能耗计算基准，均以重庆市现行建筑节能设计标准为准。</w:t>
      </w:r>
    </w:p>
    <w:p w14:paraId="00FB1BAF" w14:textId="77777777" w:rsidR="00076964" w:rsidRPr="00044922" w:rsidRDefault="00076964" w:rsidP="00076964">
      <w:pPr>
        <w:ind w:firstLineChars="0" w:firstLine="0"/>
        <w:rPr>
          <w:rFonts w:cs="Times New Roman"/>
          <w:b/>
          <w:szCs w:val="24"/>
        </w:rPr>
      </w:pPr>
      <w:r w:rsidRPr="00044922">
        <w:rPr>
          <w:rFonts w:cs="Times New Roman" w:hint="eastAsia"/>
          <w:b/>
          <w:szCs w:val="24"/>
        </w:rPr>
        <w:t>【评价要点】</w:t>
      </w:r>
    </w:p>
    <w:p w14:paraId="3C61B502" w14:textId="77777777" w:rsidR="00076964" w:rsidRPr="00044922" w:rsidRDefault="00076964" w:rsidP="00076964">
      <w:pPr>
        <w:ind w:firstLine="420"/>
        <w:rPr>
          <w:rFonts w:cs="Times New Roman"/>
        </w:rPr>
      </w:pPr>
      <w:r w:rsidRPr="00044922">
        <w:rPr>
          <w:rFonts w:cs="Times New Roman" w:hint="eastAsia"/>
        </w:rPr>
        <w:t>本条是在第</w:t>
      </w:r>
      <w:r w:rsidRPr="00044922">
        <w:rPr>
          <w:rFonts w:cs="Times New Roman" w:hint="eastAsia"/>
        </w:rPr>
        <w:t>7.2.4</w:t>
      </w:r>
      <w:r w:rsidRPr="00044922">
        <w:rPr>
          <w:rFonts w:cs="Times New Roman" w:hint="eastAsia"/>
        </w:rPr>
        <w:t>、</w:t>
      </w:r>
      <w:r w:rsidRPr="00044922">
        <w:rPr>
          <w:rFonts w:cs="Times New Roman" w:hint="eastAsia"/>
        </w:rPr>
        <w:t>7.2.8</w:t>
      </w:r>
      <w:r w:rsidRPr="00044922">
        <w:rPr>
          <w:rFonts w:cs="Times New Roman" w:hint="eastAsia"/>
        </w:rPr>
        <w:t>条基础上的进一步提高。提高方式既包括提升建筑围护结构热工性能，也包括提高供暖空调系统及设备能效。本条可与第</w:t>
      </w:r>
      <w:r w:rsidRPr="00044922">
        <w:rPr>
          <w:rFonts w:cs="Times New Roman" w:hint="eastAsia"/>
        </w:rPr>
        <w:t>7.2.4</w:t>
      </w:r>
      <w:r w:rsidRPr="00044922">
        <w:rPr>
          <w:rFonts w:cs="Times New Roman" w:hint="eastAsia"/>
        </w:rPr>
        <w:t>、</w:t>
      </w:r>
      <w:r w:rsidRPr="00044922">
        <w:rPr>
          <w:rFonts w:cs="Times New Roman" w:hint="eastAsia"/>
        </w:rPr>
        <w:t>7.2.8</w:t>
      </w:r>
      <w:r w:rsidRPr="00044922">
        <w:rPr>
          <w:rFonts w:cs="Times New Roman" w:hint="eastAsia"/>
        </w:rPr>
        <w:t>条同时得分。</w:t>
      </w:r>
      <w:r>
        <w:rPr>
          <w:rFonts w:cs="Times New Roman" w:hint="eastAsia"/>
        </w:rPr>
        <w:t>本条两款条文可累计得分。</w:t>
      </w:r>
    </w:p>
    <w:p w14:paraId="0B69DC8E" w14:textId="77777777" w:rsidR="00076964" w:rsidRPr="00044922" w:rsidRDefault="00076964" w:rsidP="00076964">
      <w:pPr>
        <w:ind w:firstLine="420"/>
        <w:rPr>
          <w:rFonts w:cs="Times New Roman"/>
        </w:rPr>
      </w:pPr>
      <w:r w:rsidRPr="00044922">
        <w:rPr>
          <w:rFonts w:cs="Times New Roman" w:hint="eastAsia"/>
        </w:rPr>
        <w:t>计算方法应参照第</w:t>
      </w:r>
      <w:r w:rsidRPr="00044922">
        <w:rPr>
          <w:rFonts w:cs="Times New Roman" w:hint="eastAsia"/>
        </w:rPr>
        <w:t>7.2.8</w:t>
      </w:r>
      <w:r w:rsidRPr="00044922">
        <w:rPr>
          <w:rFonts w:cs="Times New Roman" w:hint="eastAsia"/>
        </w:rPr>
        <w:t>条的建筑预期节能率计算，但注意：</w:t>
      </w:r>
    </w:p>
    <w:p w14:paraId="773EF5D2" w14:textId="77777777" w:rsidR="00076964" w:rsidRDefault="00076964" w:rsidP="00076964">
      <w:pPr>
        <w:ind w:firstLine="420"/>
        <w:rPr>
          <w:rFonts w:cs="Times New Roman"/>
        </w:rPr>
      </w:pPr>
      <w:r>
        <w:rPr>
          <w:rFonts w:cs="Times New Roman" w:hint="eastAsia"/>
        </w:rPr>
        <w:t>第一款：</w:t>
      </w:r>
    </w:p>
    <w:p w14:paraId="45696902" w14:textId="77777777" w:rsidR="00076964" w:rsidRPr="00044922" w:rsidRDefault="00076964" w:rsidP="00076964">
      <w:pPr>
        <w:ind w:firstLine="420"/>
        <w:rPr>
          <w:rFonts w:cs="Times New Roman"/>
        </w:rPr>
      </w:pPr>
      <w:r w:rsidRPr="00044922">
        <w:rPr>
          <w:rFonts w:cs="Times New Roman" w:hint="eastAsia"/>
        </w:rPr>
        <w:t>1</w:t>
      </w:r>
      <w:r w:rsidRPr="00044922">
        <w:rPr>
          <w:rFonts w:cs="Times New Roman" w:hint="eastAsia"/>
        </w:rPr>
        <w:t>）本条仅针对供暖空调系统能耗，不包括照明系统能耗。</w:t>
      </w:r>
    </w:p>
    <w:p w14:paraId="77EE44F8" w14:textId="77777777" w:rsidR="00076964" w:rsidRPr="00044922" w:rsidRDefault="00076964" w:rsidP="00076964">
      <w:pPr>
        <w:ind w:firstLine="420"/>
        <w:rPr>
          <w:rFonts w:cs="Times New Roman"/>
        </w:rPr>
      </w:pPr>
      <w:r w:rsidRPr="00044922">
        <w:rPr>
          <w:rFonts w:cs="Times New Roman" w:hint="eastAsia"/>
        </w:rPr>
        <w:t>2</w:t>
      </w:r>
      <w:r w:rsidRPr="00044922">
        <w:rPr>
          <w:rFonts w:cs="Times New Roman" w:hint="eastAsia"/>
        </w:rPr>
        <w:t>）参照建筑的围护结构应取重庆市现行建筑节能设计标准规定的建筑围护结构的热工性能参数，其室内设计参数、模拟参数等仍与设计建筑的设置保持一致。</w:t>
      </w:r>
    </w:p>
    <w:p w14:paraId="0AD8D6BB" w14:textId="77777777" w:rsidR="00076964" w:rsidRPr="00044922" w:rsidRDefault="00076964" w:rsidP="00076964">
      <w:pPr>
        <w:ind w:firstLine="420"/>
        <w:rPr>
          <w:rFonts w:cs="Times New Roman"/>
        </w:rPr>
      </w:pPr>
      <w:r w:rsidRPr="00044922">
        <w:rPr>
          <w:rFonts w:cs="Times New Roman" w:hint="eastAsia"/>
        </w:rPr>
        <w:t>3</w:t>
      </w:r>
      <w:r w:rsidRPr="00044922">
        <w:rPr>
          <w:rFonts w:cs="Times New Roman" w:hint="eastAsia"/>
        </w:rPr>
        <w:t>）投入使用的项目，评价方式同样也是计算建筑预期节能率。</w:t>
      </w:r>
    </w:p>
    <w:p w14:paraId="3BB2887E" w14:textId="77777777" w:rsidR="00076964" w:rsidRDefault="00076964" w:rsidP="00076964">
      <w:pPr>
        <w:ind w:firstLine="420"/>
        <w:rPr>
          <w:rFonts w:cs="Times New Roman"/>
        </w:rPr>
      </w:pPr>
      <w:r>
        <w:rPr>
          <w:rFonts w:cs="Times New Roman"/>
        </w:rPr>
        <w:t>4</w:t>
      </w:r>
      <w:r w:rsidRPr="00044922">
        <w:rPr>
          <w:rFonts w:cs="Times New Roman" w:hint="eastAsia"/>
        </w:rPr>
        <w:t>）采用集中空调并提供了空调工程设计能效比，相比重庆市现行节能标准空调工程设计能效比提高</w:t>
      </w:r>
      <w:r w:rsidRPr="00044922">
        <w:rPr>
          <w:rFonts w:cs="Times New Roman" w:hint="eastAsia"/>
        </w:rPr>
        <w:t>50%</w:t>
      </w:r>
      <w:r w:rsidRPr="00044922">
        <w:rPr>
          <w:rFonts w:cs="Times New Roman" w:hint="eastAsia"/>
        </w:rPr>
        <w:t>，得</w:t>
      </w:r>
      <w:r w:rsidRPr="00044922">
        <w:rPr>
          <w:rFonts w:cs="Times New Roman" w:hint="eastAsia"/>
        </w:rPr>
        <w:t>10</w:t>
      </w:r>
      <w:r w:rsidRPr="00044922">
        <w:rPr>
          <w:rFonts w:cs="Times New Roman" w:hint="eastAsia"/>
        </w:rPr>
        <w:t>分；再提高</w:t>
      </w:r>
      <w:r w:rsidRPr="00044922">
        <w:rPr>
          <w:rFonts w:cs="Times New Roman" w:hint="eastAsia"/>
        </w:rPr>
        <w:t>10%</w:t>
      </w:r>
      <w:r w:rsidRPr="00044922">
        <w:rPr>
          <w:rFonts w:cs="Times New Roman" w:hint="eastAsia"/>
        </w:rPr>
        <w:t>，得</w:t>
      </w:r>
      <w:r w:rsidRPr="00044922">
        <w:rPr>
          <w:rFonts w:cs="Times New Roman" w:hint="eastAsia"/>
        </w:rPr>
        <w:t>15</w:t>
      </w:r>
      <w:r w:rsidRPr="00044922">
        <w:rPr>
          <w:rFonts w:cs="Times New Roman" w:hint="eastAsia"/>
        </w:rPr>
        <w:t>分。</w:t>
      </w:r>
    </w:p>
    <w:p w14:paraId="4B2B2B54" w14:textId="77777777" w:rsidR="00076964" w:rsidRPr="00044922" w:rsidRDefault="00076964" w:rsidP="00076964">
      <w:pPr>
        <w:ind w:firstLine="420"/>
        <w:rPr>
          <w:rFonts w:cs="Times New Roman"/>
        </w:rPr>
      </w:pPr>
      <w:r>
        <w:rPr>
          <w:rFonts w:cs="Times New Roman" w:hint="eastAsia"/>
        </w:rPr>
        <w:t>第二款：</w:t>
      </w:r>
      <w:r w:rsidRPr="00044922">
        <w:rPr>
          <w:rFonts w:cs="Times New Roman" w:hint="eastAsia"/>
        </w:rPr>
        <w:t>按照国家标准《近零能耗建筑技术标准》</w:t>
      </w:r>
      <w:r w:rsidRPr="00773946">
        <w:rPr>
          <w:rFonts w:cs="Times New Roman"/>
        </w:rPr>
        <w:t>GB/T51350</w:t>
      </w:r>
      <w:r w:rsidRPr="00044922">
        <w:rPr>
          <w:rFonts w:cs="Times New Roman" w:hint="eastAsia"/>
        </w:rPr>
        <w:t>，建筑能耗达到超低能耗建筑要求，得</w:t>
      </w:r>
      <w:r w:rsidRPr="00044922">
        <w:rPr>
          <w:rFonts w:cs="Times New Roman" w:hint="eastAsia"/>
        </w:rPr>
        <w:t>10</w:t>
      </w:r>
      <w:r w:rsidRPr="00044922">
        <w:rPr>
          <w:rFonts w:cs="Times New Roman" w:hint="eastAsia"/>
        </w:rPr>
        <w:t>分；达到近零能耗建筑要求，得</w:t>
      </w:r>
      <w:r w:rsidRPr="00044922">
        <w:rPr>
          <w:rFonts w:cs="Times New Roman" w:hint="eastAsia"/>
        </w:rPr>
        <w:t>15</w:t>
      </w:r>
      <w:r w:rsidRPr="00044922">
        <w:rPr>
          <w:rFonts w:cs="Times New Roman" w:hint="eastAsia"/>
        </w:rPr>
        <w:t>分。</w:t>
      </w:r>
    </w:p>
    <w:p w14:paraId="522A2263" w14:textId="77777777" w:rsidR="00076964" w:rsidRPr="0081478A" w:rsidRDefault="00076964" w:rsidP="00076964">
      <w:pPr>
        <w:ind w:firstLineChars="0" w:firstLine="0"/>
        <w:rPr>
          <w:rFonts w:cs="Times New Roman"/>
          <w:b/>
          <w:szCs w:val="24"/>
        </w:rPr>
      </w:pPr>
      <w:r w:rsidRPr="0081478A">
        <w:rPr>
          <w:rFonts w:cs="Times New Roman"/>
          <w:b/>
          <w:szCs w:val="24"/>
        </w:rPr>
        <w:t>【评价方法】</w:t>
      </w:r>
    </w:p>
    <w:p w14:paraId="357606E2" w14:textId="77777777" w:rsidR="00076964" w:rsidRPr="00530A11" w:rsidRDefault="00076964" w:rsidP="00076964">
      <w:pPr>
        <w:ind w:firstLine="420"/>
        <w:rPr>
          <w:rFonts w:cs="Times New Roman"/>
          <w:szCs w:val="24"/>
        </w:rPr>
      </w:pPr>
      <w:r w:rsidRPr="00530A11">
        <w:rPr>
          <w:rFonts w:cs="Times New Roman"/>
        </w:rPr>
        <w:t>预评价及竣工投入运行不满</w:t>
      </w:r>
      <w:r w:rsidRPr="00530A11">
        <w:rPr>
          <w:rFonts w:cs="Times New Roman"/>
        </w:rPr>
        <w:t>1</w:t>
      </w:r>
      <w:r w:rsidRPr="00530A11">
        <w:rPr>
          <w:rFonts w:cs="Times New Roman"/>
        </w:rPr>
        <w:t>年建筑的评价，</w:t>
      </w:r>
      <w:bookmarkStart w:id="210" w:name="_Hlk36290293"/>
      <w:r>
        <w:rPr>
          <w:rFonts w:cs="Times New Roman" w:hint="eastAsia"/>
        </w:rPr>
        <w:t>依据设计或竣工文件，</w:t>
      </w:r>
      <w:bookmarkEnd w:id="210"/>
      <w:r w:rsidRPr="00530A11">
        <w:rPr>
          <w:rFonts w:cs="Times New Roman"/>
        </w:rPr>
        <w:t>通过计算</w:t>
      </w:r>
      <w:r>
        <w:rPr>
          <w:rFonts w:cs="Times New Roman" w:hint="eastAsia"/>
        </w:rPr>
        <w:t>分析</w:t>
      </w:r>
      <w:r w:rsidRPr="00530A11">
        <w:rPr>
          <w:rFonts w:cs="Times New Roman"/>
        </w:rPr>
        <w:t>确定。</w:t>
      </w:r>
    </w:p>
    <w:p w14:paraId="0BF2DA8E" w14:textId="77777777" w:rsidR="00076964" w:rsidRPr="00530A11" w:rsidRDefault="00076964" w:rsidP="00076964">
      <w:pPr>
        <w:ind w:firstLine="420"/>
        <w:rPr>
          <w:rFonts w:cs="Times New Roman"/>
        </w:rPr>
      </w:pPr>
      <w:r w:rsidRPr="00530A11">
        <w:rPr>
          <w:rFonts w:cs="Times New Roman"/>
        </w:rPr>
        <w:t>预评价查阅建筑热工、供暖空调专业的设计说明、施工图、设备材料表等设计文件，节能计算书、供暖空调系统能耗节能率分析报告。</w:t>
      </w:r>
    </w:p>
    <w:p w14:paraId="7EB733E0" w14:textId="77777777" w:rsidR="00076964" w:rsidRDefault="00076964" w:rsidP="00076964">
      <w:pPr>
        <w:ind w:firstLine="420"/>
        <w:rPr>
          <w:rFonts w:cs="Times New Roman"/>
        </w:rPr>
      </w:pPr>
      <w:r w:rsidRPr="00530A11">
        <w:rPr>
          <w:rFonts w:cs="Times New Roman"/>
        </w:rPr>
        <w:lastRenderedPageBreak/>
        <w:t>评价查阅预评价涉及内容的竣工文件，节能计算书、供暖空调系统能耗节能率分析报告。投入使用满</w:t>
      </w:r>
      <w:r w:rsidRPr="00530A11">
        <w:rPr>
          <w:rFonts w:cs="Times New Roman"/>
        </w:rPr>
        <w:t>1</w:t>
      </w:r>
      <w:r w:rsidRPr="00530A11">
        <w:rPr>
          <w:rFonts w:cs="Times New Roman"/>
        </w:rPr>
        <w:t>年的项目，尚应查阅运行能耗统计数据，及其节能率分析报告。</w:t>
      </w:r>
    </w:p>
    <w:p w14:paraId="554E24B7" w14:textId="77777777" w:rsidR="00076964" w:rsidRPr="00530A11" w:rsidRDefault="00076964" w:rsidP="00076964">
      <w:pPr>
        <w:ind w:firstLine="420"/>
        <w:rPr>
          <w:rFonts w:cs="Times New Roman"/>
        </w:rPr>
      </w:pPr>
      <w:bookmarkStart w:id="211" w:name="_Hlk36290354"/>
      <w:r>
        <w:rPr>
          <w:rFonts w:cs="Times New Roman" w:hint="eastAsia"/>
        </w:rPr>
        <w:t>已获得由重庆市或国家超低能耗建筑、近零能耗建筑授予文件或证书的，可查阅相关证书，直接判定对应得分。</w:t>
      </w:r>
    </w:p>
    <w:bookmarkEnd w:id="211"/>
    <w:p w14:paraId="31E36290" w14:textId="77777777" w:rsidR="00076964" w:rsidRPr="001E54E5" w:rsidRDefault="00076964" w:rsidP="00076964">
      <w:pPr>
        <w:ind w:firstLine="420"/>
        <w:rPr>
          <w:rFonts w:cs="Times New Roman"/>
        </w:rPr>
      </w:pPr>
    </w:p>
    <w:p w14:paraId="7B48FF3B" w14:textId="77777777" w:rsidR="00076964" w:rsidRPr="00650D2F" w:rsidRDefault="00076964" w:rsidP="00076964">
      <w:pPr>
        <w:pStyle w:val="4"/>
        <w:rPr>
          <w:bCs w:val="0"/>
        </w:rPr>
      </w:pPr>
      <w:r w:rsidRPr="00650D2F">
        <w:rPr>
          <w:bCs w:val="0"/>
        </w:rPr>
        <w:t>9.2.2</w:t>
      </w:r>
      <w:r w:rsidRPr="00650D2F">
        <w:rPr>
          <w:rFonts w:hint="eastAsia"/>
          <w:bCs w:val="0"/>
        </w:rPr>
        <w:t>建筑风格体现</w:t>
      </w:r>
      <w:bookmarkStart w:id="212" w:name="_Hlk21918358"/>
      <w:r w:rsidRPr="00650D2F">
        <w:rPr>
          <w:rFonts w:hint="eastAsia"/>
          <w:bCs w:val="0"/>
        </w:rPr>
        <w:t>地域风貌</w:t>
      </w:r>
      <w:bookmarkEnd w:id="212"/>
      <w:r w:rsidRPr="00650D2F">
        <w:rPr>
          <w:rFonts w:hint="eastAsia"/>
          <w:bCs w:val="0"/>
        </w:rPr>
        <w:t>，因地制宜传承</w:t>
      </w:r>
      <w:bookmarkStart w:id="213" w:name="_Hlk20581719"/>
      <w:r w:rsidRPr="00650D2F">
        <w:rPr>
          <w:rFonts w:hint="eastAsia"/>
          <w:bCs w:val="0"/>
        </w:rPr>
        <w:t>地域建筑文化</w:t>
      </w:r>
      <w:bookmarkEnd w:id="213"/>
      <w:r w:rsidRPr="00650D2F">
        <w:rPr>
          <w:rFonts w:hint="eastAsia"/>
          <w:bCs w:val="0"/>
        </w:rPr>
        <w:t>，评价分值为</w:t>
      </w:r>
      <w:r w:rsidRPr="00650D2F">
        <w:rPr>
          <w:bCs w:val="0"/>
        </w:rPr>
        <w:t>20</w:t>
      </w:r>
      <w:r w:rsidRPr="00650D2F">
        <w:rPr>
          <w:rFonts w:hint="eastAsia"/>
          <w:bCs w:val="0"/>
        </w:rPr>
        <w:t>分。</w:t>
      </w:r>
    </w:p>
    <w:p w14:paraId="7603D16C" w14:textId="77777777" w:rsidR="00076964" w:rsidRPr="0081478A" w:rsidRDefault="00076964" w:rsidP="00076964">
      <w:pPr>
        <w:ind w:firstLineChars="0" w:firstLine="0"/>
        <w:rPr>
          <w:rFonts w:cs="Times New Roman"/>
          <w:b/>
          <w:szCs w:val="24"/>
        </w:rPr>
      </w:pPr>
      <w:bookmarkStart w:id="214" w:name="_Hlk21902184"/>
      <w:r w:rsidRPr="0081478A">
        <w:rPr>
          <w:rFonts w:cs="Times New Roman"/>
          <w:b/>
          <w:szCs w:val="24"/>
        </w:rPr>
        <w:t>【条文说明】</w:t>
      </w:r>
    </w:p>
    <w:p w14:paraId="228E8595" w14:textId="77777777" w:rsidR="00076964" w:rsidRPr="00650D2F" w:rsidRDefault="00076964" w:rsidP="00076964">
      <w:pPr>
        <w:ind w:firstLine="420"/>
        <w:rPr>
          <w:rFonts w:cs="Times New Roman"/>
        </w:rPr>
      </w:pPr>
      <w:r w:rsidRPr="00650D2F">
        <w:rPr>
          <w:rFonts w:cs="Times New Roman" w:hint="eastAsia"/>
        </w:rPr>
        <w:t>本条适用于各类民用建筑的预评价、评价。</w:t>
      </w:r>
    </w:p>
    <w:p w14:paraId="50A7741A" w14:textId="596DFB89" w:rsidR="00076964" w:rsidRPr="00650D2F" w:rsidRDefault="00A24AA5" w:rsidP="00A24AA5">
      <w:pPr>
        <w:ind w:firstLine="420"/>
        <w:rPr>
          <w:rFonts w:cs="Times New Roman"/>
        </w:rPr>
      </w:pPr>
      <w:bookmarkStart w:id="215" w:name="_Hlk39418989"/>
      <w:bookmarkStart w:id="216" w:name="_Hlk36290394"/>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bookmarkEnd w:id="215"/>
      <w:r w:rsidRPr="00530A11">
        <w:rPr>
          <w:rFonts w:cs="Times New Roman" w:hint="eastAsia"/>
        </w:rPr>
        <w:t>。</w:t>
      </w:r>
      <w:bookmarkEnd w:id="216"/>
      <w:r w:rsidR="00076964" w:rsidRPr="00650D2F">
        <w:rPr>
          <w:rFonts w:cs="Times New Roman" w:hint="eastAsia"/>
        </w:rPr>
        <w:t>本条得分为</w:t>
      </w:r>
      <w:r w:rsidR="00076964" w:rsidRPr="00650D2F">
        <w:rPr>
          <w:rFonts w:cs="Times New Roman"/>
        </w:rPr>
        <w:t xml:space="preserve"> 20 </w:t>
      </w:r>
      <w:r w:rsidR="00076964" w:rsidRPr="00650D2F">
        <w:rPr>
          <w:rFonts w:cs="Times New Roman" w:hint="eastAsia"/>
        </w:rPr>
        <w:t>分。本条评价强调建筑对重庆地域文化的传承或保护，评价对象为除文物建筑外的重庆风貌特色建筑。对场地内的历史建筑和传统风貌建筑进行保护和利用，也属于本条规定的传承地域建筑文化的范畴。</w:t>
      </w:r>
    </w:p>
    <w:p w14:paraId="431DF485" w14:textId="77777777" w:rsidR="00076964" w:rsidRPr="00650D2F" w:rsidRDefault="00076964" w:rsidP="00076964">
      <w:pPr>
        <w:ind w:firstLine="420"/>
        <w:rPr>
          <w:rFonts w:cs="Times New Roman"/>
        </w:rPr>
      </w:pPr>
      <w:r w:rsidRPr="00650D2F">
        <w:rPr>
          <w:rFonts w:cs="Times New Roman" w:hint="eastAsia"/>
        </w:rPr>
        <w:t>建筑是历史文脉及风俗传统的重要载体，采用具有重庆地域特色的建筑规划设计原则和手法，可让建筑更好地彰显重庆地域文化特色，促进重庆地域文化传承。绿色建筑应充分分析、利用并体现所在地的气候、资源、自然环境、经济、文化、地域风貌等特点。设计时应因地制宜、因势利导地控制各类不利因素，利用对建筑和人的有利因素，吸收传统建筑中适应生态环境、符合绿色建筑要求的设计元素、方法和建筑形式，采用传统适宜技术实现具有地域特色的建筑文化传承。例如，建筑采用有利于自然通风、天然采光的本地传统建筑群落布局方式、建筑空间布局模式；采用当地传统建筑的接地、造型、色彩、肌理、建造方法、地方材料等，既体现当地历史建筑文化或传统民居文化，体现文脉的传承，又起到节约资源和保护环境等作用。</w:t>
      </w:r>
    </w:p>
    <w:p w14:paraId="6F3A5B72" w14:textId="77777777" w:rsidR="00076964" w:rsidRPr="00650D2F" w:rsidRDefault="00076964" w:rsidP="00076964">
      <w:pPr>
        <w:ind w:firstLine="420"/>
        <w:rPr>
          <w:rFonts w:cs="Times New Roman"/>
        </w:rPr>
      </w:pPr>
      <w:r w:rsidRPr="00650D2F">
        <w:rPr>
          <w:rFonts w:cs="Times New Roman" w:hint="eastAsia"/>
        </w:rPr>
        <w:t>本条所指地域风貌包括重庆传统风貌和特定区域风貌两类。重庆建城</w:t>
      </w:r>
      <w:r w:rsidRPr="00650D2F">
        <w:rPr>
          <w:rFonts w:cs="Times New Roman"/>
        </w:rPr>
        <w:t>3000</w:t>
      </w:r>
      <w:r w:rsidRPr="00650D2F">
        <w:rPr>
          <w:rFonts w:cs="Times New Roman" w:hint="eastAsia"/>
        </w:rPr>
        <w:t>年，定名</w:t>
      </w:r>
      <w:r w:rsidRPr="00650D2F">
        <w:rPr>
          <w:rFonts w:cs="Times New Roman"/>
        </w:rPr>
        <w:t>800</w:t>
      </w:r>
      <w:r w:rsidRPr="00650D2F">
        <w:rPr>
          <w:rFonts w:cs="Times New Roman" w:hint="eastAsia"/>
        </w:rPr>
        <w:t>年，地域范围内的历史文化资源非常丰富</w:t>
      </w:r>
      <w:r w:rsidRPr="00650D2F">
        <w:rPr>
          <w:rFonts w:cs="Times New Roman"/>
        </w:rPr>
        <w:t>,</w:t>
      </w:r>
      <w:r w:rsidRPr="00650D2F">
        <w:rPr>
          <w:rFonts w:cs="Times New Roman" w:hint="eastAsia"/>
        </w:rPr>
        <w:t>于</w:t>
      </w:r>
      <w:r w:rsidRPr="00650D2F">
        <w:rPr>
          <w:rFonts w:cs="Times New Roman"/>
        </w:rPr>
        <w:t>1986</w:t>
      </w:r>
      <w:r w:rsidRPr="00650D2F">
        <w:rPr>
          <w:rFonts w:cs="Times New Roman" w:hint="eastAsia"/>
        </w:rPr>
        <w:t>年被国务院命名为国家历史文化名城。《重庆都市区传统风貌保护与利用规划》提炼出“传统巴渝、明清移民、开埠建市、抗战陪都、西南大区”</w:t>
      </w:r>
      <w:r w:rsidRPr="00650D2F">
        <w:rPr>
          <w:rFonts w:cs="Times New Roman"/>
        </w:rPr>
        <w:t>5</w:t>
      </w:r>
      <w:r w:rsidRPr="00650D2F">
        <w:rPr>
          <w:rFonts w:cs="Times New Roman" w:hint="eastAsia"/>
        </w:rPr>
        <w:t>类都市区历史文化传统风貌，确定了</w:t>
      </w:r>
      <w:r w:rsidRPr="00650D2F">
        <w:rPr>
          <w:rFonts w:cs="Times New Roman"/>
        </w:rPr>
        <w:t>28</w:t>
      </w:r>
      <w:r w:rsidRPr="00650D2F">
        <w:rPr>
          <w:rFonts w:cs="Times New Roman" w:hint="eastAsia"/>
        </w:rPr>
        <w:t>个历史文化传统风貌片区、</w:t>
      </w:r>
      <w:r w:rsidRPr="00650D2F">
        <w:rPr>
          <w:rFonts w:cs="Times New Roman"/>
        </w:rPr>
        <w:t>403</w:t>
      </w:r>
      <w:r w:rsidRPr="00650D2F">
        <w:rPr>
          <w:rFonts w:cs="Times New Roman" w:hint="eastAsia"/>
        </w:rPr>
        <w:t>个历史遗存点以及</w:t>
      </w:r>
      <w:r w:rsidRPr="00650D2F">
        <w:rPr>
          <w:rFonts w:cs="Times New Roman"/>
        </w:rPr>
        <w:t>58</w:t>
      </w:r>
      <w:r w:rsidRPr="00650D2F">
        <w:rPr>
          <w:rFonts w:cs="Times New Roman" w:hint="eastAsia"/>
        </w:rPr>
        <w:t>个文献可考的风貌记忆点。重庆传统风貌是指上述</w:t>
      </w:r>
      <w:r w:rsidRPr="00650D2F">
        <w:rPr>
          <w:rFonts w:cs="Times New Roman"/>
        </w:rPr>
        <w:t>5</w:t>
      </w:r>
      <w:r w:rsidRPr="00650D2F">
        <w:rPr>
          <w:rFonts w:cs="Times New Roman" w:hint="eastAsia"/>
        </w:rPr>
        <w:t>类都市区历史文化传统风貌。特定区域风貌是指我市或区县（自治县）级政府规划或建设管理部门批准确定的相关保护区规划中规定的风貌，如风景或名胜保护区规划中规定的风貌。</w:t>
      </w:r>
    </w:p>
    <w:p w14:paraId="2CD3090B" w14:textId="77777777" w:rsidR="00076964" w:rsidRPr="00650D2F" w:rsidRDefault="00076964" w:rsidP="00076964">
      <w:pPr>
        <w:ind w:firstLine="420"/>
        <w:rPr>
          <w:rFonts w:cs="Times New Roman"/>
        </w:rPr>
      </w:pPr>
      <w:r w:rsidRPr="00650D2F">
        <w:rPr>
          <w:rFonts w:cs="Times New Roman" w:hint="eastAsia"/>
        </w:rPr>
        <w:t>重庆风貌特色建筑，包括重庆市域内的文物建筑、历史建筑、传统风貌建筑、传统风貌特色建筑和特定区域风貌特色建筑五类，其中文物建筑、历史建筑、传统风貌建筑由政府或</w:t>
      </w:r>
      <w:r w:rsidRPr="00650D2F">
        <w:rPr>
          <w:rFonts w:cs="Times New Roman" w:hint="eastAsia"/>
        </w:rPr>
        <w:lastRenderedPageBreak/>
        <w:t>相关部门认定公布。本条评价对象不适用于文物建筑。历史建筑和传统风貌建筑主要指能够反映历史、地方特色、具有一定文化价值和某类传统风貌特色，且未公布为文物保护单位或文物保护点或不可移动文物的建筑物、构筑物。为避免对历史建筑和传统风貌建筑价值和特征要素的损伤和改变，保护并延续重庆地域建筑文化，传承历史，有必要对其采用适度的保护措施及拓展多元化利用途径，全面发挥这类建筑及所在传统风貌街区的历史价值、情感价值、经济价值、社会价值和文化价值。第四和第五类建筑为普通建筑，不在前三类建筑范围中，其建成后的建筑风格特征能够体现某类传统风貌特色或特定区域风貌特色。</w:t>
      </w:r>
    </w:p>
    <w:p w14:paraId="370EC2BD" w14:textId="7FB80337" w:rsidR="00076964" w:rsidRPr="00650D2F" w:rsidRDefault="00076964" w:rsidP="00076964">
      <w:pPr>
        <w:ind w:firstLineChars="0" w:firstLine="0"/>
        <w:rPr>
          <w:rFonts w:cs="Times New Roman"/>
          <w:b/>
          <w:szCs w:val="24"/>
        </w:rPr>
      </w:pPr>
      <w:bookmarkStart w:id="217" w:name="_Hlk21912075"/>
      <w:r w:rsidRPr="0081478A">
        <w:rPr>
          <w:rFonts w:cs="Times New Roman"/>
          <w:b/>
          <w:szCs w:val="24"/>
        </w:rPr>
        <w:t>【</w:t>
      </w:r>
      <w:r w:rsidRPr="00650D2F">
        <w:rPr>
          <w:rFonts w:cs="Times New Roman" w:hint="eastAsia"/>
          <w:b/>
          <w:szCs w:val="24"/>
        </w:rPr>
        <w:t>评价要点</w:t>
      </w:r>
      <w:r w:rsidRPr="0081478A">
        <w:rPr>
          <w:rFonts w:cs="Times New Roman"/>
          <w:b/>
          <w:szCs w:val="24"/>
        </w:rPr>
        <w:t>】</w:t>
      </w:r>
    </w:p>
    <w:p w14:paraId="4C519B09" w14:textId="77777777" w:rsidR="00076964" w:rsidRPr="00650D2F" w:rsidRDefault="00076964" w:rsidP="00076964">
      <w:pPr>
        <w:ind w:firstLine="420"/>
        <w:rPr>
          <w:rFonts w:cs="Times New Roman"/>
        </w:rPr>
      </w:pPr>
      <w:r w:rsidRPr="00650D2F">
        <w:rPr>
          <w:rFonts w:cs="Times New Roman" w:hint="eastAsia"/>
        </w:rPr>
        <w:t>本条评价对象分为以下四类：历史建筑、传统风貌建筑、传统风貌特色建筑和特定区域风貌特色建筑。根据《重庆市历史文化名城名镇名村保护条例》的相关规定，历史建筑、传统风貌建筑应通过政府相关部门认定。历史建筑应建成三十年以上，未公布为文物保护单位，也未登记为不可移动文物的建筑物、构筑物。传统风貌建筑应在历史文化名镇、名村、街区或传统风貌区保护范围内，不属于文物，也未公布为历史建筑的建筑物、构筑物。传统风貌特色建筑应符合以下条件：建筑不属于文物、历史建筑和传统风貌建筑；建筑风格的选择应与建筑所在地的风貌协调；建筑建成后的风格特征能够反映《重庆都市区传统风貌保护与利用规划》提炼出的历史文化传统风貌特色，并符合《重庆历史建筑修复建设技术导则》规定的相应类型建筑风格特征。特定区域风貌特色建筑应符合以下条件：应处于我市或区县（自治县）级政府规划或建设管理部门划定的特定风格区域或保护区域中；该区域的规划文件中应有</w:t>
      </w:r>
      <w:bookmarkStart w:id="218" w:name="_Hlk21920689"/>
      <w:r w:rsidRPr="00650D2F">
        <w:rPr>
          <w:rFonts w:cs="Times New Roman" w:hint="eastAsia"/>
        </w:rPr>
        <w:t>建筑及环境特定风格特征</w:t>
      </w:r>
      <w:bookmarkEnd w:id="218"/>
      <w:r w:rsidRPr="00650D2F">
        <w:rPr>
          <w:rFonts w:cs="Times New Roman" w:hint="eastAsia"/>
        </w:rPr>
        <w:t>规定，且规划应经区县（自治县）级政府规划或建设管理部门批准；建筑建成后的风格特征能够满足该区域的规划文件中对建筑及环境特定风格特征的相关规定。</w:t>
      </w:r>
    </w:p>
    <w:p w14:paraId="71B581F5" w14:textId="77777777" w:rsidR="00076964" w:rsidRPr="00650D2F" w:rsidRDefault="00076964" w:rsidP="00076964">
      <w:pPr>
        <w:ind w:firstLine="420"/>
        <w:rPr>
          <w:rFonts w:cs="Times New Roman"/>
        </w:rPr>
      </w:pPr>
      <w:r w:rsidRPr="00650D2F">
        <w:rPr>
          <w:rFonts w:cs="Times New Roman" w:hint="eastAsia"/>
        </w:rPr>
        <w:t>1</w:t>
      </w:r>
      <w:r w:rsidRPr="00650D2F">
        <w:rPr>
          <w:rFonts w:cs="Times New Roman" w:hint="eastAsia"/>
        </w:rPr>
        <w:t>、传统风貌特色建筑，当满足以下全部要求时本条得</w:t>
      </w:r>
      <w:r w:rsidRPr="00650D2F">
        <w:rPr>
          <w:rFonts w:cs="Times New Roman" w:hint="eastAsia"/>
        </w:rPr>
        <w:t xml:space="preserve">20 </w:t>
      </w:r>
      <w:r w:rsidRPr="00650D2F">
        <w:rPr>
          <w:rFonts w:cs="Times New Roman" w:hint="eastAsia"/>
        </w:rPr>
        <w:t>分：</w:t>
      </w:r>
    </w:p>
    <w:p w14:paraId="5B477E1A"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1</w:t>
      </w:r>
      <w:r w:rsidRPr="00650D2F">
        <w:rPr>
          <w:rFonts w:cs="Times New Roman" w:hint="eastAsia"/>
        </w:rPr>
        <w:t>）建设不破坏场地中的自然山体、水系，保护古树、名树、大乔木；</w:t>
      </w:r>
    </w:p>
    <w:p w14:paraId="60BD8D13"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2</w:t>
      </w:r>
      <w:r w:rsidRPr="00650D2F">
        <w:rPr>
          <w:rFonts w:cs="Times New Roman" w:hint="eastAsia"/>
        </w:rPr>
        <w:t>）结合场地及环境条件，合理采用错层、掉层、吊脚、筑台等适应地形的接地方式，场地无余土或借土；</w:t>
      </w:r>
    </w:p>
    <w:p w14:paraId="62DA05BD"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3</w:t>
      </w:r>
      <w:r w:rsidRPr="00650D2F">
        <w:rPr>
          <w:rFonts w:cs="Times New Roman" w:hint="eastAsia"/>
        </w:rPr>
        <w:t>）建筑的风格特征应与建筑环境风貌协调一致；</w:t>
      </w:r>
    </w:p>
    <w:p w14:paraId="611B1CD1"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4</w:t>
      </w:r>
      <w:r w:rsidRPr="00650D2F">
        <w:rPr>
          <w:rFonts w:cs="Times New Roman" w:hint="eastAsia"/>
        </w:rPr>
        <w:t>）建筑的总体布局、建筑形态、细节符号、色彩材质、环境景观等相关要素的风格特征，应符合《重庆历史建筑修复建设技术导则》中对应建筑风格类型的相关规定。</w:t>
      </w:r>
    </w:p>
    <w:p w14:paraId="682D731D" w14:textId="77777777" w:rsidR="00076964" w:rsidRPr="00650D2F" w:rsidRDefault="00076964" w:rsidP="00076964">
      <w:pPr>
        <w:ind w:firstLine="420"/>
        <w:rPr>
          <w:rFonts w:cs="Times New Roman"/>
        </w:rPr>
      </w:pPr>
      <w:r w:rsidRPr="00650D2F">
        <w:rPr>
          <w:rFonts w:cs="Times New Roman"/>
        </w:rPr>
        <w:t>2</w:t>
      </w:r>
      <w:r w:rsidRPr="00650D2F">
        <w:rPr>
          <w:rFonts w:cs="Times New Roman" w:hint="eastAsia"/>
        </w:rPr>
        <w:t>、特定区域风貌特色建筑，当满足以下全部要求时本条得</w:t>
      </w:r>
      <w:r w:rsidRPr="00650D2F">
        <w:rPr>
          <w:rFonts w:cs="Times New Roman" w:hint="eastAsia"/>
        </w:rPr>
        <w:t xml:space="preserve">20 </w:t>
      </w:r>
      <w:r w:rsidRPr="00650D2F">
        <w:rPr>
          <w:rFonts w:cs="Times New Roman" w:hint="eastAsia"/>
        </w:rPr>
        <w:t>分：</w:t>
      </w:r>
    </w:p>
    <w:p w14:paraId="32A5FCAC"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1</w:t>
      </w:r>
      <w:r w:rsidRPr="00650D2F">
        <w:rPr>
          <w:rFonts w:cs="Times New Roman" w:hint="eastAsia"/>
        </w:rPr>
        <w:t>）不破坏场地中自然山体、水系，保护古树、名树、大乔木；</w:t>
      </w:r>
    </w:p>
    <w:p w14:paraId="24DB23DC" w14:textId="77777777" w:rsidR="00076964" w:rsidRPr="00650D2F" w:rsidRDefault="00076964" w:rsidP="00076964">
      <w:pPr>
        <w:ind w:firstLine="420"/>
        <w:rPr>
          <w:rFonts w:cs="Times New Roman"/>
        </w:rPr>
      </w:pPr>
      <w:r w:rsidRPr="00650D2F">
        <w:rPr>
          <w:rFonts w:cs="Times New Roman" w:hint="eastAsia"/>
        </w:rPr>
        <w:lastRenderedPageBreak/>
        <w:t>（</w:t>
      </w:r>
      <w:r w:rsidRPr="00650D2F">
        <w:rPr>
          <w:rFonts w:cs="Times New Roman" w:hint="eastAsia"/>
        </w:rPr>
        <w:t>2</w:t>
      </w:r>
      <w:r w:rsidRPr="00650D2F">
        <w:rPr>
          <w:rFonts w:cs="Times New Roman" w:hint="eastAsia"/>
        </w:rPr>
        <w:t>）结合场地及环境条件，合理采用错层、掉层、吊脚、筑台等适应地形的接地方式，场地无余土或借土；</w:t>
      </w:r>
    </w:p>
    <w:p w14:paraId="05FB6C71"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3</w:t>
      </w:r>
      <w:r w:rsidRPr="00650D2F">
        <w:rPr>
          <w:rFonts w:cs="Times New Roman" w:hint="eastAsia"/>
        </w:rPr>
        <w:t>）特定区域风貌特色建筑应符合该区域规划文件中关于建筑及环境特定风格特征的所有规定；</w:t>
      </w:r>
    </w:p>
    <w:p w14:paraId="197BE366"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4</w:t>
      </w:r>
      <w:r w:rsidRPr="00650D2F">
        <w:rPr>
          <w:rFonts w:cs="Times New Roman" w:hint="eastAsia"/>
        </w:rPr>
        <w:t>）评价项目用地范围中存在传统风貌特色建筑的，该类</w:t>
      </w:r>
      <w:r w:rsidRPr="00650D2F">
        <w:rPr>
          <w:rFonts w:cs="Times New Roman"/>
        </w:rPr>
        <w:t>建筑</w:t>
      </w:r>
      <w:r w:rsidRPr="00650D2F">
        <w:rPr>
          <w:rFonts w:cs="Times New Roman" w:hint="eastAsia"/>
        </w:rPr>
        <w:t>还应满足传统风貌特色建筑的全部得分要求。</w:t>
      </w:r>
    </w:p>
    <w:p w14:paraId="40CF8A4F" w14:textId="77777777" w:rsidR="00076964" w:rsidRPr="00650D2F" w:rsidRDefault="00076964" w:rsidP="00076964">
      <w:pPr>
        <w:ind w:firstLine="420"/>
        <w:rPr>
          <w:rFonts w:cs="Times New Roman"/>
        </w:rPr>
      </w:pPr>
      <w:r w:rsidRPr="00650D2F">
        <w:rPr>
          <w:rFonts w:cs="Times New Roman" w:hint="eastAsia"/>
        </w:rPr>
        <w:t>3</w:t>
      </w:r>
      <w:r w:rsidRPr="00650D2F">
        <w:rPr>
          <w:rFonts w:cs="Times New Roman" w:hint="eastAsia"/>
        </w:rPr>
        <w:t>、对评价项目用地范围中的历史建筑或传统风貌建筑进行保护和利用，当满足以下全部要求时本条得</w:t>
      </w:r>
      <w:r w:rsidRPr="00650D2F">
        <w:rPr>
          <w:rFonts w:cs="Times New Roman" w:hint="eastAsia"/>
        </w:rPr>
        <w:t xml:space="preserve">20 </w:t>
      </w:r>
      <w:r w:rsidRPr="00650D2F">
        <w:rPr>
          <w:rFonts w:cs="Times New Roman" w:hint="eastAsia"/>
        </w:rPr>
        <w:t>分：</w:t>
      </w:r>
    </w:p>
    <w:p w14:paraId="74F9D2C3"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1</w:t>
      </w:r>
      <w:r w:rsidRPr="00650D2F">
        <w:rPr>
          <w:rFonts w:cs="Times New Roman" w:hint="eastAsia"/>
        </w:rPr>
        <w:t>）取得政府相关部门的历史建筑或传统风貌建筑认定；</w:t>
      </w:r>
    </w:p>
    <w:p w14:paraId="2F17696B"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2</w:t>
      </w:r>
      <w:r w:rsidRPr="00650D2F">
        <w:rPr>
          <w:rFonts w:cs="Times New Roman" w:hint="eastAsia"/>
        </w:rPr>
        <w:t>）满足《重庆历史文化名城名镇名村保护条例》、《关于优秀近现代建筑规划保护的指导意见》渝府办发〔</w:t>
      </w:r>
      <w:r w:rsidRPr="00650D2F">
        <w:rPr>
          <w:rFonts w:cs="Times New Roman"/>
        </w:rPr>
        <w:t>2013</w:t>
      </w:r>
      <w:r w:rsidRPr="00650D2F">
        <w:rPr>
          <w:rFonts w:cs="Times New Roman" w:hint="eastAsia"/>
        </w:rPr>
        <w:t>〕</w:t>
      </w:r>
      <w:r w:rsidRPr="00650D2F">
        <w:rPr>
          <w:rFonts w:cs="Times New Roman"/>
        </w:rPr>
        <w:t>78</w:t>
      </w:r>
      <w:r w:rsidRPr="00650D2F">
        <w:rPr>
          <w:rFonts w:cs="Times New Roman" w:hint="eastAsia"/>
        </w:rPr>
        <w:t>号、《关于主城区传统风貌街区保护修缮利用的实施意见》渝府办〔</w:t>
      </w:r>
      <w:r w:rsidRPr="00650D2F">
        <w:rPr>
          <w:rFonts w:cs="Times New Roman"/>
        </w:rPr>
        <w:t>2017</w:t>
      </w:r>
      <w:r w:rsidRPr="00650D2F">
        <w:rPr>
          <w:rFonts w:cs="Times New Roman" w:hint="eastAsia"/>
        </w:rPr>
        <w:t>〕</w:t>
      </w:r>
      <w:r w:rsidRPr="00650D2F">
        <w:rPr>
          <w:rFonts w:cs="Times New Roman"/>
        </w:rPr>
        <w:t xml:space="preserve">3 </w:t>
      </w:r>
      <w:r w:rsidRPr="00650D2F">
        <w:rPr>
          <w:rFonts w:cs="Times New Roman" w:hint="eastAsia"/>
        </w:rPr>
        <w:t>号的规定；</w:t>
      </w:r>
    </w:p>
    <w:p w14:paraId="3033FAF9"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3</w:t>
      </w:r>
      <w:r w:rsidRPr="00650D2F">
        <w:rPr>
          <w:rFonts w:cs="Times New Roman" w:hint="eastAsia"/>
        </w:rPr>
        <w:t>）历史建筑应按照“原位置、原面积、原工艺、原风貌”原则进行保护修缮；迁址保护的，须经专题论证并通过市政府批准。传统风貌建筑应按照“原面积、原高度、原风貌”原则进行保护修缮；</w:t>
      </w:r>
    </w:p>
    <w:p w14:paraId="552FF8C6"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4</w:t>
      </w:r>
      <w:r w:rsidRPr="00650D2F">
        <w:rPr>
          <w:rFonts w:cs="Times New Roman" w:hint="eastAsia"/>
        </w:rPr>
        <w:t>）建筑功能设置应遵循保护为主、合理利用的原则。在不改变建筑风格和内部主要结构的前提下，建筑宜作为展览、文化、办公设施或用于适宜的商业用途，禁止设置构成损害、污染以及有损其文化形象的使用功能；</w:t>
      </w:r>
    </w:p>
    <w:p w14:paraId="2C67A75C"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5</w:t>
      </w:r>
      <w:r w:rsidRPr="00650D2F">
        <w:rPr>
          <w:rFonts w:cs="Times New Roman" w:hint="eastAsia"/>
        </w:rPr>
        <w:t>）建设不破坏场地中的自然山体、水系，保护古树、名树、大乔木；</w:t>
      </w:r>
    </w:p>
    <w:p w14:paraId="1F8C4FB0" w14:textId="77777777" w:rsidR="00076964" w:rsidRPr="00650D2F" w:rsidRDefault="00076964" w:rsidP="00076964">
      <w:pPr>
        <w:ind w:firstLine="420"/>
        <w:rPr>
          <w:rFonts w:cs="Times New Roman"/>
        </w:rPr>
      </w:pPr>
      <w:r w:rsidRPr="00650D2F">
        <w:rPr>
          <w:rFonts w:cs="Times New Roman" w:hint="eastAsia"/>
        </w:rPr>
        <w:t>（</w:t>
      </w:r>
      <w:r w:rsidRPr="00650D2F">
        <w:rPr>
          <w:rFonts w:cs="Times New Roman" w:hint="eastAsia"/>
        </w:rPr>
        <w:t>6</w:t>
      </w:r>
      <w:r w:rsidRPr="00650D2F">
        <w:rPr>
          <w:rFonts w:cs="Times New Roman" w:hint="eastAsia"/>
        </w:rPr>
        <w:t>）保护修缮不破坏及减弱建筑的总体布局、建筑形态、细节符号、色彩材质、环境景观等相关要素的风格特征，并应符合《重庆历史建筑修复建设技术导则》中对应建筑风格类型的相关规定；</w:t>
      </w:r>
    </w:p>
    <w:p w14:paraId="64D9CF8D" w14:textId="77777777" w:rsidR="00076964" w:rsidRPr="00650D2F" w:rsidRDefault="00076964" w:rsidP="00076964">
      <w:pPr>
        <w:ind w:firstLine="420"/>
        <w:rPr>
          <w:rFonts w:ascii="方正仿宋_GBK" w:eastAsia="方正仿宋_GBK"/>
          <w:sz w:val="28"/>
          <w:szCs w:val="28"/>
        </w:rPr>
      </w:pPr>
      <w:r w:rsidRPr="00650D2F">
        <w:rPr>
          <w:rFonts w:cs="Times New Roman" w:hint="eastAsia"/>
        </w:rPr>
        <w:t>（</w:t>
      </w:r>
      <w:r w:rsidRPr="00650D2F">
        <w:rPr>
          <w:rFonts w:cs="Times New Roman" w:hint="eastAsia"/>
        </w:rPr>
        <w:t>7</w:t>
      </w:r>
      <w:r w:rsidRPr="00650D2F">
        <w:rPr>
          <w:rFonts w:cs="Times New Roman" w:hint="eastAsia"/>
        </w:rPr>
        <w:t>）</w:t>
      </w:r>
      <w:bookmarkStart w:id="219" w:name="_Hlk21921974"/>
      <w:r w:rsidRPr="00650D2F">
        <w:rPr>
          <w:rFonts w:cs="Times New Roman" w:hint="eastAsia"/>
        </w:rPr>
        <w:t>基础设施配套完善，建立长效管护机制。</w:t>
      </w:r>
      <w:bookmarkEnd w:id="217"/>
      <w:bookmarkEnd w:id="219"/>
    </w:p>
    <w:p w14:paraId="12FC5268" w14:textId="77777777" w:rsidR="00076964" w:rsidRPr="00650D2F" w:rsidRDefault="00076964" w:rsidP="00076964">
      <w:pPr>
        <w:ind w:firstLineChars="0" w:firstLine="0"/>
        <w:rPr>
          <w:rFonts w:cs="Times New Roman"/>
          <w:b/>
          <w:szCs w:val="24"/>
        </w:rPr>
      </w:pPr>
      <w:bookmarkStart w:id="220" w:name="_Hlk21911895"/>
      <w:bookmarkEnd w:id="214"/>
      <w:r w:rsidRPr="00650D2F">
        <w:rPr>
          <w:rFonts w:cs="Times New Roman" w:hint="eastAsia"/>
          <w:b/>
          <w:szCs w:val="24"/>
        </w:rPr>
        <w:t>【评价方法】</w:t>
      </w:r>
    </w:p>
    <w:p w14:paraId="74F20EC2" w14:textId="77777777" w:rsidR="00076964" w:rsidRPr="00650D2F" w:rsidRDefault="00076964" w:rsidP="00076964">
      <w:pPr>
        <w:ind w:firstLine="420"/>
        <w:rPr>
          <w:rFonts w:cs="Times New Roman"/>
        </w:rPr>
      </w:pPr>
      <w:r w:rsidRPr="00650D2F">
        <w:rPr>
          <w:rFonts w:cs="Times New Roman" w:hint="eastAsia"/>
        </w:rPr>
        <w:t>预评价查阅相关批文、风貌规划文件、建筑专业施工图及设计说明等设计文件，专项分析论证报告及相关佐证材料。</w:t>
      </w:r>
    </w:p>
    <w:p w14:paraId="052D2469" w14:textId="77777777" w:rsidR="00076964" w:rsidRPr="00650D2F" w:rsidRDefault="00076964" w:rsidP="00076964">
      <w:pPr>
        <w:ind w:firstLine="420"/>
        <w:rPr>
          <w:rFonts w:cs="Times New Roman"/>
        </w:rPr>
      </w:pPr>
      <w:r w:rsidRPr="00650D2F">
        <w:rPr>
          <w:rFonts w:cs="Times New Roman" w:hint="eastAsia"/>
        </w:rPr>
        <w:t>评价查阅相关批文、风貌规划文件、预评价涉及内容的竣工文件，专项分析论证报告及相关佐证材料，影像资料等其他相关材料。</w:t>
      </w:r>
    </w:p>
    <w:bookmarkEnd w:id="220"/>
    <w:p w14:paraId="6F7C1F76" w14:textId="77777777" w:rsidR="00076964" w:rsidRPr="00650D2F" w:rsidRDefault="00076964" w:rsidP="00076964">
      <w:pPr>
        <w:pStyle w:val="4"/>
        <w:rPr>
          <w:bCs w:val="0"/>
        </w:rPr>
      </w:pPr>
      <w:r w:rsidRPr="00650D2F">
        <w:rPr>
          <w:bCs w:val="0"/>
        </w:rPr>
        <w:t>9.2.3</w:t>
      </w:r>
      <w:r w:rsidRPr="00650D2F">
        <w:rPr>
          <w:rFonts w:hint="eastAsia"/>
          <w:bCs w:val="0"/>
        </w:rPr>
        <w:t>合理</w:t>
      </w:r>
      <w:bookmarkStart w:id="221" w:name="_Hlk21977839"/>
      <w:r w:rsidRPr="00650D2F">
        <w:rPr>
          <w:rFonts w:hint="eastAsia"/>
          <w:bCs w:val="0"/>
        </w:rPr>
        <w:t>选用废弃场地进行建设</w:t>
      </w:r>
      <w:bookmarkEnd w:id="221"/>
      <w:r w:rsidRPr="00650D2F">
        <w:rPr>
          <w:rFonts w:hint="eastAsia"/>
          <w:bCs w:val="0"/>
        </w:rPr>
        <w:t>，或充分利用尚可使用的旧建筑，评价分值为</w:t>
      </w:r>
      <w:r w:rsidRPr="00650D2F">
        <w:rPr>
          <w:bCs w:val="0"/>
        </w:rPr>
        <w:t>8</w:t>
      </w:r>
      <w:r w:rsidRPr="00650D2F">
        <w:rPr>
          <w:rFonts w:hint="eastAsia"/>
          <w:bCs w:val="0"/>
        </w:rPr>
        <w:t>分。</w:t>
      </w:r>
    </w:p>
    <w:p w14:paraId="07CFEF3A" w14:textId="5338595D" w:rsidR="00076964" w:rsidRPr="00650D2F" w:rsidRDefault="00076964" w:rsidP="00076964">
      <w:pPr>
        <w:pStyle w:val="20"/>
      </w:pPr>
      <w:r>
        <w:rPr>
          <w:rFonts w:hint="eastAsia"/>
        </w:rPr>
        <w:t>【</w:t>
      </w:r>
      <w:r w:rsidRPr="00650D2F">
        <w:rPr>
          <w:rFonts w:hint="eastAsia"/>
        </w:rPr>
        <w:t>条文说明</w:t>
      </w:r>
      <w:r>
        <w:rPr>
          <w:rFonts w:hint="eastAsia"/>
        </w:rPr>
        <w:t>】</w:t>
      </w:r>
    </w:p>
    <w:p w14:paraId="4F193333" w14:textId="77777777" w:rsidR="00076964" w:rsidRPr="00650D2F" w:rsidRDefault="00076964" w:rsidP="00076964">
      <w:pPr>
        <w:ind w:firstLine="420"/>
        <w:rPr>
          <w:rFonts w:cs="Times New Roman"/>
        </w:rPr>
      </w:pPr>
      <w:r w:rsidRPr="00650D2F">
        <w:rPr>
          <w:rFonts w:cs="Times New Roman"/>
        </w:rPr>
        <w:lastRenderedPageBreak/>
        <w:t>本条适用于各类民用建筑的预评价、评价。</w:t>
      </w:r>
    </w:p>
    <w:p w14:paraId="428CB537" w14:textId="61321C40" w:rsidR="00984D68" w:rsidRPr="00530A11" w:rsidRDefault="00B27CD8" w:rsidP="00984D68">
      <w:pPr>
        <w:ind w:firstLine="420"/>
        <w:rPr>
          <w:rFonts w:cs="Times New Roman"/>
        </w:rPr>
      </w:pPr>
      <w:bookmarkStart w:id="222" w:name="_Hlk36290527"/>
      <w:r w:rsidRPr="00530A11">
        <w:rPr>
          <w:rFonts w:cs="Times New Roman"/>
        </w:rPr>
        <w:t>本条沿引国家《绿色建筑评价标准》</w:t>
      </w:r>
      <w:r w:rsidRPr="00530A11">
        <w:rPr>
          <w:rFonts w:cs="Times New Roman"/>
        </w:rPr>
        <w:t>GB/T 50378-2019</w:t>
      </w:r>
      <w:r w:rsidR="00984D68">
        <w:rPr>
          <w:rFonts w:cs="Times New Roman" w:hint="eastAsia"/>
        </w:rPr>
        <w:t>。</w:t>
      </w:r>
      <w:r w:rsidR="00984D68" w:rsidRPr="00530A11">
        <w:rPr>
          <w:rFonts w:cs="Times New Roman"/>
        </w:rPr>
        <w:t>本条在国家标准</w:t>
      </w:r>
      <w:r w:rsidR="00984D68" w:rsidRPr="00530A11">
        <w:rPr>
          <w:rFonts w:cs="Times New Roman"/>
        </w:rPr>
        <w:t>2014</w:t>
      </w:r>
      <w:r w:rsidR="00984D68" w:rsidRPr="00530A11">
        <w:rPr>
          <w:rFonts w:cs="Times New Roman"/>
        </w:rPr>
        <w:t>年版第</w:t>
      </w:r>
      <w:r w:rsidR="00984D68" w:rsidRPr="00650D2F">
        <w:rPr>
          <w:rFonts w:cs="Times New Roman"/>
        </w:rPr>
        <w:t>11.2.9</w:t>
      </w:r>
      <w:r w:rsidR="00984D68" w:rsidRPr="00530A11">
        <w:rPr>
          <w:rFonts w:cs="Times New Roman"/>
        </w:rPr>
        <w:t>条，地方标准</w:t>
      </w:r>
      <w:r w:rsidR="00984D68" w:rsidRPr="00530A11">
        <w:rPr>
          <w:rFonts w:cs="Times New Roman"/>
        </w:rPr>
        <w:t>2014</w:t>
      </w:r>
      <w:r w:rsidR="00984D68" w:rsidRPr="00530A11">
        <w:rPr>
          <w:rFonts w:cs="Times New Roman"/>
        </w:rPr>
        <w:t>版第</w:t>
      </w:r>
      <w:r w:rsidR="00984D68">
        <w:rPr>
          <w:rFonts w:cs="Times New Roman" w:hint="eastAsia"/>
        </w:rPr>
        <w:t>1</w:t>
      </w:r>
      <w:r w:rsidR="00984D68">
        <w:rPr>
          <w:rFonts w:cs="Times New Roman"/>
        </w:rPr>
        <w:t>1.2.7</w:t>
      </w:r>
      <w:r w:rsidR="00984D68" w:rsidRPr="00530A11">
        <w:rPr>
          <w:rFonts w:cs="Times New Roman"/>
        </w:rPr>
        <w:t>条的基础上发展而来。</w:t>
      </w:r>
    </w:p>
    <w:bookmarkEnd w:id="222"/>
    <w:p w14:paraId="14CE0F09" w14:textId="4BCBC94F" w:rsidR="00076964" w:rsidRPr="00650D2F" w:rsidRDefault="00076964" w:rsidP="00076964">
      <w:pPr>
        <w:ind w:firstLine="420"/>
        <w:rPr>
          <w:rFonts w:cs="Times New Roman"/>
        </w:rPr>
      </w:pPr>
      <w:r w:rsidRPr="00650D2F">
        <w:rPr>
          <w:rFonts w:cs="Times New Roman" w:hint="eastAsia"/>
        </w:rPr>
        <w:t>我市为山地城市，可建设用地非常紧缺，对废弃场地进行改造并加以利用是节约集约利用土地的重要途径之一。废弃场地包括不可建设用地</w:t>
      </w:r>
      <w:r w:rsidRPr="00650D2F">
        <w:rPr>
          <w:rFonts w:cs="Times New Roman" w:hint="eastAsia"/>
        </w:rPr>
        <w:t>(</w:t>
      </w:r>
      <w:r w:rsidRPr="00650D2F">
        <w:rPr>
          <w:rFonts w:cs="Times New Roman" w:hint="eastAsia"/>
        </w:rPr>
        <w:t>由于各种原因未能使用或尚不能使用的土地，如裸岩、石砾地、陡坡地、塌陷地、盐碱地、沙荒地、沼泽地、废窑坑等</w:t>
      </w:r>
      <w:r w:rsidRPr="00650D2F">
        <w:rPr>
          <w:rFonts w:cs="Times New Roman" w:hint="eastAsia"/>
        </w:rPr>
        <w:t>)</w:t>
      </w:r>
      <w:r w:rsidRPr="00650D2F">
        <w:rPr>
          <w:rFonts w:cs="Times New Roman" w:hint="eastAsia"/>
        </w:rPr>
        <w:t>、仓库与工厂弃置地等。绿色建筑可优先考虑合理利用废弃场地，对土壤中是否含有有毒物质进行检测与再利用评估，采取土壤污染修复、污染水体净化和循环等生态补偿措施进行改造或改良，对受化学品污染的场地，应进行专项安全治理，确保场地利用不存在安全隐患，符合国家有关标准的要求。由于利用废弃场地进行绿色建筑建设，在技术难度、建设成本方面都需要付出更多努力和代价，应对优先选用废弃场地的建设理念和行为进行鼓励。本条所指的“尚可使用的旧建筑”系指建筑质量能保证使用安全的旧建筑，或通过少量改造加固后能保证使用安全的旧建筑。我市目前存在大量既有建筑，且大部分既有建筑都存在能耗高、使用功能不完善等问题。拆除其中建成时间较短的建筑，不仅会造成生态环境破坏，也是对能源资源的极大浪费。通过对既有建筑实施改造利用，不仅可以提升既有建筑的性能，而且对节能减排也有重大意义。因此，虽然目前多数项目为新建，且多为净地交付，项目方很难有权选择利用旧建筑，但仍需对少数利用“可使用的“旧建筑的行为予以鼓励，防止大拆大建。保护文物或体现风貌而留存的历史建筑和传统风貌建筑，不在本条中得分。</w:t>
      </w:r>
    </w:p>
    <w:p w14:paraId="6F91FE28" w14:textId="57233E2D" w:rsidR="00076964" w:rsidRDefault="00072032" w:rsidP="00076964">
      <w:pPr>
        <w:pStyle w:val="20"/>
      </w:pPr>
      <w:bookmarkStart w:id="223" w:name="_Hlk20445061"/>
      <w:r>
        <w:rPr>
          <w:rFonts w:hint="eastAsia"/>
        </w:rPr>
        <w:t>【</w:t>
      </w:r>
      <w:r>
        <w:rPr>
          <w:rFonts w:cs="Times New Roman" w:hint="eastAsia"/>
        </w:rPr>
        <w:t>评价要点</w:t>
      </w:r>
      <w:r>
        <w:rPr>
          <w:rFonts w:hint="eastAsia"/>
        </w:rPr>
        <w:t>】</w:t>
      </w:r>
    </w:p>
    <w:p w14:paraId="2E2A8593" w14:textId="7ECBE80C" w:rsidR="00076964" w:rsidRPr="00650D2F" w:rsidRDefault="00076964" w:rsidP="00076964">
      <w:pPr>
        <w:ind w:firstLine="420"/>
        <w:rPr>
          <w:rFonts w:cs="Times New Roman"/>
        </w:rPr>
      </w:pPr>
      <w:r w:rsidRPr="00650D2F">
        <w:rPr>
          <w:rFonts w:cs="Times New Roman" w:hint="eastAsia"/>
        </w:rPr>
        <w:t>本条最高得</w:t>
      </w:r>
      <w:r w:rsidRPr="00650D2F">
        <w:rPr>
          <w:rFonts w:cs="Times New Roman"/>
        </w:rPr>
        <w:t>8</w:t>
      </w:r>
      <w:r w:rsidRPr="00650D2F">
        <w:rPr>
          <w:rFonts w:cs="Times New Roman" w:hint="eastAsia"/>
        </w:rPr>
        <w:t>分。本条鼓励合理选用废弃场地进行建设，但应对土壤中是否含有有毒物质进行检测与再利用评估，采取土壤污染修复、污染水体净化和循环等生态补偿措施进行改造或改良，对受化学品污染的场地，应进行专项安全治理，确保场地利用不存在安全隐患，符合</w:t>
      </w:r>
      <w:r w:rsidRPr="00650D2F">
        <w:rPr>
          <w:rFonts w:cs="Times New Roman"/>
        </w:rPr>
        <w:t>TD/T 1036</w:t>
      </w:r>
      <w:r w:rsidRPr="00650D2F">
        <w:rPr>
          <w:rFonts w:cs="Times New Roman" w:hint="eastAsia"/>
        </w:rPr>
        <w:t>《土地复垦质量控制标准》等国家有关标准的要求。废弃场地通常包括括裸岩、石砾地、盐碱地、沙荒地、废窑坑、废旧仓库或工厂弃置地等。本条评价需查阅废弃场地再利用检测报告、环评报告及政府国土和环保部门的批复、再利用评估报告。评估报告应根据国家相关标准、场地污染检测结果、场地及周边地区环境影响和全寿命周期成本，提出场地改造或土壤改良等相关措施，确定改造或改良后的场地水文地质及污染物控制指标。</w:t>
      </w:r>
    </w:p>
    <w:p w14:paraId="30533098" w14:textId="77777777" w:rsidR="00076964" w:rsidRPr="00650D2F" w:rsidRDefault="00076964" w:rsidP="00076964">
      <w:pPr>
        <w:ind w:firstLine="420"/>
        <w:rPr>
          <w:rFonts w:cs="Times New Roman"/>
        </w:rPr>
      </w:pPr>
      <w:r w:rsidRPr="00650D2F">
        <w:rPr>
          <w:rFonts w:cs="Times New Roman" w:hint="eastAsia"/>
        </w:rPr>
        <w:t>建设用地一半及以上选用废弃场地进行建设，得</w:t>
      </w:r>
      <w:r w:rsidRPr="00650D2F">
        <w:rPr>
          <w:rFonts w:cs="Times New Roman"/>
        </w:rPr>
        <w:t>8</w:t>
      </w:r>
      <w:r w:rsidRPr="00650D2F">
        <w:rPr>
          <w:rFonts w:cs="Times New Roman" w:hint="eastAsia"/>
        </w:rPr>
        <w:t>分。</w:t>
      </w:r>
    </w:p>
    <w:p w14:paraId="027C090B" w14:textId="77777777" w:rsidR="00076964" w:rsidRPr="00650D2F" w:rsidRDefault="00076964" w:rsidP="00076964">
      <w:pPr>
        <w:ind w:firstLine="420"/>
        <w:rPr>
          <w:rFonts w:cs="Times New Roman"/>
        </w:rPr>
      </w:pPr>
      <w:r w:rsidRPr="00650D2F">
        <w:rPr>
          <w:rFonts w:cs="Times New Roman" w:hint="eastAsia"/>
        </w:rPr>
        <w:t>本条所指的“尚可使用的旧建筑”系指建筑质量能保证使用安全的旧建筑，或通过少量改造加固后能保证使用安全的旧建筑。评价时查阅场地内旧建筑再利用检测报告，判断旧建</w:t>
      </w:r>
      <w:r w:rsidRPr="00650D2F">
        <w:rPr>
          <w:rFonts w:cs="Times New Roman" w:hint="eastAsia"/>
        </w:rPr>
        <w:lastRenderedPageBreak/>
        <w:t>筑是否可以安全利用；查阅再利用评估报告，评价改造措施和全寿命周期成本的合理性、对地区风貌和使用功能的影响。单体建筑评价时，对旧建筑立面、建筑主体结构加以保留均可得</w:t>
      </w:r>
      <w:r w:rsidRPr="00650D2F">
        <w:rPr>
          <w:rFonts w:cs="Times New Roman" w:hint="eastAsia"/>
        </w:rPr>
        <w:t>8</w:t>
      </w:r>
      <w:r w:rsidRPr="00650D2F">
        <w:rPr>
          <w:rFonts w:cs="Times New Roman" w:hint="eastAsia"/>
        </w:rPr>
        <w:t>分。群体建筑评价时，场地中的四分之一及以上楼栋或地上总建筑面积规模的四分之一及以上，且不少于一座建筑利用了旧建筑，该项目得</w:t>
      </w:r>
      <w:r w:rsidRPr="00650D2F">
        <w:rPr>
          <w:rFonts w:cs="Times New Roman"/>
        </w:rPr>
        <w:t>8</w:t>
      </w:r>
      <w:r w:rsidRPr="00650D2F">
        <w:rPr>
          <w:rFonts w:cs="Times New Roman" w:hint="eastAsia"/>
        </w:rPr>
        <w:t>分。对于保护文物或体现风貌而留存的历史建筑和传统风貌建筑，不在本条中得分。</w:t>
      </w:r>
    </w:p>
    <w:p w14:paraId="6B73ABF5" w14:textId="77777777" w:rsidR="00076964" w:rsidRPr="00650D2F" w:rsidRDefault="00076964" w:rsidP="009252F8">
      <w:pPr>
        <w:pStyle w:val="20"/>
      </w:pPr>
      <w:r w:rsidRPr="00650D2F">
        <w:rPr>
          <w:rFonts w:hint="eastAsia"/>
        </w:rPr>
        <w:t>【评价方法】</w:t>
      </w:r>
    </w:p>
    <w:p w14:paraId="4F98C25A" w14:textId="77777777" w:rsidR="00076964" w:rsidRPr="00650D2F" w:rsidRDefault="00076964" w:rsidP="00076964">
      <w:pPr>
        <w:ind w:firstLine="420"/>
        <w:rPr>
          <w:rFonts w:cs="Times New Roman"/>
        </w:rPr>
      </w:pPr>
      <w:r w:rsidRPr="00650D2F">
        <w:rPr>
          <w:rFonts w:cs="Times New Roman"/>
        </w:rPr>
        <w:t>预评价查阅建设项目规划设计总平面图、建筑</w:t>
      </w:r>
      <w:r w:rsidRPr="00650D2F">
        <w:rPr>
          <w:rFonts w:cs="Times New Roman" w:hint="eastAsia"/>
        </w:rPr>
        <w:t>和</w:t>
      </w:r>
      <w:r w:rsidRPr="00650D2F">
        <w:rPr>
          <w:rFonts w:cs="Times New Roman"/>
        </w:rPr>
        <w:t>结构专业设计说明等设计文件，环评报告</w:t>
      </w:r>
      <w:r w:rsidRPr="00650D2F">
        <w:rPr>
          <w:rFonts w:cs="Times New Roman" w:hint="eastAsia"/>
        </w:rPr>
        <w:t>及政府国土和环保部门的批复（仅选用废弃场地进行建设需要）</w:t>
      </w:r>
      <w:r w:rsidRPr="00650D2F">
        <w:rPr>
          <w:rFonts w:cs="Times New Roman"/>
        </w:rPr>
        <w:t>，</w:t>
      </w:r>
      <w:r w:rsidRPr="00650D2F">
        <w:rPr>
          <w:rFonts w:cs="Times New Roman" w:hint="eastAsia"/>
        </w:rPr>
        <w:t>废弃场地或</w:t>
      </w:r>
      <w:r w:rsidRPr="00650D2F">
        <w:rPr>
          <w:rFonts w:cs="Times New Roman"/>
        </w:rPr>
        <w:t>旧建筑</w:t>
      </w:r>
      <w:r w:rsidRPr="00650D2F">
        <w:rPr>
          <w:rFonts w:cs="Times New Roman" w:hint="eastAsia"/>
        </w:rPr>
        <w:t>再</w:t>
      </w:r>
      <w:r w:rsidRPr="00650D2F">
        <w:rPr>
          <w:rFonts w:cs="Times New Roman"/>
        </w:rPr>
        <w:t>利用</w:t>
      </w:r>
      <w:r w:rsidRPr="00650D2F">
        <w:rPr>
          <w:rFonts w:cs="Times New Roman" w:hint="eastAsia"/>
        </w:rPr>
        <w:t>检测报告和评估报告</w:t>
      </w:r>
      <w:r w:rsidRPr="00650D2F">
        <w:rPr>
          <w:rFonts w:cs="Times New Roman"/>
        </w:rPr>
        <w:t>。</w:t>
      </w:r>
    </w:p>
    <w:p w14:paraId="3264DA47" w14:textId="23E754B4" w:rsidR="00076964" w:rsidRDefault="00076964" w:rsidP="00076964">
      <w:pPr>
        <w:ind w:firstLine="420"/>
        <w:rPr>
          <w:rFonts w:ascii="方正仿宋_GBK" w:eastAsia="方正仿宋_GBK" w:cs="Times New Roman"/>
          <w:bCs/>
          <w:sz w:val="28"/>
          <w:szCs w:val="28"/>
        </w:rPr>
      </w:pPr>
      <w:r w:rsidRPr="00650D2F">
        <w:rPr>
          <w:rFonts w:cs="Times New Roman"/>
        </w:rPr>
        <w:t>评价查阅预评价涉及内容的竣工文件，</w:t>
      </w:r>
      <w:r w:rsidRPr="00650D2F">
        <w:rPr>
          <w:rFonts w:cs="Times New Roman" w:hint="eastAsia"/>
        </w:rPr>
        <w:t>环评报告及政府国土和环保部门的批复（仅选用废弃场地进行建设需要），废弃场地或旧建筑再利用检测报告</w:t>
      </w:r>
      <w:bookmarkStart w:id="224" w:name="_Hlk21979231"/>
      <w:r w:rsidRPr="00650D2F">
        <w:rPr>
          <w:rFonts w:cs="Times New Roman" w:hint="eastAsia"/>
        </w:rPr>
        <w:t>和评估报告</w:t>
      </w:r>
      <w:bookmarkEnd w:id="224"/>
      <w:r w:rsidRPr="00650D2F">
        <w:rPr>
          <w:rFonts w:cs="Times New Roman" w:hint="eastAsia"/>
        </w:rPr>
        <w:t>。</w:t>
      </w:r>
      <w:bookmarkEnd w:id="223"/>
    </w:p>
    <w:p w14:paraId="7CA955A7" w14:textId="77777777" w:rsidR="00076964" w:rsidRPr="00D4415F" w:rsidRDefault="00076964" w:rsidP="00761DC6">
      <w:pPr>
        <w:ind w:firstLine="560"/>
        <w:rPr>
          <w:rFonts w:ascii="方正仿宋_GBK" w:eastAsia="方正仿宋_GBK" w:cs="Times New Roman"/>
          <w:bCs/>
          <w:sz w:val="28"/>
          <w:szCs w:val="28"/>
        </w:rPr>
      </w:pPr>
    </w:p>
    <w:p w14:paraId="621698A1" w14:textId="77777777" w:rsidR="00076964" w:rsidRDefault="00076964" w:rsidP="00076964">
      <w:pPr>
        <w:pStyle w:val="4"/>
        <w:rPr>
          <w:bCs w:val="0"/>
        </w:rPr>
      </w:pPr>
      <w:bookmarkStart w:id="225" w:name="_Hlk35680803"/>
      <w:r w:rsidRPr="00650D2F">
        <w:rPr>
          <w:bCs w:val="0"/>
        </w:rPr>
        <w:t>9.2.4</w:t>
      </w:r>
      <w:bookmarkEnd w:id="225"/>
      <w:r w:rsidRPr="00650D2F">
        <w:rPr>
          <w:rFonts w:hint="eastAsia"/>
          <w:bCs w:val="0"/>
        </w:rPr>
        <w:t>场地绿容率不低于</w:t>
      </w:r>
      <w:r w:rsidRPr="00650D2F">
        <w:rPr>
          <w:bCs w:val="0"/>
        </w:rPr>
        <w:t>3.0</w:t>
      </w:r>
      <w:r w:rsidRPr="00650D2F">
        <w:rPr>
          <w:rFonts w:hint="eastAsia"/>
          <w:bCs w:val="0"/>
        </w:rPr>
        <w:t>，评价总分值为</w:t>
      </w:r>
      <w:r w:rsidRPr="00650D2F">
        <w:rPr>
          <w:bCs w:val="0"/>
        </w:rPr>
        <w:t>5</w:t>
      </w:r>
      <w:r w:rsidRPr="00650D2F">
        <w:rPr>
          <w:rFonts w:hint="eastAsia"/>
          <w:bCs w:val="0"/>
        </w:rPr>
        <w:t>分，并按下列规则评分：</w:t>
      </w:r>
    </w:p>
    <w:p w14:paraId="17EA333B" w14:textId="7A33DDDD" w:rsidR="00076964" w:rsidRPr="00650D2F" w:rsidRDefault="00076964" w:rsidP="00076964">
      <w:pPr>
        <w:ind w:firstLineChars="94" w:firstLine="198"/>
        <w:rPr>
          <w:rFonts w:cs="Times New Roman"/>
          <w:b/>
          <w:bCs/>
        </w:rPr>
      </w:pPr>
      <w:r w:rsidRPr="00650D2F">
        <w:rPr>
          <w:rFonts w:cs="Times New Roman"/>
          <w:b/>
          <w:bCs/>
        </w:rPr>
        <w:t>1</w:t>
      </w:r>
      <w:r>
        <w:rPr>
          <w:rFonts w:cs="Times New Roman" w:hint="eastAsia"/>
          <w:b/>
          <w:bCs/>
        </w:rPr>
        <w:t xml:space="preserve"> </w:t>
      </w:r>
      <w:r w:rsidRPr="00650D2F">
        <w:rPr>
          <w:rFonts w:cs="Times New Roman" w:hint="eastAsia"/>
          <w:b/>
          <w:bCs/>
        </w:rPr>
        <w:t>场地绿容率计算值不低于</w:t>
      </w:r>
      <w:r w:rsidRPr="00650D2F">
        <w:rPr>
          <w:rFonts w:cs="Times New Roman"/>
          <w:b/>
          <w:bCs/>
        </w:rPr>
        <w:t>3.0</w:t>
      </w:r>
      <w:r w:rsidRPr="00650D2F">
        <w:rPr>
          <w:rFonts w:cs="Times New Roman" w:hint="eastAsia"/>
          <w:b/>
          <w:bCs/>
        </w:rPr>
        <w:t>，得</w:t>
      </w:r>
      <w:r w:rsidRPr="00650D2F">
        <w:rPr>
          <w:rFonts w:cs="Times New Roman"/>
          <w:b/>
          <w:bCs/>
        </w:rPr>
        <w:t>3</w:t>
      </w:r>
      <w:r w:rsidRPr="00650D2F">
        <w:rPr>
          <w:rFonts w:cs="Times New Roman" w:hint="eastAsia"/>
          <w:b/>
          <w:bCs/>
        </w:rPr>
        <w:t>分。</w:t>
      </w:r>
    </w:p>
    <w:p w14:paraId="0EBC10A4" w14:textId="74A5E79A" w:rsidR="00076964" w:rsidRPr="00650D2F" w:rsidRDefault="00076964" w:rsidP="00076964">
      <w:pPr>
        <w:ind w:firstLineChars="94" w:firstLine="198"/>
        <w:rPr>
          <w:rFonts w:cs="Times New Roman"/>
          <w:b/>
          <w:bCs/>
        </w:rPr>
      </w:pPr>
      <w:r w:rsidRPr="00650D2F">
        <w:rPr>
          <w:rFonts w:cs="Times New Roman"/>
          <w:b/>
          <w:bCs/>
        </w:rPr>
        <w:t>2</w:t>
      </w:r>
      <w:r>
        <w:rPr>
          <w:rFonts w:cs="Times New Roman" w:hint="eastAsia"/>
          <w:b/>
          <w:bCs/>
        </w:rPr>
        <w:t xml:space="preserve"> </w:t>
      </w:r>
      <w:r w:rsidRPr="00650D2F">
        <w:rPr>
          <w:rFonts w:cs="Times New Roman" w:hint="eastAsia"/>
          <w:b/>
          <w:bCs/>
        </w:rPr>
        <w:t>场地绿容率实测值不低于</w:t>
      </w:r>
      <w:r w:rsidRPr="00650D2F">
        <w:rPr>
          <w:rFonts w:cs="Times New Roman"/>
          <w:b/>
          <w:bCs/>
        </w:rPr>
        <w:t>3.0</w:t>
      </w:r>
      <w:r w:rsidRPr="00650D2F">
        <w:rPr>
          <w:rFonts w:cs="Times New Roman" w:hint="eastAsia"/>
          <w:b/>
          <w:bCs/>
        </w:rPr>
        <w:t>，得</w:t>
      </w:r>
      <w:r w:rsidRPr="00650D2F">
        <w:rPr>
          <w:rFonts w:cs="Times New Roman"/>
          <w:b/>
          <w:bCs/>
        </w:rPr>
        <w:t>5</w:t>
      </w:r>
      <w:r w:rsidRPr="00650D2F">
        <w:rPr>
          <w:rFonts w:cs="Times New Roman" w:hint="eastAsia"/>
          <w:b/>
          <w:bCs/>
        </w:rPr>
        <w:t>分。</w:t>
      </w:r>
    </w:p>
    <w:p w14:paraId="5FD70B83" w14:textId="01740B4B" w:rsidR="00076964" w:rsidRPr="009252F8" w:rsidRDefault="00076964" w:rsidP="009252F8">
      <w:pPr>
        <w:pStyle w:val="20"/>
      </w:pPr>
      <w:r>
        <w:rPr>
          <w:rFonts w:hint="eastAsia"/>
        </w:rPr>
        <w:t>【</w:t>
      </w:r>
      <w:r w:rsidRPr="00650D2F">
        <w:rPr>
          <w:rFonts w:hint="eastAsia"/>
        </w:rPr>
        <w:t>条文说明</w:t>
      </w:r>
      <w:r>
        <w:rPr>
          <w:rFonts w:hint="eastAsia"/>
        </w:rPr>
        <w:t>】</w:t>
      </w:r>
    </w:p>
    <w:p w14:paraId="57E199AC" w14:textId="77777777" w:rsidR="00076964" w:rsidRPr="00650D2F" w:rsidRDefault="00076964" w:rsidP="00076964">
      <w:pPr>
        <w:ind w:firstLine="420"/>
        <w:rPr>
          <w:rFonts w:cs="Times New Roman"/>
        </w:rPr>
      </w:pPr>
      <w:r w:rsidRPr="00650D2F">
        <w:rPr>
          <w:rFonts w:cs="Times New Roman"/>
        </w:rPr>
        <w:t>本条适用于各类民用建筑的预评价、评价。</w:t>
      </w:r>
    </w:p>
    <w:p w14:paraId="04D149B5" w14:textId="20B05288" w:rsidR="00076964" w:rsidRPr="00650D2F" w:rsidRDefault="009B5A87" w:rsidP="00076964">
      <w:pPr>
        <w:ind w:firstLine="420"/>
        <w:rPr>
          <w:rFonts w:cs="Times New Roman"/>
        </w:rPr>
      </w:pPr>
      <w:bookmarkStart w:id="226" w:name="_Hlk36290625"/>
      <w:r w:rsidRPr="00530A11">
        <w:rPr>
          <w:rFonts w:cs="Times New Roman"/>
          <w:szCs w:val="24"/>
        </w:rPr>
        <w:t>本条沿引国家《绿色建筑评价标准》</w:t>
      </w:r>
      <w:r w:rsidRPr="00530A11">
        <w:rPr>
          <w:rFonts w:cs="Times New Roman"/>
          <w:szCs w:val="24"/>
        </w:rPr>
        <w:t>GB/T 50378-2019</w:t>
      </w:r>
      <w:r w:rsidR="00076964" w:rsidRPr="00650D2F">
        <w:rPr>
          <w:rFonts w:cs="Times New Roman" w:hint="eastAsia"/>
        </w:rPr>
        <w:t>。</w:t>
      </w:r>
      <w:bookmarkEnd w:id="226"/>
      <w:r w:rsidR="00076964" w:rsidRPr="00650D2F">
        <w:rPr>
          <w:rFonts w:cs="Times New Roman" w:hint="eastAsia"/>
        </w:rPr>
        <w:t>绿容率是指场地内各类植被叶面积总量与场地面积的比值。叶面积是生态学中研究植物群落、结构和功能的关键性指标，它与植物生物量、固碳释氧、调节环境等功能关系密切，较高的绿容率往往代表较好的生态效益。目前常见的绿地率是十分重要的场地生态评价指标，但由于乔灌草生态效益的不同，绿地率这样的面积型指标无法全面表征场地绿地的空间生态水平，同样的绿地率在不同的景观配置方案下代表的生态效益差异可能较大，因此，绿容率可以作为绿地率的有效补充。</w:t>
      </w:r>
    </w:p>
    <w:p w14:paraId="6C055FA5" w14:textId="4BE5A92D" w:rsidR="00076964" w:rsidRPr="00650D2F" w:rsidRDefault="00076964" w:rsidP="00076964">
      <w:pPr>
        <w:ind w:firstLine="420"/>
        <w:rPr>
          <w:rFonts w:cs="Times New Roman"/>
        </w:rPr>
      </w:pPr>
      <w:r w:rsidRPr="00650D2F">
        <w:rPr>
          <w:rFonts w:cs="Times New Roman" w:hint="eastAsia"/>
        </w:rPr>
        <w:t>为了合理提高绿容率，可优先保留场地原生树种和植被，合理配置叶面积指数较高的树种，提倡立体绿化，加强绿化养护，提高植被健康水平。绿化配置时避免影响低层用户的日照和采光。为便于评价，本条的绿容率可采用如下简化计算公式：绿容率</w:t>
      </w:r>
      <w:r w:rsidRPr="00650D2F">
        <w:rPr>
          <w:rFonts w:cs="Times New Roman"/>
        </w:rPr>
        <w:t>=[Σ(</w:t>
      </w:r>
      <w:r w:rsidRPr="00650D2F">
        <w:rPr>
          <w:rFonts w:cs="Times New Roman" w:hint="eastAsia"/>
        </w:rPr>
        <w:t>乔木叶面积指数</w:t>
      </w:r>
      <w:r w:rsidR="00E56BCA" w:rsidRPr="00650D2F">
        <w:rPr>
          <w:rFonts w:cs="Times New Roman" w:hint="eastAsia"/>
        </w:rPr>
        <w:t>×</w:t>
      </w:r>
      <w:r w:rsidRPr="00650D2F">
        <w:rPr>
          <w:rFonts w:cs="Times New Roman" w:hint="eastAsia"/>
        </w:rPr>
        <w:t>乔木投影面积</w:t>
      </w:r>
      <w:r w:rsidR="00E56BCA" w:rsidRPr="00650D2F">
        <w:rPr>
          <w:rFonts w:cs="Times New Roman" w:hint="eastAsia"/>
        </w:rPr>
        <w:t>×</w:t>
      </w:r>
      <w:r w:rsidRPr="00650D2F">
        <w:rPr>
          <w:rFonts w:cs="Times New Roman" w:hint="eastAsia"/>
        </w:rPr>
        <w:t>乔木株数）＋灌木占地面积</w:t>
      </w:r>
      <w:r w:rsidR="00E56BCA" w:rsidRPr="00650D2F">
        <w:rPr>
          <w:rFonts w:cs="Times New Roman" w:hint="eastAsia"/>
        </w:rPr>
        <w:t>×</w:t>
      </w:r>
      <w:r w:rsidRPr="00650D2F">
        <w:rPr>
          <w:rFonts w:cs="Times New Roman"/>
        </w:rPr>
        <w:t>3</w:t>
      </w:r>
      <w:r w:rsidRPr="00650D2F">
        <w:rPr>
          <w:rFonts w:cs="Times New Roman" w:hint="eastAsia"/>
        </w:rPr>
        <w:t>十草地占地面积</w:t>
      </w:r>
      <w:r w:rsidR="00E56BCA" w:rsidRPr="00650D2F">
        <w:rPr>
          <w:rFonts w:cs="Times New Roman" w:hint="eastAsia"/>
        </w:rPr>
        <w:t>×</w:t>
      </w:r>
      <w:r w:rsidRPr="00650D2F">
        <w:rPr>
          <w:rFonts w:cs="Times New Roman"/>
        </w:rPr>
        <w:t>1]/</w:t>
      </w:r>
      <w:r w:rsidRPr="00650D2F">
        <w:rPr>
          <w:rFonts w:cs="Times New Roman" w:hint="eastAsia"/>
        </w:rPr>
        <w:t>场地面积。冠层稀疏类乔木叶面积指数按</w:t>
      </w:r>
      <w:r w:rsidRPr="00650D2F">
        <w:rPr>
          <w:rFonts w:cs="Times New Roman"/>
        </w:rPr>
        <w:t>2</w:t>
      </w:r>
      <w:r w:rsidRPr="00650D2F">
        <w:rPr>
          <w:rFonts w:cs="Times New Roman" w:hint="eastAsia"/>
        </w:rPr>
        <w:t>取值，冠层密集类乔木叶面积指数按</w:t>
      </w:r>
      <w:r w:rsidRPr="00650D2F">
        <w:rPr>
          <w:rFonts w:cs="Times New Roman"/>
        </w:rPr>
        <w:t>4</w:t>
      </w:r>
      <w:r w:rsidRPr="00650D2F">
        <w:rPr>
          <w:rFonts w:cs="Times New Roman" w:hint="eastAsia"/>
        </w:rPr>
        <w:t>取值，乔木投影面积按苗木表数据进行计算，场地内的立体绿化均可纳入计算。</w:t>
      </w:r>
    </w:p>
    <w:p w14:paraId="2533344E" w14:textId="77777777" w:rsidR="00076964" w:rsidRPr="00650D2F" w:rsidRDefault="00076964" w:rsidP="00076964">
      <w:pPr>
        <w:ind w:firstLine="420"/>
        <w:rPr>
          <w:rFonts w:cs="Times New Roman"/>
        </w:rPr>
      </w:pPr>
      <w:r w:rsidRPr="00650D2F">
        <w:rPr>
          <w:rFonts w:cs="Times New Roman" w:hint="eastAsia"/>
        </w:rPr>
        <w:lastRenderedPageBreak/>
        <w:t>除以上简化计算方法外，鼓励有条件地区采用当地建设主管部门认可的常用植物叶面积调研数据进行绿容率计算；也可提供以实际测量数据为依据的绿容率测量报告，测量时间可为全年叶面积较多的季节。</w:t>
      </w:r>
    </w:p>
    <w:p w14:paraId="386A5573" w14:textId="436EF694" w:rsidR="00076964" w:rsidRPr="00650D2F" w:rsidRDefault="00076964" w:rsidP="00076964">
      <w:pPr>
        <w:pStyle w:val="20"/>
      </w:pPr>
      <w:r>
        <w:rPr>
          <w:rFonts w:hint="eastAsia"/>
        </w:rPr>
        <w:t>【</w:t>
      </w:r>
      <w:r w:rsidRPr="00650D2F">
        <w:rPr>
          <w:rFonts w:hint="eastAsia"/>
        </w:rPr>
        <w:t>评价要点</w:t>
      </w:r>
      <w:r>
        <w:rPr>
          <w:rFonts w:hint="eastAsia"/>
        </w:rPr>
        <w:t>】</w:t>
      </w:r>
    </w:p>
    <w:p w14:paraId="625CF0B2" w14:textId="77777777" w:rsidR="00076964" w:rsidRPr="00650D2F" w:rsidRDefault="00076964" w:rsidP="00076964">
      <w:pPr>
        <w:ind w:firstLine="420"/>
        <w:rPr>
          <w:rFonts w:cs="Times New Roman"/>
        </w:rPr>
      </w:pPr>
      <w:r w:rsidRPr="00650D2F">
        <w:rPr>
          <w:rFonts w:cs="Times New Roman" w:hint="eastAsia"/>
        </w:rPr>
        <w:t>绿容率是指场地内各类植被叶面积总量与场地面积的比值，是十分重要的场地生态评价指标，虽无法全面表征场地绿地的空间生态水平，但可作为绿地率的有效补充。其中，场地面积是指项目红线内的总用地面积。</w:t>
      </w:r>
    </w:p>
    <w:p w14:paraId="228AC74A" w14:textId="77777777" w:rsidR="00076964" w:rsidRPr="00650D2F" w:rsidRDefault="00076964" w:rsidP="00076964">
      <w:pPr>
        <w:ind w:firstLine="420"/>
        <w:rPr>
          <w:rFonts w:cs="Times New Roman"/>
        </w:rPr>
      </w:pPr>
      <w:r w:rsidRPr="00650D2F">
        <w:rPr>
          <w:rFonts w:cs="Times New Roman" w:hint="eastAsia"/>
        </w:rPr>
        <w:t>第</w:t>
      </w:r>
      <w:r w:rsidRPr="00650D2F">
        <w:rPr>
          <w:rFonts w:cs="Times New Roman"/>
        </w:rPr>
        <w:t>1</w:t>
      </w:r>
      <w:r w:rsidRPr="00650D2F">
        <w:rPr>
          <w:rFonts w:cs="Times New Roman" w:hint="eastAsia"/>
        </w:rPr>
        <w:t>款，绿容率可采用如下公式计算：</w:t>
      </w:r>
    </w:p>
    <w:p w14:paraId="410C2791" w14:textId="77777777" w:rsidR="00076964" w:rsidRPr="00650D2F" w:rsidRDefault="00076964" w:rsidP="00076964">
      <w:pPr>
        <w:ind w:firstLine="420"/>
        <w:rPr>
          <w:rFonts w:cs="Times New Roman"/>
        </w:rPr>
      </w:pPr>
      <w:r w:rsidRPr="00650D2F">
        <w:rPr>
          <w:rFonts w:cs="Times New Roman" w:hint="eastAsia"/>
        </w:rPr>
        <w:t>绿容率</w:t>
      </w:r>
      <w:r w:rsidRPr="00650D2F">
        <w:rPr>
          <w:rFonts w:cs="Times New Roman"/>
        </w:rPr>
        <w:t>=[</w:t>
      </w:r>
      <w:r w:rsidRPr="00650D2F">
        <w:rPr>
          <w:rFonts w:cs="Times New Roman" w:hint="eastAsia"/>
        </w:rPr>
        <w:t>∑（乔木叶面积指数×乔木投影面积×乔木株数）</w:t>
      </w:r>
      <w:r w:rsidRPr="00650D2F">
        <w:rPr>
          <w:rFonts w:cs="Times New Roman"/>
        </w:rPr>
        <w:t>+</w:t>
      </w:r>
      <w:r w:rsidRPr="00650D2F">
        <w:rPr>
          <w:rFonts w:cs="Times New Roman" w:hint="eastAsia"/>
        </w:rPr>
        <w:t>灌木占地面积×</w:t>
      </w:r>
      <w:r w:rsidRPr="00650D2F">
        <w:rPr>
          <w:rFonts w:cs="Times New Roman"/>
        </w:rPr>
        <w:t>3+</w:t>
      </w:r>
      <w:r w:rsidRPr="00650D2F">
        <w:rPr>
          <w:rFonts w:cs="Times New Roman" w:hint="eastAsia"/>
        </w:rPr>
        <w:t>草地占地面积×</w:t>
      </w:r>
      <w:r w:rsidRPr="00650D2F">
        <w:rPr>
          <w:rFonts w:cs="Times New Roman"/>
        </w:rPr>
        <w:t>1]/</w:t>
      </w:r>
      <w:r w:rsidRPr="00650D2F">
        <w:rPr>
          <w:rFonts w:cs="Times New Roman" w:hint="eastAsia"/>
        </w:rPr>
        <w:t>场地面积。</w:t>
      </w:r>
    </w:p>
    <w:p w14:paraId="0A56BCAC" w14:textId="77777777" w:rsidR="00076964" w:rsidRPr="00650D2F" w:rsidRDefault="00076964" w:rsidP="00076964">
      <w:pPr>
        <w:ind w:firstLine="420"/>
        <w:rPr>
          <w:rFonts w:cs="Times New Roman"/>
        </w:rPr>
      </w:pPr>
      <w:r w:rsidRPr="00650D2F">
        <w:rPr>
          <w:rFonts w:cs="Times New Roman" w:hint="eastAsia"/>
        </w:rPr>
        <w:t>其中，冠层稀疏类乔木叶面积指数按</w:t>
      </w:r>
      <w:r w:rsidRPr="00650D2F">
        <w:rPr>
          <w:rFonts w:cs="Times New Roman"/>
        </w:rPr>
        <w:t>2</w:t>
      </w:r>
      <w:r w:rsidRPr="00650D2F">
        <w:rPr>
          <w:rFonts w:cs="Times New Roman" w:hint="eastAsia"/>
        </w:rPr>
        <w:t>取值，冠层密集类乔木叶面积指数按</w:t>
      </w:r>
      <w:r w:rsidRPr="00650D2F">
        <w:rPr>
          <w:rFonts w:cs="Times New Roman"/>
        </w:rPr>
        <w:t>4</w:t>
      </w:r>
      <w:r w:rsidRPr="00650D2F">
        <w:rPr>
          <w:rFonts w:cs="Times New Roman" w:hint="eastAsia"/>
        </w:rPr>
        <w:t>取值（纳入冠层密集类的乔木需提供该类苗木的图片说明）；乔木投影面积按苗木表数据计算，可按设计冠幅中间值进行取值；场地内的立体绿化如屋面绿化和垂直绿化均可纳入计算。</w:t>
      </w:r>
    </w:p>
    <w:p w14:paraId="3C90C18A" w14:textId="77777777" w:rsidR="00076964" w:rsidRPr="00650D2F" w:rsidRDefault="00076964" w:rsidP="00076964">
      <w:pPr>
        <w:ind w:firstLine="420"/>
        <w:rPr>
          <w:rFonts w:cs="Times New Roman"/>
        </w:rPr>
      </w:pPr>
      <w:r w:rsidRPr="00650D2F">
        <w:rPr>
          <w:rFonts w:cs="Times New Roman" w:hint="eastAsia"/>
        </w:rPr>
        <w:t>本款乔木叶面积指数和乔木投影面积按《重庆市常用乔木表》取值后进行绿容率计算。</w:t>
      </w:r>
    </w:p>
    <w:p w14:paraId="185DA7AC" w14:textId="77777777" w:rsidR="00076964" w:rsidRPr="00650D2F" w:rsidRDefault="00076964" w:rsidP="00076964">
      <w:pPr>
        <w:ind w:firstLine="420"/>
        <w:rPr>
          <w:rFonts w:cs="Times New Roman"/>
        </w:rPr>
      </w:pPr>
      <w:r w:rsidRPr="00650D2F">
        <w:rPr>
          <w:rFonts w:cs="Times New Roman" w:hint="eastAsia"/>
        </w:rPr>
        <w:t>第</w:t>
      </w:r>
      <w:r w:rsidRPr="00650D2F">
        <w:rPr>
          <w:rFonts w:cs="Times New Roman"/>
        </w:rPr>
        <w:t>2</w:t>
      </w:r>
      <w:r w:rsidRPr="00650D2F">
        <w:rPr>
          <w:rFonts w:cs="Times New Roman" w:hint="eastAsia"/>
        </w:rPr>
        <w:t>款，可提供以实际测量数据为依据的绿容率测量报告。测量时间可选择全年叶面积较多的季节，对乔木株数、乔木投影面积（即冠幅面积）、灌木和草地占地面积、各类乔木叶面积指数等进行实测。</w:t>
      </w:r>
    </w:p>
    <w:p w14:paraId="5BF63179" w14:textId="77777777" w:rsidR="00076964" w:rsidRPr="00650D2F" w:rsidRDefault="00076964" w:rsidP="00076964">
      <w:pPr>
        <w:ind w:firstLineChars="0" w:firstLine="0"/>
        <w:rPr>
          <w:rFonts w:cs="Times New Roman"/>
          <w:b/>
          <w:szCs w:val="24"/>
        </w:rPr>
      </w:pPr>
      <w:r w:rsidRPr="00650D2F">
        <w:rPr>
          <w:rFonts w:cs="Times New Roman" w:hint="eastAsia"/>
          <w:b/>
          <w:szCs w:val="24"/>
        </w:rPr>
        <w:t>【评价方法】</w:t>
      </w:r>
    </w:p>
    <w:p w14:paraId="0ED4CD72" w14:textId="77777777" w:rsidR="00076964" w:rsidRPr="00650D2F" w:rsidRDefault="00076964" w:rsidP="00076964">
      <w:pPr>
        <w:ind w:firstLine="420"/>
        <w:rPr>
          <w:rFonts w:cs="Times New Roman"/>
        </w:rPr>
      </w:pPr>
      <w:r w:rsidRPr="00650D2F">
        <w:rPr>
          <w:rFonts w:cs="Times New Roman"/>
        </w:rPr>
        <w:t>预评价查阅绿化种植平面图、苗木表等景观设计文件，绿容率计算书。重点审核面积计算或测量是否合理，叶面积指数取值是否符合要求，叶面积测量是否符合要求。</w:t>
      </w:r>
    </w:p>
    <w:p w14:paraId="14DA43C4" w14:textId="77777777" w:rsidR="00076964" w:rsidRDefault="00076964" w:rsidP="00076964">
      <w:pPr>
        <w:ind w:firstLine="420"/>
        <w:rPr>
          <w:rFonts w:cs="Times New Roman"/>
        </w:rPr>
      </w:pPr>
      <w:r w:rsidRPr="00650D2F">
        <w:rPr>
          <w:rFonts w:cs="Times New Roman"/>
        </w:rPr>
        <w:t>评价查阅预评价涉及内容的竣工文件，还查阅绿容率计算书或植被叶面积测量报告等证明材料。</w:t>
      </w:r>
    </w:p>
    <w:p w14:paraId="14667645" w14:textId="77777777" w:rsidR="00076964" w:rsidRPr="00650D2F" w:rsidRDefault="00076964" w:rsidP="00076964">
      <w:pPr>
        <w:ind w:firstLine="420"/>
        <w:rPr>
          <w:rFonts w:cs="Times New Roman"/>
        </w:rPr>
      </w:pPr>
    </w:p>
    <w:p w14:paraId="39D3F428" w14:textId="77777777" w:rsidR="00076964" w:rsidRPr="00530A11" w:rsidRDefault="00076964" w:rsidP="00076964">
      <w:pPr>
        <w:pStyle w:val="4"/>
        <w:rPr>
          <w:bCs w:val="0"/>
        </w:rPr>
      </w:pPr>
      <w:r w:rsidRPr="00530A11">
        <w:rPr>
          <w:bCs w:val="0"/>
        </w:rPr>
        <w:t xml:space="preserve">9.2.5 </w:t>
      </w:r>
      <w:r w:rsidRPr="00530A11">
        <w:rPr>
          <w:bCs w:val="0"/>
        </w:rPr>
        <w:t>符合</w:t>
      </w:r>
      <w:bookmarkStart w:id="227" w:name="_Hlk32659611"/>
      <w:r w:rsidRPr="00530A11">
        <w:rPr>
          <w:bCs w:val="0"/>
        </w:rPr>
        <w:t>《重庆市装配式建筑装配率计算细则</w:t>
      </w:r>
      <w:r w:rsidRPr="00530A11">
        <w:rPr>
          <w:bCs w:val="0"/>
        </w:rPr>
        <w:t>(</w:t>
      </w:r>
      <w:r w:rsidRPr="00530A11">
        <w:rPr>
          <w:bCs w:val="0"/>
        </w:rPr>
        <w:t>试行</w:t>
      </w:r>
      <w:r w:rsidRPr="00530A11">
        <w:rPr>
          <w:bCs w:val="0"/>
        </w:rPr>
        <w:t>)</w:t>
      </w:r>
      <w:r w:rsidRPr="00530A11">
        <w:rPr>
          <w:bCs w:val="0"/>
        </w:rPr>
        <w:t>》</w:t>
      </w:r>
      <w:bookmarkEnd w:id="227"/>
      <w:r w:rsidRPr="00530A11">
        <w:rPr>
          <w:bCs w:val="0"/>
        </w:rPr>
        <w:t>要求的装配式建筑，评价总分值为</w:t>
      </w:r>
      <w:r w:rsidRPr="00530A11">
        <w:rPr>
          <w:bCs w:val="0"/>
        </w:rPr>
        <w:t>20</w:t>
      </w:r>
      <w:r w:rsidRPr="00530A11">
        <w:rPr>
          <w:bCs w:val="0"/>
        </w:rPr>
        <w:t>分，装配率</w:t>
      </w:r>
      <w:r w:rsidRPr="00530A11">
        <w:rPr>
          <w:bCs w:val="0"/>
        </w:rPr>
        <w:t>≥50%</w:t>
      </w:r>
      <w:r w:rsidRPr="00530A11">
        <w:rPr>
          <w:bCs w:val="0"/>
        </w:rPr>
        <w:t>，得</w:t>
      </w:r>
      <w:r w:rsidRPr="00530A11">
        <w:rPr>
          <w:bCs w:val="0"/>
        </w:rPr>
        <w:t>10</w:t>
      </w:r>
      <w:r w:rsidRPr="00530A11">
        <w:rPr>
          <w:bCs w:val="0"/>
        </w:rPr>
        <w:t>分；装配率</w:t>
      </w:r>
      <w:r w:rsidRPr="00530A11">
        <w:rPr>
          <w:bCs w:val="0"/>
        </w:rPr>
        <w:t>≥55%</w:t>
      </w:r>
      <w:r w:rsidRPr="00530A11">
        <w:rPr>
          <w:bCs w:val="0"/>
        </w:rPr>
        <w:t>，得</w:t>
      </w:r>
      <w:r w:rsidRPr="00530A11">
        <w:rPr>
          <w:bCs w:val="0"/>
        </w:rPr>
        <w:t>15</w:t>
      </w:r>
      <w:r w:rsidRPr="00530A11">
        <w:rPr>
          <w:bCs w:val="0"/>
        </w:rPr>
        <w:t>分；装配率</w:t>
      </w:r>
      <w:r w:rsidRPr="00530A11">
        <w:rPr>
          <w:bCs w:val="0"/>
        </w:rPr>
        <w:t>≥65%</w:t>
      </w:r>
      <w:r w:rsidRPr="00530A11">
        <w:rPr>
          <w:bCs w:val="0"/>
        </w:rPr>
        <w:t>，得</w:t>
      </w:r>
      <w:r w:rsidRPr="00530A11">
        <w:rPr>
          <w:bCs w:val="0"/>
        </w:rPr>
        <w:t>20</w:t>
      </w:r>
      <w:r w:rsidRPr="00530A11">
        <w:rPr>
          <w:bCs w:val="0"/>
        </w:rPr>
        <w:t>分。</w:t>
      </w:r>
    </w:p>
    <w:p w14:paraId="134A7A20" w14:textId="77777777" w:rsidR="00076964" w:rsidRPr="0081478A" w:rsidRDefault="00076964" w:rsidP="00076964">
      <w:pPr>
        <w:ind w:firstLineChars="0" w:firstLine="0"/>
        <w:rPr>
          <w:rFonts w:cs="Times New Roman"/>
          <w:b/>
          <w:szCs w:val="24"/>
        </w:rPr>
      </w:pPr>
      <w:r w:rsidRPr="0081478A">
        <w:rPr>
          <w:rFonts w:cs="Times New Roman"/>
          <w:b/>
          <w:szCs w:val="24"/>
        </w:rPr>
        <w:t>【条文说明】</w:t>
      </w:r>
    </w:p>
    <w:p w14:paraId="2B3BDE11" w14:textId="77777777" w:rsidR="00076964" w:rsidRPr="00530A11" w:rsidRDefault="00076964" w:rsidP="00076964">
      <w:pPr>
        <w:ind w:firstLine="420"/>
        <w:rPr>
          <w:szCs w:val="24"/>
        </w:rPr>
      </w:pPr>
      <w:bookmarkStart w:id="228" w:name="_Hlk33036805"/>
      <w:r w:rsidRPr="00530A11">
        <w:t>本条适用于各类民用建筑的预评价、评价。</w:t>
      </w:r>
    </w:p>
    <w:p w14:paraId="7B277B5F" w14:textId="4497FF23" w:rsidR="00076964"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r w:rsidR="00984D68" w:rsidRPr="00530A11">
        <w:rPr>
          <w:rFonts w:cs="Times New Roman"/>
        </w:rPr>
        <w:t>本条在国家标准</w:t>
      </w:r>
      <w:r w:rsidR="00984D68" w:rsidRPr="00530A11">
        <w:rPr>
          <w:rFonts w:cs="Times New Roman"/>
        </w:rPr>
        <w:t>2014</w:t>
      </w:r>
      <w:r w:rsidR="00984D68" w:rsidRPr="00530A11">
        <w:rPr>
          <w:rFonts w:cs="Times New Roman"/>
        </w:rPr>
        <w:t>年版第</w:t>
      </w:r>
      <w:r w:rsidR="00984D68">
        <w:rPr>
          <w:rFonts w:cs="Times New Roman"/>
        </w:rPr>
        <w:t>7.2.5</w:t>
      </w:r>
      <w:r w:rsidR="00984D68" w:rsidRPr="00530A11">
        <w:rPr>
          <w:rFonts w:cs="Times New Roman"/>
        </w:rPr>
        <w:t>条，地方标准</w:t>
      </w:r>
      <w:r w:rsidR="00984D68" w:rsidRPr="00530A11">
        <w:rPr>
          <w:rFonts w:cs="Times New Roman"/>
        </w:rPr>
        <w:t>2014</w:t>
      </w:r>
      <w:r w:rsidR="00984D68" w:rsidRPr="00530A11">
        <w:rPr>
          <w:rFonts w:cs="Times New Roman"/>
        </w:rPr>
        <w:t>版第</w:t>
      </w:r>
      <w:r w:rsidR="00984D68">
        <w:rPr>
          <w:rFonts w:cs="Times New Roman"/>
        </w:rPr>
        <w:t>7.2.6</w:t>
      </w:r>
      <w:r w:rsidR="00984D68" w:rsidRPr="00530A11">
        <w:rPr>
          <w:rFonts w:cs="Times New Roman"/>
        </w:rPr>
        <w:t>条的基础上发展而来。</w:t>
      </w:r>
      <w:r w:rsidRPr="00530A11">
        <w:rPr>
          <w:rFonts w:cs="Times New Roman"/>
        </w:rPr>
        <w:t>装配式建筑符合减少人工、减少消耗、提高质量、提高效率的工业化建造要求。</w:t>
      </w:r>
      <w:r w:rsidRPr="00530A11">
        <w:rPr>
          <w:rFonts w:cs="Times New Roman"/>
        </w:rPr>
        <w:lastRenderedPageBreak/>
        <w:t>装配式建筑应满足《重庆市装配式建筑装配率计算细则</w:t>
      </w:r>
      <w:r w:rsidRPr="00530A11">
        <w:rPr>
          <w:rFonts w:cs="Times New Roman"/>
        </w:rPr>
        <w:t>(</w:t>
      </w:r>
      <w:r w:rsidRPr="00530A11">
        <w:rPr>
          <w:rFonts w:cs="Times New Roman"/>
        </w:rPr>
        <w:t>试行</w:t>
      </w:r>
      <w:r w:rsidRPr="00530A11">
        <w:rPr>
          <w:rFonts w:cs="Times New Roman"/>
        </w:rPr>
        <w:t>)</w:t>
      </w:r>
      <w:r w:rsidRPr="00530A11">
        <w:rPr>
          <w:rFonts w:cs="Times New Roman"/>
        </w:rPr>
        <w:t>》要求。</w:t>
      </w:r>
      <w:r w:rsidRPr="00530A11">
        <w:rPr>
          <w:rFonts w:cs="Times New Roman"/>
          <w:szCs w:val="28"/>
        </w:rPr>
        <w:t>装配式钢结构、装配式木结构，工业化程度相对较高，主体结构部分能得分</w:t>
      </w:r>
      <w:r w:rsidRPr="00530A11">
        <w:rPr>
          <w:rFonts w:cs="Times New Roman"/>
          <w:szCs w:val="28"/>
        </w:rPr>
        <w:t>50</w:t>
      </w:r>
      <w:r w:rsidRPr="00530A11">
        <w:rPr>
          <w:rFonts w:cs="Times New Roman"/>
          <w:szCs w:val="28"/>
        </w:rPr>
        <w:t>分，加上围护墙和内隔墙最低得分</w:t>
      </w:r>
      <w:r w:rsidRPr="00530A11">
        <w:rPr>
          <w:rFonts w:cs="Times New Roman"/>
          <w:szCs w:val="28"/>
        </w:rPr>
        <w:t>10</w:t>
      </w:r>
      <w:r w:rsidRPr="00530A11">
        <w:rPr>
          <w:rFonts w:cs="Times New Roman"/>
          <w:szCs w:val="28"/>
        </w:rPr>
        <w:t>分、全装修最低得分</w:t>
      </w:r>
      <w:r w:rsidRPr="00530A11">
        <w:rPr>
          <w:rFonts w:cs="Times New Roman"/>
          <w:szCs w:val="28"/>
        </w:rPr>
        <w:t>6</w:t>
      </w:r>
      <w:r w:rsidRPr="00530A11">
        <w:rPr>
          <w:rFonts w:cs="Times New Roman"/>
          <w:szCs w:val="28"/>
        </w:rPr>
        <w:t>分，最终装配率将会不低于</w:t>
      </w:r>
      <w:r w:rsidRPr="00530A11">
        <w:rPr>
          <w:rFonts w:cs="Times New Roman"/>
          <w:szCs w:val="28"/>
        </w:rPr>
        <w:t>66%</w:t>
      </w:r>
      <w:r w:rsidRPr="00530A11">
        <w:rPr>
          <w:rFonts w:cs="Times New Roman"/>
          <w:szCs w:val="28"/>
        </w:rPr>
        <w:t>，即钢结构装配式建筑、木结构装配式建筑可得</w:t>
      </w:r>
      <w:r w:rsidRPr="00530A11">
        <w:rPr>
          <w:rFonts w:cs="Times New Roman"/>
          <w:szCs w:val="28"/>
        </w:rPr>
        <w:t>20</w:t>
      </w:r>
      <w:r w:rsidRPr="00530A11">
        <w:rPr>
          <w:rFonts w:cs="Times New Roman"/>
          <w:szCs w:val="28"/>
        </w:rPr>
        <w:t>分。</w:t>
      </w:r>
      <w:r w:rsidRPr="00530A11">
        <w:rPr>
          <w:rFonts w:cs="Times New Roman"/>
        </w:rPr>
        <w:t>民用建筑中混凝土结构</w:t>
      </w:r>
      <w:r w:rsidRPr="00530A11">
        <w:rPr>
          <w:rFonts w:cs="Times New Roman"/>
        </w:rPr>
        <w:t>“</w:t>
      </w:r>
      <w:r w:rsidRPr="00530A11">
        <w:rPr>
          <w:rFonts w:cs="Times New Roman"/>
        </w:rPr>
        <w:t>面大量广</w:t>
      </w:r>
      <w:r w:rsidRPr="00530A11">
        <w:rPr>
          <w:rFonts w:cs="Times New Roman"/>
        </w:rPr>
        <w:t>”</w:t>
      </w:r>
      <w:r w:rsidRPr="00530A11">
        <w:rPr>
          <w:rFonts w:cs="Times New Roman"/>
        </w:rPr>
        <w:t>，工业化程度相对较低，推动装配式混凝土结构发展具有现实意义；装配式混凝土结构按装配率不同，得分标准分</w:t>
      </w:r>
      <w:r w:rsidRPr="00530A11">
        <w:rPr>
          <w:rFonts w:cs="Times New Roman"/>
        </w:rPr>
        <w:t>3</w:t>
      </w:r>
      <w:r w:rsidRPr="00530A11">
        <w:rPr>
          <w:rFonts w:cs="Times New Roman"/>
        </w:rPr>
        <w:t>档；当装配式混凝土结构建筑被纳入强制实施范畴时，装配率低于</w:t>
      </w:r>
      <w:r w:rsidRPr="00530A11">
        <w:rPr>
          <w:rFonts w:cs="Times New Roman"/>
        </w:rPr>
        <w:t>55%</w:t>
      </w:r>
      <w:r w:rsidRPr="00530A11">
        <w:rPr>
          <w:rFonts w:cs="Times New Roman"/>
        </w:rPr>
        <w:t>不得分。</w:t>
      </w:r>
    </w:p>
    <w:p w14:paraId="34B4D430" w14:textId="77777777" w:rsidR="00076964" w:rsidRPr="00044922" w:rsidRDefault="00076964" w:rsidP="00076964">
      <w:pPr>
        <w:ind w:firstLineChars="0" w:firstLine="0"/>
        <w:rPr>
          <w:rFonts w:cs="Times New Roman"/>
          <w:b/>
        </w:rPr>
      </w:pPr>
      <w:r w:rsidRPr="00044922">
        <w:rPr>
          <w:rFonts w:cs="Times New Roman" w:hint="eastAsia"/>
          <w:b/>
        </w:rPr>
        <w:t>【评价要点】</w:t>
      </w:r>
    </w:p>
    <w:p w14:paraId="183D05D7" w14:textId="77777777" w:rsidR="00076964" w:rsidRPr="00044922" w:rsidRDefault="00076964" w:rsidP="00076964">
      <w:pPr>
        <w:ind w:firstLine="420"/>
        <w:rPr>
          <w:rFonts w:cs="Times New Roman"/>
        </w:rPr>
      </w:pPr>
      <w:r w:rsidRPr="00044922">
        <w:rPr>
          <w:rFonts w:cs="Times New Roman" w:hint="eastAsia"/>
        </w:rPr>
        <w:t>（</w:t>
      </w:r>
      <w:r w:rsidRPr="00044922">
        <w:rPr>
          <w:rFonts w:cs="Times New Roman" w:hint="eastAsia"/>
        </w:rPr>
        <w:t>1</w:t>
      </w:r>
      <w:r w:rsidRPr="00044922">
        <w:rPr>
          <w:rFonts w:cs="Times New Roman" w:hint="eastAsia"/>
        </w:rPr>
        <w:t>）本条涉及到的装配率的计算按照《重庆市装配式建筑装配率计算细则</w:t>
      </w:r>
      <w:r w:rsidRPr="00044922">
        <w:rPr>
          <w:rFonts w:cs="Times New Roman" w:hint="eastAsia"/>
        </w:rPr>
        <w:t>(</w:t>
      </w:r>
      <w:r w:rsidRPr="00044922">
        <w:rPr>
          <w:rFonts w:cs="Times New Roman" w:hint="eastAsia"/>
        </w:rPr>
        <w:t>试行</w:t>
      </w:r>
      <w:r w:rsidRPr="00044922">
        <w:rPr>
          <w:rFonts w:cs="Times New Roman" w:hint="eastAsia"/>
        </w:rPr>
        <w:t>)</w:t>
      </w:r>
      <w:r w:rsidRPr="00044922">
        <w:rPr>
          <w:rFonts w:cs="Times New Roman" w:hint="eastAsia"/>
        </w:rPr>
        <w:t>》执行，按装配率得分；</w:t>
      </w:r>
    </w:p>
    <w:p w14:paraId="7815B8C2" w14:textId="77777777" w:rsidR="00076964" w:rsidRPr="00044922" w:rsidRDefault="00076964" w:rsidP="00076964">
      <w:pPr>
        <w:ind w:firstLine="420"/>
        <w:rPr>
          <w:rFonts w:cs="Times New Roman"/>
        </w:rPr>
      </w:pPr>
      <w:r w:rsidRPr="00044922">
        <w:rPr>
          <w:rFonts w:cs="Times New Roman" w:hint="eastAsia"/>
        </w:rPr>
        <w:t>（</w:t>
      </w:r>
      <w:r w:rsidRPr="00044922">
        <w:rPr>
          <w:rFonts w:cs="Times New Roman" w:hint="eastAsia"/>
        </w:rPr>
        <w:t>2</w:t>
      </w:r>
      <w:r w:rsidRPr="00044922">
        <w:rPr>
          <w:rFonts w:cs="Times New Roman" w:hint="eastAsia"/>
        </w:rPr>
        <w:t>）装配式建筑应符合《重庆市建筑工程初步设计文件编制技术规定（</w:t>
      </w:r>
      <w:r w:rsidRPr="00044922">
        <w:rPr>
          <w:rFonts w:cs="Times New Roman" w:hint="eastAsia"/>
        </w:rPr>
        <w:t>2017</w:t>
      </w:r>
      <w:r w:rsidRPr="00044922">
        <w:rPr>
          <w:rFonts w:cs="Times New Roman" w:hint="eastAsia"/>
        </w:rPr>
        <w:t>年版）装配式建筑专篇》《重庆市建筑工程施工图设计文件编制技术规定（</w:t>
      </w:r>
      <w:r w:rsidRPr="00044922">
        <w:rPr>
          <w:rFonts w:cs="Times New Roman" w:hint="eastAsia"/>
        </w:rPr>
        <w:t>2017</w:t>
      </w:r>
      <w:r w:rsidRPr="00044922">
        <w:rPr>
          <w:rFonts w:cs="Times New Roman" w:hint="eastAsia"/>
        </w:rPr>
        <w:t>年版）装配式建筑专篇》《重庆市建筑工程初步设计文件技术审查要点（</w:t>
      </w:r>
      <w:r w:rsidRPr="00044922">
        <w:rPr>
          <w:rFonts w:cs="Times New Roman" w:hint="eastAsia"/>
        </w:rPr>
        <w:t>2017</w:t>
      </w:r>
      <w:r w:rsidRPr="00044922">
        <w:rPr>
          <w:rFonts w:cs="Times New Roman" w:hint="eastAsia"/>
        </w:rPr>
        <w:t>年版）装配式建筑专篇》《重庆市建筑工程施工图设计文件技术审查要点（</w:t>
      </w:r>
      <w:r w:rsidRPr="00044922">
        <w:rPr>
          <w:rFonts w:cs="Times New Roman" w:hint="eastAsia"/>
        </w:rPr>
        <w:t>2017</w:t>
      </w:r>
      <w:r w:rsidRPr="00044922">
        <w:rPr>
          <w:rFonts w:cs="Times New Roman" w:hint="eastAsia"/>
        </w:rPr>
        <w:t>年版）装配式建筑专篇》的相关规定。</w:t>
      </w:r>
    </w:p>
    <w:p w14:paraId="745DD865" w14:textId="77777777" w:rsidR="00076964" w:rsidRPr="00530A11" w:rsidRDefault="00076964" w:rsidP="00076964">
      <w:pPr>
        <w:ind w:firstLine="420"/>
        <w:rPr>
          <w:rFonts w:cs="Times New Roman"/>
        </w:rPr>
      </w:pPr>
      <w:r w:rsidRPr="00044922">
        <w:rPr>
          <w:rFonts w:cs="Times New Roman" w:hint="eastAsia"/>
        </w:rPr>
        <w:t>（</w:t>
      </w:r>
      <w:r w:rsidRPr="00044922">
        <w:rPr>
          <w:rFonts w:cs="Times New Roman" w:hint="eastAsia"/>
        </w:rPr>
        <w:t>3</w:t>
      </w:r>
      <w:r w:rsidRPr="00044922">
        <w:rPr>
          <w:rFonts w:cs="Times New Roman" w:hint="eastAsia"/>
        </w:rPr>
        <w:t>）主管部门强制要求执行装配式建筑的项目，如用地条件函或区域规划中要求强制执行的项目，装配率低于</w:t>
      </w:r>
      <w:r w:rsidRPr="00044922">
        <w:rPr>
          <w:rFonts w:cs="Times New Roman" w:hint="eastAsia"/>
        </w:rPr>
        <w:t>55%</w:t>
      </w:r>
      <w:r w:rsidRPr="00044922">
        <w:rPr>
          <w:rFonts w:cs="Times New Roman" w:hint="eastAsia"/>
        </w:rPr>
        <w:t>时不得分。</w:t>
      </w:r>
    </w:p>
    <w:bookmarkEnd w:id="228"/>
    <w:p w14:paraId="4F438683" w14:textId="77777777" w:rsidR="00076964" w:rsidRPr="0081478A" w:rsidRDefault="00076964" w:rsidP="00076964">
      <w:pPr>
        <w:ind w:firstLineChars="0" w:firstLine="0"/>
        <w:rPr>
          <w:rFonts w:cs="Times New Roman"/>
          <w:b/>
          <w:szCs w:val="24"/>
        </w:rPr>
      </w:pPr>
      <w:r w:rsidRPr="0081478A">
        <w:rPr>
          <w:rFonts w:cs="Times New Roman"/>
          <w:b/>
          <w:szCs w:val="24"/>
        </w:rPr>
        <w:t>【评价方法】</w:t>
      </w:r>
    </w:p>
    <w:p w14:paraId="6C8C381D" w14:textId="77777777" w:rsidR="00076964" w:rsidRPr="00530A11" w:rsidRDefault="00076964" w:rsidP="00076964">
      <w:pPr>
        <w:ind w:firstLine="420"/>
        <w:rPr>
          <w:rFonts w:cs="Times New Roman"/>
          <w:szCs w:val="24"/>
        </w:rPr>
      </w:pPr>
      <w:r w:rsidRPr="00530A11">
        <w:rPr>
          <w:rFonts w:cs="Times New Roman"/>
        </w:rPr>
        <w:t>预评价查阅项目施工图图纸（建筑、结构、电气、给排水、暖通、室内装修等专业，含装配式建筑专项设计说明书）和装配率计算书。</w:t>
      </w:r>
    </w:p>
    <w:p w14:paraId="5A519949" w14:textId="77777777" w:rsidR="00076964" w:rsidRPr="00530A11" w:rsidRDefault="00076964" w:rsidP="00076964">
      <w:pPr>
        <w:ind w:firstLine="420"/>
        <w:rPr>
          <w:rFonts w:cs="Times New Roman"/>
        </w:rPr>
      </w:pPr>
      <w:r w:rsidRPr="00530A11">
        <w:rPr>
          <w:rFonts w:cs="Times New Roman"/>
        </w:rPr>
        <w:t>竣工评价查阅预评价涉及内容的竣工文件和装配率</w:t>
      </w:r>
      <w:bookmarkStart w:id="229" w:name="_Hlk36290705"/>
      <w:r>
        <w:rPr>
          <w:rFonts w:cs="Times New Roman" w:hint="eastAsia"/>
        </w:rPr>
        <w:t>计算</w:t>
      </w:r>
      <w:bookmarkEnd w:id="229"/>
      <w:r>
        <w:rPr>
          <w:rFonts w:cs="Times New Roman" w:hint="eastAsia"/>
        </w:rPr>
        <w:t>书</w:t>
      </w:r>
      <w:r w:rsidRPr="00530A11">
        <w:rPr>
          <w:rFonts w:cs="Times New Roman"/>
        </w:rPr>
        <w:t>，还包括工程竣工质量报告、工程概况表、设计变更文件等。</w:t>
      </w:r>
    </w:p>
    <w:p w14:paraId="07725CF7" w14:textId="77777777" w:rsidR="00076964" w:rsidRPr="0081478A" w:rsidRDefault="00076964" w:rsidP="00076964">
      <w:pPr>
        <w:ind w:firstLineChars="0" w:firstLine="0"/>
        <w:rPr>
          <w:rFonts w:cs="Times New Roman"/>
        </w:rPr>
      </w:pPr>
    </w:p>
    <w:p w14:paraId="4965223B" w14:textId="77777777" w:rsidR="00076964" w:rsidRPr="00135E4F" w:rsidRDefault="00076964" w:rsidP="00076964">
      <w:pPr>
        <w:keepNext/>
        <w:keepLines/>
        <w:ind w:firstLineChars="0" w:firstLine="0"/>
        <w:outlineLvl w:val="3"/>
        <w:rPr>
          <w:rFonts w:cs="Times New Roman"/>
          <w:b/>
          <w:bCs/>
          <w:szCs w:val="28"/>
        </w:rPr>
      </w:pPr>
      <w:r w:rsidRPr="00135E4F">
        <w:rPr>
          <w:rFonts w:cs="Times New Roman" w:hint="eastAsia"/>
          <w:b/>
          <w:bCs/>
          <w:szCs w:val="28"/>
        </w:rPr>
        <w:t xml:space="preserve">9.2.6 </w:t>
      </w:r>
      <w:r w:rsidRPr="00135E4F">
        <w:rPr>
          <w:rFonts w:cs="Times New Roman" w:hint="eastAsia"/>
          <w:b/>
          <w:bCs/>
          <w:szCs w:val="28"/>
        </w:rPr>
        <w:t>应用建筑信息模型（</w:t>
      </w:r>
      <w:r w:rsidRPr="00135E4F">
        <w:rPr>
          <w:rFonts w:cs="Times New Roman" w:hint="eastAsia"/>
          <w:b/>
          <w:bCs/>
          <w:szCs w:val="28"/>
        </w:rPr>
        <w:t>BIM</w:t>
      </w:r>
      <w:r w:rsidRPr="00135E4F">
        <w:rPr>
          <w:rFonts w:cs="Times New Roman" w:hint="eastAsia"/>
          <w:b/>
          <w:bCs/>
          <w:szCs w:val="28"/>
        </w:rPr>
        <w:t>）技术，评价总分值为</w:t>
      </w:r>
      <w:r w:rsidRPr="00135E4F">
        <w:rPr>
          <w:rFonts w:cs="Times New Roman" w:hint="eastAsia"/>
          <w:b/>
          <w:bCs/>
          <w:szCs w:val="28"/>
        </w:rPr>
        <w:t>15</w:t>
      </w:r>
      <w:r w:rsidRPr="00135E4F">
        <w:rPr>
          <w:rFonts w:cs="Times New Roman" w:hint="eastAsia"/>
          <w:b/>
          <w:bCs/>
          <w:szCs w:val="28"/>
        </w:rPr>
        <w:t>分，在建筑的规划设计、施工建造和运行维护阶段中的一个阶段应用，最高得</w:t>
      </w:r>
      <w:r w:rsidRPr="00135E4F">
        <w:rPr>
          <w:rFonts w:cs="Times New Roman" w:hint="eastAsia"/>
          <w:b/>
          <w:bCs/>
          <w:szCs w:val="28"/>
        </w:rPr>
        <w:t>5</w:t>
      </w:r>
      <w:r w:rsidRPr="00135E4F">
        <w:rPr>
          <w:rFonts w:cs="Times New Roman" w:hint="eastAsia"/>
          <w:b/>
          <w:bCs/>
          <w:szCs w:val="28"/>
        </w:rPr>
        <w:t>分；两个阶段应用，最高得</w:t>
      </w:r>
      <w:r w:rsidRPr="00135E4F">
        <w:rPr>
          <w:rFonts w:cs="Times New Roman" w:hint="eastAsia"/>
          <w:b/>
          <w:bCs/>
          <w:szCs w:val="28"/>
        </w:rPr>
        <w:t>10</w:t>
      </w:r>
      <w:r w:rsidRPr="00135E4F">
        <w:rPr>
          <w:rFonts w:cs="Times New Roman" w:hint="eastAsia"/>
          <w:b/>
          <w:bCs/>
          <w:szCs w:val="28"/>
        </w:rPr>
        <w:t>分；三个阶段应用，最高得</w:t>
      </w:r>
      <w:r w:rsidRPr="00135E4F">
        <w:rPr>
          <w:rFonts w:cs="Times New Roman" w:hint="eastAsia"/>
          <w:b/>
          <w:bCs/>
          <w:szCs w:val="28"/>
        </w:rPr>
        <w:t>15</w:t>
      </w:r>
      <w:r w:rsidRPr="00135E4F">
        <w:rPr>
          <w:rFonts w:cs="Times New Roman" w:hint="eastAsia"/>
          <w:b/>
          <w:bCs/>
          <w:szCs w:val="28"/>
        </w:rPr>
        <w:t>分。各阶段按下列规则评分并累计：</w:t>
      </w:r>
    </w:p>
    <w:p w14:paraId="47DF1B9B" w14:textId="77777777" w:rsidR="00076964" w:rsidRPr="00135E4F" w:rsidRDefault="00076964" w:rsidP="00076964">
      <w:pPr>
        <w:ind w:firstLine="422"/>
        <w:rPr>
          <w:rFonts w:cs="Times New Roman"/>
          <w:b/>
          <w:bCs/>
        </w:rPr>
      </w:pPr>
      <w:r w:rsidRPr="00135E4F">
        <w:rPr>
          <w:rFonts w:cs="Times New Roman"/>
          <w:b/>
          <w:bCs/>
        </w:rPr>
        <w:t xml:space="preserve">1 </w:t>
      </w:r>
      <w:r w:rsidRPr="00135E4F">
        <w:rPr>
          <w:rFonts w:cs="Times New Roman" w:hint="eastAsia"/>
          <w:b/>
          <w:bCs/>
        </w:rPr>
        <w:t>规划设计阶段进行分析和优化，得</w:t>
      </w:r>
      <w:r w:rsidRPr="00135E4F">
        <w:rPr>
          <w:rFonts w:cs="Times New Roman"/>
          <w:b/>
          <w:bCs/>
        </w:rPr>
        <w:t>3</w:t>
      </w:r>
      <w:r w:rsidRPr="00135E4F">
        <w:rPr>
          <w:rFonts w:cs="Times New Roman" w:hint="eastAsia"/>
          <w:b/>
          <w:bCs/>
        </w:rPr>
        <w:t>分；建立多专业协调设计管理平台，得</w:t>
      </w:r>
      <w:r w:rsidRPr="00135E4F">
        <w:rPr>
          <w:rFonts w:cs="Times New Roman"/>
          <w:b/>
          <w:bCs/>
        </w:rPr>
        <w:t>2</w:t>
      </w:r>
      <w:r w:rsidRPr="00135E4F">
        <w:rPr>
          <w:rFonts w:cs="Times New Roman" w:hint="eastAsia"/>
          <w:b/>
          <w:bCs/>
        </w:rPr>
        <w:t>分；</w:t>
      </w:r>
    </w:p>
    <w:p w14:paraId="5532F1E8" w14:textId="77777777" w:rsidR="00076964" w:rsidRPr="00135E4F" w:rsidRDefault="00076964" w:rsidP="00076964">
      <w:pPr>
        <w:ind w:firstLine="422"/>
        <w:rPr>
          <w:rFonts w:cs="Times New Roman"/>
          <w:b/>
          <w:bCs/>
        </w:rPr>
      </w:pPr>
      <w:r w:rsidRPr="00135E4F">
        <w:rPr>
          <w:rFonts w:cs="Times New Roman"/>
          <w:b/>
          <w:bCs/>
        </w:rPr>
        <w:t xml:space="preserve">2 </w:t>
      </w:r>
      <w:r w:rsidRPr="00135E4F">
        <w:rPr>
          <w:rFonts w:cs="Times New Roman" w:hint="eastAsia"/>
          <w:b/>
          <w:bCs/>
        </w:rPr>
        <w:t>施工建造阶段在细化设计、成本管理与控制、施工过程管理、质量安全监控、交付竣工模型等应用中至少三项，得</w:t>
      </w:r>
      <w:r w:rsidRPr="00135E4F">
        <w:rPr>
          <w:rFonts w:cs="Times New Roman"/>
          <w:b/>
          <w:bCs/>
        </w:rPr>
        <w:t>3</w:t>
      </w:r>
      <w:r w:rsidRPr="00135E4F">
        <w:rPr>
          <w:rFonts w:cs="Times New Roman" w:hint="eastAsia"/>
          <w:b/>
          <w:bCs/>
        </w:rPr>
        <w:t>分；建立基于</w:t>
      </w:r>
      <w:r w:rsidRPr="00135E4F">
        <w:rPr>
          <w:rFonts w:cs="Times New Roman"/>
          <w:b/>
          <w:bCs/>
        </w:rPr>
        <w:t>BIM</w:t>
      </w:r>
      <w:r w:rsidRPr="00135E4F">
        <w:rPr>
          <w:rFonts w:cs="Times New Roman" w:hint="eastAsia"/>
          <w:b/>
          <w:bCs/>
        </w:rPr>
        <w:t>的一体化工地管理平台或为智慧工地管理平台提供</w:t>
      </w:r>
      <w:r w:rsidRPr="00135E4F">
        <w:rPr>
          <w:rFonts w:cs="Times New Roman"/>
          <w:b/>
          <w:bCs/>
        </w:rPr>
        <w:t>BIM</w:t>
      </w:r>
      <w:r w:rsidRPr="00135E4F">
        <w:rPr>
          <w:rFonts w:cs="Times New Roman" w:hint="eastAsia"/>
          <w:b/>
          <w:bCs/>
        </w:rPr>
        <w:t>数据支撑，得</w:t>
      </w:r>
      <w:r w:rsidRPr="00135E4F">
        <w:rPr>
          <w:rFonts w:cs="Times New Roman"/>
          <w:b/>
          <w:bCs/>
        </w:rPr>
        <w:t>2</w:t>
      </w:r>
      <w:r w:rsidRPr="00135E4F">
        <w:rPr>
          <w:rFonts w:cs="Times New Roman" w:hint="eastAsia"/>
          <w:b/>
          <w:bCs/>
        </w:rPr>
        <w:t>分；</w:t>
      </w:r>
    </w:p>
    <w:p w14:paraId="1E774100" w14:textId="77777777" w:rsidR="00076964" w:rsidRPr="00135E4F" w:rsidRDefault="00076964" w:rsidP="00076964">
      <w:pPr>
        <w:ind w:firstLine="422"/>
        <w:rPr>
          <w:rFonts w:cs="Times New Roman"/>
          <w:b/>
          <w:bCs/>
        </w:rPr>
      </w:pPr>
      <w:r w:rsidRPr="00135E4F">
        <w:rPr>
          <w:rFonts w:cs="Times New Roman"/>
          <w:b/>
          <w:bCs/>
        </w:rPr>
        <w:t xml:space="preserve">3 </w:t>
      </w:r>
      <w:r w:rsidRPr="00135E4F">
        <w:rPr>
          <w:rFonts w:cs="Times New Roman" w:hint="eastAsia"/>
          <w:b/>
          <w:bCs/>
        </w:rPr>
        <w:t>运行维护阶段在运行维护管理、设备设施运行监控、应急管理等应用中至少两项，得</w:t>
      </w:r>
      <w:r w:rsidRPr="00135E4F">
        <w:rPr>
          <w:rFonts w:cs="Times New Roman"/>
          <w:b/>
          <w:bCs/>
        </w:rPr>
        <w:t>3</w:t>
      </w:r>
      <w:r w:rsidRPr="00135E4F">
        <w:rPr>
          <w:rFonts w:cs="Times New Roman" w:hint="eastAsia"/>
          <w:b/>
          <w:bCs/>
        </w:rPr>
        <w:t>分；为智慧物业管理平台提供</w:t>
      </w:r>
      <w:r w:rsidRPr="00135E4F">
        <w:rPr>
          <w:rFonts w:cs="Times New Roman"/>
          <w:b/>
          <w:bCs/>
        </w:rPr>
        <w:t>BIM</w:t>
      </w:r>
      <w:r w:rsidRPr="00135E4F">
        <w:rPr>
          <w:rFonts w:cs="Times New Roman" w:hint="eastAsia"/>
          <w:b/>
          <w:bCs/>
        </w:rPr>
        <w:t>数据支撑，得</w:t>
      </w:r>
      <w:r w:rsidRPr="00135E4F">
        <w:rPr>
          <w:rFonts w:cs="Times New Roman"/>
          <w:b/>
          <w:bCs/>
        </w:rPr>
        <w:t>2</w:t>
      </w:r>
      <w:r w:rsidRPr="00135E4F">
        <w:rPr>
          <w:rFonts w:cs="Times New Roman" w:hint="eastAsia"/>
          <w:b/>
          <w:bCs/>
        </w:rPr>
        <w:t>分。</w:t>
      </w:r>
    </w:p>
    <w:p w14:paraId="6005702B"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lastRenderedPageBreak/>
        <w:t>【条文说明】</w:t>
      </w:r>
    </w:p>
    <w:p w14:paraId="16FB54DB" w14:textId="42F31373" w:rsidR="001F1484" w:rsidRDefault="001F1484" w:rsidP="00076964">
      <w:pPr>
        <w:ind w:firstLine="420"/>
      </w:pPr>
      <w:r w:rsidRPr="00530A11">
        <w:rPr>
          <w:rFonts w:cs="Times New Roman" w:hint="eastAsia"/>
        </w:rPr>
        <w:t>本条适用于各类民用建筑的预评价、评价。</w:t>
      </w:r>
    </w:p>
    <w:p w14:paraId="4BAD1349" w14:textId="1CB294E7" w:rsidR="00076964" w:rsidRPr="00530A11" w:rsidRDefault="00076964" w:rsidP="00076964">
      <w:pPr>
        <w:ind w:firstLine="420"/>
        <w:rPr>
          <w:rFonts w:ascii="宋体" w:hAnsi="宋体"/>
          <w:color w:val="000000"/>
          <w:szCs w:val="24"/>
        </w:rPr>
      </w:pPr>
      <w:r w:rsidRPr="00530A11">
        <w:rPr>
          <w:rFonts w:hint="eastAsia"/>
        </w:rPr>
        <w:t>本条沿引自国家《绿色建筑评价标准》</w:t>
      </w:r>
      <w:r w:rsidRPr="00530A11">
        <w:rPr>
          <w:rFonts w:hint="eastAsia"/>
        </w:rPr>
        <w:t>GB/T 50378-2019</w:t>
      </w:r>
      <w:r w:rsidRPr="00530A11">
        <w:rPr>
          <w:rFonts w:hint="eastAsia"/>
        </w:rPr>
        <w:t>，并对条文和条文说明进行了局部修改和补充。</w:t>
      </w:r>
      <w:r w:rsidR="00A52E55" w:rsidRPr="00530A11">
        <w:rPr>
          <w:rFonts w:cs="Times New Roman"/>
        </w:rPr>
        <w:t>本条在国家标准</w:t>
      </w:r>
      <w:r w:rsidR="00A52E55" w:rsidRPr="00530A11">
        <w:rPr>
          <w:rFonts w:cs="Times New Roman"/>
        </w:rPr>
        <w:t>2014</w:t>
      </w:r>
      <w:r w:rsidR="00A52E55" w:rsidRPr="00530A11">
        <w:rPr>
          <w:rFonts w:cs="Times New Roman"/>
        </w:rPr>
        <w:t>年版第</w:t>
      </w:r>
      <w:r w:rsidR="00A52E55">
        <w:rPr>
          <w:rFonts w:cs="Times New Roman"/>
        </w:rPr>
        <w:t>11.2.10</w:t>
      </w:r>
      <w:r w:rsidR="00A52E55" w:rsidRPr="00530A11">
        <w:rPr>
          <w:rFonts w:cs="Times New Roman"/>
        </w:rPr>
        <w:t>条，地方标准</w:t>
      </w:r>
      <w:r w:rsidR="00A52E55" w:rsidRPr="00530A11">
        <w:rPr>
          <w:rFonts w:cs="Times New Roman"/>
        </w:rPr>
        <w:t>2014</w:t>
      </w:r>
      <w:r w:rsidR="00A52E55" w:rsidRPr="00530A11">
        <w:rPr>
          <w:rFonts w:cs="Times New Roman"/>
        </w:rPr>
        <w:t>版第</w:t>
      </w:r>
      <w:r w:rsidR="00A52E55">
        <w:rPr>
          <w:rFonts w:cs="Times New Roman"/>
        </w:rPr>
        <w:t>11.2.8</w:t>
      </w:r>
      <w:r w:rsidR="00A52E55" w:rsidRPr="00530A11">
        <w:rPr>
          <w:rFonts w:cs="Times New Roman"/>
        </w:rPr>
        <w:t>条的基础上发展而来。</w:t>
      </w:r>
    </w:p>
    <w:p w14:paraId="5CCDA3C0" w14:textId="77777777" w:rsidR="00076964" w:rsidRPr="00530A11" w:rsidRDefault="00076964" w:rsidP="00076964">
      <w:pPr>
        <w:ind w:firstLine="420"/>
        <w:rPr>
          <w:rFonts w:cs="Times New Roman"/>
        </w:rPr>
      </w:pPr>
      <w:r w:rsidRPr="00530A11">
        <w:rPr>
          <w:rFonts w:cs="Times New Roman" w:hint="eastAsia"/>
        </w:rPr>
        <w:t>本条是在《重庆市建筑工程施工图设计文件编制技术规定（</w:t>
      </w:r>
      <w:r w:rsidRPr="00530A11">
        <w:rPr>
          <w:rFonts w:cs="Times New Roman" w:hint="eastAsia"/>
        </w:rPr>
        <w:t>2017</w:t>
      </w:r>
      <w:r w:rsidRPr="00530A11">
        <w:rPr>
          <w:rFonts w:cs="Times New Roman" w:hint="eastAsia"/>
        </w:rPr>
        <w:t>年版）——建筑信息模型专篇》技术要求的基础上提出了专项应用的要求，对于仅满足《重庆市建筑工程施工图设计文件编制技术规定（</w:t>
      </w:r>
      <w:r w:rsidRPr="00530A11">
        <w:rPr>
          <w:rFonts w:cs="Times New Roman" w:hint="eastAsia"/>
        </w:rPr>
        <w:t>2017</w:t>
      </w:r>
      <w:r w:rsidRPr="00530A11">
        <w:rPr>
          <w:rFonts w:cs="Times New Roman" w:hint="eastAsia"/>
        </w:rPr>
        <w:t>年版）——建筑信息模型专篇》技术要求或施工图设计文件审查合格书中未包含</w:t>
      </w:r>
      <w:r w:rsidRPr="00530A11">
        <w:rPr>
          <w:rFonts w:cs="Times New Roman" w:hint="eastAsia"/>
        </w:rPr>
        <w:t>BIM</w:t>
      </w:r>
      <w:r w:rsidRPr="00530A11">
        <w:rPr>
          <w:rFonts w:cs="Times New Roman" w:hint="eastAsia"/>
        </w:rPr>
        <w:t>审查内容的项目本条规划设计阶段应用不能得分。</w:t>
      </w:r>
    </w:p>
    <w:p w14:paraId="580FF562" w14:textId="77777777" w:rsidR="00076964" w:rsidRPr="00530A11" w:rsidRDefault="00076964" w:rsidP="00076964">
      <w:pPr>
        <w:ind w:firstLine="420"/>
        <w:rPr>
          <w:rFonts w:cs="Times New Roman"/>
        </w:rPr>
      </w:pPr>
      <w:r w:rsidRPr="00530A11">
        <w:rPr>
          <w:rFonts w:cs="Times New Roman" w:hint="eastAsia"/>
        </w:rPr>
        <w:t>第</w:t>
      </w:r>
      <w:r w:rsidRPr="00530A11">
        <w:rPr>
          <w:rFonts w:cs="Times New Roman" w:hint="eastAsia"/>
        </w:rPr>
        <w:t>1</w:t>
      </w:r>
      <w:r w:rsidRPr="00530A11">
        <w:rPr>
          <w:rFonts w:cs="Times New Roman" w:hint="eastAsia"/>
        </w:rPr>
        <w:t>款，分析和优化包含</w:t>
      </w:r>
      <w:r w:rsidRPr="00530A11">
        <w:rPr>
          <w:rFonts w:cs="Times New Roman" w:hint="eastAsia"/>
        </w:rPr>
        <w:t>VR</w:t>
      </w:r>
      <w:r w:rsidRPr="00530A11">
        <w:rPr>
          <w:rFonts w:cs="Times New Roman" w:hint="eastAsia"/>
        </w:rPr>
        <w:t>可视化分析、日照模拟分析、自然采光模拟分析、场地风环境模拟分析、室内自然通风模拟分析、室内声环境模拟分析、碰撞检测、管线综合分析优化等专项应用，至少应选用三项专项应用，方可得分。</w:t>
      </w:r>
    </w:p>
    <w:p w14:paraId="77459B5F" w14:textId="77777777" w:rsidR="00076964" w:rsidRPr="00530A11" w:rsidRDefault="00076964" w:rsidP="00076964">
      <w:pPr>
        <w:ind w:firstLine="420"/>
        <w:rPr>
          <w:rFonts w:cs="Times New Roman"/>
        </w:rPr>
      </w:pPr>
      <w:r w:rsidRPr="00530A11">
        <w:rPr>
          <w:rFonts w:cs="Times New Roman" w:hint="eastAsia"/>
        </w:rPr>
        <w:t>第</w:t>
      </w:r>
      <w:r w:rsidRPr="00530A11">
        <w:rPr>
          <w:rFonts w:cs="Times New Roman" w:hint="eastAsia"/>
        </w:rPr>
        <w:t>2</w:t>
      </w:r>
      <w:r w:rsidRPr="00530A11">
        <w:rPr>
          <w:rFonts w:cs="Times New Roman" w:hint="eastAsia"/>
        </w:rPr>
        <w:t>款，细化设计主要指重要节点深化设计，应至少包含幕墙、钢结构等重要节点深化设计；成本管理与控制中工程量计算需满足《房屋建筑与装饰工程工程量计算规范》（</w:t>
      </w:r>
      <w:r w:rsidRPr="00530A11">
        <w:rPr>
          <w:rFonts w:cs="Times New Roman" w:hint="eastAsia"/>
        </w:rPr>
        <w:t>GB 50854</w:t>
      </w:r>
      <w:r w:rsidRPr="00530A11">
        <w:rPr>
          <w:rFonts w:cs="Times New Roman" w:hint="eastAsia"/>
        </w:rPr>
        <w:t>）要求；施工过程管理主要包含施工场地布置、工程进度模拟、工序及工艺模拟、施工组织与方案优化等专项应用，应至少包含两项；交付竣工模型应同时提供交付模型说明书。将</w:t>
      </w:r>
      <w:r w:rsidRPr="00530A11">
        <w:rPr>
          <w:rFonts w:cs="Times New Roman" w:hint="eastAsia"/>
        </w:rPr>
        <w:t>BIM</w:t>
      </w:r>
      <w:r w:rsidRPr="00530A11">
        <w:rPr>
          <w:rFonts w:cs="Times New Roman" w:hint="eastAsia"/>
        </w:rPr>
        <w:t>数据集成于智慧工地管理平台中，充分利用了</w:t>
      </w:r>
      <w:r w:rsidRPr="00530A11">
        <w:rPr>
          <w:rFonts w:cs="Times New Roman" w:hint="eastAsia"/>
        </w:rPr>
        <w:t>BIM</w:t>
      </w:r>
      <w:r w:rsidRPr="00530A11">
        <w:rPr>
          <w:rFonts w:cs="Times New Roman" w:hint="eastAsia"/>
        </w:rPr>
        <w:t>模型可视化能力及其数据实现在云端的质量、安全、进度、物资管理。</w:t>
      </w:r>
    </w:p>
    <w:p w14:paraId="4466857F" w14:textId="77777777" w:rsidR="00076964" w:rsidRDefault="00076964" w:rsidP="00076964">
      <w:pPr>
        <w:ind w:firstLine="420"/>
        <w:rPr>
          <w:rFonts w:cs="Times New Roman"/>
        </w:rPr>
      </w:pPr>
      <w:r w:rsidRPr="00243844">
        <w:rPr>
          <w:rFonts w:cs="Times New Roman" w:hint="eastAsia"/>
        </w:rPr>
        <w:t>第</w:t>
      </w:r>
      <w:r w:rsidRPr="00243844">
        <w:rPr>
          <w:rFonts w:cs="Times New Roman" w:hint="eastAsia"/>
        </w:rPr>
        <w:t>3</w:t>
      </w:r>
      <w:r w:rsidRPr="00243844">
        <w:rPr>
          <w:rFonts w:cs="Times New Roman" w:hint="eastAsia"/>
        </w:rPr>
        <w:t>款，应急管理主要包含火灾模拟、人流仿真分析</w:t>
      </w:r>
      <w:bookmarkStart w:id="230" w:name="_Hlk36290762"/>
      <w:r w:rsidRPr="00243844">
        <w:rPr>
          <w:rFonts w:cs="Times New Roman" w:hint="eastAsia"/>
        </w:rPr>
        <w:t>和应急预案可视化</w:t>
      </w:r>
      <w:bookmarkEnd w:id="230"/>
      <w:r w:rsidRPr="00243844">
        <w:rPr>
          <w:rFonts w:cs="Times New Roman" w:hint="eastAsia"/>
        </w:rPr>
        <w:t>等专项应用，应至少包含两项。将</w:t>
      </w:r>
      <w:r w:rsidRPr="00243844">
        <w:rPr>
          <w:rFonts w:cs="Times New Roman" w:hint="eastAsia"/>
        </w:rPr>
        <w:t>BIM</w:t>
      </w:r>
      <w:r w:rsidRPr="00243844">
        <w:rPr>
          <w:rFonts w:cs="Times New Roman" w:hint="eastAsia"/>
        </w:rPr>
        <w:t>数据集成于智慧物业管理系统中，充分利用</w:t>
      </w:r>
      <w:r w:rsidRPr="00243844">
        <w:rPr>
          <w:rFonts w:cs="Times New Roman" w:hint="eastAsia"/>
        </w:rPr>
        <w:t>BIM</w:t>
      </w:r>
      <w:r w:rsidRPr="00243844">
        <w:rPr>
          <w:rFonts w:cs="Times New Roman" w:hint="eastAsia"/>
        </w:rPr>
        <w:t>模型可视化能力及其数据实现在云端的空间管理及设备设施管理。</w:t>
      </w:r>
    </w:p>
    <w:p w14:paraId="2C1C27E3" w14:textId="77777777" w:rsidR="00076964" w:rsidRDefault="00076964" w:rsidP="00076964">
      <w:pPr>
        <w:ind w:firstLine="420"/>
        <w:rPr>
          <w:rFonts w:cs="Times New Roman"/>
        </w:rPr>
      </w:pPr>
      <w:r w:rsidRPr="00530A11">
        <w:rPr>
          <w:rFonts w:cs="Times New Roman" w:hint="eastAsia"/>
        </w:rPr>
        <w:t>本条涉及三个阶段均须建立相应</w:t>
      </w:r>
      <w:r w:rsidRPr="00530A11">
        <w:rPr>
          <w:rFonts w:cs="Times New Roman" w:hint="eastAsia"/>
        </w:rPr>
        <w:t>BIM</w:t>
      </w:r>
      <w:r w:rsidRPr="00530A11">
        <w:rPr>
          <w:rFonts w:cs="Times New Roman" w:hint="eastAsia"/>
        </w:rPr>
        <w:t>模型，模型深度应满足《重庆市建筑信息模型设计标准》（</w:t>
      </w:r>
      <w:r w:rsidRPr="00530A11">
        <w:rPr>
          <w:rFonts w:cs="Times New Roman" w:hint="eastAsia"/>
        </w:rPr>
        <w:t>DBJ50/T-280</w:t>
      </w:r>
      <w:r w:rsidRPr="00530A11">
        <w:rPr>
          <w:rFonts w:cs="Times New Roman" w:hint="eastAsia"/>
        </w:rPr>
        <w:t>）和《重庆市建设工程信息模型技术深度规定》深度要求，但一个项目不同阶段出现多个</w:t>
      </w:r>
      <w:r w:rsidRPr="00530A11">
        <w:rPr>
          <w:rFonts w:cs="Times New Roman" w:hint="eastAsia"/>
        </w:rPr>
        <w:t>BIM</w:t>
      </w:r>
      <w:r w:rsidRPr="00530A11">
        <w:rPr>
          <w:rFonts w:cs="Times New Roman" w:hint="eastAsia"/>
        </w:rPr>
        <w:t>模型，无法有效解决数据信息资源共享问题，因此当下在两个及以上阶段应用</w:t>
      </w:r>
      <w:r w:rsidRPr="00530A11">
        <w:rPr>
          <w:rFonts w:cs="Times New Roman" w:hint="eastAsia"/>
        </w:rPr>
        <w:t>BIM</w:t>
      </w:r>
      <w:r w:rsidRPr="00530A11">
        <w:rPr>
          <w:rFonts w:cs="Times New Roman" w:hint="eastAsia"/>
        </w:rPr>
        <w:t>时，应基于同一个</w:t>
      </w:r>
      <w:r w:rsidRPr="00530A11">
        <w:rPr>
          <w:rFonts w:cs="Times New Roman" w:hint="eastAsia"/>
        </w:rPr>
        <w:t>BIM</w:t>
      </w:r>
      <w:r w:rsidRPr="00530A11">
        <w:rPr>
          <w:rFonts w:cs="Times New Roman" w:hint="eastAsia"/>
        </w:rPr>
        <w:t>模型开展，各阶段</w:t>
      </w:r>
      <w:r w:rsidRPr="00530A11">
        <w:rPr>
          <w:rFonts w:cs="Times New Roman" w:hint="eastAsia"/>
        </w:rPr>
        <w:t>BIM</w:t>
      </w:r>
      <w:r w:rsidRPr="00530A11">
        <w:rPr>
          <w:rFonts w:cs="Times New Roman" w:hint="eastAsia"/>
        </w:rPr>
        <w:t>模型（主要指受深化设计影响较小的混凝土梁，板，柱及门窗，设备）的构件编码及文件设置重复率不低于</w:t>
      </w:r>
      <w:r w:rsidRPr="00530A11">
        <w:rPr>
          <w:rFonts w:cs="Times New Roman" w:hint="eastAsia"/>
        </w:rPr>
        <w:t>50%,</w:t>
      </w:r>
      <w:r w:rsidRPr="00530A11">
        <w:rPr>
          <w:rFonts w:cs="Times New Roman" w:hint="eastAsia"/>
        </w:rPr>
        <w:t>否则不认为在两个阶段应用了</w:t>
      </w:r>
      <w:r w:rsidRPr="00530A11">
        <w:rPr>
          <w:rFonts w:cs="Times New Roman" w:hint="eastAsia"/>
        </w:rPr>
        <w:t>BIM</w:t>
      </w:r>
      <w:r w:rsidRPr="00530A11">
        <w:rPr>
          <w:rFonts w:cs="Times New Roman" w:hint="eastAsia"/>
        </w:rPr>
        <w:t>技术。</w:t>
      </w:r>
    </w:p>
    <w:p w14:paraId="4F3305A2" w14:textId="77777777" w:rsidR="00076964" w:rsidRPr="00044922" w:rsidRDefault="00076964" w:rsidP="00076964">
      <w:pPr>
        <w:ind w:firstLineChars="0" w:firstLine="0"/>
        <w:rPr>
          <w:rFonts w:cs="Times New Roman"/>
          <w:b/>
        </w:rPr>
      </w:pPr>
      <w:r w:rsidRPr="00044922">
        <w:rPr>
          <w:rFonts w:cs="Times New Roman" w:hint="eastAsia"/>
          <w:b/>
        </w:rPr>
        <w:t>【评价要点】</w:t>
      </w:r>
    </w:p>
    <w:p w14:paraId="736BED58" w14:textId="77777777" w:rsidR="00076964" w:rsidRPr="00243844" w:rsidRDefault="00076964" w:rsidP="00076964">
      <w:pPr>
        <w:ind w:firstLine="420"/>
        <w:rPr>
          <w:rFonts w:cs="Times New Roman"/>
        </w:rPr>
      </w:pPr>
      <w:r w:rsidRPr="00243844">
        <w:rPr>
          <w:rFonts w:cs="Times New Roman" w:hint="eastAsia"/>
        </w:rPr>
        <w:t>地下车库面积超过</w:t>
      </w:r>
      <w:r w:rsidRPr="00243844">
        <w:rPr>
          <w:rFonts w:cs="Times New Roman" w:hint="eastAsia"/>
        </w:rPr>
        <w:t>1</w:t>
      </w:r>
      <w:r w:rsidRPr="00243844">
        <w:rPr>
          <w:rFonts w:cs="Times New Roman" w:hint="eastAsia"/>
        </w:rPr>
        <w:t>万㎡的项目、商业综合体项目、医院项目、学校项目等公共建筑项目应进行各专业碰撞检测及设计优化。</w:t>
      </w:r>
    </w:p>
    <w:p w14:paraId="0E7D2C7A" w14:textId="77777777" w:rsidR="00076964" w:rsidRPr="00243844" w:rsidRDefault="00076964" w:rsidP="00076964">
      <w:pPr>
        <w:ind w:firstLine="420"/>
        <w:rPr>
          <w:rFonts w:cs="Times New Roman"/>
        </w:rPr>
      </w:pPr>
      <w:r w:rsidRPr="00243844">
        <w:rPr>
          <w:rFonts w:cs="Times New Roman" w:hint="eastAsia"/>
        </w:rPr>
        <w:lastRenderedPageBreak/>
        <w:t>管线综合分析应包括建筑内部管线综合排布，还包含建筑总图、给排水总图、电气总图，创建室外管综</w:t>
      </w:r>
      <w:r w:rsidRPr="00243844">
        <w:rPr>
          <w:rFonts w:cs="Times New Roman" w:hint="eastAsia"/>
        </w:rPr>
        <w:t>BIM</w:t>
      </w:r>
      <w:r w:rsidRPr="00243844">
        <w:rPr>
          <w:rFonts w:cs="Times New Roman" w:hint="eastAsia"/>
        </w:rPr>
        <w:t>模型、并对室外管线之间的各类检查井、雨水口等构筑物进行优化设计。</w:t>
      </w:r>
    </w:p>
    <w:p w14:paraId="7320002F" w14:textId="77777777" w:rsidR="00076964" w:rsidRPr="00243844" w:rsidRDefault="00076964" w:rsidP="00076964">
      <w:pPr>
        <w:ind w:firstLine="420"/>
        <w:rPr>
          <w:rFonts w:cs="Times New Roman"/>
        </w:rPr>
      </w:pPr>
      <w:r w:rsidRPr="00243844">
        <w:rPr>
          <w:rFonts w:cs="Times New Roman" w:hint="eastAsia"/>
        </w:rPr>
        <w:t>多专业协调设计管理平台应包括：</w:t>
      </w:r>
    </w:p>
    <w:p w14:paraId="2DB4104C" w14:textId="77777777" w:rsidR="00076964" w:rsidRPr="00243844" w:rsidRDefault="00076964" w:rsidP="00076964">
      <w:pPr>
        <w:ind w:firstLine="420"/>
        <w:rPr>
          <w:rFonts w:cs="Times New Roman"/>
        </w:rPr>
      </w:pPr>
      <w:r w:rsidRPr="00243844">
        <w:rPr>
          <w:rFonts w:cs="Times New Roman" w:hint="eastAsia"/>
        </w:rPr>
        <w:t>1</w:t>
      </w:r>
      <w:r w:rsidRPr="00243844">
        <w:rPr>
          <w:rFonts w:cs="Times New Roman" w:hint="eastAsia"/>
        </w:rPr>
        <w:t>、工程设计文件管理。依据</w:t>
      </w:r>
      <w:r w:rsidRPr="00243844">
        <w:rPr>
          <w:rFonts w:cs="Times New Roman" w:hint="eastAsia"/>
        </w:rPr>
        <w:t>BIM</w:t>
      </w:r>
      <w:r w:rsidRPr="00243844">
        <w:rPr>
          <w:rFonts w:cs="Times New Roman" w:hint="eastAsia"/>
        </w:rPr>
        <w:t>设计标准，制定适用于项目特点的文件夹存储目录，对目录结构进行用户权限管理，并建立文件备份机制。</w:t>
      </w:r>
    </w:p>
    <w:p w14:paraId="6FE20BF2" w14:textId="77777777" w:rsidR="00076964" w:rsidRPr="00243844" w:rsidRDefault="00076964" w:rsidP="00076964">
      <w:pPr>
        <w:ind w:firstLine="420"/>
        <w:rPr>
          <w:rFonts w:cs="Times New Roman"/>
        </w:rPr>
      </w:pPr>
      <w:r w:rsidRPr="00243844">
        <w:rPr>
          <w:rFonts w:cs="Times New Roman" w:hint="eastAsia"/>
        </w:rPr>
        <w:t>2</w:t>
      </w:r>
      <w:r w:rsidRPr="00243844">
        <w:rPr>
          <w:rFonts w:cs="Times New Roman" w:hint="eastAsia"/>
        </w:rPr>
        <w:t>、协同设计管理流程。建立标准化的</w:t>
      </w:r>
      <w:r w:rsidRPr="00243844">
        <w:rPr>
          <w:rFonts w:cs="Times New Roman" w:hint="eastAsia"/>
        </w:rPr>
        <w:t>BIM</w:t>
      </w:r>
      <w:r w:rsidRPr="00243844">
        <w:rPr>
          <w:rFonts w:cs="Times New Roman" w:hint="eastAsia"/>
        </w:rPr>
        <w:t>应用流程，规范化各参与方职责和交付成果。</w:t>
      </w:r>
    </w:p>
    <w:p w14:paraId="4DF14909" w14:textId="77777777" w:rsidR="00076964" w:rsidRPr="00243844" w:rsidRDefault="00076964" w:rsidP="00076964">
      <w:pPr>
        <w:ind w:firstLine="420"/>
        <w:rPr>
          <w:rFonts w:cs="Times New Roman"/>
        </w:rPr>
      </w:pPr>
      <w:r w:rsidRPr="00243844">
        <w:rPr>
          <w:rFonts w:cs="Times New Roman" w:hint="eastAsia"/>
        </w:rPr>
        <w:t>3</w:t>
      </w:r>
      <w:r w:rsidRPr="00243844">
        <w:rPr>
          <w:rFonts w:cs="Times New Roman" w:hint="eastAsia"/>
        </w:rPr>
        <w:t>、设计成果审核。建立协同设计审查机制，对重要节点提交的设计成果进行审核，结合审阅和批注，对设计各阶段成果进行质量管控。</w:t>
      </w:r>
    </w:p>
    <w:p w14:paraId="3C8BBD81" w14:textId="77777777" w:rsidR="00076964" w:rsidRPr="00243844" w:rsidRDefault="00076964" w:rsidP="00076964">
      <w:pPr>
        <w:ind w:firstLine="420"/>
        <w:rPr>
          <w:rFonts w:cs="Times New Roman"/>
        </w:rPr>
      </w:pPr>
      <w:r w:rsidRPr="00243844">
        <w:rPr>
          <w:rFonts w:cs="Times New Roman" w:hint="eastAsia"/>
        </w:rPr>
        <w:t>4</w:t>
      </w:r>
      <w:r w:rsidRPr="00243844">
        <w:rPr>
          <w:rFonts w:cs="Times New Roman" w:hint="eastAsia"/>
        </w:rPr>
        <w:t>、设计成果归档。建立项目文件编码体系，创建项目级设计成果归档文件目录，对项目工程数据进行有序的归档。</w:t>
      </w:r>
    </w:p>
    <w:p w14:paraId="57F1D288" w14:textId="77777777" w:rsidR="00076964" w:rsidRPr="00243844" w:rsidRDefault="00076964" w:rsidP="00076964">
      <w:pPr>
        <w:ind w:firstLine="420"/>
        <w:rPr>
          <w:rFonts w:cs="Times New Roman"/>
        </w:rPr>
      </w:pPr>
      <w:r w:rsidRPr="00243844">
        <w:rPr>
          <w:rFonts w:cs="Times New Roman" w:hint="eastAsia"/>
        </w:rPr>
        <w:t>基于</w:t>
      </w:r>
      <w:r w:rsidRPr="00243844">
        <w:rPr>
          <w:rFonts w:cs="Times New Roman" w:hint="eastAsia"/>
        </w:rPr>
        <w:t>BIM</w:t>
      </w:r>
      <w:r w:rsidRPr="00243844">
        <w:rPr>
          <w:rFonts w:cs="Times New Roman" w:hint="eastAsia"/>
        </w:rPr>
        <w:t>的一体化工地管理平台应包含质量管控（材料、施工工艺、施工负责人）、成本管理（门窗明细表、管线明细表、设备设施明细表）、风险管控（模型标明注释风险点提前预案）、施工安全管理（</w:t>
      </w:r>
      <w:r w:rsidRPr="00243844">
        <w:rPr>
          <w:rFonts w:cs="Times New Roman" w:hint="eastAsia"/>
        </w:rPr>
        <w:t>VR/AR</w:t>
      </w:r>
      <w:r w:rsidRPr="00243844">
        <w:rPr>
          <w:rFonts w:cs="Times New Roman" w:hint="eastAsia"/>
        </w:rPr>
        <w:t>等技术服务）等信息。</w:t>
      </w:r>
    </w:p>
    <w:p w14:paraId="73268EFC" w14:textId="77777777" w:rsidR="00076964" w:rsidRPr="00243844" w:rsidRDefault="00076964" w:rsidP="00076964">
      <w:pPr>
        <w:ind w:firstLine="420"/>
        <w:rPr>
          <w:rFonts w:cs="Times New Roman"/>
        </w:rPr>
      </w:pPr>
      <w:r w:rsidRPr="00243844">
        <w:rPr>
          <w:rFonts w:cs="Times New Roman" w:hint="eastAsia"/>
        </w:rPr>
        <w:t>运行维护模型应在竣工模型基础上进一步完善，通过运维管理平台，实现对设备及管线快速定位，对设备基本信息及维修信息实时追踪、更新，管理能耗及运维成本，对可能发生的灾害应急预案进行仿真检验和演练，如火灾救援模拟、人员疏散分析、日常人流分析等。</w:t>
      </w:r>
    </w:p>
    <w:p w14:paraId="294842BF"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【评价方法】</w:t>
      </w:r>
    </w:p>
    <w:p w14:paraId="54357420" w14:textId="77777777" w:rsidR="00076964" w:rsidRPr="00530A11" w:rsidRDefault="00076964" w:rsidP="00076964">
      <w:pPr>
        <w:ind w:firstLine="420"/>
        <w:rPr>
          <w:rFonts w:ascii="宋体" w:hAnsi="宋体" w:cs="Times New Roman"/>
          <w:color w:val="000000"/>
          <w:szCs w:val="24"/>
        </w:rPr>
      </w:pPr>
      <w:r w:rsidRPr="00530A11">
        <w:rPr>
          <w:rFonts w:cs="Times New Roman" w:hint="eastAsia"/>
        </w:rPr>
        <w:t>预评价查阅专项分析模型和分析报告，设计管理平台。</w:t>
      </w:r>
    </w:p>
    <w:p w14:paraId="21B4C831" w14:textId="77777777" w:rsidR="00076964" w:rsidRPr="00530A11" w:rsidRDefault="00076964" w:rsidP="00076964">
      <w:pPr>
        <w:ind w:firstLine="420"/>
        <w:rPr>
          <w:rFonts w:cs="Times New Roman"/>
        </w:rPr>
      </w:pPr>
      <w:r w:rsidRPr="00530A11">
        <w:rPr>
          <w:rFonts w:cs="Times New Roman" w:hint="eastAsia"/>
        </w:rPr>
        <w:t>评价查阅预评价涉及内容、</w:t>
      </w:r>
      <w:r w:rsidRPr="00530A11">
        <w:rPr>
          <w:rFonts w:cs="Times New Roman" w:hint="eastAsia"/>
        </w:rPr>
        <w:t>BIM</w:t>
      </w:r>
      <w:r w:rsidRPr="00530A11">
        <w:rPr>
          <w:rFonts w:cs="Times New Roman" w:hint="eastAsia"/>
        </w:rPr>
        <w:t>专项应用技术报告和平台软件。</w:t>
      </w:r>
    </w:p>
    <w:p w14:paraId="2F70CE1A" w14:textId="77777777" w:rsidR="00076964" w:rsidRDefault="00076964" w:rsidP="00076964">
      <w:pPr>
        <w:ind w:firstLine="420"/>
      </w:pPr>
    </w:p>
    <w:p w14:paraId="159F8E2B" w14:textId="77777777" w:rsidR="00076964" w:rsidRPr="00CB19AF" w:rsidRDefault="00076964" w:rsidP="00076964">
      <w:pPr>
        <w:pStyle w:val="4"/>
      </w:pPr>
      <w:r w:rsidRPr="00CB19AF">
        <w:t xml:space="preserve">9.2.7 </w:t>
      </w:r>
      <w:r w:rsidRPr="00CB19AF">
        <w:t>进行建筑碳排放计算分析，采取措施降低单位建筑面积碳排放强度，评价分值为</w:t>
      </w:r>
      <w:r w:rsidRPr="00CB19AF">
        <w:t>5</w:t>
      </w:r>
      <w:r w:rsidRPr="00CB19AF">
        <w:t>分。</w:t>
      </w:r>
    </w:p>
    <w:p w14:paraId="251DCF7B" w14:textId="77777777" w:rsidR="00076964" w:rsidRPr="0081478A" w:rsidRDefault="00076964" w:rsidP="00076964">
      <w:pPr>
        <w:pStyle w:val="20"/>
      </w:pPr>
      <w:r w:rsidRPr="0081478A">
        <w:t>【条文说明】</w:t>
      </w:r>
    </w:p>
    <w:p w14:paraId="03AD5C95" w14:textId="77777777" w:rsidR="00076964" w:rsidRPr="00530A11" w:rsidRDefault="00076964" w:rsidP="00076964">
      <w:pPr>
        <w:ind w:firstLine="420"/>
        <w:rPr>
          <w:szCs w:val="24"/>
        </w:rPr>
      </w:pPr>
      <w:r w:rsidRPr="00530A11">
        <w:t>本条适用于各类民用建筑的预评价、评价。</w:t>
      </w:r>
    </w:p>
    <w:p w14:paraId="2CC56AC4" w14:textId="14D8D64B"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并对条文说明进行了局部修改。</w:t>
      </w:r>
      <w:r w:rsidR="00A52E55" w:rsidRPr="00530A11">
        <w:rPr>
          <w:rFonts w:cs="Times New Roman"/>
        </w:rPr>
        <w:t>本条在国家标准</w:t>
      </w:r>
      <w:r w:rsidR="00A52E55" w:rsidRPr="00530A11">
        <w:rPr>
          <w:rFonts w:cs="Times New Roman"/>
        </w:rPr>
        <w:t>2014</w:t>
      </w:r>
      <w:r w:rsidR="00A52E55" w:rsidRPr="00530A11">
        <w:rPr>
          <w:rFonts w:cs="Times New Roman"/>
        </w:rPr>
        <w:t>年版第</w:t>
      </w:r>
      <w:r w:rsidR="00A52E55" w:rsidRPr="00530A11">
        <w:rPr>
          <w:rFonts w:cs="Times New Roman"/>
        </w:rPr>
        <w:t>11.2.11</w:t>
      </w:r>
      <w:r w:rsidR="00A52E55" w:rsidRPr="00530A11">
        <w:rPr>
          <w:rFonts w:cs="Times New Roman"/>
        </w:rPr>
        <w:t>条，地方标准</w:t>
      </w:r>
      <w:r w:rsidR="00A52E55" w:rsidRPr="00530A11">
        <w:rPr>
          <w:rFonts w:cs="Times New Roman"/>
        </w:rPr>
        <w:t>2014</w:t>
      </w:r>
      <w:r w:rsidR="00A52E55" w:rsidRPr="00530A11">
        <w:rPr>
          <w:rFonts w:cs="Times New Roman"/>
        </w:rPr>
        <w:t>版第</w:t>
      </w:r>
      <w:r w:rsidR="00A52E55" w:rsidRPr="00530A11">
        <w:rPr>
          <w:rFonts w:cs="Times New Roman"/>
        </w:rPr>
        <w:t>11.2.9</w:t>
      </w:r>
      <w:r w:rsidR="00A52E55" w:rsidRPr="00530A11">
        <w:rPr>
          <w:rFonts w:cs="Times New Roman"/>
        </w:rPr>
        <w:t>条的基础上发展而来。</w:t>
      </w:r>
    </w:p>
    <w:p w14:paraId="2C9DA23E" w14:textId="77777777" w:rsidR="00076964" w:rsidRPr="00530A11" w:rsidRDefault="00076964" w:rsidP="00076964">
      <w:pPr>
        <w:ind w:firstLine="420"/>
        <w:rPr>
          <w:rFonts w:cs="Times New Roman"/>
        </w:rPr>
      </w:pPr>
      <w:r w:rsidRPr="00530A11">
        <w:rPr>
          <w:rFonts w:cs="Times New Roman"/>
        </w:rPr>
        <w:t>建筑碳排放计算及其碳足迹分析，不仅有助于帮助绿色建筑项目进一步达到和优化节能、节水、节材等资源节约目标，而且有助于进一步明确建筑对于我国温室气体减排的贡献量。经过多年的研究探索，我国也有了较为成熟的计算方法和一定量的案例实践。在计算分析基础上，再进一步采取相关节能减排措施降低碳排放，做到有的放矢。绿色建筑作为节约资源、保护环境的载体，理应将此作为一项技术措施同步开展。</w:t>
      </w:r>
    </w:p>
    <w:p w14:paraId="3665F17A" w14:textId="77777777" w:rsidR="00076964" w:rsidRPr="00530A11" w:rsidRDefault="00076964" w:rsidP="00076964">
      <w:pPr>
        <w:ind w:firstLine="420"/>
        <w:rPr>
          <w:rFonts w:cs="Times New Roman"/>
        </w:rPr>
      </w:pPr>
      <w:r w:rsidRPr="00530A11">
        <w:rPr>
          <w:rFonts w:cs="Times New Roman"/>
        </w:rPr>
        <w:lastRenderedPageBreak/>
        <w:t>国家标准《建筑碳排放计算标准》</w:t>
      </w:r>
      <w:r w:rsidRPr="00530A11">
        <w:rPr>
          <w:rFonts w:cs="Times New Roman"/>
        </w:rPr>
        <w:t>GB/T 51366-2019</w:t>
      </w:r>
      <w:r w:rsidRPr="00530A11">
        <w:rPr>
          <w:rFonts w:cs="Times New Roman"/>
        </w:rPr>
        <w:t>及行业标准《民用建筑绿色性能计算标准》</w:t>
      </w:r>
      <w:r w:rsidRPr="00530A11">
        <w:rPr>
          <w:rFonts w:cs="Times New Roman"/>
        </w:rPr>
        <w:t>JGJ/T449-2018</w:t>
      </w:r>
      <w:r w:rsidRPr="00530A11">
        <w:rPr>
          <w:rFonts w:cs="Times New Roman"/>
        </w:rPr>
        <w:t>均参照</w:t>
      </w:r>
      <w:r w:rsidRPr="00530A11">
        <w:rPr>
          <w:rFonts w:cs="Times New Roman"/>
        </w:rPr>
        <w:t>LCA</w:t>
      </w:r>
      <w:r w:rsidRPr="00530A11">
        <w:rPr>
          <w:rFonts w:cs="Times New Roman"/>
        </w:rPr>
        <w:t>理论方法，对于建材生产及运输、建造及拆除、运行各建设环节的碳排放计算进行了详细规定，内容涵盖了计算边界、计算方法、碳排放因子选用等方面，可供本条碳排放计算参考。</w:t>
      </w:r>
    </w:p>
    <w:p w14:paraId="7FED9DB3" w14:textId="77777777" w:rsidR="00076964" w:rsidRPr="00530A11" w:rsidRDefault="00076964" w:rsidP="00076964">
      <w:pPr>
        <w:ind w:firstLine="420"/>
        <w:rPr>
          <w:rFonts w:cs="Times New Roman"/>
        </w:rPr>
      </w:pPr>
      <w:r w:rsidRPr="00530A11">
        <w:rPr>
          <w:rFonts w:cs="Times New Roman"/>
        </w:rPr>
        <w:t>降低碳排放的措施，可归纳为减源、增汇、替代</w:t>
      </w:r>
      <w:r w:rsidRPr="00530A11">
        <w:rPr>
          <w:rFonts w:cs="Times New Roman"/>
        </w:rPr>
        <w:t>3</w:t>
      </w:r>
      <w:r w:rsidRPr="00530A11">
        <w:rPr>
          <w:rFonts w:cs="Times New Roman"/>
        </w:rPr>
        <w:t>类。减源，即减少化石能源消耗，通过先进技术提高能效和碳效来减少碳排放量；增汇，主要是加强生态系统管理，例如保护和增加项目区域内的树木，来抵消项目的碳排放；替代，积极利用水电、风能和太阳能、生物质能及地热能等可再生能源，替代化石能源。</w:t>
      </w:r>
    </w:p>
    <w:p w14:paraId="59C7C7B3" w14:textId="77777777" w:rsidR="00076964" w:rsidRPr="00530A11" w:rsidRDefault="00076964" w:rsidP="00076964">
      <w:pPr>
        <w:ind w:firstLine="420"/>
        <w:rPr>
          <w:rFonts w:cs="Times New Roman"/>
        </w:rPr>
      </w:pPr>
      <w:r w:rsidRPr="00530A11">
        <w:rPr>
          <w:rFonts w:cs="Times New Roman"/>
        </w:rPr>
        <w:t>对于预评价和投入使用不足</w:t>
      </w:r>
      <w:r w:rsidRPr="00530A11">
        <w:rPr>
          <w:rFonts w:cs="Times New Roman"/>
        </w:rPr>
        <w:t>1</w:t>
      </w:r>
      <w:r w:rsidRPr="00530A11">
        <w:rPr>
          <w:rFonts w:cs="Times New Roman"/>
        </w:rPr>
        <w:t>年的项目，主要分析建筑的固有碳排放量，即建材生产及运输的碳排放，对于已竣工项目，还应分析建造阶段的碳排放。建筑的固有碳排放量计算对象应包括建筑主体结构材料、建筑围护结构材料、建筑构件和部品等，且所选主要建筑材料的总重量不应低于建筑中所耗建材总重量的</w:t>
      </w:r>
      <w:r w:rsidRPr="00530A11">
        <w:rPr>
          <w:rFonts w:cs="Times New Roman"/>
        </w:rPr>
        <w:t>95%</w:t>
      </w:r>
      <w:r w:rsidRPr="00530A11">
        <w:rPr>
          <w:rFonts w:cs="Times New Roman"/>
        </w:rPr>
        <w:t>。</w:t>
      </w:r>
    </w:p>
    <w:p w14:paraId="6044F89D" w14:textId="0826A06F" w:rsidR="00076964" w:rsidRPr="00530A11" w:rsidRDefault="00076964" w:rsidP="00076964">
      <w:pPr>
        <w:ind w:firstLine="420"/>
        <w:rPr>
          <w:rFonts w:cs="Times New Roman"/>
        </w:rPr>
      </w:pPr>
      <w:r w:rsidRPr="00530A11">
        <w:rPr>
          <w:rFonts w:cs="Times New Roman"/>
        </w:rPr>
        <w:t>对于投入使用满</w:t>
      </w:r>
      <w:r w:rsidRPr="00530A11">
        <w:rPr>
          <w:rFonts w:cs="Times New Roman"/>
        </w:rPr>
        <w:t>1</w:t>
      </w:r>
      <w:r w:rsidRPr="00530A11">
        <w:rPr>
          <w:rFonts w:cs="Times New Roman"/>
        </w:rPr>
        <w:t>年的项目，</w:t>
      </w:r>
      <w:r w:rsidR="00E56BCA" w:rsidRPr="00E56BCA">
        <w:rPr>
          <w:rFonts w:cs="Times New Roman" w:hint="eastAsia"/>
        </w:rPr>
        <w:t>除进行固有碳排放量计算外</w:t>
      </w:r>
      <w:r w:rsidR="00E56BCA">
        <w:rPr>
          <w:rFonts w:cs="Times New Roman" w:hint="eastAsia"/>
        </w:rPr>
        <w:t>，</w:t>
      </w:r>
      <w:r w:rsidRPr="00530A11">
        <w:rPr>
          <w:rFonts w:cs="Times New Roman"/>
        </w:rPr>
        <w:t>主要分析在标准运行工况下建筑运行产生的碳排放量，应根据各系统不同类型能源消耗量和不同类型能源的碳排放因子确定。计算范围应包括暖通空调、生活热水、照明及电梯、可再生能源在建筑运行期间的碳排放量。</w:t>
      </w:r>
    </w:p>
    <w:p w14:paraId="51029007" w14:textId="43AE820C" w:rsidR="00076964" w:rsidRDefault="00076964" w:rsidP="00076964">
      <w:pPr>
        <w:ind w:firstLine="420"/>
        <w:rPr>
          <w:rFonts w:cs="Times New Roman"/>
        </w:rPr>
      </w:pPr>
      <w:r w:rsidRPr="00530A11">
        <w:rPr>
          <w:rFonts w:cs="Times New Roman"/>
        </w:rPr>
        <w:t>对于建筑碳排放的计算所需要的原始数据，应对应建筑的预算、采购、运输、监理、决算等全过程资料，并提供原始的、有可靠依据的记录作为佐证。对于降低碳排放的措施，需要项目给出明确的且经过论证的，具有明显减排作用的碳减排作用的技术措施。</w:t>
      </w:r>
    </w:p>
    <w:p w14:paraId="1445337D" w14:textId="77777777" w:rsidR="008F5BA8" w:rsidRPr="00C01A0F" w:rsidRDefault="008F5BA8" w:rsidP="008F5BA8">
      <w:pPr>
        <w:ind w:firstLineChars="0" w:firstLine="0"/>
        <w:rPr>
          <w:b/>
        </w:rPr>
      </w:pPr>
      <w:r w:rsidRPr="00C01A0F">
        <w:rPr>
          <w:rFonts w:hint="eastAsia"/>
          <w:b/>
        </w:rPr>
        <w:t>【评价要点】</w:t>
      </w:r>
    </w:p>
    <w:p w14:paraId="18BFE1C6" w14:textId="2D2A9821" w:rsidR="008F5BA8" w:rsidRDefault="008073D4" w:rsidP="008073D4">
      <w:pPr>
        <w:ind w:firstLine="420"/>
      </w:pPr>
      <w:r>
        <w:rPr>
          <w:rFonts w:hint="eastAsia"/>
        </w:rPr>
        <w:t>1</w:t>
      </w:r>
      <w:r>
        <w:t>.</w:t>
      </w:r>
      <w:r w:rsidR="00F87991">
        <w:t>建筑碳排放计算应包括建材生产、运输阶段碳排放量和建筑运行阶段碳排放量。</w:t>
      </w:r>
    </w:p>
    <w:p w14:paraId="4BA56D0F" w14:textId="078A6714" w:rsidR="00F87991" w:rsidRDefault="008073D4" w:rsidP="00076964">
      <w:pPr>
        <w:ind w:firstLine="420"/>
        <w:rPr>
          <w:color w:val="111111"/>
        </w:rPr>
      </w:pPr>
      <w:r>
        <w:rPr>
          <w:rFonts w:hint="eastAsia"/>
          <w:color w:val="111111"/>
        </w:rPr>
        <w:t>2</w:t>
      </w:r>
      <w:r>
        <w:rPr>
          <w:color w:val="111111"/>
        </w:rPr>
        <w:t>.</w:t>
      </w:r>
      <w:r w:rsidR="00F87991">
        <w:rPr>
          <w:color w:val="111111"/>
        </w:rPr>
        <w:t>建筑碳排放计算应以单位建筑面积二氧化碳当量排放量作为分析评价指标。</w:t>
      </w:r>
    </w:p>
    <w:p w14:paraId="7C1EDCC9" w14:textId="78AC1159" w:rsidR="008073D4" w:rsidRDefault="008073D4" w:rsidP="00076964">
      <w:pPr>
        <w:ind w:firstLine="420"/>
        <w:rPr>
          <w:color w:val="111111"/>
        </w:rPr>
      </w:pPr>
      <w:r>
        <w:rPr>
          <w:rFonts w:hint="eastAsia"/>
          <w:color w:val="111111"/>
        </w:rPr>
        <w:t>3</w:t>
      </w:r>
      <w:r>
        <w:rPr>
          <w:color w:val="111111"/>
        </w:rPr>
        <w:t>.</w:t>
      </w:r>
      <w:r>
        <w:rPr>
          <w:rFonts w:hint="eastAsia"/>
          <w:color w:val="111111"/>
        </w:rPr>
        <w:t>建筑碳排放各阶段计算公式：</w:t>
      </w:r>
    </w:p>
    <w:p w14:paraId="22DEDACE" w14:textId="5E1AD78B" w:rsidR="008073D4" w:rsidRDefault="008073D4" w:rsidP="00076964">
      <w:pPr>
        <w:ind w:firstLine="420"/>
        <w:rPr>
          <w:color w:val="111111"/>
        </w:rPr>
      </w:pPr>
      <w:r>
        <w:rPr>
          <w:rFonts w:hint="eastAsia"/>
          <w:color w:val="111111"/>
        </w:rPr>
        <w:t>（</w:t>
      </w:r>
      <w:r>
        <w:rPr>
          <w:rFonts w:hint="eastAsia"/>
          <w:color w:val="111111"/>
        </w:rPr>
        <w:t>1</w:t>
      </w:r>
      <w:r>
        <w:rPr>
          <w:rFonts w:hint="eastAsia"/>
          <w:color w:val="111111"/>
        </w:rPr>
        <w:t>）</w:t>
      </w:r>
      <w:r>
        <w:rPr>
          <w:color w:val="111111"/>
        </w:rPr>
        <w:t>建材生产阶段碳排放量应按下式计算：</w:t>
      </w:r>
    </w:p>
    <w:p w14:paraId="4593ACD0" w14:textId="6A129A95" w:rsidR="008073D4" w:rsidRPr="008073D4" w:rsidRDefault="00D20A1F" w:rsidP="00076964">
      <w:pPr>
        <w:ind w:firstLine="420"/>
        <w:rPr>
          <w:rFonts w:cs="Times New Roman"/>
        </w:rPr>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m</m:t>
              </m:r>
            </m:sub>
          </m:sSub>
          <m:r>
            <w:rPr>
              <w:rFonts w:ascii="Cambria Math" w:hAnsi="Cambria Math" w:cs="Times New Roman" w:hint="eastAsia"/>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mi</m:t>
                      </m:r>
                    </m:sub>
                  </m:sSub>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den>
          </m:f>
        </m:oMath>
      </m:oMathPara>
    </w:p>
    <w:p w14:paraId="6E2F6B79" w14:textId="2024E50F" w:rsidR="008073D4" w:rsidRDefault="008073D4" w:rsidP="008073D4">
      <w:pPr>
        <w:ind w:firstLine="420"/>
      </w:pPr>
      <w:r>
        <w:rPr>
          <w:rFonts w:cs="Times New Roman" w:hint="eastAsia"/>
        </w:rPr>
        <w:t>式中：</w:t>
      </w: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m</m:t>
            </m:r>
          </m:sub>
        </m:sSub>
      </m:oMath>
      <w:r>
        <w:rPr>
          <w:rFonts w:cs="Times New Roman" w:hint="eastAsia"/>
        </w:rPr>
        <w:t>——</w:t>
      </w:r>
      <w:r>
        <w:t>建材生产阶段的单位建筑面积碳排放量</w:t>
      </w:r>
      <w:r>
        <w:t>(kgCO</w:t>
      </w:r>
      <w:r>
        <w:rPr>
          <w:vertAlign w:val="subscript"/>
        </w:rPr>
        <w:t>2</w:t>
      </w:r>
      <w:r>
        <w:t>eq</w:t>
      </w:r>
      <w:r>
        <w:t>／</w:t>
      </w:r>
      <w:r>
        <w:t>m</w:t>
      </w:r>
      <w:r>
        <w:rPr>
          <w:vertAlign w:val="superscript"/>
        </w:rPr>
        <w:t>2</w:t>
      </w:r>
      <w:r>
        <w:t>)</w:t>
      </w:r>
      <w:r>
        <w:t>；</w:t>
      </w:r>
    </w:p>
    <w:p w14:paraId="0158B5CF" w14:textId="3F5DE8F3" w:rsidR="008073D4" w:rsidRDefault="00D20A1F" w:rsidP="008073D4">
      <w:pPr>
        <w:ind w:firstLine="420"/>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8073D4">
        <w:rPr>
          <w:rFonts w:hint="eastAsia"/>
        </w:rPr>
        <w:t>——</w:t>
      </w:r>
      <w:r w:rsidR="008073D4">
        <w:t>第</w:t>
      </w:r>
      <w:r w:rsidR="008073D4">
        <w:t>i</w:t>
      </w:r>
      <w:r w:rsidR="008073D4">
        <w:t>种建材的总用量</w:t>
      </w:r>
      <w:r w:rsidR="008073D4">
        <w:t>(t)</w:t>
      </w:r>
      <w:r w:rsidR="008073D4">
        <w:t>；</w:t>
      </w:r>
    </w:p>
    <w:p w14:paraId="2A1D5250" w14:textId="79F2CF4C"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mi</m:t>
            </m:r>
          </m:sub>
        </m:sSub>
      </m:oMath>
      <w:r w:rsidR="008073D4">
        <w:rPr>
          <w:rFonts w:hint="eastAsia"/>
        </w:rPr>
        <w:t>——</w:t>
      </w:r>
      <w:r w:rsidR="008073D4">
        <w:t>第</w:t>
      </w:r>
      <w:r w:rsidR="008073D4">
        <w:t>i</w:t>
      </w:r>
      <w:r w:rsidR="008073D4">
        <w:t>种建材的生产碳排放因子</w:t>
      </w:r>
      <w:r w:rsidR="008073D4">
        <w:t>(kgCO</w:t>
      </w:r>
      <w:r w:rsidR="008073D4">
        <w:rPr>
          <w:vertAlign w:val="subscript"/>
        </w:rPr>
        <w:t>2</w:t>
      </w:r>
      <w:r w:rsidR="008073D4">
        <w:t>eq</w:t>
      </w:r>
      <w:r w:rsidR="008073D4">
        <w:t>／单位建材用量</w:t>
      </w:r>
      <w:r w:rsidR="008073D4">
        <w:t>)</w:t>
      </w:r>
      <w:r w:rsidR="008073D4">
        <w:t>；</w:t>
      </w:r>
    </w:p>
    <w:p w14:paraId="73079F6D" w14:textId="6FDE2579"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oMath>
      <w:r w:rsidR="008073D4">
        <w:rPr>
          <w:rFonts w:hint="eastAsia"/>
        </w:rPr>
        <w:t>——</w:t>
      </w:r>
      <w:r w:rsidR="008073D4">
        <w:t>建筑面积</w:t>
      </w:r>
      <w:r w:rsidR="008073D4">
        <w:t>(m</w:t>
      </w:r>
      <w:r w:rsidR="008073D4">
        <w:rPr>
          <w:vertAlign w:val="superscript"/>
        </w:rPr>
        <w:t>2</w:t>
      </w:r>
      <w:r w:rsidR="008073D4">
        <w:t>)</w:t>
      </w:r>
      <w:r w:rsidR="008073D4">
        <w:t>。</w:t>
      </w:r>
    </w:p>
    <w:p w14:paraId="38508E5D" w14:textId="69AB013F" w:rsidR="008073D4" w:rsidRDefault="008073D4" w:rsidP="008073D4">
      <w:pPr>
        <w:ind w:firstLine="420"/>
        <w:rPr>
          <w:color w:val="111111"/>
        </w:rPr>
      </w:pPr>
      <w:r>
        <w:rPr>
          <w:rFonts w:hint="eastAsia"/>
          <w:color w:val="111111"/>
        </w:rPr>
        <w:lastRenderedPageBreak/>
        <w:t>（</w:t>
      </w:r>
      <w:r>
        <w:rPr>
          <w:rFonts w:hint="eastAsia"/>
          <w:color w:val="111111"/>
        </w:rPr>
        <w:t>2</w:t>
      </w:r>
      <w:r>
        <w:rPr>
          <w:rFonts w:hint="eastAsia"/>
          <w:color w:val="111111"/>
        </w:rPr>
        <w:t>）</w:t>
      </w:r>
      <w:r>
        <w:rPr>
          <w:color w:val="111111"/>
        </w:rPr>
        <w:t>建材运输阶段的碳排放量应按下式计算：</w:t>
      </w:r>
    </w:p>
    <w:p w14:paraId="2CFA70F2" w14:textId="70A1491C" w:rsidR="008073D4" w:rsidRDefault="00D20A1F" w:rsidP="008073D4">
      <w:pPr>
        <w:ind w:firstLine="420"/>
      </w:pPr>
      <m:oMathPara>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t</m:t>
              </m:r>
            </m:sub>
          </m:sSub>
          <m:r>
            <w:rPr>
              <w:rFonts w:ascii="Cambria Math" w:hAnsi="Cambria Math" w:cs="Times New Roman" w:hint="eastAsia"/>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M</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ti</m:t>
                      </m:r>
                    </m:sub>
                  </m:sSub>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den>
          </m:f>
        </m:oMath>
      </m:oMathPara>
    </w:p>
    <w:p w14:paraId="39A5E8E2" w14:textId="2634F650"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hint="eastAsia"/>
              </w:rPr>
              <m:t>t</m:t>
            </m:r>
          </m:sub>
        </m:sSub>
      </m:oMath>
      <w:r w:rsidR="008073D4">
        <w:rPr>
          <w:rFonts w:hint="eastAsia"/>
        </w:rPr>
        <w:t>——</w:t>
      </w:r>
      <w:r w:rsidR="008073D4">
        <w:t>建材运输阶段的单位建筑面积碳排放量</w:t>
      </w:r>
      <w:r w:rsidR="008073D4">
        <w:t>(kgCO</w:t>
      </w:r>
      <w:r w:rsidR="008073D4">
        <w:rPr>
          <w:vertAlign w:val="subscript"/>
        </w:rPr>
        <w:t>2</w:t>
      </w:r>
      <w:r w:rsidR="008073D4">
        <w:t>eq</w:t>
      </w:r>
      <w:r w:rsidR="008073D4">
        <w:t>／</w:t>
      </w:r>
      <w:r w:rsidR="008073D4">
        <w:t>m</w:t>
      </w:r>
      <w:r w:rsidR="008073D4">
        <w:rPr>
          <w:vertAlign w:val="superscript"/>
        </w:rPr>
        <w:t>2</w:t>
      </w:r>
      <w:r w:rsidR="008073D4">
        <w:t>)</w:t>
      </w:r>
      <w:r w:rsidR="008073D4">
        <w:t>；</w:t>
      </w:r>
    </w:p>
    <w:p w14:paraId="0454ACC4" w14:textId="77777777" w:rsidR="008073D4" w:rsidRDefault="00D20A1F" w:rsidP="008073D4">
      <w:pPr>
        <w:ind w:firstLine="420"/>
      </w:pPr>
      <m:oMath>
        <m:sSub>
          <m:sSubPr>
            <m:ctrlPr>
              <w:rPr>
                <w:rFonts w:ascii="Cambria Math" w:hAnsi="Cambria Math"/>
              </w:rPr>
            </m:ctrlPr>
          </m:sSubPr>
          <m:e>
            <m:r>
              <w:rPr>
                <w:rFonts w:ascii="Cambria Math" w:hAnsi="Cambria Math"/>
              </w:rPr>
              <m:t>M</m:t>
            </m:r>
          </m:e>
          <m:sub>
            <m:r>
              <w:rPr>
                <w:rFonts w:ascii="Cambria Math" w:hAnsi="Cambria Math"/>
              </w:rPr>
              <m:t>i</m:t>
            </m:r>
          </m:sub>
        </m:sSub>
      </m:oMath>
      <w:r w:rsidR="008073D4">
        <w:rPr>
          <w:rFonts w:hint="eastAsia"/>
        </w:rPr>
        <w:t>——</w:t>
      </w:r>
      <w:r w:rsidR="008073D4">
        <w:t>第</w:t>
      </w:r>
      <w:r w:rsidR="008073D4">
        <w:t>i</w:t>
      </w:r>
      <w:r w:rsidR="008073D4">
        <w:t>种建材的总用量</w:t>
      </w:r>
      <w:r w:rsidR="008073D4">
        <w:t>(t)</w:t>
      </w:r>
      <w:r w:rsidR="008073D4">
        <w:t>；</w:t>
      </w:r>
    </w:p>
    <w:p w14:paraId="58DA1402" w14:textId="70B60885"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L</m:t>
            </m:r>
          </m:e>
          <m:sub>
            <m:r>
              <w:rPr>
                <w:rFonts w:ascii="Cambria Math" w:hAnsi="Cambria Math" w:cs="Times New Roman"/>
              </w:rPr>
              <m:t>i</m:t>
            </m:r>
          </m:sub>
        </m:sSub>
      </m:oMath>
      <w:r w:rsidR="008073D4">
        <w:rPr>
          <w:rFonts w:hint="eastAsia"/>
        </w:rPr>
        <w:t>——</w:t>
      </w:r>
      <w:r w:rsidR="008073D4">
        <w:t>第</w:t>
      </w:r>
      <w:r w:rsidR="008073D4">
        <w:t>i</w:t>
      </w:r>
      <w:r w:rsidR="008073D4">
        <w:t>种建材的平均运输距离</w:t>
      </w:r>
      <w:r w:rsidR="008073D4">
        <w:t>(km)</w:t>
      </w:r>
      <w:r w:rsidR="008073D4">
        <w:t>；</w:t>
      </w:r>
    </w:p>
    <w:p w14:paraId="1271CAAF" w14:textId="4E3D3CFF"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rPr>
              <m:t>ti</m:t>
            </m:r>
          </m:sub>
        </m:sSub>
      </m:oMath>
      <w:r w:rsidR="008073D4">
        <w:rPr>
          <w:rFonts w:hint="eastAsia"/>
        </w:rPr>
        <w:t>——</w:t>
      </w:r>
      <w:r w:rsidR="008073D4">
        <w:t>第</w:t>
      </w:r>
      <w:r w:rsidR="008073D4">
        <w:t>i</w:t>
      </w:r>
      <w:r w:rsidR="008073D4">
        <w:t>种建材单位重量运输距离的碳排放因子</w:t>
      </w:r>
      <w:r w:rsidR="008073D4">
        <w:t>[kg-CO</w:t>
      </w:r>
      <w:r w:rsidR="008073D4">
        <w:rPr>
          <w:vertAlign w:val="subscript"/>
        </w:rPr>
        <w:t>2</w:t>
      </w:r>
      <w:r w:rsidR="008073D4">
        <w:t>eq</w:t>
      </w:r>
      <w:r w:rsidR="008073D4">
        <w:t>／</w:t>
      </w:r>
      <w:r w:rsidR="008073D4">
        <w:t>(t·km)]</w:t>
      </w:r>
      <w:r w:rsidR="008073D4">
        <w:t>；</w:t>
      </w:r>
    </w:p>
    <w:p w14:paraId="7D3507E8" w14:textId="00EE7D1F"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oMath>
      <w:r w:rsidR="008073D4">
        <w:rPr>
          <w:rFonts w:hint="eastAsia"/>
        </w:rPr>
        <w:t>——</w:t>
      </w:r>
      <w:r w:rsidR="008073D4">
        <w:t>建筑面积</w:t>
      </w:r>
      <w:r w:rsidR="008073D4">
        <w:t>(m</w:t>
      </w:r>
      <w:r w:rsidR="008073D4">
        <w:rPr>
          <w:vertAlign w:val="superscript"/>
        </w:rPr>
        <w:t>2</w:t>
      </w:r>
      <w:r w:rsidR="008073D4">
        <w:t>)</w:t>
      </w:r>
      <w:r w:rsidR="008073D4">
        <w:t>。</w:t>
      </w:r>
    </w:p>
    <w:p w14:paraId="5842B513" w14:textId="407DC864" w:rsidR="008073D4" w:rsidRDefault="008073D4" w:rsidP="008073D4">
      <w:pPr>
        <w:ind w:firstLine="420"/>
      </w:pPr>
      <w:r>
        <w:rPr>
          <w:rFonts w:hint="eastAsia"/>
          <w:color w:val="111111"/>
        </w:rPr>
        <w:t>（</w:t>
      </w:r>
      <w:r>
        <w:rPr>
          <w:rFonts w:hint="eastAsia"/>
          <w:color w:val="111111"/>
        </w:rPr>
        <w:t>3</w:t>
      </w:r>
      <w:r>
        <w:rPr>
          <w:rFonts w:hint="eastAsia"/>
          <w:color w:val="111111"/>
        </w:rPr>
        <w:t>）</w:t>
      </w:r>
      <w:r>
        <w:rPr>
          <w:color w:val="111111"/>
        </w:rPr>
        <w:t>建筑运行阶段碳排放量应按下式计算：</w:t>
      </w:r>
    </w:p>
    <w:p w14:paraId="1E59E2B2" w14:textId="4C47A093" w:rsidR="008073D4" w:rsidRPr="008073D4" w:rsidRDefault="00D20A1F" w:rsidP="008073D4">
      <w:pPr>
        <w:ind w:firstLineChars="95" w:firstLine="199"/>
      </w:pPr>
      <m:oMathPara>
        <m:oMathParaPr>
          <m:jc m:val="center"/>
        </m:oMathPara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m:t>
              </m:r>
            </m:sub>
          </m:sSub>
          <m:r>
            <w:rPr>
              <w:rFonts w:ascii="Cambria Math" w:hAnsi="Cambria Math" w:cs="Times New Roman" w:hint="eastAsia"/>
            </w:rPr>
            <m:t>=</m:t>
          </m:r>
          <m:f>
            <m:fPr>
              <m:ctrlPr>
                <w:rPr>
                  <w:rFonts w:ascii="Cambria Math" w:hAnsi="Cambria Math" w:cs="Times New Roman"/>
                  <w:i/>
                </w:rPr>
              </m:ctrlPr>
            </m:fPr>
            <m:num>
              <m:nary>
                <m:naryPr>
                  <m:chr m:val="∑"/>
                  <m:limLoc m:val="undOvr"/>
                  <m:ctrlPr>
                    <w:rPr>
                      <w:rFonts w:ascii="Cambria Math" w:hAnsi="Cambria Math" w:cs="Times New Roman"/>
                      <w:i/>
                    </w:rPr>
                  </m:ctrlPr>
                </m:naryPr>
                <m:sub>
                  <m:r>
                    <w:rPr>
                      <w:rFonts w:ascii="Cambria Math" w:hAnsi="Cambria Math" w:cs="Times New Roman"/>
                    </w:rPr>
                    <m:t>i=1</m:t>
                  </m:r>
                </m:sub>
                <m:sup>
                  <m:r>
                    <w:rPr>
                      <w:rFonts w:ascii="Cambria Math" w:hAnsi="Cambria Math" w:cs="Times New Roman"/>
                    </w:rPr>
                    <m:t>N</m:t>
                  </m:r>
                </m:sup>
                <m:e>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hint="eastAsia"/>
                        </w:rPr>
                        <m:t>e</m:t>
                      </m:r>
                      <m:r>
                        <w:rPr>
                          <w:rFonts w:ascii="Cambria Math" w:hAnsi="Cambria Math" w:cs="Times New Roman"/>
                        </w:rPr>
                        <m:t>i</m:t>
                      </m:r>
                    </m:sub>
                  </m:sSub>
                  <m:r>
                    <w:rPr>
                      <w:rFonts w:ascii="Cambria Math" w:hAnsi="Cambria Math" w:cs="Times New Roman"/>
                    </w:rPr>
                    <m:t>)</m:t>
                  </m:r>
                </m:e>
              </m:nary>
            </m:num>
            <m:den>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den>
          </m:f>
          <m:r>
            <w:rPr>
              <w:rFonts w:ascii="Cambria Math" w:hAnsi="Cambria Math" w:cs="Times New Roman"/>
            </w:rPr>
            <m:t>×Y</m:t>
          </m:r>
        </m:oMath>
      </m:oMathPara>
    </w:p>
    <w:p w14:paraId="72E7FE2B" w14:textId="651B92B3"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C</m:t>
            </m:r>
          </m:e>
          <m:sub>
            <m:r>
              <w:rPr>
                <w:rFonts w:ascii="Cambria Math" w:hAnsi="Cambria Math" w:cs="Times New Roman"/>
              </w:rPr>
              <m:t>O</m:t>
            </m:r>
          </m:sub>
        </m:sSub>
      </m:oMath>
      <w:r w:rsidR="008073D4">
        <w:rPr>
          <w:rFonts w:hint="eastAsia"/>
        </w:rPr>
        <w:t>——</w:t>
      </w:r>
      <w:r w:rsidR="008073D4">
        <w:t>建筑运行阶段单位建筑面积碳排放量</w:t>
      </w:r>
      <w:r w:rsidR="008073D4">
        <w:t>(kgCO</w:t>
      </w:r>
      <w:r w:rsidR="008073D4">
        <w:rPr>
          <w:vertAlign w:val="subscript"/>
        </w:rPr>
        <w:t>2</w:t>
      </w:r>
      <w:r w:rsidR="008073D4">
        <w:t>eq</w:t>
      </w:r>
      <w:r w:rsidR="008073D4">
        <w:t>／</w:t>
      </w:r>
      <w:r w:rsidR="008073D4">
        <w:t>m</w:t>
      </w:r>
      <w:r w:rsidR="008073D4">
        <w:rPr>
          <w:vertAlign w:val="superscript"/>
        </w:rPr>
        <w:t>2</w:t>
      </w:r>
      <w:r w:rsidR="008073D4">
        <w:t>)</w:t>
      </w:r>
      <w:r w:rsidR="008073D4">
        <w:t>；</w:t>
      </w:r>
    </w:p>
    <w:p w14:paraId="6DD7BB6F" w14:textId="04074D6D"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E</m:t>
            </m:r>
          </m:e>
          <m:sub>
            <m:r>
              <w:rPr>
                <w:rFonts w:ascii="Cambria Math" w:hAnsi="Cambria Math" w:cs="Times New Roman"/>
              </w:rPr>
              <m:t>i</m:t>
            </m:r>
          </m:sub>
        </m:sSub>
      </m:oMath>
      <w:r w:rsidR="008073D4">
        <w:rPr>
          <w:rFonts w:hint="eastAsia"/>
        </w:rPr>
        <w:t>——</w:t>
      </w:r>
      <w:r w:rsidR="008073D4">
        <w:t>第</w:t>
      </w:r>
      <w:r w:rsidR="008073D4">
        <w:t>i</w:t>
      </w:r>
      <w:r w:rsidR="008073D4">
        <w:t>种能源的年消耗总量</w:t>
      </w:r>
      <w:r w:rsidR="008073D4">
        <w:t>(</w:t>
      </w:r>
      <w:r w:rsidR="008073D4">
        <w:t>单位能耗量／年</w:t>
      </w:r>
      <w:r w:rsidR="008073D4">
        <w:t>)</w:t>
      </w:r>
      <w:r w:rsidR="008073D4">
        <w:t>；</w:t>
      </w:r>
    </w:p>
    <w:p w14:paraId="2731F377" w14:textId="2FEA27DC"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F</m:t>
            </m:r>
          </m:e>
          <m:sub>
            <m:r>
              <w:rPr>
                <w:rFonts w:ascii="Cambria Math" w:hAnsi="Cambria Math" w:cs="Times New Roman" w:hint="eastAsia"/>
              </w:rPr>
              <m:t>e</m:t>
            </m:r>
            <m:r>
              <w:rPr>
                <w:rFonts w:ascii="Cambria Math" w:hAnsi="Cambria Math" w:cs="Times New Roman"/>
              </w:rPr>
              <m:t>i</m:t>
            </m:r>
          </m:sub>
        </m:sSub>
      </m:oMath>
      <w:r w:rsidR="008073D4">
        <w:rPr>
          <w:rFonts w:hint="eastAsia"/>
        </w:rPr>
        <w:t>——</w:t>
      </w:r>
      <w:r w:rsidR="008073D4">
        <w:t>第</w:t>
      </w:r>
      <w:r w:rsidR="008073D4">
        <w:t>i</w:t>
      </w:r>
      <w:r w:rsidR="008073D4">
        <w:t>种能源的碳排放因子</w:t>
      </w:r>
      <w:r w:rsidR="008073D4">
        <w:t>(kgCO</w:t>
      </w:r>
      <w:r w:rsidR="008073D4">
        <w:rPr>
          <w:vertAlign w:val="subscript"/>
        </w:rPr>
        <w:t>2</w:t>
      </w:r>
      <w:r w:rsidR="008073D4">
        <w:t>eq</w:t>
      </w:r>
      <w:r w:rsidR="008073D4">
        <w:t>／单位能耗量</w:t>
      </w:r>
      <w:r w:rsidR="008073D4">
        <w:t>)</w:t>
      </w:r>
      <w:r w:rsidR="008073D4">
        <w:t>；</w:t>
      </w:r>
    </w:p>
    <w:p w14:paraId="4507EF93" w14:textId="196E1A1D" w:rsidR="008073D4" w:rsidRDefault="00D20A1F" w:rsidP="008073D4">
      <w:pPr>
        <w:ind w:firstLine="420"/>
      </w:pP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C</m:t>
            </m:r>
          </m:sub>
        </m:sSub>
      </m:oMath>
      <w:r w:rsidR="008073D4">
        <w:rPr>
          <w:rFonts w:hint="eastAsia"/>
        </w:rPr>
        <w:t>——</w:t>
      </w:r>
      <w:r w:rsidR="008073D4">
        <w:t>建筑面积</w:t>
      </w:r>
      <w:r w:rsidR="008073D4">
        <w:t>(m</w:t>
      </w:r>
      <w:r w:rsidR="008073D4">
        <w:rPr>
          <w:vertAlign w:val="superscript"/>
        </w:rPr>
        <w:t>2</w:t>
      </w:r>
      <w:r w:rsidR="008073D4">
        <w:t>)</w:t>
      </w:r>
      <w:r w:rsidR="008073D4">
        <w:rPr>
          <w:rFonts w:hint="eastAsia"/>
        </w:rPr>
        <w:t>；</w:t>
      </w:r>
    </w:p>
    <w:p w14:paraId="2FEC94A4" w14:textId="0E5A550F" w:rsidR="008073D4" w:rsidRPr="008073D4" w:rsidRDefault="008073D4" w:rsidP="008073D4">
      <w:pPr>
        <w:ind w:firstLine="420"/>
      </w:pPr>
      <w:r>
        <w:t>Y——</w:t>
      </w:r>
      <w:r>
        <w:t>建筑寿命</w:t>
      </w:r>
      <w:r>
        <w:t>(</w:t>
      </w:r>
      <w:r>
        <w:t>年</w:t>
      </w:r>
      <w:r>
        <w:t>)</w:t>
      </w:r>
      <w:r>
        <w:t>。</w:t>
      </w:r>
    </w:p>
    <w:p w14:paraId="6A5C3315" w14:textId="77777777" w:rsidR="00076964" w:rsidRPr="0081478A" w:rsidRDefault="00076964" w:rsidP="00076964">
      <w:pPr>
        <w:ind w:firstLineChars="0" w:firstLine="0"/>
        <w:rPr>
          <w:rFonts w:cs="Times New Roman"/>
          <w:b/>
          <w:szCs w:val="24"/>
        </w:rPr>
      </w:pPr>
      <w:r w:rsidRPr="0081478A">
        <w:rPr>
          <w:rFonts w:cs="Times New Roman"/>
          <w:b/>
          <w:szCs w:val="24"/>
        </w:rPr>
        <w:t>【评价方法】</w:t>
      </w:r>
    </w:p>
    <w:p w14:paraId="6E20A4F6" w14:textId="3126A8B8" w:rsidR="00076964" w:rsidRPr="00530A11" w:rsidRDefault="00076964" w:rsidP="00076964">
      <w:pPr>
        <w:ind w:firstLine="420"/>
        <w:rPr>
          <w:rFonts w:cs="Times New Roman"/>
        </w:rPr>
      </w:pPr>
      <w:r w:rsidRPr="00530A11">
        <w:rPr>
          <w:rFonts w:cs="Times New Roman"/>
        </w:rPr>
        <w:t>查阅建筑碳排放计算分析报告（含减排措施）。对于预评价和投入使用不足</w:t>
      </w:r>
      <w:r w:rsidRPr="00530A11">
        <w:rPr>
          <w:rFonts w:cs="Times New Roman"/>
        </w:rPr>
        <w:t>1</w:t>
      </w:r>
      <w:r w:rsidRPr="00530A11">
        <w:rPr>
          <w:rFonts w:cs="Times New Roman"/>
        </w:rPr>
        <w:t>年的项目，计算分析建筑固有碳排放量；投入使用满</w:t>
      </w:r>
      <w:r w:rsidRPr="00530A11">
        <w:rPr>
          <w:rFonts w:cs="Times New Roman"/>
        </w:rPr>
        <w:t>1</w:t>
      </w:r>
      <w:r w:rsidRPr="00530A11">
        <w:rPr>
          <w:rFonts w:cs="Times New Roman"/>
        </w:rPr>
        <w:t>年的项目，</w:t>
      </w:r>
      <w:r w:rsidR="00875F4A">
        <w:rPr>
          <w:rFonts w:cs="Times New Roman" w:hint="eastAsia"/>
        </w:rPr>
        <w:t>重点</w:t>
      </w:r>
      <w:r w:rsidRPr="00530A11">
        <w:rPr>
          <w:rFonts w:cs="Times New Roman"/>
        </w:rPr>
        <w:t>计算分析标准运行工况下建筑运行产生的碳排放量。</w:t>
      </w:r>
    </w:p>
    <w:p w14:paraId="756566A1" w14:textId="77777777" w:rsidR="00076964" w:rsidRPr="001E54E5" w:rsidRDefault="00076964" w:rsidP="00076964">
      <w:pPr>
        <w:ind w:firstLine="420"/>
        <w:rPr>
          <w:rFonts w:cs="Times New Roman"/>
        </w:rPr>
      </w:pPr>
    </w:p>
    <w:p w14:paraId="151390B4" w14:textId="77777777" w:rsidR="00550EBF" w:rsidRPr="00135E4F" w:rsidRDefault="00550EBF" w:rsidP="00550EBF">
      <w:pPr>
        <w:pStyle w:val="4"/>
      </w:pPr>
      <w:r w:rsidRPr="00135E4F">
        <w:t xml:space="preserve">9.2.8 </w:t>
      </w:r>
      <w:r w:rsidRPr="00135E4F">
        <w:t>按照绿色施工的要求进行施工和管理，评价总分值为</w:t>
      </w:r>
      <w:r w:rsidRPr="00135E4F">
        <w:t>20</w:t>
      </w:r>
      <w:r w:rsidRPr="00135E4F">
        <w:t>分，并按下列规则分别评分并累计：</w:t>
      </w:r>
    </w:p>
    <w:p w14:paraId="2AA316DE" w14:textId="77777777" w:rsidR="00550EBF" w:rsidRPr="00135E4F" w:rsidRDefault="00550EBF" w:rsidP="00550EBF">
      <w:pPr>
        <w:ind w:firstLineChars="100" w:firstLine="211"/>
        <w:rPr>
          <w:rFonts w:cs="Times New Roman"/>
          <w:b/>
          <w:bCs/>
          <w:szCs w:val="24"/>
        </w:rPr>
      </w:pPr>
      <w:r w:rsidRPr="00135E4F">
        <w:rPr>
          <w:rFonts w:cs="Times New Roman"/>
          <w:b/>
          <w:bCs/>
          <w:szCs w:val="24"/>
        </w:rPr>
        <w:t xml:space="preserve">1 </w:t>
      </w:r>
      <w:r w:rsidRPr="00135E4F">
        <w:rPr>
          <w:rFonts w:cs="Times New Roman"/>
          <w:b/>
          <w:bCs/>
          <w:szCs w:val="24"/>
        </w:rPr>
        <w:t>获得绿色施工优良等级或绿色施工示范工程认定，得</w:t>
      </w:r>
      <w:r w:rsidRPr="00135E4F">
        <w:rPr>
          <w:rFonts w:cs="Times New Roman"/>
          <w:b/>
          <w:bCs/>
          <w:szCs w:val="24"/>
        </w:rPr>
        <w:t>8</w:t>
      </w:r>
      <w:r w:rsidRPr="00135E4F">
        <w:rPr>
          <w:rFonts w:cs="Times New Roman"/>
          <w:b/>
          <w:bCs/>
          <w:szCs w:val="24"/>
        </w:rPr>
        <w:t>分；</w:t>
      </w:r>
      <w:r w:rsidRPr="00135E4F">
        <w:rPr>
          <w:rFonts w:cs="Times New Roman"/>
          <w:b/>
          <w:bCs/>
          <w:szCs w:val="24"/>
        </w:rPr>
        <w:t xml:space="preserve"> </w:t>
      </w:r>
    </w:p>
    <w:p w14:paraId="4DB11572" w14:textId="77777777" w:rsidR="00550EBF" w:rsidRPr="00135E4F" w:rsidRDefault="00550EBF" w:rsidP="00550EBF">
      <w:pPr>
        <w:ind w:firstLineChars="100" w:firstLine="211"/>
        <w:rPr>
          <w:rFonts w:cs="Times New Roman"/>
          <w:b/>
          <w:bCs/>
          <w:szCs w:val="24"/>
        </w:rPr>
      </w:pPr>
      <w:r w:rsidRPr="00135E4F">
        <w:rPr>
          <w:rFonts w:cs="Times New Roman"/>
          <w:b/>
          <w:bCs/>
          <w:szCs w:val="24"/>
        </w:rPr>
        <w:t xml:space="preserve">2 </w:t>
      </w:r>
      <w:r w:rsidRPr="00135E4F">
        <w:rPr>
          <w:rFonts w:cs="Times New Roman"/>
          <w:b/>
          <w:bCs/>
          <w:szCs w:val="24"/>
        </w:rPr>
        <w:t>通过</w:t>
      </w:r>
      <w:r w:rsidRPr="00135E4F">
        <w:rPr>
          <w:rFonts w:cs="Times New Roman" w:hint="eastAsia"/>
          <w:b/>
          <w:bCs/>
          <w:szCs w:val="24"/>
        </w:rPr>
        <w:t>重庆市智慧工地评价或认定</w:t>
      </w:r>
      <w:r w:rsidRPr="00135E4F">
        <w:rPr>
          <w:rFonts w:cs="Times New Roman"/>
          <w:b/>
          <w:bCs/>
          <w:szCs w:val="24"/>
        </w:rPr>
        <w:t>，得</w:t>
      </w:r>
      <w:r w:rsidRPr="00135E4F">
        <w:rPr>
          <w:rFonts w:cs="Times New Roman"/>
          <w:b/>
          <w:bCs/>
          <w:szCs w:val="24"/>
        </w:rPr>
        <w:t>4</w:t>
      </w:r>
      <w:r w:rsidRPr="00135E4F">
        <w:rPr>
          <w:rFonts w:cs="Times New Roman"/>
          <w:b/>
          <w:bCs/>
          <w:szCs w:val="24"/>
        </w:rPr>
        <w:t>分；</w:t>
      </w:r>
      <w:r w:rsidRPr="00135E4F">
        <w:rPr>
          <w:rFonts w:cs="Times New Roman" w:hint="eastAsia"/>
          <w:b/>
          <w:bCs/>
          <w:szCs w:val="24"/>
        </w:rPr>
        <w:t xml:space="preserve"> </w:t>
      </w:r>
    </w:p>
    <w:p w14:paraId="1D90853E" w14:textId="77777777" w:rsidR="00550EBF" w:rsidRPr="00135E4F" w:rsidRDefault="00550EBF" w:rsidP="00550EBF">
      <w:pPr>
        <w:ind w:firstLineChars="100" w:firstLine="211"/>
        <w:rPr>
          <w:rFonts w:cs="Times New Roman"/>
          <w:b/>
          <w:bCs/>
          <w:szCs w:val="24"/>
        </w:rPr>
      </w:pPr>
      <w:r w:rsidRPr="00135E4F">
        <w:rPr>
          <w:rFonts w:cs="Times New Roman"/>
          <w:b/>
          <w:bCs/>
          <w:szCs w:val="24"/>
        </w:rPr>
        <w:t xml:space="preserve">3 </w:t>
      </w:r>
      <w:r w:rsidRPr="00135E4F">
        <w:rPr>
          <w:rFonts w:cs="Times New Roman"/>
          <w:b/>
          <w:bCs/>
          <w:szCs w:val="24"/>
        </w:rPr>
        <w:t>现浇混凝土构件采用高效、绿色、节能的模板体系，得</w:t>
      </w:r>
      <w:r w:rsidRPr="00135E4F">
        <w:rPr>
          <w:rFonts w:cs="Times New Roman"/>
          <w:b/>
          <w:bCs/>
          <w:szCs w:val="24"/>
        </w:rPr>
        <w:t>8</w:t>
      </w:r>
      <w:r w:rsidRPr="00135E4F">
        <w:rPr>
          <w:rFonts w:cs="Times New Roman"/>
          <w:b/>
          <w:bCs/>
          <w:szCs w:val="24"/>
        </w:rPr>
        <w:t>分。</w:t>
      </w:r>
    </w:p>
    <w:p w14:paraId="4C54524C" w14:textId="77777777" w:rsidR="00550EBF" w:rsidRPr="00135E4F" w:rsidRDefault="00550EBF" w:rsidP="00550EBF">
      <w:pPr>
        <w:ind w:firstLineChars="100" w:firstLine="211"/>
        <w:rPr>
          <w:rFonts w:cs="Times New Roman"/>
          <w:b/>
          <w:bCs/>
          <w:szCs w:val="24"/>
        </w:rPr>
      </w:pPr>
      <w:r w:rsidRPr="00135E4F">
        <w:rPr>
          <w:rFonts w:cs="Times New Roman"/>
          <w:b/>
          <w:bCs/>
          <w:szCs w:val="24"/>
        </w:rPr>
        <w:t>（</w:t>
      </w:r>
      <w:r w:rsidRPr="00135E4F">
        <w:rPr>
          <w:rFonts w:cs="Times New Roman"/>
          <w:b/>
          <w:bCs/>
          <w:szCs w:val="24"/>
        </w:rPr>
        <w:t>1</w:t>
      </w:r>
      <w:r w:rsidRPr="00135E4F">
        <w:rPr>
          <w:rFonts w:cs="Times New Roman"/>
          <w:b/>
          <w:bCs/>
          <w:szCs w:val="24"/>
        </w:rPr>
        <w:t>）</w:t>
      </w:r>
      <w:r w:rsidRPr="00135E4F">
        <w:rPr>
          <w:rFonts w:cs="Times New Roman"/>
          <w:b/>
          <w:bCs/>
          <w:szCs w:val="24"/>
        </w:rPr>
        <w:t xml:space="preserve"> </w:t>
      </w:r>
      <w:r w:rsidRPr="00135E4F">
        <w:rPr>
          <w:rFonts w:cs="Times New Roman"/>
          <w:b/>
          <w:bCs/>
          <w:szCs w:val="24"/>
        </w:rPr>
        <w:t>采用铝模等免墙面找平粉刷的模板体系，得</w:t>
      </w:r>
      <w:r w:rsidRPr="00135E4F">
        <w:rPr>
          <w:rFonts w:cs="Times New Roman"/>
          <w:b/>
          <w:bCs/>
          <w:szCs w:val="24"/>
        </w:rPr>
        <w:t>4</w:t>
      </w:r>
      <w:r w:rsidRPr="00135E4F">
        <w:rPr>
          <w:rFonts w:cs="Times New Roman"/>
          <w:b/>
          <w:bCs/>
          <w:szCs w:val="24"/>
        </w:rPr>
        <w:t>分；</w:t>
      </w:r>
    </w:p>
    <w:p w14:paraId="59E5FEFB" w14:textId="77777777" w:rsidR="00550EBF" w:rsidRPr="00135E4F" w:rsidRDefault="00550EBF" w:rsidP="00550EBF">
      <w:pPr>
        <w:ind w:firstLineChars="100" w:firstLine="211"/>
        <w:rPr>
          <w:rFonts w:cs="Times New Roman"/>
          <w:b/>
          <w:bCs/>
          <w:szCs w:val="24"/>
        </w:rPr>
      </w:pPr>
      <w:r w:rsidRPr="00135E4F">
        <w:rPr>
          <w:rFonts w:cs="Times New Roman"/>
          <w:b/>
          <w:bCs/>
          <w:szCs w:val="24"/>
        </w:rPr>
        <w:t>（</w:t>
      </w:r>
      <w:r w:rsidRPr="00135E4F">
        <w:rPr>
          <w:rFonts w:cs="Times New Roman"/>
          <w:b/>
          <w:bCs/>
          <w:szCs w:val="24"/>
        </w:rPr>
        <w:t>2</w:t>
      </w:r>
      <w:r w:rsidRPr="00135E4F">
        <w:rPr>
          <w:rFonts w:cs="Times New Roman"/>
          <w:b/>
          <w:bCs/>
          <w:szCs w:val="24"/>
        </w:rPr>
        <w:t>）</w:t>
      </w:r>
      <w:r w:rsidRPr="00135E4F">
        <w:rPr>
          <w:rFonts w:cs="Times New Roman"/>
          <w:b/>
          <w:bCs/>
          <w:szCs w:val="24"/>
        </w:rPr>
        <w:t xml:space="preserve"> </w:t>
      </w:r>
      <w:r w:rsidRPr="00135E4F">
        <w:rPr>
          <w:rFonts w:cs="Times New Roman" w:hint="eastAsia"/>
          <w:b/>
          <w:bCs/>
          <w:szCs w:val="24"/>
        </w:rPr>
        <w:t>采用燃烧性能达到</w:t>
      </w:r>
      <w:r w:rsidRPr="00135E4F">
        <w:rPr>
          <w:rFonts w:cs="Times New Roman" w:hint="eastAsia"/>
          <w:b/>
          <w:bCs/>
          <w:szCs w:val="24"/>
        </w:rPr>
        <w:t>A</w:t>
      </w:r>
      <w:r w:rsidRPr="00135E4F">
        <w:rPr>
          <w:rFonts w:cs="Times New Roman" w:hint="eastAsia"/>
          <w:b/>
          <w:bCs/>
          <w:szCs w:val="24"/>
        </w:rPr>
        <w:t>级的免拆模板现浇混凝土建筑保温系统及配套模板安装支撑体系，得</w:t>
      </w:r>
      <w:r w:rsidRPr="00135E4F">
        <w:rPr>
          <w:rFonts w:cs="Times New Roman" w:hint="eastAsia"/>
          <w:b/>
          <w:bCs/>
          <w:szCs w:val="24"/>
        </w:rPr>
        <w:t>4</w:t>
      </w:r>
      <w:r w:rsidRPr="00135E4F">
        <w:rPr>
          <w:rFonts w:cs="Times New Roman" w:hint="eastAsia"/>
          <w:b/>
          <w:bCs/>
          <w:szCs w:val="24"/>
        </w:rPr>
        <w:t>分。</w:t>
      </w:r>
    </w:p>
    <w:p w14:paraId="6773C710" w14:textId="77777777" w:rsidR="00550EBF" w:rsidRPr="0081478A" w:rsidRDefault="00550EBF" w:rsidP="00550EBF">
      <w:pPr>
        <w:pStyle w:val="20"/>
      </w:pPr>
      <w:r w:rsidRPr="0081478A">
        <w:t>【条文说明】</w:t>
      </w:r>
    </w:p>
    <w:p w14:paraId="2CD5FCF7" w14:textId="77777777" w:rsidR="001F1484" w:rsidRDefault="001F1484" w:rsidP="001F1484">
      <w:pPr>
        <w:ind w:firstLine="420"/>
        <w:rPr>
          <w:szCs w:val="28"/>
        </w:rPr>
      </w:pPr>
      <w:r w:rsidRPr="00530A11">
        <w:t>本</w:t>
      </w:r>
      <w:r w:rsidRPr="00530A11">
        <w:rPr>
          <w:rFonts w:hint="eastAsia"/>
        </w:rPr>
        <w:t>条适用于各类民用建筑的预评价、评价。</w:t>
      </w:r>
    </w:p>
    <w:p w14:paraId="5FA88F85" w14:textId="59103FC5" w:rsidR="00550EBF" w:rsidRPr="00530A11" w:rsidRDefault="00550EBF" w:rsidP="00550EBF">
      <w:pPr>
        <w:ind w:firstLine="420"/>
        <w:rPr>
          <w:szCs w:val="24"/>
        </w:rPr>
      </w:pPr>
      <w:r w:rsidRPr="00530A11">
        <w:lastRenderedPageBreak/>
        <w:t>本条沿引国家《绿色建筑评价标准》</w:t>
      </w:r>
      <w:r w:rsidRPr="00530A11">
        <w:t>GB/T 50378-2019</w:t>
      </w:r>
      <w:r w:rsidRPr="00530A11">
        <w:t>，</w:t>
      </w:r>
      <w:r w:rsidRPr="00530A11">
        <w:rPr>
          <w:rFonts w:hint="eastAsia"/>
        </w:rPr>
        <w:t>并对条文和条文说明进行了局部修改和补充。</w:t>
      </w:r>
      <w:r w:rsidRPr="00530A11">
        <w:t>本条在地方标准</w:t>
      </w:r>
      <w:r w:rsidRPr="00530A11">
        <w:t>2014</w:t>
      </w:r>
      <w:r w:rsidRPr="00530A11">
        <w:t>版施工管理章节内容基础上发展而来。</w:t>
      </w:r>
    </w:p>
    <w:p w14:paraId="6096D1EF" w14:textId="77777777" w:rsidR="00550EBF" w:rsidRPr="00530A11" w:rsidRDefault="00550EBF" w:rsidP="00550EBF">
      <w:pPr>
        <w:ind w:firstLine="420"/>
        <w:rPr>
          <w:rFonts w:cs="Times New Roman"/>
        </w:rPr>
      </w:pPr>
      <w:r w:rsidRPr="00530A11">
        <w:rPr>
          <w:rFonts w:cs="Times New Roman"/>
        </w:rPr>
        <w:t>第</w:t>
      </w:r>
      <w:r w:rsidRPr="00530A11">
        <w:rPr>
          <w:rFonts w:cs="Times New Roman"/>
        </w:rPr>
        <w:t>1</w:t>
      </w:r>
      <w:r w:rsidRPr="00530A11">
        <w:rPr>
          <w:rFonts w:cs="Times New Roman"/>
        </w:rPr>
        <w:t>款，适用于各类民用建筑的评价。绿色施工是指在工程项目施工周期内严格进行过程管理，在保证质量、安全等基本要求的前提下，通过科学管理和技术进步，最大限度地节约资源（节材、节水、节能、节地）、保护环境和减少污染，实现环保、节约、可持续发展的施工工程。目前，我国国家标准层面发布实施了国家标准《建筑工程绿色施工规范》</w:t>
      </w:r>
      <w:r w:rsidRPr="00530A11">
        <w:rPr>
          <w:rFonts w:cs="Times New Roman"/>
        </w:rPr>
        <w:t xml:space="preserve"> GB/T 50905-2014</w:t>
      </w:r>
      <w:r w:rsidRPr="00530A11">
        <w:rPr>
          <w:rFonts w:cs="Times New Roman"/>
        </w:rPr>
        <w:t>、《建筑工程绿色施工评价标准》</w:t>
      </w:r>
      <w:r w:rsidRPr="00530A11">
        <w:rPr>
          <w:rFonts w:cs="Times New Roman"/>
        </w:rPr>
        <w:t xml:space="preserve">GB/T 50640-2010, </w:t>
      </w:r>
      <w:r w:rsidRPr="00530A11">
        <w:rPr>
          <w:rFonts w:cs="Times New Roman"/>
        </w:rPr>
        <w:t>部分省市也发布实施了绿色施工相关的地方标准。现行国家标准《建筑工程绿色施工评价标准》</w:t>
      </w:r>
      <w:r w:rsidRPr="00530A11">
        <w:rPr>
          <w:rFonts w:cs="Times New Roman"/>
        </w:rPr>
        <w:t xml:space="preserve">GB/T50640 </w:t>
      </w:r>
      <w:r w:rsidRPr="00530A11">
        <w:rPr>
          <w:rFonts w:cs="Times New Roman"/>
        </w:rPr>
        <w:t>规定</w:t>
      </w:r>
      <w:r>
        <w:rPr>
          <w:rFonts w:cs="Times New Roman" w:hint="eastAsia"/>
        </w:rPr>
        <w:t>了</w:t>
      </w:r>
      <w:r w:rsidRPr="00530A11">
        <w:rPr>
          <w:rFonts w:cs="Times New Roman"/>
        </w:rPr>
        <w:t>绿色施工的等级，地方标准也设置了类似的绿色施工级别。本条将主管部门授予的</w:t>
      </w:r>
      <w:r w:rsidRPr="00530A11">
        <w:rPr>
          <w:rFonts w:cs="Times New Roman"/>
        </w:rPr>
        <w:t>“</w:t>
      </w:r>
      <w:r w:rsidRPr="00530A11">
        <w:rPr>
          <w:rFonts w:cs="Times New Roman"/>
        </w:rPr>
        <w:t>绿色施工优良等级</w:t>
      </w:r>
      <w:r w:rsidRPr="00530A11">
        <w:rPr>
          <w:rFonts w:cs="Times New Roman"/>
        </w:rPr>
        <w:t>”</w:t>
      </w:r>
      <w:r w:rsidRPr="00530A11">
        <w:rPr>
          <w:rFonts w:cs="Times New Roman"/>
        </w:rPr>
        <w:t>认定或</w:t>
      </w:r>
      <w:r w:rsidRPr="00530A11">
        <w:rPr>
          <w:rFonts w:cs="Times New Roman"/>
        </w:rPr>
        <w:t>“</w:t>
      </w:r>
      <w:r w:rsidRPr="00530A11">
        <w:rPr>
          <w:rFonts w:cs="Times New Roman"/>
        </w:rPr>
        <w:t>绿色施工示范工程</w:t>
      </w:r>
      <w:r w:rsidRPr="00530A11">
        <w:rPr>
          <w:rFonts w:cs="Times New Roman"/>
        </w:rPr>
        <w:t>”</w:t>
      </w:r>
      <w:r w:rsidRPr="00530A11">
        <w:rPr>
          <w:rFonts w:cs="Times New Roman"/>
        </w:rPr>
        <w:t>认定作为评分依据。</w:t>
      </w:r>
    </w:p>
    <w:p w14:paraId="150097E4" w14:textId="77777777" w:rsidR="00550EBF" w:rsidRPr="00530A11" w:rsidRDefault="00550EBF" w:rsidP="00550EBF">
      <w:pPr>
        <w:ind w:firstLine="420"/>
        <w:rPr>
          <w:rFonts w:cs="Times New Roman"/>
        </w:rPr>
      </w:pPr>
      <w:r w:rsidRPr="00530A11">
        <w:rPr>
          <w:rFonts w:cs="Times New Roman"/>
        </w:rPr>
        <w:t>第</w:t>
      </w:r>
      <w:r w:rsidRPr="00530A11">
        <w:rPr>
          <w:rFonts w:cs="Times New Roman"/>
        </w:rPr>
        <w:t>2</w:t>
      </w:r>
      <w:r w:rsidRPr="00530A11">
        <w:rPr>
          <w:rFonts w:cs="Times New Roman"/>
        </w:rPr>
        <w:t>款，适用于各类民用建筑的评价。达到我市智慧工地建设技术标准，通过重庆市智慧工地认定或评价（高星级，申报范围内全部工地均参评），即可判定为得分。</w:t>
      </w:r>
    </w:p>
    <w:p w14:paraId="52CFC60A" w14:textId="77777777" w:rsidR="00550EBF" w:rsidRDefault="00550EBF" w:rsidP="00550EBF">
      <w:pPr>
        <w:ind w:firstLine="420"/>
      </w:pPr>
      <w:r w:rsidRPr="00530A11">
        <w:rPr>
          <w:rFonts w:hint="eastAsia"/>
        </w:rPr>
        <w:t>第</w:t>
      </w:r>
      <w:r w:rsidRPr="00530A11">
        <w:rPr>
          <w:rFonts w:hint="eastAsia"/>
        </w:rPr>
        <w:t>3</w:t>
      </w:r>
      <w:r w:rsidRPr="00530A11">
        <w:rPr>
          <w:rFonts w:hint="eastAsia"/>
        </w:rPr>
        <w:t>款，适用于各类民用建筑的预评价、评价。现浇混凝土构件采用铝模体系可确保构件表面的平整度，避免二次找平粉刷，从而节约材料，降低材料消耗；燃烧性能达到</w:t>
      </w:r>
      <w:r w:rsidRPr="00530A11">
        <w:rPr>
          <w:rFonts w:hint="eastAsia"/>
        </w:rPr>
        <w:t>A</w:t>
      </w:r>
      <w:r w:rsidRPr="00530A11">
        <w:rPr>
          <w:rFonts w:hint="eastAsia"/>
        </w:rPr>
        <w:t>级的免拆模板现浇混凝土建筑保温系统可有效解决现行建筑保温系统的安全、耐久问题，</w:t>
      </w:r>
      <w:bookmarkStart w:id="231" w:name="_Hlk36290855"/>
      <w:r>
        <w:rPr>
          <w:rFonts w:hint="eastAsia"/>
        </w:rPr>
        <w:t>同时配套使用标准化的免拆模板安装支撑体系，有助于控制模板整体工程质量。上述两条可累计得分。</w:t>
      </w:r>
    </w:p>
    <w:bookmarkEnd w:id="231"/>
    <w:p w14:paraId="07ED6107" w14:textId="77777777" w:rsidR="00550EBF" w:rsidRPr="00C01A0F" w:rsidRDefault="00550EBF" w:rsidP="00550EBF">
      <w:pPr>
        <w:pStyle w:val="20"/>
      </w:pPr>
      <w:r w:rsidRPr="00C01A0F">
        <w:rPr>
          <w:rFonts w:hint="eastAsia"/>
        </w:rPr>
        <w:t>【评价要点】</w:t>
      </w:r>
    </w:p>
    <w:p w14:paraId="38AFF288" w14:textId="77777777" w:rsidR="00550EBF" w:rsidRDefault="00550EBF" w:rsidP="00550EBF">
      <w:pPr>
        <w:ind w:firstLine="420"/>
      </w:pPr>
      <w:r>
        <w:rPr>
          <w:rFonts w:hint="eastAsia"/>
        </w:rPr>
        <w:t>第</w:t>
      </w:r>
      <w:r>
        <w:rPr>
          <w:rFonts w:hint="eastAsia"/>
        </w:rPr>
        <w:t>1</w:t>
      </w:r>
      <w:r>
        <w:rPr>
          <w:rFonts w:hint="eastAsia"/>
        </w:rPr>
        <w:t>款，国家标准《建筑工程绿色施工评价标准》</w:t>
      </w:r>
      <w:r>
        <w:rPr>
          <w:rFonts w:hint="eastAsia"/>
        </w:rPr>
        <w:t>GB/T 50640-2010</w:t>
      </w:r>
      <w:r>
        <w:rPr>
          <w:rFonts w:hint="eastAsia"/>
        </w:rPr>
        <w:t>将绿色施工评价分为不合格、合格、优良三个等级，地方标准也设置了类似的绿色施工级别。本条将政府主管部门或第三方授予的“绿色施工优良等级”或“绿色施工示范工程”认定作为评分依据。</w:t>
      </w:r>
    </w:p>
    <w:p w14:paraId="50F80C98" w14:textId="77777777" w:rsidR="00550EBF" w:rsidRDefault="00550EBF" w:rsidP="00550EBF">
      <w:pPr>
        <w:ind w:firstLine="420"/>
      </w:pPr>
      <w:r>
        <w:rPr>
          <w:rFonts w:hint="eastAsia"/>
        </w:rPr>
        <w:t>第</w:t>
      </w:r>
      <w:r>
        <w:rPr>
          <w:rFonts w:hint="eastAsia"/>
        </w:rPr>
        <w:t>2</w:t>
      </w:r>
      <w:r>
        <w:rPr>
          <w:rFonts w:hint="eastAsia"/>
        </w:rPr>
        <w:t>款，通过我市智慧工地评价或认定，即可得</w:t>
      </w:r>
      <w:r>
        <w:rPr>
          <w:rFonts w:hint="eastAsia"/>
        </w:rPr>
        <w:t>4</w:t>
      </w:r>
      <w:r>
        <w:rPr>
          <w:rFonts w:hint="eastAsia"/>
        </w:rPr>
        <w:t>分。</w:t>
      </w:r>
    </w:p>
    <w:p w14:paraId="0D359ADB" w14:textId="77777777" w:rsidR="001F1484" w:rsidRDefault="00550EBF" w:rsidP="001F1484">
      <w:pPr>
        <w:ind w:firstLine="420"/>
      </w:pPr>
      <w:r>
        <w:rPr>
          <w:rFonts w:hint="eastAsia"/>
        </w:rPr>
        <w:t>第</w:t>
      </w:r>
      <w:r>
        <w:rPr>
          <w:rFonts w:hint="eastAsia"/>
        </w:rPr>
        <w:t>3</w:t>
      </w:r>
      <w:r>
        <w:rPr>
          <w:rFonts w:hint="eastAsia"/>
        </w:rPr>
        <w:t>款，</w:t>
      </w:r>
      <w:r w:rsidRPr="00044922">
        <w:rPr>
          <w:rFonts w:hint="eastAsia"/>
        </w:rPr>
        <w:t>现浇混凝土构件采用铝模等免墙面找平粉刷体系，要求免找平粉刷混凝土墙面应占混凝土墙面的</w:t>
      </w:r>
      <w:r w:rsidRPr="00044922">
        <w:rPr>
          <w:rFonts w:hint="eastAsia"/>
        </w:rPr>
        <w:t>30%</w:t>
      </w:r>
      <w:r w:rsidRPr="00044922">
        <w:rPr>
          <w:rFonts w:hint="eastAsia"/>
        </w:rPr>
        <w:t>以上。免拆模板现浇混凝土建筑保温系统要求免拆模板燃烧性能等级达到</w:t>
      </w:r>
      <w:r w:rsidRPr="00044922">
        <w:rPr>
          <w:rFonts w:hint="eastAsia"/>
        </w:rPr>
        <w:t>A</w:t>
      </w:r>
      <w:r w:rsidRPr="00044922">
        <w:rPr>
          <w:rFonts w:hint="eastAsia"/>
        </w:rPr>
        <w:t>级，</w:t>
      </w:r>
      <w:r w:rsidR="001F1484">
        <w:rPr>
          <w:rFonts w:hint="eastAsia"/>
        </w:rPr>
        <w:t>同时配套使用标准化的免拆模板安装支撑体系，有助于控制模板整体工程质量。上述两条可累计得分。</w:t>
      </w:r>
    </w:p>
    <w:p w14:paraId="68AC384F" w14:textId="5C826BB8" w:rsidR="00550EBF" w:rsidRPr="0081478A" w:rsidRDefault="00550EBF" w:rsidP="001F1484">
      <w:pPr>
        <w:pStyle w:val="20"/>
      </w:pPr>
      <w:r w:rsidRPr="0081478A">
        <w:t>【评价方法】</w:t>
      </w:r>
    </w:p>
    <w:p w14:paraId="31F91B1F" w14:textId="77777777" w:rsidR="00550EBF" w:rsidRPr="00530A11" w:rsidRDefault="00550EBF" w:rsidP="00550EBF">
      <w:pPr>
        <w:ind w:firstLine="420"/>
        <w:rPr>
          <w:rFonts w:cs="Times New Roman"/>
          <w:szCs w:val="24"/>
        </w:rPr>
      </w:pPr>
      <w:r w:rsidRPr="00530A11">
        <w:rPr>
          <w:rFonts w:cs="Times New Roman"/>
        </w:rPr>
        <w:t>第</w:t>
      </w:r>
      <w:r w:rsidRPr="00530A11">
        <w:rPr>
          <w:rFonts w:cs="Times New Roman"/>
        </w:rPr>
        <w:t>1</w:t>
      </w:r>
      <w:r w:rsidRPr="00530A11">
        <w:rPr>
          <w:rFonts w:cs="Times New Roman"/>
        </w:rPr>
        <w:t>款查阅</w:t>
      </w:r>
      <w:r w:rsidRPr="00530A11">
        <w:rPr>
          <w:rFonts w:cs="Times New Roman"/>
        </w:rPr>
        <w:t>“</w:t>
      </w:r>
      <w:r w:rsidRPr="00530A11">
        <w:rPr>
          <w:rFonts w:cs="Times New Roman"/>
        </w:rPr>
        <w:t>绿色施工优良等级</w:t>
      </w:r>
      <w:r w:rsidRPr="00530A11">
        <w:rPr>
          <w:rFonts w:cs="Times New Roman"/>
        </w:rPr>
        <w:t>”</w:t>
      </w:r>
      <w:r w:rsidRPr="00530A11">
        <w:rPr>
          <w:rFonts w:cs="Times New Roman"/>
        </w:rPr>
        <w:t>或</w:t>
      </w:r>
      <w:r w:rsidRPr="00530A11">
        <w:rPr>
          <w:rFonts w:cs="Times New Roman"/>
        </w:rPr>
        <w:t>“</w:t>
      </w:r>
      <w:r w:rsidRPr="00530A11">
        <w:rPr>
          <w:rFonts w:cs="Times New Roman"/>
        </w:rPr>
        <w:t>绿色施工示范工程</w:t>
      </w:r>
      <w:r w:rsidRPr="00530A11">
        <w:rPr>
          <w:rFonts w:cs="Times New Roman"/>
        </w:rPr>
        <w:t>”</w:t>
      </w:r>
      <w:r w:rsidRPr="00530A11">
        <w:rPr>
          <w:rFonts w:cs="Times New Roman"/>
        </w:rPr>
        <w:t>的认定文件；第</w:t>
      </w:r>
      <w:r w:rsidRPr="00530A11">
        <w:rPr>
          <w:rFonts w:cs="Times New Roman"/>
        </w:rPr>
        <w:t>2</w:t>
      </w:r>
      <w:r w:rsidRPr="00530A11">
        <w:rPr>
          <w:rFonts w:cs="Times New Roman"/>
        </w:rPr>
        <w:t>款查阅</w:t>
      </w:r>
      <w:r w:rsidRPr="00530A11">
        <w:rPr>
          <w:rFonts w:cs="Times New Roman"/>
        </w:rPr>
        <w:t>“</w:t>
      </w:r>
      <w:r w:rsidRPr="00530A11">
        <w:rPr>
          <w:rFonts w:cs="Times New Roman"/>
        </w:rPr>
        <w:t>智慧工地</w:t>
      </w:r>
      <w:r w:rsidRPr="00530A11">
        <w:rPr>
          <w:rFonts w:cs="Times New Roman"/>
        </w:rPr>
        <w:t>”</w:t>
      </w:r>
      <w:r w:rsidRPr="00530A11">
        <w:rPr>
          <w:rFonts w:cs="Times New Roman"/>
        </w:rPr>
        <w:t>的认定或评价结论文件；第</w:t>
      </w:r>
      <w:r w:rsidRPr="00530A11">
        <w:rPr>
          <w:rFonts w:cs="Times New Roman"/>
        </w:rPr>
        <w:t>3</w:t>
      </w:r>
      <w:r w:rsidRPr="00530A11">
        <w:rPr>
          <w:rFonts w:cs="Times New Roman"/>
        </w:rPr>
        <w:t>款中，铝模免墙面找平粉刷的模板体系预评价应查阅施工图设计文件及按设计文件计算的粉刷混凝土墙体占比计算书，评价查阅模板工程施工方案、</w:t>
      </w:r>
      <w:r w:rsidRPr="00530A11">
        <w:rPr>
          <w:rFonts w:cs="Times New Roman"/>
        </w:rPr>
        <w:lastRenderedPageBreak/>
        <w:t>施工日志、技术交底文件、施工现场影像资料及免粉刷混凝土墙体占比计算书；</w:t>
      </w:r>
      <w:r w:rsidRPr="00530A11">
        <w:rPr>
          <w:rFonts w:cs="Times New Roman" w:hint="eastAsia"/>
        </w:rPr>
        <w:t>采用燃烧性能等级</w:t>
      </w:r>
      <w:r w:rsidRPr="00530A11">
        <w:rPr>
          <w:rFonts w:cs="Times New Roman" w:hint="eastAsia"/>
        </w:rPr>
        <w:t>A</w:t>
      </w:r>
      <w:r w:rsidRPr="00530A11">
        <w:rPr>
          <w:rFonts w:cs="Times New Roman" w:hint="eastAsia"/>
        </w:rPr>
        <w:t>级的免拆模板建筑保温体系及配套模板安装支撑体系的预评价应查阅建筑保温施工设计图及配套材料说明，评价阶段应查阅建筑保温工程施工方案、施工日志、技术交底文件、施工现场影像资料及相关材料性能检测报告。</w:t>
      </w:r>
    </w:p>
    <w:p w14:paraId="0983F110" w14:textId="77777777" w:rsidR="00550EBF" w:rsidRPr="001E54E5" w:rsidRDefault="00550EBF" w:rsidP="00550EBF">
      <w:pPr>
        <w:ind w:firstLine="420"/>
        <w:rPr>
          <w:rFonts w:cs="Times New Roman"/>
        </w:rPr>
      </w:pPr>
    </w:p>
    <w:p w14:paraId="0CE0068D" w14:textId="77777777" w:rsidR="00076964" w:rsidRPr="00135E4F" w:rsidRDefault="00076964" w:rsidP="00076964">
      <w:pPr>
        <w:keepNext/>
        <w:keepLines/>
        <w:ind w:firstLineChars="0" w:firstLine="0"/>
        <w:outlineLvl w:val="3"/>
        <w:rPr>
          <w:rFonts w:cs="Times New Roman"/>
          <w:b/>
          <w:bCs/>
          <w:szCs w:val="28"/>
        </w:rPr>
      </w:pPr>
      <w:r w:rsidRPr="00135E4F">
        <w:rPr>
          <w:rFonts w:cs="Times New Roman"/>
          <w:b/>
          <w:bCs/>
          <w:szCs w:val="28"/>
        </w:rPr>
        <w:t xml:space="preserve">9.2.9 </w:t>
      </w:r>
      <w:r w:rsidRPr="00135E4F">
        <w:rPr>
          <w:rFonts w:cs="Times New Roman"/>
          <w:b/>
          <w:bCs/>
          <w:szCs w:val="28"/>
        </w:rPr>
        <w:t>采用建设工程质量潜在缺陷保险产品，评价总分值为</w:t>
      </w:r>
      <w:r w:rsidRPr="00135E4F">
        <w:rPr>
          <w:rFonts w:cs="Times New Roman"/>
          <w:b/>
          <w:bCs/>
          <w:szCs w:val="28"/>
        </w:rPr>
        <w:t>20</w:t>
      </w:r>
      <w:r w:rsidRPr="00135E4F">
        <w:rPr>
          <w:rFonts w:cs="Times New Roman"/>
          <w:b/>
          <w:bCs/>
          <w:szCs w:val="28"/>
        </w:rPr>
        <w:t>分，并按下列规则分别评分并累计：</w:t>
      </w:r>
    </w:p>
    <w:p w14:paraId="09680B18" w14:textId="77777777" w:rsidR="00076964" w:rsidRPr="00135E4F" w:rsidRDefault="00076964" w:rsidP="00076964">
      <w:pPr>
        <w:ind w:firstLineChars="100" w:firstLine="211"/>
        <w:rPr>
          <w:rFonts w:cs="Times New Roman"/>
          <w:b/>
          <w:bCs/>
          <w:szCs w:val="24"/>
        </w:rPr>
      </w:pPr>
      <w:r w:rsidRPr="00135E4F">
        <w:rPr>
          <w:rFonts w:cs="Times New Roman"/>
          <w:b/>
          <w:bCs/>
          <w:szCs w:val="24"/>
        </w:rPr>
        <w:t xml:space="preserve">1 </w:t>
      </w:r>
      <w:r w:rsidRPr="00135E4F">
        <w:rPr>
          <w:rFonts w:cs="Times New Roman"/>
          <w:b/>
          <w:bCs/>
          <w:szCs w:val="24"/>
        </w:rPr>
        <w:t>保险承保范围包括地基基础工程、主体结构工程、屋面防水工程、</w:t>
      </w:r>
      <w:r w:rsidRPr="00135E4F">
        <w:rPr>
          <w:rFonts w:cs="Times New Roman" w:hint="eastAsia"/>
          <w:b/>
          <w:bCs/>
          <w:szCs w:val="24"/>
        </w:rPr>
        <w:t>外墙保温</w:t>
      </w:r>
      <w:r w:rsidRPr="00135E4F">
        <w:rPr>
          <w:rFonts w:cs="Times New Roman"/>
          <w:b/>
          <w:bCs/>
          <w:szCs w:val="24"/>
        </w:rPr>
        <w:t>和其他土建工程的质量问题，得</w:t>
      </w:r>
      <w:r w:rsidRPr="00135E4F">
        <w:rPr>
          <w:rFonts w:cs="Times New Roman"/>
          <w:b/>
          <w:bCs/>
          <w:szCs w:val="24"/>
        </w:rPr>
        <w:t>10</w:t>
      </w:r>
      <w:r w:rsidRPr="00135E4F">
        <w:rPr>
          <w:rFonts w:cs="Times New Roman"/>
          <w:b/>
          <w:bCs/>
          <w:szCs w:val="24"/>
        </w:rPr>
        <w:t>分；</w:t>
      </w:r>
    </w:p>
    <w:p w14:paraId="777E5036" w14:textId="77777777" w:rsidR="00076964" w:rsidRPr="00135E4F" w:rsidRDefault="00076964" w:rsidP="00076964">
      <w:pPr>
        <w:ind w:firstLineChars="100" w:firstLine="211"/>
        <w:rPr>
          <w:rFonts w:cs="Times New Roman"/>
          <w:b/>
          <w:bCs/>
          <w:szCs w:val="24"/>
        </w:rPr>
      </w:pPr>
      <w:r w:rsidRPr="00135E4F">
        <w:rPr>
          <w:rFonts w:cs="Times New Roman"/>
          <w:b/>
          <w:bCs/>
          <w:szCs w:val="24"/>
        </w:rPr>
        <w:t xml:space="preserve">2 </w:t>
      </w:r>
      <w:r w:rsidRPr="00135E4F">
        <w:rPr>
          <w:rFonts w:cs="Times New Roman"/>
          <w:b/>
          <w:bCs/>
          <w:szCs w:val="24"/>
        </w:rPr>
        <w:t>保险承保范围包括装修工程、电气管线、上下水管线的安装工程，供热、供冷系统工程的质量问题，得</w:t>
      </w:r>
      <w:r w:rsidRPr="00135E4F">
        <w:rPr>
          <w:rFonts w:cs="Times New Roman"/>
          <w:b/>
          <w:bCs/>
          <w:szCs w:val="24"/>
        </w:rPr>
        <w:t>10</w:t>
      </w:r>
      <w:r w:rsidRPr="00135E4F">
        <w:rPr>
          <w:rFonts w:cs="Times New Roman"/>
          <w:b/>
          <w:bCs/>
          <w:szCs w:val="24"/>
        </w:rPr>
        <w:t>分。</w:t>
      </w:r>
    </w:p>
    <w:p w14:paraId="43D8262C" w14:textId="77777777" w:rsidR="00076964" w:rsidRPr="0081478A" w:rsidRDefault="00076964" w:rsidP="00076964">
      <w:pPr>
        <w:ind w:firstLineChars="0" w:firstLine="0"/>
        <w:rPr>
          <w:rFonts w:cs="Times New Roman"/>
          <w:b/>
          <w:szCs w:val="24"/>
        </w:rPr>
      </w:pPr>
      <w:r w:rsidRPr="0081478A">
        <w:rPr>
          <w:rFonts w:cs="Times New Roman"/>
          <w:b/>
          <w:szCs w:val="24"/>
        </w:rPr>
        <w:t>【条文说明】</w:t>
      </w:r>
    </w:p>
    <w:p w14:paraId="563D37E1" w14:textId="77777777" w:rsidR="00076964" w:rsidRPr="00530A11" w:rsidRDefault="00076964" w:rsidP="00076964">
      <w:pPr>
        <w:ind w:firstLine="420"/>
        <w:rPr>
          <w:szCs w:val="24"/>
        </w:rPr>
      </w:pPr>
      <w:r w:rsidRPr="00530A11">
        <w:t>本条适用于各类民用建筑的预评价、评价。</w:t>
      </w:r>
    </w:p>
    <w:p w14:paraId="0595A109" w14:textId="77777777"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并对条文和条文说明进行了局部修改和补充。</w:t>
      </w:r>
    </w:p>
    <w:p w14:paraId="584F9821" w14:textId="77777777" w:rsidR="00076964" w:rsidRDefault="00076964" w:rsidP="00076964">
      <w:pPr>
        <w:ind w:firstLine="420"/>
        <w:rPr>
          <w:rFonts w:cs="Times New Roman"/>
        </w:rPr>
      </w:pPr>
      <w:r w:rsidRPr="00530A11">
        <w:rPr>
          <w:rFonts w:cs="Times New Roman"/>
        </w:rPr>
        <w:t>建设工程保险在国际上已经是一种较为成熟的制度，比如法国的潜在缺陷保险</w:t>
      </w:r>
      <w:r w:rsidRPr="00530A11">
        <w:rPr>
          <w:rFonts w:cs="Times New Roman"/>
        </w:rPr>
        <w:t xml:space="preserve"> CIDI) </w:t>
      </w:r>
      <w:r w:rsidRPr="00530A11">
        <w:rPr>
          <w:rFonts w:cs="Times New Roman"/>
        </w:rPr>
        <w:t>制度、日本的住宅性能保证制度等。保险一般承保工程竣工验收之日起一定年限（如</w:t>
      </w:r>
      <w:r w:rsidRPr="00530A11">
        <w:rPr>
          <w:rFonts w:cs="Times New Roman"/>
        </w:rPr>
        <w:t xml:space="preserve"> 10 </w:t>
      </w:r>
      <w:r w:rsidRPr="00530A11">
        <w:rPr>
          <w:rFonts w:cs="Times New Roman"/>
        </w:rPr>
        <w:t>年）之内因主体结构或装修设备构件存在缺陷发生工程质量事故而给消费者造成的损失，通过保险产品公司约束开发商必须对建筑质量提供一定年限的长期保证，当建筑工程出现了保证书中列明的质量问题时，通过保险机制保证消费者的权益。通过推行建设工程质量保险制度，提高建设工程质量。</w:t>
      </w:r>
    </w:p>
    <w:p w14:paraId="008C1D3B" w14:textId="77777777" w:rsidR="00076964" w:rsidRPr="005A099A" w:rsidRDefault="00076964" w:rsidP="00076964">
      <w:pPr>
        <w:ind w:firstLineChars="0" w:firstLine="0"/>
        <w:rPr>
          <w:rFonts w:cs="Times New Roman"/>
          <w:b/>
        </w:rPr>
      </w:pPr>
      <w:r w:rsidRPr="005A099A">
        <w:rPr>
          <w:rFonts w:cs="Times New Roman" w:hint="eastAsia"/>
          <w:b/>
        </w:rPr>
        <w:t>【评价要点】</w:t>
      </w:r>
    </w:p>
    <w:p w14:paraId="1A4A21D9" w14:textId="77777777" w:rsidR="00076964" w:rsidRPr="00CB19AF" w:rsidRDefault="00076964" w:rsidP="00076964">
      <w:pPr>
        <w:ind w:firstLine="420"/>
        <w:rPr>
          <w:rFonts w:cs="Times New Roman"/>
        </w:rPr>
      </w:pPr>
      <w:r w:rsidRPr="00CB19AF">
        <w:rPr>
          <w:rFonts w:cs="Times New Roman" w:hint="eastAsia"/>
        </w:rPr>
        <w:t>建设工程质量潜在缺陷保险（</w:t>
      </w:r>
      <w:r w:rsidRPr="00CB19AF">
        <w:rPr>
          <w:rFonts w:cs="Times New Roman" w:hint="eastAsia"/>
        </w:rPr>
        <w:t>Inherent Defect Insurance</w:t>
      </w:r>
      <w:r w:rsidRPr="00CB19AF">
        <w:rPr>
          <w:rFonts w:cs="Times New Roman" w:hint="eastAsia"/>
        </w:rPr>
        <w:t>，</w:t>
      </w:r>
      <w:r w:rsidRPr="00CB19AF">
        <w:rPr>
          <w:rFonts w:cs="Times New Roman" w:hint="eastAsia"/>
        </w:rPr>
        <w:t>IDI</w:t>
      </w:r>
      <w:r w:rsidRPr="00CB19AF">
        <w:rPr>
          <w:rFonts w:cs="Times New Roman" w:hint="eastAsia"/>
        </w:rPr>
        <w:t>），是指由建设单位（开发商）投保的，在保险合同约定的保险范围和保险期限内出现的，由于工程质量潜在缺陷所造成的投保工程的损坏，保险公司承担赔偿保险金责任的保险。它由建设单位（开发商）投保并支付保费，保险公司为建设单位或最终的业主提供因房屋缺陷导致损失时的赔偿保障。建设工程保险在国际上已经是一种较为成熟的制度，比如法国的潜在缺陷保险（</w:t>
      </w:r>
      <w:r w:rsidRPr="00CB19AF">
        <w:rPr>
          <w:rFonts w:cs="Times New Roman" w:hint="eastAsia"/>
        </w:rPr>
        <w:t>IDI</w:t>
      </w:r>
      <w:r w:rsidRPr="00CB19AF">
        <w:rPr>
          <w:rFonts w:cs="Times New Roman" w:hint="eastAsia"/>
        </w:rPr>
        <w:t>）制度、日本的住宅性能保证制度等。</w:t>
      </w:r>
    </w:p>
    <w:p w14:paraId="29014B44" w14:textId="77777777" w:rsidR="00076964" w:rsidRPr="00CB19AF" w:rsidRDefault="00076964" w:rsidP="00076964">
      <w:pPr>
        <w:ind w:firstLine="420"/>
        <w:rPr>
          <w:rFonts w:cs="Times New Roman"/>
        </w:rPr>
      </w:pPr>
      <w:r w:rsidRPr="00CB19AF">
        <w:rPr>
          <w:rFonts w:cs="Times New Roman" w:hint="eastAsia"/>
        </w:rPr>
        <w:t>该保险是一套系统性工程，首先通过建立统一的工程质量潜在缺陷保险信息平台，将企业的诚信档案、承保信息、风险管理信息和理赔信息等录入，通过以上信息进行费率浮动，</w:t>
      </w:r>
      <w:r w:rsidRPr="00CB19AF">
        <w:rPr>
          <w:rFonts w:cs="Times New Roman" w:hint="eastAsia"/>
        </w:rPr>
        <w:lastRenderedPageBreak/>
        <w:t>促使参建各方主动提高工程质量。同时，独立于建设单位和保险公司的第三方质量风险控制机构，从方案设计阶段介入，对勘察、设计、施工和竣工验收阶段全过程进行技术风险检查，提前识别风险，公平公正的监督工程质量，有效的降低质量风险。</w:t>
      </w:r>
    </w:p>
    <w:p w14:paraId="31B12EFB" w14:textId="77777777" w:rsidR="00076964" w:rsidRPr="00CB19AF" w:rsidRDefault="00076964" w:rsidP="00076964">
      <w:pPr>
        <w:ind w:firstLine="420"/>
        <w:rPr>
          <w:rFonts w:cs="Times New Roman"/>
        </w:rPr>
      </w:pPr>
      <w:r w:rsidRPr="00CB19AF">
        <w:rPr>
          <w:rFonts w:cs="Times New Roman" w:hint="eastAsia"/>
        </w:rPr>
        <w:t>这类保险一般承保工程竣工验收之日起一定年限（如</w:t>
      </w:r>
      <w:r w:rsidRPr="00CB19AF">
        <w:rPr>
          <w:rFonts w:cs="Times New Roman" w:hint="eastAsia"/>
        </w:rPr>
        <w:t>10</w:t>
      </w:r>
      <w:r w:rsidRPr="00CB19AF">
        <w:rPr>
          <w:rFonts w:cs="Times New Roman" w:hint="eastAsia"/>
        </w:rPr>
        <w:t>年）之内因主体结构或装修设备构件存在缺陷发生工程质量事故而给消费者造成的损失，通过保险产品公司约束开发商必须对建筑质量提供一定年限的长期保证，当建筑工程出现了保证书中列明的质量问题时，通过保险机制保证消费者的权益。通过推行建设工程质量保险制度，提高建设工程质量的把控力度。</w:t>
      </w:r>
    </w:p>
    <w:p w14:paraId="75642903" w14:textId="77777777" w:rsidR="00076964" w:rsidRPr="00530A11" w:rsidRDefault="00076964" w:rsidP="00076964">
      <w:pPr>
        <w:ind w:firstLine="420"/>
        <w:rPr>
          <w:rFonts w:cs="Times New Roman"/>
        </w:rPr>
      </w:pPr>
      <w:r w:rsidRPr="00CB19AF">
        <w:rPr>
          <w:rFonts w:cs="Times New Roman" w:hint="eastAsia"/>
        </w:rPr>
        <w:t>工程质量潜在缺陷责任保险的基本保险范围包括地基基础工程、主体结构工程以及防水工程，对应本条第</w:t>
      </w:r>
      <w:r w:rsidRPr="00CB19AF">
        <w:rPr>
          <w:rFonts w:cs="Times New Roman" w:hint="eastAsia"/>
        </w:rPr>
        <w:t>1</w:t>
      </w:r>
      <w:r w:rsidRPr="00CB19AF">
        <w:rPr>
          <w:rFonts w:cs="Times New Roman" w:hint="eastAsia"/>
        </w:rPr>
        <w:t>款得分要求。除基本保险外，建设单位还可以投保附加险，其保险范围包括：建筑装饰装修工程、建筑给水排水及供暖工程、通风与空调工程、建筑电气工程等，对应本条第</w:t>
      </w:r>
      <w:r w:rsidRPr="00CB19AF">
        <w:rPr>
          <w:rFonts w:cs="Times New Roman" w:hint="eastAsia"/>
        </w:rPr>
        <w:t>2</w:t>
      </w:r>
      <w:r w:rsidRPr="00CB19AF">
        <w:rPr>
          <w:rFonts w:cs="Times New Roman" w:hint="eastAsia"/>
        </w:rPr>
        <w:t>款得分要求。</w:t>
      </w:r>
    </w:p>
    <w:p w14:paraId="1E8647C6" w14:textId="77777777" w:rsidR="00076964" w:rsidRPr="0081478A" w:rsidRDefault="00076964" w:rsidP="00076964">
      <w:pPr>
        <w:pStyle w:val="20"/>
      </w:pPr>
      <w:r w:rsidRPr="0081478A">
        <w:t>【评价方法】</w:t>
      </w:r>
    </w:p>
    <w:p w14:paraId="207C338D" w14:textId="77777777" w:rsidR="00076964" w:rsidRPr="00530A11" w:rsidRDefault="00076964" w:rsidP="00076964">
      <w:pPr>
        <w:ind w:firstLine="420"/>
        <w:rPr>
          <w:rFonts w:cs="Times New Roman"/>
          <w:szCs w:val="24"/>
        </w:rPr>
      </w:pPr>
      <w:r w:rsidRPr="00530A11">
        <w:rPr>
          <w:rFonts w:cs="Times New Roman"/>
        </w:rPr>
        <w:t>预评价查阅建设工程质量保险产品投保计划，保险产品保单（如有）。评价查阅建设工程质量保险产品保单。</w:t>
      </w:r>
    </w:p>
    <w:p w14:paraId="57D259AD" w14:textId="77777777" w:rsidR="00076964" w:rsidRPr="001E54E5" w:rsidRDefault="00076964" w:rsidP="00076964">
      <w:pPr>
        <w:ind w:firstLine="420"/>
        <w:rPr>
          <w:rFonts w:cs="Times New Roman"/>
        </w:rPr>
      </w:pPr>
    </w:p>
    <w:p w14:paraId="3BC71731" w14:textId="77777777" w:rsidR="00076964" w:rsidRPr="00135E4F" w:rsidRDefault="00076964" w:rsidP="00076964">
      <w:pPr>
        <w:keepNext/>
        <w:keepLines/>
        <w:ind w:firstLineChars="0" w:firstLine="0"/>
        <w:outlineLvl w:val="3"/>
        <w:rPr>
          <w:rFonts w:cs="Times New Roman"/>
          <w:b/>
          <w:bCs/>
          <w:szCs w:val="28"/>
        </w:rPr>
      </w:pPr>
      <w:r w:rsidRPr="00135E4F">
        <w:rPr>
          <w:rFonts w:cs="Times New Roman"/>
          <w:b/>
          <w:bCs/>
          <w:szCs w:val="28"/>
        </w:rPr>
        <w:t xml:space="preserve">9.2.10 </w:t>
      </w:r>
      <w:r w:rsidRPr="00135E4F">
        <w:rPr>
          <w:rFonts w:cs="Times New Roman"/>
          <w:b/>
          <w:bCs/>
          <w:szCs w:val="28"/>
        </w:rPr>
        <w:t>合理采用高效能源供应系统，评价总分值为</w:t>
      </w:r>
      <w:r w:rsidRPr="00135E4F">
        <w:rPr>
          <w:rFonts w:cs="Times New Roman"/>
          <w:b/>
          <w:bCs/>
          <w:szCs w:val="28"/>
        </w:rPr>
        <w:t>10</w:t>
      </w:r>
      <w:r w:rsidRPr="00135E4F">
        <w:rPr>
          <w:rFonts w:cs="Times New Roman"/>
          <w:b/>
          <w:bCs/>
          <w:szCs w:val="28"/>
        </w:rPr>
        <w:t>分。</w:t>
      </w:r>
    </w:p>
    <w:p w14:paraId="5FD1885E" w14:textId="77777777" w:rsidR="00076964" w:rsidRPr="00135E4F" w:rsidRDefault="00076964" w:rsidP="00076964">
      <w:pPr>
        <w:ind w:firstLineChars="100" w:firstLine="211"/>
        <w:rPr>
          <w:rFonts w:cs="Times New Roman"/>
          <w:b/>
          <w:bCs/>
          <w:szCs w:val="24"/>
        </w:rPr>
      </w:pPr>
      <w:r w:rsidRPr="00135E4F">
        <w:rPr>
          <w:rFonts w:cs="Times New Roman"/>
          <w:b/>
          <w:bCs/>
          <w:szCs w:val="24"/>
        </w:rPr>
        <w:t xml:space="preserve">1 </w:t>
      </w:r>
      <w:r w:rsidRPr="00135E4F">
        <w:rPr>
          <w:rFonts w:cs="Times New Roman"/>
          <w:b/>
          <w:bCs/>
          <w:szCs w:val="24"/>
        </w:rPr>
        <w:t>采用可再生能源区域集中供暖供冷系统，得</w:t>
      </w:r>
      <w:r w:rsidRPr="00135E4F">
        <w:rPr>
          <w:rFonts w:cs="Times New Roman"/>
          <w:b/>
          <w:bCs/>
          <w:szCs w:val="24"/>
        </w:rPr>
        <w:t>5</w:t>
      </w:r>
      <w:r w:rsidRPr="00135E4F">
        <w:rPr>
          <w:rFonts w:cs="Times New Roman"/>
          <w:b/>
          <w:bCs/>
          <w:szCs w:val="24"/>
        </w:rPr>
        <w:t>分。</w:t>
      </w:r>
    </w:p>
    <w:p w14:paraId="046968A0" w14:textId="77777777" w:rsidR="00076964" w:rsidRPr="00135E4F" w:rsidRDefault="00076964" w:rsidP="00EB74A4">
      <w:pPr>
        <w:ind w:firstLineChars="100" w:firstLine="211"/>
        <w:rPr>
          <w:rFonts w:cs="Times New Roman"/>
          <w:b/>
          <w:bCs/>
          <w:szCs w:val="24"/>
        </w:rPr>
      </w:pPr>
      <w:r w:rsidRPr="00135E4F">
        <w:rPr>
          <w:rFonts w:cs="Times New Roman"/>
          <w:b/>
          <w:bCs/>
          <w:szCs w:val="24"/>
        </w:rPr>
        <w:t xml:space="preserve">2 </w:t>
      </w:r>
      <w:r w:rsidRPr="00135E4F">
        <w:rPr>
          <w:rFonts w:cs="Times New Roman"/>
          <w:b/>
          <w:bCs/>
          <w:szCs w:val="24"/>
        </w:rPr>
        <w:t>采用燃气冷热电联供技术，系统年平均能源综合利用率应大于</w:t>
      </w:r>
      <w:r w:rsidRPr="00135E4F">
        <w:rPr>
          <w:rFonts w:cs="Times New Roman"/>
          <w:b/>
          <w:bCs/>
          <w:szCs w:val="24"/>
        </w:rPr>
        <w:t>70%</w:t>
      </w:r>
      <w:r w:rsidRPr="00135E4F">
        <w:rPr>
          <w:rFonts w:cs="Times New Roman"/>
          <w:b/>
          <w:bCs/>
          <w:szCs w:val="24"/>
        </w:rPr>
        <w:t>，得</w:t>
      </w:r>
      <w:r w:rsidRPr="00135E4F">
        <w:rPr>
          <w:rFonts w:cs="Times New Roman"/>
          <w:b/>
          <w:bCs/>
          <w:szCs w:val="24"/>
        </w:rPr>
        <w:t>5</w:t>
      </w:r>
      <w:r w:rsidRPr="00135E4F">
        <w:rPr>
          <w:rFonts w:cs="Times New Roman"/>
          <w:b/>
          <w:bCs/>
          <w:szCs w:val="24"/>
        </w:rPr>
        <w:t>分。</w:t>
      </w:r>
    </w:p>
    <w:p w14:paraId="5ADF79DF" w14:textId="77777777" w:rsidR="00076964" w:rsidRPr="0081478A" w:rsidRDefault="00076964" w:rsidP="00076964">
      <w:pPr>
        <w:ind w:firstLineChars="0" w:firstLine="0"/>
        <w:rPr>
          <w:rFonts w:cs="Times New Roman"/>
          <w:b/>
          <w:szCs w:val="24"/>
        </w:rPr>
      </w:pPr>
      <w:r w:rsidRPr="0081478A">
        <w:rPr>
          <w:rFonts w:cs="Times New Roman"/>
          <w:b/>
          <w:szCs w:val="24"/>
        </w:rPr>
        <w:t>【条文说明】</w:t>
      </w:r>
    </w:p>
    <w:p w14:paraId="4A533F3F" w14:textId="77777777" w:rsidR="00076964" w:rsidRPr="00530A11" w:rsidRDefault="00076964" w:rsidP="00076964">
      <w:pPr>
        <w:ind w:firstLine="420"/>
        <w:rPr>
          <w:szCs w:val="24"/>
        </w:rPr>
      </w:pPr>
      <w:r w:rsidRPr="00530A11">
        <w:t>本条适用于各类民用建筑的预评价、评价。</w:t>
      </w:r>
    </w:p>
    <w:p w14:paraId="76AE288D" w14:textId="77777777" w:rsidR="00076964" w:rsidRPr="00530A11" w:rsidRDefault="00076964" w:rsidP="00076964">
      <w:pPr>
        <w:ind w:firstLine="420"/>
        <w:rPr>
          <w:rFonts w:cs="Times New Roman"/>
        </w:rPr>
      </w:pPr>
      <w:bookmarkStart w:id="232" w:name="_Hlk29547931"/>
      <w:r w:rsidRPr="00530A11">
        <w:rPr>
          <w:rFonts w:cs="Times New Roman" w:hint="eastAsia"/>
        </w:rPr>
        <w:t>本条为地标新增条文。</w:t>
      </w:r>
      <w:bookmarkEnd w:id="232"/>
      <w:r w:rsidRPr="00530A11">
        <w:rPr>
          <w:rFonts w:cs="Times New Roman"/>
        </w:rPr>
        <w:t>本条在《绿色建筑评价标准》（</w:t>
      </w:r>
      <w:r w:rsidRPr="00530A11">
        <w:rPr>
          <w:rFonts w:cs="Times New Roman"/>
        </w:rPr>
        <w:t>DBJ50/T-066-2014</w:t>
      </w:r>
      <w:r w:rsidRPr="00530A11">
        <w:rPr>
          <w:rFonts w:cs="Times New Roman"/>
        </w:rPr>
        <w:t>）</w:t>
      </w:r>
      <w:r w:rsidRPr="00530A11">
        <w:rPr>
          <w:rFonts w:cs="Times New Roman"/>
        </w:rPr>
        <w:t>11.2.13</w:t>
      </w:r>
      <w:r w:rsidRPr="00530A11">
        <w:rPr>
          <w:rFonts w:cs="Times New Roman"/>
        </w:rPr>
        <w:t>条</w:t>
      </w:r>
      <w:r w:rsidRPr="00530A11">
        <w:rPr>
          <w:rFonts w:cs="Times New Roman" w:hint="eastAsia"/>
        </w:rPr>
        <w:t>和</w:t>
      </w:r>
      <w:r w:rsidRPr="00530A11">
        <w:rPr>
          <w:rFonts w:cs="Times New Roman"/>
        </w:rPr>
        <w:t>《绿色生态住宅（绿色建筑）小区建设技术标准》（</w:t>
      </w:r>
      <w:r w:rsidRPr="00530A11">
        <w:rPr>
          <w:rFonts w:cs="Times New Roman"/>
        </w:rPr>
        <w:t>DBJ50/T-039-2018</w:t>
      </w:r>
      <w:r w:rsidRPr="00530A11">
        <w:rPr>
          <w:rFonts w:cs="Times New Roman"/>
        </w:rPr>
        <w:t>）</w:t>
      </w:r>
      <w:r w:rsidRPr="00530A11">
        <w:rPr>
          <w:rFonts w:cs="Times New Roman"/>
        </w:rPr>
        <w:t>13.2.6</w:t>
      </w:r>
      <w:r w:rsidRPr="00530A11">
        <w:rPr>
          <w:rFonts w:cs="Times New Roman"/>
        </w:rPr>
        <w:t>条</w:t>
      </w:r>
      <w:r w:rsidRPr="00530A11">
        <w:rPr>
          <w:rFonts w:cs="Times New Roman" w:hint="eastAsia"/>
        </w:rPr>
        <w:t>的</w:t>
      </w:r>
      <w:r w:rsidRPr="00530A11">
        <w:rPr>
          <w:rFonts w:cs="Times New Roman"/>
        </w:rPr>
        <w:t>基础上发展而来，是对国家《绿色建筑评价标准》</w:t>
      </w:r>
      <w:r w:rsidRPr="00530A11">
        <w:rPr>
          <w:rFonts w:cs="Times New Roman"/>
        </w:rPr>
        <w:t>GB/T 50378-2019</w:t>
      </w:r>
      <w:r w:rsidRPr="00530A11">
        <w:rPr>
          <w:rFonts w:cs="Times New Roman"/>
        </w:rPr>
        <w:t>中</w:t>
      </w:r>
      <w:r w:rsidRPr="00530A11">
        <w:rPr>
          <w:rFonts w:cs="Times New Roman"/>
        </w:rPr>
        <w:t>9.2.10</w:t>
      </w:r>
      <w:r w:rsidRPr="00530A11">
        <w:rPr>
          <w:rFonts w:cs="Times New Roman"/>
        </w:rPr>
        <w:t>条的细化补充。</w:t>
      </w:r>
    </w:p>
    <w:p w14:paraId="1256B32B" w14:textId="77777777" w:rsidR="00076964" w:rsidRPr="00530A11" w:rsidRDefault="00076964" w:rsidP="00076964">
      <w:pPr>
        <w:ind w:firstLine="420"/>
        <w:rPr>
          <w:rFonts w:cs="Times New Roman"/>
        </w:rPr>
      </w:pPr>
      <w:r w:rsidRPr="00530A11">
        <w:rPr>
          <w:rFonts w:cs="Times New Roman"/>
        </w:rPr>
        <w:t>可再生能源供能是实施民生工程、治理大气污染、落实能源生产和消费革命的重要内容，对实现能源转型和建设生态文明具有重要意义。可再生能源区域集中供暖供冷系统是建设集中供能系统，利用水资源、余热资源、太阳能等自然资源，在区域能源中心集中制备冷热水或冷热风，并通过能源输配管网集中供给，以满足特定区域内建筑群落供冷、供热需求的集中空调冷热源。</w:t>
      </w:r>
    </w:p>
    <w:p w14:paraId="23243B89" w14:textId="77777777" w:rsidR="00076964" w:rsidRPr="00530A11" w:rsidRDefault="00076964" w:rsidP="00076964">
      <w:pPr>
        <w:ind w:firstLine="420"/>
        <w:rPr>
          <w:rFonts w:cs="Times New Roman"/>
        </w:rPr>
      </w:pPr>
      <w:r w:rsidRPr="00530A11">
        <w:rPr>
          <w:rFonts w:cs="Times New Roman"/>
        </w:rPr>
        <w:t>燃气冷热电联供系统为建筑或区域提供电力、供冷、供热（包括供热水）三种需求，实</w:t>
      </w:r>
      <w:r w:rsidRPr="00530A11">
        <w:rPr>
          <w:rFonts w:cs="Times New Roman"/>
        </w:rPr>
        <w:lastRenderedPageBreak/>
        <w:t>现能源的梯级利用。在应用燃气冷热电联供技术时，必须进行科学论证，从负荷预测、系统配置、运行模式、经济和环保效益等多方面对方案做可行性分析，严格以热定电，系统设计满足相关标准要求。</w:t>
      </w:r>
    </w:p>
    <w:p w14:paraId="400CB21D" w14:textId="5DA1B64A" w:rsidR="00076964" w:rsidRDefault="00076964" w:rsidP="00076964">
      <w:pPr>
        <w:ind w:firstLine="420"/>
        <w:rPr>
          <w:rFonts w:cs="Times New Roman"/>
        </w:rPr>
      </w:pPr>
      <w:r w:rsidRPr="00530A11">
        <w:rPr>
          <w:rFonts w:cs="Times New Roman"/>
        </w:rPr>
        <w:t>为了体现采用可再生能源区域集中供暖供冷系统的优势，本条</w:t>
      </w:r>
      <w:r w:rsidR="00330A9C">
        <w:rPr>
          <w:rFonts w:cs="Times New Roman" w:hint="eastAsia"/>
        </w:rPr>
        <w:t>在</w:t>
      </w:r>
      <w:r w:rsidRPr="00530A11">
        <w:rPr>
          <w:rFonts w:cs="Times New Roman"/>
        </w:rPr>
        <w:t>进行评价时，系统空调工程设计能效比应达到相比重庆市现行建筑节能标准中的空调工程设计能效比应提高</w:t>
      </w:r>
      <w:r w:rsidRPr="00530A11">
        <w:rPr>
          <w:rFonts w:cs="Times New Roman"/>
        </w:rPr>
        <w:t>20%</w:t>
      </w:r>
      <w:r w:rsidRPr="00530A11">
        <w:rPr>
          <w:rFonts w:cs="Times New Roman"/>
        </w:rPr>
        <w:t>，且应同时满足本标准</w:t>
      </w:r>
      <w:r w:rsidRPr="00530A11">
        <w:rPr>
          <w:rFonts w:cs="Times New Roman"/>
        </w:rPr>
        <w:t>7.2.5</w:t>
      </w:r>
      <w:r w:rsidRPr="00530A11">
        <w:rPr>
          <w:rFonts w:cs="Times New Roman"/>
        </w:rPr>
        <w:t>、</w:t>
      </w:r>
      <w:r w:rsidRPr="00530A11">
        <w:rPr>
          <w:rFonts w:cs="Times New Roman"/>
        </w:rPr>
        <w:t>7.2.6</w:t>
      </w:r>
      <w:r w:rsidRPr="00530A11">
        <w:rPr>
          <w:rFonts w:cs="Times New Roman"/>
        </w:rPr>
        <w:t>两条的满分要求，和满足</w:t>
      </w:r>
      <w:r w:rsidRPr="00530A11">
        <w:rPr>
          <w:rFonts w:cs="Times New Roman"/>
        </w:rPr>
        <w:t>7.2.7</w:t>
      </w:r>
      <w:r w:rsidRPr="00530A11">
        <w:rPr>
          <w:rFonts w:cs="Times New Roman"/>
        </w:rPr>
        <w:t>第</w:t>
      </w:r>
      <w:r w:rsidRPr="00530A11">
        <w:rPr>
          <w:rFonts w:cs="Times New Roman"/>
        </w:rPr>
        <w:t>4</w:t>
      </w:r>
      <w:r w:rsidRPr="00530A11">
        <w:rPr>
          <w:rFonts w:cs="Times New Roman"/>
        </w:rPr>
        <w:t>款要求，本条可得分。</w:t>
      </w:r>
    </w:p>
    <w:p w14:paraId="4219D6FB" w14:textId="77777777" w:rsidR="00076964" w:rsidRPr="00CB19AF" w:rsidRDefault="00076964" w:rsidP="00076964">
      <w:pPr>
        <w:ind w:firstLineChars="0" w:firstLine="0"/>
        <w:rPr>
          <w:rFonts w:cs="Times New Roman"/>
          <w:b/>
        </w:rPr>
      </w:pPr>
      <w:r w:rsidRPr="00CB19AF">
        <w:rPr>
          <w:rFonts w:cs="Times New Roman" w:hint="eastAsia"/>
          <w:b/>
        </w:rPr>
        <w:t>【评价要点】</w:t>
      </w:r>
    </w:p>
    <w:p w14:paraId="745929DB" w14:textId="77777777" w:rsidR="00076964" w:rsidRPr="00530A11" w:rsidRDefault="00076964" w:rsidP="00076964">
      <w:pPr>
        <w:ind w:firstLine="420"/>
        <w:rPr>
          <w:rFonts w:cs="Times New Roman"/>
        </w:rPr>
      </w:pPr>
      <w:r w:rsidRPr="00CB19AF">
        <w:rPr>
          <w:rFonts w:cs="Times New Roman" w:hint="eastAsia"/>
        </w:rPr>
        <w:t>系统年平均能源综合利用率的计算方法详见国家标准《燃气冷热电联供工程技术规程》</w:t>
      </w:r>
      <w:r w:rsidRPr="00CB19AF">
        <w:rPr>
          <w:rFonts w:cs="Times New Roman" w:hint="eastAsia"/>
        </w:rPr>
        <w:t>GB 51131-2016</w:t>
      </w:r>
      <w:r w:rsidRPr="00CB19AF">
        <w:rPr>
          <w:rFonts w:cs="Times New Roman" w:hint="eastAsia"/>
        </w:rPr>
        <w:t>第</w:t>
      </w:r>
      <w:r w:rsidRPr="00CB19AF">
        <w:rPr>
          <w:rFonts w:cs="Times New Roman" w:hint="eastAsia"/>
        </w:rPr>
        <w:t>4.3.8</w:t>
      </w:r>
      <w:r w:rsidRPr="00CB19AF">
        <w:rPr>
          <w:rFonts w:cs="Times New Roman" w:hint="eastAsia"/>
        </w:rPr>
        <w:t>条，应为系统年输出能量（年净输出电量、有效余热供热量与供冷量之和，注意电量单位的转换：</w:t>
      </w:r>
      <w:r w:rsidRPr="00CB19AF">
        <w:rPr>
          <w:rFonts w:cs="Times New Roman" w:hint="eastAsia"/>
        </w:rPr>
        <w:t>1kW</w:t>
      </w:r>
      <w:r w:rsidRPr="00CB19AF">
        <w:rPr>
          <w:rFonts w:cs="Times New Roman" w:hint="eastAsia"/>
        </w:rPr>
        <w:t>·</w:t>
      </w:r>
      <w:r w:rsidRPr="00CB19AF">
        <w:rPr>
          <w:rFonts w:cs="Times New Roman" w:hint="eastAsia"/>
        </w:rPr>
        <w:t>h=3.6MJ</w:t>
      </w:r>
      <w:r w:rsidRPr="00CB19AF">
        <w:rPr>
          <w:rFonts w:cs="Times New Roman" w:hint="eastAsia"/>
        </w:rPr>
        <w:t>）与年输入能量（年燃气总耗量与燃气低位发热量之积）之比。不包括补充冷热设备输出的能量和辅助系统消耗的能量。例如，发电机内部自耗电量，余热锅炉、余热吸收式制冷机等设备补燃产生的热</w:t>
      </w:r>
      <w:r w:rsidRPr="00CB19AF">
        <w:rPr>
          <w:rFonts w:cs="Times New Roman" w:hint="eastAsia"/>
        </w:rPr>
        <w:t>/</w:t>
      </w:r>
      <w:r w:rsidRPr="00CB19AF">
        <w:rPr>
          <w:rFonts w:cs="Times New Roman" w:hint="eastAsia"/>
        </w:rPr>
        <w:t>冷量。</w:t>
      </w:r>
    </w:p>
    <w:p w14:paraId="1BA7AC20" w14:textId="77777777" w:rsidR="00076964" w:rsidRPr="0081478A" w:rsidRDefault="00076964" w:rsidP="00076964">
      <w:pPr>
        <w:ind w:firstLineChars="0" w:firstLine="0"/>
        <w:rPr>
          <w:rFonts w:cs="Times New Roman"/>
          <w:b/>
          <w:szCs w:val="24"/>
        </w:rPr>
      </w:pPr>
      <w:r w:rsidRPr="0081478A">
        <w:rPr>
          <w:rFonts w:cs="Times New Roman"/>
          <w:b/>
          <w:szCs w:val="24"/>
        </w:rPr>
        <w:t>【评价方法】</w:t>
      </w:r>
    </w:p>
    <w:p w14:paraId="0A82FAF4" w14:textId="77777777" w:rsidR="00076964" w:rsidRPr="00530A11" w:rsidRDefault="00076964" w:rsidP="00076964">
      <w:pPr>
        <w:ind w:firstLine="420"/>
        <w:rPr>
          <w:rFonts w:cs="Times New Roman"/>
          <w:szCs w:val="24"/>
        </w:rPr>
      </w:pPr>
      <w:r w:rsidRPr="00530A11">
        <w:rPr>
          <w:rFonts w:cs="Times New Roman"/>
        </w:rPr>
        <w:t>第</w:t>
      </w:r>
      <w:r w:rsidRPr="00530A11">
        <w:rPr>
          <w:rFonts w:cs="Times New Roman"/>
        </w:rPr>
        <w:t>1</w:t>
      </w:r>
      <w:r w:rsidRPr="00530A11">
        <w:rPr>
          <w:rFonts w:cs="Times New Roman"/>
        </w:rPr>
        <w:t>款预评价查阅暖通空调设计图和专项计算分析论证报告；评价查阅系统竣工图、主要产品型式检验报告、第三方检测报告、专项计算分析报告、运行报告等，并现场核实。</w:t>
      </w:r>
    </w:p>
    <w:p w14:paraId="5DE22660" w14:textId="77777777" w:rsidR="00076964" w:rsidRPr="00530A11" w:rsidRDefault="00076964" w:rsidP="00076964">
      <w:pPr>
        <w:ind w:firstLine="420"/>
        <w:rPr>
          <w:rFonts w:cs="Times New Roman"/>
        </w:rPr>
      </w:pPr>
      <w:r w:rsidRPr="00530A11">
        <w:rPr>
          <w:rFonts w:cs="Times New Roman"/>
        </w:rPr>
        <w:t>第</w:t>
      </w:r>
      <w:r w:rsidRPr="00530A11">
        <w:rPr>
          <w:rFonts w:cs="Times New Roman"/>
        </w:rPr>
        <w:t>2</w:t>
      </w:r>
      <w:r w:rsidRPr="00530A11">
        <w:rPr>
          <w:rFonts w:cs="Times New Roman"/>
        </w:rPr>
        <w:t>款预评价查阅相关设计文件、计算分析报告（包括负荷预测、系统配置、运行模式、经济和环保效益等方面）；评价查阅竣工图、主要产品型式检验报告、计算分析报告、运行报告</w:t>
      </w:r>
      <w:r w:rsidRPr="00530A11">
        <w:rPr>
          <w:rFonts w:cs="Times New Roman" w:hint="eastAsia"/>
        </w:rPr>
        <w:t>、第三方检测报告</w:t>
      </w:r>
      <w:r w:rsidRPr="00530A11">
        <w:rPr>
          <w:rFonts w:cs="Times New Roman"/>
        </w:rPr>
        <w:t>，并现场核实。</w:t>
      </w:r>
    </w:p>
    <w:p w14:paraId="47E71282" w14:textId="77777777" w:rsidR="00076964" w:rsidRPr="001E54E5" w:rsidRDefault="00076964" w:rsidP="00761DC6">
      <w:pPr>
        <w:spacing w:line="440" w:lineRule="exact"/>
        <w:ind w:firstLine="643"/>
        <w:rPr>
          <w:rFonts w:eastAsia="方正仿宋_GBK" w:cs="Times New Roman"/>
          <w:b/>
          <w:sz w:val="32"/>
          <w:szCs w:val="32"/>
        </w:rPr>
      </w:pPr>
    </w:p>
    <w:p w14:paraId="06BDD2B5" w14:textId="77777777" w:rsidR="00076964" w:rsidRPr="00CB19AF" w:rsidRDefault="00076964" w:rsidP="00076964">
      <w:pPr>
        <w:pStyle w:val="4"/>
      </w:pPr>
      <w:r w:rsidRPr="00CB19AF">
        <w:rPr>
          <w:rFonts w:hint="eastAsia"/>
        </w:rPr>
        <w:t>9</w:t>
      </w:r>
      <w:r w:rsidRPr="00CB19AF">
        <w:t xml:space="preserve">.2.11 </w:t>
      </w:r>
      <w:r w:rsidRPr="00CB19AF">
        <w:rPr>
          <w:rFonts w:hint="eastAsia"/>
        </w:rPr>
        <w:t>生活给排水采用智慧管理系统，消防水泵房采用物联型消防供水泵房。评价总分值</w:t>
      </w:r>
      <w:r w:rsidRPr="00CB19AF">
        <w:rPr>
          <w:rFonts w:hint="eastAsia"/>
        </w:rPr>
        <w:t>10</w:t>
      </w:r>
      <w:r w:rsidRPr="00CB19AF">
        <w:rPr>
          <w:rFonts w:hint="eastAsia"/>
        </w:rPr>
        <w:t>分。</w:t>
      </w:r>
    </w:p>
    <w:p w14:paraId="3B491630" w14:textId="77777777" w:rsidR="00076964" w:rsidRPr="00135E4F" w:rsidRDefault="00076964" w:rsidP="00076964">
      <w:pPr>
        <w:ind w:firstLineChars="100" w:firstLine="211"/>
        <w:rPr>
          <w:rFonts w:ascii="宋体" w:hAnsi="宋体" w:cs="Times New Roman"/>
          <w:b/>
          <w:bCs/>
          <w:color w:val="000000"/>
          <w:szCs w:val="24"/>
        </w:rPr>
      </w:pPr>
      <w:r w:rsidRPr="00135E4F">
        <w:rPr>
          <w:rFonts w:ascii="宋体" w:hAnsi="宋体" w:cs="Times New Roman" w:hint="eastAsia"/>
          <w:b/>
          <w:bCs/>
          <w:color w:val="000000"/>
          <w:szCs w:val="24"/>
        </w:rPr>
        <w:t>1 生活给排水采用智慧管理系统，得5分；</w:t>
      </w:r>
    </w:p>
    <w:p w14:paraId="7DE4FE42" w14:textId="77777777" w:rsidR="00076964" w:rsidRPr="00135E4F" w:rsidRDefault="00076964" w:rsidP="00076964">
      <w:pPr>
        <w:ind w:firstLineChars="100" w:firstLine="211"/>
        <w:rPr>
          <w:rFonts w:ascii="宋体" w:hAnsi="宋体" w:cs="Times New Roman"/>
          <w:b/>
          <w:bCs/>
          <w:color w:val="000000"/>
          <w:szCs w:val="24"/>
        </w:rPr>
      </w:pPr>
      <w:r w:rsidRPr="00135E4F">
        <w:rPr>
          <w:rFonts w:ascii="宋体" w:hAnsi="宋体" w:cs="Times New Roman" w:hint="eastAsia"/>
          <w:b/>
          <w:bCs/>
          <w:color w:val="000000"/>
          <w:szCs w:val="24"/>
        </w:rPr>
        <w:t>2 消防水泵房采用物联型消防供水泵房，得5分。</w:t>
      </w:r>
    </w:p>
    <w:p w14:paraId="54FB2D7A"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【条文说明】</w:t>
      </w:r>
    </w:p>
    <w:p w14:paraId="430C72C4" w14:textId="77777777" w:rsidR="00076964" w:rsidRPr="00530A11" w:rsidRDefault="00076964" w:rsidP="00076964">
      <w:pPr>
        <w:ind w:firstLine="420"/>
        <w:rPr>
          <w:rFonts w:ascii="宋体" w:hAnsi="宋体"/>
          <w:color w:val="000000"/>
          <w:szCs w:val="24"/>
        </w:rPr>
      </w:pPr>
      <w:r w:rsidRPr="00530A11">
        <w:rPr>
          <w:rFonts w:hint="eastAsia"/>
        </w:rPr>
        <w:t>本条适用于各类民用建筑的预评价、评价。</w:t>
      </w:r>
    </w:p>
    <w:p w14:paraId="4F9BB40D" w14:textId="77777777" w:rsidR="00076964" w:rsidRPr="00530A11" w:rsidRDefault="00076964" w:rsidP="00076964">
      <w:pPr>
        <w:ind w:firstLine="420"/>
        <w:rPr>
          <w:rFonts w:cs="Times New Roman"/>
        </w:rPr>
      </w:pPr>
      <w:r w:rsidRPr="00530A11">
        <w:rPr>
          <w:rFonts w:cs="Times New Roman" w:hint="eastAsia"/>
        </w:rPr>
        <w:t>本条为地标新增条文。</w:t>
      </w:r>
    </w:p>
    <w:p w14:paraId="23573150" w14:textId="77777777" w:rsidR="00076964" w:rsidRPr="00530A11" w:rsidRDefault="00076964" w:rsidP="00076964">
      <w:pPr>
        <w:ind w:firstLine="420"/>
        <w:rPr>
          <w:rFonts w:cs="Times New Roman"/>
        </w:rPr>
      </w:pPr>
      <w:r w:rsidRPr="00530A11">
        <w:rPr>
          <w:rFonts w:cs="Times New Roman" w:hint="eastAsia"/>
        </w:rPr>
        <w:t>生活给排水采用智慧管理系统，可有效整合水量的远传计量系统、水质的在线监测系统及给排水设备的运维管理系统，提高给排水系统运维的可靠性及给水水质的安全保障。生活给排水智慧管理系统应</w:t>
      </w:r>
      <w:r w:rsidRPr="00530A11">
        <w:rPr>
          <w:rFonts w:cs="Times New Roman"/>
        </w:rPr>
        <w:t>设置生</w:t>
      </w:r>
      <w:r w:rsidRPr="00530A11">
        <w:rPr>
          <w:rFonts w:cs="Times New Roman" w:hint="eastAsia"/>
        </w:rPr>
        <w:t>排</w:t>
      </w:r>
      <w:r w:rsidRPr="00530A11">
        <w:rPr>
          <w:rFonts w:cs="Times New Roman"/>
        </w:rPr>
        <w:t>水在线监测管控平台系统，物业管理人员可</w:t>
      </w:r>
      <w:r w:rsidRPr="00530A11">
        <w:rPr>
          <w:rFonts w:cs="Times New Roman" w:hint="eastAsia"/>
        </w:rPr>
        <w:t>远程监控给排水泵房、水箱间、水处理机房等主要设备机房的运行；</w:t>
      </w:r>
      <w:r w:rsidRPr="00530A11">
        <w:rPr>
          <w:rFonts w:cs="Times New Roman"/>
        </w:rPr>
        <w:t>对管道、阀门附件、用水量、水质等情</w:t>
      </w:r>
      <w:r w:rsidRPr="00530A11">
        <w:rPr>
          <w:rFonts w:cs="Times New Roman"/>
        </w:rPr>
        <w:lastRenderedPageBreak/>
        <w:t>况进行在线监测和实时记录</w:t>
      </w:r>
      <w:r w:rsidRPr="00530A11">
        <w:rPr>
          <w:rFonts w:cs="Times New Roman" w:hint="eastAsia"/>
        </w:rPr>
        <w:t>；</w:t>
      </w:r>
      <w:r w:rsidRPr="00530A11">
        <w:rPr>
          <w:rFonts w:cs="Times New Roman"/>
        </w:rPr>
        <w:t>可远程实时监控生活</w:t>
      </w:r>
      <w:r w:rsidRPr="00530A11">
        <w:rPr>
          <w:rFonts w:cs="Times New Roman" w:hint="eastAsia"/>
        </w:rPr>
        <w:t>给排</w:t>
      </w:r>
      <w:r w:rsidRPr="00530A11">
        <w:rPr>
          <w:rFonts w:cs="Times New Roman"/>
        </w:rPr>
        <w:t>水系统的流量、压力、功率、水质等运行参数</w:t>
      </w:r>
      <w:r w:rsidRPr="00530A11">
        <w:rPr>
          <w:rFonts w:cs="Times New Roman" w:hint="eastAsia"/>
        </w:rPr>
        <w:t>；</w:t>
      </w:r>
      <w:r w:rsidRPr="00530A11">
        <w:rPr>
          <w:rFonts w:cs="Times New Roman"/>
        </w:rPr>
        <w:t>生活水池（箱）具备溢流报警和进水阀门截断功能</w:t>
      </w:r>
      <w:r w:rsidRPr="00530A11">
        <w:rPr>
          <w:rFonts w:cs="Times New Roman" w:hint="eastAsia"/>
        </w:rPr>
        <w:t>；可对</w:t>
      </w:r>
      <w:r w:rsidRPr="00530A11">
        <w:rPr>
          <w:rFonts w:cs="Times New Roman"/>
        </w:rPr>
        <w:t>供水设备进行远程</w:t>
      </w:r>
      <w:r w:rsidRPr="00530A11">
        <w:rPr>
          <w:rFonts w:cs="Times New Roman" w:hint="eastAsia"/>
        </w:rPr>
        <w:t>控制。</w:t>
      </w:r>
    </w:p>
    <w:p w14:paraId="630B94B0" w14:textId="77777777" w:rsidR="00076964" w:rsidRDefault="00076964" w:rsidP="00076964">
      <w:pPr>
        <w:ind w:firstLine="420"/>
      </w:pPr>
      <w:r w:rsidRPr="00530A11">
        <w:rPr>
          <w:rFonts w:hint="eastAsia"/>
        </w:rPr>
        <w:t>消防给水系统是民用建筑灭火、控火的主要消防设施，消防水泵房是消防给水系统的心脏，应确保其安全可靠。在我国，上海已制定了地方标准《消防设施物联网系统技术标准》</w:t>
      </w:r>
      <w:r w:rsidRPr="00530A11">
        <w:rPr>
          <w:rFonts w:hint="eastAsia"/>
        </w:rPr>
        <w:t>DG/TG08</w:t>
      </w:r>
      <w:r w:rsidRPr="00530A11">
        <w:rPr>
          <w:rFonts w:hint="eastAsia"/>
        </w:rPr>
        <w:t>，其中，物联网消防水系统是其重要组成内容。物联型消防供水泵房是基于物联网进行设备信息采集、数据传输的消防供水泵房，物业管理人员可远程实时监控消防水泵机组的流量、压力、功率等运行参数，可对消防供水设备进行远程监测、控制。</w:t>
      </w:r>
    </w:p>
    <w:p w14:paraId="4E5420D8" w14:textId="77777777" w:rsidR="00076964" w:rsidRPr="0081478A" w:rsidRDefault="00076964" w:rsidP="00076964">
      <w:pPr>
        <w:pStyle w:val="20"/>
      </w:pPr>
      <w:r w:rsidRPr="0081478A">
        <w:t>【评价方法】</w:t>
      </w:r>
    </w:p>
    <w:p w14:paraId="0C7CD072" w14:textId="77777777" w:rsidR="00076964" w:rsidRPr="00530A11" w:rsidRDefault="00076964" w:rsidP="00076964">
      <w:pPr>
        <w:ind w:firstLine="420"/>
        <w:rPr>
          <w:rFonts w:ascii="宋体" w:hAnsi="宋体" w:cs="Times New Roman"/>
          <w:color w:val="000000"/>
          <w:szCs w:val="24"/>
        </w:rPr>
      </w:pPr>
      <w:r w:rsidRPr="00530A11">
        <w:rPr>
          <w:rFonts w:cs="Times New Roman" w:hint="eastAsia"/>
        </w:rPr>
        <w:t>预评价查阅相关设计文件；评价查阅相关竣工图、计算书、检测报告，并现场核实。</w:t>
      </w:r>
    </w:p>
    <w:p w14:paraId="2B554DF4" w14:textId="77777777" w:rsidR="00076964" w:rsidRPr="001E54E5" w:rsidRDefault="00076964" w:rsidP="00076964">
      <w:pPr>
        <w:ind w:firstLine="420"/>
        <w:rPr>
          <w:rFonts w:cs="Times New Roman"/>
        </w:rPr>
      </w:pPr>
    </w:p>
    <w:p w14:paraId="029C4763" w14:textId="442518F7" w:rsidR="00076964" w:rsidRPr="00636B50" w:rsidRDefault="00076964" w:rsidP="00076964">
      <w:pPr>
        <w:keepNext/>
        <w:keepLines/>
        <w:ind w:firstLineChars="0" w:firstLine="0"/>
        <w:outlineLvl w:val="3"/>
        <w:rPr>
          <w:rFonts w:cs="Times New Roman"/>
          <w:b/>
          <w:bCs/>
          <w:color w:val="000000" w:themeColor="text1"/>
          <w:szCs w:val="28"/>
        </w:rPr>
      </w:pPr>
      <w:r w:rsidRPr="00636B50">
        <w:rPr>
          <w:rFonts w:cs="Times New Roman"/>
          <w:b/>
          <w:bCs/>
          <w:color w:val="000000" w:themeColor="text1"/>
          <w:szCs w:val="28"/>
        </w:rPr>
        <w:t xml:space="preserve">9.2.12 </w:t>
      </w:r>
      <w:r w:rsidRPr="00636B50">
        <w:rPr>
          <w:rFonts w:cs="Times New Roman"/>
          <w:b/>
          <w:bCs/>
          <w:color w:val="000000" w:themeColor="text1"/>
          <w:szCs w:val="28"/>
        </w:rPr>
        <w:t>应用新一代信息技术，设置建筑智慧运维系统，评价总分值</w:t>
      </w:r>
      <w:r w:rsidRPr="00636B50">
        <w:rPr>
          <w:rFonts w:cs="Times New Roman"/>
          <w:b/>
          <w:bCs/>
          <w:color w:val="000000" w:themeColor="text1"/>
          <w:szCs w:val="28"/>
        </w:rPr>
        <w:t>8</w:t>
      </w:r>
      <w:r w:rsidRPr="00636B50">
        <w:rPr>
          <w:rFonts w:cs="Times New Roman"/>
          <w:b/>
          <w:bCs/>
          <w:color w:val="000000" w:themeColor="text1"/>
          <w:szCs w:val="28"/>
        </w:rPr>
        <w:t>分。</w:t>
      </w:r>
    </w:p>
    <w:p w14:paraId="406B47DA" w14:textId="77777777" w:rsidR="00076964" w:rsidRPr="00135E4F" w:rsidRDefault="00076964" w:rsidP="00076964">
      <w:pPr>
        <w:ind w:firstLineChars="100" w:firstLine="211"/>
        <w:rPr>
          <w:rFonts w:cs="Times New Roman"/>
          <w:b/>
          <w:bCs/>
          <w:szCs w:val="24"/>
        </w:rPr>
      </w:pPr>
      <w:r w:rsidRPr="00135E4F">
        <w:rPr>
          <w:rFonts w:cs="Times New Roman"/>
          <w:b/>
          <w:bCs/>
          <w:szCs w:val="24"/>
        </w:rPr>
        <w:t xml:space="preserve">1 </w:t>
      </w:r>
      <w:r w:rsidRPr="00135E4F">
        <w:rPr>
          <w:rFonts w:cs="Times New Roman"/>
          <w:b/>
          <w:bCs/>
          <w:szCs w:val="24"/>
        </w:rPr>
        <w:t>公共建筑设置智慧运维系统，评价总分值为</w:t>
      </w:r>
      <w:r w:rsidRPr="00135E4F">
        <w:rPr>
          <w:rFonts w:cs="Times New Roman"/>
          <w:b/>
          <w:bCs/>
          <w:szCs w:val="24"/>
        </w:rPr>
        <w:t>8</w:t>
      </w:r>
      <w:r w:rsidRPr="00135E4F">
        <w:rPr>
          <w:rFonts w:cs="Times New Roman"/>
          <w:b/>
          <w:bCs/>
          <w:szCs w:val="24"/>
        </w:rPr>
        <w:t>分，并按下列规则评分：</w:t>
      </w:r>
      <w:r w:rsidRPr="00135E4F">
        <w:rPr>
          <w:rFonts w:cs="Times New Roman"/>
          <w:b/>
          <w:bCs/>
          <w:szCs w:val="24"/>
        </w:rPr>
        <w:t xml:space="preserve"> </w:t>
      </w:r>
    </w:p>
    <w:p w14:paraId="6EB05A73" w14:textId="77777777" w:rsidR="00076964" w:rsidRPr="00135E4F" w:rsidRDefault="00076964" w:rsidP="00076964">
      <w:pPr>
        <w:ind w:firstLineChars="100" w:firstLine="211"/>
        <w:rPr>
          <w:rFonts w:cs="Times New Roman"/>
          <w:b/>
          <w:bCs/>
          <w:szCs w:val="24"/>
        </w:rPr>
      </w:pPr>
      <w:r w:rsidRPr="00135E4F">
        <w:rPr>
          <w:rFonts w:cs="Times New Roman"/>
          <w:b/>
          <w:bCs/>
          <w:szCs w:val="24"/>
        </w:rPr>
        <w:t>（</w:t>
      </w:r>
      <w:r w:rsidRPr="00135E4F">
        <w:rPr>
          <w:rFonts w:cs="Times New Roman"/>
          <w:b/>
          <w:bCs/>
          <w:szCs w:val="24"/>
        </w:rPr>
        <w:t>1</w:t>
      </w:r>
      <w:r w:rsidRPr="00135E4F">
        <w:rPr>
          <w:rFonts w:cs="Times New Roman"/>
          <w:b/>
          <w:bCs/>
          <w:szCs w:val="24"/>
        </w:rPr>
        <w:t>）具备建筑智能化综合管理平台大数据分析功能，实现建筑设备运行状况分析、智能化子系统联动控制及分析等功能，评价总分值为</w:t>
      </w:r>
      <w:r w:rsidRPr="00135E4F">
        <w:rPr>
          <w:rFonts w:cs="Times New Roman"/>
          <w:b/>
          <w:bCs/>
          <w:szCs w:val="24"/>
        </w:rPr>
        <w:t>5</w:t>
      </w:r>
      <w:r w:rsidRPr="00135E4F">
        <w:rPr>
          <w:rFonts w:cs="Times New Roman"/>
          <w:b/>
          <w:bCs/>
          <w:szCs w:val="24"/>
        </w:rPr>
        <w:t>分。</w:t>
      </w:r>
    </w:p>
    <w:p w14:paraId="7E8ADFF7" w14:textId="77777777" w:rsidR="00076964" w:rsidRPr="00135E4F" w:rsidRDefault="00076964" w:rsidP="00076964">
      <w:pPr>
        <w:ind w:firstLineChars="100" w:firstLine="211"/>
        <w:rPr>
          <w:rFonts w:cs="Times New Roman"/>
          <w:b/>
          <w:bCs/>
          <w:szCs w:val="24"/>
        </w:rPr>
      </w:pPr>
      <w:r w:rsidRPr="00135E4F">
        <w:rPr>
          <w:rFonts w:cs="Times New Roman"/>
          <w:b/>
          <w:bCs/>
          <w:szCs w:val="24"/>
        </w:rPr>
        <w:t>（</w:t>
      </w:r>
      <w:r w:rsidRPr="00135E4F">
        <w:rPr>
          <w:rFonts w:cs="Times New Roman"/>
          <w:b/>
          <w:bCs/>
          <w:szCs w:val="24"/>
        </w:rPr>
        <w:t>2</w:t>
      </w:r>
      <w:r w:rsidRPr="00135E4F">
        <w:rPr>
          <w:rFonts w:cs="Times New Roman"/>
          <w:b/>
          <w:bCs/>
          <w:szCs w:val="24"/>
        </w:rPr>
        <w:t>）支持移动端物业管理，实现移动式巡检、报警管理、故障报修、能耗查询、物料管理、事件管理、班次管理、信息发布、缴费管理等功能，评价总分值</w:t>
      </w:r>
      <w:r w:rsidRPr="00135E4F">
        <w:rPr>
          <w:rFonts w:cs="Times New Roman"/>
          <w:b/>
          <w:bCs/>
          <w:szCs w:val="24"/>
        </w:rPr>
        <w:t>3</w:t>
      </w:r>
      <w:r w:rsidRPr="00135E4F">
        <w:rPr>
          <w:rFonts w:cs="Times New Roman"/>
          <w:b/>
          <w:bCs/>
          <w:szCs w:val="24"/>
        </w:rPr>
        <w:t>分。</w:t>
      </w:r>
    </w:p>
    <w:p w14:paraId="30BF000A" w14:textId="77777777" w:rsidR="00076964" w:rsidRPr="00135E4F" w:rsidRDefault="00076964" w:rsidP="00076964">
      <w:pPr>
        <w:ind w:firstLineChars="100" w:firstLine="211"/>
        <w:rPr>
          <w:rFonts w:cs="Times New Roman"/>
          <w:b/>
          <w:bCs/>
          <w:szCs w:val="24"/>
        </w:rPr>
      </w:pPr>
      <w:r w:rsidRPr="00135E4F">
        <w:rPr>
          <w:rFonts w:cs="Times New Roman"/>
          <w:b/>
          <w:bCs/>
          <w:szCs w:val="24"/>
        </w:rPr>
        <w:t xml:space="preserve">2 </w:t>
      </w:r>
      <w:r w:rsidRPr="00135E4F">
        <w:rPr>
          <w:rFonts w:cs="Times New Roman"/>
          <w:b/>
          <w:bCs/>
          <w:szCs w:val="24"/>
        </w:rPr>
        <w:t>居住建筑通过重庆市智慧小区评价，评分总分值为</w:t>
      </w:r>
      <w:r w:rsidRPr="00135E4F">
        <w:rPr>
          <w:rFonts w:cs="Times New Roman"/>
          <w:b/>
          <w:bCs/>
          <w:szCs w:val="24"/>
        </w:rPr>
        <w:t>8</w:t>
      </w:r>
      <w:r w:rsidRPr="00135E4F">
        <w:rPr>
          <w:rFonts w:cs="Times New Roman"/>
          <w:b/>
          <w:bCs/>
          <w:szCs w:val="24"/>
        </w:rPr>
        <w:t>分，其中：通过重庆市二星级智慧小区评价，得</w:t>
      </w:r>
      <w:r w:rsidRPr="00135E4F">
        <w:rPr>
          <w:rFonts w:cs="Times New Roman"/>
          <w:b/>
          <w:bCs/>
          <w:szCs w:val="24"/>
        </w:rPr>
        <w:t>4</w:t>
      </w:r>
      <w:r w:rsidRPr="00135E4F">
        <w:rPr>
          <w:rFonts w:cs="Times New Roman"/>
          <w:b/>
          <w:bCs/>
          <w:szCs w:val="24"/>
        </w:rPr>
        <w:t>分；通过重庆市三星级智慧小区评价，得</w:t>
      </w:r>
      <w:r w:rsidRPr="00135E4F">
        <w:rPr>
          <w:rFonts w:cs="Times New Roman"/>
          <w:b/>
          <w:bCs/>
          <w:szCs w:val="24"/>
        </w:rPr>
        <w:t>8</w:t>
      </w:r>
      <w:r w:rsidRPr="00135E4F">
        <w:rPr>
          <w:rFonts w:cs="Times New Roman"/>
          <w:b/>
          <w:bCs/>
          <w:szCs w:val="24"/>
        </w:rPr>
        <w:t>分。</w:t>
      </w:r>
    </w:p>
    <w:p w14:paraId="2A715C78"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【条文说明】</w:t>
      </w:r>
    </w:p>
    <w:p w14:paraId="5DAA7161" w14:textId="77777777" w:rsidR="001F1484" w:rsidRPr="00530A11" w:rsidRDefault="001F1484" w:rsidP="001F1484">
      <w:pPr>
        <w:ind w:firstLine="420"/>
        <w:rPr>
          <w:szCs w:val="24"/>
        </w:rPr>
      </w:pPr>
      <w:r w:rsidRPr="00530A11">
        <w:t>本条适用于各类民用建筑的预评价、评价。</w:t>
      </w:r>
    </w:p>
    <w:p w14:paraId="6ECC6D01" w14:textId="77777777" w:rsidR="001F1484" w:rsidRPr="00530A11" w:rsidRDefault="001F1484" w:rsidP="001F1484">
      <w:pPr>
        <w:ind w:firstLine="420"/>
        <w:rPr>
          <w:rFonts w:cs="Times New Roman"/>
        </w:rPr>
      </w:pPr>
      <w:r w:rsidRPr="00530A11">
        <w:rPr>
          <w:rFonts w:cs="Times New Roman"/>
        </w:rPr>
        <w:t>本条为</w:t>
      </w:r>
      <w:r w:rsidRPr="00530A11">
        <w:rPr>
          <w:rFonts w:cs="Times New Roman" w:hint="eastAsia"/>
        </w:rPr>
        <w:t>地标</w:t>
      </w:r>
      <w:r w:rsidRPr="00530A11">
        <w:rPr>
          <w:rFonts w:cs="Times New Roman"/>
        </w:rPr>
        <w:t>新增条文，是对国家《绿色建筑评价标准》</w:t>
      </w:r>
      <w:r w:rsidRPr="00530A11">
        <w:rPr>
          <w:rFonts w:cs="Times New Roman"/>
        </w:rPr>
        <w:t>GB/T 50378-2019</w:t>
      </w:r>
      <w:r w:rsidRPr="00530A11">
        <w:rPr>
          <w:rFonts w:cs="Times New Roman"/>
        </w:rPr>
        <w:t>中</w:t>
      </w:r>
      <w:r w:rsidRPr="00530A11">
        <w:rPr>
          <w:rFonts w:cs="Times New Roman"/>
        </w:rPr>
        <w:t>9.2.10</w:t>
      </w:r>
      <w:r w:rsidRPr="00530A11">
        <w:rPr>
          <w:rFonts w:cs="Times New Roman"/>
        </w:rPr>
        <w:t>条的细化补充</w:t>
      </w:r>
      <w:r w:rsidRPr="00530A11">
        <w:rPr>
          <w:rFonts w:cs="Times New Roman" w:hint="eastAsia"/>
        </w:rPr>
        <w:t>。</w:t>
      </w:r>
    </w:p>
    <w:p w14:paraId="337EA63E" w14:textId="77777777" w:rsidR="001F1484" w:rsidRPr="00530A11" w:rsidRDefault="001F1484" w:rsidP="001F1484">
      <w:pPr>
        <w:ind w:firstLine="420"/>
        <w:rPr>
          <w:rFonts w:cs="Times New Roman"/>
        </w:rPr>
      </w:pPr>
      <w:r w:rsidRPr="00530A11">
        <w:rPr>
          <w:rFonts w:cs="Times New Roman"/>
        </w:rPr>
        <w:t>建筑智慧化程度的提升除了依托基础设施能力的提升以外，还需要依靠运维管理技术与手段的不断创新与发展。传统的建筑运维管理使用的是</w:t>
      </w:r>
      <w:r w:rsidRPr="00530A11">
        <w:rPr>
          <w:rFonts w:cs="Times New Roman"/>
        </w:rPr>
        <w:t>“</w:t>
      </w:r>
      <w:r w:rsidRPr="00530A11">
        <w:rPr>
          <w:rFonts w:cs="Times New Roman"/>
        </w:rPr>
        <w:t>人防</w:t>
      </w:r>
      <w:r w:rsidRPr="00530A11">
        <w:rPr>
          <w:rFonts w:cs="Times New Roman"/>
        </w:rPr>
        <w:t>”</w:t>
      </w:r>
      <w:r w:rsidRPr="00530A11">
        <w:rPr>
          <w:rFonts w:cs="Times New Roman"/>
        </w:rPr>
        <w:t>，通过检查和巡逻岗来保障区域及设备设施的安全，处理问题的效率较低。伴随</w:t>
      </w:r>
      <w:r w:rsidRPr="00530A11">
        <w:rPr>
          <w:rFonts w:cs="Times New Roman"/>
        </w:rPr>
        <w:t>5G</w:t>
      </w:r>
      <w:r w:rsidRPr="00530A11">
        <w:rPr>
          <w:rFonts w:cs="Times New Roman"/>
        </w:rPr>
        <w:t>、物联网、云计算、大数据、人工智能等新兴技术的快速发展，建筑的智慧运维技术和手段也在发生深刻改变。构建基于物联网、云计算、大数据的智慧运维管理平台，实现众多功能各异的机电设备和监控系统的管控一体化，这是建筑运维管理当前的发展趋势。其目的一是减少现场固定的维护人员；二是借助于各智能化系统之间的信息联动，实现设备运行的优化管理；三是提升快速响应与决策能力，提升服务质量。</w:t>
      </w:r>
    </w:p>
    <w:p w14:paraId="1CBC5B23" w14:textId="77777777" w:rsidR="001F1484" w:rsidRPr="00530A11" w:rsidRDefault="001F1484" w:rsidP="001F1484">
      <w:pPr>
        <w:ind w:firstLine="420"/>
        <w:rPr>
          <w:rFonts w:cs="Times New Roman"/>
        </w:rPr>
      </w:pPr>
      <w:r w:rsidRPr="00530A11">
        <w:rPr>
          <w:rFonts w:cs="Times New Roman"/>
        </w:rPr>
        <w:lastRenderedPageBreak/>
        <w:t>第</w:t>
      </w:r>
      <w:r w:rsidRPr="00530A11">
        <w:rPr>
          <w:rFonts w:cs="Times New Roman"/>
        </w:rPr>
        <w:t>1</w:t>
      </w:r>
      <w:r w:rsidRPr="00530A11">
        <w:rPr>
          <w:rFonts w:cs="Times New Roman"/>
        </w:rPr>
        <w:t>款</w:t>
      </w:r>
      <w:r w:rsidRPr="00530A11">
        <w:rPr>
          <w:rFonts w:cs="Times New Roman"/>
        </w:rPr>
        <w:t xml:space="preserve"> </w:t>
      </w:r>
      <w:r w:rsidRPr="00530A11">
        <w:rPr>
          <w:rFonts w:cs="Times New Roman"/>
        </w:rPr>
        <w:t>第一</w:t>
      </w:r>
      <w:r>
        <w:rPr>
          <w:rFonts w:cs="Times New Roman" w:hint="eastAsia"/>
        </w:rPr>
        <w:t>点</w:t>
      </w:r>
      <w:r w:rsidRPr="00530A11">
        <w:rPr>
          <w:rFonts w:cs="Times New Roman" w:hint="eastAsia"/>
        </w:rPr>
        <w:t>基</w:t>
      </w:r>
      <w:r w:rsidRPr="00530A11">
        <w:rPr>
          <w:rFonts w:cs="Times New Roman"/>
        </w:rPr>
        <w:t>于物联网技术采集的大量运维数据通过大数据、人工智能等智能处理技术实现运维数据分析，是提高建筑运维效率、品质的重要途径。建立统一的数据平台得</w:t>
      </w:r>
      <w:r w:rsidRPr="00530A11">
        <w:rPr>
          <w:rFonts w:cs="Times New Roman"/>
        </w:rPr>
        <w:t>2</w:t>
      </w:r>
      <w:r w:rsidRPr="00530A11">
        <w:rPr>
          <w:rFonts w:cs="Times New Roman"/>
        </w:rPr>
        <w:t>分，实现基于</w:t>
      </w:r>
      <w:r w:rsidRPr="00530A11">
        <w:rPr>
          <w:rFonts w:cs="Times New Roman"/>
        </w:rPr>
        <w:t>BIM</w:t>
      </w:r>
      <w:r w:rsidRPr="00530A11">
        <w:rPr>
          <w:rFonts w:cs="Times New Roman"/>
        </w:rPr>
        <w:t>的三维可视化运维得</w:t>
      </w:r>
      <w:r w:rsidRPr="00530A11">
        <w:rPr>
          <w:rFonts w:cs="Times New Roman"/>
        </w:rPr>
        <w:t>1</w:t>
      </w:r>
      <w:r w:rsidRPr="00530A11">
        <w:rPr>
          <w:rFonts w:cs="Times New Roman"/>
        </w:rPr>
        <w:t>分，实现</w:t>
      </w:r>
      <w:r w:rsidRPr="00530A11">
        <w:rPr>
          <w:rFonts w:cs="Times New Roman"/>
        </w:rPr>
        <w:t>1</w:t>
      </w:r>
      <w:r w:rsidRPr="00530A11">
        <w:rPr>
          <w:rFonts w:cs="Times New Roman"/>
        </w:rPr>
        <w:t>类运维大数据分析功能得</w:t>
      </w:r>
      <w:r w:rsidRPr="00530A11">
        <w:rPr>
          <w:rFonts w:cs="Times New Roman"/>
        </w:rPr>
        <w:t>1</w:t>
      </w:r>
      <w:r w:rsidRPr="00530A11">
        <w:rPr>
          <w:rFonts w:cs="Times New Roman"/>
        </w:rPr>
        <w:t>分，满分</w:t>
      </w:r>
      <w:r w:rsidRPr="00530A11">
        <w:rPr>
          <w:rFonts w:cs="Times New Roman"/>
        </w:rPr>
        <w:t>5</w:t>
      </w:r>
      <w:r w:rsidRPr="00530A11">
        <w:rPr>
          <w:rFonts w:cs="Times New Roman"/>
        </w:rPr>
        <w:t>分。</w:t>
      </w:r>
    </w:p>
    <w:p w14:paraId="0101138D" w14:textId="766CD1B1" w:rsidR="001F1484" w:rsidRPr="00530A11" w:rsidRDefault="001F1484" w:rsidP="001F1484">
      <w:pPr>
        <w:ind w:firstLine="420"/>
        <w:rPr>
          <w:rFonts w:cs="Times New Roman"/>
        </w:rPr>
      </w:pPr>
      <w:r w:rsidRPr="00530A11">
        <w:rPr>
          <w:rFonts w:cs="Times New Roman"/>
        </w:rPr>
        <w:t>第</w:t>
      </w:r>
      <w:r w:rsidRPr="00530A11">
        <w:rPr>
          <w:rFonts w:cs="Times New Roman"/>
        </w:rPr>
        <w:t>1</w:t>
      </w:r>
      <w:r w:rsidRPr="00530A11">
        <w:rPr>
          <w:rFonts w:cs="Times New Roman"/>
        </w:rPr>
        <w:t>款</w:t>
      </w:r>
      <w:r w:rsidRPr="00530A11">
        <w:rPr>
          <w:rFonts w:cs="Times New Roman"/>
        </w:rPr>
        <w:t xml:space="preserve"> </w:t>
      </w:r>
      <w:r w:rsidRPr="00530A11">
        <w:rPr>
          <w:rFonts w:cs="Times New Roman"/>
        </w:rPr>
        <w:t>第二</w:t>
      </w:r>
      <w:r>
        <w:rPr>
          <w:rFonts w:cs="Times New Roman" w:hint="eastAsia"/>
        </w:rPr>
        <w:t>点</w:t>
      </w:r>
      <w:r w:rsidRPr="00530A11">
        <w:rPr>
          <w:rFonts w:cs="Times New Roman"/>
        </w:rPr>
        <w:t>移动端物业管理结合</w:t>
      </w:r>
      <w:r w:rsidRPr="00530A11">
        <w:rPr>
          <w:rFonts w:cs="Times New Roman"/>
        </w:rPr>
        <w:t>PAD</w:t>
      </w:r>
      <w:r w:rsidRPr="00530A11">
        <w:rPr>
          <w:rFonts w:cs="Times New Roman"/>
        </w:rPr>
        <w:t>、手机终端实现更高效的运维管理，通过将</w:t>
      </w:r>
      <w:r w:rsidR="00330A9C">
        <w:rPr>
          <w:rFonts w:cs="Times New Roman"/>
        </w:rPr>
        <w:t>“</w:t>
      </w:r>
      <w:r w:rsidRPr="00530A11">
        <w:rPr>
          <w:rFonts w:cs="Times New Roman"/>
        </w:rPr>
        <w:t>现场运维人员</w:t>
      </w:r>
      <w:r w:rsidRPr="00530A11">
        <w:rPr>
          <w:rFonts w:cs="Times New Roman"/>
        </w:rPr>
        <w:t>–</w:t>
      </w:r>
      <w:r w:rsidRPr="00530A11">
        <w:rPr>
          <w:rFonts w:cs="Times New Roman"/>
        </w:rPr>
        <w:t>系统</w:t>
      </w:r>
      <w:r w:rsidRPr="00530A11">
        <w:rPr>
          <w:rFonts w:cs="Times New Roman"/>
        </w:rPr>
        <w:t>–</w:t>
      </w:r>
      <w:r w:rsidRPr="00530A11">
        <w:rPr>
          <w:rFonts w:cs="Times New Roman"/>
        </w:rPr>
        <w:t>工作</w:t>
      </w:r>
      <w:r w:rsidRPr="00530A11">
        <w:rPr>
          <w:rFonts w:cs="Times New Roman"/>
        </w:rPr>
        <w:t>–</w:t>
      </w:r>
      <w:r w:rsidRPr="00530A11">
        <w:rPr>
          <w:rFonts w:cs="Times New Roman"/>
        </w:rPr>
        <w:t>总控中心</w:t>
      </w:r>
      <w:r w:rsidR="00330A9C">
        <w:rPr>
          <w:rFonts w:cs="Times New Roman"/>
        </w:rPr>
        <w:t>”</w:t>
      </w:r>
      <w:r w:rsidRPr="00530A11">
        <w:rPr>
          <w:rFonts w:cs="Times New Roman"/>
        </w:rPr>
        <w:t>有机结合，达成实时信息交互、快速决策审批、无纸化运维的目标。开发出相应移动端智慧物业管理系统得</w:t>
      </w:r>
      <w:r w:rsidRPr="00530A11">
        <w:rPr>
          <w:rFonts w:cs="Times New Roman"/>
        </w:rPr>
        <w:t>1</w:t>
      </w:r>
      <w:r w:rsidRPr="00530A11">
        <w:rPr>
          <w:rFonts w:cs="Times New Roman"/>
        </w:rPr>
        <w:t>分，在移动端物业管理系统上实现</w:t>
      </w:r>
      <w:r w:rsidRPr="00530A11">
        <w:rPr>
          <w:rFonts w:cs="Times New Roman"/>
        </w:rPr>
        <w:t>5</w:t>
      </w:r>
      <w:r w:rsidRPr="00530A11">
        <w:rPr>
          <w:rFonts w:cs="Times New Roman"/>
        </w:rPr>
        <w:t>类智能化物业管理方式得</w:t>
      </w:r>
      <w:r w:rsidRPr="00530A11">
        <w:rPr>
          <w:rFonts w:cs="Times New Roman"/>
        </w:rPr>
        <w:t>1</w:t>
      </w:r>
      <w:r w:rsidRPr="00530A11">
        <w:rPr>
          <w:rFonts w:cs="Times New Roman"/>
        </w:rPr>
        <w:t>分，每增加</w:t>
      </w:r>
      <w:r w:rsidRPr="00530A11">
        <w:rPr>
          <w:rFonts w:cs="Times New Roman"/>
        </w:rPr>
        <w:t>1</w:t>
      </w:r>
      <w:r w:rsidRPr="00530A11">
        <w:rPr>
          <w:rFonts w:cs="Times New Roman"/>
        </w:rPr>
        <w:t>类，得</w:t>
      </w:r>
      <w:r w:rsidRPr="00530A11">
        <w:rPr>
          <w:rFonts w:cs="Times New Roman"/>
        </w:rPr>
        <w:t>1</w:t>
      </w:r>
      <w:r w:rsidRPr="00530A11">
        <w:rPr>
          <w:rFonts w:cs="Times New Roman"/>
        </w:rPr>
        <w:t>分，满分</w:t>
      </w:r>
      <w:r w:rsidRPr="00530A11">
        <w:rPr>
          <w:rFonts w:cs="Times New Roman"/>
        </w:rPr>
        <w:t>3</w:t>
      </w:r>
      <w:r w:rsidRPr="00530A11">
        <w:rPr>
          <w:rFonts w:cs="Times New Roman"/>
        </w:rPr>
        <w:t>分。</w:t>
      </w:r>
    </w:p>
    <w:p w14:paraId="2157C6CA" w14:textId="77777777" w:rsidR="001F1484" w:rsidRPr="00530A11" w:rsidRDefault="001F1484" w:rsidP="001F1484">
      <w:pPr>
        <w:ind w:firstLine="420"/>
        <w:rPr>
          <w:rFonts w:cs="Times New Roman"/>
        </w:rPr>
      </w:pPr>
      <w:r w:rsidRPr="00530A11">
        <w:rPr>
          <w:rFonts w:cs="Times New Roman"/>
        </w:rPr>
        <w:t>第</w:t>
      </w:r>
      <w:r w:rsidRPr="00530A11">
        <w:rPr>
          <w:rFonts w:cs="Times New Roman"/>
        </w:rPr>
        <w:t>2</w:t>
      </w:r>
      <w:r w:rsidRPr="00530A11">
        <w:rPr>
          <w:rFonts w:cs="Times New Roman"/>
        </w:rPr>
        <w:t>款</w:t>
      </w:r>
      <w:r w:rsidRPr="00530A11">
        <w:rPr>
          <w:rFonts w:cs="Times New Roman"/>
        </w:rPr>
        <w:t xml:space="preserve"> </w:t>
      </w:r>
      <w:r w:rsidRPr="00530A11">
        <w:rPr>
          <w:rFonts w:cs="Times New Roman"/>
        </w:rPr>
        <w:t>应按照《智慧小区评价标准》（</w:t>
      </w:r>
      <w:r w:rsidRPr="00530A11">
        <w:rPr>
          <w:rFonts w:cs="Times New Roman"/>
        </w:rPr>
        <w:t>DBJ50T-279-2018</w:t>
      </w:r>
      <w:r w:rsidRPr="00530A11">
        <w:rPr>
          <w:rFonts w:cs="Times New Roman"/>
        </w:rPr>
        <w:t>）要求，通过重庆市智慧小区星级评价并获得评价证书。</w:t>
      </w:r>
      <w:r w:rsidRPr="00530A11">
        <w:rPr>
          <w:rFonts w:cs="Times New Roman"/>
        </w:rPr>
        <w:t xml:space="preserve"> </w:t>
      </w:r>
    </w:p>
    <w:p w14:paraId="3F72008F" w14:textId="77777777" w:rsidR="001F1484" w:rsidRPr="00530A11" w:rsidRDefault="001F1484" w:rsidP="001F1484">
      <w:pPr>
        <w:ind w:firstLine="420"/>
        <w:rPr>
          <w:rFonts w:cs="Times New Roman"/>
          <w:szCs w:val="24"/>
        </w:rPr>
      </w:pPr>
      <w:r w:rsidRPr="00530A11">
        <w:rPr>
          <w:rFonts w:cs="Times New Roman"/>
          <w:szCs w:val="24"/>
        </w:rPr>
        <w:t>本条的评价方法为：</w:t>
      </w:r>
      <w:r w:rsidRPr="00530A11">
        <w:rPr>
          <w:rFonts w:cs="Times New Roman"/>
        </w:rPr>
        <w:t>预评价查阅标识系统设计与设置说明文件（施工图、设计方案等）。</w:t>
      </w:r>
    </w:p>
    <w:p w14:paraId="138C56BD" w14:textId="77777777" w:rsidR="001F1484" w:rsidRDefault="001F1484" w:rsidP="001F1484">
      <w:pPr>
        <w:ind w:firstLine="420"/>
        <w:rPr>
          <w:rFonts w:cs="Times New Roman"/>
        </w:rPr>
      </w:pPr>
      <w:r w:rsidRPr="00530A11">
        <w:rPr>
          <w:rFonts w:cs="Times New Roman"/>
        </w:rPr>
        <w:t>评价查阅预评价涉及内容的竣工文件（竣工图、产品型式检验报告等），还应现场查看相关硬件设备及软件系统运行情况，投入使用的项目尚应查阅管理制度、历史监测数据、运行记录。</w:t>
      </w:r>
    </w:p>
    <w:p w14:paraId="09E8584C" w14:textId="77777777" w:rsidR="001F1484" w:rsidRDefault="001F1484" w:rsidP="001F1484">
      <w:pPr>
        <w:ind w:firstLine="420"/>
        <w:rPr>
          <w:rFonts w:cs="Times New Roman"/>
        </w:rPr>
      </w:pPr>
      <w:r>
        <w:rPr>
          <w:rFonts w:cs="Times New Roman" w:hint="eastAsia"/>
        </w:rPr>
        <w:t>已通过智慧小区评价的项目，提供市建设行政主管部门出具的授予文件或证书，可直接判定相应得分。</w:t>
      </w:r>
    </w:p>
    <w:p w14:paraId="27CBE042" w14:textId="77777777" w:rsidR="00076964" w:rsidRPr="00C01A0F" w:rsidRDefault="00076964" w:rsidP="00076964">
      <w:pPr>
        <w:pStyle w:val="20"/>
      </w:pPr>
      <w:r w:rsidRPr="00C01A0F">
        <w:rPr>
          <w:rFonts w:hint="eastAsia"/>
        </w:rPr>
        <w:t>【评价要点】</w:t>
      </w:r>
    </w:p>
    <w:p w14:paraId="5367096F" w14:textId="77777777" w:rsidR="00076964" w:rsidRPr="00C01A0F" w:rsidRDefault="00076964" w:rsidP="00076964">
      <w:pPr>
        <w:ind w:firstLine="420"/>
        <w:rPr>
          <w:rFonts w:cs="Times New Roman"/>
        </w:rPr>
      </w:pPr>
      <w:r>
        <w:rPr>
          <w:rFonts w:cs="Times New Roman"/>
        </w:rPr>
        <w:t>1.</w:t>
      </w:r>
      <w:r w:rsidRPr="00C01A0F">
        <w:rPr>
          <w:rFonts w:cs="Times New Roman" w:hint="eastAsia"/>
        </w:rPr>
        <w:t>公共建筑应设置智慧运维管理系统，建立统一的数据平台，平台至少应具有能耗监测、设备监控、运维管理、故障报警、资产管理等功能模块。</w:t>
      </w:r>
    </w:p>
    <w:p w14:paraId="32E1CFC6" w14:textId="77777777" w:rsidR="00076964" w:rsidRPr="00C01A0F" w:rsidRDefault="00076964" w:rsidP="00076964">
      <w:pPr>
        <w:ind w:firstLine="420"/>
        <w:rPr>
          <w:rFonts w:cs="Times New Roman"/>
        </w:rPr>
      </w:pPr>
      <w:r w:rsidRPr="00C01A0F">
        <w:rPr>
          <w:rFonts w:cs="Times New Roman" w:hint="eastAsia"/>
        </w:rPr>
        <w:t>运维大数据应能实现主要设备（冷机、锅炉、水泵、冷却塔、风机）能耗数据与运行数据的关联分析。当主要机电设备（冷机、锅炉、水泵、冷却塔、配电箱）发生故障或异常报警时，平台应自动触发相应视频弹屏显示，并可通过平台远程查看现场情况。平台三维可视化应能实时动态呈现设备告警信息及设备参数，快速定位出故障设备。</w:t>
      </w:r>
    </w:p>
    <w:p w14:paraId="1BECC0B7" w14:textId="77777777" w:rsidR="00076964" w:rsidRPr="00C01A0F" w:rsidRDefault="00076964" w:rsidP="00076964">
      <w:pPr>
        <w:ind w:firstLine="420"/>
        <w:rPr>
          <w:rFonts w:cs="Times New Roman"/>
        </w:rPr>
      </w:pPr>
      <w:r>
        <w:rPr>
          <w:rFonts w:cs="Times New Roman"/>
        </w:rPr>
        <w:t>2.</w:t>
      </w:r>
      <w:r w:rsidRPr="00C01A0F">
        <w:rPr>
          <w:rFonts w:cs="Times New Roman" w:hint="eastAsia"/>
        </w:rPr>
        <w:t>公共建筑应开发出相应移动端智慧物业管理系统，实现功能至少应包括移动巡检、报警管理、故障报修、能耗查询、物料管理、事件管理、班次管理、信息发布、缴费管理中的五类。</w:t>
      </w:r>
    </w:p>
    <w:p w14:paraId="64A9E187" w14:textId="77777777" w:rsidR="00076964" w:rsidRPr="00530A11" w:rsidRDefault="00076964" w:rsidP="00076964">
      <w:pPr>
        <w:ind w:firstLine="420"/>
        <w:rPr>
          <w:rFonts w:cs="Times New Roman"/>
        </w:rPr>
      </w:pPr>
      <w:r>
        <w:rPr>
          <w:rFonts w:cs="Times New Roman"/>
        </w:rPr>
        <w:t>3.</w:t>
      </w:r>
      <w:r w:rsidRPr="00C01A0F">
        <w:rPr>
          <w:rFonts w:cs="Times New Roman" w:hint="eastAsia"/>
        </w:rPr>
        <w:t>居住建筑应取得重庆市智慧小区星级评价证书。</w:t>
      </w:r>
    </w:p>
    <w:p w14:paraId="643DE8F5" w14:textId="77777777" w:rsidR="00076964" w:rsidRPr="0081478A" w:rsidRDefault="00076964" w:rsidP="00076964">
      <w:pPr>
        <w:pStyle w:val="20"/>
        <w:rPr>
          <w:rFonts w:ascii="Times New Roman" w:hAnsi="Times New Roman" w:cs="Times New Roman"/>
          <w:color w:val="auto"/>
        </w:rPr>
      </w:pPr>
      <w:r w:rsidRPr="0081478A">
        <w:rPr>
          <w:rFonts w:ascii="Times New Roman" w:hAnsi="Times New Roman" w:cs="Times New Roman"/>
          <w:color w:val="auto"/>
        </w:rPr>
        <w:t>【评价方法】</w:t>
      </w:r>
    </w:p>
    <w:p w14:paraId="361EF4F1" w14:textId="77777777" w:rsidR="00076964" w:rsidRPr="00530A11" w:rsidRDefault="00076964" w:rsidP="00076964">
      <w:pPr>
        <w:ind w:firstLine="420"/>
        <w:rPr>
          <w:rFonts w:cs="Times New Roman"/>
          <w:szCs w:val="24"/>
        </w:rPr>
      </w:pPr>
      <w:r w:rsidRPr="00530A11">
        <w:rPr>
          <w:rFonts w:cs="Times New Roman"/>
        </w:rPr>
        <w:t>预评价查阅标识系统设计与设置说明文件（施工图、设计方案等）。</w:t>
      </w:r>
    </w:p>
    <w:p w14:paraId="5CA797A4" w14:textId="77777777" w:rsidR="00076964" w:rsidRDefault="00076964" w:rsidP="00076964">
      <w:pPr>
        <w:ind w:firstLine="420"/>
        <w:rPr>
          <w:rFonts w:cs="Times New Roman"/>
        </w:rPr>
      </w:pPr>
      <w:r w:rsidRPr="00530A11">
        <w:rPr>
          <w:rFonts w:cs="Times New Roman"/>
        </w:rPr>
        <w:t>评价查阅预评价涉及内容的竣工文件（竣工图、产品型式检验报告等），还应现场查看</w:t>
      </w:r>
      <w:r w:rsidRPr="00530A11">
        <w:rPr>
          <w:rFonts w:cs="Times New Roman"/>
        </w:rPr>
        <w:lastRenderedPageBreak/>
        <w:t>相关硬件设备及软件系统运行情况，投入使用的项目尚应查阅管理制度、历史监测数据、运行记录。</w:t>
      </w:r>
    </w:p>
    <w:p w14:paraId="24716378" w14:textId="77777777" w:rsidR="00076964" w:rsidRDefault="00076964" w:rsidP="00076964">
      <w:pPr>
        <w:ind w:firstLine="420"/>
        <w:rPr>
          <w:rFonts w:cs="Times New Roman"/>
        </w:rPr>
      </w:pPr>
      <w:bookmarkStart w:id="233" w:name="_Hlk36290944"/>
      <w:r>
        <w:rPr>
          <w:rFonts w:cs="Times New Roman" w:hint="eastAsia"/>
        </w:rPr>
        <w:t>已通过智慧小区评价的项目，提供市建设行政主管部门出具的授予文件或证书，可直接判定相应得分。</w:t>
      </w:r>
    </w:p>
    <w:bookmarkEnd w:id="233"/>
    <w:p w14:paraId="2D01B3DC" w14:textId="77777777" w:rsidR="00076964" w:rsidRPr="009F3CB2" w:rsidRDefault="00076964" w:rsidP="00076964">
      <w:pPr>
        <w:ind w:firstLine="420"/>
        <w:rPr>
          <w:rFonts w:cs="Times New Roman"/>
        </w:rPr>
      </w:pPr>
    </w:p>
    <w:p w14:paraId="51B17787" w14:textId="77777777" w:rsidR="00550EBF" w:rsidRPr="0058406B" w:rsidRDefault="00550EBF" w:rsidP="00550EBF">
      <w:pPr>
        <w:pStyle w:val="4"/>
      </w:pPr>
      <w:bookmarkStart w:id="234" w:name="_Hlk25681082"/>
      <w:r w:rsidRPr="0058406B">
        <w:t xml:space="preserve">9.2.13 </w:t>
      </w:r>
      <w:r w:rsidRPr="0058406B">
        <w:t>使用高星级绿色建材，评价总分值为</w:t>
      </w:r>
      <w:r w:rsidRPr="0058406B">
        <w:t>8</w:t>
      </w:r>
      <w:r w:rsidRPr="0058406B">
        <w:t>分。</w:t>
      </w:r>
    </w:p>
    <w:p w14:paraId="20436191" w14:textId="77777777" w:rsidR="00550EBF" w:rsidRPr="00135E4F" w:rsidRDefault="00550EBF" w:rsidP="00550EBF">
      <w:pPr>
        <w:ind w:firstLineChars="100" w:firstLine="211"/>
        <w:rPr>
          <w:rFonts w:ascii="宋体" w:hAnsi="宋体" w:cs="Times New Roman"/>
          <w:b/>
          <w:bCs/>
          <w:color w:val="000000"/>
          <w:szCs w:val="24"/>
        </w:rPr>
      </w:pPr>
      <w:r w:rsidRPr="00135E4F">
        <w:rPr>
          <w:rFonts w:cs="Times New Roman"/>
          <w:b/>
          <w:bCs/>
          <w:color w:val="000000"/>
          <w:szCs w:val="24"/>
        </w:rPr>
        <w:t xml:space="preserve">1 </w:t>
      </w:r>
      <w:r w:rsidRPr="00135E4F">
        <w:rPr>
          <w:rFonts w:cs="Times New Roman" w:hint="eastAsia"/>
          <w:b/>
          <w:bCs/>
          <w:color w:val="000000"/>
          <w:szCs w:val="24"/>
        </w:rPr>
        <w:t>单类绿色建材示范基地二、三星级绿色建材应用比例不低于</w:t>
      </w:r>
      <w:r w:rsidRPr="00135E4F">
        <w:rPr>
          <w:rFonts w:cs="Times New Roman"/>
          <w:b/>
          <w:bCs/>
          <w:color w:val="000000"/>
          <w:szCs w:val="24"/>
        </w:rPr>
        <w:t>80%</w:t>
      </w:r>
      <w:r w:rsidRPr="00135E4F">
        <w:rPr>
          <w:rFonts w:cs="Times New Roman" w:hint="eastAsia"/>
          <w:b/>
          <w:bCs/>
          <w:color w:val="000000"/>
          <w:szCs w:val="24"/>
        </w:rPr>
        <w:t>；且满足此要求的绿色建材种类达到</w:t>
      </w:r>
      <w:r w:rsidRPr="00135E4F">
        <w:rPr>
          <w:rFonts w:cs="Times New Roman"/>
          <w:b/>
          <w:bCs/>
          <w:color w:val="000000"/>
          <w:szCs w:val="24"/>
        </w:rPr>
        <w:t>3</w:t>
      </w:r>
      <w:r w:rsidRPr="00135E4F">
        <w:rPr>
          <w:rFonts w:cs="Times New Roman" w:hint="eastAsia"/>
          <w:b/>
          <w:bCs/>
          <w:color w:val="000000"/>
          <w:szCs w:val="24"/>
        </w:rPr>
        <w:t>类得</w:t>
      </w:r>
      <w:r w:rsidRPr="00135E4F">
        <w:rPr>
          <w:rFonts w:cs="Times New Roman"/>
          <w:b/>
          <w:bCs/>
          <w:color w:val="000000"/>
          <w:szCs w:val="24"/>
        </w:rPr>
        <w:t>4</w:t>
      </w:r>
      <w:r w:rsidRPr="00135E4F">
        <w:rPr>
          <w:rFonts w:cs="Times New Roman" w:hint="eastAsia"/>
          <w:b/>
          <w:bCs/>
          <w:color w:val="000000"/>
          <w:szCs w:val="24"/>
        </w:rPr>
        <w:t>分；达到</w:t>
      </w:r>
      <w:r w:rsidRPr="00135E4F">
        <w:rPr>
          <w:rFonts w:cs="Times New Roman"/>
          <w:b/>
          <w:bCs/>
          <w:color w:val="000000"/>
          <w:szCs w:val="24"/>
        </w:rPr>
        <w:t>6</w:t>
      </w:r>
      <w:r w:rsidRPr="00135E4F">
        <w:rPr>
          <w:rFonts w:cs="Times New Roman" w:hint="eastAsia"/>
          <w:b/>
          <w:bCs/>
          <w:color w:val="000000"/>
          <w:szCs w:val="24"/>
        </w:rPr>
        <w:t>类得</w:t>
      </w:r>
      <w:r w:rsidRPr="00135E4F">
        <w:rPr>
          <w:rFonts w:cs="Times New Roman"/>
          <w:b/>
          <w:bCs/>
          <w:color w:val="000000"/>
          <w:szCs w:val="24"/>
        </w:rPr>
        <w:t>8</w:t>
      </w:r>
      <w:r w:rsidRPr="00135E4F">
        <w:rPr>
          <w:rFonts w:cs="Times New Roman" w:hint="eastAsia"/>
          <w:b/>
          <w:bCs/>
          <w:color w:val="000000"/>
          <w:szCs w:val="24"/>
        </w:rPr>
        <w:t>分。</w:t>
      </w:r>
    </w:p>
    <w:p w14:paraId="5402C440" w14:textId="77777777" w:rsidR="00550EBF" w:rsidRPr="00135E4F" w:rsidRDefault="00550EBF" w:rsidP="00550EBF">
      <w:pPr>
        <w:ind w:firstLineChars="100" w:firstLine="211"/>
        <w:rPr>
          <w:rFonts w:ascii="宋体" w:hAnsi="宋体" w:cs="Times New Roman"/>
          <w:b/>
          <w:bCs/>
          <w:color w:val="000000"/>
          <w:szCs w:val="24"/>
        </w:rPr>
      </w:pPr>
      <w:r w:rsidRPr="00135E4F">
        <w:rPr>
          <w:rFonts w:cs="Times New Roman"/>
          <w:b/>
          <w:bCs/>
          <w:color w:val="000000"/>
          <w:szCs w:val="24"/>
        </w:rPr>
        <w:t xml:space="preserve">2 </w:t>
      </w:r>
      <w:r w:rsidRPr="00135E4F">
        <w:rPr>
          <w:rFonts w:cs="Times New Roman" w:hint="eastAsia"/>
          <w:b/>
          <w:bCs/>
          <w:color w:val="000000"/>
          <w:szCs w:val="24"/>
        </w:rPr>
        <w:t>单类三星级绿色建材应用比例不低于</w:t>
      </w:r>
      <w:r w:rsidRPr="00135E4F">
        <w:rPr>
          <w:rFonts w:cs="Times New Roman"/>
          <w:b/>
          <w:bCs/>
          <w:color w:val="000000"/>
          <w:szCs w:val="24"/>
        </w:rPr>
        <w:t>80%</w:t>
      </w:r>
      <w:r w:rsidRPr="00135E4F">
        <w:rPr>
          <w:rFonts w:cs="Times New Roman" w:hint="eastAsia"/>
          <w:b/>
          <w:bCs/>
          <w:color w:val="000000"/>
          <w:szCs w:val="24"/>
        </w:rPr>
        <w:t>；且满足此要求的绿色建材种类达到</w:t>
      </w:r>
      <w:r w:rsidRPr="00135E4F">
        <w:rPr>
          <w:rFonts w:cs="Times New Roman"/>
          <w:b/>
          <w:bCs/>
          <w:color w:val="000000"/>
          <w:szCs w:val="24"/>
        </w:rPr>
        <w:t>3</w:t>
      </w:r>
      <w:r w:rsidRPr="00135E4F">
        <w:rPr>
          <w:rFonts w:cs="Times New Roman" w:hint="eastAsia"/>
          <w:b/>
          <w:bCs/>
          <w:color w:val="000000"/>
          <w:szCs w:val="24"/>
        </w:rPr>
        <w:t>类得</w:t>
      </w:r>
      <w:r w:rsidRPr="00135E4F">
        <w:rPr>
          <w:rFonts w:cs="Times New Roman"/>
          <w:b/>
          <w:bCs/>
          <w:color w:val="000000"/>
          <w:szCs w:val="24"/>
        </w:rPr>
        <w:t>4</w:t>
      </w:r>
      <w:r w:rsidRPr="00135E4F">
        <w:rPr>
          <w:rFonts w:cs="Times New Roman" w:hint="eastAsia"/>
          <w:b/>
          <w:bCs/>
          <w:color w:val="000000"/>
          <w:szCs w:val="24"/>
        </w:rPr>
        <w:t>分；达到</w:t>
      </w:r>
      <w:r w:rsidRPr="00135E4F">
        <w:rPr>
          <w:rFonts w:cs="Times New Roman"/>
          <w:b/>
          <w:bCs/>
          <w:color w:val="000000"/>
          <w:szCs w:val="24"/>
        </w:rPr>
        <w:t>6</w:t>
      </w:r>
      <w:r w:rsidRPr="00135E4F">
        <w:rPr>
          <w:rFonts w:cs="Times New Roman" w:hint="eastAsia"/>
          <w:b/>
          <w:bCs/>
          <w:color w:val="000000"/>
          <w:szCs w:val="24"/>
        </w:rPr>
        <w:t>类得</w:t>
      </w:r>
      <w:r w:rsidRPr="00135E4F">
        <w:rPr>
          <w:rFonts w:cs="Times New Roman"/>
          <w:b/>
          <w:bCs/>
          <w:color w:val="000000"/>
          <w:szCs w:val="24"/>
        </w:rPr>
        <w:t>8</w:t>
      </w:r>
      <w:r w:rsidRPr="00135E4F">
        <w:rPr>
          <w:rFonts w:cs="Times New Roman" w:hint="eastAsia"/>
          <w:b/>
          <w:bCs/>
          <w:color w:val="000000"/>
          <w:szCs w:val="24"/>
        </w:rPr>
        <w:t>分。</w:t>
      </w:r>
      <w:bookmarkEnd w:id="234"/>
    </w:p>
    <w:p w14:paraId="092FBD85" w14:textId="77777777" w:rsidR="00550EBF" w:rsidRPr="0081478A" w:rsidRDefault="00550EBF" w:rsidP="00550EBF">
      <w:pPr>
        <w:pStyle w:val="20"/>
      </w:pPr>
      <w:r w:rsidRPr="0081478A">
        <w:t>【条文说明】</w:t>
      </w:r>
    </w:p>
    <w:p w14:paraId="0B65BD01" w14:textId="77777777" w:rsidR="001F1484" w:rsidRDefault="001F1484" w:rsidP="001F1484">
      <w:pPr>
        <w:ind w:firstLine="420"/>
      </w:pPr>
      <w:r>
        <w:rPr>
          <w:rFonts w:hint="eastAsia"/>
        </w:rPr>
        <w:t>本条为本标准</w:t>
      </w:r>
      <w:r>
        <w:rPr>
          <w:rFonts w:hint="eastAsia"/>
        </w:rPr>
        <w:t>7.2.19</w:t>
      </w:r>
      <w:r>
        <w:rPr>
          <w:rFonts w:hint="eastAsia"/>
        </w:rPr>
        <w:t>基础上的提高要求，是对国家《绿色建筑评价标准》</w:t>
      </w:r>
      <w:r>
        <w:rPr>
          <w:rFonts w:hint="eastAsia"/>
        </w:rPr>
        <w:t>GB/T 50378-2019</w:t>
      </w:r>
      <w:r>
        <w:rPr>
          <w:rFonts w:hint="eastAsia"/>
        </w:rPr>
        <w:t>中</w:t>
      </w:r>
      <w:r>
        <w:rPr>
          <w:rFonts w:hint="eastAsia"/>
        </w:rPr>
        <w:t>9.2.10</w:t>
      </w:r>
      <w:r>
        <w:rPr>
          <w:rFonts w:hint="eastAsia"/>
        </w:rPr>
        <w:t>条的细化补充，本条文中的高星级绿色建材是指通过重庆市住房和城乡建设委员会认定的我市绿色建材示范基地的二、三星级绿色建材或国家及我市评价认证的三星级绿色建材。</w:t>
      </w:r>
    </w:p>
    <w:p w14:paraId="591074AD" w14:textId="77777777" w:rsidR="001F1484" w:rsidRDefault="001F1484" w:rsidP="001F1484">
      <w:pPr>
        <w:ind w:firstLine="420"/>
      </w:pPr>
      <w:r>
        <w:rPr>
          <w:rFonts w:hint="eastAsia"/>
        </w:rPr>
        <w:t>旨在严格贯彻落实国家推动绿色建材产品评价认证与应用的有关政策要求，依据国家住房和城乡建设部、工业和信息化部出台的《绿色建材评价标识管理办法》、《促进绿色建材生产和应用行动方案》、《市场监管总局办公厅</w:t>
      </w:r>
      <w:r>
        <w:rPr>
          <w:rFonts w:hint="eastAsia"/>
        </w:rPr>
        <w:t xml:space="preserve">  </w:t>
      </w:r>
      <w:r>
        <w:rPr>
          <w:rFonts w:hint="eastAsia"/>
        </w:rPr>
        <w:t>住房和城乡建设部办公厅</w:t>
      </w:r>
      <w:r>
        <w:rPr>
          <w:rFonts w:hint="eastAsia"/>
        </w:rPr>
        <w:t xml:space="preserve">  </w:t>
      </w:r>
      <w:r>
        <w:rPr>
          <w:rFonts w:hint="eastAsia"/>
        </w:rPr>
        <w:t>工业和信息化部办公厅关于印发绿色建材产品认证实施方案的通知》及重庆市出台的《绿色建材评价标识管理办法》与绿色建材推广应用专项方案等系列文件，鼓励绿色建筑使用我市绿色建材示范基地的绿色建材产品或国家及我市评价认定的高星级绿色建材产品，发挥绿色建材行业龙头企业的引领作用，助推传统建材行业转型升级，有力支撑绿色建筑发展。</w:t>
      </w:r>
    </w:p>
    <w:p w14:paraId="6758FC38" w14:textId="77777777" w:rsidR="001F1484" w:rsidRDefault="001F1484" w:rsidP="001F1484">
      <w:pPr>
        <w:ind w:firstLine="420"/>
      </w:pPr>
      <w:r>
        <w:rPr>
          <w:rFonts w:hint="eastAsia"/>
        </w:rPr>
        <w:t>单类绿色建材的应用比例根据下式计算：</w:t>
      </w:r>
    </w:p>
    <w:p w14:paraId="5BD0D559" w14:textId="77777777" w:rsidR="001F1484" w:rsidRDefault="001F1484" w:rsidP="001F1484">
      <w:pPr>
        <w:ind w:firstLine="420"/>
        <w:jc w:val="center"/>
      </w:pPr>
      <w:r>
        <w:rPr>
          <w:rFonts w:hint="eastAsia"/>
        </w:rPr>
        <w:t>P=N/M*100%</w:t>
      </w:r>
    </w:p>
    <w:p w14:paraId="75958B79" w14:textId="77777777" w:rsidR="001F1484" w:rsidRDefault="001F1484" w:rsidP="001F1484">
      <w:pPr>
        <w:ind w:firstLine="420"/>
      </w:pPr>
      <w:r>
        <w:rPr>
          <w:rFonts w:hint="eastAsia"/>
        </w:rPr>
        <w:t>N</w:t>
      </w:r>
      <w:r>
        <w:rPr>
          <w:rFonts w:hint="eastAsia"/>
        </w:rPr>
        <w:t>—参评范围内本类建材中重庆市绿色建材示范基地的二、三星级绿色建材应用量或非重庆市绿色</w:t>
      </w:r>
      <w:r>
        <w:t>建材示范基地</w:t>
      </w:r>
      <w:r>
        <w:rPr>
          <w:rFonts w:hint="eastAsia"/>
        </w:rPr>
        <w:t>三星级绿色建材应用量。</w:t>
      </w:r>
    </w:p>
    <w:p w14:paraId="0514A07D" w14:textId="77777777" w:rsidR="001F1484" w:rsidRDefault="001F1484" w:rsidP="001F1484">
      <w:pPr>
        <w:ind w:firstLine="420"/>
      </w:pPr>
      <w:r>
        <w:rPr>
          <w:rFonts w:hint="eastAsia"/>
        </w:rPr>
        <w:t>M</w:t>
      </w:r>
      <w:r>
        <w:rPr>
          <w:rFonts w:hint="eastAsia"/>
        </w:rPr>
        <w:t>—参评范围内本类建材应用总量。</w:t>
      </w:r>
    </w:p>
    <w:p w14:paraId="035D94E2" w14:textId="77777777" w:rsidR="001F1484" w:rsidRDefault="001F1484" w:rsidP="001F1484">
      <w:pPr>
        <w:ind w:firstLine="420"/>
      </w:pPr>
      <w:r>
        <w:rPr>
          <w:rFonts w:hint="eastAsia"/>
        </w:rPr>
        <w:t>计算单位同</w:t>
      </w:r>
      <w:r>
        <w:rPr>
          <w:rFonts w:hint="eastAsia"/>
        </w:rPr>
        <w:t>7.2.19</w:t>
      </w:r>
      <w:r>
        <w:rPr>
          <w:rFonts w:hint="eastAsia"/>
        </w:rPr>
        <w:t>条表</w:t>
      </w:r>
      <w:r>
        <w:rPr>
          <w:rFonts w:hint="eastAsia"/>
        </w:rPr>
        <w:t>3</w:t>
      </w:r>
      <w:r>
        <w:rPr>
          <w:rFonts w:hint="eastAsia"/>
        </w:rPr>
        <w:t>所示。</w:t>
      </w:r>
    </w:p>
    <w:p w14:paraId="268AFBE4" w14:textId="77777777" w:rsidR="00550EBF" w:rsidRPr="0081478A" w:rsidRDefault="00550EBF" w:rsidP="00550EBF">
      <w:pPr>
        <w:pStyle w:val="20"/>
      </w:pPr>
      <w:r w:rsidRPr="0081478A">
        <w:t>【评价</w:t>
      </w:r>
      <w:r>
        <w:rPr>
          <w:rFonts w:hint="eastAsia"/>
        </w:rPr>
        <w:t>要点</w:t>
      </w:r>
      <w:r w:rsidRPr="0081478A">
        <w:t>】</w:t>
      </w:r>
    </w:p>
    <w:p w14:paraId="3CEE2E46" w14:textId="77777777" w:rsidR="00550EBF" w:rsidRDefault="00550EBF" w:rsidP="00550EBF">
      <w:pPr>
        <w:ind w:firstLine="420"/>
        <w:rPr>
          <w:rFonts w:cs="Times New Roman"/>
          <w:szCs w:val="24"/>
        </w:rPr>
      </w:pPr>
      <w:r>
        <w:rPr>
          <w:rFonts w:cs="Times New Roman" w:hint="eastAsia"/>
          <w:szCs w:val="24"/>
        </w:rPr>
        <w:t>本条第</w:t>
      </w:r>
      <w:r>
        <w:rPr>
          <w:rFonts w:cs="Times New Roman" w:hint="eastAsia"/>
          <w:szCs w:val="24"/>
        </w:rPr>
        <w:t>1</w:t>
      </w:r>
      <w:r>
        <w:rPr>
          <w:rFonts w:cs="Times New Roman" w:hint="eastAsia"/>
          <w:szCs w:val="24"/>
        </w:rPr>
        <w:t>款或第</w:t>
      </w:r>
      <w:r>
        <w:rPr>
          <w:rFonts w:cs="Times New Roman" w:hint="eastAsia"/>
          <w:szCs w:val="24"/>
        </w:rPr>
        <w:t>2</w:t>
      </w:r>
      <w:r>
        <w:rPr>
          <w:rFonts w:cs="Times New Roman" w:hint="eastAsia"/>
          <w:szCs w:val="24"/>
        </w:rPr>
        <w:t>款的评分要求分别是，满足单类建材中使用重庆市绿色建材示范基地</w:t>
      </w:r>
      <w:r>
        <w:rPr>
          <w:rFonts w:cs="Times New Roman" w:hint="eastAsia"/>
          <w:szCs w:val="24"/>
        </w:rPr>
        <w:lastRenderedPageBreak/>
        <w:t>的二、三星级该类绿色建材或非重庆市绿色建材示范基地的三星级该类绿色建材的应用比例≥</w:t>
      </w:r>
      <w:r>
        <w:rPr>
          <w:rFonts w:cs="Times New Roman" w:hint="eastAsia"/>
          <w:szCs w:val="24"/>
        </w:rPr>
        <w:t>80%</w:t>
      </w:r>
      <w:r>
        <w:rPr>
          <w:rFonts w:cs="Times New Roman" w:hint="eastAsia"/>
          <w:szCs w:val="24"/>
        </w:rPr>
        <w:t>，且满足此条件的单类建材不少于</w:t>
      </w:r>
      <w:r>
        <w:rPr>
          <w:rFonts w:cs="Times New Roman" w:hint="eastAsia"/>
          <w:szCs w:val="24"/>
        </w:rPr>
        <w:t>3</w:t>
      </w:r>
      <w:r>
        <w:rPr>
          <w:rFonts w:cs="Times New Roman" w:hint="eastAsia"/>
          <w:szCs w:val="24"/>
        </w:rPr>
        <w:t>类且</w:t>
      </w:r>
      <w:r>
        <w:rPr>
          <w:rFonts w:cs="Times New Roman"/>
          <w:szCs w:val="24"/>
        </w:rPr>
        <w:t>小于</w:t>
      </w:r>
      <w:r>
        <w:rPr>
          <w:rFonts w:cs="Times New Roman" w:hint="eastAsia"/>
          <w:szCs w:val="24"/>
        </w:rPr>
        <w:t>6</w:t>
      </w:r>
      <w:r>
        <w:rPr>
          <w:rFonts w:cs="Times New Roman" w:hint="eastAsia"/>
          <w:szCs w:val="24"/>
        </w:rPr>
        <w:t>类的得</w:t>
      </w:r>
      <w:r>
        <w:rPr>
          <w:rFonts w:cs="Times New Roman" w:hint="eastAsia"/>
          <w:szCs w:val="24"/>
        </w:rPr>
        <w:t>3</w:t>
      </w:r>
      <w:r>
        <w:rPr>
          <w:rFonts w:cs="Times New Roman" w:hint="eastAsia"/>
          <w:szCs w:val="24"/>
        </w:rPr>
        <w:t>分，不少于</w:t>
      </w:r>
      <w:r>
        <w:rPr>
          <w:rFonts w:cs="Times New Roman" w:hint="eastAsia"/>
          <w:szCs w:val="24"/>
        </w:rPr>
        <w:t>6</w:t>
      </w:r>
      <w:r>
        <w:rPr>
          <w:rFonts w:cs="Times New Roman" w:hint="eastAsia"/>
          <w:szCs w:val="24"/>
        </w:rPr>
        <w:t>类的得</w:t>
      </w:r>
      <w:r>
        <w:rPr>
          <w:rFonts w:cs="Times New Roman" w:hint="eastAsia"/>
          <w:szCs w:val="24"/>
        </w:rPr>
        <w:t>8</w:t>
      </w:r>
      <w:r>
        <w:rPr>
          <w:rFonts w:cs="Times New Roman" w:hint="eastAsia"/>
          <w:szCs w:val="24"/>
        </w:rPr>
        <w:t>分，否则不得分。本条评价总得分的计算要求是，将第</w:t>
      </w:r>
      <w:r>
        <w:rPr>
          <w:rFonts w:cs="Times New Roman" w:hint="eastAsia"/>
          <w:szCs w:val="24"/>
        </w:rPr>
        <w:t>1</w:t>
      </w:r>
      <w:r>
        <w:rPr>
          <w:rFonts w:cs="Times New Roman" w:hint="eastAsia"/>
          <w:szCs w:val="24"/>
        </w:rPr>
        <w:t>款和第</w:t>
      </w:r>
      <w:r>
        <w:rPr>
          <w:rFonts w:cs="Times New Roman" w:hint="eastAsia"/>
          <w:szCs w:val="24"/>
        </w:rPr>
        <w:t>2</w:t>
      </w:r>
      <w:r>
        <w:rPr>
          <w:rFonts w:cs="Times New Roman"/>
          <w:szCs w:val="24"/>
        </w:rPr>
        <w:t>款</w:t>
      </w:r>
      <w:r>
        <w:rPr>
          <w:rFonts w:cs="Times New Roman" w:hint="eastAsia"/>
          <w:szCs w:val="24"/>
        </w:rPr>
        <w:t>的得分累加</w:t>
      </w:r>
      <w:r>
        <w:rPr>
          <w:rFonts w:cs="Times New Roman"/>
          <w:szCs w:val="24"/>
        </w:rPr>
        <w:t>计算，</w:t>
      </w:r>
      <w:r>
        <w:rPr>
          <w:rFonts w:cs="Times New Roman" w:hint="eastAsia"/>
          <w:szCs w:val="24"/>
        </w:rPr>
        <w:t>但总分值</w:t>
      </w:r>
      <w:r>
        <w:rPr>
          <w:rFonts w:cs="Times New Roman"/>
          <w:szCs w:val="24"/>
        </w:rPr>
        <w:t>不能超过</w:t>
      </w:r>
      <w:r>
        <w:rPr>
          <w:rFonts w:cs="Times New Roman" w:hint="eastAsia"/>
          <w:szCs w:val="24"/>
        </w:rPr>
        <w:t>8</w:t>
      </w:r>
      <w:r>
        <w:rPr>
          <w:rFonts w:cs="Times New Roman" w:hint="eastAsia"/>
          <w:szCs w:val="24"/>
        </w:rPr>
        <w:t>分。</w:t>
      </w:r>
    </w:p>
    <w:p w14:paraId="1872021B" w14:textId="77777777" w:rsidR="00550EBF" w:rsidRDefault="00550EBF" w:rsidP="00550EBF">
      <w:pPr>
        <w:ind w:firstLine="420"/>
        <w:rPr>
          <w:rFonts w:cs="Times New Roman"/>
          <w:szCs w:val="24"/>
        </w:rPr>
      </w:pPr>
      <w:r>
        <w:rPr>
          <w:rFonts w:cs="Times New Roman" w:hint="eastAsia"/>
          <w:szCs w:val="24"/>
        </w:rPr>
        <w:t>1</w:t>
      </w:r>
      <w:r>
        <w:rPr>
          <w:rFonts w:cs="Times New Roman" w:hint="eastAsia"/>
          <w:szCs w:val="24"/>
        </w:rPr>
        <w:t>）高星级绿色建材的判定要求。二星级及以上绿色建材必须出具国家或我市颁发的绿色建材标识证书，对重庆市绿色建材示范基地绿色建材产品还应出具重庆市住房和城乡建设委员会颁发的授予文件或证书。</w:t>
      </w:r>
    </w:p>
    <w:p w14:paraId="68C79501" w14:textId="77777777" w:rsidR="00550EBF" w:rsidRDefault="00550EBF" w:rsidP="00550EBF">
      <w:pPr>
        <w:ind w:firstLine="420"/>
        <w:rPr>
          <w:rFonts w:cs="Times New Roman"/>
          <w:szCs w:val="24"/>
        </w:rPr>
      </w:pPr>
      <w:r>
        <w:rPr>
          <w:rFonts w:cs="Times New Roman" w:hint="eastAsia"/>
          <w:szCs w:val="24"/>
        </w:rPr>
        <w:t>2</w:t>
      </w:r>
      <w:r>
        <w:rPr>
          <w:rFonts w:cs="Times New Roman" w:hint="eastAsia"/>
          <w:szCs w:val="24"/>
        </w:rPr>
        <w:t>）单类绿色建材应用比例的计算要求。首先确定单类建材应用总量与该类建材中</w:t>
      </w:r>
      <w:r>
        <w:rPr>
          <w:rFonts w:cs="Times New Roman"/>
          <w:szCs w:val="24"/>
        </w:rPr>
        <w:t>重庆市绿色</w:t>
      </w:r>
      <w:r>
        <w:rPr>
          <w:rFonts w:cs="Times New Roman" w:hint="eastAsia"/>
          <w:szCs w:val="24"/>
        </w:rPr>
        <w:t>建材</w:t>
      </w:r>
      <w:r>
        <w:rPr>
          <w:rFonts w:cs="Times New Roman"/>
          <w:szCs w:val="24"/>
        </w:rPr>
        <w:t>示范基地的</w:t>
      </w:r>
      <w:r>
        <w:rPr>
          <w:rFonts w:hint="eastAsia"/>
        </w:rPr>
        <w:t>二、三星级绿色建材应用量或非重庆市</w:t>
      </w:r>
      <w:r>
        <w:t>绿色建材示范基地</w:t>
      </w:r>
      <w:r>
        <w:rPr>
          <w:rFonts w:hint="eastAsia"/>
        </w:rPr>
        <w:t>的三星级绿色建材应用量</w:t>
      </w:r>
      <w:r>
        <w:rPr>
          <w:rFonts w:cs="Times New Roman" w:hint="eastAsia"/>
          <w:szCs w:val="24"/>
        </w:rPr>
        <w:t>。在预评价阶段，参</w:t>
      </w:r>
      <w:r>
        <w:rPr>
          <w:rFonts w:cs="Times New Roman"/>
          <w:szCs w:val="24"/>
        </w:rPr>
        <w:t>评范围内</w:t>
      </w:r>
      <w:r>
        <w:rPr>
          <w:rFonts w:cs="Times New Roman" w:hint="eastAsia"/>
          <w:szCs w:val="24"/>
        </w:rPr>
        <w:t>单类</w:t>
      </w:r>
      <w:r>
        <w:rPr>
          <w:rFonts w:cs="Times New Roman"/>
          <w:szCs w:val="24"/>
        </w:rPr>
        <w:t>建材</w:t>
      </w:r>
      <w:r>
        <w:rPr>
          <w:rFonts w:cs="Times New Roman" w:hint="eastAsia"/>
          <w:szCs w:val="24"/>
        </w:rPr>
        <w:t>应用</w:t>
      </w:r>
      <w:r>
        <w:rPr>
          <w:rFonts w:cs="Times New Roman"/>
          <w:szCs w:val="24"/>
        </w:rPr>
        <w:t>总量</w:t>
      </w:r>
      <w:r>
        <w:rPr>
          <w:rFonts w:cs="Times New Roman" w:hint="eastAsia"/>
          <w:szCs w:val="24"/>
        </w:rPr>
        <w:t>与本类</w:t>
      </w:r>
      <w:r>
        <w:rPr>
          <w:rFonts w:cs="Times New Roman"/>
          <w:szCs w:val="24"/>
        </w:rPr>
        <w:t>建</w:t>
      </w:r>
      <w:r>
        <w:rPr>
          <w:rFonts w:cs="Times New Roman" w:hint="eastAsia"/>
          <w:szCs w:val="24"/>
        </w:rPr>
        <w:t>材</w:t>
      </w:r>
      <w:r>
        <w:rPr>
          <w:rFonts w:cs="Times New Roman"/>
          <w:szCs w:val="24"/>
        </w:rPr>
        <w:t>中重庆市绿色</w:t>
      </w:r>
      <w:r>
        <w:rPr>
          <w:rFonts w:cs="Times New Roman" w:hint="eastAsia"/>
          <w:szCs w:val="24"/>
        </w:rPr>
        <w:t>建材</w:t>
      </w:r>
      <w:r>
        <w:rPr>
          <w:rFonts w:cs="Times New Roman"/>
          <w:szCs w:val="24"/>
        </w:rPr>
        <w:t>示范基地的</w:t>
      </w:r>
      <w:r>
        <w:rPr>
          <w:rFonts w:hint="eastAsia"/>
        </w:rPr>
        <w:t>二、三星级绿色建材应用量或非重庆市</w:t>
      </w:r>
      <w:r>
        <w:t>绿色建材示范基地</w:t>
      </w:r>
      <w:r>
        <w:rPr>
          <w:rFonts w:hint="eastAsia"/>
        </w:rPr>
        <w:t>的三星级绿色建材应用量</w:t>
      </w:r>
      <w:r>
        <w:rPr>
          <w:rFonts w:cs="Times New Roman" w:hint="eastAsia"/>
          <w:szCs w:val="24"/>
        </w:rPr>
        <w:t>是以建筑</w:t>
      </w:r>
      <w:r>
        <w:rPr>
          <w:rFonts w:cs="Times New Roman"/>
          <w:szCs w:val="24"/>
        </w:rPr>
        <w:t>施工图</w:t>
      </w:r>
      <w:r>
        <w:rPr>
          <w:rFonts w:cs="Times New Roman" w:hint="eastAsia"/>
          <w:szCs w:val="24"/>
        </w:rPr>
        <w:t>设计文件明确的相关要求为</w:t>
      </w:r>
      <w:r>
        <w:rPr>
          <w:rFonts w:cs="Times New Roman"/>
          <w:szCs w:val="24"/>
        </w:rPr>
        <w:t>依据编制工程概算或预算</w:t>
      </w:r>
      <w:r>
        <w:rPr>
          <w:rFonts w:cs="Times New Roman" w:hint="eastAsia"/>
          <w:szCs w:val="24"/>
        </w:rPr>
        <w:t>分别确定的。在评价阶段，参评</w:t>
      </w:r>
      <w:r>
        <w:rPr>
          <w:rFonts w:cs="Times New Roman"/>
          <w:szCs w:val="24"/>
        </w:rPr>
        <w:t>范围内</w:t>
      </w:r>
      <w:r>
        <w:rPr>
          <w:rFonts w:cs="Times New Roman" w:hint="eastAsia"/>
          <w:szCs w:val="24"/>
        </w:rPr>
        <w:t>单类</w:t>
      </w:r>
      <w:r>
        <w:rPr>
          <w:rFonts w:cs="Times New Roman"/>
          <w:szCs w:val="24"/>
        </w:rPr>
        <w:t>建材应用</w:t>
      </w:r>
      <w:r>
        <w:rPr>
          <w:rFonts w:cs="Times New Roman" w:hint="eastAsia"/>
          <w:szCs w:val="24"/>
        </w:rPr>
        <w:t>总量是</w:t>
      </w:r>
      <w:r>
        <w:rPr>
          <w:rFonts w:cs="Times New Roman"/>
          <w:szCs w:val="24"/>
        </w:rPr>
        <w:t>指</w:t>
      </w:r>
      <w:r>
        <w:rPr>
          <w:rFonts w:cs="Times New Roman" w:hint="eastAsia"/>
          <w:szCs w:val="24"/>
        </w:rPr>
        <w:t>以建筑工程竣工图文件为依据编制的决算清单建材</w:t>
      </w:r>
      <w:r>
        <w:rPr>
          <w:rFonts w:cs="Times New Roman"/>
          <w:szCs w:val="24"/>
        </w:rPr>
        <w:t>应用总量，</w:t>
      </w:r>
      <w:r>
        <w:rPr>
          <w:rFonts w:cs="Times New Roman" w:hint="eastAsia"/>
          <w:szCs w:val="24"/>
        </w:rPr>
        <w:t>参评</w:t>
      </w:r>
      <w:r>
        <w:rPr>
          <w:rFonts w:cs="Times New Roman"/>
          <w:szCs w:val="24"/>
        </w:rPr>
        <w:t>范围内</w:t>
      </w:r>
      <w:r>
        <w:rPr>
          <w:rFonts w:cs="Times New Roman" w:hint="eastAsia"/>
          <w:szCs w:val="24"/>
        </w:rPr>
        <w:t>本类</w:t>
      </w:r>
      <w:r>
        <w:rPr>
          <w:rFonts w:cs="Times New Roman"/>
          <w:szCs w:val="24"/>
        </w:rPr>
        <w:t>建</w:t>
      </w:r>
      <w:r>
        <w:rPr>
          <w:rFonts w:cs="Times New Roman" w:hint="eastAsia"/>
          <w:szCs w:val="24"/>
        </w:rPr>
        <w:t>材</w:t>
      </w:r>
      <w:r>
        <w:rPr>
          <w:rFonts w:cs="Times New Roman"/>
          <w:szCs w:val="24"/>
        </w:rPr>
        <w:t>中重庆市绿色</w:t>
      </w:r>
      <w:r>
        <w:rPr>
          <w:rFonts w:cs="Times New Roman" w:hint="eastAsia"/>
          <w:szCs w:val="24"/>
        </w:rPr>
        <w:t>建材</w:t>
      </w:r>
      <w:r>
        <w:rPr>
          <w:rFonts w:cs="Times New Roman"/>
          <w:szCs w:val="24"/>
        </w:rPr>
        <w:t>示范基地的</w:t>
      </w:r>
      <w:r>
        <w:rPr>
          <w:rFonts w:hint="eastAsia"/>
        </w:rPr>
        <w:t>二、三星级绿色建材应用量或非重庆市</w:t>
      </w:r>
      <w:r>
        <w:t>绿色建材示范基地</w:t>
      </w:r>
      <w:r>
        <w:rPr>
          <w:rFonts w:hint="eastAsia"/>
        </w:rPr>
        <w:t>的三星级绿色建材应用量指</w:t>
      </w:r>
      <w:r>
        <w:t>工程项目实际应用量，</w:t>
      </w:r>
      <w:r>
        <w:rPr>
          <w:rFonts w:hint="eastAsia"/>
        </w:rPr>
        <w:t>以</w:t>
      </w:r>
      <w:r>
        <w:rPr>
          <w:rFonts w:cs="Times New Roman"/>
        </w:rPr>
        <w:t>工程决算材料清单</w:t>
      </w:r>
      <w:r>
        <w:rPr>
          <w:rFonts w:cs="Times New Roman" w:hint="eastAsia"/>
        </w:rPr>
        <w:t>、绿色建材生产厂家发货单（或采购合同、发票等）及施工进场验收记录等来核定，同时该类绿色建材进入施工现场后，应按照国家、行业及我市有关标准要求进行产品质量检测，其检测结果应满足设计指标要求。再按规定</w:t>
      </w:r>
      <w:r>
        <w:rPr>
          <w:rFonts w:cs="Times New Roman"/>
        </w:rPr>
        <w:t>计算其</w:t>
      </w:r>
      <w:r>
        <w:rPr>
          <w:rFonts w:cs="Times New Roman" w:hint="eastAsia"/>
        </w:rPr>
        <w:t>绿色建材</w:t>
      </w:r>
      <w:r>
        <w:rPr>
          <w:rFonts w:cs="Times New Roman"/>
        </w:rPr>
        <w:t>应用比例</w:t>
      </w:r>
      <w:r>
        <w:rPr>
          <w:rFonts w:cs="Times New Roman" w:hint="eastAsia"/>
        </w:rPr>
        <w:t>。</w:t>
      </w:r>
    </w:p>
    <w:p w14:paraId="4BAC4757" w14:textId="77777777" w:rsidR="00550EBF" w:rsidRPr="0081478A" w:rsidRDefault="00550EBF" w:rsidP="00550EBF">
      <w:pPr>
        <w:pStyle w:val="20"/>
      </w:pPr>
      <w:r w:rsidRPr="0081478A">
        <w:t>【评价方法】</w:t>
      </w:r>
    </w:p>
    <w:p w14:paraId="2C56988B" w14:textId="77777777" w:rsidR="001F1484" w:rsidRPr="00530A11" w:rsidRDefault="001F1484" w:rsidP="001F1484">
      <w:pPr>
        <w:ind w:firstLine="420"/>
        <w:rPr>
          <w:rFonts w:cs="Times New Roman"/>
          <w:szCs w:val="24"/>
        </w:rPr>
      </w:pPr>
      <w:r w:rsidRPr="003F0896">
        <w:rPr>
          <w:rFonts w:cs="Times New Roman" w:hint="eastAsia"/>
        </w:rPr>
        <w:t>预评价查阅相关设计文件、计算分析报告；评价查阅相关竣工图、计算分析报告、供货单（或采购合同、发票等）、检测报告、工程决算材料清单、绿色建材标识证书或授予文件、重庆市绿色建材示范基地授予文件或证书、施工记录。</w:t>
      </w:r>
    </w:p>
    <w:p w14:paraId="604A8D0C" w14:textId="77777777" w:rsidR="00550EBF" w:rsidRPr="001F1484" w:rsidRDefault="00550EBF" w:rsidP="00550EBF">
      <w:pPr>
        <w:ind w:firstLine="420"/>
      </w:pPr>
    </w:p>
    <w:p w14:paraId="2711F8D3" w14:textId="77777777" w:rsidR="00550EBF" w:rsidRPr="00135E4F" w:rsidRDefault="00550EBF" w:rsidP="00550EBF">
      <w:pPr>
        <w:pStyle w:val="4"/>
      </w:pPr>
      <w:bookmarkStart w:id="235" w:name="_Hlk33036624"/>
      <w:r w:rsidRPr="00135E4F">
        <w:t xml:space="preserve">9.2.14 </w:t>
      </w:r>
      <w:r w:rsidRPr="00135E4F">
        <w:t>采用满足以下条件的高性能建筑垃圾再生自保温砌体材料，评价分值为</w:t>
      </w:r>
      <w:r w:rsidRPr="00135E4F">
        <w:t>6</w:t>
      </w:r>
      <w:r w:rsidRPr="00135E4F">
        <w:t>分。</w:t>
      </w:r>
    </w:p>
    <w:p w14:paraId="77838CF7" w14:textId="77777777" w:rsidR="00550EBF" w:rsidRPr="00135E4F" w:rsidRDefault="00550EBF" w:rsidP="00550EBF">
      <w:pPr>
        <w:ind w:firstLineChars="100" w:firstLine="211"/>
        <w:rPr>
          <w:rFonts w:cs="Times New Roman"/>
          <w:b/>
          <w:bCs/>
          <w:szCs w:val="24"/>
        </w:rPr>
      </w:pPr>
      <w:r w:rsidRPr="00135E4F">
        <w:rPr>
          <w:rFonts w:cs="Times New Roman" w:hint="eastAsia"/>
          <w:b/>
          <w:bCs/>
          <w:szCs w:val="24"/>
        </w:rPr>
        <w:t xml:space="preserve">1 </w:t>
      </w:r>
      <w:r w:rsidRPr="00135E4F">
        <w:rPr>
          <w:rFonts w:cs="Times New Roman" w:hint="eastAsia"/>
          <w:b/>
          <w:bCs/>
          <w:szCs w:val="24"/>
        </w:rPr>
        <w:t>砌体材料建筑垃圾掺量比例不小于</w:t>
      </w:r>
      <w:r w:rsidRPr="00135E4F">
        <w:rPr>
          <w:rFonts w:cs="Times New Roman" w:hint="eastAsia"/>
          <w:b/>
          <w:bCs/>
          <w:szCs w:val="24"/>
        </w:rPr>
        <w:t>50%</w:t>
      </w:r>
      <w:r w:rsidRPr="00135E4F">
        <w:rPr>
          <w:rFonts w:cs="Times New Roman" w:hint="eastAsia"/>
          <w:b/>
          <w:bCs/>
          <w:szCs w:val="24"/>
        </w:rPr>
        <w:t>；</w:t>
      </w:r>
    </w:p>
    <w:p w14:paraId="0CC3E987" w14:textId="77777777" w:rsidR="00550EBF" w:rsidRPr="00135E4F" w:rsidRDefault="00550EBF" w:rsidP="00550EBF">
      <w:pPr>
        <w:ind w:firstLineChars="100" w:firstLine="211"/>
        <w:rPr>
          <w:rFonts w:cs="Times New Roman"/>
          <w:b/>
          <w:bCs/>
          <w:szCs w:val="24"/>
        </w:rPr>
      </w:pPr>
      <w:r w:rsidRPr="00135E4F">
        <w:rPr>
          <w:rFonts w:cs="Times New Roman" w:hint="eastAsia"/>
          <w:b/>
          <w:bCs/>
          <w:szCs w:val="24"/>
        </w:rPr>
        <w:t xml:space="preserve">2 </w:t>
      </w:r>
      <w:r w:rsidRPr="00135E4F">
        <w:rPr>
          <w:rFonts w:cs="Times New Roman" w:hint="eastAsia"/>
          <w:b/>
          <w:bCs/>
          <w:szCs w:val="24"/>
        </w:rPr>
        <w:t>砌体材料的导热系数不大于</w:t>
      </w:r>
      <w:r w:rsidRPr="00135E4F">
        <w:rPr>
          <w:rFonts w:cs="Times New Roman" w:hint="eastAsia"/>
          <w:b/>
          <w:bCs/>
          <w:szCs w:val="24"/>
        </w:rPr>
        <w:t>0.16W/</w:t>
      </w:r>
      <w:r w:rsidRPr="00135E4F">
        <w:rPr>
          <w:rFonts w:cs="Times New Roman" w:hint="eastAsia"/>
          <w:b/>
          <w:bCs/>
          <w:szCs w:val="24"/>
        </w:rPr>
        <w:t>（</w:t>
      </w:r>
      <w:r w:rsidRPr="00135E4F">
        <w:rPr>
          <w:rFonts w:cs="Times New Roman" w:hint="eastAsia"/>
          <w:b/>
          <w:bCs/>
          <w:szCs w:val="24"/>
        </w:rPr>
        <w:t>m.K</w:t>
      </w:r>
      <w:r w:rsidRPr="00135E4F">
        <w:rPr>
          <w:rFonts w:cs="Times New Roman" w:hint="eastAsia"/>
          <w:b/>
          <w:bCs/>
          <w:szCs w:val="24"/>
        </w:rPr>
        <w:t>）；</w:t>
      </w:r>
    </w:p>
    <w:p w14:paraId="52E29504" w14:textId="77777777" w:rsidR="00550EBF" w:rsidRPr="00135E4F" w:rsidRDefault="00550EBF" w:rsidP="00550EBF">
      <w:pPr>
        <w:ind w:firstLineChars="100" w:firstLine="211"/>
        <w:rPr>
          <w:rFonts w:cs="Times New Roman"/>
          <w:b/>
          <w:bCs/>
          <w:szCs w:val="24"/>
        </w:rPr>
      </w:pPr>
      <w:r w:rsidRPr="00135E4F">
        <w:rPr>
          <w:rFonts w:cs="Times New Roman" w:hint="eastAsia"/>
          <w:b/>
          <w:bCs/>
          <w:szCs w:val="24"/>
        </w:rPr>
        <w:t xml:space="preserve">3 </w:t>
      </w:r>
      <w:r w:rsidRPr="00135E4F">
        <w:rPr>
          <w:rFonts w:cs="Times New Roman" w:hint="eastAsia"/>
          <w:b/>
          <w:bCs/>
          <w:szCs w:val="24"/>
        </w:rPr>
        <w:t>砌体采用薄层砂浆砌筑施工工艺。</w:t>
      </w:r>
    </w:p>
    <w:bookmarkEnd w:id="235"/>
    <w:p w14:paraId="597BA467" w14:textId="77777777" w:rsidR="00550EBF" w:rsidRPr="0081478A" w:rsidRDefault="00550EBF" w:rsidP="00550EBF">
      <w:pPr>
        <w:pStyle w:val="20"/>
      </w:pPr>
      <w:r w:rsidRPr="0081478A">
        <w:t>【条文说明】</w:t>
      </w:r>
    </w:p>
    <w:p w14:paraId="775ED71C" w14:textId="77777777" w:rsidR="00550EBF" w:rsidRPr="00530A11" w:rsidRDefault="00550EBF" w:rsidP="00550EBF">
      <w:pPr>
        <w:ind w:firstLine="420"/>
        <w:rPr>
          <w:szCs w:val="24"/>
        </w:rPr>
      </w:pPr>
      <w:bookmarkStart w:id="236" w:name="_Hlk33037057"/>
      <w:r w:rsidRPr="00530A11">
        <w:t>本条适用于各类民用建筑的预评价、评价。</w:t>
      </w:r>
    </w:p>
    <w:p w14:paraId="0C6F4942" w14:textId="77777777" w:rsidR="00550EBF" w:rsidRPr="00530A11" w:rsidRDefault="00550EBF" w:rsidP="00550EBF">
      <w:pPr>
        <w:ind w:firstLine="420"/>
        <w:rPr>
          <w:rFonts w:cs="Times New Roman"/>
        </w:rPr>
      </w:pPr>
      <w:r w:rsidRPr="00530A11">
        <w:rPr>
          <w:rFonts w:cs="Times New Roman"/>
        </w:rPr>
        <w:t>本条为</w:t>
      </w:r>
      <w:r w:rsidRPr="00530A11">
        <w:rPr>
          <w:rFonts w:cs="Times New Roman" w:hint="eastAsia"/>
        </w:rPr>
        <w:t>地标</w:t>
      </w:r>
      <w:r w:rsidRPr="00530A11">
        <w:rPr>
          <w:rFonts w:cs="Times New Roman"/>
        </w:rPr>
        <w:t>新增条文，是对国家《绿色建筑评价标准》</w:t>
      </w:r>
      <w:r w:rsidRPr="00530A11">
        <w:rPr>
          <w:rFonts w:cs="Times New Roman"/>
        </w:rPr>
        <w:t>GB/T 50378-2019</w:t>
      </w:r>
      <w:r w:rsidRPr="00530A11">
        <w:rPr>
          <w:rFonts w:cs="Times New Roman"/>
        </w:rPr>
        <w:t>中</w:t>
      </w:r>
      <w:r w:rsidRPr="00530A11">
        <w:rPr>
          <w:rFonts w:cs="Times New Roman"/>
        </w:rPr>
        <w:t>9.2.10</w:t>
      </w:r>
      <w:r w:rsidRPr="00530A11">
        <w:rPr>
          <w:rFonts w:cs="Times New Roman"/>
        </w:rPr>
        <w:t>条的</w:t>
      </w:r>
      <w:r w:rsidRPr="00530A11">
        <w:rPr>
          <w:rFonts w:cs="Times New Roman"/>
        </w:rPr>
        <w:lastRenderedPageBreak/>
        <w:t>细化补充。</w:t>
      </w:r>
    </w:p>
    <w:p w14:paraId="245A14A9" w14:textId="77777777" w:rsidR="00550EBF" w:rsidRDefault="00550EBF" w:rsidP="00550EBF">
      <w:pPr>
        <w:ind w:firstLine="420"/>
        <w:rPr>
          <w:rFonts w:cs="Times New Roman"/>
        </w:rPr>
      </w:pPr>
      <w:r>
        <w:rPr>
          <w:rFonts w:cs="Times New Roman"/>
        </w:rPr>
        <w:t>本条适用于各类民用建筑的预评价、评价。</w:t>
      </w:r>
      <w:bookmarkStart w:id="237" w:name="_Hlk36291104"/>
      <w:r>
        <w:rPr>
          <w:rFonts w:cs="Times New Roman" w:hint="eastAsia"/>
        </w:rPr>
        <w:t>针对</w:t>
      </w:r>
      <w:bookmarkEnd w:id="237"/>
      <w:r>
        <w:rPr>
          <w:rFonts w:cs="Times New Roman"/>
        </w:rPr>
        <w:t>我国建筑垃圾存量大、再生利用率低等现状问题，国家及地方相关部门</w:t>
      </w:r>
      <w:bookmarkStart w:id="238" w:name="_Hlk36291136"/>
      <w:r>
        <w:rPr>
          <w:rFonts w:cs="Times New Roman" w:hint="eastAsia"/>
        </w:rPr>
        <w:t>要求</w:t>
      </w:r>
      <w:bookmarkEnd w:id="238"/>
      <w:r>
        <w:rPr>
          <w:rFonts w:cs="Times New Roman"/>
        </w:rPr>
        <w:t>开展建筑垃圾治理及再生利用</w:t>
      </w:r>
      <w:r>
        <w:rPr>
          <w:rFonts w:cs="Times New Roman" w:hint="eastAsia"/>
        </w:rPr>
        <w:t>。</w:t>
      </w:r>
      <w:r>
        <w:rPr>
          <w:rFonts w:cs="Times New Roman"/>
        </w:rPr>
        <w:t>建设部印发</w:t>
      </w:r>
      <w:r>
        <w:rPr>
          <w:rFonts w:cs="Times New Roman" w:hint="eastAsia"/>
        </w:rPr>
        <w:t>了</w:t>
      </w:r>
      <w:r>
        <w:rPr>
          <w:rFonts w:cs="Times New Roman"/>
        </w:rPr>
        <w:t>《关于开展建筑垃圾治理试点工作的通知》、重庆市规划局和市政委编制《重庆市主城区建筑垃圾消纳场布点规划》、重庆市人民政府办公厅印发《主城区城市建筑垃圾治理试点工作实施方案的通知》等文件，同时我市住房和城乡建委印发《关于进一步加强墙体自保温技术体系推广应用通知》鼓励选用墙体自保温技术。因此，本条文在资源节约章节关于利废建材利用基础上提出，鼓励采用建筑垃圾再生制备高性能自保温砌体材料的应用。</w:t>
      </w:r>
    </w:p>
    <w:p w14:paraId="2ED76D44" w14:textId="77777777" w:rsidR="00550EBF" w:rsidRPr="00EB4085" w:rsidRDefault="00550EBF" w:rsidP="00550EBF">
      <w:pPr>
        <w:pStyle w:val="20"/>
      </w:pPr>
      <w:r w:rsidRPr="00EB4085">
        <w:rPr>
          <w:rFonts w:hint="eastAsia"/>
        </w:rPr>
        <w:t>【评价要点】</w:t>
      </w:r>
    </w:p>
    <w:p w14:paraId="19878353" w14:textId="77777777" w:rsidR="00550EBF" w:rsidRDefault="00550EBF" w:rsidP="00550EBF">
      <w:pPr>
        <w:ind w:firstLine="420"/>
        <w:rPr>
          <w:rFonts w:cs="Times New Roman"/>
        </w:rPr>
      </w:pPr>
      <w:r>
        <w:rPr>
          <w:rFonts w:cs="Times New Roman" w:hint="eastAsia"/>
        </w:rPr>
        <w:t>本条第</w:t>
      </w:r>
      <w:r>
        <w:rPr>
          <w:rFonts w:cs="Times New Roman" w:hint="eastAsia"/>
        </w:rPr>
        <w:t>1</w:t>
      </w:r>
      <w:r>
        <w:rPr>
          <w:rFonts w:cs="Times New Roman" w:hint="eastAsia"/>
        </w:rPr>
        <w:t>，</w:t>
      </w:r>
      <w:r>
        <w:rPr>
          <w:rFonts w:cs="Times New Roman" w:hint="eastAsia"/>
        </w:rPr>
        <w:t>2</w:t>
      </w:r>
      <w:r>
        <w:rPr>
          <w:rFonts w:cs="Times New Roman" w:hint="eastAsia"/>
        </w:rPr>
        <w:t>，</w:t>
      </w:r>
      <w:r>
        <w:rPr>
          <w:rFonts w:cs="Times New Roman" w:hint="eastAsia"/>
        </w:rPr>
        <w:t>3</w:t>
      </w:r>
      <w:r>
        <w:rPr>
          <w:rFonts w:cs="Times New Roman" w:hint="eastAsia"/>
        </w:rPr>
        <w:t>款同时满足得</w:t>
      </w:r>
      <w:r>
        <w:rPr>
          <w:rFonts w:cs="Times New Roman" w:hint="eastAsia"/>
        </w:rPr>
        <w:t>6</w:t>
      </w:r>
      <w:r>
        <w:rPr>
          <w:rFonts w:cs="Times New Roman" w:hint="eastAsia"/>
        </w:rPr>
        <w:t>分，否则不得分。</w:t>
      </w:r>
    </w:p>
    <w:p w14:paraId="7EC5D4C6" w14:textId="77777777" w:rsidR="00550EBF" w:rsidRPr="00CB19AF" w:rsidRDefault="00550EBF" w:rsidP="00550EBF">
      <w:pPr>
        <w:ind w:firstLine="420"/>
        <w:rPr>
          <w:rFonts w:cs="Times New Roman"/>
        </w:rPr>
      </w:pPr>
      <w:r>
        <w:rPr>
          <w:rFonts w:cs="Times New Roman" w:hint="eastAsia"/>
        </w:rPr>
        <w:t>第</w:t>
      </w:r>
      <w:r>
        <w:rPr>
          <w:rFonts w:cs="Times New Roman" w:hint="eastAsia"/>
        </w:rPr>
        <w:t>1</w:t>
      </w:r>
      <w:r>
        <w:rPr>
          <w:rFonts w:cs="Times New Roman" w:hint="eastAsia"/>
        </w:rPr>
        <w:t>款，</w:t>
      </w:r>
      <w:r w:rsidRPr="00CB19AF">
        <w:rPr>
          <w:rFonts w:cs="Times New Roman" w:hint="eastAsia"/>
        </w:rPr>
        <w:t>建筑垃圾指工程渣土、工程泥浆、工程垃圾、拆除垃圾和装修垃圾等的总称，包含新建、扩建、改建和拆除各类建筑物、构筑物、管网等及居民装饰装修房屋过程所产生的弃土、弃料及其他废弃物，不应包含检验、鉴定为危险废物的建筑垃圾。建筑垃圾掺量比例的检测报告可为第三方检测机构出具的有效期内建筑垃圾掺量报告或按《墙体材料中废渣掺加量分析方法》</w:t>
      </w:r>
      <w:r w:rsidRPr="00CB19AF">
        <w:rPr>
          <w:rFonts w:cs="Times New Roman" w:hint="eastAsia"/>
        </w:rPr>
        <w:t>GB/T 32989</w:t>
      </w:r>
      <w:r w:rsidRPr="00CB19AF">
        <w:rPr>
          <w:rFonts w:cs="Times New Roman" w:hint="eastAsia"/>
        </w:rPr>
        <w:t>规定进行检测</w:t>
      </w:r>
      <w:r>
        <w:rPr>
          <w:rFonts w:cs="Times New Roman" w:hint="eastAsia"/>
        </w:rPr>
        <w:t>的</w:t>
      </w:r>
      <w:r w:rsidRPr="00CB19AF">
        <w:rPr>
          <w:rFonts w:cs="Times New Roman" w:hint="eastAsia"/>
        </w:rPr>
        <w:t>报告。</w:t>
      </w:r>
    </w:p>
    <w:p w14:paraId="0680B707" w14:textId="77777777" w:rsidR="00550EBF" w:rsidRDefault="00550EBF" w:rsidP="00550EBF">
      <w:pPr>
        <w:ind w:firstLine="420"/>
        <w:rPr>
          <w:rFonts w:cs="Times New Roman"/>
        </w:rPr>
      </w:pPr>
      <w:r w:rsidRPr="00914115">
        <w:rPr>
          <w:rFonts w:cs="Times New Roman" w:hint="eastAsia"/>
        </w:rPr>
        <w:t>第</w:t>
      </w:r>
      <w:r w:rsidRPr="00914115">
        <w:rPr>
          <w:rFonts w:cs="Times New Roman" w:hint="eastAsia"/>
        </w:rPr>
        <w:t>2</w:t>
      </w:r>
      <w:r w:rsidRPr="00914115">
        <w:rPr>
          <w:rFonts w:cs="Times New Roman" w:hint="eastAsia"/>
        </w:rPr>
        <w:t>款，砌体材料的导热系数限值要求指砌块的当量导热系数，采用检测方法为《墙体材料当量导热系数测定方法》</w:t>
      </w:r>
      <w:r w:rsidRPr="00914115">
        <w:rPr>
          <w:rFonts w:cs="Times New Roman"/>
        </w:rPr>
        <w:t>GB/T 32981</w:t>
      </w:r>
      <w:r w:rsidRPr="00914115">
        <w:rPr>
          <w:rFonts w:cs="Times New Roman" w:hint="eastAsia"/>
        </w:rPr>
        <w:t>；同时，当采用《绝热稳态传热性质的测定标定和防护热箱法》</w:t>
      </w:r>
      <w:r w:rsidRPr="00914115">
        <w:rPr>
          <w:rFonts w:cs="Times New Roman" w:hint="eastAsia"/>
        </w:rPr>
        <w:t>GB</w:t>
      </w:r>
      <w:r w:rsidRPr="00914115">
        <w:rPr>
          <w:rFonts w:cs="Times New Roman"/>
        </w:rPr>
        <w:t>/</w:t>
      </w:r>
      <w:r w:rsidRPr="00914115">
        <w:rPr>
          <w:rFonts w:cs="Times New Roman" w:hint="eastAsia"/>
        </w:rPr>
        <w:t>T</w:t>
      </w:r>
      <w:r w:rsidRPr="00914115">
        <w:rPr>
          <w:rFonts w:cs="Times New Roman"/>
        </w:rPr>
        <w:t xml:space="preserve"> </w:t>
      </w:r>
      <w:r w:rsidRPr="00914115">
        <w:rPr>
          <w:rFonts w:cs="Times New Roman" w:hint="eastAsia"/>
        </w:rPr>
        <w:t>13475</w:t>
      </w:r>
      <w:r w:rsidRPr="00914115">
        <w:rPr>
          <w:rFonts w:cs="Times New Roman" w:hint="eastAsia"/>
        </w:rPr>
        <w:t>检测砌块砌体时，砌块砌体的当量导热系数不大于</w:t>
      </w:r>
      <w:r w:rsidRPr="00914115">
        <w:rPr>
          <w:rFonts w:cs="Times New Roman" w:hint="eastAsia"/>
        </w:rPr>
        <w:t>0</w:t>
      </w:r>
      <w:r w:rsidRPr="00914115">
        <w:rPr>
          <w:rFonts w:cs="Times New Roman"/>
        </w:rPr>
        <w:t>.2</w:t>
      </w:r>
      <w:r w:rsidRPr="00914115">
        <w:rPr>
          <w:rFonts w:hint="eastAsia"/>
        </w:rPr>
        <w:t xml:space="preserve"> </w:t>
      </w:r>
      <w:r w:rsidRPr="00914115">
        <w:rPr>
          <w:rFonts w:cs="Times New Roman" w:hint="eastAsia"/>
        </w:rPr>
        <w:t>W/</w:t>
      </w:r>
      <w:r w:rsidRPr="00914115">
        <w:rPr>
          <w:rFonts w:cs="Times New Roman" w:hint="eastAsia"/>
        </w:rPr>
        <w:t>（</w:t>
      </w:r>
      <w:r w:rsidRPr="00914115">
        <w:rPr>
          <w:rFonts w:cs="Times New Roman" w:hint="eastAsia"/>
        </w:rPr>
        <w:t>m.K</w:t>
      </w:r>
      <w:r w:rsidRPr="00914115">
        <w:rPr>
          <w:rFonts w:cs="Times New Roman" w:hint="eastAsia"/>
        </w:rPr>
        <w:t>），也可判定为符合本款的要求。除本款要</w:t>
      </w:r>
      <w:r>
        <w:rPr>
          <w:rFonts w:cs="Times New Roman" w:hint="eastAsia"/>
        </w:rPr>
        <w:t>求满足的导热系数限值外，</w:t>
      </w:r>
      <w:r w:rsidRPr="002032B2">
        <w:rPr>
          <w:rFonts w:cs="Times New Roman" w:hint="eastAsia"/>
        </w:rPr>
        <w:t>建筑垃圾再生自保温砌体材料的性能尚应符合《自保温混凝土复合砌块墙体应用技术规程》</w:t>
      </w:r>
      <w:r w:rsidRPr="002032B2">
        <w:rPr>
          <w:rFonts w:cs="Times New Roman"/>
        </w:rPr>
        <w:t>JGJ/T323-2014</w:t>
      </w:r>
      <w:r>
        <w:rPr>
          <w:rFonts w:cs="Times New Roman" w:hint="eastAsia"/>
        </w:rPr>
        <w:t>、《非承重节能型烧结页岩空心砌块墙体工程技术规程》</w:t>
      </w:r>
      <w:r>
        <w:rPr>
          <w:rFonts w:cs="Times New Roman" w:hint="eastAsia"/>
        </w:rPr>
        <w:t>DBJ50-127</w:t>
      </w:r>
      <w:r>
        <w:rPr>
          <w:rFonts w:cs="Times New Roman" w:hint="eastAsia"/>
        </w:rPr>
        <w:t>等</w:t>
      </w:r>
      <w:r w:rsidRPr="002032B2">
        <w:rPr>
          <w:rFonts w:cs="Times New Roman" w:hint="eastAsia"/>
        </w:rPr>
        <w:t>相关规定</w:t>
      </w:r>
      <w:r>
        <w:rPr>
          <w:rFonts w:cs="Times New Roman" w:hint="eastAsia"/>
        </w:rPr>
        <w:t>。对现行国家、地方标准或相关规定尚未明确当量导热系数的墙体材料，其当量导热系数取值由具有相应资质检测单位的抽样检测报告和相关规定确定，检测方法可按照标准《墙体材料当量导热系数测定方法》</w:t>
      </w:r>
      <w:r>
        <w:rPr>
          <w:rFonts w:cs="Times New Roman"/>
        </w:rPr>
        <w:t>GB/T32981</w:t>
      </w:r>
      <w:r>
        <w:rPr>
          <w:rFonts w:cs="Times New Roman" w:hint="eastAsia"/>
        </w:rPr>
        <w:t>或《绝热稳态传热性质的测定标定和防护热箱法》</w:t>
      </w:r>
      <w:r>
        <w:rPr>
          <w:rFonts w:cs="Times New Roman" w:hint="eastAsia"/>
        </w:rPr>
        <w:t>GB</w:t>
      </w:r>
      <w:r>
        <w:rPr>
          <w:rFonts w:cs="Times New Roman"/>
        </w:rPr>
        <w:t>/</w:t>
      </w:r>
      <w:r>
        <w:rPr>
          <w:rFonts w:cs="Times New Roman" w:hint="eastAsia"/>
        </w:rPr>
        <w:t>T13475</w:t>
      </w:r>
      <w:r>
        <w:rPr>
          <w:rFonts w:cs="Times New Roman" w:hint="eastAsia"/>
        </w:rPr>
        <w:t>。</w:t>
      </w:r>
    </w:p>
    <w:p w14:paraId="12FA4E34" w14:textId="77777777" w:rsidR="00550EBF" w:rsidRDefault="00550EBF" w:rsidP="00550EBF">
      <w:pPr>
        <w:ind w:firstLine="420"/>
        <w:rPr>
          <w:rFonts w:cs="Times New Roman"/>
        </w:rPr>
      </w:pPr>
      <w:r>
        <w:rPr>
          <w:rFonts w:cs="Times New Roman" w:hint="eastAsia"/>
        </w:rPr>
        <w:t>第</w:t>
      </w:r>
      <w:r>
        <w:rPr>
          <w:rFonts w:cs="Times New Roman" w:hint="eastAsia"/>
        </w:rPr>
        <w:t>3</w:t>
      </w:r>
      <w:r>
        <w:rPr>
          <w:rFonts w:cs="Times New Roman" w:hint="eastAsia"/>
        </w:rPr>
        <w:t>款，是否满足采用薄层砂浆砌筑法（灰缝≤</w:t>
      </w:r>
      <w:r>
        <w:rPr>
          <w:rFonts w:cs="Times New Roman" w:hint="eastAsia"/>
        </w:rPr>
        <w:t>5mm</w:t>
      </w:r>
      <w:r>
        <w:rPr>
          <w:rFonts w:cs="Times New Roman" w:hint="eastAsia"/>
        </w:rPr>
        <w:t>）施工工艺的必要条件是：主、辅砌块应配套，尺寸允许偏差为±</w:t>
      </w:r>
      <w:r>
        <w:rPr>
          <w:rFonts w:cs="Times New Roman" w:hint="eastAsia"/>
        </w:rPr>
        <w:t>2.0mm</w:t>
      </w:r>
      <w:r>
        <w:rPr>
          <w:rFonts w:cs="Times New Roman" w:hint="eastAsia"/>
        </w:rPr>
        <w:t>和使用聚合物砌筑砂浆。</w:t>
      </w:r>
    </w:p>
    <w:bookmarkEnd w:id="236"/>
    <w:p w14:paraId="2796DF62" w14:textId="77777777" w:rsidR="00550EBF" w:rsidRPr="0081478A" w:rsidRDefault="00550EBF" w:rsidP="00550EBF">
      <w:pPr>
        <w:pStyle w:val="20"/>
      </w:pPr>
      <w:r w:rsidRPr="0081478A">
        <w:t>【评价方法】</w:t>
      </w:r>
    </w:p>
    <w:p w14:paraId="620478CF" w14:textId="77777777" w:rsidR="00550EBF" w:rsidRDefault="00550EBF" w:rsidP="00550EBF">
      <w:pPr>
        <w:ind w:firstLine="420"/>
        <w:rPr>
          <w:rFonts w:cs="Times New Roman"/>
          <w:szCs w:val="24"/>
        </w:rPr>
      </w:pPr>
      <w:r>
        <w:rPr>
          <w:rFonts w:cs="Times New Roman" w:hint="eastAsia"/>
        </w:rPr>
        <w:t>预评价查阅相关设计文件；评价查阅相关竣工图、</w:t>
      </w:r>
      <w:bookmarkStart w:id="239" w:name="_Hlk36291191"/>
      <w:r>
        <w:rPr>
          <w:rFonts w:cs="Times New Roman" w:hint="eastAsia"/>
        </w:rPr>
        <w:t>主要墙体材料</w:t>
      </w:r>
      <w:bookmarkEnd w:id="239"/>
      <w:r>
        <w:rPr>
          <w:rFonts w:cs="Times New Roman" w:hint="eastAsia"/>
        </w:rPr>
        <w:t>性能检测报告、</w:t>
      </w:r>
      <w:bookmarkStart w:id="240" w:name="_Hlk36291232"/>
      <w:r>
        <w:rPr>
          <w:rFonts w:cs="Times New Roman" w:hint="eastAsia"/>
        </w:rPr>
        <w:t>施工隐蔽验收记录、</w:t>
      </w:r>
      <w:bookmarkEnd w:id="240"/>
      <w:r>
        <w:rPr>
          <w:rFonts w:cs="Times New Roman" w:hint="eastAsia"/>
        </w:rPr>
        <w:t>砌块材料中建筑垃圾掺量检测报告及相关证明材料。</w:t>
      </w:r>
    </w:p>
    <w:p w14:paraId="5577F268" w14:textId="77777777" w:rsidR="00076964" w:rsidRPr="00550EBF" w:rsidRDefault="00076964" w:rsidP="00076964">
      <w:pPr>
        <w:ind w:firstLine="420"/>
        <w:rPr>
          <w:rFonts w:cs="Times New Roman"/>
        </w:rPr>
      </w:pPr>
    </w:p>
    <w:p w14:paraId="44036668" w14:textId="77777777" w:rsidR="00076964" w:rsidRPr="00550EBF" w:rsidRDefault="00076964" w:rsidP="00550EBF">
      <w:pPr>
        <w:pStyle w:val="4"/>
      </w:pPr>
      <w:r w:rsidRPr="00EB28E6">
        <w:rPr>
          <w:rFonts w:hint="eastAsia"/>
        </w:rPr>
        <w:lastRenderedPageBreak/>
        <w:t>9</w:t>
      </w:r>
      <w:r w:rsidRPr="00EB28E6">
        <w:t xml:space="preserve">.2.15 </w:t>
      </w:r>
      <w:r w:rsidRPr="00EB28E6">
        <w:rPr>
          <w:rFonts w:hint="eastAsia"/>
        </w:rPr>
        <w:t>采取节约资源、保护生态环境、保障安全健康、智慧友好运行、传承历史文化等其他创新，并有明显效益，评价分值为</w:t>
      </w:r>
      <w:r w:rsidRPr="00EB28E6">
        <w:rPr>
          <w:rFonts w:hint="eastAsia"/>
        </w:rPr>
        <w:t>1</w:t>
      </w:r>
      <w:r w:rsidRPr="00EB28E6">
        <w:t>0</w:t>
      </w:r>
      <w:r w:rsidRPr="00EB28E6">
        <w:rPr>
          <w:rFonts w:hint="eastAsia"/>
        </w:rPr>
        <w:t>分</w:t>
      </w:r>
      <w:r>
        <w:rPr>
          <w:rFonts w:hint="eastAsia"/>
        </w:rPr>
        <w:t>。</w:t>
      </w:r>
    </w:p>
    <w:p w14:paraId="1E6A2283" w14:textId="77777777" w:rsidR="00076964" w:rsidRPr="0081478A" w:rsidRDefault="00076964" w:rsidP="00550EBF">
      <w:pPr>
        <w:pStyle w:val="20"/>
      </w:pPr>
      <w:r w:rsidRPr="0081478A">
        <w:t>【条文说明】</w:t>
      </w:r>
    </w:p>
    <w:p w14:paraId="68BACBE9" w14:textId="77777777" w:rsidR="00076964" w:rsidRPr="00530A11" w:rsidRDefault="00076964" w:rsidP="00076964">
      <w:pPr>
        <w:ind w:firstLine="420"/>
        <w:rPr>
          <w:rFonts w:ascii="宋体" w:hAnsi="宋体"/>
          <w:color w:val="000000"/>
          <w:szCs w:val="24"/>
        </w:rPr>
      </w:pPr>
      <w:r w:rsidRPr="00530A11">
        <w:t>本条适用于各类民用建筑的预评价、评价。</w:t>
      </w:r>
    </w:p>
    <w:p w14:paraId="2E3BCE21" w14:textId="47B55B00" w:rsidR="00076964" w:rsidRPr="00530A11" w:rsidRDefault="00076964" w:rsidP="00076964">
      <w:pPr>
        <w:ind w:firstLine="420"/>
        <w:rPr>
          <w:rFonts w:cs="Times New Roman"/>
        </w:rPr>
      </w:pPr>
      <w:r w:rsidRPr="00530A11">
        <w:rPr>
          <w:rFonts w:cs="Times New Roman"/>
        </w:rPr>
        <w:t>本条沿引国家《绿色建筑评价标准》</w:t>
      </w:r>
      <w:r w:rsidRPr="00530A11">
        <w:rPr>
          <w:rFonts w:cs="Times New Roman"/>
        </w:rPr>
        <w:t>GB/T 50378-2019</w:t>
      </w:r>
      <w:r w:rsidRPr="00530A11">
        <w:rPr>
          <w:rFonts w:cs="Times New Roman"/>
        </w:rPr>
        <w:t>，</w:t>
      </w:r>
      <w:r w:rsidRPr="00530A11">
        <w:rPr>
          <w:rFonts w:cs="Times New Roman" w:hint="eastAsia"/>
        </w:rPr>
        <w:t>并对条文和条文说明进行了局部修改。</w:t>
      </w:r>
      <w:r w:rsidR="00786A77" w:rsidRPr="00530A11">
        <w:rPr>
          <w:rFonts w:cs="Times New Roman"/>
        </w:rPr>
        <w:t>本条在国家标准</w:t>
      </w:r>
      <w:r w:rsidR="00786A77" w:rsidRPr="00530A11">
        <w:rPr>
          <w:rFonts w:cs="Times New Roman"/>
        </w:rPr>
        <w:t>2014</w:t>
      </w:r>
      <w:r w:rsidR="00786A77" w:rsidRPr="00530A11">
        <w:rPr>
          <w:rFonts w:cs="Times New Roman"/>
        </w:rPr>
        <w:t>年版第</w:t>
      </w:r>
      <w:r w:rsidR="00786A77" w:rsidRPr="00530A11">
        <w:rPr>
          <w:rFonts w:cs="Times New Roman"/>
        </w:rPr>
        <w:t>11.2.1</w:t>
      </w:r>
      <w:r w:rsidR="00786A77">
        <w:rPr>
          <w:rFonts w:cs="Times New Roman"/>
        </w:rPr>
        <w:t>2</w:t>
      </w:r>
      <w:r w:rsidR="00786A77" w:rsidRPr="00530A11">
        <w:rPr>
          <w:rFonts w:cs="Times New Roman"/>
        </w:rPr>
        <w:t>条，地方标准</w:t>
      </w:r>
      <w:r w:rsidR="00786A77" w:rsidRPr="00530A11">
        <w:rPr>
          <w:rFonts w:cs="Times New Roman"/>
        </w:rPr>
        <w:t>2014</w:t>
      </w:r>
      <w:r w:rsidR="00786A77" w:rsidRPr="00530A11">
        <w:rPr>
          <w:rFonts w:cs="Times New Roman"/>
        </w:rPr>
        <w:t>版第</w:t>
      </w:r>
      <w:r w:rsidR="00786A77" w:rsidRPr="00530A11">
        <w:rPr>
          <w:rFonts w:cs="Times New Roman"/>
        </w:rPr>
        <w:t>11.2.</w:t>
      </w:r>
      <w:r w:rsidR="00786A77">
        <w:rPr>
          <w:rFonts w:cs="Times New Roman"/>
        </w:rPr>
        <w:t>10</w:t>
      </w:r>
      <w:r w:rsidR="00786A77" w:rsidRPr="00530A11">
        <w:rPr>
          <w:rFonts w:cs="Times New Roman"/>
        </w:rPr>
        <w:t>条的基础上发展而来。</w:t>
      </w:r>
      <w:r w:rsidRPr="00530A11">
        <w:rPr>
          <w:rFonts w:cs="Times New Roman" w:hint="eastAsia"/>
        </w:rPr>
        <w:t>本条主要是对前文未提及的其他技术和管理创新予以鼓励。目的是鼓励和引导项目采用不在本标准所列的绿色建筑评价指标范围内，但可在保护自然资源和生态环境、节约资源、减少环境污染、提高健康和宜居性、智能化系统建设、传承历史文化等方面实现良好性能提升的创新技术和措施，以此提高绿色建筑技术水平。</w:t>
      </w:r>
    </w:p>
    <w:p w14:paraId="475F8CFF" w14:textId="77777777" w:rsidR="00076964" w:rsidRDefault="00076964" w:rsidP="00076964">
      <w:pPr>
        <w:ind w:firstLine="420"/>
        <w:rPr>
          <w:rFonts w:cs="Times New Roman"/>
        </w:rPr>
      </w:pPr>
      <w:r w:rsidRPr="00530A11">
        <w:rPr>
          <w:rFonts w:cs="Times New Roman" w:hint="eastAsia"/>
        </w:rPr>
        <w:t>当某项目采取了创新的技术措施，并提供了足够证据表明该技术措施可有效提高环境友好性，提高资源与能源利用效率，实现可持续发展或具有较大的社会效益时，可参与评审。项目的创新点应较大地超过相应指标的要求，或达到合理指标但具备显著降低成本或提高工效等优点。本条未列出所有的创新项内容，只要申请方能够提供足够相关证明，并在评审前通过由市建设行政主管部门组织的专家论证，论证结论确为提高与创新内容的，即可认为满足要求。</w:t>
      </w:r>
    </w:p>
    <w:p w14:paraId="37B0F7A4" w14:textId="77777777" w:rsidR="00076964" w:rsidRPr="00174CD9" w:rsidRDefault="00076964" w:rsidP="00550EBF">
      <w:pPr>
        <w:pStyle w:val="20"/>
      </w:pPr>
      <w:r w:rsidRPr="00174CD9">
        <w:rPr>
          <w:rFonts w:hint="eastAsia"/>
        </w:rPr>
        <w:t>【评价要点】</w:t>
      </w:r>
    </w:p>
    <w:p w14:paraId="1B1922BA" w14:textId="77777777" w:rsidR="00076964" w:rsidRPr="00441CD5" w:rsidRDefault="00076964" w:rsidP="00076964">
      <w:pPr>
        <w:ind w:firstLine="420"/>
        <w:rPr>
          <w:rFonts w:cs="Times New Roman"/>
        </w:rPr>
      </w:pPr>
      <w:r w:rsidRPr="00441CD5">
        <w:rPr>
          <w:rFonts w:cs="Times New Roman" w:hint="eastAsia"/>
        </w:rPr>
        <w:t>绿色建筑的创新没有定式，凡是符合建筑行业绿色发展方向、绿色建筑定义理念，且未在本条之前任何条款得分的任何新技术、新产品、新应用、新理念，都可在本条申请得分。项目的创新点应较大地超过相应指标的要求，或达到合理指标但具备显著降低成本或提高工效等优点。例如：</w:t>
      </w:r>
    </w:p>
    <w:p w14:paraId="2E55EC60" w14:textId="77777777" w:rsidR="00076964" w:rsidRPr="00441CD5" w:rsidRDefault="00076964" w:rsidP="00076964">
      <w:pPr>
        <w:ind w:firstLine="420"/>
        <w:rPr>
          <w:rFonts w:cs="Times New Roman"/>
        </w:rPr>
      </w:pPr>
      <w:r w:rsidRPr="00441CD5">
        <w:rPr>
          <w:rFonts w:cs="Times New Roman" w:hint="eastAsia"/>
        </w:rPr>
        <w:t>在节约资源方面，在标准第</w:t>
      </w:r>
      <w:r w:rsidRPr="00441CD5">
        <w:rPr>
          <w:rFonts w:cs="Times New Roman" w:hint="eastAsia"/>
        </w:rPr>
        <w:t>9.2.1</w:t>
      </w:r>
      <w:r w:rsidRPr="00441CD5">
        <w:rPr>
          <w:rFonts w:cs="Times New Roman" w:hint="eastAsia"/>
        </w:rPr>
        <w:t>条要求的低能耗基础上进一步实现零能耗建筑；符合百年建筑理念并符合相应要求；在技术经济合理的情况下，达到较高的建筑装配率或预制率。</w:t>
      </w:r>
    </w:p>
    <w:p w14:paraId="3159D832" w14:textId="77777777" w:rsidR="00076964" w:rsidRPr="00441CD5" w:rsidRDefault="00076964" w:rsidP="00076964">
      <w:pPr>
        <w:ind w:firstLine="420"/>
        <w:rPr>
          <w:rFonts w:cs="Times New Roman"/>
        </w:rPr>
      </w:pPr>
      <w:r w:rsidRPr="00441CD5">
        <w:rPr>
          <w:rFonts w:cs="Times New Roman" w:hint="eastAsia"/>
        </w:rPr>
        <w:t>在保护生态环境方面，采用场地雨水通过入渗、滞蓄、回用等低影响开发措施，实现设计重现期下雨水零排放；建筑污废水通过梯级利用、生态处理、再生利用、就地消纳等，实现污水零排放；对场地内的大型乔木等植被进行有效保留、改造和近自然化改造。</w:t>
      </w:r>
    </w:p>
    <w:p w14:paraId="5EC7CE47" w14:textId="77777777" w:rsidR="00076964" w:rsidRPr="00441CD5" w:rsidRDefault="00076964" w:rsidP="00076964">
      <w:pPr>
        <w:ind w:firstLine="420"/>
        <w:rPr>
          <w:rFonts w:cs="Times New Roman"/>
        </w:rPr>
      </w:pPr>
      <w:r w:rsidRPr="00441CD5">
        <w:rPr>
          <w:rFonts w:cs="Times New Roman" w:hint="eastAsia"/>
        </w:rPr>
        <w:t>在保障安全健康方面，获得健康建筑设计评价或运行评价标识；声景的专项优化设计和营造；符合人体生理节律的光环境设计和营造；场地遮阳的专项优化设计和营造；采用阻燃、防腐、防火、耐久等性能上有大幅提升的材料、技术和产品。</w:t>
      </w:r>
    </w:p>
    <w:p w14:paraId="32416B03" w14:textId="77777777" w:rsidR="00076964" w:rsidRPr="00441CD5" w:rsidRDefault="00076964" w:rsidP="00076964">
      <w:pPr>
        <w:ind w:firstLine="420"/>
        <w:rPr>
          <w:rFonts w:cs="Times New Roman"/>
        </w:rPr>
      </w:pPr>
      <w:r w:rsidRPr="00441CD5">
        <w:rPr>
          <w:rFonts w:cs="Times New Roman" w:hint="eastAsia"/>
        </w:rPr>
        <w:t>在智慧友好运行方面，按照智慧建筑有关标准进行评价认定，或在智慧管理系统、智慧</w:t>
      </w:r>
      <w:r w:rsidRPr="00441CD5">
        <w:rPr>
          <w:rFonts w:cs="Times New Roman" w:hint="eastAsia"/>
        </w:rPr>
        <w:lastRenderedPageBreak/>
        <w:t>服务系统、智慧家居系统、智慧教育展示系统、人工智能、数据收集分析等方面效果突出，经专项论证通过。</w:t>
      </w:r>
    </w:p>
    <w:p w14:paraId="12B3172D" w14:textId="77777777" w:rsidR="00076964" w:rsidRPr="00441CD5" w:rsidRDefault="00076964" w:rsidP="00076964">
      <w:pPr>
        <w:ind w:firstLine="420"/>
        <w:rPr>
          <w:rFonts w:cs="Times New Roman"/>
        </w:rPr>
      </w:pPr>
      <w:r w:rsidRPr="00441CD5">
        <w:rPr>
          <w:rFonts w:cs="Times New Roman" w:hint="eastAsia"/>
        </w:rPr>
        <w:t>在传承历史文化方面，对反映历史风貌、地方特色、具有较高文化价值的传统建筑加以保护和利用，采用适度的措施，避免对历史建筑的价值和特征要素的损伤和改变。</w:t>
      </w:r>
    </w:p>
    <w:p w14:paraId="7B8CDEF4" w14:textId="77777777" w:rsidR="00076964" w:rsidRPr="00530A11" w:rsidRDefault="00076964" w:rsidP="00076964">
      <w:pPr>
        <w:ind w:firstLine="420"/>
        <w:rPr>
          <w:rFonts w:cs="Times New Roman"/>
        </w:rPr>
      </w:pPr>
      <w:r w:rsidRPr="00441CD5">
        <w:rPr>
          <w:rFonts w:cs="Times New Roman" w:hint="eastAsia"/>
        </w:rPr>
        <w:t>为了鼓励绿色建筑百家争鸣、百花齐放，本条允许创新。申请方</w:t>
      </w:r>
      <w:r>
        <w:rPr>
          <w:rFonts w:cs="Times New Roman" w:hint="eastAsia"/>
        </w:rPr>
        <w:t>只要</w:t>
      </w:r>
      <w:r w:rsidRPr="00441CD5">
        <w:rPr>
          <w:rFonts w:cs="Times New Roman" w:hint="eastAsia"/>
        </w:rPr>
        <w:t>能够提供足够相关证明，并在评审前通过由市建设行政主管部门组织的专家论证，论证结论确为提高与创新内容的，即可认为满足要求。</w:t>
      </w:r>
    </w:p>
    <w:p w14:paraId="66522D06" w14:textId="77777777" w:rsidR="00076964" w:rsidRPr="0081478A" w:rsidRDefault="00076964" w:rsidP="00076964">
      <w:pPr>
        <w:ind w:firstLineChars="0" w:firstLine="0"/>
        <w:rPr>
          <w:rFonts w:cs="Times New Roman"/>
          <w:b/>
          <w:szCs w:val="24"/>
        </w:rPr>
      </w:pPr>
      <w:r w:rsidRPr="0081478A">
        <w:rPr>
          <w:rFonts w:cs="Times New Roman"/>
          <w:b/>
          <w:szCs w:val="24"/>
        </w:rPr>
        <w:t>【评价方法】</w:t>
      </w:r>
    </w:p>
    <w:p w14:paraId="759B6708" w14:textId="54C1C3F2" w:rsidR="00076964" w:rsidRDefault="00076964" w:rsidP="00076964">
      <w:pPr>
        <w:ind w:firstLine="420"/>
        <w:rPr>
          <w:rFonts w:cs="Times New Roman"/>
        </w:rPr>
      </w:pPr>
      <w:bookmarkStart w:id="241" w:name="_Hlk33037115"/>
      <w:r w:rsidRPr="00530A11">
        <w:rPr>
          <w:rFonts w:cs="Times New Roman" w:hint="eastAsia"/>
        </w:rPr>
        <w:t>预评价查阅相关设计文件、分析报告、市建设行政主管部门组织实施的专家论证意见及相关证明材料；评价查阅相关设计文件、分析论证报告及相关证明材</w:t>
      </w:r>
      <w:bookmarkEnd w:id="241"/>
      <w:r>
        <w:rPr>
          <w:rFonts w:cs="Times New Roman" w:hint="eastAsia"/>
        </w:rPr>
        <w:t>料。</w:t>
      </w:r>
    </w:p>
    <w:p w14:paraId="2886FEE9" w14:textId="77777777" w:rsidR="00076964" w:rsidRDefault="00076964">
      <w:pPr>
        <w:widowControl/>
        <w:spacing w:line="240" w:lineRule="auto"/>
        <w:ind w:firstLineChars="0" w:firstLine="0"/>
        <w:jc w:val="left"/>
        <w:rPr>
          <w:rFonts w:cs="Times New Roman"/>
        </w:rPr>
      </w:pPr>
      <w:r>
        <w:rPr>
          <w:rFonts w:cs="Times New Roman"/>
        </w:rPr>
        <w:br w:type="page"/>
      </w:r>
    </w:p>
    <w:p w14:paraId="0086F716" w14:textId="77777777" w:rsidR="00076964" w:rsidRPr="00076964" w:rsidRDefault="00076964" w:rsidP="00076964">
      <w:pPr>
        <w:ind w:firstLine="420"/>
        <w:rPr>
          <w:rFonts w:cs="Times New Roman"/>
        </w:rPr>
        <w:sectPr w:rsidR="00076964" w:rsidRPr="00076964" w:rsidSect="00EC70DB">
          <w:headerReference w:type="even" r:id="rId49"/>
          <w:headerReference w:type="default" r:id="rId50"/>
          <w:footerReference w:type="even" r:id="rId51"/>
          <w:footerReference w:type="default" r:id="rId52"/>
          <w:headerReference w:type="first" r:id="rId53"/>
          <w:footerReference w:type="first" r:id="rId54"/>
          <w:footnotePr>
            <w:numFmt w:val="decimalEnclosedCircleChinese"/>
            <w:numRestart w:val="eachPage"/>
          </w:footnotePr>
          <w:pgSz w:w="11906" w:h="16838" w:code="9"/>
          <w:pgMar w:top="1440" w:right="1797" w:bottom="1440" w:left="1797" w:header="737" w:footer="567" w:gutter="0"/>
          <w:cols w:space="720"/>
          <w:titlePg/>
          <w:docGrid w:type="lines" w:linePitch="312" w:charSpace="-221"/>
        </w:sectPr>
      </w:pPr>
    </w:p>
    <w:p w14:paraId="170B4213" w14:textId="05FAB036" w:rsidR="00345EC5" w:rsidRPr="0081478A" w:rsidRDefault="00345EC5" w:rsidP="003C1556">
      <w:pPr>
        <w:pStyle w:val="23"/>
      </w:pPr>
      <w:bookmarkStart w:id="242" w:name="_Toc35364762"/>
      <w:bookmarkEnd w:id="193"/>
      <w:bookmarkEnd w:id="202"/>
      <w:r w:rsidRPr="0081478A">
        <w:lastRenderedPageBreak/>
        <w:t>本</w:t>
      </w:r>
      <w:r w:rsidR="003C1556">
        <w:rPr>
          <w:rFonts w:hint="eastAsia"/>
        </w:rPr>
        <w:t>细则</w:t>
      </w:r>
      <w:r w:rsidRPr="0081478A">
        <w:t>用词说明</w:t>
      </w:r>
      <w:bookmarkEnd w:id="242"/>
    </w:p>
    <w:p w14:paraId="77D96461" w14:textId="77777777" w:rsidR="002A562B" w:rsidRPr="00530A11" w:rsidRDefault="002A562B" w:rsidP="002A562B">
      <w:pPr>
        <w:ind w:firstLineChars="300" w:firstLine="630"/>
        <w:rPr>
          <w:rFonts w:cs="Times New Roman"/>
          <w:kern w:val="44"/>
          <w:szCs w:val="24"/>
        </w:rPr>
      </w:pPr>
      <w:r w:rsidRPr="00530A11">
        <w:rPr>
          <w:rFonts w:cs="Times New Roman"/>
          <w:kern w:val="44"/>
          <w:szCs w:val="24"/>
        </w:rPr>
        <w:t>1)</w:t>
      </w:r>
      <w:r w:rsidRPr="00530A11">
        <w:rPr>
          <w:rFonts w:cs="Times New Roman"/>
          <w:kern w:val="44"/>
          <w:szCs w:val="24"/>
        </w:rPr>
        <w:t>表示很严格，非这样做不可的：</w:t>
      </w:r>
    </w:p>
    <w:p w14:paraId="69ECCCE1" w14:textId="77777777" w:rsidR="002A562B" w:rsidRPr="00530A11" w:rsidRDefault="002A562B" w:rsidP="002A562B">
      <w:pPr>
        <w:ind w:firstLineChars="300" w:firstLine="630"/>
        <w:rPr>
          <w:rFonts w:cs="Times New Roman"/>
          <w:kern w:val="44"/>
          <w:szCs w:val="24"/>
        </w:rPr>
      </w:pPr>
      <w:r w:rsidRPr="00530A11">
        <w:rPr>
          <w:rFonts w:cs="Times New Roman"/>
          <w:kern w:val="44"/>
          <w:szCs w:val="24"/>
        </w:rPr>
        <w:t>正面词采用</w:t>
      </w:r>
      <w:r w:rsidRPr="00530A11">
        <w:rPr>
          <w:rFonts w:cs="Times New Roman"/>
          <w:kern w:val="44"/>
          <w:szCs w:val="24"/>
        </w:rPr>
        <w:t>“</w:t>
      </w:r>
      <w:r w:rsidRPr="00530A11">
        <w:rPr>
          <w:rFonts w:cs="Times New Roman"/>
          <w:kern w:val="44"/>
          <w:szCs w:val="24"/>
        </w:rPr>
        <w:t>必须</w:t>
      </w:r>
      <w:r w:rsidRPr="00530A11">
        <w:rPr>
          <w:rFonts w:cs="Times New Roman"/>
          <w:kern w:val="44"/>
          <w:szCs w:val="24"/>
        </w:rPr>
        <w:t>”</w:t>
      </w:r>
      <w:r w:rsidRPr="00530A11">
        <w:rPr>
          <w:rFonts w:cs="Times New Roman"/>
          <w:kern w:val="44"/>
          <w:szCs w:val="24"/>
        </w:rPr>
        <w:t>，反面词采用</w:t>
      </w:r>
      <w:r w:rsidRPr="00530A11">
        <w:rPr>
          <w:rFonts w:cs="Times New Roman"/>
          <w:kern w:val="44"/>
          <w:szCs w:val="24"/>
        </w:rPr>
        <w:t>“</w:t>
      </w:r>
      <w:r w:rsidRPr="00530A11">
        <w:rPr>
          <w:rFonts w:cs="Times New Roman"/>
          <w:kern w:val="44"/>
          <w:szCs w:val="24"/>
        </w:rPr>
        <w:t>严禁</w:t>
      </w:r>
      <w:r w:rsidRPr="00530A11">
        <w:rPr>
          <w:rFonts w:cs="Times New Roman"/>
          <w:kern w:val="44"/>
          <w:szCs w:val="24"/>
        </w:rPr>
        <w:t>”</w:t>
      </w:r>
      <w:r w:rsidRPr="00530A11">
        <w:rPr>
          <w:rFonts w:cs="Times New Roman"/>
          <w:kern w:val="44"/>
          <w:szCs w:val="24"/>
        </w:rPr>
        <w:t>；</w:t>
      </w:r>
    </w:p>
    <w:p w14:paraId="3C7CC674" w14:textId="77777777" w:rsidR="002A562B" w:rsidRPr="00530A11" w:rsidRDefault="002A562B" w:rsidP="002A562B">
      <w:pPr>
        <w:ind w:firstLineChars="300" w:firstLine="630"/>
        <w:rPr>
          <w:rFonts w:cs="Times New Roman"/>
          <w:kern w:val="44"/>
          <w:szCs w:val="24"/>
        </w:rPr>
      </w:pPr>
      <w:r w:rsidRPr="00530A11">
        <w:rPr>
          <w:rFonts w:cs="Times New Roman"/>
          <w:kern w:val="44"/>
          <w:szCs w:val="24"/>
        </w:rPr>
        <w:t>2)</w:t>
      </w:r>
      <w:r w:rsidRPr="00530A11">
        <w:rPr>
          <w:rFonts w:cs="Times New Roman"/>
          <w:kern w:val="44"/>
          <w:szCs w:val="24"/>
        </w:rPr>
        <w:t>表示严格，在正常情况下均应这样做的：</w:t>
      </w:r>
    </w:p>
    <w:p w14:paraId="19D62D81" w14:textId="77777777" w:rsidR="002A562B" w:rsidRPr="00530A11" w:rsidRDefault="002A562B" w:rsidP="002A562B">
      <w:pPr>
        <w:ind w:firstLineChars="300" w:firstLine="630"/>
        <w:rPr>
          <w:rFonts w:cs="Times New Roman"/>
          <w:kern w:val="44"/>
          <w:szCs w:val="24"/>
        </w:rPr>
      </w:pPr>
      <w:r w:rsidRPr="00530A11">
        <w:rPr>
          <w:rFonts w:cs="Times New Roman"/>
          <w:kern w:val="44"/>
          <w:szCs w:val="24"/>
        </w:rPr>
        <w:t>正面词采用</w:t>
      </w:r>
      <w:r w:rsidRPr="00530A11">
        <w:rPr>
          <w:rFonts w:cs="Times New Roman"/>
          <w:kern w:val="44"/>
          <w:szCs w:val="24"/>
        </w:rPr>
        <w:t>“</w:t>
      </w:r>
      <w:r w:rsidRPr="00530A11">
        <w:rPr>
          <w:rFonts w:cs="Times New Roman"/>
          <w:kern w:val="44"/>
          <w:szCs w:val="24"/>
        </w:rPr>
        <w:t>应</w:t>
      </w:r>
      <w:r w:rsidRPr="00530A11">
        <w:rPr>
          <w:rFonts w:cs="Times New Roman"/>
          <w:kern w:val="44"/>
          <w:szCs w:val="24"/>
        </w:rPr>
        <w:t>”</w:t>
      </w:r>
      <w:r w:rsidRPr="00530A11">
        <w:rPr>
          <w:rFonts w:cs="Times New Roman"/>
          <w:kern w:val="44"/>
          <w:szCs w:val="24"/>
        </w:rPr>
        <w:t>，反面词采用</w:t>
      </w:r>
      <w:r w:rsidRPr="00530A11">
        <w:rPr>
          <w:rFonts w:cs="Times New Roman"/>
          <w:kern w:val="44"/>
          <w:szCs w:val="24"/>
        </w:rPr>
        <w:t>“</w:t>
      </w:r>
      <w:r w:rsidRPr="00530A11">
        <w:rPr>
          <w:rFonts w:cs="Times New Roman"/>
          <w:kern w:val="44"/>
          <w:szCs w:val="24"/>
        </w:rPr>
        <w:t>不应</w:t>
      </w:r>
      <w:r w:rsidRPr="00530A11">
        <w:rPr>
          <w:rFonts w:cs="Times New Roman"/>
          <w:kern w:val="44"/>
          <w:szCs w:val="24"/>
        </w:rPr>
        <w:t>”</w:t>
      </w:r>
      <w:r w:rsidRPr="00530A11">
        <w:rPr>
          <w:rFonts w:cs="Times New Roman"/>
          <w:kern w:val="44"/>
          <w:szCs w:val="24"/>
        </w:rPr>
        <w:t>或</w:t>
      </w:r>
      <w:r w:rsidRPr="00530A11">
        <w:rPr>
          <w:rFonts w:cs="Times New Roman"/>
          <w:kern w:val="44"/>
          <w:szCs w:val="24"/>
        </w:rPr>
        <w:t>“</w:t>
      </w:r>
      <w:r w:rsidRPr="00530A11">
        <w:rPr>
          <w:rFonts w:cs="Times New Roman"/>
          <w:kern w:val="44"/>
          <w:szCs w:val="24"/>
        </w:rPr>
        <w:t>不得</w:t>
      </w:r>
      <w:r w:rsidRPr="00530A11">
        <w:rPr>
          <w:rFonts w:cs="Times New Roman"/>
          <w:kern w:val="44"/>
          <w:szCs w:val="24"/>
        </w:rPr>
        <w:t>”</w:t>
      </w:r>
      <w:r w:rsidRPr="00530A11">
        <w:rPr>
          <w:rFonts w:cs="Times New Roman"/>
          <w:kern w:val="44"/>
          <w:szCs w:val="24"/>
        </w:rPr>
        <w:t>；</w:t>
      </w:r>
    </w:p>
    <w:p w14:paraId="489C6DC7" w14:textId="77777777" w:rsidR="002A562B" w:rsidRPr="00530A11" w:rsidRDefault="002A562B" w:rsidP="002A562B">
      <w:pPr>
        <w:ind w:firstLineChars="300" w:firstLine="630"/>
        <w:rPr>
          <w:rFonts w:cs="Times New Roman"/>
          <w:kern w:val="44"/>
          <w:szCs w:val="24"/>
        </w:rPr>
      </w:pPr>
      <w:r w:rsidRPr="00530A11">
        <w:rPr>
          <w:rFonts w:cs="Times New Roman"/>
          <w:kern w:val="44"/>
          <w:szCs w:val="24"/>
        </w:rPr>
        <w:t>3)</w:t>
      </w:r>
      <w:r w:rsidRPr="00530A11">
        <w:rPr>
          <w:rFonts w:cs="Times New Roman"/>
          <w:kern w:val="44"/>
          <w:szCs w:val="24"/>
        </w:rPr>
        <w:t>表示允许稍有选择，在条件许可时首先应这样做的：</w:t>
      </w:r>
    </w:p>
    <w:p w14:paraId="342C42CF" w14:textId="77777777" w:rsidR="002A562B" w:rsidRPr="00530A11" w:rsidRDefault="002A562B" w:rsidP="002A562B">
      <w:pPr>
        <w:ind w:firstLineChars="300" w:firstLine="630"/>
        <w:rPr>
          <w:rFonts w:cs="Times New Roman"/>
          <w:kern w:val="44"/>
          <w:szCs w:val="24"/>
        </w:rPr>
      </w:pPr>
      <w:r w:rsidRPr="00530A11">
        <w:rPr>
          <w:rFonts w:cs="Times New Roman"/>
          <w:kern w:val="44"/>
          <w:szCs w:val="24"/>
        </w:rPr>
        <w:t>正面词采用</w:t>
      </w:r>
      <w:r w:rsidRPr="00530A11">
        <w:rPr>
          <w:rFonts w:cs="Times New Roman"/>
          <w:kern w:val="44"/>
          <w:szCs w:val="24"/>
        </w:rPr>
        <w:t>“</w:t>
      </w:r>
      <w:r w:rsidRPr="00530A11">
        <w:rPr>
          <w:rFonts w:cs="Times New Roman"/>
          <w:kern w:val="44"/>
          <w:szCs w:val="24"/>
        </w:rPr>
        <w:t>宜</w:t>
      </w:r>
      <w:r w:rsidRPr="00530A11">
        <w:rPr>
          <w:rFonts w:cs="Times New Roman"/>
          <w:kern w:val="44"/>
          <w:szCs w:val="24"/>
        </w:rPr>
        <w:t>”</w:t>
      </w:r>
      <w:r w:rsidRPr="00530A11">
        <w:rPr>
          <w:rFonts w:cs="Times New Roman"/>
          <w:kern w:val="44"/>
          <w:szCs w:val="24"/>
        </w:rPr>
        <w:t>，反面词采用</w:t>
      </w:r>
      <w:r w:rsidRPr="00530A11">
        <w:rPr>
          <w:rFonts w:cs="Times New Roman"/>
          <w:kern w:val="44"/>
          <w:szCs w:val="24"/>
        </w:rPr>
        <w:t>“</w:t>
      </w:r>
      <w:r w:rsidRPr="00530A11">
        <w:rPr>
          <w:rFonts w:cs="Times New Roman"/>
          <w:kern w:val="44"/>
          <w:szCs w:val="24"/>
        </w:rPr>
        <w:t>不宜</w:t>
      </w:r>
      <w:r w:rsidRPr="00530A11">
        <w:rPr>
          <w:rFonts w:cs="Times New Roman"/>
          <w:kern w:val="44"/>
          <w:szCs w:val="24"/>
        </w:rPr>
        <w:t>”</w:t>
      </w:r>
      <w:r w:rsidRPr="00530A11">
        <w:rPr>
          <w:rFonts w:cs="Times New Roman"/>
          <w:kern w:val="44"/>
          <w:szCs w:val="24"/>
        </w:rPr>
        <w:t>；</w:t>
      </w:r>
    </w:p>
    <w:p w14:paraId="210BDF09" w14:textId="7E454EA4" w:rsidR="002A562B" w:rsidRDefault="002A562B" w:rsidP="002A562B">
      <w:pPr>
        <w:ind w:firstLineChars="300" w:firstLine="630"/>
        <w:rPr>
          <w:rFonts w:cs="Times New Roman"/>
          <w:kern w:val="44"/>
          <w:szCs w:val="24"/>
        </w:rPr>
      </w:pPr>
      <w:r w:rsidRPr="00530A11">
        <w:rPr>
          <w:rFonts w:cs="Times New Roman"/>
          <w:kern w:val="44"/>
          <w:szCs w:val="24"/>
        </w:rPr>
        <w:t>4)</w:t>
      </w:r>
      <w:r w:rsidRPr="00530A11">
        <w:rPr>
          <w:rFonts w:cs="Times New Roman"/>
          <w:kern w:val="44"/>
          <w:szCs w:val="24"/>
        </w:rPr>
        <w:t>表示有选择，在一定条件下可以这样做的，采用</w:t>
      </w:r>
      <w:r w:rsidRPr="00530A11">
        <w:rPr>
          <w:rFonts w:cs="Times New Roman"/>
          <w:kern w:val="44"/>
          <w:szCs w:val="24"/>
        </w:rPr>
        <w:t>“</w:t>
      </w:r>
      <w:r w:rsidRPr="00530A11">
        <w:rPr>
          <w:rFonts w:cs="Times New Roman"/>
          <w:kern w:val="44"/>
          <w:szCs w:val="24"/>
        </w:rPr>
        <w:t>可</w:t>
      </w:r>
      <w:r w:rsidRPr="00530A11">
        <w:rPr>
          <w:rFonts w:cs="Times New Roman"/>
          <w:kern w:val="44"/>
          <w:szCs w:val="24"/>
        </w:rPr>
        <w:t>”</w:t>
      </w:r>
      <w:r w:rsidRPr="00530A11">
        <w:rPr>
          <w:rFonts w:cs="Times New Roman"/>
          <w:kern w:val="44"/>
          <w:szCs w:val="24"/>
        </w:rPr>
        <w:t>。</w:t>
      </w:r>
    </w:p>
    <w:p w14:paraId="43E6EC2E" w14:textId="77777777" w:rsidR="009252F8" w:rsidRPr="00530A11" w:rsidRDefault="009252F8" w:rsidP="002A562B">
      <w:pPr>
        <w:ind w:firstLineChars="300" w:firstLine="630"/>
        <w:rPr>
          <w:rFonts w:cs="Times New Roman"/>
          <w:kern w:val="44"/>
          <w:szCs w:val="24"/>
        </w:rPr>
      </w:pPr>
    </w:p>
    <w:p w14:paraId="5F781BF5" w14:textId="77777777" w:rsidR="002A562B" w:rsidRPr="00530A11" w:rsidRDefault="002A562B" w:rsidP="002A562B">
      <w:pPr>
        <w:ind w:firstLine="420"/>
        <w:rPr>
          <w:rFonts w:cs="Times New Roman"/>
          <w:kern w:val="44"/>
          <w:szCs w:val="24"/>
        </w:rPr>
      </w:pPr>
      <w:r w:rsidRPr="00EB74A4">
        <w:rPr>
          <w:rFonts w:cs="Times New Roman"/>
          <w:kern w:val="44"/>
          <w:szCs w:val="24"/>
          <w:highlight w:val="yellow"/>
        </w:rPr>
        <w:t xml:space="preserve">2 </w:t>
      </w:r>
      <w:r w:rsidRPr="00EB74A4">
        <w:rPr>
          <w:rFonts w:cs="Times New Roman" w:hint="eastAsia"/>
          <w:kern w:val="44"/>
          <w:szCs w:val="24"/>
          <w:highlight w:val="yellow"/>
        </w:rPr>
        <w:t>条文中指</w:t>
      </w:r>
      <w:r w:rsidRPr="00530A11">
        <w:rPr>
          <w:rFonts w:cs="Times New Roman"/>
          <w:kern w:val="44"/>
          <w:szCs w:val="24"/>
        </w:rPr>
        <w:t>明应按其他有关标准执行的写法为：</w:t>
      </w:r>
      <w:r w:rsidRPr="00530A11">
        <w:rPr>
          <w:rFonts w:cs="Times New Roman"/>
          <w:kern w:val="44"/>
          <w:szCs w:val="24"/>
        </w:rPr>
        <w:t>“</w:t>
      </w:r>
      <w:r w:rsidRPr="00530A11">
        <w:rPr>
          <w:rFonts w:cs="Times New Roman"/>
          <w:kern w:val="44"/>
          <w:szCs w:val="24"/>
        </w:rPr>
        <w:t>应符合</w:t>
      </w:r>
      <w:r w:rsidRPr="00530A11">
        <w:rPr>
          <w:rFonts w:cs="Times New Roman"/>
          <w:kern w:val="44"/>
          <w:szCs w:val="24"/>
        </w:rPr>
        <w:t>……</w:t>
      </w:r>
      <w:r w:rsidRPr="00530A11">
        <w:rPr>
          <w:rFonts w:cs="Times New Roman"/>
          <w:kern w:val="44"/>
          <w:szCs w:val="24"/>
        </w:rPr>
        <w:t>的规定</w:t>
      </w:r>
      <w:r w:rsidRPr="00530A11">
        <w:rPr>
          <w:rFonts w:cs="Times New Roman"/>
          <w:kern w:val="44"/>
          <w:szCs w:val="24"/>
        </w:rPr>
        <w:t>”</w:t>
      </w:r>
      <w:r w:rsidRPr="00530A11">
        <w:rPr>
          <w:rFonts w:cs="Times New Roman"/>
          <w:kern w:val="44"/>
          <w:szCs w:val="24"/>
        </w:rPr>
        <w:t>或</w:t>
      </w:r>
      <w:r w:rsidRPr="00530A11">
        <w:rPr>
          <w:rFonts w:cs="Times New Roman"/>
          <w:kern w:val="44"/>
          <w:szCs w:val="24"/>
        </w:rPr>
        <w:t>“</w:t>
      </w:r>
      <w:r w:rsidRPr="00530A11">
        <w:rPr>
          <w:rFonts w:cs="Times New Roman"/>
          <w:kern w:val="44"/>
          <w:szCs w:val="24"/>
        </w:rPr>
        <w:t>应按</w:t>
      </w:r>
      <w:r w:rsidRPr="00530A11">
        <w:rPr>
          <w:rFonts w:cs="Times New Roman"/>
          <w:kern w:val="44"/>
          <w:szCs w:val="24"/>
        </w:rPr>
        <w:t>……</w:t>
      </w:r>
      <w:r w:rsidRPr="00530A11">
        <w:rPr>
          <w:rFonts w:cs="Times New Roman"/>
          <w:kern w:val="44"/>
          <w:szCs w:val="24"/>
        </w:rPr>
        <w:t>执行</w:t>
      </w:r>
      <w:r w:rsidRPr="00530A11">
        <w:rPr>
          <w:rFonts w:cs="Times New Roman"/>
          <w:kern w:val="44"/>
          <w:szCs w:val="24"/>
        </w:rPr>
        <w:t>”</w:t>
      </w:r>
      <w:r w:rsidRPr="00530A11">
        <w:rPr>
          <w:rFonts w:cs="Times New Roman"/>
          <w:kern w:val="44"/>
          <w:szCs w:val="24"/>
        </w:rPr>
        <w:t>。</w:t>
      </w:r>
    </w:p>
    <w:p w14:paraId="771F8551" w14:textId="77777777" w:rsidR="002C02E3" w:rsidRPr="002A562B" w:rsidRDefault="002C02E3" w:rsidP="00345EC5">
      <w:pPr>
        <w:ind w:firstLine="420"/>
        <w:rPr>
          <w:rFonts w:cs="Times New Roman"/>
          <w:bCs/>
          <w:kern w:val="44"/>
          <w:szCs w:val="24"/>
        </w:rPr>
      </w:pPr>
    </w:p>
    <w:p w14:paraId="0F4A7275" w14:textId="77777777" w:rsidR="002C02E3" w:rsidRPr="0081478A" w:rsidRDefault="002C02E3" w:rsidP="00345EC5">
      <w:pPr>
        <w:ind w:firstLine="420"/>
        <w:rPr>
          <w:rFonts w:cs="Times New Roman"/>
          <w:bCs/>
          <w:kern w:val="44"/>
          <w:szCs w:val="24"/>
        </w:rPr>
      </w:pPr>
    </w:p>
    <w:p w14:paraId="3615BA10" w14:textId="77777777" w:rsidR="002C02E3" w:rsidRPr="0081478A" w:rsidRDefault="002C02E3" w:rsidP="00345EC5">
      <w:pPr>
        <w:ind w:firstLine="420"/>
        <w:rPr>
          <w:rFonts w:cs="Times New Roman"/>
          <w:bCs/>
          <w:kern w:val="44"/>
          <w:szCs w:val="24"/>
        </w:rPr>
      </w:pPr>
    </w:p>
    <w:p w14:paraId="7A8FBD31" w14:textId="77777777" w:rsidR="002C02E3" w:rsidRPr="0081478A" w:rsidRDefault="002C02E3" w:rsidP="00345EC5">
      <w:pPr>
        <w:ind w:firstLine="420"/>
        <w:rPr>
          <w:rFonts w:cs="Times New Roman"/>
          <w:bCs/>
          <w:kern w:val="44"/>
          <w:szCs w:val="24"/>
        </w:rPr>
      </w:pPr>
    </w:p>
    <w:p w14:paraId="775A08A5" w14:textId="77777777" w:rsidR="002C02E3" w:rsidRPr="0081478A" w:rsidRDefault="002C02E3" w:rsidP="00345EC5">
      <w:pPr>
        <w:ind w:firstLine="420"/>
        <w:rPr>
          <w:rFonts w:cs="Times New Roman"/>
          <w:bCs/>
          <w:kern w:val="44"/>
          <w:szCs w:val="24"/>
        </w:rPr>
      </w:pPr>
    </w:p>
    <w:p w14:paraId="540A87EB" w14:textId="77777777" w:rsidR="002C02E3" w:rsidRPr="0081478A" w:rsidRDefault="002C02E3" w:rsidP="00345EC5">
      <w:pPr>
        <w:ind w:firstLine="420"/>
        <w:rPr>
          <w:rFonts w:cs="Times New Roman"/>
          <w:bCs/>
          <w:kern w:val="44"/>
          <w:szCs w:val="24"/>
        </w:rPr>
      </w:pPr>
    </w:p>
    <w:p w14:paraId="330D2474" w14:textId="77777777" w:rsidR="002C02E3" w:rsidRPr="0081478A" w:rsidRDefault="002C02E3" w:rsidP="00345EC5">
      <w:pPr>
        <w:ind w:firstLine="420"/>
        <w:rPr>
          <w:rFonts w:cs="Times New Roman"/>
          <w:bCs/>
          <w:kern w:val="44"/>
          <w:szCs w:val="24"/>
        </w:rPr>
      </w:pPr>
    </w:p>
    <w:p w14:paraId="1A3C4711" w14:textId="77777777" w:rsidR="002C02E3" w:rsidRPr="0081478A" w:rsidRDefault="002C02E3" w:rsidP="00345EC5">
      <w:pPr>
        <w:ind w:firstLine="420"/>
        <w:rPr>
          <w:rFonts w:cs="Times New Roman"/>
          <w:bCs/>
          <w:kern w:val="44"/>
          <w:szCs w:val="24"/>
        </w:rPr>
      </w:pPr>
    </w:p>
    <w:p w14:paraId="157F1140" w14:textId="77777777" w:rsidR="002C02E3" w:rsidRPr="0081478A" w:rsidRDefault="002C02E3" w:rsidP="00345EC5">
      <w:pPr>
        <w:ind w:firstLine="420"/>
        <w:rPr>
          <w:rFonts w:cs="Times New Roman"/>
          <w:bCs/>
          <w:kern w:val="44"/>
          <w:szCs w:val="24"/>
        </w:rPr>
      </w:pPr>
    </w:p>
    <w:p w14:paraId="46C56EF6" w14:textId="77777777" w:rsidR="002C02E3" w:rsidRPr="0081478A" w:rsidRDefault="002C02E3" w:rsidP="00345EC5">
      <w:pPr>
        <w:ind w:firstLine="420"/>
        <w:rPr>
          <w:rFonts w:cs="Times New Roman"/>
          <w:bCs/>
          <w:kern w:val="44"/>
          <w:szCs w:val="24"/>
        </w:rPr>
      </w:pPr>
    </w:p>
    <w:p w14:paraId="69C7D025" w14:textId="77777777" w:rsidR="002C02E3" w:rsidRPr="0081478A" w:rsidRDefault="002C02E3" w:rsidP="00076964">
      <w:pPr>
        <w:ind w:firstLineChars="0" w:firstLine="0"/>
        <w:rPr>
          <w:rFonts w:cs="Times New Roman"/>
          <w:bCs/>
          <w:kern w:val="44"/>
          <w:szCs w:val="24"/>
        </w:rPr>
      </w:pPr>
    </w:p>
    <w:p w14:paraId="72A9C705" w14:textId="77777777" w:rsidR="002C02E3" w:rsidRPr="0081478A" w:rsidRDefault="002C02E3" w:rsidP="00076964">
      <w:pPr>
        <w:ind w:firstLineChars="0" w:firstLine="0"/>
        <w:rPr>
          <w:rFonts w:cs="Times New Roman"/>
          <w:bCs/>
          <w:kern w:val="44"/>
          <w:szCs w:val="24"/>
        </w:rPr>
      </w:pPr>
    </w:p>
    <w:p w14:paraId="76450625" w14:textId="77777777" w:rsidR="002C02E3" w:rsidRPr="0081478A" w:rsidRDefault="002C02E3" w:rsidP="003C1556">
      <w:pPr>
        <w:pStyle w:val="23"/>
      </w:pPr>
      <w:bookmarkStart w:id="243" w:name="_Toc35364763"/>
      <w:r w:rsidRPr="0081478A">
        <w:lastRenderedPageBreak/>
        <w:t>引用标准名录</w:t>
      </w:r>
      <w:bookmarkEnd w:id="243"/>
    </w:p>
    <w:p w14:paraId="29976D65"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hint="eastAsia"/>
        </w:rPr>
        <w:t>《民用建筑隔声设计规范》</w:t>
      </w:r>
      <w:r w:rsidRPr="008D43F0">
        <w:rPr>
          <w:rFonts w:ascii="Times New Roman" w:eastAsia="宋体" w:hAnsi="Times New Roman" w:cs="Times New Roman"/>
        </w:rPr>
        <w:t>GB 50118</w:t>
      </w:r>
    </w:p>
    <w:p w14:paraId="314C862C"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hint="eastAsia"/>
        </w:rPr>
        <w:t>《室内空气质量标准》</w:t>
      </w:r>
      <w:r w:rsidRPr="008D43F0">
        <w:rPr>
          <w:rFonts w:ascii="Times New Roman" w:eastAsia="宋体" w:hAnsi="Times New Roman" w:cs="Times New Roman"/>
        </w:rPr>
        <w:t>GB/T 18883</w:t>
      </w:r>
    </w:p>
    <w:p w14:paraId="5FC40E97"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《建筑地面工程防滑技术规程》</w:t>
      </w:r>
      <w:r w:rsidRPr="008D43F0">
        <w:rPr>
          <w:rFonts w:ascii="Times New Roman" w:eastAsia="宋体" w:hAnsi="Times New Roman" w:cs="Times New Roman"/>
        </w:rPr>
        <w:t>JGJ/T331</w:t>
      </w:r>
    </w:p>
    <w:p w14:paraId="7F709111"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《生活饮用水卫生标准》</w:t>
      </w:r>
      <w:r w:rsidRPr="008D43F0">
        <w:rPr>
          <w:rFonts w:ascii="Times New Roman" w:eastAsia="宋体" w:hAnsi="Times New Roman" w:cs="Times New Roman"/>
        </w:rPr>
        <w:t>GB 5749</w:t>
      </w:r>
    </w:p>
    <w:p w14:paraId="1C7A2DB1"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hint="eastAsia"/>
        </w:rPr>
        <w:t>《社会生活环境噪声排放标准》</w:t>
      </w:r>
      <w:r w:rsidRPr="008D43F0">
        <w:rPr>
          <w:rFonts w:ascii="Times New Roman" w:eastAsia="宋体" w:hAnsi="Times New Roman" w:cs="Times New Roman"/>
        </w:rPr>
        <w:t>GB 22337</w:t>
      </w:r>
    </w:p>
    <w:p w14:paraId="1637A42A"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《建筑照明设计标准》</w:t>
      </w:r>
      <w:r w:rsidRPr="008D43F0">
        <w:rPr>
          <w:rFonts w:ascii="Times New Roman" w:eastAsia="宋体" w:hAnsi="Times New Roman" w:cs="Times New Roman"/>
        </w:rPr>
        <w:t>GB 50034</w:t>
      </w:r>
    </w:p>
    <w:p w14:paraId="6FA18FF5"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《灯和灯系统的光生物安全性》</w:t>
      </w:r>
      <w:r w:rsidRPr="008D43F0">
        <w:rPr>
          <w:rFonts w:ascii="Times New Roman" w:eastAsia="宋体" w:hAnsi="Times New Roman" w:cs="Times New Roman"/>
        </w:rPr>
        <w:t>GB/T 20145</w:t>
      </w:r>
    </w:p>
    <w:p w14:paraId="241CACC1"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w:t>
      </w:r>
      <w:r w:rsidRPr="008D43F0">
        <w:rPr>
          <w:rFonts w:ascii="Times New Roman" w:eastAsia="宋体" w:hAnsi="Times New Roman" w:cs="Times New Roman"/>
        </w:rPr>
        <w:t>LED</w:t>
      </w:r>
      <w:r w:rsidRPr="008D43F0">
        <w:rPr>
          <w:rFonts w:ascii="Times New Roman" w:eastAsia="宋体" w:hAnsi="Times New Roman" w:cs="Times New Roman"/>
        </w:rPr>
        <w:t>室内照明应用技术要求》</w:t>
      </w:r>
      <w:r w:rsidRPr="008D43F0">
        <w:rPr>
          <w:rFonts w:ascii="Times New Roman" w:eastAsia="宋体" w:hAnsi="Times New Roman" w:cs="Times New Roman"/>
        </w:rPr>
        <w:t>GB/T 31831</w:t>
      </w:r>
    </w:p>
    <w:p w14:paraId="7B1C409A"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《民用建筑供暖通风与空气调节设计规范》</w:t>
      </w:r>
      <w:r w:rsidRPr="008D43F0">
        <w:rPr>
          <w:rFonts w:ascii="Times New Roman" w:eastAsia="宋体" w:hAnsi="Times New Roman" w:cs="Times New Roman"/>
        </w:rPr>
        <w:t>GB 50736</w:t>
      </w:r>
    </w:p>
    <w:p w14:paraId="05E741A5"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《民用建筑热工设计规范》</w:t>
      </w:r>
      <w:r w:rsidRPr="008D43F0">
        <w:rPr>
          <w:rFonts w:ascii="Times New Roman" w:eastAsia="宋体" w:hAnsi="Times New Roman" w:cs="Times New Roman"/>
        </w:rPr>
        <w:t>GB 50176</w:t>
      </w:r>
    </w:p>
    <w:p w14:paraId="13CE076C"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《民用建筑室内热湿环境评价标准》</w:t>
      </w:r>
      <w:r w:rsidRPr="008D43F0">
        <w:rPr>
          <w:rFonts w:ascii="Times New Roman" w:eastAsia="宋体" w:hAnsi="Times New Roman" w:cs="Times New Roman"/>
        </w:rPr>
        <w:t>GB/T 50785</w:t>
      </w:r>
    </w:p>
    <w:p w14:paraId="61FF81B7"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《民用建筑节水设计标准》</w:t>
      </w:r>
      <w:r w:rsidRPr="008D43F0">
        <w:rPr>
          <w:rFonts w:ascii="Times New Roman" w:eastAsia="宋体" w:hAnsi="Times New Roman" w:cs="Times New Roman"/>
        </w:rPr>
        <w:t>GB 50555</w:t>
      </w:r>
    </w:p>
    <w:p w14:paraId="22202E43"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《公共建筑节能设计标准》</w:t>
      </w:r>
      <w:r w:rsidRPr="008D43F0">
        <w:rPr>
          <w:rFonts w:ascii="Times New Roman" w:eastAsia="宋体" w:hAnsi="Times New Roman" w:cs="Times New Roman"/>
        </w:rPr>
        <w:t>GB 50189</w:t>
      </w:r>
    </w:p>
    <w:p w14:paraId="479B7F94"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《声环境质量标准》</w:t>
      </w:r>
      <w:r w:rsidRPr="008D43F0">
        <w:rPr>
          <w:rFonts w:ascii="Times New Roman" w:eastAsia="宋体" w:hAnsi="Times New Roman" w:cs="Times New Roman"/>
        </w:rPr>
        <w:t>GB3096</w:t>
      </w:r>
    </w:p>
    <w:p w14:paraId="337A364B"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《玻璃幕墙光热性能》</w:t>
      </w:r>
      <w:r w:rsidRPr="008D43F0">
        <w:rPr>
          <w:rFonts w:ascii="Times New Roman" w:eastAsia="宋体" w:hAnsi="Times New Roman" w:cs="Times New Roman"/>
        </w:rPr>
        <w:t>GB/T 18091</w:t>
      </w:r>
    </w:p>
    <w:p w14:paraId="7281B9CE"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《室外照明干扰光限制规范》</w:t>
      </w:r>
      <w:r w:rsidRPr="008D43F0">
        <w:rPr>
          <w:rFonts w:ascii="Times New Roman" w:eastAsia="宋体" w:hAnsi="Times New Roman" w:cs="Times New Roman"/>
        </w:rPr>
        <w:t>GB/T 35626</w:t>
      </w:r>
    </w:p>
    <w:p w14:paraId="75C1F683"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《城市夜景照明设计规范》</w:t>
      </w:r>
      <w:r w:rsidRPr="008D43F0">
        <w:rPr>
          <w:rFonts w:ascii="Times New Roman" w:eastAsia="宋体" w:hAnsi="Times New Roman" w:cs="Times New Roman"/>
        </w:rPr>
        <w:t>JGJ/T 163</w:t>
      </w:r>
    </w:p>
    <w:p w14:paraId="2D1B0856"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《重庆市装配式建筑装配率计算细则</w:t>
      </w:r>
      <w:r w:rsidRPr="008D43F0">
        <w:rPr>
          <w:rFonts w:ascii="Times New Roman" w:eastAsia="宋体" w:hAnsi="Times New Roman" w:cs="Times New Roman"/>
        </w:rPr>
        <w:t>(</w:t>
      </w:r>
      <w:r w:rsidRPr="008D43F0">
        <w:rPr>
          <w:rFonts w:ascii="Times New Roman" w:eastAsia="宋体" w:hAnsi="Times New Roman" w:cs="Times New Roman"/>
        </w:rPr>
        <w:t>试行</w:t>
      </w:r>
      <w:r w:rsidRPr="008D43F0">
        <w:rPr>
          <w:rFonts w:ascii="Times New Roman" w:eastAsia="宋体" w:hAnsi="Times New Roman" w:cs="Times New Roman"/>
        </w:rPr>
        <w:t>)</w:t>
      </w:r>
      <w:r w:rsidRPr="008D43F0">
        <w:rPr>
          <w:rFonts w:ascii="Times New Roman" w:eastAsia="宋体" w:hAnsi="Times New Roman" w:cs="Times New Roman"/>
        </w:rPr>
        <w:t>》</w:t>
      </w:r>
    </w:p>
    <w:p w14:paraId="011B91C1" w14:textId="77777777" w:rsidR="002A562B" w:rsidRPr="008D43F0" w:rsidRDefault="002A562B" w:rsidP="002A562B">
      <w:pPr>
        <w:pStyle w:val="af4"/>
        <w:numPr>
          <w:ilvl w:val="0"/>
          <w:numId w:val="2"/>
        </w:numPr>
        <w:spacing w:line="360" w:lineRule="auto"/>
        <w:ind w:firstLineChars="0"/>
        <w:rPr>
          <w:rFonts w:ascii="Times New Roman" w:eastAsia="宋体" w:hAnsi="Times New Roman" w:cs="Times New Roman"/>
        </w:rPr>
      </w:pPr>
      <w:r w:rsidRPr="008D43F0">
        <w:rPr>
          <w:rFonts w:ascii="Times New Roman" w:eastAsia="宋体" w:hAnsi="Times New Roman" w:cs="Times New Roman"/>
        </w:rPr>
        <w:t>《绿色建筑评价标准》</w:t>
      </w:r>
      <w:r w:rsidRPr="008D43F0">
        <w:rPr>
          <w:rFonts w:ascii="Times New Roman" w:eastAsia="宋体" w:hAnsi="Times New Roman" w:cs="Times New Roman"/>
        </w:rPr>
        <w:t>GB/T 50378</w:t>
      </w:r>
    </w:p>
    <w:p w14:paraId="6BABF69E" w14:textId="77777777" w:rsidR="00104AAC" w:rsidRPr="00EB74A4" w:rsidRDefault="00104AAC" w:rsidP="00AF7DAA">
      <w:pPr>
        <w:ind w:firstLineChars="0" w:firstLine="0"/>
        <w:rPr>
          <w:rFonts w:cs="Times New Roman"/>
          <w:bCs/>
          <w:kern w:val="44"/>
          <w:szCs w:val="24"/>
        </w:rPr>
      </w:pPr>
    </w:p>
    <w:p w14:paraId="2A268B2F" w14:textId="1F2E173B" w:rsidR="00CB178D" w:rsidRDefault="00104AAC" w:rsidP="00AF7DAA">
      <w:pPr>
        <w:ind w:firstLineChars="0" w:firstLine="0"/>
        <w:rPr>
          <w:rFonts w:cs="Times New Roman"/>
          <w:bCs/>
          <w:kern w:val="44"/>
          <w:szCs w:val="24"/>
        </w:rPr>
      </w:pPr>
      <w:r w:rsidRPr="0081478A">
        <w:rPr>
          <w:rFonts w:cs="Times New Roman"/>
          <w:bCs/>
          <w:kern w:val="44"/>
          <w:szCs w:val="24"/>
        </w:rPr>
        <w:t xml:space="preserve"> </w:t>
      </w:r>
    </w:p>
    <w:p w14:paraId="463DE456" w14:textId="4F6D9008" w:rsidR="00EB74A4" w:rsidRDefault="00EB74A4" w:rsidP="00AF7DAA">
      <w:pPr>
        <w:ind w:firstLineChars="0" w:firstLine="0"/>
        <w:rPr>
          <w:rFonts w:cs="Times New Roman"/>
          <w:bCs/>
          <w:kern w:val="44"/>
          <w:szCs w:val="24"/>
        </w:rPr>
      </w:pPr>
    </w:p>
    <w:p w14:paraId="393B661D" w14:textId="36C92CE5" w:rsidR="00EB74A4" w:rsidRDefault="00EB74A4" w:rsidP="00AF7DAA">
      <w:pPr>
        <w:ind w:firstLineChars="0" w:firstLine="0"/>
        <w:rPr>
          <w:rFonts w:cs="Times New Roman"/>
          <w:bCs/>
          <w:kern w:val="44"/>
          <w:szCs w:val="24"/>
        </w:rPr>
      </w:pPr>
    </w:p>
    <w:p w14:paraId="5ECC162C" w14:textId="567B6CAD" w:rsidR="00EB74A4" w:rsidRDefault="00EB74A4" w:rsidP="00AF7DAA">
      <w:pPr>
        <w:ind w:firstLineChars="0" w:firstLine="0"/>
        <w:rPr>
          <w:rFonts w:cs="Times New Roman"/>
          <w:bCs/>
          <w:kern w:val="44"/>
          <w:szCs w:val="24"/>
        </w:rPr>
      </w:pPr>
    </w:p>
    <w:p w14:paraId="580508C1" w14:textId="542DC122" w:rsidR="00EB74A4" w:rsidRDefault="00EB74A4" w:rsidP="00AF7DAA">
      <w:pPr>
        <w:ind w:firstLineChars="0" w:firstLine="0"/>
        <w:rPr>
          <w:rFonts w:cs="Times New Roman"/>
          <w:bCs/>
          <w:kern w:val="44"/>
          <w:szCs w:val="24"/>
        </w:rPr>
      </w:pPr>
    </w:p>
    <w:p w14:paraId="7A571A34" w14:textId="7621A86D" w:rsidR="00EB74A4" w:rsidRDefault="00EB74A4" w:rsidP="00AF7DAA">
      <w:pPr>
        <w:ind w:firstLineChars="0" w:firstLine="0"/>
        <w:rPr>
          <w:rFonts w:cs="Times New Roman"/>
          <w:bCs/>
          <w:kern w:val="44"/>
          <w:szCs w:val="24"/>
        </w:rPr>
      </w:pPr>
    </w:p>
    <w:p w14:paraId="044753C3" w14:textId="77777777" w:rsidR="00EB74A4" w:rsidRDefault="00EB74A4">
      <w:pPr>
        <w:widowControl/>
        <w:spacing w:line="240" w:lineRule="auto"/>
        <w:ind w:firstLineChars="0" w:firstLine="0"/>
        <w:jc w:val="left"/>
        <w:rPr>
          <w:rFonts w:cs="Times New Roman"/>
          <w:bCs/>
          <w:kern w:val="44"/>
          <w:szCs w:val="24"/>
        </w:rPr>
      </w:pPr>
      <w:r>
        <w:rPr>
          <w:rFonts w:cs="Times New Roman"/>
          <w:bCs/>
          <w:kern w:val="44"/>
          <w:szCs w:val="24"/>
        </w:rPr>
        <w:br w:type="page"/>
      </w:r>
    </w:p>
    <w:p w14:paraId="22AA6C1B" w14:textId="77777777" w:rsidR="00EB74A4" w:rsidRDefault="00EB74A4" w:rsidP="00EB74A4">
      <w:pPr>
        <w:pStyle w:val="23"/>
      </w:pPr>
      <w:r>
        <w:rPr>
          <w:rFonts w:hint="eastAsia"/>
        </w:rPr>
        <w:lastRenderedPageBreak/>
        <w:t>提交材料清单</w:t>
      </w:r>
    </w:p>
    <w:p w14:paraId="7F02180E" w14:textId="75E37FEB" w:rsidR="00EB74A4" w:rsidRPr="00C04B55" w:rsidRDefault="004A7A0D" w:rsidP="00EB74A4">
      <w:pPr>
        <w:pStyle w:val="ae"/>
      </w:pPr>
      <w:r>
        <w:rPr>
          <w:rFonts w:hint="eastAsia"/>
        </w:rPr>
        <w:t>表</w:t>
      </w:r>
      <w:r>
        <w:rPr>
          <w:rFonts w:hint="eastAsia"/>
        </w:rPr>
        <w:t>1</w:t>
      </w:r>
      <w:r>
        <w:t xml:space="preserve"> </w:t>
      </w:r>
      <w:r w:rsidR="00EB74A4" w:rsidRPr="00C04B55">
        <w:t>申报材料清单</w:t>
      </w:r>
    </w:p>
    <w:tbl>
      <w:tblPr>
        <w:tblStyle w:val="ac"/>
        <w:tblW w:w="5000" w:type="pct"/>
        <w:tblBorders>
          <w:left w:val="none" w:sz="0" w:space="0" w:color="auto"/>
          <w:right w:val="none" w:sz="0" w:space="0" w:color="auto"/>
        </w:tblBorders>
        <w:tblLook w:val="04A0" w:firstRow="1" w:lastRow="0" w:firstColumn="1" w:lastColumn="0" w:noHBand="0" w:noVBand="1"/>
      </w:tblPr>
      <w:tblGrid>
        <w:gridCol w:w="1457"/>
        <w:gridCol w:w="7072"/>
      </w:tblGrid>
      <w:tr w:rsidR="00EB74A4" w:rsidRPr="00EB74A4" w14:paraId="593139A1" w14:textId="77777777" w:rsidTr="00EB74A4">
        <w:tc>
          <w:tcPr>
            <w:tcW w:w="854" w:type="pct"/>
            <w:tcBorders>
              <w:top w:val="single" w:sz="8" w:space="0" w:color="auto"/>
            </w:tcBorders>
            <w:vAlign w:val="center"/>
          </w:tcPr>
          <w:p w14:paraId="0E61BF89" w14:textId="77777777" w:rsidR="00EB74A4" w:rsidRPr="00EB74A4" w:rsidRDefault="00EB74A4" w:rsidP="00EB74A4">
            <w:pPr>
              <w:pStyle w:val="ae"/>
              <w:rPr>
                <w:b w:val="0"/>
                <w:bCs/>
              </w:rPr>
            </w:pPr>
            <w:r w:rsidRPr="00EB74A4">
              <w:rPr>
                <w:rFonts w:hint="eastAsia"/>
                <w:b w:val="0"/>
                <w:bCs/>
              </w:rPr>
              <w:t>标识类型</w:t>
            </w:r>
          </w:p>
        </w:tc>
        <w:tc>
          <w:tcPr>
            <w:tcW w:w="4146" w:type="pct"/>
            <w:tcBorders>
              <w:top w:val="single" w:sz="8" w:space="0" w:color="auto"/>
            </w:tcBorders>
            <w:vAlign w:val="center"/>
          </w:tcPr>
          <w:p w14:paraId="56FD945B" w14:textId="77777777" w:rsidR="00EB74A4" w:rsidRPr="00EB74A4" w:rsidRDefault="00EB74A4" w:rsidP="00EB74A4">
            <w:pPr>
              <w:pStyle w:val="ae"/>
              <w:rPr>
                <w:b w:val="0"/>
                <w:bCs/>
              </w:rPr>
            </w:pPr>
            <w:r w:rsidRPr="00EB74A4">
              <w:rPr>
                <w:rFonts w:hint="eastAsia"/>
                <w:b w:val="0"/>
                <w:bCs/>
              </w:rPr>
              <w:t>提交材料</w:t>
            </w:r>
          </w:p>
        </w:tc>
      </w:tr>
      <w:tr w:rsidR="00EB74A4" w:rsidRPr="00EB74A4" w14:paraId="147ECC6D" w14:textId="77777777" w:rsidTr="00EB74A4">
        <w:tc>
          <w:tcPr>
            <w:tcW w:w="854" w:type="pct"/>
            <w:vMerge w:val="restart"/>
            <w:vAlign w:val="center"/>
          </w:tcPr>
          <w:p w14:paraId="507CB5C5" w14:textId="77777777" w:rsidR="00EB74A4" w:rsidRPr="00EB74A4" w:rsidRDefault="00EB74A4" w:rsidP="00EB74A4">
            <w:pPr>
              <w:pStyle w:val="ae"/>
              <w:rPr>
                <w:b w:val="0"/>
                <w:bCs/>
              </w:rPr>
            </w:pPr>
            <w:r w:rsidRPr="00EB74A4">
              <w:rPr>
                <w:rFonts w:hint="eastAsia"/>
                <w:b w:val="0"/>
                <w:bCs/>
              </w:rPr>
              <w:t>绿色建筑预评价标识</w:t>
            </w:r>
          </w:p>
        </w:tc>
        <w:tc>
          <w:tcPr>
            <w:tcW w:w="4146" w:type="pct"/>
            <w:vAlign w:val="center"/>
          </w:tcPr>
          <w:p w14:paraId="5B563010" w14:textId="77777777" w:rsidR="00EB74A4" w:rsidRPr="00EB74A4" w:rsidRDefault="00EB74A4" w:rsidP="00EB74A4">
            <w:pPr>
              <w:pStyle w:val="ae"/>
              <w:rPr>
                <w:b w:val="0"/>
                <w:bCs/>
              </w:rPr>
            </w:pPr>
            <w:r w:rsidRPr="00EB74A4">
              <w:rPr>
                <w:rFonts w:hint="eastAsia"/>
                <w:b w:val="0"/>
                <w:bCs/>
              </w:rPr>
              <w:t>绿色建筑评价标识申报声明</w:t>
            </w:r>
          </w:p>
        </w:tc>
      </w:tr>
      <w:tr w:rsidR="00EB74A4" w:rsidRPr="00EB74A4" w14:paraId="42FE6FB9" w14:textId="77777777" w:rsidTr="00EB74A4">
        <w:tc>
          <w:tcPr>
            <w:tcW w:w="854" w:type="pct"/>
            <w:vMerge/>
            <w:vAlign w:val="center"/>
          </w:tcPr>
          <w:p w14:paraId="5F7539AD" w14:textId="77777777" w:rsidR="00EB74A4" w:rsidRPr="00EB74A4" w:rsidRDefault="00EB74A4" w:rsidP="00EB74A4">
            <w:pPr>
              <w:pStyle w:val="ae"/>
              <w:rPr>
                <w:b w:val="0"/>
                <w:bCs/>
              </w:rPr>
            </w:pPr>
          </w:p>
        </w:tc>
        <w:tc>
          <w:tcPr>
            <w:tcW w:w="4146" w:type="pct"/>
            <w:vAlign w:val="center"/>
          </w:tcPr>
          <w:p w14:paraId="2F329803" w14:textId="77777777" w:rsidR="00EB74A4" w:rsidRPr="00EB74A4" w:rsidRDefault="00EB74A4" w:rsidP="00EB74A4">
            <w:pPr>
              <w:pStyle w:val="ae"/>
              <w:rPr>
                <w:b w:val="0"/>
                <w:bCs/>
              </w:rPr>
            </w:pPr>
            <w:r w:rsidRPr="00EB74A4">
              <w:rPr>
                <w:rFonts w:hint="eastAsia"/>
                <w:b w:val="0"/>
                <w:bCs/>
              </w:rPr>
              <w:t>项目申报书，需有建筑主管部门盖章</w:t>
            </w:r>
          </w:p>
        </w:tc>
      </w:tr>
      <w:tr w:rsidR="00EB74A4" w:rsidRPr="00EB74A4" w14:paraId="0FCD1ADE" w14:textId="77777777" w:rsidTr="00EB74A4">
        <w:tc>
          <w:tcPr>
            <w:tcW w:w="854" w:type="pct"/>
            <w:vMerge/>
            <w:vAlign w:val="center"/>
          </w:tcPr>
          <w:p w14:paraId="3610F4BC" w14:textId="77777777" w:rsidR="00EB74A4" w:rsidRPr="00EB74A4" w:rsidRDefault="00EB74A4" w:rsidP="00EB74A4">
            <w:pPr>
              <w:pStyle w:val="ae"/>
              <w:rPr>
                <w:b w:val="0"/>
                <w:bCs/>
              </w:rPr>
            </w:pPr>
          </w:p>
        </w:tc>
        <w:tc>
          <w:tcPr>
            <w:tcW w:w="4146" w:type="pct"/>
            <w:vAlign w:val="center"/>
          </w:tcPr>
          <w:p w14:paraId="438992AF" w14:textId="77777777" w:rsidR="00EB74A4" w:rsidRPr="00EB74A4" w:rsidRDefault="00EB74A4" w:rsidP="00EB74A4">
            <w:pPr>
              <w:pStyle w:val="ae"/>
              <w:rPr>
                <w:b w:val="0"/>
                <w:bCs/>
              </w:rPr>
            </w:pPr>
            <w:r w:rsidRPr="00EB74A4">
              <w:rPr>
                <w:rFonts w:hint="eastAsia"/>
                <w:b w:val="0"/>
                <w:bCs/>
              </w:rPr>
              <w:t>绿色建筑自评估报告</w:t>
            </w:r>
          </w:p>
        </w:tc>
      </w:tr>
      <w:tr w:rsidR="00EB74A4" w:rsidRPr="00EB74A4" w14:paraId="2A64F7C7" w14:textId="77777777" w:rsidTr="00EB74A4">
        <w:tc>
          <w:tcPr>
            <w:tcW w:w="854" w:type="pct"/>
            <w:vMerge/>
            <w:vAlign w:val="center"/>
          </w:tcPr>
          <w:p w14:paraId="4A8C8194" w14:textId="77777777" w:rsidR="00EB74A4" w:rsidRPr="00EB74A4" w:rsidRDefault="00EB74A4" w:rsidP="00EB74A4">
            <w:pPr>
              <w:pStyle w:val="ae"/>
              <w:rPr>
                <w:b w:val="0"/>
                <w:bCs/>
              </w:rPr>
            </w:pPr>
          </w:p>
        </w:tc>
        <w:tc>
          <w:tcPr>
            <w:tcW w:w="4146" w:type="pct"/>
            <w:vAlign w:val="center"/>
          </w:tcPr>
          <w:p w14:paraId="0B53D6D2" w14:textId="77777777" w:rsidR="00EB74A4" w:rsidRPr="00EB74A4" w:rsidRDefault="00EB74A4" w:rsidP="00EB74A4">
            <w:pPr>
              <w:pStyle w:val="ae"/>
              <w:rPr>
                <w:b w:val="0"/>
                <w:bCs/>
              </w:rPr>
            </w:pPr>
            <w:r w:rsidRPr="00EB74A4">
              <w:rPr>
                <w:rFonts w:hint="eastAsia"/>
                <w:b w:val="0"/>
                <w:bCs/>
              </w:rPr>
              <w:t>咨询单位与咨询专家的名单及简介</w:t>
            </w:r>
          </w:p>
        </w:tc>
      </w:tr>
      <w:tr w:rsidR="00EB74A4" w:rsidRPr="00EB74A4" w14:paraId="46118258" w14:textId="77777777" w:rsidTr="00EB74A4">
        <w:tc>
          <w:tcPr>
            <w:tcW w:w="854" w:type="pct"/>
            <w:vMerge/>
            <w:vAlign w:val="center"/>
          </w:tcPr>
          <w:p w14:paraId="7E825DB0" w14:textId="77777777" w:rsidR="00EB74A4" w:rsidRPr="00EB74A4" w:rsidRDefault="00EB74A4" w:rsidP="00EB74A4">
            <w:pPr>
              <w:pStyle w:val="ae"/>
              <w:rPr>
                <w:b w:val="0"/>
                <w:bCs/>
              </w:rPr>
            </w:pPr>
          </w:p>
        </w:tc>
        <w:tc>
          <w:tcPr>
            <w:tcW w:w="4146" w:type="pct"/>
            <w:vAlign w:val="center"/>
          </w:tcPr>
          <w:p w14:paraId="6A512551" w14:textId="77777777" w:rsidR="00EB74A4" w:rsidRPr="00EB74A4" w:rsidRDefault="00EB74A4" w:rsidP="00EB74A4">
            <w:pPr>
              <w:pStyle w:val="ae"/>
              <w:rPr>
                <w:b w:val="0"/>
                <w:bCs/>
              </w:rPr>
            </w:pPr>
            <w:r w:rsidRPr="00EB74A4">
              <w:rPr>
                <w:rFonts w:hint="eastAsia"/>
                <w:b w:val="0"/>
                <w:bCs/>
              </w:rPr>
              <w:t>申报单位简介、营业执照等相关资料</w:t>
            </w:r>
          </w:p>
        </w:tc>
      </w:tr>
      <w:tr w:rsidR="00EB74A4" w:rsidRPr="00EB74A4" w14:paraId="58997945" w14:textId="77777777" w:rsidTr="00EB74A4">
        <w:tc>
          <w:tcPr>
            <w:tcW w:w="854" w:type="pct"/>
            <w:vMerge/>
            <w:vAlign w:val="center"/>
          </w:tcPr>
          <w:p w14:paraId="28C255B8" w14:textId="77777777" w:rsidR="00EB74A4" w:rsidRPr="00EB74A4" w:rsidRDefault="00EB74A4" w:rsidP="00EB74A4">
            <w:pPr>
              <w:pStyle w:val="ae"/>
              <w:rPr>
                <w:b w:val="0"/>
                <w:bCs/>
              </w:rPr>
            </w:pPr>
          </w:p>
        </w:tc>
        <w:tc>
          <w:tcPr>
            <w:tcW w:w="4146" w:type="pct"/>
            <w:vAlign w:val="center"/>
          </w:tcPr>
          <w:p w14:paraId="425F2EF6" w14:textId="77777777" w:rsidR="00EB74A4" w:rsidRPr="00EB74A4" w:rsidRDefault="00EB74A4" w:rsidP="00EB74A4">
            <w:pPr>
              <w:pStyle w:val="ae"/>
              <w:rPr>
                <w:b w:val="0"/>
                <w:bCs/>
              </w:rPr>
            </w:pPr>
            <w:r w:rsidRPr="00EB74A4">
              <w:rPr>
                <w:rFonts w:hint="eastAsia"/>
                <w:b w:val="0"/>
                <w:bCs/>
              </w:rPr>
              <w:t>施工图设计文件审查合格书复印件，包括建筑、结构、给排水、电气、暖通、节能、绿建专篇等</w:t>
            </w:r>
          </w:p>
        </w:tc>
      </w:tr>
      <w:tr w:rsidR="00EB74A4" w:rsidRPr="00EB74A4" w14:paraId="002B3649" w14:textId="77777777" w:rsidTr="00EB74A4">
        <w:tc>
          <w:tcPr>
            <w:tcW w:w="854" w:type="pct"/>
            <w:vMerge/>
            <w:vAlign w:val="center"/>
          </w:tcPr>
          <w:p w14:paraId="12CE271B" w14:textId="77777777" w:rsidR="00EB74A4" w:rsidRPr="00EB74A4" w:rsidRDefault="00EB74A4" w:rsidP="00EB74A4">
            <w:pPr>
              <w:pStyle w:val="ae"/>
              <w:rPr>
                <w:b w:val="0"/>
                <w:bCs/>
              </w:rPr>
            </w:pPr>
          </w:p>
        </w:tc>
        <w:tc>
          <w:tcPr>
            <w:tcW w:w="4146" w:type="pct"/>
            <w:vAlign w:val="center"/>
          </w:tcPr>
          <w:p w14:paraId="09BF04E3" w14:textId="77777777" w:rsidR="00EB74A4" w:rsidRPr="00EB74A4" w:rsidRDefault="00EB74A4" w:rsidP="00EB74A4">
            <w:pPr>
              <w:pStyle w:val="ae"/>
              <w:rPr>
                <w:b w:val="0"/>
                <w:bCs/>
              </w:rPr>
            </w:pPr>
            <w:r w:rsidRPr="00EB74A4">
              <w:rPr>
                <w:rFonts w:hint="eastAsia"/>
                <w:b w:val="0"/>
                <w:bCs/>
              </w:rPr>
              <w:t>工程立项批文、规划许可、园林批复、环评批复、初步设计批复等复印件</w:t>
            </w:r>
          </w:p>
        </w:tc>
      </w:tr>
      <w:tr w:rsidR="00EB74A4" w:rsidRPr="00EB74A4" w14:paraId="5C1FA9A8" w14:textId="77777777" w:rsidTr="00EB74A4">
        <w:tc>
          <w:tcPr>
            <w:tcW w:w="854" w:type="pct"/>
            <w:vMerge/>
            <w:vAlign w:val="center"/>
          </w:tcPr>
          <w:p w14:paraId="14CE3C61" w14:textId="77777777" w:rsidR="00EB74A4" w:rsidRPr="00EB74A4" w:rsidRDefault="00EB74A4" w:rsidP="00EB74A4">
            <w:pPr>
              <w:pStyle w:val="ae"/>
              <w:rPr>
                <w:b w:val="0"/>
                <w:bCs/>
              </w:rPr>
            </w:pPr>
          </w:p>
        </w:tc>
        <w:tc>
          <w:tcPr>
            <w:tcW w:w="4146" w:type="pct"/>
            <w:vAlign w:val="center"/>
          </w:tcPr>
          <w:p w14:paraId="46EF0F02" w14:textId="77777777" w:rsidR="00EB74A4" w:rsidRPr="00EB74A4" w:rsidRDefault="00EB74A4" w:rsidP="00EB74A4">
            <w:pPr>
              <w:pStyle w:val="ae"/>
              <w:rPr>
                <w:b w:val="0"/>
                <w:bCs/>
              </w:rPr>
            </w:pPr>
            <w:r w:rsidRPr="00EB74A4">
              <w:rPr>
                <w:rFonts w:hint="eastAsia"/>
                <w:b w:val="0"/>
                <w:bCs/>
              </w:rPr>
              <w:t>建设、设计、咨询单位的资质证书复印件</w:t>
            </w:r>
          </w:p>
        </w:tc>
      </w:tr>
      <w:tr w:rsidR="00EB74A4" w:rsidRPr="00EB74A4" w14:paraId="711D6572" w14:textId="77777777" w:rsidTr="00EB74A4">
        <w:tc>
          <w:tcPr>
            <w:tcW w:w="854" w:type="pct"/>
            <w:vMerge/>
            <w:vAlign w:val="center"/>
          </w:tcPr>
          <w:p w14:paraId="45BC6D98" w14:textId="77777777" w:rsidR="00EB74A4" w:rsidRPr="00EB74A4" w:rsidRDefault="00EB74A4" w:rsidP="00EB74A4">
            <w:pPr>
              <w:pStyle w:val="ae"/>
              <w:rPr>
                <w:b w:val="0"/>
                <w:bCs/>
              </w:rPr>
            </w:pPr>
          </w:p>
        </w:tc>
        <w:tc>
          <w:tcPr>
            <w:tcW w:w="4146" w:type="pct"/>
            <w:vAlign w:val="center"/>
          </w:tcPr>
          <w:p w14:paraId="68C538B5" w14:textId="77777777" w:rsidR="00EB74A4" w:rsidRPr="00EB74A4" w:rsidRDefault="00EB74A4" w:rsidP="00EB74A4">
            <w:pPr>
              <w:pStyle w:val="ae"/>
              <w:rPr>
                <w:b w:val="0"/>
                <w:bCs/>
              </w:rPr>
            </w:pPr>
            <w:r w:rsidRPr="00EB74A4">
              <w:rPr>
                <w:rFonts w:hint="eastAsia"/>
                <w:b w:val="0"/>
                <w:bCs/>
              </w:rPr>
              <w:t>工程造价概算或预算</w:t>
            </w:r>
          </w:p>
        </w:tc>
      </w:tr>
      <w:tr w:rsidR="00EB74A4" w:rsidRPr="00EB74A4" w14:paraId="3DC8792C" w14:textId="77777777" w:rsidTr="00EB74A4">
        <w:tc>
          <w:tcPr>
            <w:tcW w:w="854" w:type="pct"/>
            <w:vMerge w:val="restart"/>
            <w:vAlign w:val="center"/>
          </w:tcPr>
          <w:p w14:paraId="0FC9C39F" w14:textId="77777777" w:rsidR="00EB74A4" w:rsidRPr="00EB74A4" w:rsidRDefault="00EB74A4" w:rsidP="00EB74A4">
            <w:pPr>
              <w:pStyle w:val="ae"/>
              <w:rPr>
                <w:b w:val="0"/>
                <w:bCs/>
              </w:rPr>
            </w:pPr>
            <w:r w:rsidRPr="00EB74A4">
              <w:rPr>
                <w:rFonts w:hint="eastAsia"/>
                <w:b w:val="0"/>
                <w:bCs/>
              </w:rPr>
              <w:t>绿色建筑评价标识</w:t>
            </w:r>
          </w:p>
        </w:tc>
        <w:tc>
          <w:tcPr>
            <w:tcW w:w="4146" w:type="pct"/>
            <w:vAlign w:val="center"/>
          </w:tcPr>
          <w:p w14:paraId="4A627251" w14:textId="77777777" w:rsidR="00EB74A4" w:rsidRPr="00EB74A4" w:rsidRDefault="00EB74A4" w:rsidP="00EB74A4">
            <w:pPr>
              <w:pStyle w:val="ae"/>
              <w:rPr>
                <w:b w:val="0"/>
                <w:bCs/>
              </w:rPr>
            </w:pPr>
            <w:r w:rsidRPr="00EB74A4">
              <w:rPr>
                <w:rFonts w:hint="eastAsia"/>
                <w:b w:val="0"/>
                <w:bCs/>
              </w:rPr>
              <w:t>绿色建筑评价标识申报说明</w:t>
            </w:r>
          </w:p>
        </w:tc>
      </w:tr>
      <w:tr w:rsidR="00EB74A4" w:rsidRPr="00EB74A4" w14:paraId="7D0F4063" w14:textId="77777777" w:rsidTr="00EB74A4">
        <w:tc>
          <w:tcPr>
            <w:tcW w:w="854" w:type="pct"/>
            <w:vMerge/>
            <w:vAlign w:val="center"/>
          </w:tcPr>
          <w:p w14:paraId="4EDD6E77" w14:textId="77777777" w:rsidR="00EB74A4" w:rsidRPr="00EB74A4" w:rsidRDefault="00EB74A4" w:rsidP="00EB74A4">
            <w:pPr>
              <w:pStyle w:val="ae"/>
              <w:rPr>
                <w:b w:val="0"/>
                <w:bCs/>
              </w:rPr>
            </w:pPr>
          </w:p>
        </w:tc>
        <w:tc>
          <w:tcPr>
            <w:tcW w:w="4146" w:type="pct"/>
            <w:vAlign w:val="center"/>
          </w:tcPr>
          <w:p w14:paraId="1FE3B123" w14:textId="77777777" w:rsidR="00EB74A4" w:rsidRPr="00EB74A4" w:rsidRDefault="00EB74A4" w:rsidP="00EB74A4">
            <w:pPr>
              <w:pStyle w:val="ae"/>
              <w:rPr>
                <w:b w:val="0"/>
                <w:bCs/>
              </w:rPr>
            </w:pPr>
            <w:r w:rsidRPr="00EB74A4">
              <w:rPr>
                <w:rFonts w:hint="eastAsia"/>
                <w:b w:val="0"/>
                <w:bCs/>
              </w:rPr>
              <w:t>项目申报书，需有建筑主管部门盖章</w:t>
            </w:r>
          </w:p>
        </w:tc>
      </w:tr>
      <w:tr w:rsidR="00EB74A4" w:rsidRPr="00EB74A4" w14:paraId="4705828B" w14:textId="77777777" w:rsidTr="00EB74A4">
        <w:tc>
          <w:tcPr>
            <w:tcW w:w="854" w:type="pct"/>
            <w:vMerge/>
            <w:vAlign w:val="center"/>
          </w:tcPr>
          <w:p w14:paraId="4D260A67" w14:textId="77777777" w:rsidR="00EB74A4" w:rsidRPr="00EB74A4" w:rsidRDefault="00EB74A4" w:rsidP="00EB74A4">
            <w:pPr>
              <w:pStyle w:val="ae"/>
              <w:rPr>
                <w:b w:val="0"/>
                <w:bCs/>
              </w:rPr>
            </w:pPr>
          </w:p>
        </w:tc>
        <w:tc>
          <w:tcPr>
            <w:tcW w:w="4146" w:type="pct"/>
            <w:vAlign w:val="center"/>
          </w:tcPr>
          <w:p w14:paraId="4769F5BF" w14:textId="77777777" w:rsidR="00EB74A4" w:rsidRPr="00EB74A4" w:rsidRDefault="00EB74A4" w:rsidP="00EB74A4">
            <w:pPr>
              <w:pStyle w:val="ae"/>
              <w:rPr>
                <w:b w:val="0"/>
                <w:bCs/>
              </w:rPr>
            </w:pPr>
            <w:r w:rsidRPr="00EB74A4">
              <w:rPr>
                <w:rFonts w:hint="eastAsia"/>
                <w:b w:val="0"/>
                <w:bCs/>
              </w:rPr>
              <w:t>绿色建筑自评估报告</w:t>
            </w:r>
          </w:p>
        </w:tc>
      </w:tr>
      <w:tr w:rsidR="00EB74A4" w:rsidRPr="00EB74A4" w14:paraId="64AAB53D" w14:textId="77777777" w:rsidTr="00EB74A4">
        <w:tc>
          <w:tcPr>
            <w:tcW w:w="854" w:type="pct"/>
            <w:vMerge/>
            <w:vAlign w:val="center"/>
          </w:tcPr>
          <w:p w14:paraId="396DE663" w14:textId="77777777" w:rsidR="00EB74A4" w:rsidRPr="00EB74A4" w:rsidRDefault="00EB74A4" w:rsidP="00EB74A4">
            <w:pPr>
              <w:pStyle w:val="ae"/>
              <w:rPr>
                <w:b w:val="0"/>
                <w:bCs/>
              </w:rPr>
            </w:pPr>
          </w:p>
        </w:tc>
        <w:tc>
          <w:tcPr>
            <w:tcW w:w="4146" w:type="pct"/>
            <w:vAlign w:val="center"/>
          </w:tcPr>
          <w:p w14:paraId="482C4047" w14:textId="77777777" w:rsidR="00EB74A4" w:rsidRPr="00EB74A4" w:rsidRDefault="00EB74A4" w:rsidP="00EB74A4">
            <w:pPr>
              <w:pStyle w:val="ae"/>
              <w:rPr>
                <w:b w:val="0"/>
                <w:bCs/>
              </w:rPr>
            </w:pPr>
            <w:r w:rsidRPr="00EB74A4">
              <w:rPr>
                <w:rFonts w:hint="eastAsia"/>
                <w:b w:val="0"/>
                <w:bCs/>
              </w:rPr>
              <w:t>咨询单位与咨询专家的名单及简介</w:t>
            </w:r>
          </w:p>
        </w:tc>
      </w:tr>
      <w:tr w:rsidR="00EB74A4" w:rsidRPr="00EB74A4" w14:paraId="24CC690E" w14:textId="77777777" w:rsidTr="00EB74A4">
        <w:tc>
          <w:tcPr>
            <w:tcW w:w="854" w:type="pct"/>
            <w:vMerge/>
            <w:vAlign w:val="center"/>
          </w:tcPr>
          <w:p w14:paraId="03F7D003" w14:textId="77777777" w:rsidR="00EB74A4" w:rsidRPr="00EB74A4" w:rsidRDefault="00EB74A4" w:rsidP="00EB74A4">
            <w:pPr>
              <w:pStyle w:val="ae"/>
              <w:rPr>
                <w:b w:val="0"/>
                <w:bCs/>
              </w:rPr>
            </w:pPr>
          </w:p>
        </w:tc>
        <w:tc>
          <w:tcPr>
            <w:tcW w:w="4146" w:type="pct"/>
            <w:vAlign w:val="center"/>
          </w:tcPr>
          <w:p w14:paraId="54F3B750" w14:textId="77777777" w:rsidR="00EB74A4" w:rsidRPr="00EB74A4" w:rsidRDefault="00EB74A4" w:rsidP="00EB74A4">
            <w:pPr>
              <w:pStyle w:val="ae"/>
              <w:rPr>
                <w:b w:val="0"/>
                <w:bCs/>
              </w:rPr>
            </w:pPr>
            <w:r w:rsidRPr="00EB74A4">
              <w:rPr>
                <w:rFonts w:hint="eastAsia"/>
                <w:b w:val="0"/>
                <w:bCs/>
              </w:rPr>
              <w:t>申报单位简介、营业执照等相关资料</w:t>
            </w:r>
          </w:p>
        </w:tc>
      </w:tr>
      <w:tr w:rsidR="00EB74A4" w:rsidRPr="00EB74A4" w14:paraId="7EA91BC3" w14:textId="77777777" w:rsidTr="00EB74A4">
        <w:tc>
          <w:tcPr>
            <w:tcW w:w="854" w:type="pct"/>
            <w:vMerge/>
            <w:vAlign w:val="center"/>
          </w:tcPr>
          <w:p w14:paraId="50E714A1" w14:textId="77777777" w:rsidR="00EB74A4" w:rsidRPr="00EB74A4" w:rsidRDefault="00EB74A4" w:rsidP="00EB74A4">
            <w:pPr>
              <w:pStyle w:val="ae"/>
              <w:rPr>
                <w:b w:val="0"/>
                <w:bCs/>
              </w:rPr>
            </w:pPr>
          </w:p>
        </w:tc>
        <w:tc>
          <w:tcPr>
            <w:tcW w:w="4146" w:type="pct"/>
            <w:vAlign w:val="center"/>
          </w:tcPr>
          <w:p w14:paraId="4C0F3676" w14:textId="77777777" w:rsidR="00EB74A4" w:rsidRPr="00EB74A4" w:rsidRDefault="00EB74A4" w:rsidP="00EB74A4">
            <w:pPr>
              <w:pStyle w:val="ae"/>
              <w:rPr>
                <w:b w:val="0"/>
                <w:bCs/>
              </w:rPr>
            </w:pPr>
            <w:r w:rsidRPr="00EB74A4">
              <w:rPr>
                <w:rFonts w:hint="eastAsia"/>
                <w:b w:val="0"/>
                <w:bCs/>
              </w:rPr>
              <w:t>竣工验收备案资料，包括建筑、结构、给排水、电气、暖通、节能、绿建专篇等</w:t>
            </w:r>
          </w:p>
        </w:tc>
      </w:tr>
      <w:tr w:rsidR="00EB74A4" w:rsidRPr="00EB74A4" w14:paraId="7761A787" w14:textId="77777777" w:rsidTr="00EB74A4">
        <w:tc>
          <w:tcPr>
            <w:tcW w:w="854" w:type="pct"/>
            <w:vMerge/>
            <w:vAlign w:val="center"/>
          </w:tcPr>
          <w:p w14:paraId="389B124F" w14:textId="77777777" w:rsidR="00EB74A4" w:rsidRPr="00EB74A4" w:rsidRDefault="00EB74A4" w:rsidP="00EB74A4">
            <w:pPr>
              <w:pStyle w:val="ae"/>
              <w:rPr>
                <w:b w:val="0"/>
                <w:bCs/>
              </w:rPr>
            </w:pPr>
          </w:p>
        </w:tc>
        <w:tc>
          <w:tcPr>
            <w:tcW w:w="4146" w:type="pct"/>
            <w:vAlign w:val="center"/>
          </w:tcPr>
          <w:p w14:paraId="301A2DF4" w14:textId="77777777" w:rsidR="00EB74A4" w:rsidRPr="00EB74A4" w:rsidRDefault="00EB74A4" w:rsidP="00EB74A4">
            <w:pPr>
              <w:pStyle w:val="ae"/>
              <w:rPr>
                <w:b w:val="0"/>
                <w:bCs/>
              </w:rPr>
            </w:pPr>
            <w:r w:rsidRPr="00EB74A4">
              <w:rPr>
                <w:rFonts w:hint="eastAsia"/>
                <w:b w:val="0"/>
                <w:bCs/>
              </w:rPr>
              <w:t>工程项目审批文件的复印件，包括项目规划许可批复文件、项目用地许可批复文件、项目施工许可批复文件、项目环境保护论证文件、项目园林许可批复文件等</w:t>
            </w:r>
          </w:p>
        </w:tc>
      </w:tr>
      <w:tr w:rsidR="00EB74A4" w:rsidRPr="00EB74A4" w14:paraId="20012952" w14:textId="77777777" w:rsidTr="00EB74A4">
        <w:tc>
          <w:tcPr>
            <w:tcW w:w="854" w:type="pct"/>
            <w:vMerge/>
            <w:vAlign w:val="center"/>
          </w:tcPr>
          <w:p w14:paraId="7864E797" w14:textId="77777777" w:rsidR="00EB74A4" w:rsidRPr="00EB74A4" w:rsidRDefault="00EB74A4" w:rsidP="00EB74A4">
            <w:pPr>
              <w:pStyle w:val="ae"/>
              <w:rPr>
                <w:b w:val="0"/>
                <w:bCs/>
              </w:rPr>
            </w:pPr>
          </w:p>
        </w:tc>
        <w:tc>
          <w:tcPr>
            <w:tcW w:w="4146" w:type="pct"/>
            <w:vAlign w:val="center"/>
          </w:tcPr>
          <w:p w14:paraId="52158E4E" w14:textId="77777777" w:rsidR="00EB74A4" w:rsidRPr="00EB74A4" w:rsidRDefault="00EB74A4" w:rsidP="00EB74A4">
            <w:pPr>
              <w:pStyle w:val="ae"/>
              <w:rPr>
                <w:b w:val="0"/>
                <w:bCs/>
              </w:rPr>
            </w:pPr>
            <w:r w:rsidRPr="00EB74A4">
              <w:rPr>
                <w:rFonts w:hint="eastAsia"/>
                <w:b w:val="0"/>
                <w:bCs/>
              </w:rPr>
              <w:t>建设、设计、咨询、施工、监理、物业管理单位的资质证书复印件</w:t>
            </w:r>
          </w:p>
        </w:tc>
      </w:tr>
      <w:tr w:rsidR="00EB74A4" w:rsidRPr="00EB74A4" w14:paraId="0ACB3D38" w14:textId="77777777" w:rsidTr="00EB74A4">
        <w:tc>
          <w:tcPr>
            <w:tcW w:w="854" w:type="pct"/>
            <w:vMerge/>
            <w:vAlign w:val="center"/>
          </w:tcPr>
          <w:p w14:paraId="679AE03D" w14:textId="77777777" w:rsidR="00EB74A4" w:rsidRPr="00EB74A4" w:rsidRDefault="00EB74A4" w:rsidP="00EB74A4">
            <w:pPr>
              <w:pStyle w:val="ae"/>
              <w:rPr>
                <w:b w:val="0"/>
                <w:bCs/>
              </w:rPr>
            </w:pPr>
          </w:p>
        </w:tc>
        <w:tc>
          <w:tcPr>
            <w:tcW w:w="4146" w:type="pct"/>
            <w:vAlign w:val="center"/>
          </w:tcPr>
          <w:p w14:paraId="3B997FDE" w14:textId="77777777" w:rsidR="00EB74A4" w:rsidRPr="00EB74A4" w:rsidRDefault="00EB74A4" w:rsidP="00EB74A4">
            <w:pPr>
              <w:pStyle w:val="ae"/>
              <w:rPr>
                <w:b w:val="0"/>
                <w:bCs/>
              </w:rPr>
            </w:pPr>
            <w:r w:rsidRPr="00EB74A4">
              <w:rPr>
                <w:rFonts w:hint="eastAsia"/>
                <w:b w:val="0"/>
                <w:bCs/>
              </w:rPr>
              <w:t>建筑能效（绿色建筑）测评与标识综合评价表、标识证书</w:t>
            </w:r>
          </w:p>
        </w:tc>
      </w:tr>
      <w:tr w:rsidR="00EB74A4" w:rsidRPr="00EB74A4" w14:paraId="71584F7B" w14:textId="77777777" w:rsidTr="00EB74A4">
        <w:tc>
          <w:tcPr>
            <w:tcW w:w="854" w:type="pct"/>
            <w:vMerge/>
            <w:tcBorders>
              <w:bottom w:val="single" w:sz="8" w:space="0" w:color="auto"/>
            </w:tcBorders>
            <w:vAlign w:val="center"/>
          </w:tcPr>
          <w:p w14:paraId="31F85174" w14:textId="77777777" w:rsidR="00EB74A4" w:rsidRPr="00EB74A4" w:rsidRDefault="00EB74A4" w:rsidP="00EB74A4">
            <w:pPr>
              <w:pStyle w:val="ae"/>
              <w:rPr>
                <w:b w:val="0"/>
                <w:bCs/>
              </w:rPr>
            </w:pPr>
          </w:p>
        </w:tc>
        <w:tc>
          <w:tcPr>
            <w:tcW w:w="4146" w:type="pct"/>
            <w:tcBorders>
              <w:bottom w:val="single" w:sz="8" w:space="0" w:color="auto"/>
            </w:tcBorders>
            <w:vAlign w:val="center"/>
          </w:tcPr>
          <w:p w14:paraId="1E59AD41" w14:textId="77777777" w:rsidR="00EB74A4" w:rsidRPr="00EB74A4" w:rsidRDefault="00EB74A4" w:rsidP="00EB74A4">
            <w:pPr>
              <w:pStyle w:val="ae"/>
              <w:rPr>
                <w:b w:val="0"/>
                <w:bCs/>
              </w:rPr>
            </w:pPr>
            <w:r w:rsidRPr="00EB74A4">
              <w:rPr>
                <w:rFonts w:hint="eastAsia"/>
                <w:b w:val="0"/>
                <w:bCs/>
              </w:rPr>
              <w:t>工程造价概算或决算</w:t>
            </w:r>
          </w:p>
        </w:tc>
      </w:tr>
    </w:tbl>
    <w:p w14:paraId="4D0A4242" w14:textId="77777777" w:rsidR="004A7A0D" w:rsidRDefault="004A7A0D" w:rsidP="004A7A0D">
      <w:pPr>
        <w:pStyle w:val="ae"/>
      </w:pPr>
    </w:p>
    <w:p w14:paraId="63EE1CB7" w14:textId="006F688B" w:rsidR="00EB74A4" w:rsidRDefault="004A7A0D" w:rsidP="004A7A0D">
      <w:pPr>
        <w:pStyle w:val="ae"/>
      </w:pPr>
      <w:r>
        <w:rPr>
          <w:rFonts w:hint="eastAsia"/>
        </w:rPr>
        <w:t>表</w:t>
      </w:r>
      <w:r>
        <w:rPr>
          <w:rFonts w:hint="eastAsia"/>
        </w:rPr>
        <w:t>2</w:t>
      </w:r>
      <w:r>
        <w:t xml:space="preserve"> </w:t>
      </w:r>
      <w:r w:rsidR="00EB74A4">
        <w:rPr>
          <w:rFonts w:hint="eastAsia"/>
        </w:rPr>
        <w:t>初审材料清单</w:t>
      </w:r>
    </w:p>
    <w:tbl>
      <w:tblPr>
        <w:tblW w:w="5000" w:type="pct"/>
        <w:jc w:val="center"/>
        <w:tblBorders>
          <w:top w:val="single" w:sz="8" w:space="0" w:color="000000"/>
          <w:bottom w:val="single" w:sz="8" w:space="0" w:color="000000"/>
          <w:insideH w:val="single" w:sz="4" w:space="0" w:color="000000"/>
          <w:insideV w:val="single" w:sz="4" w:space="0" w:color="000000"/>
        </w:tblBorders>
        <w:tblCellMar>
          <w:top w:w="11" w:type="dxa"/>
          <w:bottom w:w="28" w:type="dxa"/>
        </w:tblCellMar>
        <w:tblLook w:val="00A0" w:firstRow="1" w:lastRow="0" w:firstColumn="1" w:lastColumn="0" w:noHBand="0" w:noVBand="0"/>
      </w:tblPr>
      <w:tblGrid>
        <w:gridCol w:w="1713"/>
        <w:gridCol w:w="6816"/>
      </w:tblGrid>
      <w:tr w:rsidR="00EB74A4" w:rsidRPr="00EB74A4" w14:paraId="5F6172D3" w14:textId="77777777" w:rsidTr="00EB74A4">
        <w:trPr>
          <w:tblHeader/>
          <w:jc w:val="center"/>
        </w:trPr>
        <w:tc>
          <w:tcPr>
            <w:tcW w:w="1004" w:type="pct"/>
            <w:shd w:val="clear" w:color="auto" w:fill="auto"/>
            <w:vAlign w:val="center"/>
          </w:tcPr>
          <w:p w14:paraId="40D07C36" w14:textId="77777777" w:rsidR="00EB74A4" w:rsidRPr="00EB74A4" w:rsidRDefault="00EB74A4" w:rsidP="00EB74A4">
            <w:pPr>
              <w:pStyle w:val="ae"/>
              <w:rPr>
                <w:b w:val="0"/>
                <w:bCs/>
              </w:rPr>
            </w:pPr>
            <w:r w:rsidRPr="00EB74A4">
              <w:rPr>
                <w:rFonts w:hint="eastAsia"/>
                <w:b w:val="0"/>
                <w:bCs/>
              </w:rPr>
              <w:lastRenderedPageBreak/>
              <w:t>标识类型</w:t>
            </w:r>
          </w:p>
        </w:tc>
        <w:tc>
          <w:tcPr>
            <w:tcW w:w="3996" w:type="pct"/>
            <w:shd w:val="clear" w:color="auto" w:fill="auto"/>
            <w:vAlign w:val="center"/>
          </w:tcPr>
          <w:p w14:paraId="1939F465" w14:textId="77777777" w:rsidR="00EB74A4" w:rsidRPr="00EB74A4" w:rsidRDefault="00EB74A4" w:rsidP="00EB74A4">
            <w:pPr>
              <w:pStyle w:val="ae"/>
              <w:rPr>
                <w:b w:val="0"/>
                <w:bCs/>
              </w:rPr>
            </w:pPr>
            <w:r w:rsidRPr="00EB74A4">
              <w:rPr>
                <w:rFonts w:hint="eastAsia"/>
                <w:b w:val="0"/>
                <w:bCs/>
              </w:rPr>
              <w:t>提交材料</w:t>
            </w:r>
          </w:p>
        </w:tc>
      </w:tr>
      <w:tr w:rsidR="00EB74A4" w:rsidRPr="00EB74A4" w14:paraId="4CC08292" w14:textId="77777777" w:rsidTr="00EB74A4">
        <w:trPr>
          <w:jc w:val="center"/>
        </w:trPr>
        <w:tc>
          <w:tcPr>
            <w:tcW w:w="1004" w:type="pct"/>
            <w:vMerge w:val="restart"/>
            <w:shd w:val="clear" w:color="auto" w:fill="auto"/>
            <w:vAlign w:val="center"/>
          </w:tcPr>
          <w:p w14:paraId="387EE1F8" w14:textId="77777777" w:rsidR="00EB74A4" w:rsidRPr="00EB74A4" w:rsidRDefault="00EB74A4" w:rsidP="00EB74A4">
            <w:pPr>
              <w:pStyle w:val="ae"/>
              <w:rPr>
                <w:b w:val="0"/>
                <w:bCs/>
              </w:rPr>
            </w:pPr>
            <w:r w:rsidRPr="00EB74A4">
              <w:rPr>
                <w:rFonts w:hint="eastAsia"/>
                <w:b w:val="0"/>
                <w:bCs/>
              </w:rPr>
              <w:t>绿色建筑预评价标识</w:t>
            </w:r>
          </w:p>
        </w:tc>
        <w:tc>
          <w:tcPr>
            <w:tcW w:w="3996" w:type="pct"/>
            <w:shd w:val="clear" w:color="auto" w:fill="auto"/>
            <w:vAlign w:val="center"/>
          </w:tcPr>
          <w:p w14:paraId="76AFAE59" w14:textId="77777777" w:rsidR="00EB74A4" w:rsidRPr="00EB74A4" w:rsidRDefault="00EB74A4" w:rsidP="00EB74A4">
            <w:pPr>
              <w:pStyle w:val="ae"/>
              <w:rPr>
                <w:b w:val="0"/>
                <w:bCs/>
              </w:rPr>
            </w:pPr>
            <w:r w:rsidRPr="00EB74A4">
              <w:rPr>
                <w:rFonts w:hint="eastAsia"/>
                <w:b w:val="0"/>
                <w:bCs/>
              </w:rPr>
              <w:t>申报材料清单中的对应资料</w:t>
            </w:r>
          </w:p>
        </w:tc>
      </w:tr>
      <w:tr w:rsidR="00EB74A4" w:rsidRPr="00EB74A4" w14:paraId="2A8D2B17" w14:textId="77777777" w:rsidTr="00EB74A4">
        <w:trPr>
          <w:jc w:val="center"/>
        </w:trPr>
        <w:tc>
          <w:tcPr>
            <w:tcW w:w="1004" w:type="pct"/>
            <w:vMerge/>
            <w:shd w:val="clear" w:color="auto" w:fill="auto"/>
            <w:vAlign w:val="center"/>
          </w:tcPr>
          <w:p w14:paraId="105DE6CB" w14:textId="77777777" w:rsidR="00EB74A4" w:rsidRPr="00EB74A4" w:rsidRDefault="00EB74A4" w:rsidP="00EB74A4">
            <w:pPr>
              <w:pStyle w:val="ae"/>
              <w:rPr>
                <w:b w:val="0"/>
                <w:bCs/>
              </w:rPr>
            </w:pPr>
          </w:p>
        </w:tc>
        <w:tc>
          <w:tcPr>
            <w:tcW w:w="3996" w:type="pct"/>
            <w:shd w:val="clear" w:color="auto" w:fill="auto"/>
            <w:vAlign w:val="center"/>
          </w:tcPr>
          <w:p w14:paraId="7D6BC5B8" w14:textId="77777777" w:rsidR="00EB74A4" w:rsidRPr="00EB74A4" w:rsidRDefault="00EB74A4" w:rsidP="00EB74A4">
            <w:pPr>
              <w:pStyle w:val="ae"/>
              <w:rPr>
                <w:b w:val="0"/>
                <w:bCs/>
              </w:rPr>
            </w:pPr>
            <w:r w:rsidRPr="00EB74A4">
              <w:rPr>
                <w:rFonts w:hint="eastAsia"/>
                <w:b w:val="0"/>
                <w:bCs/>
              </w:rPr>
              <w:t>项目节能计算书</w:t>
            </w:r>
          </w:p>
        </w:tc>
      </w:tr>
      <w:tr w:rsidR="00EB74A4" w:rsidRPr="00EB74A4" w14:paraId="59482CC9" w14:textId="77777777" w:rsidTr="00EB74A4">
        <w:trPr>
          <w:jc w:val="center"/>
        </w:trPr>
        <w:tc>
          <w:tcPr>
            <w:tcW w:w="1004" w:type="pct"/>
            <w:vMerge/>
            <w:shd w:val="clear" w:color="auto" w:fill="auto"/>
            <w:vAlign w:val="center"/>
          </w:tcPr>
          <w:p w14:paraId="04BAE5F4" w14:textId="77777777" w:rsidR="00EB74A4" w:rsidRPr="00EB74A4" w:rsidRDefault="00EB74A4" w:rsidP="00EB74A4">
            <w:pPr>
              <w:pStyle w:val="ae"/>
              <w:rPr>
                <w:b w:val="0"/>
                <w:bCs/>
              </w:rPr>
            </w:pPr>
          </w:p>
        </w:tc>
        <w:tc>
          <w:tcPr>
            <w:tcW w:w="3996" w:type="pct"/>
            <w:shd w:val="clear" w:color="auto" w:fill="auto"/>
            <w:vAlign w:val="center"/>
          </w:tcPr>
          <w:p w14:paraId="111477E4" w14:textId="77777777" w:rsidR="00EB74A4" w:rsidRPr="00EB74A4" w:rsidRDefault="00EB74A4" w:rsidP="00EB74A4">
            <w:pPr>
              <w:pStyle w:val="ae"/>
              <w:rPr>
                <w:b w:val="0"/>
                <w:bCs/>
              </w:rPr>
            </w:pPr>
            <w:r w:rsidRPr="00EB74A4">
              <w:rPr>
                <w:rFonts w:hint="eastAsia"/>
                <w:b w:val="0"/>
                <w:bCs/>
              </w:rPr>
              <w:t>项目环评报告书</w:t>
            </w:r>
          </w:p>
        </w:tc>
      </w:tr>
      <w:tr w:rsidR="00EB74A4" w:rsidRPr="00EB74A4" w14:paraId="45261ED8" w14:textId="77777777" w:rsidTr="00EB74A4">
        <w:trPr>
          <w:jc w:val="center"/>
        </w:trPr>
        <w:tc>
          <w:tcPr>
            <w:tcW w:w="1004" w:type="pct"/>
            <w:vMerge/>
            <w:shd w:val="clear" w:color="auto" w:fill="auto"/>
            <w:vAlign w:val="center"/>
          </w:tcPr>
          <w:p w14:paraId="40EAF562" w14:textId="77777777" w:rsidR="00EB74A4" w:rsidRPr="00EB74A4" w:rsidRDefault="00EB74A4" w:rsidP="00EB74A4">
            <w:pPr>
              <w:pStyle w:val="ae"/>
              <w:rPr>
                <w:b w:val="0"/>
                <w:bCs/>
              </w:rPr>
            </w:pPr>
          </w:p>
        </w:tc>
        <w:tc>
          <w:tcPr>
            <w:tcW w:w="3996" w:type="pct"/>
            <w:shd w:val="clear" w:color="auto" w:fill="auto"/>
            <w:vAlign w:val="center"/>
          </w:tcPr>
          <w:p w14:paraId="10D48CB1" w14:textId="77777777" w:rsidR="00EB74A4" w:rsidRPr="00EB74A4" w:rsidRDefault="00EB74A4" w:rsidP="00EB74A4">
            <w:pPr>
              <w:pStyle w:val="ae"/>
              <w:rPr>
                <w:b w:val="0"/>
                <w:bCs/>
              </w:rPr>
            </w:pPr>
            <w:r w:rsidRPr="00EB74A4">
              <w:rPr>
                <w:rFonts w:hint="eastAsia"/>
                <w:b w:val="0"/>
                <w:bCs/>
              </w:rPr>
              <w:t>项目设计变更及相关审查意见</w:t>
            </w:r>
          </w:p>
        </w:tc>
      </w:tr>
      <w:tr w:rsidR="00EB74A4" w:rsidRPr="00EB74A4" w14:paraId="47060906" w14:textId="77777777" w:rsidTr="00EB74A4">
        <w:trPr>
          <w:jc w:val="center"/>
        </w:trPr>
        <w:tc>
          <w:tcPr>
            <w:tcW w:w="1004" w:type="pct"/>
            <w:vMerge/>
            <w:shd w:val="clear" w:color="auto" w:fill="auto"/>
            <w:vAlign w:val="center"/>
          </w:tcPr>
          <w:p w14:paraId="627A1551" w14:textId="77777777" w:rsidR="00EB74A4" w:rsidRPr="00EB74A4" w:rsidRDefault="00EB74A4" w:rsidP="00EB74A4">
            <w:pPr>
              <w:pStyle w:val="ae"/>
              <w:rPr>
                <w:b w:val="0"/>
                <w:bCs/>
              </w:rPr>
            </w:pPr>
          </w:p>
        </w:tc>
        <w:tc>
          <w:tcPr>
            <w:tcW w:w="3996" w:type="pct"/>
            <w:shd w:val="clear" w:color="auto" w:fill="auto"/>
            <w:vAlign w:val="center"/>
          </w:tcPr>
          <w:p w14:paraId="00909DE5" w14:textId="77777777" w:rsidR="00EB74A4" w:rsidRPr="00EB74A4" w:rsidRDefault="00EB74A4" w:rsidP="00EB74A4">
            <w:pPr>
              <w:pStyle w:val="ae"/>
              <w:rPr>
                <w:b w:val="0"/>
                <w:bCs/>
              </w:rPr>
            </w:pPr>
            <w:r w:rsidRPr="00EB74A4">
              <w:rPr>
                <w:rFonts w:hint="eastAsia"/>
                <w:b w:val="0"/>
                <w:bCs/>
              </w:rPr>
              <w:t>对于必须满足重庆市公建节能设计标准强制一星级要求的项目，需提供绿色建筑星级评审与公建节能标准强制一星级条文分析对照表</w:t>
            </w:r>
          </w:p>
        </w:tc>
      </w:tr>
      <w:tr w:rsidR="00EB74A4" w:rsidRPr="00EB74A4" w14:paraId="71267794" w14:textId="77777777" w:rsidTr="00EB74A4">
        <w:trPr>
          <w:jc w:val="center"/>
        </w:trPr>
        <w:tc>
          <w:tcPr>
            <w:tcW w:w="1004" w:type="pct"/>
            <w:vMerge/>
            <w:shd w:val="clear" w:color="auto" w:fill="auto"/>
            <w:vAlign w:val="center"/>
          </w:tcPr>
          <w:p w14:paraId="4D94F2D0" w14:textId="77777777" w:rsidR="00EB74A4" w:rsidRPr="00EB74A4" w:rsidRDefault="00EB74A4" w:rsidP="00EB74A4">
            <w:pPr>
              <w:pStyle w:val="ae"/>
              <w:rPr>
                <w:b w:val="0"/>
                <w:bCs/>
              </w:rPr>
            </w:pPr>
          </w:p>
        </w:tc>
        <w:tc>
          <w:tcPr>
            <w:tcW w:w="3996" w:type="pct"/>
            <w:shd w:val="clear" w:color="auto" w:fill="auto"/>
            <w:vAlign w:val="center"/>
          </w:tcPr>
          <w:p w14:paraId="6633ED60" w14:textId="77777777" w:rsidR="00EB74A4" w:rsidRPr="00EB74A4" w:rsidRDefault="00EB74A4" w:rsidP="00EB74A4">
            <w:pPr>
              <w:pStyle w:val="ae"/>
              <w:rPr>
                <w:b w:val="0"/>
                <w:bCs/>
              </w:rPr>
            </w:pPr>
            <w:r w:rsidRPr="00EB74A4">
              <w:rPr>
                <w:rFonts w:hint="eastAsia"/>
                <w:b w:val="0"/>
                <w:bCs/>
              </w:rPr>
              <w:t>项目标识评审介绍</w:t>
            </w:r>
            <w:r w:rsidRPr="00EB74A4">
              <w:rPr>
                <w:rFonts w:hint="eastAsia"/>
                <w:b w:val="0"/>
                <w:bCs/>
              </w:rPr>
              <w:t>PPT</w:t>
            </w:r>
            <w:r w:rsidRPr="00EB74A4">
              <w:rPr>
                <w:rFonts w:hint="eastAsia"/>
                <w:b w:val="0"/>
                <w:bCs/>
              </w:rPr>
              <w:t>，包含项目概况、项目效果图、项目平立面图、项目位置及周边情况、项目主要应用技术、项目亮点、项目满足重庆市公建节能标准要求的情况说明、项目对照绿建评价标准的满足情况、项目的整体达标情况、针对具体项目需作特殊说明的内容等</w:t>
            </w:r>
          </w:p>
        </w:tc>
      </w:tr>
      <w:tr w:rsidR="00EB74A4" w:rsidRPr="00EB74A4" w14:paraId="0B7C3BA5" w14:textId="77777777" w:rsidTr="00EB74A4">
        <w:trPr>
          <w:jc w:val="center"/>
        </w:trPr>
        <w:tc>
          <w:tcPr>
            <w:tcW w:w="1004" w:type="pct"/>
            <w:vMerge/>
            <w:shd w:val="clear" w:color="auto" w:fill="auto"/>
            <w:vAlign w:val="center"/>
          </w:tcPr>
          <w:p w14:paraId="6BC664B2" w14:textId="77777777" w:rsidR="00EB74A4" w:rsidRPr="00EB74A4" w:rsidRDefault="00EB74A4" w:rsidP="00EB74A4">
            <w:pPr>
              <w:pStyle w:val="ae"/>
              <w:rPr>
                <w:b w:val="0"/>
                <w:bCs/>
              </w:rPr>
            </w:pPr>
          </w:p>
        </w:tc>
        <w:tc>
          <w:tcPr>
            <w:tcW w:w="3996" w:type="pct"/>
            <w:shd w:val="clear" w:color="auto" w:fill="auto"/>
            <w:vAlign w:val="center"/>
          </w:tcPr>
          <w:p w14:paraId="3511EB4A" w14:textId="77777777" w:rsidR="00EB74A4" w:rsidRPr="00EB74A4" w:rsidRDefault="00EB74A4" w:rsidP="00EB74A4">
            <w:pPr>
              <w:pStyle w:val="ae"/>
              <w:rPr>
                <w:b w:val="0"/>
                <w:bCs/>
              </w:rPr>
            </w:pPr>
            <w:r w:rsidRPr="00EB74A4">
              <w:rPr>
                <w:rFonts w:hint="eastAsia"/>
                <w:b w:val="0"/>
                <w:bCs/>
              </w:rPr>
              <w:t>项目达标条文中涉及的各类计算分析报告</w:t>
            </w:r>
          </w:p>
        </w:tc>
      </w:tr>
      <w:tr w:rsidR="00EB74A4" w:rsidRPr="00EB74A4" w14:paraId="1B7A5BE0" w14:textId="77777777" w:rsidTr="00EB74A4">
        <w:trPr>
          <w:jc w:val="center"/>
        </w:trPr>
        <w:tc>
          <w:tcPr>
            <w:tcW w:w="1004" w:type="pct"/>
            <w:vMerge w:val="restart"/>
            <w:shd w:val="clear" w:color="auto" w:fill="auto"/>
            <w:vAlign w:val="center"/>
          </w:tcPr>
          <w:p w14:paraId="3808E08A" w14:textId="77777777" w:rsidR="00EB74A4" w:rsidRPr="00EB74A4" w:rsidRDefault="00EB74A4" w:rsidP="00EB74A4">
            <w:pPr>
              <w:pStyle w:val="ae"/>
              <w:rPr>
                <w:b w:val="0"/>
                <w:bCs/>
              </w:rPr>
            </w:pPr>
            <w:r w:rsidRPr="00EB74A4">
              <w:rPr>
                <w:rFonts w:hint="eastAsia"/>
                <w:b w:val="0"/>
                <w:bCs/>
              </w:rPr>
              <w:t>绿色建筑评价标识</w:t>
            </w:r>
          </w:p>
        </w:tc>
        <w:tc>
          <w:tcPr>
            <w:tcW w:w="3996" w:type="pct"/>
            <w:shd w:val="clear" w:color="auto" w:fill="auto"/>
            <w:vAlign w:val="center"/>
          </w:tcPr>
          <w:p w14:paraId="479ADF6E" w14:textId="77777777" w:rsidR="00EB74A4" w:rsidRPr="00EB74A4" w:rsidRDefault="00EB74A4" w:rsidP="00EB74A4">
            <w:pPr>
              <w:pStyle w:val="ae"/>
              <w:rPr>
                <w:b w:val="0"/>
                <w:bCs/>
              </w:rPr>
            </w:pPr>
            <w:r w:rsidRPr="00EB74A4">
              <w:rPr>
                <w:rFonts w:hint="eastAsia"/>
                <w:b w:val="0"/>
                <w:bCs/>
              </w:rPr>
              <w:t>申报材料清单中的对应资料</w:t>
            </w:r>
          </w:p>
        </w:tc>
      </w:tr>
      <w:tr w:rsidR="00EB74A4" w:rsidRPr="00EB74A4" w14:paraId="4920F7EB" w14:textId="77777777" w:rsidTr="00EB74A4">
        <w:trPr>
          <w:jc w:val="center"/>
        </w:trPr>
        <w:tc>
          <w:tcPr>
            <w:tcW w:w="1004" w:type="pct"/>
            <w:vMerge/>
            <w:shd w:val="clear" w:color="auto" w:fill="auto"/>
            <w:vAlign w:val="center"/>
          </w:tcPr>
          <w:p w14:paraId="40235CD8" w14:textId="77777777" w:rsidR="00EB74A4" w:rsidRPr="00EB74A4" w:rsidRDefault="00EB74A4" w:rsidP="00EB74A4">
            <w:pPr>
              <w:pStyle w:val="ae"/>
              <w:rPr>
                <w:b w:val="0"/>
                <w:bCs/>
              </w:rPr>
            </w:pPr>
          </w:p>
        </w:tc>
        <w:tc>
          <w:tcPr>
            <w:tcW w:w="3996" w:type="pct"/>
            <w:shd w:val="clear" w:color="auto" w:fill="auto"/>
            <w:vAlign w:val="center"/>
          </w:tcPr>
          <w:p w14:paraId="27AD945A" w14:textId="77777777" w:rsidR="00EB74A4" w:rsidRPr="00EB74A4" w:rsidRDefault="00EB74A4" w:rsidP="00EB74A4">
            <w:pPr>
              <w:pStyle w:val="ae"/>
              <w:rPr>
                <w:b w:val="0"/>
                <w:bCs/>
              </w:rPr>
            </w:pPr>
            <w:r w:rsidRPr="00EB74A4">
              <w:rPr>
                <w:rFonts w:hint="eastAsia"/>
                <w:b w:val="0"/>
                <w:bCs/>
              </w:rPr>
              <w:t>项目节能计算书</w:t>
            </w:r>
          </w:p>
        </w:tc>
      </w:tr>
      <w:tr w:rsidR="00EB74A4" w:rsidRPr="00EB74A4" w14:paraId="77C00A98" w14:textId="77777777" w:rsidTr="00EB74A4">
        <w:trPr>
          <w:jc w:val="center"/>
        </w:trPr>
        <w:tc>
          <w:tcPr>
            <w:tcW w:w="1004" w:type="pct"/>
            <w:vMerge/>
            <w:shd w:val="clear" w:color="auto" w:fill="auto"/>
            <w:vAlign w:val="center"/>
          </w:tcPr>
          <w:p w14:paraId="10D3C731" w14:textId="77777777" w:rsidR="00EB74A4" w:rsidRPr="00EB74A4" w:rsidRDefault="00EB74A4" w:rsidP="00EB74A4">
            <w:pPr>
              <w:pStyle w:val="ae"/>
              <w:rPr>
                <w:b w:val="0"/>
                <w:bCs/>
              </w:rPr>
            </w:pPr>
          </w:p>
        </w:tc>
        <w:tc>
          <w:tcPr>
            <w:tcW w:w="3996" w:type="pct"/>
            <w:shd w:val="clear" w:color="auto" w:fill="auto"/>
            <w:vAlign w:val="center"/>
          </w:tcPr>
          <w:p w14:paraId="278D6DF5" w14:textId="77777777" w:rsidR="00EB74A4" w:rsidRPr="00EB74A4" w:rsidRDefault="00EB74A4" w:rsidP="00EB74A4">
            <w:pPr>
              <w:pStyle w:val="ae"/>
              <w:rPr>
                <w:b w:val="0"/>
                <w:bCs/>
              </w:rPr>
            </w:pPr>
            <w:r w:rsidRPr="00EB74A4">
              <w:rPr>
                <w:rFonts w:hint="eastAsia"/>
                <w:b w:val="0"/>
                <w:bCs/>
              </w:rPr>
              <w:t>项目环评报告书</w:t>
            </w:r>
          </w:p>
        </w:tc>
      </w:tr>
      <w:tr w:rsidR="00EB74A4" w:rsidRPr="00EB74A4" w14:paraId="0B5B0824" w14:textId="77777777" w:rsidTr="00EB74A4">
        <w:trPr>
          <w:jc w:val="center"/>
        </w:trPr>
        <w:tc>
          <w:tcPr>
            <w:tcW w:w="1004" w:type="pct"/>
            <w:vMerge/>
            <w:shd w:val="clear" w:color="auto" w:fill="auto"/>
            <w:vAlign w:val="center"/>
          </w:tcPr>
          <w:p w14:paraId="1D636B12" w14:textId="77777777" w:rsidR="00EB74A4" w:rsidRPr="00EB74A4" w:rsidRDefault="00EB74A4" w:rsidP="00EB74A4">
            <w:pPr>
              <w:pStyle w:val="ae"/>
              <w:rPr>
                <w:b w:val="0"/>
                <w:bCs/>
              </w:rPr>
            </w:pPr>
          </w:p>
        </w:tc>
        <w:tc>
          <w:tcPr>
            <w:tcW w:w="3996" w:type="pct"/>
            <w:shd w:val="clear" w:color="auto" w:fill="auto"/>
            <w:vAlign w:val="center"/>
          </w:tcPr>
          <w:p w14:paraId="0A0F6324" w14:textId="77777777" w:rsidR="00EB74A4" w:rsidRPr="00EB74A4" w:rsidRDefault="00EB74A4" w:rsidP="00EB74A4">
            <w:pPr>
              <w:pStyle w:val="ae"/>
              <w:rPr>
                <w:b w:val="0"/>
                <w:bCs/>
              </w:rPr>
            </w:pPr>
            <w:r w:rsidRPr="00EB74A4">
              <w:rPr>
                <w:rFonts w:hint="eastAsia"/>
                <w:b w:val="0"/>
                <w:bCs/>
              </w:rPr>
              <w:t>项目设计变更及相关审查意见</w:t>
            </w:r>
          </w:p>
        </w:tc>
      </w:tr>
      <w:tr w:rsidR="00EB74A4" w:rsidRPr="00EB74A4" w14:paraId="66A2754C" w14:textId="77777777" w:rsidTr="00EB74A4">
        <w:trPr>
          <w:jc w:val="center"/>
        </w:trPr>
        <w:tc>
          <w:tcPr>
            <w:tcW w:w="1004" w:type="pct"/>
            <w:vMerge/>
            <w:shd w:val="clear" w:color="auto" w:fill="auto"/>
            <w:vAlign w:val="center"/>
          </w:tcPr>
          <w:p w14:paraId="3E53F910" w14:textId="77777777" w:rsidR="00EB74A4" w:rsidRPr="00EB74A4" w:rsidRDefault="00EB74A4" w:rsidP="00EB74A4">
            <w:pPr>
              <w:pStyle w:val="ae"/>
              <w:rPr>
                <w:b w:val="0"/>
                <w:bCs/>
              </w:rPr>
            </w:pPr>
          </w:p>
        </w:tc>
        <w:tc>
          <w:tcPr>
            <w:tcW w:w="3996" w:type="pct"/>
            <w:shd w:val="clear" w:color="auto" w:fill="auto"/>
            <w:vAlign w:val="center"/>
          </w:tcPr>
          <w:p w14:paraId="3686A631" w14:textId="77777777" w:rsidR="00EB74A4" w:rsidRPr="00EB74A4" w:rsidRDefault="00EB74A4" w:rsidP="00EB74A4">
            <w:pPr>
              <w:pStyle w:val="ae"/>
              <w:rPr>
                <w:b w:val="0"/>
                <w:bCs/>
              </w:rPr>
            </w:pPr>
            <w:r w:rsidRPr="00EB74A4">
              <w:rPr>
                <w:rFonts w:hint="eastAsia"/>
                <w:b w:val="0"/>
                <w:bCs/>
              </w:rPr>
              <w:t>对于必须满足重庆市公建节能设计标准强制一星级要求的项目，需提供绿色建筑星级评审与公建节能标准强制一星级条文分析对照表</w:t>
            </w:r>
          </w:p>
        </w:tc>
      </w:tr>
      <w:tr w:rsidR="00EB74A4" w:rsidRPr="00EB74A4" w14:paraId="681A9DD2" w14:textId="77777777" w:rsidTr="00EB74A4">
        <w:trPr>
          <w:jc w:val="center"/>
        </w:trPr>
        <w:tc>
          <w:tcPr>
            <w:tcW w:w="1004" w:type="pct"/>
            <w:vMerge/>
            <w:shd w:val="clear" w:color="auto" w:fill="auto"/>
            <w:vAlign w:val="center"/>
          </w:tcPr>
          <w:p w14:paraId="017ADA1A" w14:textId="77777777" w:rsidR="00EB74A4" w:rsidRPr="00EB74A4" w:rsidRDefault="00EB74A4" w:rsidP="00EB74A4">
            <w:pPr>
              <w:pStyle w:val="ae"/>
              <w:rPr>
                <w:b w:val="0"/>
                <w:bCs/>
              </w:rPr>
            </w:pPr>
          </w:p>
        </w:tc>
        <w:tc>
          <w:tcPr>
            <w:tcW w:w="3996" w:type="pct"/>
            <w:shd w:val="clear" w:color="auto" w:fill="auto"/>
            <w:vAlign w:val="center"/>
          </w:tcPr>
          <w:p w14:paraId="610DC3BA" w14:textId="77777777" w:rsidR="00EB74A4" w:rsidRPr="00EB74A4" w:rsidRDefault="00EB74A4" w:rsidP="00EB74A4">
            <w:pPr>
              <w:pStyle w:val="ae"/>
              <w:rPr>
                <w:b w:val="0"/>
                <w:bCs/>
              </w:rPr>
            </w:pPr>
            <w:r w:rsidRPr="00EB74A4">
              <w:rPr>
                <w:rFonts w:hint="eastAsia"/>
                <w:b w:val="0"/>
                <w:bCs/>
              </w:rPr>
              <w:t>项目标识评审介绍</w:t>
            </w:r>
            <w:r w:rsidRPr="00EB74A4">
              <w:rPr>
                <w:rFonts w:hint="eastAsia"/>
                <w:b w:val="0"/>
                <w:bCs/>
              </w:rPr>
              <w:t>PPT</w:t>
            </w:r>
            <w:r w:rsidRPr="00EB74A4">
              <w:rPr>
                <w:rFonts w:hint="eastAsia"/>
                <w:b w:val="0"/>
                <w:bCs/>
              </w:rPr>
              <w:t>，包含项目概况、项目效果图、项目平立面图、项目位置及周边情况、项目主要应用技术、项目亮点、项目满足重庆市公建节能标准要求的情况说明、项目对照绿建评价标准的满足情况、项目的整体达标情况、针对具体项目需作特殊说明的内容等</w:t>
            </w:r>
          </w:p>
        </w:tc>
      </w:tr>
      <w:tr w:rsidR="00EB74A4" w:rsidRPr="00EB74A4" w14:paraId="48807338" w14:textId="77777777" w:rsidTr="00EB74A4">
        <w:trPr>
          <w:jc w:val="center"/>
        </w:trPr>
        <w:tc>
          <w:tcPr>
            <w:tcW w:w="1004" w:type="pct"/>
            <w:vMerge/>
            <w:shd w:val="clear" w:color="auto" w:fill="auto"/>
            <w:vAlign w:val="center"/>
          </w:tcPr>
          <w:p w14:paraId="60257221" w14:textId="77777777" w:rsidR="00EB74A4" w:rsidRPr="00EB74A4" w:rsidRDefault="00EB74A4" w:rsidP="00EB74A4">
            <w:pPr>
              <w:pStyle w:val="ae"/>
              <w:rPr>
                <w:b w:val="0"/>
                <w:bCs/>
              </w:rPr>
            </w:pPr>
          </w:p>
        </w:tc>
        <w:tc>
          <w:tcPr>
            <w:tcW w:w="3996" w:type="pct"/>
            <w:shd w:val="clear" w:color="auto" w:fill="auto"/>
            <w:vAlign w:val="center"/>
          </w:tcPr>
          <w:p w14:paraId="17984AF6" w14:textId="77777777" w:rsidR="00EB74A4" w:rsidRPr="00EB74A4" w:rsidRDefault="00EB74A4" w:rsidP="00EB74A4">
            <w:pPr>
              <w:pStyle w:val="ae"/>
              <w:rPr>
                <w:b w:val="0"/>
                <w:bCs/>
              </w:rPr>
            </w:pPr>
            <w:r w:rsidRPr="00EB74A4">
              <w:rPr>
                <w:rFonts w:hint="eastAsia"/>
                <w:b w:val="0"/>
                <w:bCs/>
              </w:rPr>
              <w:t>项目达标条文中涉及的各类计算分析报告</w:t>
            </w:r>
          </w:p>
        </w:tc>
      </w:tr>
      <w:tr w:rsidR="00EB74A4" w:rsidRPr="00EB74A4" w14:paraId="72EDCAD5" w14:textId="77777777" w:rsidTr="00EB74A4">
        <w:trPr>
          <w:jc w:val="center"/>
        </w:trPr>
        <w:tc>
          <w:tcPr>
            <w:tcW w:w="1004" w:type="pct"/>
            <w:vMerge/>
            <w:shd w:val="clear" w:color="auto" w:fill="auto"/>
            <w:vAlign w:val="center"/>
          </w:tcPr>
          <w:p w14:paraId="02D0F97F" w14:textId="77777777" w:rsidR="00EB74A4" w:rsidRPr="00EB74A4" w:rsidRDefault="00EB74A4" w:rsidP="00EB74A4">
            <w:pPr>
              <w:pStyle w:val="ae"/>
              <w:rPr>
                <w:b w:val="0"/>
                <w:bCs/>
              </w:rPr>
            </w:pPr>
          </w:p>
        </w:tc>
        <w:tc>
          <w:tcPr>
            <w:tcW w:w="3996" w:type="pct"/>
            <w:shd w:val="clear" w:color="auto" w:fill="auto"/>
            <w:vAlign w:val="center"/>
          </w:tcPr>
          <w:p w14:paraId="260041EC" w14:textId="77777777" w:rsidR="00EB74A4" w:rsidRPr="00EB74A4" w:rsidRDefault="00EB74A4" w:rsidP="00EB74A4">
            <w:pPr>
              <w:pStyle w:val="ae"/>
              <w:rPr>
                <w:b w:val="0"/>
                <w:bCs/>
              </w:rPr>
            </w:pPr>
            <w:r w:rsidRPr="00EB74A4">
              <w:rPr>
                <w:rFonts w:hint="eastAsia"/>
                <w:b w:val="0"/>
                <w:bCs/>
              </w:rPr>
              <w:t>项目达标条文中涉及的相关材料、设备、环境等的性能检测报告</w:t>
            </w:r>
          </w:p>
        </w:tc>
      </w:tr>
      <w:tr w:rsidR="00EB74A4" w:rsidRPr="00EB74A4" w14:paraId="0DC15C6B" w14:textId="77777777" w:rsidTr="00EB74A4">
        <w:trPr>
          <w:jc w:val="center"/>
        </w:trPr>
        <w:tc>
          <w:tcPr>
            <w:tcW w:w="1004" w:type="pct"/>
            <w:vMerge/>
            <w:shd w:val="clear" w:color="auto" w:fill="auto"/>
            <w:vAlign w:val="center"/>
          </w:tcPr>
          <w:p w14:paraId="278B44E4" w14:textId="77777777" w:rsidR="00EB74A4" w:rsidRPr="00EB74A4" w:rsidRDefault="00EB74A4" w:rsidP="00EB74A4">
            <w:pPr>
              <w:pStyle w:val="ae"/>
              <w:rPr>
                <w:b w:val="0"/>
                <w:bCs/>
              </w:rPr>
            </w:pPr>
          </w:p>
        </w:tc>
        <w:tc>
          <w:tcPr>
            <w:tcW w:w="3996" w:type="pct"/>
            <w:shd w:val="clear" w:color="auto" w:fill="auto"/>
            <w:vAlign w:val="center"/>
          </w:tcPr>
          <w:p w14:paraId="24DEADE1" w14:textId="77777777" w:rsidR="00EB74A4" w:rsidRPr="00EB74A4" w:rsidRDefault="00EB74A4" w:rsidP="00EB74A4">
            <w:pPr>
              <w:pStyle w:val="ae"/>
              <w:rPr>
                <w:b w:val="0"/>
                <w:bCs/>
              </w:rPr>
            </w:pPr>
            <w:r w:rsidRPr="00EB74A4">
              <w:rPr>
                <w:rFonts w:hint="eastAsia"/>
                <w:b w:val="0"/>
                <w:bCs/>
              </w:rPr>
              <w:t>项目达标条文中涉及的工程预决算资料</w:t>
            </w:r>
          </w:p>
        </w:tc>
      </w:tr>
    </w:tbl>
    <w:p w14:paraId="63635C90" w14:textId="77777777" w:rsidR="004A7A0D" w:rsidRDefault="004A7A0D" w:rsidP="004A7A0D">
      <w:pPr>
        <w:pStyle w:val="ae"/>
      </w:pPr>
    </w:p>
    <w:p w14:paraId="1FFC609C" w14:textId="77777777" w:rsidR="004A7A0D" w:rsidRDefault="004A7A0D" w:rsidP="004A7A0D">
      <w:pPr>
        <w:pStyle w:val="ae"/>
      </w:pPr>
    </w:p>
    <w:p w14:paraId="4E0339E1" w14:textId="3013126C" w:rsidR="00EB74A4" w:rsidRDefault="004A7A0D" w:rsidP="004A7A0D">
      <w:pPr>
        <w:pStyle w:val="ae"/>
      </w:pPr>
      <w:r>
        <w:rPr>
          <w:rFonts w:hint="eastAsia"/>
        </w:rPr>
        <w:t>表</w:t>
      </w:r>
      <w:r>
        <w:rPr>
          <w:rFonts w:hint="eastAsia"/>
        </w:rPr>
        <w:t>3</w:t>
      </w:r>
      <w:r w:rsidR="00EB74A4">
        <w:rPr>
          <w:rFonts w:hint="eastAsia"/>
        </w:rPr>
        <w:t>评审材料清单</w:t>
      </w:r>
    </w:p>
    <w:tbl>
      <w:tblPr>
        <w:tblW w:w="5000" w:type="pct"/>
        <w:jc w:val="center"/>
        <w:tblBorders>
          <w:top w:val="single" w:sz="8" w:space="0" w:color="000000"/>
          <w:bottom w:val="single" w:sz="8" w:space="0" w:color="auto"/>
          <w:insideH w:val="single" w:sz="4" w:space="0" w:color="000000"/>
          <w:insideV w:val="single" w:sz="4" w:space="0" w:color="000000"/>
        </w:tblBorders>
        <w:tblLook w:val="00A0" w:firstRow="1" w:lastRow="0" w:firstColumn="1" w:lastColumn="0" w:noHBand="0" w:noVBand="0"/>
      </w:tblPr>
      <w:tblGrid>
        <w:gridCol w:w="1690"/>
        <w:gridCol w:w="6839"/>
      </w:tblGrid>
      <w:tr w:rsidR="00EB74A4" w:rsidRPr="00EB74A4" w14:paraId="44DEDCDC" w14:textId="77777777" w:rsidTr="00EB74A4">
        <w:trPr>
          <w:jc w:val="center"/>
        </w:trPr>
        <w:tc>
          <w:tcPr>
            <w:tcW w:w="991" w:type="pct"/>
            <w:shd w:val="clear" w:color="auto" w:fill="auto"/>
            <w:vAlign w:val="center"/>
          </w:tcPr>
          <w:p w14:paraId="6CD051BD" w14:textId="77777777" w:rsidR="00EB74A4" w:rsidRPr="00EB74A4" w:rsidRDefault="00EB74A4" w:rsidP="00EB74A4">
            <w:pPr>
              <w:pStyle w:val="ae"/>
              <w:rPr>
                <w:b w:val="0"/>
                <w:bCs/>
              </w:rPr>
            </w:pPr>
            <w:r w:rsidRPr="00EB74A4">
              <w:rPr>
                <w:rFonts w:hint="eastAsia"/>
                <w:b w:val="0"/>
                <w:bCs/>
              </w:rPr>
              <w:lastRenderedPageBreak/>
              <w:t>标识类型</w:t>
            </w:r>
          </w:p>
        </w:tc>
        <w:tc>
          <w:tcPr>
            <w:tcW w:w="4009" w:type="pct"/>
            <w:shd w:val="clear" w:color="auto" w:fill="auto"/>
            <w:vAlign w:val="center"/>
          </w:tcPr>
          <w:p w14:paraId="0EDCBA2C" w14:textId="77777777" w:rsidR="00EB74A4" w:rsidRPr="00EB74A4" w:rsidRDefault="00EB74A4" w:rsidP="00EB74A4">
            <w:pPr>
              <w:pStyle w:val="ae"/>
              <w:rPr>
                <w:b w:val="0"/>
                <w:bCs/>
              </w:rPr>
            </w:pPr>
            <w:r w:rsidRPr="00EB74A4">
              <w:rPr>
                <w:rFonts w:hint="eastAsia"/>
                <w:b w:val="0"/>
                <w:bCs/>
              </w:rPr>
              <w:t>提交材料</w:t>
            </w:r>
          </w:p>
        </w:tc>
      </w:tr>
      <w:tr w:rsidR="00EB74A4" w:rsidRPr="00EB74A4" w14:paraId="416B3D48" w14:textId="77777777" w:rsidTr="00EB74A4">
        <w:trPr>
          <w:jc w:val="center"/>
        </w:trPr>
        <w:tc>
          <w:tcPr>
            <w:tcW w:w="991" w:type="pct"/>
            <w:vMerge w:val="restart"/>
            <w:shd w:val="clear" w:color="auto" w:fill="auto"/>
            <w:vAlign w:val="center"/>
          </w:tcPr>
          <w:p w14:paraId="34CBCA93" w14:textId="77777777" w:rsidR="00EB74A4" w:rsidRPr="00EB74A4" w:rsidRDefault="00EB74A4" w:rsidP="00EB74A4">
            <w:pPr>
              <w:pStyle w:val="ae"/>
              <w:rPr>
                <w:b w:val="0"/>
                <w:bCs/>
              </w:rPr>
            </w:pPr>
            <w:r w:rsidRPr="00EB74A4">
              <w:rPr>
                <w:rFonts w:hint="eastAsia"/>
                <w:b w:val="0"/>
                <w:bCs/>
              </w:rPr>
              <w:t>绿色建筑预评价标识</w:t>
            </w:r>
          </w:p>
        </w:tc>
        <w:tc>
          <w:tcPr>
            <w:tcW w:w="4009" w:type="pct"/>
            <w:shd w:val="clear" w:color="auto" w:fill="auto"/>
            <w:vAlign w:val="center"/>
          </w:tcPr>
          <w:p w14:paraId="09273D67" w14:textId="77777777" w:rsidR="00EB74A4" w:rsidRPr="00EB74A4" w:rsidRDefault="00EB74A4" w:rsidP="00EB74A4">
            <w:pPr>
              <w:pStyle w:val="ae"/>
              <w:rPr>
                <w:b w:val="0"/>
                <w:bCs/>
              </w:rPr>
            </w:pPr>
            <w:r w:rsidRPr="00EB74A4">
              <w:rPr>
                <w:rFonts w:hint="eastAsia"/>
                <w:b w:val="0"/>
                <w:bCs/>
              </w:rPr>
              <w:t>初审材料清单中的对应资料</w:t>
            </w:r>
          </w:p>
        </w:tc>
      </w:tr>
      <w:tr w:rsidR="00EB74A4" w:rsidRPr="00EB74A4" w14:paraId="372E8789" w14:textId="77777777" w:rsidTr="00EB74A4">
        <w:trPr>
          <w:jc w:val="center"/>
        </w:trPr>
        <w:tc>
          <w:tcPr>
            <w:tcW w:w="991" w:type="pct"/>
            <w:vMerge/>
            <w:shd w:val="clear" w:color="auto" w:fill="auto"/>
            <w:vAlign w:val="center"/>
          </w:tcPr>
          <w:p w14:paraId="4A1ADB15" w14:textId="77777777" w:rsidR="00EB74A4" w:rsidRPr="00EB74A4" w:rsidRDefault="00EB74A4" w:rsidP="00EB74A4">
            <w:pPr>
              <w:pStyle w:val="ae"/>
              <w:rPr>
                <w:b w:val="0"/>
                <w:bCs/>
              </w:rPr>
            </w:pPr>
          </w:p>
        </w:tc>
        <w:tc>
          <w:tcPr>
            <w:tcW w:w="4009" w:type="pct"/>
            <w:shd w:val="clear" w:color="auto" w:fill="auto"/>
            <w:vAlign w:val="center"/>
          </w:tcPr>
          <w:p w14:paraId="03538C00" w14:textId="77777777" w:rsidR="00EB74A4" w:rsidRPr="00EB74A4" w:rsidRDefault="00EB74A4" w:rsidP="00EB74A4">
            <w:pPr>
              <w:pStyle w:val="ae"/>
              <w:rPr>
                <w:b w:val="0"/>
                <w:bCs/>
              </w:rPr>
            </w:pPr>
            <w:r w:rsidRPr="00EB74A4">
              <w:rPr>
                <w:rFonts w:hint="eastAsia"/>
                <w:b w:val="0"/>
                <w:bCs/>
              </w:rPr>
              <w:t>全套经审查的施工图，包括建筑、结构、给排水、电气、暖通、节能、绿建专篇、景观园林、装修一体化图等</w:t>
            </w:r>
          </w:p>
        </w:tc>
      </w:tr>
      <w:tr w:rsidR="00EB74A4" w:rsidRPr="00EB74A4" w14:paraId="69949BC9" w14:textId="77777777" w:rsidTr="00EB74A4">
        <w:trPr>
          <w:jc w:val="center"/>
        </w:trPr>
        <w:tc>
          <w:tcPr>
            <w:tcW w:w="991" w:type="pct"/>
            <w:vMerge w:val="restart"/>
            <w:shd w:val="clear" w:color="auto" w:fill="auto"/>
            <w:vAlign w:val="center"/>
          </w:tcPr>
          <w:p w14:paraId="0F125AB5" w14:textId="77777777" w:rsidR="00EB74A4" w:rsidRPr="00EB74A4" w:rsidRDefault="00EB74A4" w:rsidP="00EB74A4">
            <w:pPr>
              <w:pStyle w:val="ae"/>
              <w:rPr>
                <w:b w:val="0"/>
                <w:bCs/>
              </w:rPr>
            </w:pPr>
            <w:r w:rsidRPr="00EB74A4">
              <w:rPr>
                <w:rFonts w:hint="eastAsia"/>
                <w:b w:val="0"/>
                <w:bCs/>
              </w:rPr>
              <w:t>绿色建筑评价标识</w:t>
            </w:r>
          </w:p>
        </w:tc>
        <w:tc>
          <w:tcPr>
            <w:tcW w:w="4009" w:type="pct"/>
            <w:shd w:val="clear" w:color="auto" w:fill="auto"/>
            <w:vAlign w:val="center"/>
          </w:tcPr>
          <w:p w14:paraId="4E2E8441" w14:textId="77777777" w:rsidR="00EB74A4" w:rsidRPr="00EB74A4" w:rsidRDefault="00EB74A4" w:rsidP="00EB74A4">
            <w:pPr>
              <w:pStyle w:val="ae"/>
              <w:rPr>
                <w:b w:val="0"/>
                <w:bCs/>
              </w:rPr>
            </w:pPr>
            <w:r w:rsidRPr="00EB74A4">
              <w:rPr>
                <w:rFonts w:hint="eastAsia"/>
                <w:b w:val="0"/>
                <w:bCs/>
              </w:rPr>
              <w:t>初审材料清单中的对应资料</w:t>
            </w:r>
          </w:p>
        </w:tc>
      </w:tr>
      <w:tr w:rsidR="00EB74A4" w:rsidRPr="00EB74A4" w14:paraId="229EE112" w14:textId="77777777" w:rsidTr="00EB74A4">
        <w:trPr>
          <w:jc w:val="center"/>
        </w:trPr>
        <w:tc>
          <w:tcPr>
            <w:tcW w:w="991" w:type="pct"/>
            <w:vMerge/>
            <w:shd w:val="clear" w:color="auto" w:fill="auto"/>
            <w:vAlign w:val="center"/>
          </w:tcPr>
          <w:p w14:paraId="052956A0" w14:textId="77777777" w:rsidR="00EB74A4" w:rsidRPr="00EB74A4" w:rsidRDefault="00EB74A4" w:rsidP="00EB74A4">
            <w:pPr>
              <w:pStyle w:val="ae"/>
              <w:rPr>
                <w:b w:val="0"/>
                <w:bCs/>
              </w:rPr>
            </w:pPr>
          </w:p>
        </w:tc>
        <w:tc>
          <w:tcPr>
            <w:tcW w:w="4009" w:type="pct"/>
            <w:shd w:val="clear" w:color="auto" w:fill="auto"/>
            <w:vAlign w:val="center"/>
          </w:tcPr>
          <w:p w14:paraId="1DECDB1E" w14:textId="77777777" w:rsidR="00EB74A4" w:rsidRPr="00EB74A4" w:rsidRDefault="00EB74A4" w:rsidP="00EB74A4">
            <w:pPr>
              <w:pStyle w:val="ae"/>
              <w:rPr>
                <w:b w:val="0"/>
                <w:bCs/>
              </w:rPr>
            </w:pPr>
            <w:r w:rsidRPr="00EB74A4">
              <w:rPr>
                <w:rFonts w:hint="eastAsia"/>
                <w:b w:val="0"/>
                <w:bCs/>
              </w:rPr>
              <w:t>全套经审查的施工图，包括建筑、结构、给排水、电气、暖通、节能、绿建专篇、景观园林、装修一体化图等</w:t>
            </w:r>
          </w:p>
        </w:tc>
      </w:tr>
      <w:tr w:rsidR="00EB74A4" w:rsidRPr="00EB74A4" w14:paraId="1381AB29" w14:textId="77777777" w:rsidTr="00EB74A4">
        <w:trPr>
          <w:trHeight w:val="718"/>
          <w:jc w:val="center"/>
        </w:trPr>
        <w:tc>
          <w:tcPr>
            <w:tcW w:w="991" w:type="pct"/>
            <w:vMerge/>
            <w:shd w:val="clear" w:color="auto" w:fill="auto"/>
            <w:vAlign w:val="center"/>
          </w:tcPr>
          <w:p w14:paraId="442D3AD8" w14:textId="77777777" w:rsidR="00EB74A4" w:rsidRPr="00EB74A4" w:rsidRDefault="00EB74A4" w:rsidP="00EB74A4">
            <w:pPr>
              <w:pStyle w:val="ae"/>
              <w:rPr>
                <w:b w:val="0"/>
                <w:bCs/>
              </w:rPr>
            </w:pPr>
          </w:p>
        </w:tc>
        <w:tc>
          <w:tcPr>
            <w:tcW w:w="4009" w:type="pct"/>
            <w:shd w:val="clear" w:color="auto" w:fill="auto"/>
            <w:vAlign w:val="center"/>
          </w:tcPr>
          <w:p w14:paraId="16373901" w14:textId="77777777" w:rsidR="00EB74A4" w:rsidRPr="00EB74A4" w:rsidRDefault="00EB74A4" w:rsidP="00EB74A4">
            <w:pPr>
              <w:pStyle w:val="ae"/>
              <w:rPr>
                <w:b w:val="0"/>
                <w:bCs/>
              </w:rPr>
            </w:pPr>
            <w:r w:rsidRPr="00EB74A4">
              <w:rPr>
                <w:rFonts w:hint="eastAsia"/>
                <w:b w:val="0"/>
                <w:bCs/>
              </w:rPr>
              <w:t>施工过程控制文件、施工记录文档、影像资料等</w:t>
            </w:r>
          </w:p>
          <w:p w14:paraId="5F92883E" w14:textId="77777777" w:rsidR="00EB74A4" w:rsidRPr="00EB74A4" w:rsidRDefault="00EB74A4" w:rsidP="00EB74A4">
            <w:pPr>
              <w:pStyle w:val="ae"/>
              <w:rPr>
                <w:b w:val="0"/>
                <w:bCs/>
              </w:rPr>
            </w:pPr>
            <w:r w:rsidRPr="00EB74A4">
              <w:rPr>
                <w:rFonts w:hint="eastAsia"/>
                <w:b w:val="0"/>
                <w:bCs/>
              </w:rPr>
              <w:t>已运行项目应当提供运行记录相关文件</w:t>
            </w:r>
          </w:p>
        </w:tc>
      </w:tr>
    </w:tbl>
    <w:p w14:paraId="7090084D" w14:textId="77777777" w:rsidR="00EB74A4" w:rsidRPr="00E93AF0" w:rsidRDefault="00EB74A4" w:rsidP="00EB74A4">
      <w:pPr>
        <w:ind w:firstLine="420"/>
        <w:rPr>
          <w:rFonts w:cs="Times New Roman"/>
        </w:rPr>
      </w:pPr>
    </w:p>
    <w:p w14:paraId="609B6BF4" w14:textId="2240CA93" w:rsidR="00EB74A4" w:rsidRPr="003D2B01" w:rsidRDefault="004A7A0D" w:rsidP="004A7A0D">
      <w:pPr>
        <w:pStyle w:val="ae"/>
      </w:pPr>
      <w:r>
        <w:rPr>
          <w:rFonts w:hint="eastAsia"/>
        </w:rPr>
        <w:t>表</w:t>
      </w:r>
      <w:r>
        <w:rPr>
          <w:rFonts w:hint="eastAsia"/>
        </w:rPr>
        <w:t>4</w:t>
      </w:r>
      <w:r>
        <w:t xml:space="preserve"> </w:t>
      </w:r>
      <w:r w:rsidR="00EB74A4" w:rsidRPr="003D2B01">
        <w:rPr>
          <w:rFonts w:hint="eastAsia"/>
        </w:rPr>
        <w:t>预评价阶段支撑材料清单</w:t>
      </w:r>
    </w:p>
    <w:tbl>
      <w:tblPr>
        <w:tblStyle w:val="ac"/>
        <w:tblW w:w="5000" w:type="pct"/>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762"/>
        <w:gridCol w:w="1873"/>
        <w:gridCol w:w="5894"/>
      </w:tblGrid>
      <w:tr w:rsidR="00EB74A4" w:rsidRPr="00EB74A4" w14:paraId="7826CCCE" w14:textId="77777777" w:rsidTr="00EB74A4">
        <w:trPr>
          <w:trHeight w:val="276"/>
          <w:tblHeader/>
        </w:trPr>
        <w:tc>
          <w:tcPr>
            <w:tcW w:w="447" w:type="pct"/>
            <w:vAlign w:val="center"/>
            <w:hideMark/>
          </w:tcPr>
          <w:p w14:paraId="458964C1" w14:textId="77777777" w:rsidR="00EB74A4" w:rsidRPr="00EB74A4" w:rsidRDefault="00EB74A4" w:rsidP="00EB74A4">
            <w:pPr>
              <w:pStyle w:val="ae"/>
              <w:rPr>
                <w:b w:val="0"/>
                <w:bCs/>
              </w:rPr>
            </w:pPr>
            <w:r w:rsidRPr="00EB74A4">
              <w:rPr>
                <w:rFonts w:hint="eastAsia"/>
                <w:b w:val="0"/>
                <w:bCs/>
              </w:rPr>
              <w:t>条文</w:t>
            </w:r>
          </w:p>
        </w:tc>
        <w:tc>
          <w:tcPr>
            <w:tcW w:w="1098" w:type="pct"/>
            <w:vAlign w:val="center"/>
            <w:hideMark/>
          </w:tcPr>
          <w:p w14:paraId="42EB1648" w14:textId="77777777" w:rsidR="00EB74A4" w:rsidRPr="00EB74A4" w:rsidRDefault="00EB74A4" w:rsidP="00EB74A4">
            <w:pPr>
              <w:pStyle w:val="ae"/>
              <w:rPr>
                <w:b w:val="0"/>
                <w:bCs/>
              </w:rPr>
            </w:pPr>
            <w:r w:rsidRPr="00EB74A4">
              <w:rPr>
                <w:rFonts w:hint="eastAsia"/>
                <w:b w:val="0"/>
                <w:bCs/>
              </w:rPr>
              <w:t>条文关键词</w:t>
            </w:r>
          </w:p>
        </w:tc>
        <w:tc>
          <w:tcPr>
            <w:tcW w:w="3455" w:type="pct"/>
            <w:vAlign w:val="center"/>
            <w:hideMark/>
          </w:tcPr>
          <w:p w14:paraId="4FC29DA6" w14:textId="77777777" w:rsidR="00EB74A4" w:rsidRPr="00EB74A4" w:rsidRDefault="00EB74A4" w:rsidP="00EB74A4">
            <w:pPr>
              <w:pStyle w:val="ae"/>
              <w:rPr>
                <w:b w:val="0"/>
                <w:bCs/>
              </w:rPr>
            </w:pPr>
            <w:r w:rsidRPr="00EB74A4">
              <w:rPr>
                <w:rFonts w:hint="eastAsia"/>
                <w:b w:val="0"/>
                <w:bCs/>
              </w:rPr>
              <w:t>支撑材料</w:t>
            </w:r>
          </w:p>
        </w:tc>
      </w:tr>
      <w:tr w:rsidR="00EB74A4" w:rsidRPr="00EB74A4" w14:paraId="04F07366" w14:textId="77777777" w:rsidTr="00EB74A4">
        <w:trPr>
          <w:trHeight w:val="552"/>
        </w:trPr>
        <w:tc>
          <w:tcPr>
            <w:tcW w:w="447" w:type="pct"/>
            <w:vAlign w:val="center"/>
            <w:hideMark/>
          </w:tcPr>
          <w:p w14:paraId="038C036F" w14:textId="77777777" w:rsidR="00EB74A4" w:rsidRPr="00EB74A4" w:rsidRDefault="00EB74A4" w:rsidP="00EB74A4">
            <w:pPr>
              <w:pStyle w:val="ae"/>
              <w:rPr>
                <w:b w:val="0"/>
                <w:bCs/>
              </w:rPr>
            </w:pPr>
            <w:r w:rsidRPr="00EB74A4">
              <w:rPr>
                <w:rFonts w:hint="eastAsia"/>
                <w:b w:val="0"/>
                <w:bCs/>
              </w:rPr>
              <w:t>3.2.8</w:t>
            </w:r>
          </w:p>
        </w:tc>
        <w:tc>
          <w:tcPr>
            <w:tcW w:w="1098" w:type="pct"/>
            <w:vAlign w:val="center"/>
            <w:hideMark/>
          </w:tcPr>
          <w:p w14:paraId="2D6C71E6" w14:textId="77777777" w:rsidR="00EB74A4" w:rsidRPr="00EB74A4" w:rsidRDefault="00EB74A4" w:rsidP="00EB74A4">
            <w:pPr>
              <w:pStyle w:val="ae"/>
              <w:rPr>
                <w:b w:val="0"/>
                <w:bCs/>
              </w:rPr>
            </w:pPr>
            <w:r w:rsidRPr="00EB74A4">
              <w:rPr>
                <w:rFonts w:hint="eastAsia"/>
                <w:b w:val="0"/>
                <w:bCs/>
              </w:rPr>
              <w:t>评级基本条件</w:t>
            </w:r>
          </w:p>
        </w:tc>
        <w:tc>
          <w:tcPr>
            <w:tcW w:w="3455" w:type="pct"/>
            <w:vAlign w:val="center"/>
            <w:hideMark/>
          </w:tcPr>
          <w:p w14:paraId="345A3D5A" w14:textId="77777777" w:rsidR="00EB74A4" w:rsidRPr="00EB74A4" w:rsidRDefault="00EB74A4" w:rsidP="00EB74A4">
            <w:pPr>
              <w:pStyle w:val="ae"/>
              <w:rPr>
                <w:b w:val="0"/>
                <w:bCs/>
              </w:rPr>
            </w:pPr>
            <w:r w:rsidRPr="00EB74A4">
              <w:rPr>
                <w:rFonts w:hint="eastAsia"/>
                <w:b w:val="0"/>
                <w:bCs/>
              </w:rPr>
              <w:t>外窗和外墙的隔声性能分析报告</w:t>
            </w:r>
            <w:r w:rsidRPr="00EB74A4">
              <w:rPr>
                <w:rFonts w:hint="eastAsia"/>
                <w:b w:val="0"/>
                <w:bCs/>
              </w:rPr>
              <w:br/>
            </w:r>
            <w:r w:rsidRPr="00EB74A4">
              <w:rPr>
                <w:rFonts w:hint="eastAsia"/>
                <w:b w:val="0"/>
                <w:bCs/>
              </w:rPr>
              <w:t>外窗气密性能设计文件、外窗气密性能检测报告</w:t>
            </w:r>
          </w:p>
        </w:tc>
      </w:tr>
      <w:tr w:rsidR="00EB74A4" w:rsidRPr="00EB74A4" w14:paraId="47D442C5" w14:textId="77777777" w:rsidTr="00EB74A4">
        <w:trPr>
          <w:trHeight w:val="552"/>
        </w:trPr>
        <w:tc>
          <w:tcPr>
            <w:tcW w:w="447" w:type="pct"/>
            <w:vAlign w:val="center"/>
            <w:hideMark/>
          </w:tcPr>
          <w:p w14:paraId="1787D165" w14:textId="77777777" w:rsidR="00EB74A4" w:rsidRPr="00EB74A4" w:rsidRDefault="00EB74A4" w:rsidP="00EB74A4">
            <w:pPr>
              <w:pStyle w:val="ae"/>
              <w:rPr>
                <w:b w:val="0"/>
                <w:bCs/>
              </w:rPr>
            </w:pPr>
            <w:r w:rsidRPr="00EB74A4">
              <w:rPr>
                <w:rFonts w:hint="eastAsia"/>
                <w:b w:val="0"/>
                <w:bCs/>
              </w:rPr>
              <w:t>4.1.1</w:t>
            </w:r>
          </w:p>
        </w:tc>
        <w:tc>
          <w:tcPr>
            <w:tcW w:w="1098" w:type="pct"/>
            <w:vAlign w:val="center"/>
            <w:hideMark/>
          </w:tcPr>
          <w:p w14:paraId="5078D227" w14:textId="77777777" w:rsidR="00EB74A4" w:rsidRPr="00EB74A4" w:rsidRDefault="00EB74A4" w:rsidP="00EB74A4">
            <w:pPr>
              <w:pStyle w:val="ae"/>
              <w:rPr>
                <w:b w:val="0"/>
                <w:bCs/>
              </w:rPr>
            </w:pPr>
            <w:r w:rsidRPr="00EB74A4">
              <w:rPr>
                <w:rFonts w:hint="eastAsia"/>
                <w:b w:val="0"/>
                <w:bCs/>
              </w:rPr>
              <w:t>场地安全</w:t>
            </w:r>
          </w:p>
        </w:tc>
        <w:tc>
          <w:tcPr>
            <w:tcW w:w="3455" w:type="pct"/>
            <w:vAlign w:val="center"/>
            <w:hideMark/>
          </w:tcPr>
          <w:p w14:paraId="4623006D" w14:textId="77777777" w:rsidR="00EB74A4" w:rsidRPr="00EB74A4" w:rsidRDefault="00EB74A4" w:rsidP="00EB74A4">
            <w:pPr>
              <w:pStyle w:val="ae"/>
              <w:rPr>
                <w:b w:val="0"/>
                <w:bCs/>
              </w:rPr>
            </w:pPr>
            <w:r w:rsidRPr="00EB74A4">
              <w:rPr>
                <w:rFonts w:hint="eastAsia"/>
                <w:b w:val="0"/>
                <w:bCs/>
              </w:rPr>
              <w:t>项目区位图、场地地形图、勘察报告、环评报告或相关检测报告或论证报告（含地质灾害危险性评估报告；污染源检测报告，氡浓度报告的区域说明）</w:t>
            </w:r>
          </w:p>
        </w:tc>
      </w:tr>
      <w:tr w:rsidR="00EB74A4" w:rsidRPr="00EB74A4" w14:paraId="77BE2655" w14:textId="77777777" w:rsidTr="00EB74A4">
        <w:trPr>
          <w:trHeight w:val="276"/>
        </w:trPr>
        <w:tc>
          <w:tcPr>
            <w:tcW w:w="447" w:type="pct"/>
            <w:vAlign w:val="center"/>
            <w:hideMark/>
          </w:tcPr>
          <w:p w14:paraId="35124BFF" w14:textId="77777777" w:rsidR="00EB74A4" w:rsidRPr="00EB74A4" w:rsidRDefault="00EB74A4" w:rsidP="00EB74A4">
            <w:pPr>
              <w:pStyle w:val="ae"/>
              <w:rPr>
                <w:b w:val="0"/>
                <w:bCs/>
              </w:rPr>
            </w:pPr>
            <w:r w:rsidRPr="00EB74A4">
              <w:rPr>
                <w:rFonts w:hint="eastAsia"/>
                <w:b w:val="0"/>
                <w:bCs/>
              </w:rPr>
              <w:t>4.1.2</w:t>
            </w:r>
          </w:p>
        </w:tc>
        <w:tc>
          <w:tcPr>
            <w:tcW w:w="1098" w:type="pct"/>
            <w:vAlign w:val="center"/>
            <w:hideMark/>
          </w:tcPr>
          <w:p w14:paraId="19FA339B" w14:textId="77777777" w:rsidR="00EB74A4" w:rsidRPr="00EB74A4" w:rsidRDefault="00EB74A4" w:rsidP="00EB74A4">
            <w:pPr>
              <w:pStyle w:val="ae"/>
              <w:rPr>
                <w:b w:val="0"/>
                <w:bCs/>
              </w:rPr>
            </w:pPr>
            <w:r w:rsidRPr="00EB74A4">
              <w:rPr>
                <w:rFonts w:hint="eastAsia"/>
                <w:b w:val="0"/>
                <w:bCs/>
              </w:rPr>
              <w:t>结构承载力</w:t>
            </w:r>
          </w:p>
        </w:tc>
        <w:tc>
          <w:tcPr>
            <w:tcW w:w="3455" w:type="pct"/>
            <w:vAlign w:val="center"/>
            <w:hideMark/>
          </w:tcPr>
          <w:p w14:paraId="2E9A7D1A" w14:textId="77777777" w:rsidR="00EB74A4" w:rsidRPr="00EB74A4" w:rsidRDefault="00EB74A4" w:rsidP="00EB74A4">
            <w:pPr>
              <w:pStyle w:val="ae"/>
              <w:rPr>
                <w:b w:val="0"/>
                <w:bCs/>
              </w:rPr>
            </w:pPr>
            <w:r w:rsidRPr="00EB74A4">
              <w:rPr>
                <w:rFonts w:hint="eastAsia"/>
                <w:b w:val="0"/>
                <w:bCs/>
              </w:rPr>
              <w:t>相关设计文件（含设计说明、计算书等）</w:t>
            </w:r>
          </w:p>
        </w:tc>
      </w:tr>
      <w:tr w:rsidR="00EB74A4" w:rsidRPr="00EB74A4" w14:paraId="3E12B1B4" w14:textId="77777777" w:rsidTr="00EB74A4">
        <w:trPr>
          <w:trHeight w:val="276"/>
        </w:trPr>
        <w:tc>
          <w:tcPr>
            <w:tcW w:w="447" w:type="pct"/>
            <w:vAlign w:val="center"/>
            <w:hideMark/>
          </w:tcPr>
          <w:p w14:paraId="54D18D8E" w14:textId="77777777" w:rsidR="00EB74A4" w:rsidRPr="00EB74A4" w:rsidRDefault="00EB74A4" w:rsidP="00EB74A4">
            <w:pPr>
              <w:pStyle w:val="ae"/>
              <w:rPr>
                <w:b w:val="0"/>
                <w:bCs/>
              </w:rPr>
            </w:pPr>
            <w:r w:rsidRPr="00EB74A4">
              <w:rPr>
                <w:rFonts w:hint="eastAsia"/>
                <w:b w:val="0"/>
                <w:bCs/>
              </w:rPr>
              <w:t>4.1.3</w:t>
            </w:r>
          </w:p>
        </w:tc>
        <w:tc>
          <w:tcPr>
            <w:tcW w:w="1098" w:type="pct"/>
            <w:vAlign w:val="center"/>
            <w:hideMark/>
          </w:tcPr>
          <w:p w14:paraId="06305209" w14:textId="77777777" w:rsidR="00EB74A4" w:rsidRPr="00EB74A4" w:rsidRDefault="00EB74A4" w:rsidP="00EB74A4">
            <w:pPr>
              <w:pStyle w:val="ae"/>
              <w:rPr>
                <w:b w:val="0"/>
                <w:bCs/>
              </w:rPr>
            </w:pPr>
            <w:r w:rsidRPr="00EB74A4">
              <w:rPr>
                <w:rFonts w:hint="eastAsia"/>
                <w:b w:val="0"/>
                <w:bCs/>
              </w:rPr>
              <w:t>外部设施</w:t>
            </w:r>
          </w:p>
        </w:tc>
        <w:tc>
          <w:tcPr>
            <w:tcW w:w="3455" w:type="pct"/>
            <w:vAlign w:val="center"/>
            <w:hideMark/>
          </w:tcPr>
          <w:p w14:paraId="06C7E7C2" w14:textId="77777777" w:rsidR="00EB74A4" w:rsidRPr="00EB74A4" w:rsidRDefault="00EB74A4" w:rsidP="00EB74A4">
            <w:pPr>
              <w:pStyle w:val="ae"/>
              <w:rPr>
                <w:b w:val="0"/>
                <w:bCs/>
              </w:rPr>
            </w:pPr>
            <w:r w:rsidRPr="00EB74A4">
              <w:rPr>
                <w:rFonts w:hint="eastAsia"/>
                <w:b w:val="0"/>
                <w:bCs/>
              </w:rPr>
              <w:t>相关设计文件（含设计说明、计算书等）</w:t>
            </w:r>
          </w:p>
        </w:tc>
      </w:tr>
      <w:tr w:rsidR="00EB74A4" w:rsidRPr="00EB74A4" w14:paraId="0D943B8A" w14:textId="77777777" w:rsidTr="00EB74A4">
        <w:trPr>
          <w:trHeight w:val="552"/>
        </w:trPr>
        <w:tc>
          <w:tcPr>
            <w:tcW w:w="447" w:type="pct"/>
            <w:vAlign w:val="center"/>
            <w:hideMark/>
          </w:tcPr>
          <w:p w14:paraId="6E381104" w14:textId="77777777" w:rsidR="00EB74A4" w:rsidRPr="00EB74A4" w:rsidRDefault="00EB74A4" w:rsidP="00EB74A4">
            <w:pPr>
              <w:pStyle w:val="ae"/>
              <w:rPr>
                <w:b w:val="0"/>
                <w:bCs/>
              </w:rPr>
            </w:pPr>
            <w:r w:rsidRPr="00EB74A4">
              <w:rPr>
                <w:rFonts w:hint="eastAsia"/>
                <w:b w:val="0"/>
                <w:bCs/>
              </w:rPr>
              <w:t>4.1.4</w:t>
            </w:r>
          </w:p>
        </w:tc>
        <w:tc>
          <w:tcPr>
            <w:tcW w:w="1098" w:type="pct"/>
            <w:vAlign w:val="center"/>
            <w:hideMark/>
          </w:tcPr>
          <w:p w14:paraId="77F1C35B" w14:textId="77777777" w:rsidR="00EB74A4" w:rsidRPr="00EB74A4" w:rsidRDefault="00EB74A4" w:rsidP="00EB74A4">
            <w:pPr>
              <w:pStyle w:val="ae"/>
              <w:rPr>
                <w:b w:val="0"/>
                <w:bCs/>
              </w:rPr>
            </w:pPr>
            <w:r w:rsidRPr="00EB74A4">
              <w:rPr>
                <w:rFonts w:hint="eastAsia"/>
                <w:b w:val="0"/>
                <w:bCs/>
              </w:rPr>
              <w:t>内部设施</w:t>
            </w:r>
          </w:p>
        </w:tc>
        <w:tc>
          <w:tcPr>
            <w:tcW w:w="3455" w:type="pct"/>
            <w:vAlign w:val="center"/>
            <w:hideMark/>
          </w:tcPr>
          <w:p w14:paraId="10E07279" w14:textId="77777777" w:rsidR="00EB74A4" w:rsidRPr="00EB74A4" w:rsidRDefault="00EB74A4" w:rsidP="00EB74A4">
            <w:pPr>
              <w:pStyle w:val="ae"/>
              <w:rPr>
                <w:b w:val="0"/>
                <w:bCs/>
              </w:rPr>
            </w:pPr>
            <w:r w:rsidRPr="00EB74A4">
              <w:rPr>
                <w:rFonts w:hint="eastAsia"/>
                <w:b w:val="0"/>
                <w:bCs/>
              </w:rPr>
              <w:t>相关设计文件（含各连接件、配件、预埋件的力学性能及检测检验报告，计算书，施工图）、产品设计要求等</w:t>
            </w:r>
          </w:p>
        </w:tc>
      </w:tr>
      <w:tr w:rsidR="00EB74A4" w:rsidRPr="00EB74A4" w14:paraId="10960222" w14:textId="77777777" w:rsidTr="00EB74A4">
        <w:trPr>
          <w:trHeight w:val="276"/>
        </w:trPr>
        <w:tc>
          <w:tcPr>
            <w:tcW w:w="447" w:type="pct"/>
            <w:vAlign w:val="center"/>
            <w:hideMark/>
          </w:tcPr>
          <w:p w14:paraId="0ABCDDB9" w14:textId="77777777" w:rsidR="00EB74A4" w:rsidRPr="00EB74A4" w:rsidRDefault="00EB74A4" w:rsidP="00EB74A4">
            <w:pPr>
              <w:pStyle w:val="ae"/>
              <w:rPr>
                <w:b w:val="0"/>
                <w:bCs/>
              </w:rPr>
            </w:pPr>
            <w:r w:rsidRPr="00EB74A4">
              <w:rPr>
                <w:rFonts w:hint="eastAsia"/>
                <w:b w:val="0"/>
                <w:bCs/>
              </w:rPr>
              <w:t>4.1.5</w:t>
            </w:r>
          </w:p>
        </w:tc>
        <w:tc>
          <w:tcPr>
            <w:tcW w:w="1098" w:type="pct"/>
            <w:vAlign w:val="center"/>
            <w:hideMark/>
          </w:tcPr>
          <w:p w14:paraId="0A92CBB7" w14:textId="77777777" w:rsidR="00EB74A4" w:rsidRPr="00EB74A4" w:rsidRDefault="00EB74A4" w:rsidP="00EB74A4">
            <w:pPr>
              <w:pStyle w:val="ae"/>
              <w:rPr>
                <w:b w:val="0"/>
                <w:bCs/>
              </w:rPr>
            </w:pPr>
            <w:r w:rsidRPr="00EB74A4">
              <w:rPr>
                <w:rFonts w:hint="eastAsia"/>
                <w:b w:val="0"/>
                <w:bCs/>
              </w:rPr>
              <w:t>外门窗三性</w:t>
            </w:r>
          </w:p>
        </w:tc>
        <w:tc>
          <w:tcPr>
            <w:tcW w:w="3455" w:type="pct"/>
            <w:vAlign w:val="center"/>
            <w:hideMark/>
          </w:tcPr>
          <w:p w14:paraId="3C9DE63A" w14:textId="77777777" w:rsidR="00EB74A4" w:rsidRPr="00EB74A4" w:rsidRDefault="00EB74A4" w:rsidP="00EB74A4">
            <w:pPr>
              <w:pStyle w:val="ae"/>
              <w:rPr>
                <w:b w:val="0"/>
                <w:bCs/>
              </w:rPr>
            </w:pPr>
            <w:r w:rsidRPr="00EB74A4">
              <w:rPr>
                <w:rFonts w:hint="eastAsia"/>
                <w:b w:val="0"/>
                <w:bCs/>
              </w:rPr>
              <w:t>相关设计文件、门窗产品三性检测报告</w:t>
            </w:r>
          </w:p>
        </w:tc>
      </w:tr>
      <w:tr w:rsidR="00EB74A4" w:rsidRPr="00EB74A4" w14:paraId="1984A3C0" w14:textId="77777777" w:rsidTr="00EB74A4">
        <w:trPr>
          <w:trHeight w:val="276"/>
        </w:trPr>
        <w:tc>
          <w:tcPr>
            <w:tcW w:w="447" w:type="pct"/>
            <w:vAlign w:val="center"/>
            <w:hideMark/>
          </w:tcPr>
          <w:p w14:paraId="65DC9BA1" w14:textId="77777777" w:rsidR="00EB74A4" w:rsidRPr="00EB74A4" w:rsidRDefault="00EB74A4" w:rsidP="00EB74A4">
            <w:pPr>
              <w:pStyle w:val="ae"/>
              <w:rPr>
                <w:b w:val="0"/>
                <w:bCs/>
              </w:rPr>
            </w:pPr>
            <w:r w:rsidRPr="00EB74A4">
              <w:rPr>
                <w:rFonts w:hint="eastAsia"/>
                <w:b w:val="0"/>
                <w:bCs/>
              </w:rPr>
              <w:t>4.1.6</w:t>
            </w:r>
          </w:p>
        </w:tc>
        <w:tc>
          <w:tcPr>
            <w:tcW w:w="1098" w:type="pct"/>
            <w:vAlign w:val="center"/>
            <w:hideMark/>
          </w:tcPr>
          <w:p w14:paraId="5B4B620D" w14:textId="77777777" w:rsidR="00EB74A4" w:rsidRPr="00EB74A4" w:rsidRDefault="00EB74A4" w:rsidP="00EB74A4">
            <w:pPr>
              <w:pStyle w:val="ae"/>
              <w:rPr>
                <w:b w:val="0"/>
                <w:bCs/>
              </w:rPr>
            </w:pPr>
            <w:r w:rsidRPr="00EB74A4">
              <w:rPr>
                <w:rFonts w:hint="eastAsia"/>
                <w:b w:val="0"/>
                <w:bCs/>
              </w:rPr>
              <w:t>防水防潮</w:t>
            </w:r>
          </w:p>
        </w:tc>
        <w:tc>
          <w:tcPr>
            <w:tcW w:w="3455" w:type="pct"/>
            <w:vAlign w:val="center"/>
            <w:hideMark/>
          </w:tcPr>
          <w:p w14:paraId="75FD8282" w14:textId="77777777" w:rsidR="00EB74A4" w:rsidRPr="00EB74A4" w:rsidRDefault="00EB74A4" w:rsidP="00EB74A4">
            <w:pPr>
              <w:pStyle w:val="ae"/>
              <w:rPr>
                <w:b w:val="0"/>
                <w:bCs/>
              </w:rPr>
            </w:pPr>
            <w:r w:rsidRPr="00EB74A4">
              <w:rPr>
                <w:rFonts w:hint="eastAsia"/>
                <w:b w:val="0"/>
                <w:bCs/>
              </w:rPr>
              <w:t>相关设计文件、防水和防潮措施说明</w:t>
            </w:r>
          </w:p>
        </w:tc>
      </w:tr>
      <w:tr w:rsidR="00EB74A4" w:rsidRPr="00EB74A4" w14:paraId="7671749F" w14:textId="77777777" w:rsidTr="00EB74A4">
        <w:trPr>
          <w:trHeight w:val="276"/>
        </w:trPr>
        <w:tc>
          <w:tcPr>
            <w:tcW w:w="447" w:type="pct"/>
            <w:vAlign w:val="center"/>
            <w:hideMark/>
          </w:tcPr>
          <w:p w14:paraId="108AAD3B" w14:textId="77777777" w:rsidR="00EB74A4" w:rsidRPr="00EB74A4" w:rsidRDefault="00EB74A4" w:rsidP="00EB74A4">
            <w:pPr>
              <w:pStyle w:val="ae"/>
              <w:rPr>
                <w:b w:val="0"/>
                <w:bCs/>
              </w:rPr>
            </w:pPr>
            <w:r w:rsidRPr="00EB74A4">
              <w:rPr>
                <w:rFonts w:hint="eastAsia"/>
                <w:b w:val="0"/>
                <w:bCs/>
              </w:rPr>
              <w:t>4.1.7</w:t>
            </w:r>
          </w:p>
        </w:tc>
        <w:tc>
          <w:tcPr>
            <w:tcW w:w="1098" w:type="pct"/>
            <w:vAlign w:val="center"/>
            <w:hideMark/>
          </w:tcPr>
          <w:p w14:paraId="332477EB" w14:textId="77777777" w:rsidR="00EB74A4" w:rsidRPr="00EB74A4" w:rsidRDefault="00EB74A4" w:rsidP="00EB74A4">
            <w:pPr>
              <w:pStyle w:val="ae"/>
              <w:rPr>
                <w:b w:val="0"/>
                <w:bCs/>
              </w:rPr>
            </w:pPr>
            <w:r w:rsidRPr="00EB74A4">
              <w:rPr>
                <w:rFonts w:hint="eastAsia"/>
                <w:b w:val="0"/>
                <w:bCs/>
              </w:rPr>
              <w:t>紧急疏散、应急救护</w:t>
            </w:r>
          </w:p>
        </w:tc>
        <w:tc>
          <w:tcPr>
            <w:tcW w:w="3455" w:type="pct"/>
            <w:vAlign w:val="center"/>
            <w:hideMark/>
          </w:tcPr>
          <w:p w14:paraId="191930CA"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1C88CD01" w14:textId="77777777" w:rsidTr="00EB74A4">
        <w:trPr>
          <w:trHeight w:val="552"/>
        </w:trPr>
        <w:tc>
          <w:tcPr>
            <w:tcW w:w="447" w:type="pct"/>
            <w:vAlign w:val="center"/>
            <w:hideMark/>
          </w:tcPr>
          <w:p w14:paraId="7993DD49" w14:textId="77777777" w:rsidR="00EB74A4" w:rsidRPr="00EB74A4" w:rsidRDefault="00EB74A4" w:rsidP="00EB74A4">
            <w:pPr>
              <w:pStyle w:val="ae"/>
              <w:rPr>
                <w:b w:val="0"/>
                <w:bCs/>
              </w:rPr>
            </w:pPr>
            <w:r w:rsidRPr="00EB74A4">
              <w:rPr>
                <w:rFonts w:hint="eastAsia"/>
                <w:b w:val="0"/>
                <w:bCs/>
              </w:rPr>
              <w:t>4.1.8</w:t>
            </w:r>
          </w:p>
        </w:tc>
        <w:tc>
          <w:tcPr>
            <w:tcW w:w="1098" w:type="pct"/>
            <w:vAlign w:val="center"/>
            <w:hideMark/>
          </w:tcPr>
          <w:p w14:paraId="389D3E85" w14:textId="77777777" w:rsidR="00EB74A4" w:rsidRPr="00EB74A4" w:rsidRDefault="00EB74A4" w:rsidP="00EB74A4">
            <w:pPr>
              <w:pStyle w:val="ae"/>
              <w:rPr>
                <w:b w:val="0"/>
                <w:bCs/>
              </w:rPr>
            </w:pPr>
            <w:r w:rsidRPr="00EB74A4">
              <w:rPr>
                <w:rFonts w:hint="eastAsia"/>
                <w:b w:val="0"/>
                <w:bCs/>
              </w:rPr>
              <w:t>标识系统</w:t>
            </w:r>
          </w:p>
        </w:tc>
        <w:tc>
          <w:tcPr>
            <w:tcW w:w="3455" w:type="pct"/>
            <w:vAlign w:val="center"/>
            <w:hideMark/>
          </w:tcPr>
          <w:p w14:paraId="037437AE" w14:textId="77777777" w:rsidR="00EB74A4" w:rsidRPr="00EB74A4" w:rsidRDefault="00EB74A4" w:rsidP="00EB74A4">
            <w:pPr>
              <w:pStyle w:val="ae"/>
              <w:rPr>
                <w:b w:val="0"/>
                <w:bCs/>
              </w:rPr>
            </w:pPr>
            <w:r w:rsidRPr="00EB74A4">
              <w:rPr>
                <w:rFonts w:hint="eastAsia"/>
                <w:b w:val="0"/>
                <w:bCs/>
              </w:rPr>
              <w:t>标识系统设计（含标识标牌设计详图，车库应提供标识标牌和安全防护措施专项设计详图）与设置说明文件</w:t>
            </w:r>
          </w:p>
        </w:tc>
      </w:tr>
      <w:tr w:rsidR="00EB74A4" w:rsidRPr="00EB74A4" w14:paraId="68C7481A" w14:textId="77777777" w:rsidTr="00EB74A4">
        <w:trPr>
          <w:trHeight w:val="276"/>
        </w:trPr>
        <w:tc>
          <w:tcPr>
            <w:tcW w:w="447" w:type="pct"/>
            <w:vAlign w:val="center"/>
            <w:hideMark/>
          </w:tcPr>
          <w:p w14:paraId="472D5B15" w14:textId="77777777" w:rsidR="00EB74A4" w:rsidRPr="00EB74A4" w:rsidRDefault="00EB74A4" w:rsidP="00EB74A4">
            <w:pPr>
              <w:pStyle w:val="ae"/>
              <w:rPr>
                <w:b w:val="0"/>
                <w:bCs/>
              </w:rPr>
            </w:pPr>
            <w:r w:rsidRPr="00EB74A4">
              <w:rPr>
                <w:rFonts w:hint="eastAsia"/>
                <w:b w:val="0"/>
                <w:bCs/>
              </w:rPr>
              <w:t>4.2.1</w:t>
            </w:r>
          </w:p>
        </w:tc>
        <w:tc>
          <w:tcPr>
            <w:tcW w:w="1098" w:type="pct"/>
            <w:vAlign w:val="center"/>
            <w:hideMark/>
          </w:tcPr>
          <w:p w14:paraId="320C058D" w14:textId="77777777" w:rsidR="00EB74A4" w:rsidRPr="00EB74A4" w:rsidRDefault="00EB74A4" w:rsidP="00EB74A4">
            <w:pPr>
              <w:pStyle w:val="ae"/>
              <w:rPr>
                <w:b w:val="0"/>
                <w:bCs/>
              </w:rPr>
            </w:pPr>
            <w:r w:rsidRPr="00EB74A4">
              <w:rPr>
                <w:rFonts w:hint="eastAsia"/>
                <w:b w:val="0"/>
                <w:bCs/>
              </w:rPr>
              <w:t>抗震设计</w:t>
            </w:r>
          </w:p>
        </w:tc>
        <w:tc>
          <w:tcPr>
            <w:tcW w:w="3455" w:type="pct"/>
            <w:vAlign w:val="center"/>
            <w:hideMark/>
          </w:tcPr>
          <w:p w14:paraId="123DD2A9" w14:textId="77777777" w:rsidR="00EB74A4" w:rsidRPr="00EB74A4" w:rsidRDefault="00EB74A4" w:rsidP="00EB74A4">
            <w:pPr>
              <w:pStyle w:val="ae"/>
              <w:rPr>
                <w:b w:val="0"/>
                <w:bCs/>
              </w:rPr>
            </w:pPr>
            <w:r w:rsidRPr="00EB74A4">
              <w:rPr>
                <w:rFonts w:hint="eastAsia"/>
                <w:b w:val="0"/>
                <w:bCs/>
              </w:rPr>
              <w:t>相关设计文件、结构计算文件</w:t>
            </w:r>
          </w:p>
        </w:tc>
      </w:tr>
      <w:tr w:rsidR="00EB74A4" w:rsidRPr="00EB74A4" w14:paraId="48749F95" w14:textId="77777777" w:rsidTr="00EB74A4">
        <w:trPr>
          <w:trHeight w:val="552"/>
        </w:trPr>
        <w:tc>
          <w:tcPr>
            <w:tcW w:w="447" w:type="pct"/>
            <w:vAlign w:val="center"/>
            <w:hideMark/>
          </w:tcPr>
          <w:p w14:paraId="4025FBD1" w14:textId="77777777" w:rsidR="00EB74A4" w:rsidRPr="00EB74A4" w:rsidRDefault="00EB74A4" w:rsidP="00EB74A4">
            <w:pPr>
              <w:pStyle w:val="ae"/>
              <w:rPr>
                <w:b w:val="0"/>
                <w:bCs/>
              </w:rPr>
            </w:pPr>
            <w:r w:rsidRPr="00EB74A4">
              <w:rPr>
                <w:rFonts w:hint="eastAsia"/>
                <w:b w:val="0"/>
                <w:bCs/>
              </w:rPr>
              <w:t>4.2.2</w:t>
            </w:r>
          </w:p>
        </w:tc>
        <w:tc>
          <w:tcPr>
            <w:tcW w:w="1098" w:type="pct"/>
            <w:vAlign w:val="center"/>
            <w:hideMark/>
          </w:tcPr>
          <w:p w14:paraId="0C3A49C2" w14:textId="77777777" w:rsidR="00EB74A4" w:rsidRPr="00EB74A4" w:rsidRDefault="00EB74A4" w:rsidP="00EB74A4">
            <w:pPr>
              <w:pStyle w:val="ae"/>
              <w:rPr>
                <w:b w:val="0"/>
                <w:bCs/>
              </w:rPr>
            </w:pPr>
            <w:r w:rsidRPr="00EB74A4">
              <w:rPr>
                <w:rFonts w:hint="eastAsia"/>
                <w:b w:val="0"/>
                <w:bCs/>
              </w:rPr>
              <w:t>安全防护措施</w:t>
            </w:r>
          </w:p>
        </w:tc>
        <w:tc>
          <w:tcPr>
            <w:tcW w:w="3455" w:type="pct"/>
            <w:vAlign w:val="center"/>
            <w:hideMark/>
          </w:tcPr>
          <w:p w14:paraId="332C603C" w14:textId="77777777" w:rsidR="00EB74A4" w:rsidRPr="00EB74A4" w:rsidRDefault="00EB74A4" w:rsidP="00EB74A4">
            <w:pPr>
              <w:pStyle w:val="ae"/>
              <w:rPr>
                <w:b w:val="0"/>
                <w:bCs/>
              </w:rPr>
            </w:pPr>
            <w:r w:rsidRPr="00EB74A4">
              <w:rPr>
                <w:rFonts w:hint="eastAsia"/>
                <w:b w:val="0"/>
                <w:bCs/>
              </w:rPr>
              <w:t>建筑专业阳台、外窗、窗台、防护栏杆设计图，建筑出入口安</w:t>
            </w:r>
            <w:r w:rsidRPr="00EB74A4">
              <w:rPr>
                <w:rFonts w:hint="eastAsia"/>
                <w:b w:val="0"/>
                <w:bCs/>
              </w:rPr>
              <w:lastRenderedPageBreak/>
              <w:t>全防护设计图及室外场地设计图等相关设计文件</w:t>
            </w:r>
          </w:p>
        </w:tc>
      </w:tr>
      <w:tr w:rsidR="00EB74A4" w:rsidRPr="00EB74A4" w14:paraId="7BB2C252" w14:textId="77777777" w:rsidTr="00EB74A4">
        <w:trPr>
          <w:trHeight w:val="552"/>
        </w:trPr>
        <w:tc>
          <w:tcPr>
            <w:tcW w:w="447" w:type="pct"/>
            <w:vAlign w:val="center"/>
            <w:hideMark/>
          </w:tcPr>
          <w:p w14:paraId="3D1B0367" w14:textId="77777777" w:rsidR="00EB74A4" w:rsidRPr="00EB74A4" w:rsidRDefault="00EB74A4" w:rsidP="00EB74A4">
            <w:pPr>
              <w:pStyle w:val="ae"/>
              <w:rPr>
                <w:b w:val="0"/>
                <w:bCs/>
              </w:rPr>
            </w:pPr>
            <w:r w:rsidRPr="00EB74A4">
              <w:rPr>
                <w:rFonts w:hint="eastAsia"/>
                <w:b w:val="0"/>
                <w:bCs/>
              </w:rPr>
              <w:lastRenderedPageBreak/>
              <w:t>4.2.3</w:t>
            </w:r>
          </w:p>
        </w:tc>
        <w:tc>
          <w:tcPr>
            <w:tcW w:w="1098" w:type="pct"/>
            <w:vAlign w:val="center"/>
            <w:hideMark/>
          </w:tcPr>
          <w:p w14:paraId="505E4BF3" w14:textId="77777777" w:rsidR="00EB74A4" w:rsidRPr="00EB74A4" w:rsidRDefault="00EB74A4" w:rsidP="00EB74A4">
            <w:pPr>
              <w:pStyle w:val="ae"/>
              <w:rPr>
                <w:b w:val="0"/>
                <w:bCs/>
              </w:rPr>
            </w:pPr>
            <w:r w:rsidRPr="00EB74A4">
              <w:rPr>
                <w:rFonts w:hint="eastAsia"/>
                <w:b w:val="0"/>
                <w:bCs/>
              </w:rPr>
              <w:t>配件产品安全防护性能</w:t>
            </w:r>
          </w:p>
        </w:tc>
        <w:tc>
          <w:tcPr>
            <w:tcW w:w="3455" w:type="pct"/>
            <w:vAlign w:val="center"/>
            <w:hideMark/>
          </w:tcPr>
          <w:p w14:paraId="4C9498B2"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70D90EB9" w14:textId="77777777" w:rsidTr="00EB74A4">
        <w:trPr>
          <w:trHeight w:val="276"/>
        </w:trPr>
        <w:tc>
          <w:tcPr>
            <w:tcW w:w="447" w:type="pct"/>
            <w:vAlign w:val="center"/>
            <w:hideMark/>
          </w:tcPr>
          <w:p w14:paraId="13D5C5F1" w14:textId="77777777" w:rsidR="00EB74A4" w:rsidRPr="00EB74A4" w:rsidRDefault="00EB74A4" w:rsidP="00EB74A4">
            <w:pPr>
              <w:pStyle w:val="ae"/>
              <w:rPr>
                <w:b w:val="0"/>
                <w:bCs/>
              </w:rPr>
            </w:pPr>
            <w:r w:rsidRPr="00EB74A4">
              <w:rPr>
                <w:rFonts w:hint="eastAsia"/>
                <w:b w:val="0"/>
                <w:bCs/>
              </w:rPr>
              <w:t>4.2.4</w:t>
            </w:r>
          </w:p>
        </w:tc>
        <w:tc>
          <w:tcPr>
            <w:tcW w:w="1098" w:type="pct"/>
            <w:vAlign w:val="center"/>
            <w:hideMark/>
          </w:tcPr>
          <w:p w14:paraId="0B1775A9" w14:textId="77777777" w:rsidR="00EB74A4" w:rsidRPr="00EB74A4" w:rsidRDefault="00EB74A4" w:rsidP="00EB74A4">
            <w:pPr>
              <w:pStyle w:val="ae"/>
              <w:rPr>
                <w:b w:val="0"/>
                <w:bCs/>
              </w:rPr>
            </w:pPr>
            <w:r w:rsidRPr="00EB74A4">
              <w:rPr>
                <w:rFonts w:hint="eastAsia"/>
                <w:b w:val="0"/>
                <w:bCs/>
              </w:rPr>
              <w:t>防滑措施</w:t>
            </w:r>
          </w:p>
        </w:tc>
        <w:tc>
          <w:tcPr>
            <w:tcW w:w="3455" w:type="pct"/>
            <w:vAlign w:val="center"/>
            <w:hideMark/>
          </w:tcPr>
          <w:p w14:paraId="1E099655" w14:textId="77777777" w:rsidR="00EB74A4" w:rsidRPr="00EB74A4" w:rsidRDefault="00EB74A4" w:rsidP="00EB74A4">
            <w:pPr>
              <w:pStyle w:val="ae"/>
              <w:rPr>
                <w:b w:val="0"/>
                <w:bCs/>
              </w:rPr>
            </w:pPr>
            <w:r w:rsidRPr="00EB74A4">
              <w:rPr>
                <w:rFonts w:hint="eastAsia"/>
                <w:b w:val="0"/>
                <w:bCs/>
              </w:rPr>
              <w:t>建筑设计说明、防滑构造做法等相关设计文件</w:t>
            </w:r>
          </w:p>
        </w:tc>
      </w:tr>
      <w:tr w:rsidR="00EB74A4" w:rsidRPr="00EB74A4" w14:paraId="162DC72E" w14:textId="77777777" w:rsidTr="00EB74A4">
        <w:trPr>
          <w:trHeight w:val="552"/>
        </w:trPr>
        <w:tc>
          <w:tcPr>
            <w:tcW w:w="447" w:type="pct"/>
            <w:vAlign w:val="center"/>
            <w:hideMark/>
          </w:tcPr>
          <w:p w14:paraId="5216B2DC" w14:textId="77777777" w:rsidR="00EB74A4" w:rsidRPr="00EB74A4" w:rsidRDefault="00EB74A4" w:rsidP="00EB74A4">
            <w:pPr>
              <w:pStyle w:val="ae"/>
              <w:rPr>
                <w:b w:val="0"/>
                <w:bCs/>
              </w:rPr>
            </w:pPr>
            <w:r w:rsidRPr="00EB74A4">
              <w:rPr>
                <w:rFonts w:hint="eastAsia"/>
                <w:b w:val="0"/>
                <w:bCs/>
              </w:rPr>
              <w:t>4.2.5</w:t>
            </w:r>
          </w:p>
        </w:tc>
        <w:tc>
          <w:tcPr>
            <w:tcW w:w="1098" w:type="pct"/>
            <w:vAlign w:val="center"/>
            <w:hideMark/>
          </w:tcPr>
          <w:p w14:paraId="4BD8923D" w14:textId="77777777" w:rsidR="00EB74A4" w:rsidRPr="00EB74A4" w:rsidRDefault="00EB74A4" w:rsidP="00EB74A4">
            <w:pPr>
              <w:pStyle w:val="ae"/>
              <w:rPr>
                <w:b w:val="0"/>
                <w:bCs/>
              </w:rPr>
            </w:pPr>
            <w:r w:rsidRPr="00EB74A4">
              <w:rPr>
                <w:rFonts w:hint="eastAsia"/>
                <w:b w:val="0"/>
                <w:bCs/>
              </w:rPr>
              <w:t>人车分流</w:t>
            </w:r>
          </w:p>
        </w:tc>
        <w:tc>
          <w:tcPr>
            <w:tcW w:w="3455" w:type="pct"/>
            <w:vAlign w:val="center"/>
            <w:hideMark/>
          </w:tcPr>
          <w:p w14:paraId="4E6F12B7" w14:textId="77777777" w:rsidR="00EB74A4" w:rsidRPr="00EB74A4" w:rsidRDefault="00EB74A4" w:rsidP="00EB74A4">
            <w:pPr>
              <w:pStyle w:val="ae"/>
              <w:rPr>
                <w:b w:val="0"/>
                <w:bCs/>
              </w:rPr>
            </w:pPr>
            <w:r w:rsidRPr="00EB74A4">
              <w:rPr>
                <w:rFonts w:hint="eastAsia"/>
                <w:b w:val="0"/>
                <w:bCs/>
              </w:rPr>
              <w:t>场地道路照明设计文件、步行和自行车交通系统的路面平均照度、路面最小照度和垂直照度计算书、人车分流专项设计文件</w:t>
            </w:r>
          </w:p>
        </w:tc>
      </w:tr>
      <w:tr w:rsidR="00EB74A4" w:rsidRPr="00EB74A4" w14:paraId="65289C7F" w14:textId="77777777" w:rsidTr="00EB74A4">
        <w:trPr>
          <w:trHeight w:val="276"/>
        </w:trPr>
        <w:tc>
          <w:tcPr>
            <w:tcW w:w="447" w:type="pct"/>
            <w:vAlign w:val="center"/>
            <w:hideMark/>
          </w:tcPr>
          <w:p w14:paraId="753EFB3C" w14:textId="77777777" w:rsidR="00EB74A4" w:rsidRPr="00EB74A4" w:rsidRDefault="00EB74A4" w:rsidP="00EB74A4">
            <w:pPr>
              <w:pStyle w:val="ae"/>
              <w:rPr>
                <w:b w:val="0"/>
                <w:bCs/>
              </w:rPr>
            </w:pPr>
            <w:r w:rsidRPr="00EB74A4">
              <w:rPr>
                <w:rFonts w:hint="eastAsia"/>
                <w:b w:val="0"/>
                <w:bCs/>
              </w:rPr>
              <w:t>4.2.6</w:t>
            </w:r>
          </w:p>
        </w:tc>
        <w:tc>
          <w:tcPr>
            <w:tcW w:w="1098" w:type="pct"/>
            <w:vAlign w:val="center"/>
            <w:hideMark/>
          </w:tcPr>
          <w:p w14:paraId="0C393099" w14:textId="77777777" w:rsidR="00EB74A4" w:rsidRPr="00EB74A4" w:rsidRDefault="00EB74A4" w:rsidP="00EB74A4">
            <w:pPr>
              <w:pStyle w:val="ae"/>
              <w:rPr>
                <w:b w:val="0"/>
                <w:bCs/>
              </w:rPr>
            </w:pPr>
            <w:r w:rsidRPr="00EB74A4">
              <w:rPr>
                <w:rFonts w:hint="eastAsia"/>
                <w:b w:val="0"/>
                <w:bCs/>
              </w:rPr>
              <w:t>建筑适变性</w:t>
            </w:r>
          </w:p>
        </w:tc>
        <w:tc>
          <w:tcPr>
            <w:tcW w:w="3455" w:type="pct"/>
            <w:vAlign w:val="center"/>
            <w:hideMark/>
          </w:tcPr>
          <w:p w14:paraId="090A248B" w14:textId="77777777" w:rsidR="00EB74A4" w:rsidRPr="00EB74A4" w:rsidRDefault="00EB74A4" w:rsidP="00EB74A4">
            <w:pPr>
              <w:pStyle w:val="ae"/>
              <w:rPr>
                <w:b w:val="0"/>
                <w:bCs/>
              </w:rPr>
            </w:pPr>
            <w:r w:rsidRPr="00EB74A4">
              <w:rPr>
                <w:rFonts w:hint="eastAsia"/>
                <w:b w:val="0"/>
                <w:bCs/>
              </w:rPr>
              <w:t>相关设计文件、建筑适变性提升措施的设计说明</w:t>
            </w:r>
          </w:p>
        </w:tc>
      </w:tr>
      <w:tr w:rsidR="00EB74A4" w:rsidRPr="00EB74A4" w14:paraId="0F42B7A5" w14:textId="77777777" w:rsidTr="00EB74A4">
        <w:trPr>
          <w:trHeight w:val="276"/>
        </w:trPr>
        <w:tc>
          <w:tcPr>
            <w:tcW w:w="447" w:type="pct"/>
            <w:vAlign w:val="center"/>
            <w:hideMark/>
          </w:tcPr>
          <w:p w14:paraId="62089039" w14:textId="77777777" w:rsidR="00EB74A4" w:rsidRPr="00EB74A4" w:rsidRDefault="00EB74A4" w:rsidP="00EB74A4">
            <w:pPr>
              <w:pStyle w:val="ae"/>
              <w:rPr>
                <w:b w:val="0"/>
                <w:bCs/>
              </w:rPr>
            </w:pPr>
            <w:r w:rsidRPr="00EB74A4">
              <w:rPr>
                <w:rFonts w:hint="eastAsia"/>
                <w:b w:val="0"/>
                <w:bCs/>
              </w:rPr>
              <w:t>4.2.7</w:t>
            </w:r>
          </w:p>
        </w:tc>
        <w:tc>
          <w:tcPr>
            <w:tcW w:w="1098" w:type="pct"/>
            <w:vAlign w:val="center"/>
            <w:hideMark/>
          </w:tcPr>
          <w:p w14:paraId="7D91BD9C" w14:textId="77777777" w:rsidR="00EB74A4" w:rsidRPr="00EB74A4" w:rsidRDefault="00EB74A4" w:rsidP="00EB74A4">
            <w:pPr>
              <w:pStyle w:val="ae"/>
              <w:rPr>
                <w:b w:val="0"/>
                <w:bCs/>
              </w:rPr>
            </w:pPr>
            <w:r w:rsidRPr="00EB74A4">
              <w:rPr>
                <w:rFonts w:hint="eastAsia"/>
                <w:b w:val="0"/>
                <w:bCs/>
              </w:rPr>
              <w:t>部件耐久性</w:t>
            </w:r>
          </w:p>
        </w:tc>
        <w:tc>
          <w:tcPr>
            <w:tcW w:w="3455" w:type="pct"/>
            <w:vAlign w:val="center"/>
            <w:hideMark/>
          </w:tcPr>
          <w:p w14:paraId="5B2400E2" w14:textId="77777777" w:rsidR="00EB74A4" w:rsidRPr="00EB74A4" w:rsidRDefault="00EB74A4" w:rsidP="00EB74A4">
            <w:pPr>
              <w:pStyle w:val="ae"/>
              <w:rPr>
                <w:b w:val="0"/>
                <w:bCs/>
              </w:rPr>
            </w:pPr>
            <w:r w:rsidRPr="00EB74A4">
              <w:rPr>
                <w:rFonts w:hint="eastAsia"/>
                <w:b w:val="0"/>
                <w:bCs/>
              </w:rPr>
              <w:t>相关设计文件、产品设计要求</w:t>
            </w:r>
          </w:p>
        </w:tc>
      </w:tr>
      <w:tr w:rsidR="00EB74A4" w:rsidRPr="00EB74A4" w14:paraId="61EB13F9" w14:textId="77777777" w:rsidTr="00EB74A4">
        <w:trPr>
          <w:trHeight w:val="276"/>
        </w:trPr>
        <w:tc>
          <w:tcPr>
            <w:tcW w:w="447" w:type="pct"/>
            <w:vAlign w:val="center"/>
            <w:hideMark/>
          </w:tcPr>
          <w:p w14:paraId="0D8BEABE" w14:textId="77777777" w:rsidR="00EB74A4" w:rsidRPr="00EB74A4" w:rsidRDefault="00EB74A4" w:rsidP="00EB74A4">
            <w:pPr>
              <w:pStyle w:val="ae"/>
              <w:rPr>
                <w:b w:val="0"/>
                <w:bCs/>
              </w:rPr>
            </w:pPr>
            <w:r w:rsidRPr="00EB74A4">
              <w:rPr>
                <w:rFonts w:hint="eastAsia"/>
                <w:b w:val="0"/>
                <w:bCs/>
              </w:rPr>
              <w:t>4.2.8</w:t>
            </w:r>
          </w:p>
        </w:tc>
        <w:tc>
          <w:tcPr>
            <w:tcW w:w="1098" w:type="pct"/>
            <w:vAlign w:val="center"/>
            <w:hideMark/>
          </w:tcPr>
          <w:p w14:paraId="4BB93E89" w14:textId="77777777" w:rsidR="00EB74A4" w:rsidRPr="00EB74A4" w:rsidRDefault="00EB74A4" w:rsidP="00EB74A4">
            <w:pPr>
              <w:pStyle w:val="ae"/>
              <w:rPr>
                <w:b w:val="0"/>
                <w:bCs/>
              </w:rPr>
            </w:pPr>
            <w:r w:rsidRPr="00EB74A4">
              <w:rPr>
                <w:rFonts w:hint="eastAsia"/>
                <w:b w:val="0"/>
                <w:bCs/>
              </w:rPr>
              <w:t>结构材料耐久性</w:t>
            </w:r>
          </w:p>
        </w:tc>
        <w:tc>
          <w:tcPr>
            <w:tcW w:w="3455" w:type="pct"/>
            <w:vAlign w:val="center"/>
            <w:hideMark/>
          </w:tcPr>
          <w:p w14:paraId="1CA0DA80"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128933CD" w14:textId="77777777" w:rsidTr="00EB74A4">
        <w:trPr>
          <w:trHeight w:val="276"/>
        </w:trPr>
        <w:tc>
          <w:tcPr>
            <w:tcW w:w="447" w:type="pct"/>
            <w:vAlign w:val="center"/>
            <w:hideMark/>
          </w:tcPr>
          <w:p w14:paraId="126A2F7F" w14:textId="77777777" w:rsidR="00EB74A4" w:rsidRPr="00EB74A4" w:rsidRDefault="00EB74A4" w:rsidP="00EB74A4">
            <w:pPr>
              <w:pStyle w:val="ae"/>
              <w:rPr>
                <w:b w:val="0"/>
                <w:bCs/>
              </w:rPr>
            </w:pPr>
            <w:r w:rsidRPr="00EB74A4">
              <w:rPr>
                <w:rFonts w:hint="eastAsia"/>
                <w:b w:val="0"/>
                <w:bCs/>
              </w:rPr>
              <w:t>4.2.9</w:t>
            </w:r>
          </w:p>
        </w:tc>
        <w:tc>
          <w:tcPr>
            <w:tcW w:w="1098" w:type="pct"/>
            <w:vAlign w:val="center"/>
            <w:hideMark/>
          </w:tcPr>
          <w:p w14:paraId="0EACCE2B" w14:textId="77777777" w:rsidR="00EB74A4" w:rsidRPr="00EB74A4" w:rsidRDefault="00EB74A4" w:rsidP="00EB74A4">
            <w:pPr>
              <w:pStyle w:val="ae"/>
              <w:rPr>
                <w:b w:val="0"/>
                <w:bCs/>
              </w:rPr>
            </w:pPr>
            <w:r w:rsidRPr="00EB74A4">
              <w:rPr>
                <w:rFonts w:hint="eastAsia"/>
                <w:b w:val="0"/>
                <w:bCs/>
              </w:rPr>
              <w:t>装饰装修材料耐久</w:t>
            </w:r>
          </w:p>
        </w:tc>
        <w:tc>
          <w:tcPr>
            <w:tcW w:w="3455" w:type="pct"/>
            <w:vAlign w:val="center"/>
            <w:hideMark/>
          </w:tcPr>
          <w:p w14:paraId="166DEF7C"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13A744A7" w14:textId="77777777" w:rsidTr="00EB74A4">
        <w:trPr>
          <w:trHeight w:val="552"/>
        </w:trPr>
        <w:tc>
          <w:tcPr>
            <w:tcW w:w="447" w:type="pct"/>
            <w:vAlign w:val="center"/>
            <w:hideMark/>
          </w:tcPr>
          <w:p w14:paraId="34950B73" w14:textId="77777777" w:rsidR="00EB74A4" w:rsidRPr="00EB74A4" w:rsidRDefault="00EB74A4" w:rsidP="00EB74A4">
            <w:pPr>
              <w:pStyle w:val="ae"/>
              <w:rPr>
                <w:b w:val="0"/>
                <w:bCs/>
              </w:rPr>
            </w:pPr>
            <w:r w:rsidRPr="00EB74A4">
              <w:rPr>
                <w:rFonts w:hint="eastAsia"/>
                <w:b w:val="0"/>
                <w:bCs/>
              </w:rPr>
              <w:t>5.1.1</w:t>
            </w:r>
          </w:p>
        </w:tc>
        <w:tc>
          <w:tcPr>
            <w:tcW w:w="1098" w:type="pct"/>
            <w:vAlign w:val="center"/>
            <w:hideMark/>
          </w:tcPr>
          <w:p w14:paraId="54E51BA9" w14:textId="77777777" w:rsidR="00EB74A4" w:rsidRPr="00EB74A4" w:rsidRDefault="00EB74A4" w:rsidP="00EB74A4">
            <w:pPr>
              <w:pStyle w:val="ae"/>
              <w:rPr>
                <w:b w:val="0"/>
                <w:bCs/>
              </w:rPr>
            </w:pPr>
            <w:r w:rsidRPr="00EB74A4">
              <w:rPr>
                <w:rFonts w:hint="eastAsia"/>
                <w:b w:val="0"/>
                <w:bCs/>
              </w:rPr>
              <w:t>室内污染物浓度</w:t>
            </w:r>
          </w:p>
        </w:tc>
        <w:tc>
          <w:tcPr>
            <w:tcW w:w="3455" w:type="pct"/>
            <w:vAlign w:val="center"/>
            <w:hideMark/>
          </w:tcPr>
          <w:p w14:paraId="7462F6E9" w14:textId="77777777" w:rsidR="00EB74A4" w:rsidRPr="00EB74A4" w:rsidRDefault="00EB74A4" w:rsidP="00EB74A4">
            <w:pPr>
              <w:pStyle w:val="ae"/>
              <w:rPr>
                <w:b w:val="0"/>
                <w:bCs/>
              </w:rPr>
            </w:pPr>
            <w:r w:rsidRPr="00EB74A4">
              <w:rPr>
                <w:rFonts w:hint="eastAsia"/>
                <w:b w:val="0"/>
                <w:bCs/>
              </w:rPr>
              <w:t>相关设计文件、相关说明文件</w:t>
            </w:r>
            <w:r w:rsidRPr="00EB74A4">
              <w:rPr>
                <w:rFonts w:hint="eastAsia"/>
                <w:b w:val="0"/>
                <w:bCs/>
              </w:rPr>
              <w:t>(</w:t>
            </w:r>
            <w:r w:rsidRPr="00EB74A4">
              <w:rPr>
                <w:rFonts w:hint="eastAsia"/>
                <w:b w:val="0"/>
                <w:bCs/>
              </w:rPr>
              <w:t>装修材料种类、用量，禁止吸烟措施</w:t>
            </w:r>
            <w:r w:rsidRPr="00EB74A4">
              <w:rPr>
                <w:rFonts w:hint="eastAsia"/>
                <w:b w:val="0"/>
                <w:bCs/>
              </w:rPr>
              <w:t>)</w:t>
            </w:r>
            <w:r w:rsidRPr="00EB74A4">
              <w:rPr>
                <w:rFonts w:hint="eastAsia"/>
                <w:b w:val="0"/>
                <w:bCs/>
              </w:rPr>
              <w:t>、预评估分析报告</w:t>
            </w:r>
          </w:p>
        </w:tc>
      </w:tr>
      <w:tr w:rsidR="00EB74A4" w:rsidRPr="00EB74A4" w14:paraId="69F34A65" w14:textId="77777777" w:rsidTr="00EB74A4">
        <w:trPr>
          <w:trHeight w:val="552"/>
        </w:trPr>
        <w:tc>
          <w:tcPr>
            <w:tcW w:w="447" w:type="pct"/>
            <w:vAlign w:val="center"/>
            <w:hideMark/>
          </w:tcPr>
          <w:p w14:paraId="130185D3" w14:textId="77777777" w:rsidR="00EB74A4" w:rsidRPr="00EB74A4" w:rsidRDefault="00EB74A4" w:rsidP="00EB74A4">
            <w:pPr>
              <w:pStyle w:val="ae"/>
              <w:rPr>
                <w:b w:val="0"/>
                <w:bCs/>
              </w:rPr>
            </w:pPr>
            <w:r w:rsidRPr="00EB74A4">
              <w:rPr>
                <w:rFonts w:hint="eastAsia"/>
                <w:b w:val="0"/>
                <w:bCs/>
              </w:rPr>
              <w:t>5.1.2</w:t>
            </w:r>
          </w:p>
        </w:tc>
        <w:tc>
          <w:tcPr>
            <w:tcW w:w="1098" w:type="pct"/>
            <w:vAlign w:val="center"/>
            <w:hideMark/>
          </w:tcPr>
          <w:p w14:paraId="3C77AA3F" w14:textId="77777777" w:rsidR="00EB74A4" w:rsidRPr="00EB74A4" w:rsidRDefault="00EB74A4" w:rsidP="00EB74A4">
            <w:pPr>
              <w:pStyle w:val="ae"/>
              <w:rPr>
                <w:b w:val="0"/>
                <w:bCs/>
              </w:rPr>
            </w:pPr>
            <w:r w:rsidRPr="00EB74A4">
              <w:rPr>
                <w:rFonts w:hint="eastAsia"/>
                <w:b w:val="0"/>
                <w:bCs/>
              </w:rPr>
              <w:t>防止空气污染物串通</w:t>
            </w:r>
          </w:p>
        </w:tc>
        <w:tc>
          <w:tcPr>
            <w:tcW w:w="3455" w:type="pct"/>
            <w:vAlign w:val="center"/>
            <w:hideMark/>
          </w:tcPr>
          <w:p w14:paraId="55CB0E60" w14:textId="77777777" w:rsidR="00EB74A4" w:rsidRPr="00EB74A4" w:rsidRDefault="00EB74A4" w:rsidP="00EB74A4">
            <w:pPr>
              <w:pStyle w:val="ae"/>
              <w:rPr>
                <w:b w:val="0"/>
                <w:bCs/>
              </w:rPr>
            </w:pPr>
            <w:r w:rsidRPr="00EB74A4">
              <w:rPr>
                <w:rFonts w:hint="eastAsia"/>
                <w:b w:val="0"/>
                <w:bCs/>
              </w:rPr>
              <w:t>相关设计文件、气流组织模拟分析报告（含打印复印室、影像设备房、厨房等特殊功能房间的气流组织设计，室内风环境数值分析报告）</w:t>
            </w:r>
          </w:p>
        </w:tc>
      </w:tr>
      <w:tr w:rsidR="00EB74A4" w:rsidRPr="00EB74A4" w14:paraId="00E51525" w14:textId="77777777" w:rsidTr="00EB74A4">
        <w:trPr>
          <w:trHeight w:val="552"/>
        </w:trPr>
        <w:tc>
          <w:tcPr>
            <w:tcW w:w="447" w:type="pct"/>
            <w:vAlign w:val="center"/>
            <w:hideMark/>
          </w:tcPr>
          <w:p w14:paraId="3579F682" w14:textId="77777777" w:rsidR="00EB74A4" w:rsidRPr="00EB74A4" w:rsidRDefault="00EB74A4" w:rsidP="00EB74A4">
            <w:pPr>
              <w:pStyle w:val="ae"/>
              <w:rPr>
                <w:b w:val="0"/>
                <w:bCs/>
              </w:rPr>
            </w:pPr>
            <w:r w:rsidRPr="00EB74A4">
              <w:rPr>
                <w:rFonts w:hint="eastAsia"/>
                <w:b w:val="0"/>
                <w:bCs/>
              </w:rPr>
              <w:t>5.1.3</w:t>
            </w:r>
          </w:p>
        </w:tc>
        <w:tc>
          <w:tcPr>
            <w:tcW w:w="1098" w:type="pct"/>
            <w:vAlign w:val="center"/>
            <w:hideMark/>
          </w:tcPr>
          <w:p w14:paraId="22F2AFB2" w14:textId="77777777" w:rsidR="00EB74A4" w:rsidRPr="00EB74A4" w:rsidRDefault="00EB74A4" w:rsidP="00EB74A4">
            <w:pPr>
              <w:pStyle w:val="ae"/>
              <w:rPr>
                <w:b w:val="0"/>
                <w:bCs/>
              </w:rPr>
            </w:pPr>
            <w:r w:rsidRPr="00EB74A4">
              <w:rPr>
                <w:rFonts w:hint="eastAsia"/>
                <w:b w:val="0"/>
                <w:bCs/>
              </w:rPr>
              <w:t>给水排水系统</w:t>
            </w:r>
          </w:p>
        </w:tc>
        <w:tc>
          <w:tcPr>
            <w:tcW w:w="3455" w:type="pct"/>
            <w:vAlign w:val="center"/>
            <w:hideMark/>
          </w:tcPr>
          <w:p w14:paraId="534B0AAB" w14:textId="77777777" w:rsidR="00EB74A4" w:rsidRPr="00EB74A4" w:rsidRDefault="00EB74A4" w:rsidP="00EB74A4">
            <w:pPr>
              <w:pStyle w:val="ae"/>
              <w:rPr>
                <w:b w:val="0"/>
                <w:bCs/>
              </w:rPr>
            </w:pPr>
            <w:r w:rsidRPr="00EB74A4">
              <w:rPr>
                <w:rFonts w:hint="eastAsia"/>
                <w:b w:val="0"/>
                <w:bCs/>
              </w:rPr>
              <w:t>市政供水的水质检测报告</w:t>
            </w:r>
            <w:r w:rsidRPr="00EB74A4">
              <w:rPr>
                <w:rFonts w:hint="eastAsia"/>
                <w:b w:val="0"/>
                <w:bCs/>
              </w:rPr>
              <w:t>(</w:t>
            </w:r>
            <w:r w:rsidRPr="00EB74A4">
              <w:rPr>
                <w:rFonts w:hint="eastAsia"/>
                <w:b w:val="0"/>
                <w:bCs/>
              </w:rPr>
              <w:t>可用同一水源邻近项目一年以内的水质检测报告</w:t>
            </w:r>
            <w:r w:rsidRPr="00EB74A4">
              <w:rPr>
                <w:rFonts w:hint="eastAsia"/>
                <w:b w:val="0"/>
                <w:bCs/>
              </w:rPr>
              <w:t>)</w:t>
            </w:r>
            <w:r w:rsidRPr="00EB74A4">
              <w:rPr>
                <w:rFonts w:hint="eastAsia"/>
                <w:b w:val="0"/>
                <w:bCs/>
              </w:rPr>
              <w:t>、相关设计文件</w:t>
            </w:r>
            <w:r w:rsidRPr="00EB74A4">
              <w:rPr>
                <w:rFonts w:hint="eastAsia"/>
                <w:b w:val="0"/>
                <w:bCs/>
              </w:rPr>
              <w:t>(</w:t>
            </w:r>
            <w:r w:rsidRPr="00EB74A4">
              <w:rPr>
                <w:rFonts w:hint="eastAsia"/>
                <w:b w:val="0"/>
                <w:bCs/>
              </w:rPr>
              <w:t>含卫生器具和地漏水封要求的说明、标识设置说明</w:t>
            </w:r>
            <w:r w:rsidRPr="00EB74A4">
              <w:rPr>
                <w:rFonts w:hint="eastAsia"/>
                <w:b w:val="0"/>
                <w:bCs/>
              </w:rPr>
              <w:t>)</w:t>
            </w:r>
          </w:p>
        </w:tc>
      </w:tr>
      <w:tr w:rsidR="00EB74A4" w:rsidRPr="00EB74A4" w14:paraId="39EE3A0A" w14:textId="77777777" w:rsidTr="00EB74A4">
        <w:trPr>
          <w:trHeight w:val="828"/>
        </w:trPr>
        <w:tc>
          <w:tcPr>
            <w:tcW w:w="447" w:type="pct"/>
            <w:vAlign w:val="center"/>
            <w:hideMark/>
          </w:tcPr>
          <w:p w14:paraId="6F68E9CE" w14:textId="77777777" w:rsidR="00EB74A4" w:rsidRPr="00EB74A4" w:rsidRDefault="00EB74A4" w:rsidP="00EB74A4">
            <w:pPr>
              <w:pStyle w:val="ae"/>
              <w:rPr>
                <w:b w:val="0"/>
                <w:bCs/>
              </w:rPr>
            </w:pPr>
            <w:r w:rsidRPr="00EB74A4">
              <w:rPr>
                <w:rFonts w:hint="eastAsia"/>
                <w:b w:val="0"/>
                <w:bCs/>
              </w:rPr>
              <w:t>5.1.4</w:t>
            </w:r>
          </w:p>
        </w:tc>
        <w:tc>
          <w:tcPr>
            <w:tcW w:w="1098" w:type="pct"/>
            <w:vAlign w:val="center"/>
            <w:hideMark/>
          </w:tcPr>
          <w:p w14:paraId="26DE7AFA" w14:textId="77777777" w:rsidR="00EB74A4" w:rsidRPr="00EB74A4" w:rsidRDefault="00EB74A4" w:rsidP="00EB74A4">
            <w:pPr>
              <w:pStyle w:val="ae"/>
              <w:rPr>
                <w:b w:val="0"/>
                <w:bCs/>
              </w:rPr>
            </w:pPr>
            <w:r w:rsidRPr="00EB74A4">
              <w:rPr>
                <w:rFonts w:hint="eastAsia"/>
                <w:b w:val="0"/>
                <w:bCs/>
              </w:rPr>
              <w:t>声环境质量</w:t>
            </w:r>
          </w:p>
        </w:tc>
        <w:tc>
          <w:tcPr>
            <w:tcW w:w="3455" w:type="pct"/>
            <w:vAlign w:val="center"/>
            <w:hideMark/>
          </w:tcPr>
          <w:p w14:paraId="4020807E" w14:textId="77777777" w:rsidR="00EB74A4" w:rsidRPr="00EB74A4" w:rsidRDefault="00EB74A4" w:rsidP="00EB74A4">
            <w:pPr>
              <w:pStyle w:val="ae"/>
              <w:rPr>
                <w:b w:val="0"/>
                <w:bCs/>
              </w:rPr>
            </w:pPr>
            <w:r w:rsidRPr="00EB74A4">
              <w:rPr>
                <w:rFonts w:hint="eastAsia"/>
                <w:b w:val="0"/>
                <w:bCs/>
              </w:rPr>
              <w:t>相关设计文件、环评报告、噪声分析报告（含室内噪声计算报告）、构件隔声性能的实验室检验报告（含建筑构件隔声性能计算报告）、建筑服务设备噪声排放检验报告、声学设计分析报告</w:t>
            </w:r>
          </w:p>
        </w:tc>
      </w:tr>
      <w:tr w:rsidR="00EB74A4" w:rsidRPr="00EB74A4" w14:paraId="34BD9121" w14:textId="77777777" w:rsidTr="00EB74A4">
        <w:trPr>
          <w:trHeight w:val="276"/>
        </w:trPr>
        <w:tc>
          <w:tcPr>
            <w:tcW w:w="447" w:type="pct"/>
            <w:vAlign w:val="center"/>
            <w:hideMark/>
          </w:tcPr>
          <w:p w14:paraId="03356A6D" w14:textId="77777777" w:rsidR="00EB74A4" w:rsidRPr="00EB74A4" w:rsidRDefault="00EB74A4" w:rsidP="00EB74A4">
            <w:pPr>
              <w:pStyle w:val="ae"/>
              <w:rPr>
                <w:b w:val="0"/>
                <w:bCs/>
              </w:rPr>
            </w:pPr>
            <w:r w:rsidRPr="00EB74A4">
              <w:rPr>
                <w:rFonts w:hint="eastAsia"/>
                <w:b w:val="0"/>
                <w:bCs/>
              </w:rPr>
              <w:t>5.1.5</w:t>
            </w:r>
          </w:p>
        </w:tc>
        <w:tc>
          <w:tcPr>
            <w:tcW w:w="1098" w:type="pct"/>
            <w:vAlign w:val="center"/>
            <w:hideMark/>
          </w:tcPr>
          <w:p w14:paraId="33409471" w14:textId="77777777" w:rsidR="00EB74A4" w:rsidRPr="00EB74A4" w:rsidRDefault="00EB74A4" w:rsidP="00EB74A4">
            <w:pPr>
              <w:pStyle w:val="ae"/>
              <w:rPr>
                <w:b w:val="0"/>
                <w:bCs/>
              </w:rPr>
            </w:pPr>
            <w:r w:rsidRPr="00EB74A4">
              <w:rPr>
                <w:rFonts w:hint="eastAsia"/>
                <w:b w:val="0"/>
                <w:bCs/>
              </w:rPr>
              <w:t>建筑照明</w:t>
            </w:r>
          </w:p>
        </w:tc>
        <w:tc>
          <w:tcPr>
            <w:tcW w:w="3455" w:type="pct"/>
            <w:vAlign w:val="center"/>
            <w:hideMark/>
          </w:tcPr>
          <w:p w14:paraId="4F8B7969" w14:textId="77777777" w:rsidR="00EB74A4" w:rsidRPr="00EB74A4" w:rsidRDefault="00EB74A4" w:rsidP="00EB74A4">
            <w:pPr>
              <w:pStyle w:val="ae"/>
              <w:rPr>
                <w:b w:val="0"/>
                <w:bCs/>
              </w:rPr>
            </w:pPr>
            <w:r w:rsidRPr="00EB74A4">
              <w:rPr>
                <w:rFonts w:hint="eastAsia"/>
                <w:b w:val="0"/>
                <w:bCs/>
              </w:rPr>
              <w:t>相关设计文件、计算书</w:t>
            </w:r>
          </w:p>
        </w:tc>
      </w:tr>
      <w:tr w:rsidR="00EB74A4" w:rsidRPr="00EB74A4" w14:paraId="0F0326B1" w14:textId="77777777" w:rsidTr="00EB74A4">
        <w:trPr>
          <w:trHeight w:val="276"/>
        </w:trPr>
        <w:tc>
          <w:tcPr>
            <w:tcW w:w="447" w:type="pct"/>
            <w:vAlign w:val="center"/>
            <w:hideMark/>
          </w:tcPr>
          <w:p w14:paraId="67756C9D" w14:textId="77777777" w:rsidR="00EB74A4" w:rsidRPr="00EB74A4" w:rsidRDefault="00EB74A4" w:rsidP="00EB74A4">
            <w:pPr>
              <w:pStyle w:val="ae"/>
              <w:rPr>
                <w:b w:val="0"/>
                <w:bCs/>
              </w:rPr>
            </w:pPr>
            <w:r w:rsidRPr="00EB74A4">
              <w:rPr>
                <w:rFonts w:hint="eastAsia"/>
                <w:b w:val="0"/>
                <w:bCs/>
              </w:rPr>
              <w:t>5.1.6</w:t>
            </w:r>
          </w:p>
        </w:tc>
        <w:tc>
          <w:tcPr>
            <w:tcW w:w="1098" w:type="pct"/>
            <w:vAlign w:val="center"/>
            <w:hideMark/>
          </w:tcPr>
          <w:p w14:paraId="1ED4A3C5" w14:textId="77777777" w:rsidR="00EB74A4" w:rsidRPr="00EB74A4" w:rsidRDefault="00EB74A4" w:rsidP="00EB74A4">
            <w:pPr>
              <w:pStyle w:val="ae"/>
              <w:rPr>
                <w:b w:val="0"/>
                <w:bCs/>
              </w:rPr>
            </w:pPr>
            <w:r w:rsidRPr="00EB74A4">
              <w:rPr>
                <w:rFonts w:hint="eastAsia"/>
                <w:b w:val="0"/>
                <w:bCs/>
              </w:rPr>
              <w:t>室内热环境</w:t>
            </w:r>
          </w:p>
        </w:tc>
        <w:tc>
          <w:tcPr>
            <w:tcW w:w="3455" w:type="pct"/>
            <w:vAlign w:val="center"/>
            <w:hideMark/>
          </w:tcPr>
          <w:p w14:paraId="5E9B8326"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29E16855" w14:textId="77777777" w:rsidTr="00EB74A4">
        <w:trPr>
          <w:trHeight w:val="552"/>
        </w:trPr>
        <w:tc>
          <w:tcPr>
            <w:tcW w:w="447" w:type="pct"/>
            <w:vAlign w:val="center"/>
            <w:hideMark/>
          </w:tcPr>
          <w:p w14:paraId="06F01EA2" w14:textId="77777777" w:rsidR="00EB74A4" w:rsidRPr="00EB74A4" w:rsidRDefault="00EB74A4" w:rsidP="00EB74A4">
            <w:pPr>
              <w:pStyle w:val="ae"/>
              <w:rPr>
                <w:b w:val="0"/>
                <w:bCs/>
              </w:rPr>
            </w:pPr>
            <w:r w:rsidRPr="00EB74A4">
              <w:rPr>
                <w:rFonts w:hint="eastAsia"/>
                <w:b w:val="0"/>
                <w:bCs/>
              </w:rPr>
              <w:t>5.1.7</w:t>
            </w:r>
          </w:p>
        </w:tc>
        <w:tc>
          <w:tcPr>
            <w:tcW w:w="1098" w:type="pct"/>
            <w:vAlign w:val="center"/>
            <w:hideMark/>
          </w:tcPr>
          <w:p w14:paraId="44D3E785" w14:textId="77777777" w:rsidR="00EB74A4" w:rsidRPr="00EB74A4" w:rsidRDefault="00EB74A4" w:rsidP="00EB74A4">
            <w:pPr>
              <w:pStyle w:val="ae"/>
              <w:rPr>
                <w:b w:val="0"/>
                <w:bCs/>
              </w:rPr>
            </w:pPr>
            <w:r w:rsidRPr="00EB74A4">
              <w:rPr>
                <w:rFonts w:hint="eastAsia"/>
                <w:b w:val="0"/>
                <w:bCs/>
              </w:rPr>
              <w:t>围护结构热工性能</w:t>
            </w:r>
          </w:p>
        </w:tc>
        <w:tc>
          <w:tcPr>
            <w:tcW w:w="3455" w:type="pct"/>
            <w:vAlign w:val="center"/>
            <w:hideMark/>
          </w:tcPr>
          <w:p w14:paraId="1065BBC7" w14:textId="77777777" w:rsidR="00EB74A4" w:rsidRPr="00EB74A4" w:rsidRDefault="00EB74A4" w:rsidP="00EB74A4">
            <w:pPr>
              <w:pStyle w:val="ae"/>
              <w:rPr>
                <w:b w:val="0"/>
                <w:bCs/>
              </w:rPr>
            </w:pPr>
            <w:r w:rsidRPr="00EB74A4">
              <w:rPr>
                <w:rFonts w:hint="eastAsia"/>
                <w:b w:val="0"/>
                <w:bCs/>
              </w:rPr>
              <w:t>相关设计文件、建筑围护结构防结露验算报告、隔热性能验算报告、内部冷凝验算报告</w:t>
            </w:r>
          </w:p>
        </w:tc>
      </w:tr>
      <w:tr w:rsidR="00EB74A4" w:rsidRPr="00EB74A4" w14:paraId="2E343F47" w14:textId="77777777" w:rsidTr="00EB74A4">
        <w:trPr>
          <w:trHeight w:val="276"/>
        </w:trPr>
        <w:tc>
          <w:tcPr>
            <w:tcW w:w="447" w:type="pct"/>
            <w:vAlign w:val="center"/>
            <w:hideMark/>
          </w:tcPr>
          <w:p w14:paraId="476C50B5" w14:textId="77777777" w:rsidR="00EB74A4" w:rsidRPr="00EB74A4" w:rsidRDefault="00EB74A4" w:rsidP="00EB74A4">
            <w:pPr>
              <w:pStyle w:val="ae"/>
              <w:rPr>
                <w:b w:val="0"/>
                <w:bCs/>
              </w:rPr>
            </w:pPr>
            <w:r w:rsidRPr="00EB74A4">
              <w:rPr>
                <w:rFonts w:hint="eastAsia"/>
                <w:b w:val="0"/>
                <w:bCs/>
              </w:rPr>
              <w:t>5.1.8</w:t>
            </w:r>
          </w:p>
        </w:tc>
        <w:tc>
          <w:tcPr>
            <w:tcW w:w="1098" w:type="pct"/>
            <w:vAlign w:val="center"/>
            <w:hideMark/>
          </w:tcPr>
          <w:p w14:paraId="216102B4" w14:textId="77777777" w:rsidR="00EB74A4" w:rsidRPr="00EB74A4" w:rsidRDefault="00EB74A4" w:rsidP="00EB74A4">
            <w:pPr>
              <w:pStyle w:val="ae"/>
              <w:rPr>
                <w:b w:val="0"/>
                <w:bCs/>
              </w:rPr>
            </w:pPr>
            <w:r w:rsidRPr="00EB74A4">
              <w:rPr>
                <w:rFonts w:hint="eastAsia"/>
                <w:b w:val="0"/>
                <w:bCs/>
              </w:rPr>
              <w:t>热环境调节装置</w:t>
            </w:r>
          </w:p>
        </w:tc>
        <w:tc>
          <w:tcPr>
            <w:tcW w:w="3455" w:type="pct"/>
            <w:vAlign w:val="center"/>
            <w:hideMark/>
          </w:tcPr>
          <w:p w14:paraId="21B169CA"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269B69E2" w14:textId="77777777" w:rsidTr="00EB74A4">
        <w:trPr>
          <w:trHeight w:val="276"/>
        </w:trPr>
        <w:tc>
          <w:tcPr>
            <w:tcW w:w="447" w:type="pct"/>
            <w:vAlign w:val="center"/>
            <w:hideMark/>
          </w:tcPr>
          <w:p w14:paraId="256C58EB" w14:textId="77777777" w:rsidR="00EB74A4" w:rsidRPr="00EB74A4" w:rsidRDefault="00EB74A4" w:rsidP="00EB74A4">
            <w:pPr>
              <w:pStyle w:val="ae"/>
              <w:rPr>
                <w:b w:val="0"/>
                <w:bCs/>
              </w:rPr>
            </w:pPr>
            <w:r w:rsidRPr="00EB74A4">
              <w:rPr>
                <w:rFonts w:hint="eastAsia"/>
                <w:b w:val="0"/>
                <w:bCs/>
              </w:rPr>
              <w:lastRenderedPageBreak/>
              <w:t>5.1.9</w:t>
            </w:r>
          </w:p>
        </w:tc>
        <w:tc>
          <w:tcPr>
            <w:tcW w:w="1098" w:type="pct"/>
            <w:vAlign w:val="center"/>
            <w:hideMark/>
          </w:tcPr>
          <w:p w14:paraId="489BE5D8" w14:textId="77777777" w:rsidR="00EB74A4" w:rsidRPr="00EB74A4" w:rsidRDefault="00EB74A4" w:rsidP="00EB74A4">
            <w:pPr>
              <w:pStyle w:val="ae"/>
              <w:rPr>
                <w:b w:val="0"/>
                <w:bCs/>
              </w:rPr>
            </w:pPr>
            <w:r w:rsidRPr="00EB74A4">
              <w:rPr>
                <w:rFonts w:hint="eastAsia"/>
                <w:b w:val="0"/>
                <w:bCs/>
              </w:rPr>
              <w:t>地下车库一氧化碳</w:t>
            </w:r>
          </w:p>
        </w:tc>
        <w:tc>
          <w:tcPr>
            <w:tcW w:w="3455" w:type="pct"/>
            <w:vAlign w:val="center"/>
            <w:hideMark/>
          </w:tcPr>
          <w:p w14:paraId="1FCD6B55"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6D57859D" w14:textId="77777777" w:rsidTr="00EB74A4">
        <w:trPr>
          <w:trHeight w:val="552"/>
        </w:trPr>
        <w:tc>
          <w:tcPr>
            <w:tcW w:w="447" w:type="pct"/>
            <w:vAlign w:val="center"/>
            <w:hideMark/>
          </w:tcPr>
          <w:p w14:paraId="3339B9F3" w14:textId="77777777" w:rsidR="00EB74A4" w:rsidRPr="00EB74A4" w:rsidRDefault="00EB74A4" w:rsidP="00EB74A4">
            <w:pPr>
              <w:pStyle w:val="ae"/>
              <w:rPr>
                <w:b w:val="0"/>
                <w:bCs/>
              </w:rPr>
            </w:pPr>
            <w:r w:rsidRPr="00EB74A4">
              <w:rPr>
                <w:rFonts w:hint="eastAsia"/>
                <w:b w:val="0"/>
                <w:bCs/>
              </w:rPr>
              <w:t>5.1.10</w:t>
            </w:r>
          </w:p>
        </w:tc>
        <w:tc>
          <w:tcPr>
            <w:tcW w:w="1098" w:type="pct"/>
            <w:vAlign w:val="center"/>
            <w:hideMark/>
          </w:tcPr>
          <w:p w14:paraId="489F779E" w14:textId="77777777" w:rsidR="00EB74A4" w:rsidRPr="00EB74A4" w:rsidRDefault="00EB74A4" w:rsidP="00EB74A4">
            <w:pPr>
              <w:pStyle w:val="ae"/>
              <w:rPr>
                <w:b w:val="0"/>
                <w:bCs/>
              </w:rPr>
            </w:pPr>
            <w:r w:rsidRPr="00EB74A4">
              <w:rPr>
                <w:rFonts w:hint="eastAsia"/>
                <w:b w:val="0"/>
                <w:bCs/>
              </w:rPr>
              <w:t>游泳池水、非传统水源</w:t>
            </w:r>
          </w:p>
        </w:tc>
        <w:tc>
          <w:tcPr>
            <w:tcW w:w="3455" w:type="pct"/>
            <w:vAlign w:val="center"/>
            <w:hideMark/>
          </w:tcPr>
          <w:p w14:paraId="28BCC829"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0CC53917" w14:textId="77777777" w:rsidTr="00EB74A4">
        <w:trPr>
          <w:trHeight w:val="828"/>
        </w:trPr>
        <w:tc>
          <w:tcPr>
            <w:tcW w:w="447" w:type="pct"/>
            <w:vAlign w:val="center"/>
            <w:hideMark/>
          </w:tcPr>
          <w:p w14:paraId="51ADC521" w14:textId="77777777" w:rsidR="00EB74A4" w:rsidRPr="00EB74A4" w:rsidRDefault="00EB74A4" w:rsidP="00EB74A4">
            <w:pPr>
              <w:pStyle w:val="ae"/>
              <w:rPr>
                <w:b w:val="0"/>
                <w:bCs/>
              </w:rPr>
            </w:pPr>
            <w:r w:rsidRPr="00EB74A4">
              <w:rPr>
                <w:rFonts w:hint="eastAsia"/>
                <w:b w:val="0"/>
                <w:bCs/>
              </w:rPr>
              <w:t>5.2.1</w:t>
            </w:r>
          </w:p>
        </w:tc>
        <w:tc>
          <w:tcPr>
            <w:tcW w:w="1098" w:type="pct"/>
            <w:vAlign w:val="center"/>
            <w:hideMark/>
          </w:tcPr>
          <w:p w14:paraId="12706ED0" w14:textId="77777777" w:rsidR="00EB74A4" w:rsidRPr="00EB74A4" w:rsidRDefault="00EB74A4" w:rsidP="00EB74A4">
            <w:pPr>
              <w:pStyle w:val="ae"/>
              <w:rPr>
                <w:b w:val="0"/>
                <w:bCs/>
              </w:rPr>
            </w:pPr>
            <w:r w:rsidRPr="00EB74A4">
              <w:rPr>
                <w:rFonts w:hint="eastAsia"/>
                <w:b w:val="0"/>
                <w:bCs/>
              </w:rPr>
              <w:t>空气污染物</w:t>
            </w:r>
          </w:p>
        </w:tc>
        <w:tc>
          <w:tcPr>
            <w:tcW w:w="3455" w:type="pct"/>
            <w:vAlign w:val="center"/>
            <w:hideMark/>
          </w:tcPr>
          <w:p w14:paraId="7E57E3A5" w14:textId="77777777" w:rsidR="00EB74A4" w:rsidRPr="00EB74A4" w:rsidRDefault="00EB74A4" w:rsidP="00EB74A4">
            <w:pPr>
              <w:pStyle w:val="ae"/>
              <w:rPr>
                <w:b w:val="0"/>
                <w:bCs/>
              </w:rPr>
            </w:pPr>
            <w:r w:rsidRPr="00EB74A4">
              <w:rPr>
                <w:rFonts w:hint="eastAsia"/>
                <w:b w:val="0"/>
                <w:bCs/>
              </w:rPr>
              <w:t>相关设计文件、建筑材料使用说明</w:t>
            </w:r>
            <w:r w:rsidRPr="00EB74A4">
              <w:rPr>
                <w:rFonts w:hint="eastAsia"/>
                <w:b w:val="0"/>
                <w:bCs/>
              </w:rPr>
              <w:t>(</w:t>
            </w:r>
            <w:r w:rsidRPr="00EB74A4">
              <w:rPr>
                <w:rFonts w:hint="eastAsia"/>
                <w:b w:val="0"/>
                <w:bCs/>
              </w:rPr>
              <w:t>种类、用量</w:t>
            </w:r>
            <w:r w:rsidRPr="00EB74A4">
              <w:rPr>
                <w:rFonts w:hint="eastAsia"/>
                <w:b w:val="0"/>
                <w:bCs/>
              </w:rPr>
              <w:t>)</w:t>
            </w:r>
            <w:r w:rsidRPr="00EB74A4">
              <w:rPr>
                <w:rFonts w:hint="eastAsia"/>
                <w:b w:val="0"/>
                <w:bCs/>
              </w:rPr>
              <w:t>、污染物浓度预评估分析报告</w:t>
            </w:r>
          </w:p>
        </w:tc>
      </w:tr>
      <w:tr w:rsidR="00EB74A4" w:rsidRPr="00EB74A4" w14:paraId="551CCE4C" w14:textId="77777777" w:rsidTr="00EB74A4">
        <w:trPr>
          <w:trHeight w:val="276"/>
        </w:trPr>
        <w:tc>
          <w:tcPr>
            <w:tcW w:w="447" w:type="pct"/>
            <w:vAlign w:val="center"/>
            <w:hideMark/>
          </w:tcPr>
          <w:p w14:paraId="052BDC7C" w14:textId="77777777" w:rsidR="00EB74A4" w:rsidRPr="00EB74A4" w:rsidRDefault="00EB74A4" w:rsidP="00EB74A4">
            <w:pPr>
              <w:pStyle w:val="ae"/>
              <w:rPr>
                <w:b w:val="0"/>
                <w:bCs/>
              </w:rPr>
            </w:pPr>
            <w:r w:rsidRPr="00EB74A4">
              <w:rPr>
                <w:rFonts w:hint="eastAsia"/>
                <w:b w:val="0"/>
                <w:bCs/>
              </w:rPr>
              <w:t>5.2.2</w:t>
            </w:r>
          </w:p>
        </w:tc>
        <w:tc>
          <w:tcPr>
            <w:tcW w:w="1098" w:type="pct"/>
            <w:vAlign w:val="center"/>
            <w:hideMark/>
          </w:tcPr>
          <w:p w14:paraId="7EB62C34" w14:textId="77777777" w:rsidR="00EB74A4" w:rsidRPr="00EB74A4" w:rsidRDefault="00EB74A4" w:rsidP="00EB74A4">
            <w:pPr>
              <w:pStyle w:val="ae"/>
              <w:rPr>
                <w:b w:val="0"/>
                <w:bCs/>
              </w:rPr>
            </w:pPr>
            <w:r w:rsidRPr="00EB74A4">
              <w:rPr>
                <w:rFonts w:hint="eastAsia"/>
                <w:b w:val="0"/>
                <w:bCs/>
              </w:rPr>
              <w:t>装饰装修材料</w:t>
            </w:r>
          </w:p>
        </w:tc>
        <w:tc>
          <w:tcPr>
            <w:tcW w:w="3455" w:type="pct"/>
            <w:vAlign w:val="center"/>
            <w:hideMark/>
          </w:tcPr>
          <w:p w14:paraId="2DCAB8B5"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508A8F8E" w14:textId="77777777" w:rsidTr="00EB74A4">
        <w:trPr>
          <w:trHeight w:val="276"/>
        </w:trPr>
        <w:tc>
          <w:tcPr>
            <w:tcW w:w="447" w:type="pct"/>
            <w:vAlign w:val="center"/>
            <w:hideMark/>
          </w:tcPr>
          <w:p w14:paraId="4D230B95" w14:textId="77777777" w:rsidR="00EB74A4" w:rsidRPr="00EB74A4" w:rsidRDefault="00EB74A4" w:rsidP="00EB74A4">
            <w:pPr>
              <w:pStyle w:val="ae"/>
              <w:rPr>
                <w:b w:val="0"/>
                <w:bCs/>
              </w:rPr>
            </w:pPr>
            <w:r w:rsidRPr="00EB74A4">
              <w:rPr>
                <w:rFonts w:hint="eastAsia"/>
                <w:b w:val="0"/>
                <w:bCs/>
              </w:rPr>
              <w:t>5.2.3</w:t>
            </w:r>
          </w:p>
        </w:tc>
        <w:tc>
          <w:tcPr>
            <w:tcW w:w="1098" w:type="pct"/>
            <w:vAlign w:val="center"/>
            <w:hideMark/>
          </w:tcPr>
          <w:p w14:paraId="54802207" w14:textId="77777777" w:rsidR="00EB74A4" w:rsidRPr="00EB74A4" w:rsidRDefault="00EB74A4" w:rsidP="00EB74A4">
            <w:pPr>
              <w:pStyle w:val="ae"/>
              <w:rPr>
                <w:b w:val="0"/>
                <w:bCs/>
              </w:rPr>
            </w:pPr>
            <w:r w:rsidRPr="00EB74A4">
              <w:rPr>
                <w:rFonts w:hint="eastAsia"/>
                <w:b w:val="0"/>
                <w:bCs/>
              </w:rPr>
              <w:t>直饮水等水质</w:t>
            </w:r>
          </w:p>
        </w:tc>
        <w:tc>
          <w:tcPr>
            <w:tcW w:w="3455" w:type="pct"/>
            <w:vAlign w:val="center"/>
            <w:hideMark/>
          </w:tcPr>
          <w:p w14:paraId="52A64AA5" w14:textId="77777777" w:rsidR="00EB74A4" w:rsidRPr="00EB74A4" w:rsidRDefault="00EB74A4" w:rsidP="00EB74A4">
            <w:pPr>
              <w:pStyle w:val="ae"/>
              <w:rPr>
                <w:b w:val="0"/>
                <w:bCs/>
              </w:rPr>
            </w:pPr>
            <w:r w:rsidRPr="00EB74A4">
              <w:rPr>
                <w:rFonts w:hint="eastAsia"/>
                <w:b w:val="0"/>
                <w:bCs/>
              </w:rPr>
              <w:t>相关设计文件，水质检测报告</w:t>
            </w:r>
          </w:p>
        </w:tc>
      </w:tr>
      <w:tr w:rsidR="00EB74A4" w:rsidRPr="00EB74A4" w14:paraId="5BE635C8" w14:textId="77777777" w:rsidTr="00EB74A4">
        <w:trPr>
          <w:trHeight w:val="276"/>
        </w:trPr>
        <w:tc>
          <w:tcPr>
            <w:tcW w:w="447" w:type="pct"/>
            <w:vAlign w:val="center"/>
            <w:hideMark/>
          </w:tcPr>
          <w:p w14:paraId="6EB21ED6" w14:textId="77777777" w:rsidR="00EB74A4" w:rsidRPr="00EB74A4" w:rsidRDefault="00EB74A4" w:rsidP="00EB74A4">
            <w:pPr>
              <w:pStyle w:val="ae"/>
              <w:rPr>
                <w:b w:val="0"/>
                <w:bCs/>
              </w:rPr>
            </w:pPr>
            <w:r w:rsidRPr="00EB74A4">
              <w:rPr>
                <w:rFonts w:hint="eastAsia"/>
                <w:b w:val="0"/>
                <w:bCs/>
              </w:rPr>
              <w:t>5.2.4</w:t>
            </w:r>
          </w:p>
        </w:tc>
        <w:tc>
          <w:tcPr>
            <w:tcW w:w="1098" w:type="pct"/>
            <w:vAlign w:val="center"/>
            <w:hideMark/>
          </w:tcPr>
          <w:p w14:paraId="4255F94B" w14:textId="77777777" w:rsidR="00EB74A4" w:rsidRPr="00EB74A4" w:rsidRDefault="00EB74A4" w:rsidP="00EB74A4">
            <w:pPr>
              <w:pStyle w:val="ae"/>
              <w:rPr>
                <w:b w:val="0"/>
                <w:bCs/>
              </w:rPr>
            </w:pPr>
            <w:r w:rsidRPr="00EB74A4">
              <w:rPr>
                <w:rFonts w:hint="eastAsia"/>
                <w:b w:val="0"/>
                <w:bCs/>
              </w:rPr>
              <w:t>储水设施</w:t>
            </w:r>
          </w:p>
        </w:tc>
        <w:tc>
          <w:tcPr>
            <w:tcW w:w="3455" w:type="pct"/>
            <w:vAlign w:val="center"/>
            <w:hideMark/>
          </w:tcPr>
          <w:p w14:paraId="77498E54"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含设计说明、储水设施详图、设备材料表</w:t>
            </w:r>
            <w:r w:rsidRPr="00EB74A4">
              <w:rPr>
                <w:rFonts w:hint="eastAsia"/>
                <w:b w:val="0"/>
                <w:bCs/>
              </w:rPr>
              <w:t>)</w:t>
            </w:r>
          </w:p>
        </w:tc>
      </w:tr>
      <w:tr w:rsidR="00EB74A4" w:rsidRPr="00EB74A4" w14:paraId="1842A492" w14:textId="77777777" w:rsidTr="00EB74A4">
        <w:trPr>
          <w:trHeight w:val="276"/>
        </w:trPr>
        <w:tc>
          <w:tcPr>
            <w:tcW w:w="447" w:type="pct"/>
            <w:vAlign w:val="center"/>
            <w:hideMark/>
          </w:tcPr>
          <w:p w14:paraId="29AA30DE" w14:textId="77777777" w:rsidR="00EB74A4" w:rsidRPr="00EB74A4" w:rsidRDefault="00EB74A4" w:rsidP="00EB74A4">
            <w:pPr>
              <w:pStyle w:val="ae"/>
              <w:rPr>
                <w:b w:val="0"/>
                <w:bCs/>
              </w:rPr>
            </w:pPr>
            <w:r w:rsidRPr="00EB74A4">
              <w:rPr>
                <w:rFonts w:hint="eastAsia"/>
                <w:b w:val="0"/>
                <w:bCs/>
              </w:rPr>
              <w:t>5.2.5</w:t>
            </w:r>
          </w:p>
        </w:tc>
        <w:tc>
          <w:tcPr>
            <w:tcW w:w="1098" w:type="pct"/>
            <w:vAlign w:val="center"/>
            <w:hideMark/>
          </w:tcPr>
          <w:p w14:paraId="01218E1E" w14:textId="77777777" w:rsidR="00EB74A4" w:rsidRPr="00EB74A4" w:rsidRDefault="00EB74A4" w:rsidP="00EB74A4">
            <w:pPr>
              <w:pStyle w:val="ae"/>
              <w:rPr>
                <w:b w:val="0"/>
                <w:bCs/>
              </w:rPr>
            </w:pPr>
            <w:r w:rsidRPr="00EB74A4">
              <w:rPr>
                <w:rFonts w:hint="eastAsia"/>
                <w:b w:val="0"/>
                <w:bCs/>
              </w:rPr>
              <w:t>声环境</w:t>
            </w:r>
            <w:r w:rsidRPr="00EB74A4">
              <w:rPr>
                <w:rFonts w:hint="eastAsia"/>
                <w:b w:val="0"/>
                <w:bCs/>
              </w:rPr>
              <w:t xml:space="preserve"> </w:t>
            </w:r>
            <w:r w:rsidRPr="00EB74A4">
              <w:rPr>
                <w:rFonts w:hint="eastAsia"/>
                <w:b w:val="0"/>
                <w:bCs/>
              </w:rPr>
              <w:t>优化</w:t>
            </w:r>
          </w:p>
        </w:tc>
        <w:tc>
          <w:tcPr>
            <w:tcW w:w="3455" w:type="pct"/>
            <w:vAlign w:val="center"/>
            <w:hideMark/>
          </w:tcPr>
          <w:p w14:paraId="7F55C3BA" w14:textId="77777777" w:rsidR="00EB74A4" w:rsidRPr="00EB74A4" w:rsidRDefault="00EB74A4" w:rsidP="00EB74A4">
            <w:pPr>
              <w:pStyle w:val="ae"/>
              <w:rPr>
                <w:b w:val="0"/>
                <w:bCs/>
              </w:rPr>
            </w:pPr>
            <w:r w:rsidRPr="00EB74A4">
              <w:rPr>
                <w:rFonts w:hint="eastAsia"/>
                <w:b w:val="0"/>
                <w:bCs/>
              </w:rPr>
              <w:t>相关设计文件、噪声分析报告（含室内背景噪声计算报告）</w:t>
            </w:r>
          </w:p>
        </w:tc>
      </w:tr>
      <w:tr w:rsidR="00EB74A4" w:rsidRPr="00EB74A4" w14:paraId="435100E8" w14:textId="77777777" w:rsidTr="00EB74A4">
        <w:trPr>
          <w:trHeight w:val="552"/>
        </w:trPr>
        <w:tc>
          <w:tcPr>
            <w:tcW w:w="447" w:type="pct"/>
            <w:vAlign w:val="center"/>
            <w:hideMark/>
          </w:tcPr>
          <w:p w14:paraId="4FB02691" w14:textId="77777777" w:rsidR="00EB74A4" w:rsidRPr="00EB74A4" w:rsidRDefault="00EB74A4" w:rsidP="00EB74A4">
            <w:pPr>
              <w:pStyle w:val="ae"/>
              <w:rPr>
                <w:b w:val="0"/>
                <w:bCs/>
              </w:rPr>
            </w:pPr>
            <w:r w:rsidRPr="00EB74A4">
              <w:rPr>
                <w:rFonts w:hint="eastAsia"/>
                <w:b w:val="0"/>
                <w:bCs/>
              </w:rPr>
              <w:t>5.2.6</w:t>
            </w:r>
          </w:p>
        </w:tc>
        <w:tc>
          <w:tcPr>
            <w:tcW w:w="1098" w:type="pct"/>
            <w:vAlign w:val="center"/>
            <w:hideMark/>
          </w:tcPr>
          <w:p w14:paraId="33C464FD" w14:textId="77777777" w:rsidR="00EB74A4" w:rsidRPr="00EB74A4" w:rsidRDefault="00EB74A4" w:rsidP="00EB74A4">
            <w:pPr>
              <w:pStyle w:val="ae"/>
              <w:rPr>
                <w:b w:val="0"/>
                <w:bCs/>
              </w:rPr>
            </w:pPr>
            <w:r w:rsidRPr="00EB74A4">
              <w:rPr>
                <w:rFonts w:hint="eastAsia"/>
                <w:b w:val="0"/>
                <w:bCs/>
              </w:rPr>
              <w:t>隔声性能</w:t>
            </w:r>
          </w:p>
        </w:tc>
        <w:tc>
          <w:tcPr>
            <w:tcW w:w="3455" w:type="pct"/>
            <w:vAlign w:val="center"/>
            <w:hideMark/>
          </w:tcPr>
          <w:p w14:paraId="10630F5C" w14:textId="77777777" w:rsidR="00EB74A4" w:rsidRPr="00EB74A4" w:rsidRDefault="00EB74A4" w:rsidP="00EB74A4">
            <w:pPr>
              <w:pStyle w:val="ae"/>
              <w:rPr>
                <w:b w:val="0"/>
                <w:bCs/>
              </w:rPr>
            </w:pPr>
            <w:r w:rsidRPr="00EB74A4">
              <w:rPr>
                <w:rFonts w:hint="eastAsia"/>
                <w:b w:val="0"/>
                <w:bCs/>
              </w:rPr>
              <w:t>相关设计文件、构件隔声性能的实验室检验报告（含建筑构件隔声性能计算报告）</w:t>
            </w:r>
          </w:p>
        </w:tc>
      </w:tr>
      <w:tr w:rsidR="00EB74A4" w:rsidRPr="00EB74A4" w14:paraId="064CAC3D" w14:textId="77777777" w:rsidTr="00EB74A4">
        <w:trPr>
          <w:trHeight w:val="276"/>
        </w:trPr>
        <w:tc>
          <w:tcPr>
            <w:tcW w:w="447" w:type="pct"/>
            <w:vAlign w:val="center"/>
            <w:hideMark/>
          </w:tcPr>
          <w:p w14:paraId="159C9EDF" w14:textId="77777777" w:rsidR="00EB74A4" w:rsidRPr="00EB74A4" w:rsidRDefault="00EB74A4" w:rsidP="00EB74A4">
            <w:pPr>
              <w:pStyle w:val="ae"/>
              <w:rPr>
                <w:b w:val="0"/>
                <w:bCs/>
              </w:rPr>
            </w:pPr>
            <w:r w:rsidRPr="00EB74A4">
              <w:rPr>
                <w:rFonts w:hint="eastAsia"/>
                <w:b w:val="0"/>
                <w:bCs/>
              </w:rPr>
              <w:t>5.2.7</w:t>
            </w:r>
          </w:p>
        </w:tc>
        <w:tc>
          <w:tcPr>
            <w:tcW w:w="1098" w:type="pct"/>
            <w:vAlign w:val="center"/>
            <w:hideMark/>
          </w:tcPr>
          <w:p w14:paraId="34879BA4" w14:textId="77777777" w:rsidR="00EB74A4" w:rsidRPr="00EB74A4" w:rsidRDefault="00EB74A4" w:rsidP="00EB74A4">
            <w:pPr>
              <w:pStyle w:val="ae"/>
              <w:rPr>
                <w:b w:val="0"/>
                <w:bCs/>
              </w:rPr>
            </w:pPr>
            <w:r w:rsidRPr="00EB74A4">
              <w:rPr>
                <w:rFonts w:hint="eastAsia"/>
                <w:b w:val="0"/>
                <w:bCs/>
              </w:rPr>
              <w:t>天然光利用</w:t>
            </w:r>
          </w:p>
        </w:tc>
        <w:tc>
          <w:tcPr>
            <w:tcW w:w="3455" w:type="pct"/>
            <w:vAlign w:val="center"/>
            <w:hideMark/>
          </w:tcPr>
          <w:p w14:paraId="516AB91F" w14:textId="77777777" w:rsidR="00EB74A4" w:rsidRPr="00EB74A4" w:rsidRDefault="00EB74A4" w:rsidP="00EB74A4">
            <w:pPr>
              <w:pStyle w:val="ae"/>
              <w:rPr>
                <w:b w:val="0"/>
                <w:bCs/>
              </w:rPr>
            </w:pPr>
            <w:r w:rsidRPr="00EB74A4">
              <w:rPr>
                <w:rFonts w:hint="eastAsia"/>
                <w:b w:val="0"/>
                <w:bCs/>
              </w:rPr>
              <w:t>相关设计文件、计算书（含室内采光数值分析报告）</w:t>
            </w:r>
          </w:p>
        </w:tc>
      </w:tr>
      <w:tr w:rsidR="00EB74A4" w:rsidRPr="00EB74A4" w14:paraId="69B1782D" w14:textId="77777777" w:rsidTr="00EB74A4">
        <w:trPr>
          <w:trHeight w:val="276"/>
        </w:trPr>
        <w:tc>
          <w:tcPr>
            <w:tcW w:w="447" w:type="pct"/>
            <w:vAlign w:val="center"/>
            <w:hideMark/>
          </w:tcPr>
          <w:p w14:paraId="467848B2" w14:textId="77777777" w:rsidR="00EB74A4" w:rsidRPr="00EB74A4" w:rsidRDefault="00EB74A4" w:rsidP="00EB74A4">
            <w:pPr>
              <w:pStyle w:val="ae"/>
              <w:rPr>
                <w:b w:val="0"/>
                <w:bCs/>
              </w:rPr>
            </w:pPr>
            <w:r w:rsidRPr="00EB74A4">
              <w:rPr>
                <w:rFonts w:hint="eastAsia"/>
                <w:b w:val="0"/>
                <w:bCs/>
              </w:rPr>
              <w:t>5.2.8</w:t>
            </w:r>
          </w:p>
        </w:tc>
        <w:tc>
          <w:tcPr>
            <w:tcW w:w="1098" w:type="pct"/>
            <w:vAlign w:val="center"/>
            <w:hideMark/>
          </w:tcPr>
          <w:p w14:paraId="0F89B8C6" w14:textId="77777777" w:rsidR="00EB74A4" w:rsidRPr="00EB74A4" w:rsidRDefault="00EB74A4" w:rsidP="00EB74A4">
            <w:pPr>
              <w:pStyle w:val="ae"/>
              <w:rPr>
                <w:b w:val="0"/>
                <w:bCs/>
              </w:rPr>
            </w:pPr>
            <w:r w:rsidRPr="00EB74A4">
              <w:rPr>
                <w:rFonts w:hint="eastAsia"/>
                <w:b w:val="0"/>
                <w:bCs/>
              </w:rPr>
              <w:t>热湿环境</w:t>
            </w:r>
          </w:p>
        </w:tc>
        <w:tc>
          <w:tcPr>
            <w:tcW w:w="3455" w:type="pct"/>
            <w:vAlign w:val="center"/>
            <w:hideMark/>
          </w:tcPr>
          <w:p w14:paraId="31822AD2" w14:textId="77777777" w:rsidR="00EB74A4" w:rsidRPr="00EB74A4" w:rsidRDefault="00EB74A4" w:rsidP="00EB74A4">
            <w:pPr>
              <w:pStyle w:val="ae"/>
              <w:rPr>
                <w:b w:val="0"/>
                <w:bCs/>
              </w:rPr>
            </w:pPr>
            <w:r w:rsidRPr="00EB74A4">
              <w:rPr>
                <w:rFonts w:hint="eastAsia"/>
                <w:b w:val="0"/>
                <w:bCs/>
              </w:rPr>
              <w:t>相关设计文件、气流组织分析报告、计算分析报告</w:t>
            </w:r>
          </w:p>
        </w:tc>
      </w:tr>
      <w:tr w:rsidR="00EB74A4" w:rsidRPr="00EB74A4" w14:paraId="612DB801" w14:textId="77777777" w:rsidTr="00EB74A4">
        <w:trPr>
          <w:trHeight w:val="276"/>
        </w:trPr>
        <w:tc>
          <w:tcPr>
            <w:tcW w:w="447" w:type="pct"/>
            <w:vAlign w:val="center"/>
            <w:hideMark/>
          </w:tcPr>
          <w:p w14:paraId="585C57E6" w14:textId="77777777" w:rsidR="00EB74A4" w:rsidRPr="00EB74A4" w:rsidRDefault="00EB74A4" w:rsidP="00EB74A4">
            <w:pPr>
              <w:pStyle w:val="ae"/>
              <w:rPr>
                <w:b w:val="0"/>
                <w:bCs/>
              </w:rPr>
            </w:pPr>
            <w:r w:rsidRPr="00EB74A4">
              <w:rPr>
                <w:rFonts w:hint="eastAsia"/>
                <w:b w:val="0"/>
                <w:bCs/>
              </w:rPr>
              <w:t>5.2.9</w:t>
            </w:r>
          </w:p>
        </w:tc>
        <w:tc>
          <w:tcPr>
            <w:tcW w:w="1098" w:type="pct"/>
            <w:vAlign w:val="center"/>
            <w:hideMark/>
          </w:tcPr>
          <w:p w14:paraId="69A4EE90" w14:textId="77777777" w:rsidR="00EB74A4" w:rsidRPr="00EB74A4" w:rsidRDefault="00EB74A4" w:rsidP="00EB74A4">
            <w:pPr>
              <w:pStyle w:val="ae"/>
              <w:rPr>
                <w:b w:val="0"/>
                <w:bCs/>
              </w:rPr>
            </w:pPr>
            <w:r w:rsidRPr="00EB74A4">
              <w:rPr>
                <w:rFonts w:hint="eastAsia"/>
                <w:b w:val="0"/>
                <w:bCs/>
              </w:rPr>
              <w:t>自然通风</w:t>
            </w:r>
          </w:p>
        </w:tc>
        <w:tc>
          <w:tcPr>
            <w:tcW w:w="3455" w:type="pct"/>
            <w:vAlign w:val="center"/>
            <w:hideMark/>
          </w:tcPr>
          <w:p w14:paraId="77610C9C" w14:textId="77777777" w:rsidR="00EB74A4" w:rsidRPr="00EB74A4" w:rsidRDefault="00EB74A4" w:rsidP="00EB74A4">
            <w:pPr>
              <w:pStyle w:val="ae"/>
              <w:rPr>
                <w:b w:val="0"/>
                <w:bCs/>
              </w:rPr>
            </w:pPr>
            <w:r w:rsidRPr="00EB74A4">
              <w:rPr>
                <w:rFonts w:hint="eastAsia"/>
                <w:b w:val="0"/>
                <w:bCs/>
              </w:rPr>
              <w:t>相关设计文件，计算分析报告（含自然通风换气次数模拟报告）</w:t>
            </w:r>
          </w:p>
        </w:tc>
      </w:tr>
      <w:tr w:rsidR="00EB74A4" w:rsidRPr="00EB74A4" w14:paraId="416B92FE" w14:textId="77777777" w:rsidTr="00EB74A4">
        <w:trPr>
          <w:trHeight w:val="276"/>
        </w:trPr>
        <w:tc>
          <w:tcPr>
            <w:tcW w:w="447" w:type="pct"/>
            <w:vAlign w:val="center"/>
            <w:hideMark/>
          </w:tcPr>
          <w:p w14:paraId="31F8D79B" w14:textId="77777777" w:rsidR="00EB74A4" w:rsidRPr="00EB74A4" w:rsidRDefault="00EB74A4" w:rsidP="00EB74A4">
            <w:pPr>
              <w:pStyle w:val="ae"/>
              <w:rPr>
                <w:b w:val="0"/>
                <w:bCs/>
              </w:rPr>
            </w:pPr>
            <w:r w:rsidRPr="00EB74A4">
              <w:rPr>
                <w:rFonts w:hint="eastAsia"/>
                <w:b w:val="0"/>
                <w:bCs/>
              </w:rPr>
              <w:t>5.2.10</w:t>
            </w:r>
          </w:p>
        </w:tc>
        <w:tc>
          <w:tcPr>
            <w:tcW w:w="1098" w:type="pct"/>
            <w:vAlign w:val="center"/>
            <w:hideMark/>
          </w:tcPr>
          <w:p w14:paraId="32741599" w14:textId="77777777" w:rsidR="00EB74A4" w:rsidRPr="00EB74A4" w:rsidRDefault="00EB74A4" w:rsidP="00EB74A4">
            <w:pPr>
              <w:pStyle w:val="ae"/>
              <w:rPr>
                <w:b w:val="0"/>
                <w:bCs/>
              </w:rPr>
            </w:pPr>
            <w:r w:rsidRPr="00EB74A4">
              <w:rPr>
                <w:rFonts w:hint="eastAsia"/>
                <w:b w:val="0"/>
                <w:bCs/>
              </w:rPr>
              <w:t>可调节遮阳设施</w:t>
            </w:r>
          </w:p>
        </w:tc>
        <w:tc>
          <w:tcPr>
            <w:tcW w:w="3455" w:type="pct"/>
            <w:vAlign w:val="center"/>
            <w:hideMark/>
          </w:tcPr>
          <w:p w14:paraId="2A6D6294" w14:textId="77777777" w:rsidR="00EB74A4" w:rsidRPr="00EB74A4" w:rsidRDefault="00EB74A4" w:rsidP="00EB74A4">
            <w:pPr>
              <w:pStyle w:val="ae"/>
              <w:rPr>
                <w:b w:val="0"/>
                <w:bCs/>
              </w:rPr>
            </w:pPr>
            <w:r w:rsidRPr="00EB74A4">
              <w:rPr>
                <w:rFonts w:hint="eastAsia"/>
                <w:b w:val="0"/>
                <w:bCs/>
              </w:rPr>
              <w:t>相关设计文件、产品说明书、计算书</w:t>
            </w:r>
          </w:p>
        </w:tc>
      </w:tr>
      <w:tr w:rsidR="00EB74A4" w:rsidRPr="00EB74A4" w14:paraId="53948E49" w14:textId="77777777" w:rsidTr="00EB74A4">
        <w:trPr>
          <w:trHeight w:val="552"/>
        </w:trPr>
        <w:tc>
          <w:tcPr>
            <w:tcW w:w="447" w:type="pct"/>
            <w:vAlign w:val="center"/>
            <w:hideMark/>
          </w:tcPr>
          <w:p w14:paraId="56F30233" w14:textId="77777777" w:rsidR="00EB74A4" w:rsidRPr="00EB74A4" w:rsidRDefault="00EB74A4" w:rsidP="00EB74A4">
            <w:pPr>
              <w:pStyle w:val="ae"/>
              <w:rPr>
                <w:b w:val="0"/>
                <w:bCs/>
              </w:rPr>
            </w:pPr>
            <w:r w:rsidRPr="00EB74A4">
              <w:rPr>
                <w:rFonts w:hint="eastAsia"/>
                <w:b w:val="0"/>
                <w:bCs/>
              </w:rPr>
              <w:t>5.2.11</w:t>
            </w:r>
          </w:p>
        </w:tc>
        <w:tc>
          <w:tcPr>
            <w:tcW w:w="1098" w:type="pct"/>
            <w:vAlign w:val="center"/>
            <w:hideMark/>
          </w:tcPr>
          <w:p w14:paraId="43A835E5" w14:textId="77777777" w:rsidR="00EB74A4" w:rsidRPr="00EB74A4" w:rsidRDefault="00EB74A4" w:rsidP="00EB74A4">
            <w:pPr>
              <w:pStyle w:val="ae"/>
              <w:rPr>
                <w:b w:val="0"/>
                <w:bCs/>
              </w:rPr>
            </w:pPr>
            <w:r w:rsidRPr="00EB74A4">
              <w:rPr>
                <w:rFonts w:hint="eastAsia"/>
                <w:b w:val="0"/>
                <w:bCs/>
              </w:rPr>
              <w:t>室内环境整体质量</w:t>
            </w:r>
          </w:p>
        </w:tc>
        <w:tc>
          <w:tcPr>
            <w:tcW w:w="3455" w:type="pct"/>
            <w:vAlign w:val="center"/>
            <w:hideMark/>
          </w:tcPr>
          <w:p w14:paraId="27286417" w14:textId="77777777" w:rsidR="00EB74A4" w:rsidRPr="00EB74A4" w:rsidRDefault="00EB74A4" w:rsidP="00EB74A4">
            <w:pPr>
              <w:pStyle w:val="ae"/>
              <w:rPr>
                <w:b w:val="0"/>
                <w:bCs/>
              </w:rPr>
            </w:pPr>
            <w:r w:rsidRPr="00EB74A4">
              <w:rPr>
                <w:rFonts w:hint="eastAsia"/>
                <w:b w:val="0"/>
                <w:bCs/>
              </w:rPr>
              <w:t>相关设计文件、建筑室内声、光、热、空气品质噪声级及房间隔声性能分析计算报告书</w:t>
            </w:r>
          </w:p>
        </w:tc>
      </w:tr>
      <w:tr w:rsidR="00EB74A4" w:rsidRPr="00EB74A4" w14:paraId="48362454" w14:textId="77777777" w:rsidTr="00EB74A4">
        <w:trPr>
          <w:trHeight w:val="276"/>
        </w:trPr>
        <w:tc>
          <w:tcPr>
            <w:tcW w:w="447" w:type="pct"/>
            <w:vAlign w:val="center"/>
            <w:hideMark/>
          </w:tcPr>
          <w:p w14:paraId="05236EC0" w14:textId="77777777" w:rsidR="00EB74A4" w:rsidRPr="00EB74A4" w:rsidRDefault="00EB74A4" w:rsidP="00EB74A4">
            <w:pPr>
              <w:pStyle w:val="ae"/>
              <w:rPr>
                <w:b w:val="0"/>
                <w:bCs/>
              </w:rPr>
            </w:pPr>
            <w:r w:rsidRPr="00EB74A4">
              <w:rPr>
                <w:rFonts w:hint="eastAsia"/>
                <w:b w:val="0"/>
                <w:bCs/>
              </w:rPr>
              <w:t>6.1.1</w:t>
            </w:r>
          </w:p>
        </w:tc>
        <w:tc>
          <w:tcPr>
            <w:tcW w:w="1098" w:type="pct"/>
            <w:vAlign w:val="center"/>
            <w:hideMark/>
          </w:tcPr>
          <w:p w14:paraId="3B5C6244" w14:textId="77777777" w:rsidR="00EB74A4" w:rsidRPr="00EB74A4" w:rsidRDefault="00EB74A4" w:rsidP="00EB74A4">
            <w:pPr>
              <w:pStyle w:val="ae"/>
              <w:rPr>
                <w:b w:val="0"/>
                <w:bCs/>
              </w:rPr>
            </w:pPr>
            <w:r w:rsidRPr="00EB74A4">
              <w:rPr>
                <w:rFonts w:hint="eastAsia"/>
                <w:b w:val="0"/>
                <w:bCs/>
              </w:rPr>
              <w:t>无障碍通道</w:t>
            </w:r>
          </w:p>
        </w:tc>
        <w:tc>
          <w:tcPr>
            <w:tcW w:w="3455" w:type="pct"/>
            <w:vAlign w:val="center"/>
            <w:hideMark/>
          </w:tcPr>
          <w:p w14:paraId="62328C1D"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66552A30" w14:textId="77777777" w:rsidTr="00EB74A4">
        <w:trPr>
          <w:trHeight w:val="276"/>
        </w:trPr>
        <w:tc>
          <w:tcPr>
            <w:tcW w:w="447" w:type="pct"/>
            <w:vAlign w:val="center"/>
            <w:hideMark/>
          </w:tcPr>
          <w:p w14:paraId="601C84A7" w14:textId="77777777" w:rsidR="00EB74A4" w:rsidRPr="00EB74A4" w:rsidRDefault="00EB74A4" w:rsidP="00EB74A4">
            <w:pPr>
              <w:pStyle w:val="ae"/>
              <w:rPr>
                <w:b w:val="0"/>
                <w:bCs/>
              </w:rPr>
            </w:pPr>
            <w:r w:rsidRPr="00EB74A4">
              <w:rPr>
                <w:rFonts w:hint="eastAsia"/>
                <w:b w:val="0"/>
                <w:bCs/>
              </w:rPr>
              <w:t>6.1.2</w:t>
            </w:r>
          </w:p>
        </w:tc>
        <w:tc>
          <w:tcPr>
            <w:tcW w:w="1098" w:type="pct"/>
            <w:vAlign w:val="center"/>
            <w:hideMark/>
          </w:tcPr>
          <w:p w14:paraId="4119E837" w14:textId="77777777" w:rsidR="00EB74A4" w:rsidRPr="00EB74A4" w:rsidRDefault="00EB74A4" w:rsidP="00EB74A4">
            <w:pPr>
              <w:pStyle w:val="ae"/>
              <w:rPr>
                <w:b w:val="0"/>
                <w:bCs/>
              </w:rPr>
            </w:pPr>
            <w:r w:rsidRPr="00EB74A4">
              <w:rPr>
                <w:rFonts w:hint="eastAsia"/>
                <w:b w:val="0"/>
                <w:bCs/>
              </w:rPr>
              <w:t>公共交通站点</w:t>
            </w:r>
          </w:p>
        </w:tc>
        <w:tc>
          <w:tcPr>
            <w:tcW w:w="3455" w:type="pct"/>
            <w:vAlign w:val="center"/>
            <w:hideMark/>
          </w:tcPr>
          <w:p w14:paraId="19EE4EE3" w14:textId="77777777" w:rsidR="00EB74A4" w:rsidRPr="00EB74A4" w:rsidRDefault="00EB74A4" w:rsidP="00EB74A4">
            <w:pPr>
              <w:pStyle w:val="ae"/>
              <w:rPr>
                <w:b w:val="0"/>
                <w:bCs/>
              </w:rPr>
            </w:pPr>
            <w:r w:rsidRPr="00EB74A4">
              <w:rPr>
                <w:rFonts w:hint="eastAsia"/>
                <w:b w:val="0"/>
                <w:bCs/>
              </w:rPr>
              <w:t>相关设计文件、交通站点标识图</w:t>
            </w:r>
          </w:p>
        </w:tc>
      </w:tr>
      <w:tr w:rsidR="00EB74A4" w:rsidRPr="00EB74A4" w14:paraId="75E39160" w14:textId="77777777" w:rsidTr="00EB74A4">
        <w:trPr>
          <w:trHeight w:val="552"/>
        </w:trPr>
        <w:tc>
          <w:tcPr>
            <w:tcW w:w="447" w:type="pct"/>
            <w:vAlign w:val="center"/>
            <w:hideMark/>
          </w:tcPr>
          <w:p w14:paraId="6C405777" w14:textId="77777777" w:rsidR="00EB74A4" w:rsidRPr="00EB74A4" w:rsidRDefault="00EB74A4" w:rsidP="00EB74A4">
            <w:pPr>
              <w:pStyle w:val="ae"/>
              <w:rPr>
                <w:b w:val="0"/>
                <w:bCs/>
              </w:rPr>
            </w:pPr>
            <w:r w:rsidRPr="00EB74A4">
              <w:rPr>
                <w:rFonts w:hint="eastAsia"/>
                <w:b w:val="0"/>
                <w:bCs/>
              </w:rPr>
              <w:t>6.1.3</w:t>
            </w:r>
          </w:p>
        </w:tc>
        <w:tc>
          <w:tcPr>
            <w:tcW w:w="1098" w:type="pct"/>
            <w:vAlign w:val="center"/>
            <w:hideMark/>
          </w:tcPr>
          <w:p w14:paraId="7B685CE0" w14:textId="77777777" w:rsidR="00EB74A4" w:rsidRPr="00EB74A4" w:rsidRDefault="00EB74A4" w:rsidP="00EB74A4">
            <w:pPr>
              <w:pStyle w:val="ae"/>
              <w:rPr>
                <w:b w:val="0"/>
                <w:bCs/>
              </w:rPr>
            </w:pPr>
            <w:r w:rsidRPr="00EB74A4">
              <w:rPr>
                <w:rFonts w:hint="eastAsia"/>
                <w:b w:val="0"/>
                <w:bCs/>
              </w:rPr>
              <w:t>电动汽车</w:t>
            </w:r>
          </w:p>
        </w:tc>
        <w:tc>
          <w:tcPr>
            <w:tcW w:w="3455" w:type="pct"/>
            <w:vAlign w:val="center"/>
            <w:hideMark/>
          </w:tcPr>
          <w:p w14:paraId="6DBFE5E6" w14:textId="77777777" w:rsidR="00EB74A4" w:rsidRPr="00EB74A4" w:rsidRDefault="00EB74A4" w:rsidP="00EB74A4">
            <w:pPr>
              <w:pStyle w:val="ae"/>
              <w:rPr>
                <w:b w:val="0"/>
                <w:bCs/>
              </w:rPr>
            </w:pPr>
            <w:r w:rsidRPr="00EB74A4">
              <w:rPr>
                <w:rFonts w:hint="eastAsia"/>
                <w:b w:val="0"/>
                <w:bCs/>
              </w:rPr>
              <w:t>建筑平面图和建筑总平面施工图（含电动汽车停车位和无障碍停车位）；电气施工图（含充电设施条件，配电系统，布线系统及计量要求）</w:t>
            </w:r>
          </w:p>
        </w:tc>
      </w:tr>
      <w:tr w:rsidR="00EB74A4" w:rsidRPr="00EB74A4" w14:paraId="7EE3620B" w14:textId="77777777" w:rsidTr="00EB74A4">
        <w:trPr>
          <w:trHeight w:val="276"/>
        </w:trPr>
        <w:tc>
          <w:tcPr>
            <w:tcW w:w="447" w:type="pct"/>
            <w:vAlign w:val="center"/>
            <w:hideMark/>
          </w:tcPr>
          <w:p w14:paraId="364D1493" w14:textId="77777777" w:rsidR="00EB74A4" w:rsidRPr="00EB74A4" w:rsidRDefault="00EB74A4" w:rsidP="00EB74A4">
            <w:pPr>
              <w:pStyle w:val="ae"/>
              <w:rPr>
                <w:b w:val="0"/>
                <w:bCs/>
              </w:rPr>
            </w:pPr>
            <w:r w:rsidRPr="00EB74A4">
              <w:rPr>
                <w:rFonts w:hint="eastAsia"/>
                <w:b w:val="0"/>
                <w:bCs/>
              </w:rPr>
              <w:t>6.1.4</w:t>
            </w:r>
          </w:p>
        </w:tc>
        <w:tc>
          <w:tcPr>
            <w:tcW w:w="1098" w:type="pct"/>
            <w:vAlign w:val="center"/>
            <w:hideMark/>
          </w:tcPr>
          <w:p w14:paraId="461B1941" w14:textId="77777777" w:rsidR="00EB74A4" w:rsidRPr="00EB74A4" w:rsidRDefault="00EB74A4" w:rsidP="00EB74A4">
            <w:pPr>
              <w:pStyle w:val="ae"/>
              <w:rPr>
                <w:b w:val="0"/>
                <w:bCs/>
              </w:rPr>
            </w:pPr>
            <w:r w:rsidRPr="00EB74A4">
              <w:rPr>
                <w:rFonts w:hint="eastAsia"/>
                <w:b w:val="0"/>
                <w:bCs/>
              </w:rPr>
              <w:t>非机动车</w:t>
            </w:r>
          </w:p>
        </w:tc>
        <w:tc>
          <w:tcPr>
            <w:tcW w:w="3455" w:type="pct"/>
            <w:vAlign w:val="center"/>
            <w:hideMark/>
          </w:tcPr>
          <w:p w14:paraId="18A4A1E4"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66FCD275" w14:textId="77777777" w:rsidTr="00EB74A4">
        <w:trPr>
          <w:trHeight w:val="276"/>
        </w:trPr>
        <w:tc>
          <w:tcPr>
            <w:tcW w:w="447" w:type="pct"/>
            <w:vAlign w:val="center"/>
            <w:hideMark/>
          </w:tcPr>
          <w:p w14:paraId="7435455E" w14:textId="77777777" w:rsidR="00EB74A4" w:rsidRPr="00EB74A4" w:rsidRDefault="00EB74A4" w:rsidP="00EB74A4">
            <w:pPr>
              <w:pStyle w:val="ae"/>
              <w:rPr>
                <w:b w:val="0"/>
                <w:bCs/>
              </w:rPr>
            </w:pPr>
            <w:r w:rsidRPr="00EB74A4">
              <w:rPr>
                <w:rFonts w:hint="eastAsia"/>
                <w:b w:val="0"/>
                <w:bCs/>
              </w:rPr>
              <w:t>6.1.5</w:t>
            </w:r>
          </w:p>
        </w:tc>
        <w:tc>
          <w:tcPr>
            <w:tcW w:w="1098" w:type="pct"/>
            <w:vAlign w:val="center"/>
            <w:hideMark/>
          </w:tcPr>
          <w:p w14:paraId="3AB30D47" w14:textId="77777777" w:rsidR="00EB74A4" w:rsidRPr="00EB74A4" w:rsidRDefault="00EB74A4" w:rsidP="00EB74A4">
            <w:pPr>
              <w:pStyle w:val="ae"/>
              <w:rPr>
                <w:b w:val="0"/>
                <w:bCs/>
              </w:rPr>
            </w:pPr>
            <w:r w:rsidRPr="00EB74A4">
              <w:rPr>
                <w:rFonts w:hint="eastAsia"/>
                <w:b w:val="0"/>
                <w:bCs/>
              </w:rPr>
              <w:t>建筑设备系统</w:t>
            </w:r>
          </w:p>
        </w:tc>
        <w:tc>
          <w:tcPr>
            <w:tcW w:w="3455" w:type="pct"/>
            <w:vAlign w:val="center"/>
            <w:hideMark/>
          </w:tcPr>
          <w:p w14:paraId="02112674"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含智能化设计图纸、装修图纸</w:t>
            </w:r>
            <w:r w:rsidRPr="00EB74A4">
              <w:rPr>
                <w:rFonts w:hint="eastAsia"/>
                <w:b w:val="0"/>
                <w:bCs/>
              </w:rPr>
              <w:t>)</w:t>
            </w:r>
          </w:p>
        </w:tc>
      </w:tr>
      <w:tr w:rsidR="00EB74A4" w:rsidRPr="00EB74A4" w14:paraId="57AF099F" w14:textId="77777777" w:rsidTr="00EB74A4">
        <w:trPr>
          <w:trHeight w:val="276"/>
        </w:trPr>
        <w:tc>
          <w:tcPr>
            <w:tcW w:w="447" w:type="pct"/>
            <w:vAlign w:val="center"/>
            <w:hideMark/>
          </w:tcPr>
          <w:p w14:paraId="0C22B3B1" w14:textId="77777777" w:rsidR="00EB74A4" w:rsidRPr="00EB74A4" w:rsidRDefault="00EB74A4" w:rsidP="00EB74A4">
            <w:pPr>
              <w:pStyle w:val="ae"/>
              <w:rPr>
                <w:b w:val="0"/>
                <w:bCs/>
              </w:rPr>
            </w:pPr>
            <w:r w:rsidRPr="00EB74A4">
              <w:rPr>
                <w:rFonts w:hint="eastAsia"/>
                <w:b w:val="0"/>
                <w:bCs/>
              </w:rPr>
              <w:t>6.1.6</w:t>
            </w:r>
          </w:p>
        </w:tc>
        <w:tc>
          <w:tcPr>
            <w:tcW w:w="1098" w:type="pct"/>
            <w:vAlign w:val="center"/>
            <w:hideMark/>
          </w:tcPr>
          <w:p w14:paraId="2A5447F9" w14:textId="77777777" w:rsidR="00EB74A4" w:rsidRPr="00EB74A4" w:rsidRDefault="00EB74A4" w:rsidP="00EB74A4">
            <w:pPr>
              <w:pStyle w:val="ae"/>
              <w:rPr>
                <w:b w:val="0"/>
                <w:bCs/>
              </w:rPr>
            </w:pPr>
            <w:r w:rsidRPr="00EB74A4">
              <w:rPr>
                <w:rFonts w:hint="eastAsia"/>
                <w:b w:val="0"/>
                <w:bCs/>
              </w:rPr>
              <w:t>信息网络系统</w:t>
            </w:r>
          </w:p>
        </w:tc>
        <w:tc>
          <w:tcPr>
            <w:tcW w:w="3455" w:type="pct"/>
            <w:vAlign w:val="center"/>
            <w:hideMark/>
          </w:tcPr>
          <w:p w14:paraId="7E59D78C"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含智能化、装修专业</w:t>
            </w:r>
            <w:r w:rsidRPr="00EB74A4">
              <w:rPr>
                <w:rFonts w:hint="eastAsia"/>
                <w:b w:val="0"/>
                <w:bCs/>
              </w:rPr>
              <w:t>)</w:t>
            </w:r>
          </w:p>
        </w:tc>
      </w:tr>
      <w:tr w:rsidR="00EB74A4" w:rsidRPr="00EB74A4" w14:paraId="29266AB6" w14:textId="77777777" w:rsidTr="00EB74A4">
        <w:trPr>
          <w:trHeight w:val="276"/>
        </w:trPr>
        <w:tc>
          <w:tcPr>
            <w:tcW w:w="447" w:type="pct"/>
            <w:vAlign w:val="center"/>
            <w:hideMark/>
          </w:tcPr>
          <w:p w14:paraId="71110B06" w14:textId="77777777" w:rsidR="00EB74A4" w:rsidRPr="00EB74A4" w:rsidRDefault="00EB74A4" w:rsidP="00EB74A4">
            <w:pPr>
              <w:pStyle w:val="ae"/>
              <w:rPr>
                <w:b w:val="0"/>
                <w:bCs/>
              </w:rPr>
            </w:pPr>
            <w:r w:rsidRPr="00EB74A4">
              <w:rPr>
                <w:rFonts w:hint="eastAsia"/>
                <w:b w:val="0"/>
                <w:bCs/>
              </w:rPr>
              <w:t>6.1.7</w:t>
            </w:r>
          </w:p>
        </w:tc>
        <w:tc>
          <w:tcPr>
            <w:tcW w:w="1098" w:type="pct"/>
            <w:vAlign w:val="center"/>
            <w:hideMark/>
          </w:tcPr>
          <w:p w14:paraId="35E0E575" w14:textId="77777777" w:rsidR="00EB74A4" w:rsidRPr="00EB74A4" w:rsidRDefault="00EB74A4" w:rsidP="00EB74A4">
            <w:pPr>
              <w:pStyle w:val="ae"/>
              <w:rPr>
                <w:b w:val="0"/>
                <w:bCs/>
              </w:rPr>
            </w:pPr>
            <w:r w:rsidRPr="00EB74A4">
              <w:rPr>
                <w:rFonts w:hint="eastAsia"/>
                <w:b w:val="0"/>
                <w:bCs/>
              </w:rPr>
              <w:t>标识系统</w:t>
            </w:r>
          </w:p>
        </w:tc>
        <w:tc>
          <w:tcPr>
            <w:tcW w:w="3455" w:type="pct"/>
            <w:vAlign w:val="center"/>
            <w:hideMark/>
          </w:tcPr>
          <w:p w14:paraId="0FCF9226"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含设计说明、车库划线图、建筑与环境标识系统图等</w:t>
            </w:r>
            <w:r w:rsidRPr="00EB74A4">
              <w:rPr>
                <w:rFonts w:hint="eastAsia"/>
                <w:b w:val="0"/>
                <w:bCs/>
              </w:rPr>
              <w:t>)</w:t>
            </w:r>
          </w:p>
        </w:tc>
      </w:tr>
      <w:tr w:rsidR="00EB74A4" w:rsidRPr="00EB74A4" w14:paraId="6827CEF8" w14:textId="77777777" w:rsidTr="00EB74A4">
        <w:trPr>
          <w:trHeight w:val="276"/>
        </w:trPr>
        <w:tc>
          <w:tcPr>
            <w:tcW w:w="447" w:type="pct"/>
            <w:vAlign w:val="center"/>
            <w:hideMark/>
          </w:tcPr>
          <w:p w14:paraId="41D896B8" w14:textId="77777777" w:rsidR="00EB74A4" w:rsidRPr="00EB74A4" w:rsidRDefault="00EB74A4" w:rsidP="00EB74A4">
            <w:pPr>
              <w:pStyle w:val="ae"/>
              <w:rPr>
                <w:b w:val="0"/>
                <w:bCs/>
              </w:rPr>
            </w:pPr>
            <w:r w:rsidRPr="00EB74A4">
              <w:rPr>
                <w:rFonts w:hint="eastAsia"/>
                <w:b w:val="0"/>
                <w:bCs/>
              </w:rPr>
              <w:lastRenderedPageBreak/>
              <w:t>6.2.1</w:t>
            </w:r>
          </w:p>
        </w:tc>
        <w:tc>
          <w:tcPr>
            <w:tcW w:w="1098" w:type="pct"/>
            <w:vAlign w:val="center"/>
            <w:hideMark/>
          </w:tcPr>
          <w:p w14:paraId="2D1AD913" w14:textId="77777777" w:rsidR="00EB74A4" w:rsidRPr="00EB74A4" w:rsidRDefault="00EB74A4" w:rsidP="00EB74A4">
            <w:pPr>
              <w:pStyle w:val="ae"/>
              <w:rPr>
                <w:b w:val="0"/>
                <w:bCs/>
              </w:rPr>
            </w:pPr>
            <w:r w:rsidRPr="00EB74A4">
              <w:rPr>
                <w:rFonts w:hint="eastAsia"/>
                <w:b w:val="0"/>
                <w:bCs/>
              </w:rPr>
              <w:t>公共交通站点</w:t>
            </w:r>
          </w:p>
        </w:tc>
        <w:tc>
          <w:tcPr>
            <w:tcW w:w="3455" w:type="pct"/>
            <w:vAlign w:val="center"/>
            <w:hideMark/>
          </w:tcPr>
          <w:p w14:paraId="7A068BA2"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5D995F71" w14:textId="77777777" w:rsidTr="00EB74A4">
        <w:trPr>
          <w:trHeight w:val="276"/>
        </w:trPr>
        <w:tc>
          <w:tcPr>
            <w:tcW w:w="447" w:type="pct"/>
            <w:vAlign w:val="center"/>
            <w:hideMark/>
          </w:tcPr>
          <w:p w14:paraId="5A3BE984" w14:textId="77777777" w:rsidR="00EB74A4" w:rsidRPr="00EB74A4" w:rsidRDefault="00EB74A4" w:rsidP="00EB74A4">
            <w:pPr>
              <w:pStyle w:val="ae"/>
              <w:rPr>
                <w:b w:val="0"/>
                <w:bCs/>
              </w:rPr>
            </w:pPr>
            <w:r w:rsidRPr="00EB74A4">
              <w:rPr>
                <w:rFonts w:hint="eastAsia"/>
                <w:b w:val="0"/>
                <w:bCs/>
              </w:rPr>
              <w:t>6.2.2</w:t>
            </w:r>
          </w:p>
        </w:tc>
        <w:tc>
          <w:tcPr>
            <w:tcW w:w="1098" w:type="pct"/>
            <w:vAlign w:val="center"/>
            <w:hideMark/>
          </w:tcPr>
          <w:p w14:paraId="477A5C99" w14:textId="77777777" w:rsidR="00EB74A4" w:rsidRPr="00EB74A4" w:rsidRDefault="00EB74A4" w:rsidP="00EB74A4">
            <w:pPr>
              <w:pStyle w:val="ae"/>
              <w:rPr>
                <w:b w:val="0"/>
                <w:bCs/>
              </w:rPr>
            </w:pPr>
            <w:r w:rsidRPr="00EB74A4">
              <w:rPr>
                <w:rFonts w:hint="eastAsia"/>
                <w:b w:val="0"/>
                <w:bCs/>
              </w:rPr>
              <w:t>室内外公共区域</w:t>
            </w:r>
          </w:p>
        </w:tc>
        <w:tc>
          <w:tcPr>
            <w:tcW w:w="3455" w:type="pct"/>
            <w:vAlign w:val="center"/>
            <w:hideMark/>
          </w:tcPr>
          <w:p w14:paraId="3C3F25C9" w14:textId="77777777" w:rsidR="00EB74A4" w:rsidRPr="00EB74A4" w:rsidRDefault="00EB74A4" w:rsidP="00EB74A4">
            <w:pPr>
              <w:pStyle w:val="ae"/>
              <w:rPr>
                <w:b w:val="0"/>
                <w:bCs/>
              </w:rPr>
            </w:pPr>
            <w:r w:rsidRPr="00EB74A4">
              <w:rPr>
                <w:rFonts w:hint="eastAsia"/>
                <w:b w:val="0"/>
                <w:bCs/>
              </w:rPr>
              <w:t>相关专业设计文件</w:t>
            </w:r>
            <w:r w:rsidRPr="00EB74A4">
              <w:rPr>
                <w:rFonts w:hint="eastAsia"/>
                <w:b w:val="0"/>
                <w:bCs/>
              </w:rPr>
              <w:t>(</w:t>
            </w:r>
            <w:r w:rsidRPr="00EB74A4">
              <w:rPr>
                <w:rFonts w:hint="eastAsia"/>
                <w:b w:val="0"/>
                <w:bCs/>
              </w:rPr>
              <w:t>建筑专业、景观专业</w:t>
            </w:r>
            <w:r w:rsidRPr="00EB74A4">
              <w:rPr>
                <w:rFonts w:hint="eastAsia"/>
                <w:b w:val="0"/>
                <w:bCs/>
              </w:rPr>
              <w:t>)</w:t>
            </w:r>
          </w:p>
        </w:tc>
      </w:tr>
      <w:tr w:rsidR="00EB74A4" w:rsidRPr="00EB74A4" w14:paraId="74564F17" w14:textId="77777777" w:rsidTr="00EB74A4">
        <w:trPr>
          <w:trHeight w:val="276"/>
        </w:trPr>
        <w:tc>
          <w:tcPr>
            <w:tcW w:w="447" w:type="pct"/>
            <w:vAlign w:val="center"/>
            <w:hideMark/>
          </w:tcPr>
          <w:p w14:paraId="5FEF6092" w14:textId="77777777" w:rsidR="00EB74A4" w:rsidRPr="00EB74A4" w:rsidRDefault="00EB74A4" w:rsidP="00EB74A4">
            <w:pPr>
              <w:pStyle w:val="ae"/>
              <w:rPr>
                <w:b w:val="0"/>
                <w:bCs/>
              </w:rPr>
            </w:pPr>
            <w:r w:rsidRPr="00EB74A4">
              <w:rPr>
                <w:rFonts w:hint="eastAsia"/>
                <w:b w:val="0"/>
                <w:bCs/>
              </w:rPr>
              <w:t>6.2.3</w:t>
            </w:r>
          </w:p>
        </w:tc>
        <w:tc>
          <w:tcPr>
            <w:tcW w:w="1098" w:type="pct"/>
            <w:vAlign w:val="center"/>
            <w:hideMark/>
          </w:tcPr>
          <w:p w14:paraId="7D5897CD" w14:textId="77777777" w:rsidR="00EB74A4" w:rsidRPr="00EB74A4" w:rsidRDefault="00EB74A4" w:rsidP="00EB74A4">
            <w:pPr>
              <w:pStyle w:val="ae"/>
              <w:rPr>
                <w:b w:val="0"/>
                <w:bCs/>
              </w:rPr>
            </w:pPr>
            <w:r w:rsidRPr="00EB74A4">
              <w:rPr>
                <w:rFonts w:hint="eastAsia"/>
                <w:b w:val="0"/>
                <w:bCs/>
              </w:rPr>
              <w:t>公共服务</w:t>
            </w:r>
          </w:p>
        </w:tc>
        <w:tc>
          <w:tcPr>
            <w:tcW w:w="3455" w:type="pct"/>
            <w:vAlign w:val="center"/>
            <w:hideMark/>
          </w:tcPr>
          <w:p w14:paraId="4AC4A0B6" w14:textId="77777777" w:rsidR="00EB74A4" w:rsidRPr="00EB74A4" w:rsidRDefault="00EB74A4" w:rsidP="00EB74A4">
            <w:pPr>
              <w:pStyle w:val="ae"/>
              <w:rPr>
                <w:b w:val="0"/>
                <w:bCs/>
              </w:rPr>
            </w:pPr>
            <w:r w:rsidRPr="00EB74A4">
              <w:rPr>
                <w:rFonts w:hint="eastAsia"/>
                <w:b w:val="0"/>
                <w:bCs/>
              </w:rPr>
              <w:t>建筑总平面施工图、公共服务设施布局图、位置标识图等规划设计文件</w:t>
            </w:r>
          </w:p>
        </w:tc>
      </w:tr>
      <w:tr w:rsidR="00EB74A4" w:rsidRPr="00EB74A4" w14:paraId="7A840940" w14:textId="77777777" w:rsidTr="00EB74A4">
        <w:trPr>
          <w:trHeight w:val="552"/>
        </w:trPr>
        <w:tc>
          <w:tcPr>
            <w:tcW w:w="447" w:type="pct"/>
            <w:vAlign w:val="center"/>
            <w:hideMark/>
          </w:tcPr>
          <w:p w14:paraId="2E25118E" w14:textId="77777777" w:rsidR="00EB74A4" w:rsidRPr="00EB74A4" w:rsidRDefault="00EB74A4" w:rsidP="00EB74A4">
            <w:pPr>
              <w:pStyle w:val="ae"/>
              <w:rPr>
                <w:b w:val="0"/>
                <w:bCs/>
              </w:rPr>
            </w:pPr>
            <w:r w:rsidRPr="00EB74A4">
              <w:rPr>
                <w:rFonts w:hint="eastAsia"/>
                <w:b w:val="0"/>
                <w:bCs/>
              </w:rPr>
              <w:t>6.2.4</w:t>
            </w:r>
          </w:p>
        </w:tc>
        <w:tc>
          <w:tcPr>
            <w:tcW w:w="1098" w:type="pct"/>
            <w:vAlign w:val="center"/>
            <w:hideMark/>
          </w:tcPr>
          <w:p w14:paraId="5F1F3326" w14:textId="77777777" w:rsidR="00EB74A4" w:rsidRPr="00EB74A4" w:rsidRDefault="00EB74A4" w:rsidP="00EB74A4">
            <w:pPr>
              <w:pStyle w:val="ae"/>
              <w:rPr>
                <w:b w:val="0"/>
                <w:bCs/>
              </w:rPr>
            </w:pPr>
            <w:r w:rsidRPr="00EB74A4">
              <w:rPr>
                <w:rFonts w:hint="eastAsia"/>
                <w:b w:val="0"/>
                <w:bCs/>
              </w:rPr>
              <w:t>城市开敞空间</w:t>
            </w:r>
          </w:p>
        </w:tc>
        <w:tc>
          <w:tcPr>
            <w:tcW w:w="3455" w:type="pct"/>
            <w:vAlign w:val="center"/>
            <w:hideMark/>
          </w:tcPr>
          <w:p w14:paraId="4AFA2C58" w14:textId="77777777" w:rsidR="00EB74A4" w:rsidRPr="00EB74A4" w:rsidRDefault="00EB74A4" w:rsidP="00EB74A4">
            <w:pPr>
              <w:pStyle w:val="ae"/>
              <w:rPr>
                <w:b w:val="0"/>
                <w:bCs/>
              </w:rPr>
            </w:pPr>
            <w:r w:rsidRPr="00EB74A4">
              <w:rPr>
                <w:rFonts w:hint="eastAsia"/>
                <w:b w:val="0"/>
                <w:bCs/>
              </w:rPr>
              <w:t>建筑总平面施工图、场地周边公共设施布局图</w:t>
            </w:r>
            <w:r w:rsidRPr="00EB74A4">
              <w:rPr>
                <w:rFonts w:hint="eastAsia"/>
                <w:b w:val="0"/>
                <w:bCs/>
              </w:rPr>
              <w:t>/</w:t>
            </w:r>
            <w:r w:rsidRPr="00EB74A4">
              <w:rPr>
                <w:rFonts w:hint="eastAsia"/>
                <w:b w:val="0"/>
                <w:bCs/>
              </w:rPr>
              <w:t>规划图、步行路线图、位置标识图等规划设计文件</w:t>
            </w:r>
          </w:p>
        </w:tc>
      </w:tr>
      <w:tr w:rsidR="00EB74A4" w:rsidRPr="00EB74A4" w14:paraId="7EBA08AA" w14:textId="77777777" w:rsidTr="00EB74A4">
        <w:trPr>
          <w:trHeight w:val="828"/>
        </w:trPr>
        <w:tc>
          <w:tcPr>
            <w:tcW w:w="447" w:type="pct"/>
            <w:vAlign w:val="center"/>
            <w:hideMark/>
          </w:tcPr>
          <w:p w14:paraId="3663E1EC" w14:textId="77777777" w:rsidR="00EB74A4" w:rsidRPr="00EB74A4" w:rsidRDefault="00EB74A4" w:rsidP="00EB74A4">
            <w:pPr>
              <w:pStyle w:val="ae"/>
              <w:rPr>
                <w:b w:val="0"/>
                <w:bCs/>
              </w:rPr>
            </w:pPr>
            <w:r w:rsidRPr="00EB74A4">
              <w:rPr>
                <w:rFonts w:hint="eastAsia"/>
                <w:b w:val="0"/>
                <w:bCs/>
              </w:rPr>
              <w:t>6.2.5</w:t>
            </w:r>
          </w:p>
        </w:tc>
        <w:tc>
          <w:tcPr>
            <w:tcW w:w="1098" w:type="pct"/>
            <w:vAlign w:val="center"/>
            <w:hideMark/>
          </w:tcPr>
          <w:p w14:paraId="30DEF65F" w14:textId="77777777" w:rsidR="00EB74A4" w:rsidRPr="00EB74A4" w:rsidRDefault="00EB74A4" w:rsidP="00EB74A4">
            <w:pPr>
              <w:pStyle w:val="ae"/>
              <w:rPr>
                <w:b w:val="0"/>
                <w:bCs/>
              </w:rPr>
            </w:pPr>
            <w:r w:rsidRPr="00EB74A4">
              <w:rPr>
                <w:rFonts w:hint="eastAsia"/>
                <w:b w:val="0"/>
                <w:bCs/>
              </w:rPr>
              <w:t>健身场地和空间</w:t>
            </w:r>
          </w:p>
        </w:tc>
        <w:tc>
          <w:tcPr>
            <w:tcW w:w="3455" w:type="pct"/>
            <w:vAlign w:val="center"/>
            <w:hideMark/>
          </w:tcPr>
          <w:p w14:paraId="749E79F8" w14:textId="77777777" w:rsidR="00EB74A4" w:rsidRPr="00EB74A4" w:rsidRDefault="00EB74A4" w:rsidP="00EB74A4">
            <w:pPr>
              <w:pStyle w:val="ae"/>
              <w:rPr>
                <w:b w:val="0"/>
                <w:bCs/>
              </w:rPr>
            </w:pPr>
            <w:r w:rsidRPr="00EB74A4">
              <w:rPr>
                <w:rFonts w:hint="eastAsia"/>
                <w:b w:val="0"/>
                <w:bCs/>
              </w:rPr>
              <w:t>总平面施工图、景观施工图（包含健身设施布局、健身慢行道路线、健身设施场地布置等）、建筑施工图（含平面功能布局、楼梯间位置）、电气施工图（含楼梯间照明系统设计）等内容，及相关产品说明书</w:t>
            </w:r>
          </w:p>
        </w:tc>
      </w:tr>
      <w:tr w:rsidR="00EB74A4" w:rsidRPr="00EB74A4" w14:paraId="48341867" w14:textId="77777777" w:rsidTr="00EB74A4">
        <w:trPr>
          <w:trHeight w:val="276"/>
        </w:trPr>
        <w:tc>
          <w:tcPr>
            <w:tcW w:w="447" w:type="pct"/>
            <w:vAlign w:val="center"/>
            <w:hideMark/>
          </w:tcPr>
          <w:p w14:paraId="41EB5F6A" w14:textId="77777777" w:rsidR="00EB74A4" w:rsidRPr="00EB74A4" w:rsidRDefault="00EB74A4" w:rsidP="00EB74A4">
            <w:pPr>
              <w:pStyle w:val="ae"/>
              <w:rPr>
                <w:b w:val="0"/>
                <w:bCs/>
              </w:rPr>
            </w:pPr>
            <w:r w:rsidRPr="00EB74A4">
              <w:rPr>
                <w:rFonts w:hint="eastAsia"/>
                <w:b w:val="0"/>
                <w:bCs/>
              </w:rPr>
              <w:t>6.2.6</w:t>
            </w:r>
          </w:p>
        </w:tc>
        <w:tc>
          <w:tcPr>
            <w:tcW w:w="1098" w:type="pct"/>
            <w:vAlign w:val="center"/>
            <w:hideMark/>
          </w:tcPr>
          <w:p w14:paraId="7DB83082" w14:textId="77777777" w:rsidR="00EB74A4" w:rsidRPr="00EB74A4" w:rsidRDefault="00EB74A4" w:rsidP="00EB74A4">
            <w:pPr>
              <w:pStyle w:val="ae"/>
              <w:rPr>
                <w:b w:val="0"/>
                <w:bCs/>
              </w:rPr>
            </w:pPr>
            <w:r w:rsidRPr="00EB74A4">
              <w:rPr>
                <w:rFonts w:hint="eastAsia"/>
                <w:b w:val="0"/>
                <w:bCs/>
              </w:rPr>
              <w:t>急救医疗措施</w:t>
            </w:r>
          </w:p>
        </w:tc>
        <w:tc>
          <w:tcPr>
            <w:tcW w:w="3455" w:type="pct"/>
            <w:vAlign w:val="center"/>
            <w:hideMark/>
          </w:tcPr>
          <w:p w14:paraId="1E29E49D" w14:textId="77777777" w:rsidR="00EB74A4" w:rsidRPr="00EB74A4" w:rsidRDefault="00EB74A4" w:rsidP="00EB74A4">
            <w:pPr>
              <w:pStyle w:val="ae"/>
              <w:rPr>
                <w:b w:val="0"/>
                <w:bCs/>
              </w:rPr>
            </w:pPr>
            <w:r w:rsidRPr="00EB74A4">
              <w:rPr>
                <w:rFonts w:hint="eastAsia"/>
                <w:b w:val="0"/>
                <w:bCs/>
              </w:rPr>
              <w:t>平面位置图、相关产品说明书</w:t>
            </w:r>
          </w:p>
        </w:tc>
      </w:tr>
      <w:tr w:rsidR="00EB74A4" w:rsidRPr="00EB74A4" w14:paraId="4979E95B" w14:textId="77777777" w:rsidTr="00EB74A4">
        <w:trPr>
          <w:trHeight w:val="276"/>
        </w:trPr>
        <w:tc>
          <w:tcPr>
            <w:tcW w:w="447" w:type="pct"/>
            <w:vAlign w:val="center"/>
            <w:hideMark/>
          </w:tcPr>
          <w:p w14:paraId="1198F832" w14:textId="77777777" w:rsidR="00EB74A4" w:rsidRPr="00EB74A4" w:rsidRDefault="00EB74A4" w:rsidP="00EB74A4">
            <w:pPr>
              <w:pStyle w:val="ae"/>
              <w:rPr>
                <w:b w:val="0"/>
                <w:bCs/>
              </w:rPr>
            </w:pPr>
            <w:r w:rsidRPr="00EB74A4">
              <w:rPr>
                <w:rFonts w:hint="eastAsia"/>
                <w:b w:val="0"/>
                <w:bCs/>
              </w:rPr>
              <w:t>6.2.7</w:t>
            </w:r>
          </w:p>
        </w:tc>
        <w:tc>
          <w:tcPr>
            <w:tcW w:w="1098" w:type="pct"/>
            <w:vAlign w:val="center"/>
            <w:hideMark/>
          </w:tcPr>
          <w:p w14:paraId="3476424C" w14:textId="77777777" w:rsidR="00EB74A4" w:rsidRPr="00EB74A4" w:rsidRDefault="00EB74A4" w:rsidP="00EB74A4">
            <w:pPr>
              <w:pStyle w:val="ae"/>
              <w:rPr>
                <w:b w:val="0"/>
                <w:bCs/>
              </w:rPr>
            </w:pPr>
            <w:r w:rsidRPr="00EB74A4">
              <w:rPr>
                <w:rFonts w:hint="eastAsia"/>
                <w:b w:val="0"/>
                <w:bCs/>
              </w:rPr>
              <w:t>自动远传计量系统</w:t>
            </w:r>
          </w:p>
        </w:tc>
        <w:tc>
          <w:tcPr>
            <w:tcW w:w="3455" w:type="pct"/>
            <w:vAlign w:val="center"/>
            <w:hideMark/>
          </w:tcPr>
          <w:p w14:paraId="37DA36ED"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能源系统设计图纸、能源管理系统配置等</w:t>
            </w:r>
            <w:r w:rsidRPr="00EB74A4">
              <w:rPr>
                <w:rFonts w:hint="eastAsia"/>
                <w:b w:val="0"/>
                <w:bCs/>
              </w:rPr>
              <w:t>)</w:t>
            </w:r>
          </w:p>
        </w:tc>
      </w:tr>
      <w:tr w:rsidR="00EB74A4" w:rsidRPr="00EB74A4" w14:paraId="3B77EA20" w14:textId="77777777" w:rsidTr="00EB74A4">
        <w:trPr>
          <w:trHeight w:val="276"/>
        </w:trPr>
        <w:tc>
          <w:tcPr>
            <w:tcW w:w="447" w:type="pct"/>
            <w:vAlign w:val="center"/>
            <w:hideMark/>
          </w:tcPr>
          <w:p w14:paraId="64FA17EE" w14:textId="77777777" w:rsidR="00EB74A4" w:rsidRPr="00EB74A4" w:rsidRDefault="00EB74A4" w:rsidP="00EB74A4">
            <w:pPr>
              <w:pStyle w:val="ae"/>
              <w:rPr>
                <w:b w:val="0"/>
                <w:bCs/>
              </w:rPr>
            </w:pPr>
            <w:r w:rsidRPr="00EB74A4">
              <w:rPr>
                <w:rFonts w:hint="eastAsia"/>
                <w:b w:val="0"/>
                <w:bCs/>
              </w:rPr>
              <w:t>6.2.8</w:t>
            </w:r>
          </w:p>
        </w:tc>
        <w:tc>
          <w:tcPr>
            <w:tcW w:w="1098" w:type="pct"/>
            <w:vAlign w:val="center"/>
            <w:hideMark/>
          </w:tcPr>
          <w:p w14:paraId="6974F76D" w14:textId="77777777" w:rsidR="00EB74A4" w:rsidRPr="00EB74A4" w:rsidRDefault="00EB74A4" w:rsidP="00EB74A4">
            <w:pPr>
              <w:pStyle w:val="ae"/>
              <w:rPr>
                <w:b w:val="0"/>
                <w:bCs/>
              </w:rPr>
            </w:pPr>
            <w:r w:rsidRPr="00EB74A4">
              <w:rPr>
                <w:rFonts w:hint="eastAsia"/>
                <w:b w:val="0"/>
                <w:bCs/>
              </w:rPr>
              <w:t>空气质量监测系统</w:t>
            </w:r>
          </w:p>
        </w:tc>
        <w:tc>
          <w:tcPr>
            <w:tcW w:w="3455" w:type="pct"/>
            <w:vAlign w:val="center"/>
            <w:hideMark/>
          </w:tcPr>
          <w:p w14:paraId="4744F500"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监测系统设计图纸、点位图等</w:t>
            </w:r>
            <w:r w:rsidRPr="00EB74A4">
              <w:rPr>
                <w:rFonts w:hint="eastAsia"/>
                <w:b w:val="0"/>
                <w:bCs/>
              </w:rPr>
              <w:t>)</w:t>
            </w:r>
          </w:p>
        </w:tc>
      </w:tr>
      <w:tr w:rsidR="00EB74A4" w:rsidRPr="00EB74A4" w14:paraId="1CC62F81" w14:textId="77777777" w:rsidTr="00EB74A4">
        <w:trPr>
          <w:trHeight w:val="1104"/>
        </w:trPr>
        <w:tc>
          <w:tcPr>
            <w:tcW w:w="447" w:type="pct"/>
            <w:vAlign w:val="center"/>
            <w:hideMark/>
          </w:tcPr>
          <w:p w14:paraId="025DA166" w14:textId="77777777" w:rsidR="00EB74A4" w:rsidRPr="00EB74A4" w:rsidRDefault="00EB74A4" w:rsidP="00EB74A4">
            <w:pPr>
              <w:pStyle w:val="ae"/>
              <w:rPr>
                <w:b w:val="0"/>
                <w:bCs/>
              </w:rPr>
            </w:pPr>
            <w:r w:rsidRPr="00EB74A4">
              <w:rPr>
                <w:rFonts w:hint="eastAsia"/>
                <w:b w:val="0"/>
                <w:bCs/>
              </w:rPr>
              <w:t>6.2.9</w:t>
            </w:r>
          </w:p>
        </w:tc>
        <w:tc>
          <w:tcPr>
            <w:tcW w:w="1098" w:type="pct"/>
            <w:vAlign w:val="center"/>
            <w:hideMark/>
          </w:tcPr>
          <w:p w14:paraId="5D057C60" w14:textId="77777777" w:rsidR="00EB74A4" w:rsidRPr="00EB74A4" w:rsidRDefault="00EB74A4" w:rsidP="00EB74A4">
            <w:pPr>
              <w:pStyle w:val="ae"/>
              <w:rPr>
                <w:b w:val="0"/>
                <w:bCs/>
              </w:rPr>
            </w:pPr>
            <w:r w:rsidRPr="00EB74A4">
              <w:rPr>
                <w:rFonts w:hint="eastAsia"/>
                <w:b w:val="0"/>
                <w:bCs/>
              </w:rPr>
              <w:t>水质监测</w:t>
            </w:r>
          </w:p>
        </w:tc>
        <w:tc>
          <w:tcPr>
            <w:tcW w:w="3455" w:type="pct"/>
            <w:vAlign w:val="center"/>
            <w:hideMark/>
          </w:tcPr>
          <w:p w14:paraId="3681632B" w14:textId="77777777" w:rsidR="00EB74A4" w:rsidRPr="00EB74A4" w:rsidRDefault="00EB74A4" w:rsidP="00EB74A4">
            <w:pPr>
              <w:pStyle w:val="ae"/>
              <w:rPr>
                <w:b w:val="0"/>
                <w:bCs/>
              </w:rPr>
            </w:pPr>
            <w:r w:rsidRPr="00EB74A4">
              <w:rPr>
                <w:rFonts w:hint="eastAsia"/>
                <w:b w:val="0"/>
                <w:bCs/>
              </w:rPr>
              <w:t>设计文件（供水系统远传计量设计图纸、计量点位说明或示意图、水质监测系统设计图纸、监测点位说明或示意图）</w:t>
            </w:r>
          </w:p>
        </w:tc>
      </w:tr>
      <w:tr w:rsidR="00EB74A4" w:rsidRPr="00EB74A4" w14:paraId="6FB932AD" w14:textId="77777777" w:rsidTr="00EB74A4">
        <w:trPr>
          <w:trHeight w:val="552"/>
        </w:trPr>
        <w:tc>
          <w:tcPr>
            <w:tcW w:w="447" w:type="pct"/>
            <w:vAlign w:val="center"/>
            <w:hideMark/>
          </w:tcPr>
          <w:p w14:paraId="7A193B41" w14:textId="77777777" w:rsidR="00EB74A4" w:rsidRPr="00EB74A4" w:rsidRDefault="00EB74A4" w:rsidP="00EB74A4">
            <w:pPr>
              <w:pStyle w:val="ae"/>
              <w:rPr>
                <w:b w:val="0"/>
                <w:bCs/>
              </w:rPr>
            </w:pPr>
            <w:r w:rsidRPr="00EB74A4">
              <w:rPr>
                <w:rFonts w:hint="eastAsia"/>
                <w:b w:val="0"/>
                <w:bCs/>
              </w:rPr>
              <w:t>6.2.10</w:t>
            </w:r>
          </w:p>
        </w:tc>
        <w:tc>
          <w:tcPr>
            <w:tcW w:w="1098" w:type="pct"/>
            <w:vAlign w:val="center"/>
            <w:hideMark/>
          </w:tcPr>
          <w:p w14:paraId="3503332F" w14:textId="77777777" w:rsidR="00EB74A4" w:rsidRPr="00EB74A4" w:rsidRDefault="00EB74A4" w:rsidP="00EB74A4">
            <w:pPr>
              <w:pStyle w:val="ae"/>
              <w:rPr>
                <w:b w:val="0"/>
                <w:bCs/>
              </w:rPr>
            </w:pPr>
            <w:r w:rsidRPr="00EB74A4">
              <w:rPr>
                <w:rFonts w:hint="eastAsia"/>
                <w:b w:val="0"/>
                <w:bCs/>
              </w:rPr>
              <w:t>智能化服务系统</w:t>
            </w:r>
          </w:p>
        </w:tc>
        <w:tc>
          <w:tcPr>
            <w:tcW w:w="3455" w:type="pct"/>
            <w:vAlign w:val="center"/>
            <w:hideMark/>
          </w:tcPr>
          <w:p w14:paraId="56CF749B"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智能家居或环境设备监控系统设计方案、智能化服务平台方案、相关智能化设计图纸、装修图纸</w:t>
            </w:r>
            <w:r w:rsidRPr="00EB74A4">
              <w:rPr>
                <w:rFonts w:hint="eastAsia"/>
                <w:b w:val="0"/>
                <w:bCs/>
              </w:rPr>
              <w:t>)</w:t>
            </w:r>
          </w:p>
        </w:tc>
      </w:tr>
      <w:tr w:rsidR="00EB74A4" w:rsidRPr="00EB74A4" w14:paraId="0E4B6FAE" w14:textId="77777777" w:rsidTr="00EB74A4">
        <w:trPr>
          <w:trHeight w:val="276"/>
        </w:trPr>
        <w:tc>
          <w:tcPr>
            <w:tcW w:w="447" w:type="pct"/>
            <w:vAlign w:val="center"/>
            <w:hideMark/>
          </w:tcPr>
          <w:p w14:paraId="2EDA04EB" w14:textId="77777777" w:rsidR="00EB74A4" w:rsidRPr="00EB74A4" w:rsidRDefault="00EB74A4" w:rsidP="00EB74A4">
            <w:pPr>
              <w:pStyle w:val="ae"/>
              <w:rPr>
                <w:b w:val="0"/>
                <w:bCs/>
              </w:rPr>
            </w:pPr>
            <w:r w:rsidRPr="00EB74A4">
              <w:rPr>
                <w:rFonts w:hint="eastAsia"/>
                <w:b w:val="0"/>
                <w:bCs/>
              </w:rPr>
              <w:t>6.2.11</w:t>
            </w:r>
          </w:p>
        </w:tc>
        <w:tc>
          <w:tcPr>
            <w:tcW w:w="1098" w:type="pct"/>
            <w:vAlign w:val="center"/>
            <w:hideMark/>
          </w:tcPr>
          <w:p w14:paraId="7CFB7EC3" w14:textId="77777777" w:rsidR="00EB74A4" w:rsidRPr="00EB74A4" w:rsidRDefault="00EB74A4" w:rsidP="00EB74A4">
            <w:pPr>
              <w:pStyle w:val="ae"/>
              <w:rPr>
                <w:b w:val="0"/>
                <w:bCs/>
              </w:rPr>
            </w:pPr>
            <w:r w:rsidRPr="00EB74A4">
              <w:rPr>
                <w:rFonts w:hint="eastAsia"/>
                <w:b w:val="0"/>
                <w:bCs/>
              </w:rPr>
              <w:t>节能节水等管理</w:t>
            </w:r>
          </w:p>
        </w:tc>
        <w:tc>
          <w:tcPr>
            <w:tcW w:w="3455" w:type="pct"/>
            <w:vAlign w:val="center"/>
            <w:hideMark/>
          </w:tcPr>
          <w:p w14:paraId="573B0569" w14:textId="77777777" w:rsidR="00EB74A4" w:rsidRPr="00EB74A4" w:rsidRDefault="00EB74A4" w:rsidP="00EB74A4">
            <w:pPr>
              <w:pStyle w:val="ae"/>
              <w:rPr>
                <w:b w:val="0"/>
                <w:bCs/>
              </w:rPr>
            </w:pPr>
            <w:r w:rsidRPr="00EB74A4">
              <w:rPr>
                <w:rFonts w:hint="eastAsia"/>
                <w:b w:val="0"/>
                <w:bCs/>
              </w:rPr>
              <w:t>——</w:t>
            </w:r>
          </w:p>
        </w:tc>
      </w:tr>
      <w:tr w:rsidR="00EB74A4" w:rsidRPr="00EB74A4" w14:paraId="20B73D2F" w14:textId="77777777" w:rsidTr="00EB74A4">
        <w:trPr>
          <w:trHeight w:val="276"/>
        </w:trPr>
        <w:tc>
          <w:tcPr>
            <w:tcW w:w="447" w:type="pct"/>
            <w:vAlign w:val="center"/>
            <w:hideMark/>
          </w:tcPr>
          <w:p w14:paraId="7F081437" w14:textId="77777777" w:rsidR="00EB74A4" w:rsidRPr="00EB74A4" w:rsidRDefault="00EB74A4" w:rsidP="00EB74A4">
            <w:pPr>
              <w:pStyle w:val="ae"/>
              <w:rPr>
                <w:b w:val="0"/>
                <w:bCs/>
              </w:rPr>
            </w:pPr>
            <w:r w:rsidRPr="00EB74A4">
              <w:rPr>
                <w:rFonts w:hint="eastAsia"/>
                <w:b w:val="0"/>
                <w:bCs/>
              </w:rPr>
              <w:t>6.2.12</w:t>
            </w:r>
          </w:p>
        </w:tc>
        <w:tc>
          <w:tcPr>
            <w:tcW w:w="1098" w:type="pct"/>
            <w:vAlign w:val="center"/>
            <w:hideMark/>
          </w:tcPr>
          <w:p w14:paraId="73FC700C" w14:textId="77777777" w:rsidR="00EB74A4" w:rsidRPr="00EB74A4" w:rsidRDefault="00EB74A4" w:rsidP="00EB74A4">
            <w:pPr>
              <w:pStyle w:val="ae"/>
              <w:rPr>
                <w:b w:val="0"/>
                <w:bCs/>
              </w:rPr>
            </w:pPr>
            <w:r w:rsidRPr="00EB74A4">
              <w:rPr>
                <w:rFonts w:hint="eastAsia"/>
                <w:b w:val="0"/>
                <w:bCs/>
              </w:rPr>
              <w:t>平均日用水量</w:t>
            </w:r>
          </w:p>
        </w:tc>
        <w:tc>
          <w:tcPr>
            <w:tcW w:w="3455" w:type="pct"/>
            <w:vAlign w:val="center"/>
            <w:hideMark/>
          </w:tcPr>
          <w:p w14:paraId="3663761E" w14:textId="77777777" w:rsidR="00EB74A4" w:rsidRPr="00EB74A4" w:rsidRDefault="00EB74A4" w:rsidP="00EB74A4">
            <w:pPr>
              <w:pStyle w:val="ae"/>
              <w:rPr>
                <w:b w:val="0"/>
                <w:bCs/>
              </w:rPr>
            </w:pPr>
            <w:r w:rsidRPr="00EB74A4">
              <w:rPr>
                <w:rFonts w:hint="eastAsia"/>
                <w:b w:val="0"/>
                <w:bCs/>
              </w:rPr>
              <w:t>——</w:t>
            </w:r>
          </w:p>
        </w:tc>
      </w:tr>
      <w:tr w:rsidR="00EB74A4" w:rsidRPr="00EB74A4" w14:paraId="351663BC" w14:textId="77777777" w:rsidTr="00EB74A4">
        <w:trPr>
          <w:trHeight w:val="276"/>
        </w:trPr>
        <w:tc>
          <w:tcPr>
            <w:tcW w:w="447" w:type="pct"/>
            <w:vAlign w:val="center"/>
            <w:hideMark/>
          </w:tcPr>
          <w:p w14:paraId="30B2F736" w14:textId="77777777" w:rsidR="00EB74A4" w:rsidRPr="00EB74A4" w:rsidRDefault="00EB74A4" w:rsidP="00EB74A4">
            <w:pPr>
              <w:pStyle w:val="ae"/>
              <w:rPr>
                <w:b w:val="0"/>
                <w:bCs/>
              </w:rPr>
            </w:pPr>
            <w:r w:rsidRPr="00EB74A4">
              <w:rPr>
                <w:rFonts w:hint="eastAsia"/>
                <w:b w:val="0"/>
                <w:bCs/>
              </w:rPr>
              <w:t>6.2.13</w:t>
            </w:r>
          </w:p>
        </w:tc>
        <w:tc>
          <w:tcPr>
            <w:tcW w:w="1098" w:type="pct"/>
            <w:vAlign w:val="center"/>
            <w:hideMark/>
          </w:tcPr>
          <w:p w14:paraId="5CC2A2DD" w14:textId="77777777" w:rsidR="00EB74A4" w:rsidRPr="00EB74A4" w:rsidRDefault="00EB74A4" w:rsidP="00EB74A4">
            <w:pPr>
              <w:pStyle w:val="ae"/>
              <w:rPr>
                <w:b w:val="0"/>
                <w:bCs/>
              </w:rPr>
            </w:pPr>
            <w:r w:rsidRPr="00EB74A4">
              <w:rPr>
                <w:rFonts w:hint="eastAsia"/>
                <w:b w:val="0"/>
                <w:bCs/>
              </w:rPr>
              <w:t>运营效果评估</w:t>
            </w:r>
          </w:p>
        </w:tc>
        <w:tc>
          <w:tcPr>
            <w:tcW w:w="3455" w:type="pct"/>
            <w:vAlign w:val="center"/>
            <w:hideMark/>
          </w:tcPr>
          <w:p w14:paraId="31EEE6BB" w14:textId="77777777" w:rsidR="00EB74A4" w:rsidRPr="00EB74A4" w:rsidRDefault="00EB74A4" w:rsidP="00EB74A4">
            <w:pPr>
              <w:pStyle w:val="ae"/>
              <w:rPr>
                <w:b w:val="0"/>
                <w:bCs/>
              </w:rPr>
            </w:pPr>
            <w:r w:rsidRPr="00EB74A4">
              <w:rPr>
                <w:rFonts w:hint="eastAsia"/>
                <w:b w:val="0"/>
                <w:bCs/>
              </w:rPr>
              <w:t>——</w:t>
            </w:r>
          </w:p>
        </w:tc>
      </w:tr>
      <w:tr w:rsidR="00EB74A4" w:rsidRPr="00EB74A4" w14:paraId="315DDBE7" w14:textId="77777777" w:rsidTr="00EB74A4">
        <w:trPr>
          <w:trHeight w:val="276"/>
        </w:trPr>
        <w:tc>
          <w:tcPr>
            <w:tcW w:w="447" w:type="pct"/>
            <w:vAlign w:val="center"/>
            <w:hideMark/>
          </w:tcPr>
          <w:p w14:paraId="36FCE7EF" w14:textId="77777777" w:rsidR="00EB74A4" w:rsidRPr="00EB74A4" w:rsidRDefault="00EB74A4" w:rsidP="00EB74A4">
            <w:pPr>
              <w:pStyle w:val="ae"/>
              <w:rPr>
                <w:b w:val="0"/>
                <w:bCs/>
              </w:rPr>
            </w:pPr>
            <w:r w:rsidRPr="00EB74A4">
              <w:rPr>
                <w:rFonts w:hint="eastAsia"/>
                <w:b w:val="0"/>
                <w:bCs/>
              </w:rPr>
              <w:t>6.2.14</w:t>
            </w:r>
          </w:p>
        </w:tc>
        <w:tc>
          <w:tcPr>
            <w:tcW w:w="1098" w:type="pct"/>
            <w:vAlign w:val="center"/>
            <w:hideMark/>
          </w:tcPr>
          <w:p w14:paraId="1F5A7DFD" w14:textId="77777777" w:rsidR="00EB74A4" w:rsidRPr="00EB74A4" w:rsidRDefault="00EB74A4" w:rsidP="00EB74A4">
            <w:pPr>
              <w:pStyle w:val="ae"/>
              <w:rPr>
                <w:b w:val="0"/>
                <w:bCs/>
              </w:rPr>
            </w:pPr>
            <w:r w:rsidRPr="00EB74A4">
              <w:rPr>
                <w:rFonts w:hint="eastAsia"/>
                <w:b w:val="0"/>
                <w:bCs/>
              </w:rPr>
              <w:t>绿色教育宣传</w:t>
            </w:r>
          </w:p>
        </w:tc>
        <w:tc>
          <w:tcPr>
            <w:tcW w:w="3455" w:type="pct"/>
            <w:vAlign w:val="center"/>
            <w:hideMark/>
          </w:tcPr>
          <w:p w14:paraId="6DA0154B" w14:textId="77777777" w:rsidR="00EB74A4" w:rsidRPr="00EB74A4" w:rsidRDefault="00EB74A4" w:rsidP="00EB74A4">
            <w:pPr>
              <w:pStyle w:val="ae"/>
              <w:rPr>
                <w:b w:val="0"/>
                <w:bCs/>
              </w:rPr>
            </w:pPr>
            <w:r w:rsidRPr="00EB74A4">
              <w:rPr>
                <w:rFonts w:hint="eastAsia"/>
                <w:b w:val="0"/>
                <w:bCs/>
              </w:rPr>
              <w:t>——</w:t>
            </w:r>
          </w:p>
        </w:tc>
      </w:tr>
      <w:tr w:rsidR="00EB74A4" w:rsidRPr="00EB74A4" w14:paraId="2446E552" w14:textId="77777777" w:rsidTr="00EB74A4">
        <w:trPr>
          <w:trHeight w:val="1104"/>
        </w:trPr>
        <w:tc>
          <w:tcPr>
            <w:tcW w:w="447" w:type="pct"/>
            <w:vAlign w:val="center"/>
            <w:hideMark/>
          </w:tcPr>
          <w:p w14:paraId="78C9F7EB" w14:textId="77777777" w:rsidR="00EB74A4" w:rsidRPr="00EB74A4" w:rsidRDefault="00EB74A4" w:rsidP="00EB74A4">
            <w:pPr>
              <w:pStyle w:val="ae"/>
              <w:rPr>
                <w:b w:val="0"/>
                <w:bCs/>
              </w:rPr>
            </w:pPr>
            <w:r w:rsidRPr="00EB74A4">
              <w:rPr>
                <w:rFonts w:hint="eastAsia"/>
                <w:b w:val="0"/>
                <w:bCs/>
              </w:rPr>
              <w:t>7.1.1</w:t>
            </w:r>
          </w:p>
        </w:tc>
        <w:tc>
          <w:tcPr>
            <w:tcW w:w="1098" w:type="pct"/>
            <w:vAlign w:val="center"/>
            <w:hideMark/>
          </w:tcPr>
          <w:p w14:paraId="7738EBC0" w14:textId="77777777" w:rsidR="00EB74A4" w:rsidRPr="00EB74A4" w:rsidRDefault="00EB74A4" w:rsidP="00EB74A4">
            <w:pPr>
              <w:pStyle w:val="ae"/>
              <w:rPr>
                <w:b w:val="0"/>
                <w:bCs/>
              </w:rPr>
            </w:pPr>
            <w:r w:rsidRPr="00EB74A4">
              <w:rPr>
                <w:rFonts w:hint="eastAsia"/>
                <w:b w:val="0"/>
                <w:bCs/>
              </w:rPr>
              <w:t>结合场地节能设计</w:t>
            </w:r>
          </w:p>
        </w:tc>
        <w:tc>
          <w:tcPr>
            <w:tcW w:w="3455" w:type="pct"/>
            <w:vAlign w:val="center"/>
            <w:hideMark/>
          </w:tcPr>
          <w:p w14:paraId="5DB92ED7" w14:textId="77777777" w:rsidR="00EB74A4" w:rsidRPr="00EB74A4" w:rsidRDefault="00EB74A4" w:rsidP="00EB74A4">
            <w:pPr>
              <w:pStyle w:val="ae"/>
              <w:rPr>
                <w:b w:val="0"/>
                <w:bCs/>
              </w:rPr>
            </w:pPr>
            <w:r w:rsidRPr="00EB74A4">
              <w:rPr>
                <w:rFonts w:hint="eastAsia"/>
                <w:b w:val="0"/>
                <w:bCs/>
              </w:rPr>
              <w:t>设计文件审查报告、相关设计文件</w:t>
            </w:r>
            <w:r w:rsidRPr="00EB74A4">
              <w:rPr>
                <w:rFonts w:hint="eastAsia"/>
                <w:b w:val="0"/>
                <w:bCs/>
              </w:rPr>
              <w:t>(</w:t>
            </w:r>
            <w:r w:rsidRPr="00EB74A4">
              <w:rPr>
                <w:rFonts w:hint="eastAsia"/>
                <w:b w:val="0"/>
                <w:bCs/>
              </w:rPr>
              <w:t>含总图、建筑鸟瞰图、单体效果图、人群视点透视图、平立剖图纸、设计说明</w:t>
            </w:r>
            <w:r w:rsidRPr="00EB74A4">
              <w:rPr>
                <w:rFonts w:hint="eastAsia"/>
                <w:b w:val="0"/>
                <w:bCs/>
              </w:rPr>
              <w:t>)</w:t>
            </w:r>
            <w:r w:rsidRPr="00EB74A4">
              <w:rPr>
                <w:rFonts w:hint="eastAsia"/>
                <w:b w:val="0"/>
                <w:bCs/>
              </w:rPr>
              <w:t>、节能计算书（含室内采光数值分析报告、室内风环境数值分析报告）、建筑日照模拟计算报告、优化设计报告、建筑朝向比例计算书</w:t>
            </w:r>
          </w:p>
        </w:tc>
      </w:tr>
      <w:tr w:rsidR="00EB74A4" w:rsidRPr="00EB74A4" w14:paraId="0619B1EB" w14:textId="77777777" w:rsidTr="00EB74A4">
        <w:trPr>
          <w:trHeight w:val="552"/>
        </w:trPr>
        <w:tc>
          <w:tcPr>
            <w:tcW w:w="447" w:type="pct"/>
            <w:vAlign w:val="center"/>
            <w:hideMark/>
          </w:tcPr>
          <w:p w14:paraId="4ED82DE4" w14:textId="77777777" w:rsidR="00EB74A4" w:rsidRPr="00EB74A4" w:rsidRDefault="00EB74A4" w:rsidP="00EB74A4">
            <w:pPr>
              <w:pStyle w:val="ae"/>
              <w:rPr>
                <w:b w:val="0"/>
                <w:bCs/>
              </w:rPr>
            </w:pPr>
            <w:r w:rsidRPr="00EB74A4">
              <w:rPr>
                <w:rFonts w:hint="eastAsia"/>
                <w:b w:val="0"/>
                <w:bCs/>
              </w:rPr>
              <w:lastRenderedPageBreak/>
              <w:t>7.1.2</w:t>
            </w:r>
          </w:p>
        </w:tc>
        <w:tc>
          <w:tcPr>
            <w:tcW w:w="1098" w:type="pct"/>
            <w:vAlign w:val="center"/>
            <w:hideMark/>
          </w:tcPr>
          <w:p w14:paraId="56655905" w14:textId="77777777" w:rsidR="00EB74A4" w:rsidRPr="00EB74A4" w:rsidRDefault="00EB74A4" w:rsidP="00EB74A4">
            <w:pPr>
              <w:pStyle w:val="ae"/>
              <w:rPr>
                <w:b w:val="0"/>
                <w:bCs/>
              </w:rPr>
            </w:pPr>
            <w:r w:rsidRPr="00EB74A4">
              <w:rPr>
                <w:rFonts w:hint="eastAsia"/>
                <w:b w:val="0"/>
                <w:bCs/>
              </w:rPr>
              <w:t>降低空调系统能耗</w:t>
            </w:r>
          </w:p>
        </w:tc>
        <w:tc>
          <w:tcPr>
            <w:tcW w:w="3455" w:type="pct"/>
            <w:vAlign w:val="center"/>
            <w:hideMark/>
          </w:tcPr>
          <w:p w14:paraId="091502D1"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含暖通专业施工图纸及设计说明，控制策略、部分负荷性能系数</w:t>
            </w:r>
            <w:r w:rsidRPr="00EB74A4">
              <w:rPr>
                <w:rFonts w:hint="eastAsia"/>
                <w:b w:val="0"/>
                <w:bCs/>
              </w:rPr>
              <w:t>(IPLV)</w:t>
            </w:r>
            <w:r w:rsidRPr="00EB74A4">
              <w:rPr>
                <w:rFonts w:hint="eastAsia"/>
                <w:b w:val="0"/>
                <w:bCs/>
              </w:rPr>
              <w:t>计算说明、电冷源综合制冷性能系数</w:t>
            </w:r>
            <w:r w:rsidRPr="00EB74A4">
              <w:rPr>
                <w:rFonts w:hint="eastAsia"/>
                <w:b w:val="0"/>
                <w:bCs/>
              </w:rPr>
              <w:t>(SCOP)</w:t>
            </w:r>
            <w:r w:rsidRPr="00EB74A4">
              <w:rPr>
                <w:rFonts w:hint="eastAsia"/>
                <w:b w:val="0"/>
                <w:bCs/>
              </w:rPr>
              <w:t>计算说明</w:t>
            </w:r>
            <w:r w:rsidRPr="00EB74A4">
              <w:rPr>
                <w:rFonts w:hint="eastAsia"/>
                <w:b w:val="0"/>
                <w:bCs/>
              </w:rPr>
              <w:t>)</w:t>
            </w:r>
            <w:r w:rsidRPr="00EB74A4">
              <w:rPr>
                <w:rFonts w:hint="eastAsia"/>
                <w:b w:val="0"/>
                <w:bCs/>
              </w:rPr>
              <w:t>；</w:t>
            </w:r>
          </w:p>
        </w:tc>
      </w:tr>
      <w:tr w:rsidR="00EB74A4" w:rsidRPr="00EB74A4" w14:paraId="16A4945F" w14:textId="77777777" w:rsidTr="00EB74A4">
        <w:trPr>
          <w:trHeight w:val="276"/>
        </w:trPr>
        <w:tc>
          <w:tcPr>
            <w:tcW w:w="447" w:type="pct"/>
            <w:vAlign w:val="center"/>
            <w:hideMark/>
          </w:tcPr>
          <w:p w14:paraId="22CB3B5F" w14:textId="77777777" w:rsidR="00EB74A4" w:rsidRPr="00EB74A4" w:rsidRDefault="00EB74A4" w:rsidP="00EB74A4">
            <w:pPr>
              <w:pStyle w:val="ae"/>
              <w:rPr>
                <w:b w:val="0"/>
                <w:bCs/>
              </w:rPr>
            </w:pPr>
            <w:r w:rsidRPr="00EB74A4">
              <w:rPr>
                <w:rFonts w:hint="eastAsia"/>
                <w:b w:val="0"/>
                <w:bCs/>
              </w:rPr>
              <w:t>7.1.3</w:t>
            </w:r>
          </w:p>
        </w:tc>
        <w:tc>
          <w:tcPr>
            <w:tcW w:w="1098" w:type="pct"/>
            <w:vAlign w:val="center"/>
            <w:hideMark/>
          </w:tcPr>
          <w:p w14:paraId="69B16B6C" w14:textId="77777777" w:rsidR="00EB74A4" w:rsidRPr="00EB74A4" w:rsidRDefault="00EB74A4" w:rsidP="00EB74A4">
            <w:pPr>
              <w:pStyle w:val="ae"/>
              <w:rPr>
                <w:b w:val="0"/>
                <w:bCs/>
              </w:rPr>
            </w:pPr>
            <w:r w:rsidRPr="00EB74A4">
              <w:rPr>
                <w:rFonts w:hint="eastAsia"/>
                <w:b w:val="0"/>
                <w:bCs/>
              </w:rPr>
              <w:t>设置分区温度</w:t>
            </w:r>
          </w:p>
        </w:tc>
        <w:tc>
          <w:tcPr>
            <w:tcW w:w="3455" w:type="pct"/>
            <w:vAlign w:val="center"/>
            <w:hideMark/>
          </w:tcPr>
          <w:p w14:paraId="56730C1D" w14:textId="77777777" w:rsidR="00EB74A4" w:rsidRPr="00EB74A4" w:rsidRDefault="00EB74A4" w:rsidP="00EB74A4">
            <w:pPr>
              <w:pStyle w:val="ae"/>
              <w:rPr>
                <w:b w:val="0"/>
                <w:bCs/>
              </w:rPr>
            </w:pPr>
            <w:r w:rsidRPr="00EB74A4">
              <w:rPr>
                <w:rFonts w:hint="eastAsia"/>
                <w:b w:val="0"/>
                <w:bCs/>
              </w:rPr>
              <w:t>相关设计文件（建筑平面分区布置和室内过渡区空间的温度设定值）</w:t>
            </w:r>
          </w:p>
        </w:tc>
      </w:tr>
      <w:tr w:rsidR="00EB74A4" w:rsidRPr="00EB74A4" w14:paraId="60387897" w14:textId="77777777" w:rsidTr="00EB74A4">
        <w:trPr>
          <w:trHeight w:val="828"/>
        </w:trPr>
        <w:tc>
          <w:tcPr>
            <w:tcW w:w="447" w:type="pct"/>
            <w:vAlign w:val="center"/>
            <w:hideMark/>
          </w:tcPr>
          <w:p w14:paraId="42DCC033" w14:textId="77777777" w:rsidR="00EB74A4" w:rsidRPr="00EB74A4" w:rsidRDefault="00EB74A4" w:rsidP="00EB74A4">
            <w:pPr>
              <w:pStyle w:val="ae"/>
              <w:rPr>
                <w:b w:val="0"/>
                <w:bCs/>
              </w:rPr>
            </w:pPr>
            <w:r w:rsidRPr="00EB74A4">
              <w:rPr>
                <w:rFonts w:hint="eastAsia"/>
                <w:b w:val="0"/>
                <w:bCs/>
              </w:rPr>
              <w:t>7.1.4</w:t>
            </w:r>
          </w:p>
        </w:tc>
        <w:tc>
          <w:tcPr>
            <w:tcW w:w="1098" w:type="pct"/>
            <w:vAlign w:val="center"/>
            <w:hideMark/>
          </w:tcPr>
          <w:p w14:paraId="29C64D81" w14:textId="77777777" w:rsidR="00EB74A4" w:rsidRPr="00EB74A4" w:rsidRDefault="00EB74A4" w:rsidP="00EB74A4">
            <w:pPr>
              <w:pStyle w:val="ae"/>
              <w:rPr>
                <w:b w:val="0"/>
                <w:bCs/>
              </w:rPr>
            </w:pPr>
            <w:r w:rsidRPr="00EB74A4">
              <w:rPr>
                <w:rFonts w:hint="eastAsia"/>
                <w:b w:val="0"/>
                <w:bCs/>
              </w:rPr>
              <w:t>照明系统</w:t>
            </w:r>
          </w:p>
        </w:tc>
        <w:tc>
          <w:tcPr>
            <w:tcW w:w="3455" w:type="pct"/>
            <w:vAlign w:val="center"/>
            <w:hideMark/>
          </w:tcPr>
          <w:p w14:paraId="379813B3"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包含电气照明系统图、电气照明平面施工图</w:t>
            </w:r>
            <w:r w:rsidRPr="00EB74A4">
              <w:rPr>
                <w:rFonts w:hint="eastAsia"/>
                <w:b w:val="0"/>
                <w:bCs/>
              </w:rPr>
              <w:t>)</w:t>
            </w:r>
            <w:r w:rsidRPr="00EB74A4">
              <w:rPr>
                <w:rFonts w:hint="eastAsia"/>
                <w:b w:val="0"/>
                <w:bCs/>
              </w:rPr>
              <w:t>、设计说明</w:t>
            </w:r>
            <w:r w:rsidRPr="00EB74A4">
              <w:rPr>
                <w:rFonts w:hint="eastAsia"/>
                <w:b w:val="0"/>
                <w:bCs/>
              </w:rPr>
              <w:t>(</w:t>
            </w:r>
            <w:r w:rsidRPr="00EB74A4">
              <w:rPr>
                <w:rFonts w:hint="eastAsia"/>
                <w:b w:val="0"/>
                <w:bCs/>
              </w:rPr>
              <w:t>需包含照明设计要求、照明设计标准、照明控制措施等</w:t>
            </w:r>
            <w:r w:rsidRPr="00EB74A4">
              <w:rPr>
                <w:rFonts w:hint="eastAsia"/>
                <w:b w:val="0"/>
                <w:bCs/>
              </w:rPr>
              <w:t>)</w:t>
            </w:r>
            <w:r w:rsidRPr="00EB74A4">
              <w:rPr>
                <w:rFonts w:hint="eastAsia"/>
                <w:b w:val="0"/>
                <w:bCs/>
              </w:rPr>
              <w:t>、建筑照明功率密度计算分析报告；</w:t>
            </w:r>
          </w:p>
        </w:tc>
      </w:tr>
      <w:tr w:rsidR="00EB74A4" w:rsidRPr="00EB74A4" w14:paraId="4013FE7F" w14:textId="77777777" w:rsidTr="00EB74A4">
        <w:trPr>
          <w:trHeight w:val="276"/>
        </w:trPr>
        <w:tc>
          <w:tcPr>
            <w:tcW w:w="447" w:type="pct"/>
            <w:vAlign w:val="center"/>
            <w:hideMark/>
          </w:tcPr>
          <w:p w14:paraId="71772C64" w14:textId="77777777" w:rsidR="00EB74A4" w:rsidRPr="00EB74A4" w:rsidRDefault="00EB74A4" w:rsidP="00EB74A4">
            <w:pPr>
              <w:pStyle w:val="ae"/>
              <w:rPr>
                <w:b w:val="0"/>
                <w:bCs/>
              </w:rPr>
            </w:pPr>
            <w:r w:rsidRPr="00EB74A4">
              <w:rPr>
                <w:rFonts w:hint="eastAsia"/>
                <w:b w:val="0"/>
                <w:bCs/>
              </w:rPr>
              <w:t>7.1.5</w:t>
            </w:r>
          </w:p>
        </w:tc>
        <w:tc>
          <w:tcPr>
            <w:tcW w:w="1098" w:type="pct"/>
            <w:vAlign w:val="center"/>
            <w:hideMark/>
          </w:tcPr>
          <w:p w14:paraId="03EEFBFB" w14:textId="77777777" w:rsidR="00EB74A4" w:rsidRPr="00EB74A4" w:rsidRDefault="00EB74A4" w:rsidP="00EB74A4">
            <w:pPr>
              <w:pStyle w:val="ae"/>
              <w:rPr>
                <w:b w:val="0"/>
                <w:bCs/>
              </w:rPr>
            </w:pPr>
            <w:r w:rsidRPr="00EB74A4">
              <w:rPr>
                <w:rFonts w:hint="eastAsia"/>
                <w:b w:val="0"/>
                <w:bCs/>
              </w:rPr>
              <w:t>独立分项计量</w:t>
            </w:r>
          </w:p>
        </w:tc>
        <w:tc>
          <w:tcPr>
            <w:tcW w:w="3455" w:type="pct"/>
            <w:vAlign w:val="center"/>
            <w:hideMark/>
          </w:tcPr>
          <w:p w14:paraId="02458535"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暖通、给排水、电气专业设计图</w:t>
            </w:r>
            <w:r w:rsidRPr="00EB74A4">
              <w:rPr>
                <w:rFonts w:hint="eastAsia"/>
                <w:b w:val="0"/>
                <w:bCs/>
              </w:rPr>
              <w:t>)</w:t>
            </w:r>
            <w:r w:rsidRPr="00EB74A4">
              <w:rPr>
                <w:rFonts w:hint="eastAsia"/>
                <w:b w:val="0"/>
                <w:bCs/>
              </w:rPr>
              <w:t>；</w:t>
            </w:r>
          </w:p>
        </w:tc>
      </w:tr>
      <w:tr w:rsidR="00EB74A4" w:rsidRPr="00EB74A4" w14:paraId="5B5193F8" w14:textId="77777777" w:rsidTr="00EB74A4">
        <w:trPr>
          <w:trHeight w:val="276"/>
        </w:trPr>
        <w:tc>
          <w:tcPr>
            <w:tcW w:w="447" w:type="pct"/>
            <w:vAlign w:val="center"/>
            <w:hideMark/>
          </w:tcPr>
          <w:p w14:paraId="5A17297A" w14:textId="77777777" w:rsidR="00EB74A4" w:rsidRPr="00EB74A4" w:rsidRDefault="00EB74A4" w:rsidP="00EB74A4">
            <w:pPr>
              <w:pStyle w:val="ae"/>
              <w:rPr>
                <w:b w:val="0"/>
                <w:bCs/>
              </w:rPr>
            </w:pPr>
            <w:r w:rsidRPr="00EB74A4">
              <w:rPr>
                <w:rFonts w:hint="eastAsia"/>
                <w:b w:val="0"/>
                <w:bCs/>
              </w:rPr>
              <w:t>7.1.6</w:t>
            </w:r>
          </w:p>
        </w:tc>
        <w:tc>
          <w:tcPr>
            <w:tcW w:w="1098" w:type="pct"/>
            <w:vAlign w:val="center"/>
            <w:hideMark/>
          </w:tcPr>
          <w:p w14:paraId="459F07E9" w14:textId="77777777" w:rsidR="00EB74A4" w:rsidRPr="00EB74A4" w:rsidRDefault="00EB74A4" w:rsidP="00EB74A4">
            <w:pPr>
              <w:pStyle w:val="ae"/>
              <w:rPr>
                <w:b w:val="0"/>
                <w:bCs/>
              </w:rPr>
            </w:pPr>
            <w:r w:rsidRPr="00EB74A4">
              <w:rPr>
                <w:rFonts w:hint="eastAsia"/>
                <w:b w:val="0"/>
                <w:bCs/>
              </w:rPr>
              <w:t>电梯节能</w:t>
            </w:r>
          </w:p>
        </w:tc>
        <w:tc>
          <w:tcPr>
            <w:tcW w:w="3455" w:type="pct"/>
            <w:vAlign w:val="center"/>
            <w:hideMark/>
          </w:tcPr>
          <w:p w14:paraId="00FF4047" w14:textId="77777777" w:rsidR="00EB74A4" w:rsidRPr="00EB74A4" w:rsidRDefault="00EB74A4" w:rsidP="00EB74A4">
            <w:pPr>
              <w:pStyle w:val="ae"/>
              <w:rPr>
                <w:b w:val="0"/>
                <w:bCs/>
              </w:rPr>
            </w:pPr>
            <w:r w:rsidRPr="00EB74A4">
              <w:rPr>
                <w:rFonts w:hint="eastAsia"/>
                <w:b w:val="0"/>
                <w:bCs/>
              </w:rPr>
              <w:t>相关设计文件、电梯与自动扶梯人流平衡计算分析报告；</w:t>
            </w:r>
          </w:p>
        </w:tc>
      </w:tr>
      <w:tr w:rsidR="00EB74A4" w:rsidRPr="00EB74A4" w14:paraId="495DD611" w14:textId="77777777" w:rsidTr="00EB74A4">
        <w:trPr>
          <w:trHeight w:val="552"/>
        </w:trPr>
        <w:tc>
          <w:tcPr>
            <w:tcW w:w="447" w:type="pct"/>
            <w:vAlign w:val="center"/>
            <w:hideMark/>
          </w:tcPr>
          <w:p w14:paraId="63A6896E" w14:textId="77777777" w:rsidR="00EB74A4" w:rsidRPr="00EB74A4" w:rsidRDefault="00EB74A4" w:rsidP="00EB74A4">
            <w:pPr>
              <w:pStyle w:val="ae"/>
              <w:rPr>
                <w:b w:val="0"/>
                <w:bCs/>
              </w:rPr>
            </w:pPr>
            <w:r w:rsidRPr="00EB74A4">
              <w:rPr>
                <w:rFonts w:hint="eastAsia"/>
                <w:b w:val="0"/>
                <w:bCs/>
              </w:rPr>
              <w:t>7.1.7</w:t>
            </w:r>
          </w:p>
        </w:tc>
        <w:tc>
          <w:tcPr>
            <w:tcW w:w="1098" w:type="pct"/>
            <w:vAlign w:val="center"/>
            <w:hideMark/>
          </w:tcPr>
          <w:p w14:paraId="06F31B54" w14:textId="77777777" w:rsidR="00EB74A4" w:rsidRPr="00EB74A4" w:rsidRDefault="00EB74A4" w:rsidP="00EB74A4">
            <w:pPr>
              <w:pStyle w:val="ae"/>
              <w:rPr>
                <w:b w:val="0"/>
                <w:bCs/>
              </w:rPr>
            </w:pPr>
            <w:r w:rsidRPr="00EB74A4">
              <w:rPr>
                <w:rFonts w:hint="eastAsia"/>
                <w:b w:val="0"/>
                <w:bCs/>
              </w:rPr>
              <w:t>水资源利用方案</w:t>
            </w:r>
          </w:p>
        </w:tc>
        <w:tc>
          <w:tcPr>
            <w:tcW w:w="3455" w:type="pct"/>
            <w:vAlign w:val="center"/>
            <w:hideMark/>
          </w:tcPr>
          <w:p w14:paraId="376C1B3D"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含水表分级设置示意图、各层用水点用水压力计算图表、用水器具节水性能要求、水资源利用方案的落实说明）；</w:t>
            </w:r>
          </w:p>
        </w:tc>
      </w:tr>
      <w:tr w:rsidR="00EB74A4" w:rsidRPr="00EB74A4" w14:paraId="0569775A" w14:textId="77777777" w:rsidTr="00EB74A4">
        <w:trPr>
          <w:trHeight w:val="276"/>
        </w:trPr>
        <w:tc>
          <w:tcPr>
            <w:tcW w:w="447" w:type="pct"/>
            <w:vAlign w:val="center"/>
            <w:hideMark/>
          </w:tcPr>
          <w:p w14:paraId="2FEA1B06" w14:textId="77777777" w:rsidR="00EB74A4" w:rsidRPr="00EB74A4" w:rsidRDefault="00EB74A4" w:rsidP="00EB74A4">
            <w:pPr>
              <w:pStyle w:val="ae"/>
              <w:rPr>
                <w:b w:val="0"/>
                <w:bCs/>
              </w:rPr>
            </w:pPr>
            <w:r w:rsidRPr="00EB74A4">
              <w:rPr>
                <w:rFonts w:hint="eastAsia"/>
                <w:b w:val="0"/>
                <w:bCs/>
              </w:rPr>
              <w:t>7.1.8</w:t>
            </w:r>
          </w:p>
        </w:tc>
        <w:tc>
          <w:tcPr>
            <w:tcW w:w="1098" w:type="pct"/>
            <w:vAlign w:val="center"/>
            <w:hideMark/>
          </w:tcPr>
          <w:p w14:paraId="431B8EA5" w14:textId="77777777" w:rsidR="00EB74A4" w:rsidRPr="00EB74A4" w:rsidRDefault="00EB74A4" w:rsidP="00EB74A4">
            <w:pPr>
              <w:pStyle w:val="ae"/>
              <w:rPr>
                <w:b w:val="0"/>
                <w:bCs/>
              </w:rPr>
            </w:pPr>
            <w:r w:rsidRPr="00EB74A4">
              <w:rPr>
                <w:rFonts w:hint="eastAsia"/>
                <w:b w:val="0"/>
                <w:bCs/>
              </w:rPr>
              <w:t>建筑结构规则</w:t>
            </w:r>
          </w:p>
        </w:tc>
        <w:tc>
          <w:tcPr>
            <w:tcW w:w="3455" w:type="pct"/>
            <w:vAlign w:val="center"/>
            <w:hideMark/>
          </w:tcPr>
          <w:p w14:paraId="133C2523"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建筑图、结构施工图</w:t>
            </w:r>
            <w:r w:rsidRPr="00EB74A4">
              <w:rPr>
                <w:rFonts w:hint="eastAsia"/>
                <w:b w:val="0"/>
                <w:bCs/>
              </w:rPr>
              <w:t>)</w:t>
            </w:r>
            <w:r w:rsidRPr="00EB74A4">
              <w:rPr>
                <w:rFonts w:hint="eastAsia"/>
                <w:b w:val="0"/>
                <w:bCs/>
              </w:rPr>
              <w:t>、建筑形体规则性判定报告；</w:t>
            </w:r>
          </w:p>
        </w:tc>
      </w:tr>
      <w:tr w:rsidR="00EB74A4" w:rsidRPr="00EB74A4" w14:paraId="7FE94EF5" w14:textId="77777777" w:rsidTr="00EB74A4">
        <w:trPr>
          <w:trHeight w:val="552"/>
        </w:trPr>
        <w:tc>
          <w:tcPr>
            <w:tcW w:w="447" w:type="pct"/>
            <w:vAlign w:val="center"/>
            <w:hideMark/>
          </w:tcPr>
          <w:p w14:paraId="3A145DAF" w14:textId="77777777" w:rsidR="00EB74A4" w:rsidRPr="00EB74A4" w:rsidRDefault="00EB74A4" w:rsidP="00EB74A4">
            <w:pPr>
              <w:pStyle w:val="ae"/>
              <w:rPr>
                <w:b w:val="0"/>
                <w:bCs/>
              </w:rPr>
            </w:pPr>
            <w:r w:rsidRPr="00EB74A4">
              <w:rPr>
                <w:rFonts w:hint="eastAsia"/>
                <w:b w:val="0"/>
                <w:bCs/>
              </w:rPr>
              <w:t>7.1.9</w:t>
            </w:r>
          </w:p>
        </w:tc>
        <w:tc>
          <w:tcPr>
            <w:tcW w:w="1098" w:type="pct"/>
            <w:vAlign w:val="center"/>
            <w:hideMark/>
          </w:tcPr>
          <w:p w14:paraId="3A5ADFEF" w14:textId="77777777" w:rsidR="00EB74A4" w:rsidRPr="00EB74A4" w:rsidRDefault="00EB74A4" w:rsidP="00EB74A4">
            <w:pPr>
              <w:pStyle w:val="ae"/>
              <w:rPr>
                <w:b w:val="0"/>
                <w:bCs/>
              </w:rPr>
            </w:pPr>
            <w:r w:rsidRPr="00EB74A4">
              <w:rPr>
                <w:rFonts w:hint="eastAsia"/>
                <w:b w:val="0"/>
                <w:bCs/>
              </w:rPr>
              <w:t>建筑造型</w:t>
            </w:r>
          </w:p>
        </w:tc>
        <w:tc>
          <w:tcPr>
            <w:tcW w:w="3455" w:type="pct"/>
            <w:vAlign w:val="center"/>
            <w:hideMark/>
          </w:tcPr>
          <w:p w14:paraId="4B4DBA1A" w14:textId="77777777" w:rsidR="00EB74A4" w:rsidRPr="00EB74A4" w:rsidRDefault="00EB74A4" w:rsidP="00EB74A4">
            <w:pPr>
              <w:pStyle w:val="ae"/>
              <w:rPr>
                <w:b w:val="0"/>
                <w:bCs/>
              </w:rPr>
            </w:pPr>
            <w:r w:rsidRPr="00EB74A4">
              <w:rPr>
                <w:rFonts w:hint="eastAsia"/>
                <w:b w:val="0"/>
                <w:bCs/>
              </w:rPr>
              <w:t>相关设计文件（女儿墙高度等），有装饰性构件的应提供其功能说明书和造价计算书，</w:t>
            </w:r>
          </w:p>
        </w:tc>
      </w:tr>
      <w:tr w:rsidR="00EB74A4" w:rsidRPr="00EB74A4" w14:paraId="33F05FC0" w14:textId="77777777" w:rsidTr="00EB74A4">
        <w:trPr>
          <w:trHeight w:val="276"/>
        </w:trPr>
        <w:tc>
          <w:tcPr>
            <w:tcW w:w="447" w:type="pct"/>
            <w:vAlign w:val="center"/>
            <w:hideMark/>
          </w:tcPr>
          <w:p w14:paraId="34871334" w14:textId="77777777" w:rsidR="00EB74A4" w:rsidRPr="00EB74A4" w:rsidRDefault="00EB74A4" w:rsidP="00EB74A4">
            <w:pPr>
              <w:pStyle w:val="ae"/>
              <w:rPr>
                <w:b w:val="0"/>
                <w:bCs/>
              </w:rPr>
            </w:pPr>
            <w:r w:rsidRPr="00EB74A4">
              <w:rPr>
                <w:rFonts w:hint="eastAsia"/>
                <w:b w:val="0"/>
                <w:bCs/>
              </w:rPr>
              <w:t>7.1.10</w:t>
            </w:r>
          </w:p>
        </w:tc>
        <w:tc>
          <w:tcPr>
            <w:tcW w:w="1098" w:type="pct"/>
            <w:vAlign w:val="center"/>
            <w:hideMark/>
          </w:tcPr>
          <w:p w14:paraId="3CF871A8" w14:textId="77777777" w:rsidR="00EB74A4" w:rsidRPr="00EB74A4" w:rsidRDefault="00EB74A4" w:rsidP="00EB74A4">
            <w:pPr>
              <w:pStyle w:val="ae"/>
              <w:rPr>
                <w:b w:val="0"/>
                <w:bCs/>
              </w:rPr>
            </w:pPr>
            <w:r w:rsidRPr="00EB74A4">
              <w:rPr>
                <w:rFonts w:hint="eastAsia"/>
                <w:b w:val="0"/>
                <w:bCs/>
              </w:rPr>
              <w:t>建筑材料</w:t>
            </w:r>
          </w:p>
        </w:tc>
        <w:tc>
          <w:tcPr>
            <w:tcW w:w="3455" w:type="pct"/>
            <w:vAlign w:val="center"/>
            <w:hideMark/>
          </w:tcPr>
          <w:p w14:paraId="222D039D" w14:textId="77777777" w:rsidR="00EB74A4" w:rsidRPr="00EB74A4" w:rsidRDefault="00EB74A4" w:rsidP="00EB74A4">
            <w:pPr>
              <w:pStyle w:val="ae"/>
              <w:rPr>
                <w:b w:val="0"/>
                <w:bCs/>
              </w:rPr>
            </w:pPr>
            <w:r w:rsidRPr="00EB74A4">
              <w:rPr>
                <w:rFonts w:hint="eastAsia"/>
                <w:b w:val="0"/>
                <w:bCs/>
              </w:rPr>
              <w:t>结构施工图及设计说明、工程材料预算清单；</w:t>
            </w:r>
          </w:p>
        </w:tc>
      </w:tr>
      <w:tr w:rsidR="00EB74A4" w:rsidRPr="00EB74A4" w14:paraId="5D9267C1" w14:textId="77777777" w:rsidTr="00EB74A4">
        <w:trPr>
          <w:trHeight w:val="276"/>
        </w:trPr>
        <w:tc>
          <w:tcPr>
            <w:tcW w:w="447" w:type="pct"/>
            <w:vAlign w:val="center"/>
            <w:hideMark/>
          </w:tcPr>
          <w:p w14:paraId="279607B1" w14:textId="77777777" w:rsidR="00EB74A4" w:rsidRPr="00EB74A4" w:rsidRDefault="00EB74A4" w:rsidP="00EB74A4">
            <w:pPr>
              <w:pStyle w:val="ae"/>
              <w:rPr>
                <w:b w:val="0"/>
                <w:bCs/>
              </w:rPr>
            </w:pPr>
            <w:r w:rsidRPr="00EB74A4">
              <w:rPr>
                <w:rFonts w:hint="eastAsia"/>
                <w:b w:val="0"/>
                <w:bCs/>
              </w:rPr>
              <w:t>7.1.11</w:t>
            </w:r>
          </w:p>
        </w:tc>
        <w:tc>
          <w:tcPr>
            <w:tcW w:w="1098" w:type="pct"/>
            <w:vAlign w:val="center"/>
            <w:hideMark/>
          </w:tcPr>
          <w:p w14:paraId="41B1DAF5" w14:textId="77777777" w:rsidR="00EB74A4" w:rsidRPr="00EB74A4" w:rsidRDefault="00EB74A4" w:rsidP="00EB74A4">
            <w:pPr>
              <w:pStyle w:val="ae"/>
              <w:rPr>
                <w:b w:val="0"/>
                <w:bCs/>
              </w:rPr>
            </w:pPr>
            <w:r w:rsidRPr="00EB74A4">
              <w:rPr>
                <w:rFonts w:hint="eastAsia"/>
                <w:b w:val="0"/>
                <w:bCs/>
              </w:rPr>
              <w:t>建筑产业化技术</w:t>
            </w:r>
          </w:p>
        </w:tc>
        <w:tc>
          <w:tcPr>
            <w:tcW w:w="3455" w:type="pct"/>
            <w:vAlign w:val="center"/>
            <w:hideMark/>
          </w:tcPr>
          <w:p w14:paraId="5F29B1AF" w14:textId="77777777" w:rsidR="00EB74A4" w:rsidRPr="00EB74A4" w:rsidRDefault="00EB74A4" w:rsidP="00EB74A4">
            <w:pPr>
              <w:pStyle w:val="ae"/>
              <w:rPr>
                <w:b w:val="0"/>
                <w:bCs/>
              </w:rPr>
            </w:pPr>
            <w:r w:rsidRPr="00EB74A4">
              <w:rPr>
                <w:rFonts w:hint="eastAsia"/>
                <w:b w:val="0"/>
                <w:bCs/>
              </w:rPr>
              <w:t>设计图、与建筑设计相吻合的相关应用量的计算证明性材料；</w:t>
            </w:r>
          </w:p>
        </w:tc>
      </w:tr>
      <w:tr w:rsidR="00EB74A4" w:rsidRPr="00EB74A4" w14:paraId="25721D67" w14:textId="77777777" w:rsidTr="00EB74A4">
        <w:trPr>
          <w:trHeight w:val="1104"/>
        </w:trPr>
        <w:tc>
          <w:tcPr>
            <w:tcW w:w="447" w:type="pct"/>
            <w:vAlign w:val="center"/>
            <w:hideMark/>
          </w:tcPr>
          <w:p w14:paraId="54A34781" w14:textId="77777777" w:rsidR="00EB74A4" w:rsidRPr="00EB74A4" w:rsidRDefault="00EB74A4" w:rsidP="00EB74A4">
            <w:pPr>
              <w:pStyle w:val="ae"/>
              <w:rPr>
                <w:b w:val="0"/>
                <w:bCs/>
              </w:rPr>
            </w:pPr>
            <w:r w:rsidRPr="00EB74A4">
              <w:rPr>
                <w:rFonts w:hint="eastAsia"/>
                <w:b w:val="0"/>
                <w:bCs/>
              </w:rPr>
              <w:t>7.2.1</w:t>
            </w:r>
          </w:p>
        </w:tc>
        <w:tc>
          <w:tcPr>
            <w:tcW w:w="1098" w:type="pct"/>
            <w:vAlign w:val="center"/>
            <w:hideMark/>
          </w:tcPr>
          <w:p w14:paraId="16FB0B63" w14:textId="77777777" w:rsidR="00EB74A4" w:rsidRPr="00EB74A4" w:rsidRDefault="00EB74A4" w:rsidP="00EB74A4">
            <w:pPr>
              <w:pStyle w:val="ae"/>
              <w:rPr>
                <w:b w:val="0"/>
                <w:bCs/>
              </w:rPr>
            </w:pPr>
            <w:r w:rsidRPr="00EB74A4">
              <w:rPr>
                <w:rFonts w:hint="eastAsia"/>
                <w:b w:val="0"/>
                <w:bCs/>
              </w:rPr>
              <w:t>节约土地</w:t>
            </w:r>
          </w:p>
        </w:tc>
        <w:tc>
          <w:tcPr>
            <w:tcW w:w="3455" w:type="pct"/>
            <w:vAlign w:val="center"/>
            <w:hideMark/>
          </w:tcPr>
          <w:p w14:paraId="37F0A18B" w14:textId="77777777" w:rsidR="00EB74A4" w:rsidRPr="00EB74A4" w:rsidRDefault="00EB74A4" w:rsidP="00EB74A4">
            <w:pPr>
              <w:pStyle w:val="ae"/>
              <w:rPr>
                <w:b w:val="0"/>
                <w:bCs/>
              </w:rPr>
            </w:pPr>
            <w:r w:rsidRPr="00EB74A4">
              <w:rPr>
                <w:rFonts w:hint="eastAsia"/>
                <w:b w:val="0"/>
                <w:bCs/>
              </w:rPr>
              <w:t>规划许可的设计条件、相关设计文件、计算书、相关施工图；（居住：设计图中包含住区总用地面积、总户数、总人口等、人均居住用地控制指标计算书。</w:t>
            </w:r>
            <w:r w:rsidRPr="00EB74A4">
              <w:rPr>
                <w:rFonts w:hint="eastAsia"/>
                <w:b w:val="0"/>
                <w:bCs/>
              </w:rPr>
              <w:br/>
            </w:r>
            <w:r w:rsidRPr="00EB74A4">
              <w:rPr>
                <w:rFonts w:hint="eastAsia"/>
                <w:b w:val="0"/>
                <w:bCs/>
              </w:rPr>
              <w:t>公共建筑：设计文件应包含总用地面积、地上总建筑面积、容积率等、容积率指标计算书。）</w:t>
            </w:r>
          </w:p>
        </w:tc>
      </w:tr>
      <w:tr w:rsidR="00EB74A4" w:rsidRPr="00EB74A4" w14:paraId="76DCCF46" w14:textId="77777777" w:rsidTr="00EB74A4">
        <w:trPr>
          <w:trHeight w:val="828"/>
        </w:trPr>
        <w:tc>
          <w:tcPr>
            <w:tcW w:w="447" w:type="pct"/>
            <w:vAlign w:val="center"/>
            <w:hideMark/>
          </w:tcPr>
          <w:p w14:paraId="25DEABF8" w14:textId="77777777" w:rsidR="00EB74A4" w:rsidRPr="00EB74A4" w:rsidRDefault="00EB74A4" w:rsidP="00EB74A4">
            <w:pPr>
              <w:pStyle w:val="ae"/>
              <w:rPr>
                <w:b w:val="0"/>
                <w:bCs/>
              </w:rPr>
            </w:pPr>
            <w:r w:rsidRPr="00EB74A4">
              <w:rPr>
                <w:rFonts w:hint="eastAsia"/>
                <w:b w:val="0"/>
                <w:bCs/>
              </w:rPr>
              <w:t>7.2.2</w:t>
            </w:r>
          </w:p>
        </w:tc>
        <w:tc>
          <w:tcPr>
            <w:tcW w:w="1098" w:type="pct"/>
            <w:vAlign w:val="center"/>
            <w:hideMark/>
          </w:tcPr>
          <w:p w14:paraId="6A7821BB" w14:textId="77777777" w:rsidR="00EB74A4" w:rsidRPr="00EB74A4" w:rsidRDefault="00EB74A4" w:rsidP="00EB74A4">
            <w:pPr>
              <w:pStyle w:val="ae"/>
              <w:rPr>
                <w:b w:val="0"/>
                <w:bCs/>
              </w:rPr>
            </w:pPr>
            <w:r w:rsidRPr="00EB74A4">
              <w:rPr>
                <w:rFonts w:hint="eastAsia"/>
                <w:b w:val="0"/>
                <w:bCs/>
              </w:rPr>
              <w:t>开发利用地下空间</w:t>
            </w:r>
          </w:p>
        </w:tc>
        <w:tc>
          <w:tcPr>
            <w:tcW w:w="3455" w:type="pct"/>
            <w:vAlign w:val="center"/>
            <w:hideMark/>
          </w:tcPr>
          <w:p w14:paraId="1DB2FE91" w14:textId="77777777" w:rsidR="00EB74A4" w:rsidRPr="00EB74A4" w:rsidRDefault="00EB74A4" w:rsidP="00EB74A4">
            <w:pPr>
              <w:pStyle w:val="ae"/>
              <w:rPr>
                <w:b w:val="0"/>
                <w:bCs/>
              </w:rPr>
            </w:pPr>
            <w:r w:rsidRPr="00EB74A4">
              <w:rPr>
                <w:rFonts w:hint="eastAsia"/>
                <w:b w:val="0"/>
                <w:bCs/>
              </w:rPr>
              <w:t>相关设计文件、计算书（居住建筑设计文件应包含地上、地下建筑面积比率；公共建筑设计文件应包含地下建筑面积与总用地面积的比率及地下一层建筑面积与总用地面积的比率。）</w:t>
            </w:r>
          </w:p>
        </w:tc>
      </w:tr>
      <w:tr w:rsidR="00EB74A4" w:rsidRPr="00EB74A4" w14:paraId="16CF9F1E" w14:textId="77777777" w:rsidTr="00EB74A4">
        <w:trPr>
          <w:trHeight w:val="276"/>
        </w:trPr>
        <w:tc>
          <w:tcPr>
            <w:tcW w:w="447" w:type="pct"/>
            <w:vAlign w:val="center"/>
            <w:hideMark/>
          </w:tcPr>
          <w:p w14:paraId="10089F07" w14:textId="77777777" w:rsidR="00EB74A4" w:rsidRPr="00EB74A4" w:rsidRDefault="00EB74A4" w:rsidP="00EB74A4">
            <w:pPr>
              <w:pStyle w:val="ae"/>
              <w:rPr>
                <w:b w:val="0"/>
                <w:bCs/>
              </w:rPr>
            </w:pPr>
            <w:r w:rsidRPr="00EB74A4">
              <w:rPr>
                <w:rFonts w:hint="eastAsia"/>
                <w:b w:val="0"/>
                <w:bCs/>
              </w:rPr>
              <w:t>7.2.3</w:t>
            </w:r>
          </w:p>
        </w:tc>
        <w:tc>
          <w:tcPr>
            <w:tcW w:w="1098" w:type="pct"/>
            <w:vAlign w:val="center"/>
            <w:hideMark/>
          </w:tcPr>
          <w:p w14:paraId="35C986EA" w14:textId="77777777" w:rsidR="00EB74A4" w:rsidRPr="00EB74A4" w:rsidRDefault="00EB74A4" w:rsidP="00EB74A4">
            <w:pPr>
              <w:pStyle w:val="ae"/>
              <w:rPr>
                <w:b w:val="0"/>
                <w:bCs/>
              </w:rPr>
            </w:pPr>
            <w:r w:rsidRPr="00EB74A4">
              <w:rPr>
                <w:rFonts w:hint="eastAsia"/>
                <w:b w:val="0"/>
                <w:bCs/>
              </w:rPr>
              <w:t>机械式停车设施</w:t>
            </w:r>
          </w:p>
        </w:tc>
        <w:tc>
          <w:tcPr>
            <w:tcW w:w="3455" w:type="pct"/>
            <w:vAlign w:val="center"/>
            <w:hideMark/>
          </w:tcPr>
          <w:p w14:paraId="0F49A1C4" w14:textId="77777777" w:rsidR="00EB74A4" w:rsidRPr="00EB74A4" w:rsidRDefault="00EB74A4" w:rsidP="00EB74A4">
            <w:pPr>
              <w:pStyle w:val="ae"/>
              <w:rPr>
                <w:b w:val="0"/>
                <w:bCs/>
              </w:rPr>
            </w:pPr>
            <w:r w:rsidRPr="00EB74A4">
              <w:rPr>
                <w:rFonts w:hint="eastAsia"/>
                <w:b w:val="0"/>
                <w:bCs/>
              </w:rPr>
              <w:t>相关设计文件、计算书、车位优化分析报告；</w:t>
            </w:r>
          </w:p>
        </w:tc>
      </w:tr>
      <w:tr w:rsidR="00EB74A4" w:rsidRPr="00EB74A4" w14:paraId="34C4EBC4" w14:textId="77777777" w:rsidTr="00EB74A4">
        <w:trPr>
          <w:trHeight w:val="552"/>
        </w:trPr>
        <w:tc>
          <w:tcPr>
            <w:tcW w:w="447" w:type="pct"/>
            <w:vAlign w:val="center"/>
            <w:hideMark/>
          </w:tcPr>
          <w:p w14:paraId="3617FD3E" w14:textId="77777777" w:rsidR="00EB74A4" w:rsidRPr="00EB74A4" w:rsidRDefault="00EB74A4" w:rsidP="00EB74A4">
            <w:pPr>
              <w:pStyle w:val="ae"/>
              <w:rPr>
                <w:b w:val="0"/>
                <w:bCs/>
              </w:rPr>
            </w:pPr>
            <w:r w:rsidRPr="00EB74A4">
              <w:rPr>
                <w:rFonts w:hint="eastAsia"/>
                <w:b w:val="0"/>
                <w:bCs/>
              </w:rPr>
              <w:t>7.2.4</w:t>
            </w:r>
          </w:p>
        </w:tc>
        <w:tc>
          <w:tcPr>
            <w:tcW w:w="1098" w:type="pct"/>
            <w:vAlign w:val="center"/>
            <w:hideMark/>
          </w:tcPr>
          <w:p w14:paraId="515B07F8" w14:textId="77777777" w:rsidR="00EB74A4" w:rsidRPr="00EB74A4" w:rsidRDefault="00EB74A4" w:rsidP="00EB74A4">
            <w:pPr>
              <w:pStyle w:val="ae"/>
              <w:rPr>
                <w:b w:val="0"/>
                <w:bCs/>
              </w:rPr>
            </w:pPr>
            <w:r w:rsidRPr="00EB74A4">
              <w:rPr>
                <w:rFonts w:hint="eastAsia"/>
                <w:b w:val="0"/>
                <w:bCs/>
              </w:rPr>
              <w:t>围护结构热工性</w:t>
            </w:r>
            <w:r w:rsidRPr="00EB74A4">
              <w:rPr>
                <w:rFonts w:hint="eastAsia"/>
                <w:b w:val="0"/>
                <w:bCs/>
              </w:rPr>
              <w:lastRenderedPageBreak/>
              <w:t>能</w:t>
            </w:r>
          </w:p>
        </w:tc>
        <w:tc>
          <w:tcPr>
            <w:tcW w:w="3455" w:type="pct"/>
            <w:vAlign w:val="center"/>
            <w:hideMark/>
          </w:tcPr>
          <w:p w14:paraId="2C4D83C5" w14:textId="77777777" w:rsidR="00EB74A4" w:rsidRPr="00EB74A4" w:rsidRDefault="00EB74A4" w:rsidP="00EB74A4">
            <w:pPr>
              <w:pStyle w:val="ae"/>
              <w:rPr>
                <w:b w:val="0"/>
                <w:bCs/>
              </w:rPr>
            </w:pPr>
            <w:r w:rsidRPr="00EB74A4">
              <w:rPr>
                <w:rFonts w:hint="eastAsia"/>
                <w:b w:val="0"/>
                <w:bCs/>
              </w:rPr>
              <w:lastRenderedPageBreak/>
              <w:t>相关设计文件</w:t>
            </w:r>
            <w:r w:rsidRPr="00EB74A4">
              <w:rPr>
                <w:rFonts w:hint="eastAsia"/>
                <w:b w:val="0"/>
                <w:bCs/>
              </w:rPr>
              <w:t>(</w:t>
            </w:r>
            <w:r w:rsidRPr="00EB74A4">
              <w:rPr>
                <w:rFonts w:hint="eastAsia"/>
                <w:b w:val="0"/>
                <w:bCs/>
              </w:rPr>
              <w:t>设计说明、围护结构施工详图</w:t>
            </w:r>
            <w:r w:rsidRPr="00EB74A4">
              <w:rPr>
                <w:rFonts w:hint="eastAsia"/>
                <w:b w:val="0"/>
                <w:bCs/>
              </w:rPr>
              <w:t>)</w:t>
            </w:r>
            <w:r w:rsidRPr="00EB74A4">
              <w:rPr>
                <w:rFonts w:hint="eastAsia"/>
                <w:b w:val="0"/>
                <w:bCs/>
              </w:rPr>
              <w:t>、节能计算书、</w:t>
            </w:r>
            <w:r w:rsidRPr="00EB74A4">
              <w:rPr>
                <w:rFonts w:hint="eastAsia"/>
                <w:b w:val="0"/>
                <w:bCs/>
              </w:rPr>
              <w:lastRenderedPageBreak/>
              <w:t>建筑围护结构节能率分析报告</w:t>
            </w:r>
            <w:r w:rsidRPr="00EB74A4">
              <w:rPr>
                <w:rFonts w:hint="eastAsia"/>
                <w:b w:val="0"/>
                <w:bCs/>
              </w:rPr>
              <w:t>(</w:t>
            </w:r>
            <w:r w:rsidRPr="00EB74A4">
              <w:rPr>
                <w:rFonts w:hint="eastAsia"/>
                <w:b w:val="0"/>
                <w:bCs/>
              </w:rPr>
              <w:t>第</w:t>
            </w:r>
            <w:r w:rsidRPr="00EB74A4">
              <w:rPr>
                <w:rFonts w:hint="eastAsia"/>
                <w:b w:val="0"/>
                <w:bCs/>
              </w:rPr>
              <w:t>2</w:t>
            </w:r>
            <w:r w:rsidRPr="00EB74A4">
              <w:rPr>
                <w:rFonts w:hint="eastAsia"/>
                <w:b w:val="0"/>
                <w:bCs/>
              </w:rPr>
              <w:t>款评价时</w:t>
            </w:r>
            <w:r w:rsidRPr="00EB74A4">
              <w:rPr>
                <w:rFonts w:hint="eastAsia"/>
                <w:b w:val="0"/>
                <w:bCs/>
              </w:rPr>
              <w:t>)</w:t>
            </w:r>
            <w:r w:rsidRPr="00EB74A4">
              <w:rPr>
                <w:rFonts w:hint="eastAsia"/>
                <w:b w:val="0"/>
                <w:bCs/>
              </w:rPr>
              <w:t>；</w:t>
            </w:r>
          </w:p>
        </w:tc>
      </w:tr>
      <w:tr w:rsidR="00EB74A4" w:rsidRPr="00EB74A4" w14:paraId="080DE6AD" w14:textId="77777777" w:rsidTr="00EB74A4">
        <w:trPr>
          <w:trHeight w:val="276"/>
        </w:trPr>
        <w:tc>
          <w:tcPr>
            <w:tcW w:w="447" w:type="pct"/>
            <w:vAlign w:val="center"/>
            <w:hideMark/>
          </w:tcPr>
          <w:p w14:paraId="019597D2" w14:textId="77777777" w:rsidR="00EB74A4" w:rsidRPr="00EB74A4" w:rsidRDefault="00EB74A4" w:rsidP="00EB74A4">
            <w:pPr>
              <w:pStyle w:val="ae"/>
              <w:rPr>
                <w:b w:val="0"/>
                <w:bCs/>
              </w:rPr>
            </w:pPr>
            <w:r w:rsidRPr="00EB74A4">
              <w:rPr>
                <w:rFonts w:hint="eastAsia"/>
                <w:b w:val="0"/>
                <w:bCs/>
              </w:rPr>
              <w:lastRenderedPageBreak/>
              <w:t>7.2.5</w:t>
            </w:r>
          </w:p>
        </w:tc>
        <w:tc>
          <w:tcPr>
            <w:tcW w:w="1098" w:type="pct"/>
            <w:vAlign w:val="center"/>
            <w:hideMark/>
          </w:tcPr>
          <w:p w14:paraId="62EE100E" w14:textId="77777777" w:rsidR="00EB74A4" w:rsidRPr="00EB74A4" w:rsidRDefault="00EB74A4" w:rsidP="00EB74A4">
            <w:pPr>
              <w:pStyle w:val="ae"/>
              <w:rPr>
                <w:b w:val="0"/>
                <w:bCs/>
              </w:rPr>
            </w:pPr>
            <w:r w:rsidRPr="00EB74A4">
              <w:rPr>
                <w:rFonts w:hint="eastAsia"/>
                <w:b w:val="0"/>
                <w:bCs/>
              </w:rPr>
              <w:t>机组能效</w:t>
            </w:r>
          </w:p>
        </w:tc>
        <w:tc>
          <w:tcPr>
            <w:tcW w:w="3455" w:type="pct"/>
            <w:vAlign w:val="center"/>
            <w:hideMark/>
          </w:tcPr>
          <w:p w14:paraId="61EACED7"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0292BC00" w14:textId="77777777" w:rsidTr="00EB74A4">
        <w:trPr>
          <w:trHeight w:val="552"/>
        </w:trPr>
        <w:tc>
          <w:tcPr>
            <w:tcW w:w="447" w:type="pct"/>
            <w:vAlign w:val="center"/>
            <w:hideMark/>
          </w:tcPr>
          <w:p w14:paraId="185722CA" w14:textId="77777777" w:rsidR="00EB74A4" w:rsidRPr="00EB74A4" w:rsidRDefault="00EB74A4" w:rsidP="00EB74A4">
            <w:pPr>
              <w:pStyle w:val="ae"/>
              <w:rPr>
                <w:b w:val="0"/>
                <w:bCs/>
              </w:rPr>
            </w:pPr>
            <w:r w:rsidRPr="00EB74A4">
              <w:rPr>
                <w:rFonts w:hint="eastAsia"/>
                <w:b w:val="0"/>
                <w:bCs/>
              </w:rPr>
              <w:t>7.2.6</w:t>
            </w:r>
          </w:p>
        </w:tc>
        <w:tc>
          <w:tcPr>
            <w:tcW w:w="1098" w:type="pct"/>
            <w:vAlign w:val="center"/>
            <w:hideMark/>
          </w:tcPr>
          <w:p w14:paraId="61DE4BBD" w14:textId="77777777" w:rsidR="00EB74A4" w:rsidRPr="00EB74A4" w:rsidRDefault="00EB74A4" w:rsidP="00EB74A4">
            <w:pPr>
              <w:pStyle w:val="ae"/>
              <w:rPr>
                <w:b w:val="0"/>
                <w:bCs/>
              </w:rPr>
            </w:pPr>
            <w:r w:rsidRPr="00EB74A4">
              <w:rPr>
                <w:rFonts w:hint="eastAsia"/>
                <w:b w:val="0"/>
                <w:bCs/>
              </w:rPr>
              <w:t>降低空调输配系统能耗</w:t>
            </w:r>
          </w:p>
        </w:tc>
        <w:tc>
          <w:tcPr>
            <w:tcW w:w="3455" w:type="pct"/>
            <w:vAlign w:val="center"/>
            <w:hideMark/>
          </w:tcPr>
          <w:p w14:paraId="280C7FE2"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10E70982" w14:textId="77777777" w:rsidTr="00EB74A4">
        <w:trPr>
          <w:trHeight w:val="276"/>
        </w:trPr>
        <w:tc>
          <w:tcPr>
            <w:tcW w:w="447" w:type="pct"/>
            <w:vAlign w:val="center"/>
            <w:hideMark/>
          </w:tcPr>
          <w:p w14:paraId="5242F6A2" w14:textId="77777777" w:rsidR="00EB74A4" w:rsidRPr="00EB74A4" w:rsidRDefault="00EB74A4" w:rsidP="00EB74A4">
            <w:pPr>
              <w:pStyle w:val="ae"/>
              <w:rPr>
                <w:b w:val="0"/>
                <w:bCs/>
              </w:rPr>
            </w:pPr>
            <w:r w:rsidRPr="00EB74A4">
              <w:rPr>
                <w:rFonts w:hint="eastAsia"/>
                <w:b w:val="0"/>
                <w:bCs/>
              </w:rPr>
              <w:t>7.2.7</w:t>
            </w:r>
          </w:p>
        </w:tc>
        <w:tc>
          <w:tcPr>
            <w:tcW w:w="1098" w:type="pct"/>
            <w:vAlign w:val="center"/>
            <w:hideMark/>
          </w:tcPr>
          <w:p w14:paraId="6DFC8C41" w14:textId="77777777" w:rsidR="00EB74A4" w:rsidRPr="00EB74A4" w:rsidRDefault="00EB74A4" w:rsidP="00EB74A4">
            <w:pPr>
              <w:pStyle w:val="ae"/>
              <w:rPr>
                <w:b w:val="0"/>
                <w:bCs/>
              </w:rPr>
            </w:pPr>
            <w:r w:rsidRPr="00EB74A4">
              <w:rPr>
                <w:rFonts w:hint="eastAsia"/>
                <w:b w:val="0"/>
                <w:bCs/>
              </w:rPr>
              <w:t>节能电器</w:t>
            </w:r>
          </w:p>
        </w:tc>
        <w:tc>
          <w:tcPr>
            <w:tcW w:w="3455" w:type="pct"/>
            <w:vAlign w:val="center"/>
            <w:hideMark/>
          </w:tcPr>
          <w:p w14:paraId="0C9D7D92" w14:textId="77777777" w:rsidR="00EB74A4" w:rsidRPr="00EB74A4" w:rsidRDefault="00EB74A4" w:rsidP="00EB74A4">
            <w:pPr>
              <w:pStyle w:val="ae"/>
              <w:rPr>
                <w:b w:val="0"/>
                <w:bCs/>
              </w:rPr>
            </w:pPr>
            <w:r w:rsidRPr="00EB74A4">
              <w:rPr>
                <w:rFonts w:hint="eastAsia"/>
                <w:b w:val="0"/>
                <w:bCs/>
              </w:rPr>
              <w:t>相关设计文件、相关设计说明</w:t>
            </w:r>
          </w:p>
        </w:tc>
      </w:tr>
      <w:tr w:rsidR="00EB74A4" w:rsidRPr="00EB74A4" w14:paraId="53EFFE80" w14:textId="77777777" w:rsidTr="00EB74A4">
        <w:trPr>
          <w:trHeight w:val="552"/>
        </w:trPr>
        <w:tc>
          <w:tcPr>
            <w:tcW w:w="447" w:type="pct"/>
            <w:vAlign w:val="center"/>
            <w:hideMark/>
          </w:tcPr>
          <w:p w14:paraId="0A646DF0" w14:textId="77777777" w:rsidR="00EB74A4" w:rsidRPr="00EB74A4" w:rsidRDefault="00EB74A4" w:rsidP="00EB74A4">
            <w:pPr>
              <w:pStyle w:val="ae"/>
              <w:rPr>
                <w:b w:val="0"/>
                <w:bCs/>
              </w:rPr>
            </w:pPr>
            <w:r w:rsidRPr="00EB74A4">
              <w:rPr>
                <w:rFonts w:hint="eastAsia"/>
                <w:b w:val="0"/>
                <w:bCs/>
              </w:rPr>
              <w:t>7.2.8</w:t>
            </w:r>
          </w:p>
        </w:tc>
        <w:tc>
          <w:tcPr>
            <w:tcW w:w="1098" w:type="pct"/>
            <w:vAlign w:val="center"/>
            <w:hideMark/>
          </w:tcPr>
          <w:p w14:paraId="49DA3C05" w14:textId="77777777" w:rsidR="00EB74A4" w:rsidRPr="00EB74A4" w:rsidRDefault="00EB74A4" w:rsidP="00EB74A4">
            <w:pPr>
              <w:pStyle w:val="ae"/>
              <w:rPr>
                <w:b w:val="0"/>
                <w:bCs/>
              </w:rPr>
            </w:pPr>
            <w:r w:rsidRPr="00EB74A4">
              <w:rPr>
                <w:rFonts w:hint="eastAsia"/>
                <w:b w:val="0"/>
                <w:bCs/>
              </w:rPr>
              <w:t>降低能耗</w:t>
            </w:r>
          </w:p>
        </w:tc>
        <w:tc>
          <w:tcPr>
            <w:tcW w:w="3455" w:type="pct"/>
            <w:vAlign w:val="center"/>
            <w:hideMark/>
          </w:tcPr>
          <w:p w14:paraId="543D6F9F"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暖通、电气、内装专业施工图纸及设计说明</w:t>
            </w:r>
            <w:r w:rsidRPr="00EB74A4">
              <w:rPr>
                <w:rFonts w:hint="eastAsia"/>
                <w:b w:val="0"/>
                <w:bCs/>
              </w:rPr>
              <w:t>)</w:t>
            </w:r>
            <w:r w:rsidRPr="00EB74A4">
              <w:rPr>
                <w:rFonts w:hint="eastAsia"/>
                <w:b w:val="0"/>
                <w:bCs/>
              </w:rPr>
              <w:t>、建筑暖通、照明系统及电气设备能耗模拟计算书</w:t>
            </w:r>
          </w:p>
        </w:tc>
      </w:tr>
      <w:tr w:rsidR="00EB74A4" w:rsidRPr="00EB74A4" w14:paraId="4E2B3418" w14:textId="77777777" w:rsidTr="00EB74A4">
        <w:trPr>
          <w:trHeight w:val="276"/>
        </w:trPr>
        <w:tc>
          <w:tcPr>
            <w:tcW w:w="447" w:type="pct"/>
            <w:vAlign w:val="center"/>
            <w:hideMark/>
          </w:tcPr>
          <w:p w14:paraId="3903693D" w14:textId="77777777" w:rsidR="00EB74A4" w:rsidRPr="00EB74A4" w:rsidRDefault="00EB74A4" w:rsidP="00EB74A4">
            <w:pPr>
              <w:pStyle w:val="ae"/>
              <w:rPr>
                <w:b w:val="0"/>
                <w:bCs/>
              </w:rPr>
            </w:pPr>
            <w:r w:rsidRPr="00EB74A4">
              <w:rPr>
                <w:rFonts w:hint="eastAsia"/>
                <w:b w:val="0"/>
                <w:bCs/>
              </w:rPr>
              <w:t>7.2.9</w:t>
            </w:r>
          </w:p>
        </w:tc>
        <w:tc>
          <w:tcPr>
            <w:tcW w:w="1098" w:type="pct"/>
            <w:vAlign w:val="center"/>
            <w:hideMark/>
          </w:tcPr>
          <w:p w14:paraId="52E922D9" w14:textId="77777777" w:rsidR="00EB74A4" w:rsidRPr="00EB74A4" w:rsidRDefault="00EB74A4" w:rsidP="00EB74A4">
            <w:pPr>
              <w:pStyle w:val="ae"/>
              <w:rPr>
                <w:b w:val="0"/>
                <w:bCs/>
              </w:rPr>
            </w:pPr>
            <w:r w:rsidRPr="00EB74A4">
              <w:rPr>
                <w:rFonts w:hint="eastAsia"/>
                <w:b w:val="0"/>
                <w:bCs/>
              </w:rPr>
              <w:t>可再生能源</w:t>
            </w:r>
          </w:p>
        </w:tc>
        <w:tc>
          <w:tcPr>
            <w:tcW w:w="3455" w:type="pct"/>
            <w:vAlign w:val="center"/>
            <w:hideMark/>
          </w:tcPr>
          <w:p w14:paraId="54EAC8EE" w14:textId="77777777" w:rsidR="00EB74A4" w:rsidRPr="00EB74A4" w:rsidRDefault="00EB74A4" w:rsidP="00EB74A4">
            <w:pPr>
              <w:pStyle w:val="ae"/>
              <w:rPr>
                <w:b w:val="0"/>
                <w:bCs/>
              </w:rPr>
            </w:pPr>
            <w:r w:rsidRPr="00EB74A4">
              <w:rPr>
                <w:rFonts w:hint="eastAsia"/>
                <w:b w:val="0"/>
                <w:bCs/>
              </w:rPr>
              <w:t>相关设计文件、计算分析报告（可再生能源利用率分析计算报告）</w:t>
            </w:r>
          </w:p>
        </w:tc>
      </w:tr>
      <w:tr w:rsidR="00EB74A4" w:rsidRPr="00EB74A4" w14:paraId="69DDF2EF" w14:textId="77777777" w:rsidTr="00EB74A4">
        <w:trPr>
          <w:trHeight w:val="552"/>
        </w:trPr>
        <w:tc>
          <w:tcPr>
            <w:tcW w:w="447" w:type="pct"/>
            <w:vAlign w:val="center"/>
            <w:hideMark/>
          </w:tcPr>
          <w:p w14:paraId="6A7A4A31" w14:textId="77777777" w:rsidR="00EB74A4" w:rsidRPr="00EB74A4" w:rsidRDefault="00EB74A4" w:rsidP="00EB74A4">
            <w:pPr>
              <w:pStyle w:val="ae"/>
              <w:rPr>
                <w:b w:val="0"/>
                <w:bCs/>
              </w:rPr>
            </w:pPr>
            <w:r w:rsidRPr="00EB74A4">
              <w:rPr>
                <w:rFonts w:hint="eastAsia"/>
                <w:b w:val="0"/>
                <w:bCs/>
              </w:rPr>
              <w:t>7.2.10</w:t>
            </w:r>
          </w:p>
        </w:tc>
        <w:tc>
          <w:tcPr>
            <w:tcW w:w="1098" w:type="pct"/>
            <w:vAlign w:val="center"/>
            <w:hideMark/>
          </w:tcPr>
          <w:p w14:paraId="707D32F5" w14:textId="77777777" w:rsidR="00EB74A4" w:rsidRPr="00EB74A4" w:rsidRDefault="00EB74A4" w:rsidP="00EB74A4">
            <w:pPr>
              <w:pStyle w:val="ae"/>
              <w:rPr>
                <w:b w:val="0"/>
                <w:bCs/>
              </w:rPr>
            </w:pPr>
            <w:r w:rsidRPr="00EB74A4">
              <w:rPr>
                <w:rFonts w:hint="eastAsia"/>
                <w:b w:val="0"/>
                <w:bCs/>
              </w:rPr>
              <w:t>被动式技术</w:t>
            </w:r>
          </w:p>
        </w:tc>
        <w:tc>
          <w:tcPr>
            <w:tcW w:w="3455" w:type="pct"/>
            <w:vAlign w:val="center"/>
            <w:hideMark/>
          </w:tcPr>
          <w:p w14:paraId="0E18D632" w14:textId="77777777" w:rsidR="00EB74A4" w:rsidRPr="00EB74A4" w:rsidRDefault="00EB74A4" w:rsidP="00EB74A4">
            <w:pPr>
              <w:pStyle w:val="ae"/>
              <w:rPr>
                <w:b w:val="0"/>
                <w:bCs/>
              </w:rPr>
            </w:pPr>
            <w:r w:rsidRPr="00EB74A4">
              <w:rPr>
                <w:rFonts w:hint="eastAsia"/>
                <w:b w:val="0"/>
                <w:bCs/>
              </w:rPr>
              <w:t>相关设计文件、计算分析报告（主要功能房间外门窗或玻璃幕墙的可开启面积比例计算书、车库自然采光区域面积计算书、节能计算报告）</w:t>
            </w:r>
          </w:p>
        </w:tc>
      </w:tr>
      <w:tr w:rsidR="00EB74A4" w:rsidRPr="00EB74A4" w14:paraId="24150AD4" w14:textId="77777777" w:rsidTr="00EB74A4">
        <w:trPr>
          <w:trHeight w:val="276"/>
        </w:trPr>
        <w:tc>
          <w:tcPr>
            <w:tcW w:w="447" w:type="pct"/>
            <w:vAlign w:val="center"/>
            <w:hideMark/>
          </w:tcPr>
          <w:p w14:paraId="02BDB290" w14:textId="77777777" w:rsidR="00EB74A4" w:rsidRPr="00EB74A4" w:rsidRDefault="00EB74A4" w:rsidP="00EB74A4">
            <w:pPr>
              <w:pStyle w:val="ae"/>
              <w:rPr>
                <w:b w:val="0"/>
                <w:bCs/>
              </w:rPr>
            </w:pPr>
            <w:r w:rsidRPr="00EB74A4">
              <w:rPr>
                <w:rFonts w:hint="eastAsia"/>
                <w:b w:val="0"/>
                <w:bCs/>
              </w:rPr>
              <w:t>7.2.11</w:t>
            </w:r>
          </w:p>
        </w:tc>
        <w:tc>
          <w:tcPr>
            <w:tcW w:w="1098" w:type="pct"/>
            <w:vAlign w:val="center"/>
            <w:hideMark/>
          </w:tcPr>
          <w:p w14:paraId="4277FBD4" w14:textId="77777777" w:rsidR="00EB74A4" w:rsidRPr="00EB74A4" w:rsidRDefault="00EB74A4" w:rsidP="00EB74A4">
            <w:pPr>
              <w:pStyle w:val="ae"/>
              <w:rPr>
                <w:b w:val="0"/>
                <w:bCs/>
              </w:rPr>
            </w:pPr>
            <w:r w:rsidRPr="00EB74A4">
              <w:rPr>
                <w:rFonts w:hint="eastAsia"/>
                <w:b w:val="0"/>
                <w:bCs/>
              </w:rPr>
              <w:t>卫生器具用水效率</w:t>
            </w:r>
          </w:p>
        </w:tc>
        <w:tc>
          <w:tcPr>
            <w:tcW w:w="3455" w:type="pct"/>
            <w:vAlign w:val="center"/>
            <w:hideMark/>
          </w:tcPr>
          <w:p w14:paraId="1004D2BB" w14:textId="77777777" w:rsidR="00EB74A4" w:rsidRPr="00EB74A4" w:rsidRDefault="00EB74A4" w:rsidP="00EB74A4">
            <w:pPr>
              <w:pStyle w:val="ae"/>
              <w:rPr>
                <w:b w:val="0"/>
                <w:bCs/>
              </w:rPr>
            </w:pPr>
            <w:r w:rsidRPr="00EB74A4">
              <w:rPr>
                <w:rFonts w:hint="eastAsia"/>
                <w:b w:val="0"/>
                <w:bCs/>
              </w:rPr>
              <w:t>相关设计文件、产品说明书</w:t>
            </w:r>
            <w:r w:rsidRPr="00EB74A4">
              <w:rPr>
                <w:rFonts w:hint="eastAsia"/>
                <w:b w:val="0"/>
                <w:bCs/>
              </w:rPr>
              <w:t>(</w:t>
            </w:r>
            <w:r w:rsidRPr="00EB74A4">
              <w:rPr>
                <w:rFonts w:hint="eastAsia"/>
                <w:b w:val="0"/>
                <w:bCs/>
              </w:rPr>
              <w:t>含相关节水器具的性能参数要求</w:t>
            </w:r>
            <w:r w:rsidRPr="00EB74A4">
              <w:rPr>
                <w:rFonts w:hint="eastAsia"/>
                <w:b w:val="0"/>
                <w:bCs/>
              </w:rPr>
              <w:t>)</w:t>
            </w:r>
          </w:p>
        </w:tc>
      </w:tr>
      <w:tr w:rsidR="00EB74A4" w:rsidRPr="00EB74A4" w14:paraId="13AEA007" w14:textId="77777777" w:rsidTr="00EB74A4">
        <w:trPr>
          <w:trHeight w:val="552"/>
        </w:trPr>
        <w:tc>
          <w:tcPr>
            <w:tcW w:w="447" w:type="pct"/>
            <w:vAlign w:val="center"/>
            <w:hideMark/>
          </w:tcPr>
          <w:p w14:paraId="564D3803" w14:textId="77777777" w:rsidR="00EB74A4" w:rsidRPr="00EB74A4" w:rsidRDefault="00EB74A4" w:rsidP="00EB74A4">
            <w:pPr>
              <w:pStyle w:val="ae"/>
              <w:rPr>
                <w:b w:val="0"/>
                <w:bCs/>
              </w:rPr>
            </w:pPr>
            <w:r w:rsidRPr="00EB74A4">
              <w:rPr>
                <w:rFonts w:hint="eastAsia"/>
                <w:b w:val="0"/>
                <w:bCs/>
              </w:rPr>
              <w:t>7.2.12</w:t>
            </w:r>
          </w:p>
        </w:tc>
        <w:tc>
          <w:tcPr>
            <w:tcW w:w="1098" w:type="pct"/>
            <w:vAlign w:val="center"/>
            <w:hideMark/>
          </w:tcPr>
          <w:p w14:paraId="6B6AB27D" w14:textId="77777777" w:rsidR="00EB74A4" w:rsidRPr="00EB74A4" w:rsidRDefault="00EB74A4" w:rsidP="00EB74A4">
            <w:pPr>
              <w:pStyle w:val="ae"/>
              <w:rPr>
                <w:b w:val="0"/>
                <w:bCs/>
              </w:rPr>
            </w:pPr>
            <w:r w:rsidRPr="00EB74A4">
              <w:rPr>
                <w:rFonts w:hint="eastAsia"/>
                <w:b w:val="0"/>
                <w:bCs/>
              </w:rPr>
              <w:t>绿色灌溉及节水技术</w:t>
            </w:r>
          </w:p>
        </w:tc>
        <w:tc>
          <w:tcPr>
            <w:tcW w:w="3455" w:type="pct"/>
            <w:vAlign w:val="center"/>
            <w:hideMark/>
          </w:tcPr>
          <w:p w14:paraId="774E58B9" w14:textId="77777777" w:rsidR="00EB74A4" w:rsidRPr="00EB74A4" w:rsidRDefault="00EB74A4" w:rsidP="00EB74A4">
            <w:pPr>
              <w:pStyle w:val="ae"/>
              <w:rPr>
                <w:b w:val="0"/>
                <w:bCs/>
              </w:rPr>
            </w:pPr>
            <w:r w:rsidRPr="00EB74A4">
              <w:rPr>
                <w:rFonts w:hint="eastAsia"/>
                <w:b w:val="0"/>
                <w:bCs/>
              </w:rPr>
              <w:t>相关设计图纸、设计说明</w:t>
            </w:r>
            <w:r w:rsidRPr="00EB74A4">
              <w:rPr>
                <w:rFonts w:hint="eastAsia"/>
                <w:b w:val="0"/>
                <w:bCs/>
              </w:rPr>
              <w:t>(</w:t>
            </w:r>
            <w:r w:rsidRPr="00EB74A4">
              <w:rPr>
                <w:rFonts w:hint="eastAsia"/>
                <w:b w:val="0"/>
                <w:bCs/>
              </w:rPr>
              <w:t>含相关节水产品的设备材料表、冷却节水措施说明</w:t>
            </w:r>
            <w:r w:rsidRPr="00EB74A4">
              <w:rPr>
                <w:rFonts w:hint="eastAsia"/>
                <w:b w:val="0"/>
                <w:bCs/>
              </w:rPr>
              <w:t>)</w:t>
            </w:r>
            <w:r w:rsidRPr="00EB74A4">
              <w:rPr>
                <w:rFonts w:hint="eastAsia"/>
                <w:b w:val="0"/>
                <w:bCs/>
              </w:rPr>
              <w:t>、产品说明书等</w:t>
            </w:r>
          </w:p>
        </w:tc>
      </w:tr>
      <w:tr w:rsidR="00EB74A4" w:rsidRPr="00EB74A4" w14:paraId="367D8704" w14:textId="77777777" w:rsidTr="00EB74A4">
        <w:trPr>
          <w:trHeight w:val="552"/>
        </w:trPr>
        <w:tc>
          <w:tcPr>
            <w:tcW w:w="447" w:type="pct"/>
            <w:vAlign w:val="center"/>
            <w:hideMark/>
          </w:tcPr>
          <w:p w14:paraId="2D3DF8E5" w14:textId="77777777" w:rsidR="00EB74A4" w:rsidRPr="00EB74A4" w:rsidRDefault="00EB74A4" w:rsidP="00EB74A4">
            <w:pPr>
              <w:pStyle w:val="ae"/>
              <w:rPr>
                <w:b w:val="0"/>
                <w:bCs/>
              </w:rPr>
            </w:pPr>
            <w:r w:rsidRPr="00EB74A4">
              <w:rPr>
                <w:rFonts w:hint="eastAsia"/>
                <w:b w:val="0"/>
                <w:bCs/>
              </w:rPr>
              <w:t>7.2.13</w:t>
            </w:r>
          </w:p>
        </w:tc>
        <w:tc>
          <w:tcPr>
            <w:tcW w:w="1098" w:type="pct"/>
            <w:vAlign w:val="center"/>
            <w:hideMark/>
          </w:tcPr>
          <w:p w14:paraId="3D82468D" w14:textId="77777777" w:rsidR="00EB74A4" w:rsidRPr="00EB74A4" w:rsidRDefault="00EB74A4" w:rsidP="00EB74A4">
            <w:pPr>
              <w:pStyle w:val="ae"/>
              <w:rPr>
                <w:b w:val="0"/>
                <w:bCs/>
              </w:rPr>
            </w:pPr>
            <w:r w:rsidRPr="00EB74A4">
              <w:rPr>
                <w:rFonts w:hint="eastAsia"/>
                <w:b w:val="0"/>
                <w:bCs/>
              </w:rPr>
              <w:t>景观水体</w:t>
            </w:r>
          </w:p>
        </w:tc>
        <w:tc>
          <w:tcPr>
            <w:tcW w:w="3455" w:type="pct"/>
            <w:vAlign w:val="center"/>
            <w:hideMark/>
          </w:tcPr>
          <w:p w14:paraId="49D97580"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含总平面图竖向、室内外给排水施工图、水景详图等</w:t>
            </w:r>
            <w:r w:rsidRPr="00EB74A4">
              <w:rPr>
                <w:rFonts w:hint="eastAsia"/>
                <w:b w:val="0"/>
                <w:bCs/>
              </w:rPr>
              <w:t>)</w:t>
            </w:r>
            <w:r w:rsidRPr="00EB74A4">
              <w:rPr>
                <w:rFonts w:hint="eastAsia"/>
                <w:b w:val="0"/>
                <w:bCs/>
              </w:rPr>
              <w:t>，水量平衡计算书；</w:t>
            </w:r>
          </w:p>
        </w:tc>
      </w:tr>
      <w:tr w:rsidR="00EB74A4" w:rsidRPr="00EB74A4" w14:paraId="4FF95B49" w14:textId="77777777" w:rsidTr="00EB74A4">
        <w:trPr>
          <w:trHeight w:val="276"/>
        </w:trPr>
        <w:tc>
          <w:tcPr>
            <w:tcW w:w="447" w:type="pct"/>
            <w:vAlign w:val="center"/>
            <w:hideMark/>
          </w:tcPr>
          <w:p w14:paraId="08B1844A" w14:textId="77777777" w:rsidR="00EB74A4" w:rsidRPr="00EB74A4" w:rsidRDefault="00EB74A4" w:rsidP="00EB74A4">
            <w:pPr>
              <w:pStyle w:val="ae"/>
              <w:rPr>
                <w:b w:val="0"/>
                <w:bCs/>
              </w:rPr>
            </w:pPr>
            <w:r w:rsidRPr="00EB74A4">
              <w:rPr>
                <w:rFonts w:hint="eastAsia"/>
                <w:b w:val="0"/>
                <w:bCs/>
              </w:rPr>
              <w:t>7.2.14</w:t>
            </w:r>
          </w:p>
        </w:tc>
        <w:tc>
          <w:tcPr>
            <w:tcW w:w="1098" w:type="pct"/>
            <w:vAlign w:val="center"/>
            <w:hideMark/>
          </w:tcPr>
          <w:p w14:paraId="1D2CCA93" w14:textId="77777777" w:rsidR="00EB74A4" w:rsidRPr="00EB74A4" w:rsidRDefault="00EB74A4" w:rsidP="00EB74A4">
            <w:pPr>
              <w:pStyle w:val="ae"/>
              <w:rPr>
                <w:b w:val="0"/>
                <w:bCs/>
              </w:rPr>
            </w:pPr>
            <w:r w:rsidRPr="00EB74A4">
              <w:rPr>
                <w:rFonts w:hint="eastAsia"/>
                <w:b w:val="0"/>
                <w:bCs/>
              </w:rPr>
              <w:t>非传统水源</w:t>
            </w:r>
          </w:p>
        </w:tc>
        <w:tc>
          <w:tcPr>
            <w:tcW w:w="3455" w:type="pct"/>
            <w:vAlign w:val="center"/>
            <w:hideMark/>
          </w:tcPr>
          <w:p w14:paraId="5A642C03" w14:textId="77777777" w:rsidR="00EB74A4" w:rsidRPr="00EB74A4" w:rsidRDefault="00EB74A4" w:rsidP="00EB74A4">
            <w:pPr>
              <w:pStyle w:val="ae"/>
              <w:rPr>
                <w:b w:val="0"/>
                <w:bCs/>
              </w:rPr>
            </w:pPr>
            <w:r w:rsidRPr="00EB74A4">
              <w:rPr>
                <w:rFonts w:hint="eastAsia"/>
                <w:b w:val="0"/>
                <w:bCs/>
              </w:rPr>
              <w:t>相关设计文件、当地相关主管部门的许可、非传统水源利用计算书；</w:t>
            </w:r>
          </w:p>
        </w:tc>
      </w:tr>
      <w:tr w:rsidR="00EB74A4" w:rsidRPr="00EB74A4" w14:paraId="73DEB867" w14:textId="77777777" w:rsidTr="00EB74A4">
        <w:trPr>
          <w:trHeight w:val="552"/>
        </w:trPr>
        <w:tc>
          <w:tcPr>
            <w:tcW w:w="447" w:type="pct"/>
            <w:vAlign w:val="center"/>
            <w:hideMark/>
          </w:tcPr>
          <w:p w14:paraId="2C2FE473" w14:textId="77777777" w:rsidR="00EB74A4" w:rsidRPr="00EB74A4" w:rsidRDefault="00EB74A4" w:rsidP="00EB74A4">
            <w:pPr>
              <w:pStyle w:val="ae"/>
              <w:rPr>
                <w:b w:val="0"/>
                <w:bCs/>
              </w:rPr>
            </w:pPr>
            <w:r w:rsidRPr="00EB74A4">
              <w:rPr>
                <w:rFonts w:hint="eastAsia"/>
                <w:b w:val="0"/>
                <w:bCs/>
              </w:rPr>
              <w:t>7.2.15</w:t>
            </w:r>
          </w:p>
        </w:tc>
        <w:tc>
          <w:tcPr>
            <w:tcW w:w="1098" w:type="pct"/>
            <w:vAlign w:val="center"/>
            <w:hideMark/>
          </w:tcPr>
          <w:p w14:paraId="445BDCF4" w14:textId="77777777" w:rsidR="00EB74A4" w:rsidRPr="00EB74A4" w:rsidRDefault="00EB74A4" w:rsidP="00EB74A4">
            <w:pPr>
              <w:pStyle w:val="ae"/>
              <w:rPr>
                <w:b w:val="0"/>
                <w:bCs/>
              </w:rPr>
            </w:pPr>
            <w:r w:rsidRPr="00EB74A4">
              <w:rPr>
                <w:rFonts w:hint="eastAsia"/>
                <w:b w:val="0"/>
                <w:bCs/>
              </w:rPr>
              <w:t>土建、装修工程一体化</w:t>
            </w:r>
          </w:p>
        </w:tc>
        <w:tc>
          <w:tcPr>
            <w:tcW w:w="3455" w:type="pct"/>
            <w:vAlign w:val="center"/>
            <w:hideMark/>
          </w:tcPr>
          <w:p w14:paraId="133859EE" w14:textId="77777777" w:rsidR="00EB74A4" w:rsidRPr="00EB74A4" w:rsidRDefault="00EB74A4" w:rsidP="00EB74A4">
            <w:pPr>
              <w:pStyle w:val="ae"/>
              <w:rPr>
                <w:b w:val="0"/>
                <w:bCs/>
              </w:rPr>
            </w:pPr>
            <w:r w:rsidRPr="00EB74A4">
              <w:rPr>
                <w:rFonts w:hint="eastAsia"/>
                <w:b w:val="0"/>
                <w:bCs/>
              </w:rPr>
              <w:t>土建、装修各专业施工图及其他证明材料</w:t>
            </w:r>
          </w:p>
        </w:tc>
      </w:tr>
      <w:tr w:rsidR="00EB74A4" w:rsidRPr="00EB74A4" w14:paraId="7B46C876" w14:textId="77777777" w:rsidTr="00EB74A4">
        <w:trPr>
          <w:trHeight w:val="276"/>
        </w:trPr>
        <w:tc>
          <w:tcPr>
            <w:tcW w:w="447" w:type="pct"/>
            <w:vAlign w:val="center"/>
            <w:hideMark/>
          </w:tcPr>
          <w:p w14:paraId="4255496B" w14:textId="77777777" w:rsidR="00EB74A4" w:rsidRPr="00EB74A4" w:rsidRDefault="00EB74A4" w:rsidP="00EB74A4">
            <w:pPr>
              <w:pStyle w:val="ae"/>
              <w:rPr>
                <w:b w:val="0"/>
                <w:bCs/>
              </w:rPr>
            </w:pPr>
            <w:r w:rsidRPr="00EB74A4">
              <w:rPr>
                <w:rFonts w:hint="eastAsia"/>
                <w:b w:val="0"/>
                <w:bCs/>
              </w:rPr>
              <w:t>7.2.16</w:t>
            </w:r>
          </w:p>
        </w:tc>
        <w:tc>
          <w:tcPr>
            <w:tcW w:w="1098" w:type="pct"/>
            <w:vAlign w:val="center"/>
            <w:hideMark/>
          </w:tcPr>
          <w:p w14:paraId="5CEE6D67" w14:textId="77777777" w:rsidR="00EB74A4" w:rsidRPr="00EB74A4" w:rsidRDefault="00EB74A4" w:rsidP="00EB74A4">
            <w:pPr>
              <w:pStyle w:val="ae"/>
              <w:rPr>
                <w:b w:val="0"/>
                <w:bCs/>
              </w:rPr>
            </w:pPr>
            <w:r w:rsidRPr="00EB74A4">
              <w:rPr>
                <w:rFonts w:hint="eastAsia"/>
                <w:b w:val="0"/>
                <w:bCs/>
              </w:rPr>
              <w:t>建筑结构材料与构件</w:t>
            </w:r>
          </w:p>
        </w:tc>
        <w:tc>
          <w:tcPr>
            <w:tcW w:w="3455" w:type="pct"/>
            <w:vAlign w:val="center"/>
            <w:hideMark/>
          </w:tcPr>
          <w:p w14:paraId="41E7F8F6" w14:textId="77777777" w:rsidR="00EB74A4" w:rsidRPr="00EB74A4" w:rsidRDefault="00EB74A4" w:rsidP="00EB74A4">
            <w:pPr>
              <w:pStyle w:val="ae"/>
              <w:rPr>
                <w:b w:val="0"/>
                <w:bCs/>
              </w:rPr>
            </w:pPr>
            <w:r w:rsidRPr="00EB74A4">
              <w:rPr>
                <w:rFonts w:hint="eastAsia"/>
                <w:b w:val="0"/>
                <w:bCs/>
              </w:rPr>
              <w:t>相关设计文件、各类材料用量比例计算书，高强度材料使用比例计算报告</w:t>
            </w:r>
          </w:p>
        </w:tc>
      </w:tr>
      <w:tr w:rsidR="00EB74A4" w:rsidRPr="00EB74A4" w14:paraId="671614C1" w14:textId="77777777" w:rsidTr="00EB74A4">
        <w:trPr>
          <w:trHeight w:val="552"/>
        </w:trPr>
        <w:tc>
          <w:tcPr>
            <w:tcW w:w="447" w:type="pct"/>
            <w:vAlign w:val="center"/>
            <w:hideMark/>
          </w:tcPr>
          <w:p w14:paraId="65854190" w14:textId="77777777" w:rsidR="00EB74A4" w:rsidRPr="00EB74A4" w:rsidRDefault="00EB74A4" w:rsidP="00EB74A4">
            <w:pPr>
              <w:pStyle w:val="ae"/>
              <w:rPr>
                <w:b w:val="0"/>
                <w:bCs/>
              </w:rPr>
            </w:pPr>
            <w:r w:rsidRPr="00EB74A4">
              <w:rPr>
                <w:rFonts w:hint="eastAsia"/>
                <w:b w:val="0"/>
                <w:bCs/>
              </w:rPr>
              <w:t>7.2.17</w:t>
            </w:r>
          </w:p>
        </w:tc>
        <w:tc>
          <w:tcPr>
            <w:tcW w:w="1098" w:type="pct"/>
            <w:vAlign w:val="center"/>
            <w:hideMark/>
          </w:tcPr>
          <w:p w14:paraId="44312454" w14:textId="77777777" w:rsidR="00EB74A4" w:rsidRPr="00EB74A4" w:rsidRDefault="00EB74A4" w:rsidP="00EB74A4">
            <w:pPr>
              <w:pStyle w:val="ae"/>
              <w:rPr>
                <w:b w:val="0"/>
                <w:bCs/>
              </w:rPr>
            </w:pPr>
            <w:r w:rsidRPr="00EB74A4">
              <w:rPr>
                <w:rFonts w:hint="eastAsia"/>
                <w:b w:val="0"/>
                <w:bCs/>
              </w:rPr>
              <w:t>工业化内装部品</w:t>
            </w:r>
          </w:p>
        </w:tc>
        <w:tc>
          <w:tcPr>
            <w:tcW w:w="3455" w:type="pct"/>
            <w:vAlign w:val="center"/>
            <w:hideMark/>
          </w:tcPr>
          <w:p w14:paraId="2C4B7D63" w14:textId="77777777" w:rsidR="00EB74A4" w:rsidRPr="00EB74A4" w:rsidRDefault="00EB74A4" w:rsidP="00EB74A4">
            <w:pPr>
              <w:pStyle w:val="ae"/>
              <w:rPr>
                <w:b w:val="0"/>
                <w:bCs/>
              </w:rPr>
            </w:pPr>
            <w:r w:rsidRPr="00EB74A4">
              <w:rPr>
                <w:rFonts w:hint="eastAsia"/>
                <w:b w:val="0"/>
                <w:bCs/>
              </w:rPr>
              <w:t>相关设计文件（建筑及装修专业施工图、工业化内装部品施工图）、工业化内装部品用量比例计算书</w:t>
            </w:r>
          </w:p>
        </w:tc>
      </w:tr>
      <w:tr w:rsidR="00EB74A4" w:rsidRPr="00EB74A4" w14:paraId="182C02F4" w14:textId="77777777" w:rsidTr="00EB74A4">
        <w:trPr>
          <w:trHeight w:val="552"/>
        </w:trPr>
        <w:tc>
          <w:tcPr>
            <w:tcW w:w="447" w:type="pct"/>
            <w:vAlign w:val="center"/>
            <w:hideMark/>
          </w:tcPr>
          <w:p w14:paraId="55272F7E" w14:textId="77777777" w:rsidR="00EB74A4" w:rsidRPr="00EB74A4" w:rsidRDefault="00EB74A4" w:rsidP="00EB74A4">
            <w:pPr>
              <w:pStyle w:val="ae"/>
              <w:rPr>
                <w:b w:val="0"/>
                <w:bCs/>
              </w:rPr>
            </w:pPr>
            <w:r w:rsidRPr="00EB74A4">
              <w:rPr>
                <w:rFonts w:hint="eastAsia"/>
                <w:b w:val="0"/>
                <w:bCs/>
              </w:rPr>
              <w:t>7.2.18</w:t>
            </w:r>
          </w:p>
        </w:tc>
        <w:tc>
          <w:tcPr>
            <w:tcW w:w="1098" w:type="pct"/>
            <w:vAlign w:val="center"/>
            <w:hideMark/>
          </w:tcPr>
          <w:p w14:paraId="5B55C685" w14:textId="77777777" w:rsidR="00EB74A4" w:rsidRPr="00EB74A4" w:rsidRDefault="00EB74A4" w:rsidP="00EB74A4">
            <w:pPr>
              <w:pStyle w:val="ae"/>
              <w:rPr>
                <w:b w:val="0"/>
                <w:bCs/>
              </w:rPr>
            </w:pPr>
            <w:r w:rsidRPr="00EB74A4">
              <w:rPr>
                <w:rFonts w:hint="eastAsia"/>
                <w:b w:val="0"/>
                <w:bCs/>
              </w:rPr>
              <w:t>可循环材料</w:t>
            </w:r>
          </w:p>
        </w:tc>
        <w:tc>
          <w:tcPr>
            <w:tcW w:w="3455" w:type="pct"/>
            <w:vAlign w:val="center"/>
            <w:hideMark/>
          </w:tcPr>
          <w:p w14:paraId="04ADBCAE" w14:textId="77777777" w:rsidR="00EB74A4" w:rsidRPr="00EB74A4" w:rsidRDefault="00EB74A4" w:rsidP="00EB74A4">
            <w:pPr>
              <w:pStyle w:val="ae"/>
              <w:rPr>
                <w:b w:val="0"/>
                <w:bCs/>
              </w:rPr>
            </w:pPr>
            <w:r w:rsidRPr="00EB74A4">
              <w:rPr>
                <w:rFonts w:hint="eastAsia"/>
                <w:b w:val="0"/>
                <w:bCs/>
              </w:rPr>
              <w:t>工程概预算材料清单、各类材料用量比例计算书（可再循环材料使用比例计算报告等）、各种建筑材料的使用部位及使用量</w:t>
            </w:r>
            <w:r w:rsidRPr="00EB74A4">
              <w:rPr>
                <w:rFonts w:hint="eastAsia"/>
                <w:b w:val="0"/>
                <w:bCs/>
              </w:rPr>
              <w:lastRenderedPageBreak/>
              <w:t>一览表。</w:t>
            </w:r>
          </w:p>
        </w:tc>
      </w:tr>
      <w:tr w:rsidR="00EB74A4" w:rsidRPr="00EB74A4" w14:paraId="55E694C4" w14:textId="77777777" w:rsidTr="00EB74A4">
        <w:trPr>
          <w:trHeight w:val="276"/>
        </w:trPr>
        <w:tc>
          <w:tcPr>
            <w:tcW w:w="447" w:type="pct"/>
            <w:vAlign w:val="center"/>
            <w:hideMark/>
          </w:tcPr>
          <w:p w14:paraId="6B7A16C4" w14:textId="77777777" w:rsidR="00EB74A4" w:rsidRPr="00EB74A4" w:rsidRDefault="00EB74A4" w:rsidP="00EB74A4">
            <w:pPr>
              <w:pStyle w:val="ae"/>
              <w:rPr>
                <w:b w:val="0"/>
                <w:bCs/>
              </w:rPr>
            </w:pPr>
            <w:r w:rsidRPr="00EB74A4">
              <w:rPr>
                <w:rFonts w:hint="eastAsia"/>
                <w:b w:val="0"/>
                <w:bCs/>
              </w:rPr>
              <w:lastRenderedPageBreak/>
              <w:t>7.2.19</w:t>
            </w:r>
          </w:p>
        </w:tc>
        <w:tc>
          <w:tcPr>
            <w:tcW w:w="1098" w:type="pct"/>
            <w:vAlign w:val="center"/>
            <w:hideMark/>
          </w:tcPr>
          <w:p w14:paraId="45C84C06" w14:textId="77777777" w:rsidR="00EB74A4" w:rsidRPr="00EB74A4" w:rsidRDefault="00EB74A4" w:rsidP="00EB74A4">
            <w:pPr>
              <w:pStyle w:val="ae"/>
              <w:rPr>
                <w:b w:val="0"/>
                <w:bCs/>
              </w:rPr>
            </w:pPr>
            <w:r w:rsidRPr="00EB74A4">
              <w:rPr>
                <w:rFonts w:hint="eastAsia"/>
                <w:b w:val="0"/>
                <w:bCs/>
              </w:rPr>
              <w:t>绿色建材</w:t>
            </w:r>
          </w:p>
        </w:tc>
        <w:tc>
          <w:tcPr>
            <w:tcW w:w="3455" w:type="pct"/>
            <w:vAlign w:val="center"/>
            <w:hideMark/>
          </w:tcPr>
          <w:p w14:paraId="30194E88" w14:textId="77777777" w:rsidR="00EB74A4" w:rsidRPr="00EB74A4" w:rsidRDefault="00EB74A4" w:rsidP="00EB74A4">
            <w:pPr>
              <w:pStyle w:val="ae"/>
              <w:rPr>
                <w:b w:val="0"/>
                <w:bCs/>
              </w:rPr>
            </w:pPr>
            <w:r w:rsidRPr="00EB74A4">
              <w:rPr>
                <w:rFonts w:hint="eastAsia"/>
                <w:b w:val="0"/>
                <w:bCs/>
              </w:rPr>
              <w:t>相关设计文件、计算分析报告</w:t>
            </w:r>
          </w:p>
        </w:tc>
      </w:tr>
      <w:tr w:rsidR="00EB74A4" w:rsidRPr="00EB74A4" w14:paraId="6CE8C679" w14:textId="77777777" w:rsidTr="00EB74A4">
        <w:trPr>
          <w:trHeight w:val="276"/>
        </w:trPr>
        <w:tc>
          <w:tcPr>
            <w:tcW w:w="447" w:type="pct"/>
            <w:vAlign w:val="center"/>
            <w:hideMark/>
          </w:tcPr>
          <w:p w14:paraId="09E6097C" w14:textId="77777777" w:rsidR="00EB74A4" w:rsidRPr="00EB74A4" w:rsidRDefault="00EB74A4" w:rsidP="00EB74A4">
            <w:pPr>
              <w:pStyle w:val="ae"/>
              <w:rPr>
                <w:b w:val="0"/>
                <w:bCs/>
              </w:rPr>
            </w:pPr>
            <w:r w:rsidRPr="00EB74A4">
              <w:rPr>
                <w:rFonts w:hint="eastAsia"/>
                <w:b w:val="0"/>
                <w:bCs/>
              </w:rPr>
              <w:t>7.2.20</w:t>
            </w:r>
          </w:p>
        </w:tc>
        <w:tc>
          <w:tcPr>
            <w:tcW w:w="1098" w:type="pct"/>
            <w:vAlign w:val="center"/>
            <w:hideMark/>
          </w:tcPr>
          <w:p w14:paraId="59068B33" w14:textId="77777777" w:rsidR="00EB74A4" w:rsidRPr="00EB74A4" w:rsidRDefault="00EB74A4" w:rsidP="00EB74A4">
            <w:pPr>
              <w:pStyle w:val="ae"/>
              <w:rPr>
                <w:b w:val="0"/>
                <w:bCs/>
              </w:rPr>
            </w:pPr>
            <w:r w:rsidRPr="00EB74A4">
              <w:rPr>
                <w:rFonts w:hint="eastAsia"/>
                <w:b w:val="0"/>
                <w:bCs/>
              </w:rPr>
              <w:t>规则建筑结构</w:t>
            </w:r>
          </w:p>
        </w:tc>
        <w:tc>
          <w:tcPr>
            <w:tcW w:w="3455" w:type="pct"/>
            <w:vAlign w:val="center"/>
            <w:hideMark/>
          </w:tcPr>
          <w:p w14:paraId="6B17035C"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建筑图、结构施工图</w:t>
            </w:r>
            <w:r w:rsidRPr="00EB74A4">
              <w:rPr>
                <w:rFonts w:hint="eastAsia"/>
                <w:b w:val="0"/>
                <w:bCs/>
              </w:rPr>
              <w:t>)</w:t>
            </w:r>
            <w:r w:rsidRPr="00EB74A4">
              <w:rPr>
                <w:rFonts w:hint="eastAsia"/>
                <w:b w:val="0"/>
                <w:bCs/>
              </w:rPr>
              <w:t>、建筑形体规则性判定报告</w:t>
            </w:r>
          </w:p>
        </w:tc>
      </w:tr>
      <w:tr w:rsidR="00EB74A4" w:rsidRPr="00EB74A4" w14:paraId="0C6D7FD8" w14:textId="77777777" w:rsidTr="00EB74A4">
        <w:trPr>
          <w:trHeight w:val="3312"/>
        </w:trPr>
        <w:tc>
          <w:tcPr>
            <w:tcW w:w="447" w:type="pct"/>
            <w:vAlign w:val="center"/>
            <w:hideMark/>
          </w:tcPr>
          <w:p w14:paraId="3912F915" w14:textId="77777777" w:rsidR="00EB74A4" w:rsidRPr="00EB74A4" w:rsidRDefault="00EB74A4" w:rsidP="00EB74A4">
            <w:pPr>
              <w:pStyle w:val="ae"/>
              <w:rPr>
                <w:b w:val="0"/>
                <w:bCs/>
              </w:rPr>
            </w:pPr>
            <w:r w:rsidRPr="00EB74A4">
              <w:rPr>
                <w:rFonts w:hint="eastAsia"/>
                <w:b w:val="0"/>
                <w:bCs/>
              </w:rPr>
              <w:t>8.1.1</w:t>
            </w:r>
          </w:p>
        </w:tc>
        <w:tc>
          <w:tcPr>
            <w:tcW w:w="1098" w:type="pct"/>
            <w:vAlign w:val="center"/>
            <w:hideMark/>
          </w:tcPr>
          <w:p w14:paraId="27EA6E7A" w14:textId="77777777" w:rsidR="00EB74A4" w:rsidRPr="00EB74A4" w:rsidRDefault="00EB74A4" w:rsidP="00EB74A4">
            <w:pPr>
              <w:pStyle w:val="ae"/>
              <w:rPr>
                <w:b w:val="0"/>
                <w:bCs/>
              </w:rPr>
            </w:pPr>
            <w:r w:rsidRPr="00EB74A4">
              <w:rPr>
                <w:rFonts w:hint="eastAsia"/>
                <w:b w:val="0"/>
                <w:bCs/>
              </w:rPr>
              <w:t>日照</w:t>
            </w:r>
          </w:p>
        </w:tc>
        <w:tc>
          <w:tcPr>
            <w:tcW w:w="3455" w:type="pct"/>
            <w:vAlign w:val="center"/>
            <w:hideMark/>
          </w:tcPr>
          <w:p w14:paraId="679CFB9C"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br/>
            </w:r>
            <w:r w:rsidRPr="00EB74A4">
              <w:rPr>
                <w:rFonts w:hint="eastAsia"/>
                <w:b w:val="0"/>
                <w:bCs/>
              </w:rPr>
              <w:t>（</w:t>
            </w:r>
            <w:r w:rsidRPr="00EB74A4">
              <w:rPr>
                <w:rFonts w:hint="eastAsia"/>
                <w:b w:val="0"/>
                <w:bCs/>
              </w:rPr>
              <w:t>1</w:t>
            </w:r>
            <w:r w:rsidRPr="00EB74A4">
              <w:rPr>
                <w:rFonts w:hint="eastAsia"/>
                <w:b w:val="0"/>
                <w:bCs/>
              </w:rPr>
              <w:t>一般项目：所在地城市（镇）总体规划的“土地利用规划图”或控制性详细规划的相关图纸及文件或控制性详细规划及建设项目地块的规划图，或提供项目规划许可证。</w:t>
            </w:r>
            <w:r w:rsidRPr="00EB74A4">
              <w:rPr>
                <w:rFonts w:hint="eastAsia"/>
                <w:b w:val="0"/>
                <w:bCs/>
              </w:rPr>
              <w:br/>
              <w:t>2</w:t>
            </w:r>
            <w:r w:rsidRPr="00EB74A4">
              <w:rPr>
                <w:rFonts w:hint="eastAsia"/>
                <w:b w:val="0"/>
                <w:bCs/>
              </w:rPr>
              <w:t>风景名胜区的项目：已批复的风景名胜区总体规划有关图纸及文件，城乡规划主管部门或该风景名胜区管理机构出具的同意该项目规划设计方案的证明文件。</w:t>
            </w:r>
            <w:r w:rsidRPr="00EB74A4">
              <w:rPr>
                <w:rFonts w:hint="eastAsia"/>
                <w:b w:val="0"/>
                <w:bCs/>
              </w:rPr>
              <w:br/>
              <w:t>3</w:t>
            </w:r>
            <w:r w:rsidRPr="00EB74A4">
              <w:rPr>
                <w:rFonts w:hint="eastAsia"/>
                <w:b w:val="0"/>
                <w:bCs/>
              </w:rPr>
              <w:t>历史文化名城或历史文化街区的项目：已批复的历史文化名城或历史文化街区保护总体规划的有关图纸和文件</w:t>
            </w:r>
            <w:r w:rsidRPr="00EB74A4">
              <w:rPr>
                <w:rFonts w:hint="eastAsia"/>
                <w:b w:val="0"/>
                <w:bCs/>
              </w:rPr>
              <w:br/>
              <w:t>4</w:t>
            </w:r>
            <w:r w:rsidRPr="00EB74A4">
              <w:rPr>
                <w:rFonts w:hint="eastAsia"/>
                <w:b w:val="0"/>
                <w:bCs/>
              </w:rPr>
              <w:t>文物保护单位的项目：所在地文化行政主管部门出具有关文件，或该项目规划设计方案）</w:t>
            </w:r>
            <w:r w:rsidRPr="00EB74A4">
              <w:rPr>
                <w:rFonts w:hint="eastAsia"/>
                <w:b w:val="0"/>
                <w:bCs/>
              </w:rPr>
              <w:br/>
            </w:r>
            <w:r w:rsidRPr="00EB74A4">
              <w:rPr>
                <w:rFonts w:hint="eastAsia"/>
                <w:b w:val="0"/>
                <w:bCs/>
              </w:rPr>
              <w:t>、日照分析报告</w:t>
            </w:r>
          </w:p>
        </w:tc>
      </w:tr>
      <w:tr w:rsidR="00EB74A4" w:rsidRPr="00EB74A4" w14:paraId="3C35DB9C" w14:textId="77777777" w:rsidTr="00EB74A4">
        <w:trPr>
          <w:trHeight w:val="276"/>
        </w:trPr>
        <w:tc>
          <w:tcPr>
            <w:tcW w:w="447" w:type="pct"/>
            <w:vAlign w:val="center"/>
            <w:hideMark/>
          </w:tcPr>
          <w:p w14:paraId="5FCE31B9" w14:textId="77777777" w:rsidR="00EB74A4" w:rsidRPr="00EB74A4" w:rsidRDefault="00EB74A4" w:rsidP="00EB74A4">
            <w:pPr>
              <w:pStyle w:val="ae"/>
              <w:rPr>
                <w:b w:val="0"/>
                <w:bCs/>
              </w:rPr>
            </w:pPr>
            <w:r w:rsidRPr="00EB74A4">
              <w:rPr>
                <w:rFonts w:hint="eastAsia"/>
                <w:b w:val="0"/>
                <w:bCs/>
              </w:rPr>
              <w:t>8.1.2</w:t>
            </w:r>
          </w:p>
        </w:tc>
        <w:tc>
          <w:tcPr>
            <w:tcW w:w="1098" w:type="pct"/>
            <w:vAlign w:val="center"/>
            <w:hideMark/>
          </w:tcPr>
          <w:p w14:paraId="04565F27" w14:textId="77777777" w:rsidR="00EB74A4" w:rsidRPr="00EB74A4" w:rsidRDefault="00EB74A4" w:rsidP="00EB74A4">
            <w:pPr>
              <w:pStyle w:val="ae"/>
              <w:rPr>
                <w:b w:val="0"/>
                <w:bCs/>
              </w:rPr>
            </w:pPr>
            <w:r w:rsidRPr="00EB74A4">
              <w:rPr>
                <w:rFonts w:hint="eastAsia"/>
                <w:b w:val="0"/>
                <w:bCs/>
              </w:rPr>
              <w:t>室外热环境</w:t>
            </w:r>
          </w:p>
        </w:tc>
        <w:tc>
          <w:tcPr>
            <w:tcW w:w="3455" w:type="pct"/>
            <w:vAlign w:val="center"/>
            <w:hideMark/>
          </w:tcPr>
          <w:p w14:paraId="008CFF96" w14:textId="77777777" w:rsidR="00EB74A4" w:rsidRPr="00EB74A4" w:rsidRDefault="00EB74A4" w:rsidP="00EB74A4">
            <w:pPr>
              <w:pStyle w:val="ae"/>
              <w:rPr>
                <w:b w:val="0"/>
                <w:bCs/>
              </w:rPr>
            </w:pPr>
            <w:r w:rsidRPr="00EB74A4">
              <w:rPr>
                <w:rFonts w:hint="eastAsia"/>
                <w:b w:val="0"/>
                <w:bCs/>
              </w:rPr>
              <w:t>相关设计文件、场地热环境计算报告</w:t>
            </w:r>
          </w:p>
        </w:tc>
      </w:tr>
      <w:tr w:rsidR="00EB74A4" w:rsidRPr="00EB74A4" w14:paraId="5FA470D5" w14:textId="77777777" w:rsidTr="00EB74A4">
        <w:trPr>
          <w:trHeight w:val="552"/>
        </w:trPr>
        <w:tc>
          <w:tcPr>
            <w:tcW w:w="447" w:type="pct"/>
            <w:vAlign w:val="center"/>
            <w:hideMark/>
          </w:tcPr>
          <w:p w14:paraId="7936B966" w14:textId="77777777" w:rsidR="00EB74A4" w:rsidRPr="00EB74A4" w:rsidRDefault="00EB74A4" w:rsidP="00EB74A4">
            <w:pPr>
              <w:pStyle w:val="ae"/>
              <w:rPr>
                <w:b w:val="0"/>
                <w:bCs/>
              </w:rPr>
            </w:pPr>
            <w:r w:rsidRPr="00EB74A4">
              <w:rPr>
                <w:rFonts w:hint="eastAsia"/>
                <w:b w:val="0"/>
                <w:bCs/>
              </w:rPr>
              <w:t>8.1.3</w:t>
            </w:r>
          </w:p>
        </w:tc>
        <w:tc>
          <w:tcPr>
            <w:tcW w:w="1098" w:type="pct"/>
            <w:vAlign w:val="center"/>
            <w:hideMark/>
          </w:tcPr>
          <w:p w14:paraId="43737F88" w14:textId="77777777" w:rsidR="00EB74A4" w:rsidRPr="00EB74A4" w:rsidRDefault="00EB74A4" w:rsidP="00EB74A4">
            <w:pPr>
              <w:pStyle w:val="ae"/>
              <w:rPr>
                <w:b w:val="0"/>
                <w:bCs/>
              </w:rPr>
            </w:pPr>
            <w:r w:rsidRPr="00EB74A4">
              <w:rPr>
                <w:rFonts w:hint="eastAsia"/>
                <w:b w:val="0"/>
                <w:bCs/>
              </w:rPr>
              <w:t>绿化方式</w:t>
            </w:r>
          </w:p>
        </w:tc>
        <w:tc>
          <w:tcPr>
            <w:tcW w:w="3455" w:type="pct"/>
            <w:vAlign w:val="center"/>
            <w:hideMark/>
          </w:tcPr>
          <w:p w14:paraId="40F05973"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绿地率分析计算图、人均公共绿地分析计算图、植物设计图、植物配植分析计算报告、垂直绿化分析图、种植区域竖向设计和排水设计图</w:t>
            </w:r>
            <w:r w:rsidRPr="00EB74A4">
              <w:rPr>
                <w:rFonts w:hint="eastAsia"/>
                <w:b w:val="0"/>
                <w:bCs/>
              </w:rPr>
              <w:t>)</w:t>
            </w:r>
            <w:r w:rsidRPr="00EB74A4">
              <w:rPr>
                <w:rFonts w:hint="eastAsia"/>
                <w:b w:val="0"/>
                <w:bCs/>
              </w:rPr>
              <w:t>；</w:t>
            </w:r>
          </w:p>
        </w:tc>
      </w:tr>
      <w:tr w:rsidR="00EB74A4" w:rsidRPr="00EB74A4" w14:paraId="755ABF50" w14:textId="77777777" w:rsidTr="00EB74A4">
        <w:trPr>
          <w:trHeight w:val="552"/>
        </w:trPr>
        <w:tc>
          <w:tcPr>
            <w:tcW w:w="447" w:type="pct"/>
            <w:vAlign w:val="center"/>
            <w:hideMark/>
          </w:tcPr>
          <w:p w14:paraId="42899656" w14:textId="77777777" w:rsidR="00EB74A4" w:rsidRPr="00EB74A4" w:rsidRDefault="00EB74A4" w:rsidP="00EB74A4">
            <w:pPr>
              <w:pStyle w:val="ae"/>
              <w:rPr>
                <w:b w:val="0"/>
                <w:bCs/>
              </w:rPr>
            </w:pPr>
            <w:r w:rsidRPr="00EB74A4">
              <w:rPr>
                <w:rFonts w:hint="eastAsia"/>
                <w:b w:val="0"/>
                <w:bCs/>
              </w:rPr>
              <w:t>8.1.4</w:t>
            </w:r>
          </w:p>
        </w:tc>
        <w:tc>
          <w:tcPr>
            <w:tcW w:w="1098" w:type="pct"/>
            <w:vAlign w:val="center"/>
            <w:hideMark/>
          </w:tcPr>
          <w:p w14:paraId="33593DDB" w14:textId="77777777" w:rsidR="00EB74A4" w:rsidRPr="00EB74A4" w:rsidRDefault="00EB74A4" w:rsidP="00EB74A4">
            <w:pPr>
              <w:pStyle w:val="ae"/>
              <w:rPr>
                <w:b w:val="0"/>
                <w:bCs/>
              </w:rPr>
            </w:pPr>
            <w:r w:rsidRPr="00EB74A4">
              <w:rPr>
                <w:rFonts w:hint="eastAsia"/>
                <w:b w:val="0"/>
                <w:bCs/>
              </w:rPr>
              <w:t>场地竖向设计</w:t>
            </w:r>
          </w:p>
        </w:tc>
        <w:tc>
          <w:tcPr>
            <w:tcW w:w="3455" w:type="pct"/>
            <w:vAlign w:val="center"/>
            <w:hideMark/>
          </w:tcPr>
          <w:p w14:paraId="01A6C185"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场地竖向设计文件</w:t>
            </w:r>
            <w:r w:rsidRPr="00EB74A4">
              <w:rPr>
                <w:rFonts w:hint="eastAsia"/>
                <w:b w:val="0"/>
                <w:bCs/>
              </w:rPr>
              <w:t>)</w:t>
            </w:r>
            <w:r w:rsidRPr="00EB74A4">
              <w:rPr>
                <w:rFonts w:hint="eastAsia"/>
                <w:b w:val="0"/>
                <w:bCs/>
              </w:rPr>
              <w:t>、年径流总量控制率计算书、设计控制雨量计算书、场地雨水综合利用方案或专项设计文件</w:t>
            </w:r>
          </w:p>
        </w:tc>
      </w:tr>
      <w:tr w:rsidR="00EB74A4" w:rsidRPr="00EB74A4" w14:paraId="2C15C011" w14:textId="77777777" w:rsidTr="00EB74A4">
        <w:trPr>
          <w:trHeight w:val="276"/>
        </w:trPr>
        <w:tc>
          <w:tcPr>
            <w:tcW w:w="447" w:type="pct"/>
            <w:vAlign w:val="center"/>
            <w:hideMark/>
          </w:tcPr>
          <w:p w14:paraId="356A6284" w14:textId="77777777" w:rsidR="00EB74A4" w:rsidRPr="00EB74A4" w:rsidRDefault="00EB74A4" w:rsidP="00EB74A4">
            <w:pPr>
              <w:pStyle w:val="ae"/>
              <w:rPr>
                <w:b w:val="0"/>
                <w:bCs/>
              </w:rPr>
            </w:pPr>
            <w:r w:rsidRPr="00EB74A4">
              <w:rPr>
                <w:rFonts w:hint="eastAsia"/>
                <w:b w:val="0"/>
                <w:bCs/>
              </w:rPr>
              <w:t>8.1.5</w:t>
            </w:r>
          </w:p>
        </w:tc>
        <w:tc>
          <w:tcPr>
            <w:tcW w:w="1098" w:type="pct"/>
            <w:vAlign w:val="center"/>
            <w:hideMark/>
          </w:tcPr>
          <w:p w14:paraId="4D522A1C" w14:textId="77777777" w:rsidR="00EB74A4" w:rsidRPr="00EB74A4" w:rsidRDefault="00EB74A4" w:rsidP="00EB74A4">
            <w:pPr>
              <w:pStyle w:val="ae"/>
              <w:rPr>
                <w:b w:val="0"/>
                <w:bCs/>
              </w:rPr>
            </w:pPr>
            <w:r w:rsidRPr="00EB74A4">
              <w:rPr>
                <w:rFonts w:hint="eastAsia"/>
                <w:b w:val="0"/>
                <w:bCs/>
              </w:rPr>
              <w:t>无排放超标</w:t>
            </w:r>
          </w:p>
        </w:tc>
        <w:tc>
          <w:tcPr>
            <w:tcW w:w="3455" w:type="pct"/>
            <w:vAlign w:val="center"/>
            <w:hideMark/>
          </w:tcPr>
          <w:p w14:paraId="64264AF0" w14:textId="77777777" w:rsidR="00EB74A4" w:rsidRPr="00EB74A4" w:rsidRDefault="00EB74A4" w:rsidP="00EB74A4">
            <w:pPr>
              <w:pStyle w:val="ae"/>
              <w:rPr>
                <w:b w:val="0"/>
                <w:bCs/>
              </w:rPr>
            </w:pPr>
            <w:r w:rsidRPr="00EB74A4">
              <w:rPr>
                <w:rFonts w:hint="eastAsia"/>
                <w:b w:val="0"/>
                <w:bCs/>
              </w:rPr>
              <w:t>环评报告、治理措施分析报告；</w:t>
            </w:r>
          </w:p>
        </w:tc>
      </w:tr>
      <w:tr w:rsidR="00EB74A4" w:rsidRPr="00EB74A4" w14:paraId="66C5AA9E" w14:textId="77777777" w:rsidTr="00EB74A4">
        <w:trPr>
          <w:trHeight w:val="276"/>
        </w:trPr>
        <w:tc>
          <w:tcPr>
            <w:tcW w:w="447" w:type="pct"/>
            <w:vAlign w:val="center"/>
            <w:hideMark/>
          </w:tcPr>
          <w:p w14:paraId="59760EB6" w14:textId="77777777" w:rsidR="00EB74A4" w:rsidRPr="00EB74A4" w:rsidRDefault="00EB74A4" w:rsidP="00EB74A4">
            <w:pPr>
              <w:pStyle w:val="ae"/>
              <w:rPr>
                <w:b w:val="0"/>
                <w:bCs/>
              </w:rPr>
            </w:pPr>
            <w:r w:rsidRPr="00EB74A4">
              <w:rPr>
                <w:rFonts w:hint="eastAsia"/>
                <w:b w:val="0"/>
                <w:bCs/>
              </w:rPr>
              <w:t>8.1.6</w:t>
            </w:r>
          </w:p>
        </w:tc>
        <w:tc>
          <w:tcPr>
            <w:tcW w:w="1098" w:type="pct"/>
            <w:vAlign w:val="center"/>
            <w:hideMark/>
          </w:tcPr>
          <w:p w14:paraId="211F4159" w14:textId="77777777" w:rsidR="00EB74A4" w:rsidRPr="00EB74A4" w:rsidRDefault="00EB74A4" w:rsidP="00EB74A4">
            <w:pPr>
              <w:pStyle w:val="ae"/>
              <w:rPr>
                <w:b w:val="0"/>
                <w:bCs/>
              </w:rPr>
            </w:pPr>
            <w:r w:rsidRPr="00EB74A4">
              <w:rPr>
                <w:rFonts w:hint="eastAsia"/>
                <w:b w:val="0"/>
                <w:bCs/>
              </w:rPr>
              <w:t>生活垃圾</w:t>
            </w:r>
          </w:p>
        </w:tc>
        <w:tc>
          <w:tcPr>
            <w:tcW w:w="3455" w:type="pct"/>
            <w:vAlign w:val="center"/>
            <w:hideMark/>
          </w:tcPr>
          <w:p w14:paraId="471AB605" w14:textId="77777777" w:rsidR="00EB74A4" w:rsidRPr="00EB74A4" w:rsidRDefault="00EB74A4" w:rsidP="00EB74A4">
            <w:pPr>
              <w:pStyle w:val="ae"/>
              <w:rPr>
                <w:b w:val="0"/>
                <w:bCs/>
              </w:rPr>
            </w:pPr>
            <w:r w:rsidRPr="00EB74A4">
              <w:rPr>
                <w:rFonts w:hint="eastAsia"/>
                <w:b w:val="0"/>
                <w:bCs/>
              </w:rPr>
              <w:t>相关设计文件、垃圾收集设施布置图；</w:t>
            </w:r>
          </w:p>
        </w:tc>
      </w:tr>
      <w:tr w:rsidR="00EB74A4" w:rsidRPr="00EB74A4" w14:paraId="1C5174A7" w14:textId="77777777" w:rsidTr="00EB74A4">
        <w:trPr>
          <w:trHeight w:val="276"/>
        </w:trPr>
        <w:tc>
          <w:tcPr>
            <w:tcW w:w="447" w:type="pct"/>
            <w:vAlign w:val="center"/>
            <w:hideMark/>
          </w:tcPr>
          <w:p w14:paraId="482F5035" w14:textId="77777777" w:rsidR="00EB74A4" w:rsidRPr="00EB74A4" w:rsidRDefault="00EB74A4" w:rsidP="00EB74A4">
            <w:pPr>
              <w:pStyle w:val="ae"/>
              <w:rPr>
                <w:b w:val="0"/>
                <w:bCs/>
              </w:rPr>
            </w:pPr>
            <w:r w:rsidRPr="00EB74A4">
              <w:rPr>
                <w:rFonts w:hint="eastAsia"/>
                <w:b w:val="0"/>
                <w:bCs/>
              </w:rPr>
              <w:t>8.1.7</w:t>
            </w:r>
          </w:p>
        </w:tc>
        <w:tc>
          <w:tcPr>
            <w:tcW w:w="1098" w:type="pct"/>
            <w:vAlign w:val="center"/>
            <w:hideMark/>
          </w:tcPr>
          <w:p w14:paraId="5A24CECE" w14:textId="77777777" w:rsidR="00EB74A4" w:rsidRPr="00EB74A4" w:rsidRDefault="00EB74A4" w:rsidP="00EB74A4">
            <w:pPr>
              <w:pStyle w:val="ae"/>
              <w:rPr>
                <w:b w:val="0"/>
                <w:bCs/>
              </w:rPr>
            </w:pPr>
            <w:r w:rsidRPr="00EB74A4">
              <w:rPr>
                <w:rFonts w:hint="eastAsia"/>
                <w:b w:val="0"/>
                <w:bCs/>
              </w:rPr>
              <w:t>禁止吸烟</w:t>
            </w:r>
          </w:p>
        </w:tc>
        <w:tc>
          <w:tcPr>
            <w:tcW w:w="3455" w:type="pct"/>
            <w:vAlign w:val="center"/>
            <w:hideMark/>
          </w:tcPr>
          <w:p w14:paraId="511E8E99" w14:textId="77777777" w:rsidR="00EB74A4" w:rsidRPr="00EB74A4" w:rsidRDefault="00EB74A4" w:rsidP="00EB74A4">
            <w:pPr>
              <w:pStyle w:val="ae"/>
              <w:rPr>
                <w:b w:val="0"/>
                <w:bCs/>
              </w:rPr>
            </w:pPr>
            <w:r w:rsidRPr="00EB74A4">
              <w:rPr>
                <w:rFonts w:hint="eastAsia"/>
                <w:b w:val="0"/>
                <w:bCs/>
              </w:rPr>
              <w:t>相关设计文件、禁烟标识布置图；</w:t>
            </w:r>
          </w:p>
        </w:tc>
      </w:tr>
      <w:tr w:rsidR="00EB74A4" w:rsidRPr="00EB74A4" w14:paraId="059FB435" w14:textId="77777777" w:rsidTr="00EB74A4">
        <w:trPr>
          <w:trHeight w:val="552"/>
        </w:trPr>
        <w:tc>
          <w:tcPr>
            <w:tcW w:w="447" w:type="pct"/>
            <w:vAlign w:val="center"/>
            <w:hideMark/>
          </w:tcPr>
          <w:p w14:paraId="7BF4E1D0" w14:textId="77777777" w:rsidR="00EB74A4" w:rsidRPr="00EB74A4" w:rsidRDefault="00EB74A4" w:rsidP="00EB74A4">
            <w:pPr>
              <w:pStyle w:val="ae"/>
              <w:rPr>
                <w:b w:val="0"/>
                <w:bCs/>
              </w:rPr>
            </w:pPr>
            <w:r w:rsidRPr="00EB74A4">
              <w:rPr>
                <w:rFonts w:hint="eastAsia"/>
                <w:b w:val="0"/>
                <w:bCs/>
              </w:rPr>
              <w:t>8.2.1</w:t>
            </w:r>
          </w:p>
        </w:tc>
        <w:tc>
          <w:tcPr>
            <w:tcW w:w="1098" w:type="pct"/>
            <w:vAlign w:val="center"/>
            <w:hideMark/>
          </w:tcPr>
          <w:p w14:paraId="7C87DCC6" w14:textId="77777777" w:rsidR="00EB74A4" w:rsidRPr="00EB74A4" w:rsidRDefault="00EB74A4" w:rsidP="00EB74A4">
            <w:pPr>
              <w:pStyle w:val="ae"/>
              <w:rPr>
                <w:b w:val="0"/>
                <w:bCs/>
              </w:rPr>
            </w:pPr>
            <w:r w:rsidRPr="00EB74A4">
              <w:rPr>
                <w:rFonts w:hint="eastAsia"/>
                <w:b w:val="0"/>
                <w:bCs/>
              </w:rPr>
              <w:t>场地生态环境</w:t>
            </w:r>
          </w:p>
        </w:tc>
        <w:tc>
          <w:tcPr>
            <w:tcW w:w="3455" w:type="pct"/>
            <w:vAlign w:val="center"/>
            <w:hideMark/>
          </w:tcPr>
          <w:p w14:paraId="032D8DA5" w14:textId="77777777" w:rsidR="00EB74A4" w:rsidRPr="00EB74A4" w:rsidRDefault="00EB74A4" w:rsidP="00EB74A4">
            <w:pPr>
              <w:pStyle w:val="ae"/>
              <w:rPr>
                <w:b w:val="0"/>
                <w:bCs/>
              </w:rPr>
            </w:pPr>
            <w:r w:rsidRPr="00EB74A4">
              <w:rPr>
                <w:rFonts w:hint="eastAsia"/>
                <w:b w:val="0"/>
                <w:bCs/>
              </w:rPr>
              <w:t>场地原地形图、相关设计文件</w:t>
            </w:r>
            <w:r w:rsidRPr="00EB74A4">
              <w:rPr>
                <w:rFonts w:hint="eastAsia"/>
                <w:b w:val="0"/>
                <w:bCs/>
              </w:rPr>
              <w:t>(</w:t>
            </w:r>
            <w:r w:rsidRPr="00EB74A4">
              <w:rPr>
                <w:rFonts w:hint="eastAsia"/>
                <w:b w:val="0"/>
                <w:bCs/>
              </w:rPr>
              <w:t>带地形的规划设计图、总平面图、竖向设计图、景观设计总平面图</w:t>
            </w:r>
            <w:r w:rsidRPr="00EB74A4">
              <w:rPr>
                <w:rFonts w:hint="eastAsia"/>
                <w:b w:val="0"/>
                <w:bCs/>
              </w:rPr>
              <w:t>)</w:t>
            </w:r>
            <w:r w:rsidRPr="00EB74A4">
              <w:rPr>
                <w:rFonts w:hint="eastAsia"/>
                <w:b w:val="0"/>
                <w:bCs/>
              </w:rPr>
              <w:t>；</w:t>
            </w:r>
          </w:p>
        </w:tc>
      </w:tr>
      <w:tr w:rsidR="00EB74A4" w:rsidRPr="00EB74A4" w14:paraId="72C22031" w14:textId="77777777" w:rsidTr="00EB74A4">
        <w:trPr>
          <w:trHeight w:val="552"/>
        </w:trPr>
        <w:tc>
          <w:tcPr>
            <w:tcW w:w="447" w:type="pct"/>
            <w:vAlign w:val="center"/>
            <w:hideMark/>
          </w:tcPr>
          <w:p w14:paraId="5AD110BF" w14:textId="77777777" w:rsidR="00EB74A4" w:rsidRPr="00EB74A4" w:rsidRDefault="00EB74A4" w:rsidP="00EB74A4">
            <w:pPr>
              <w:pStyle w:val="ae"/>
              <w:rPr>
                <w:b w:val="0"/>
                <w:bCs/>
              </w:rPr>
            </w:pPr>
            <w:r w:rsidRPr="00EB74A4">
              <w:rPr>
                <w:rFonts w:hint="eastAsia"/>
                <w:b w:val="0"/>
                <w:bCs/>
              </w:rPr>
              <w:t>8.2.2</w:t>
            </w:r>
          </w:p>
        </w:tc>
        <w:tc>
          <w:tcPr>
            <w:tcW w:w="1098" w:type="pct"/>
            <w:vAlign w:val="center"/>
            <w:hideMark/>
          </w:tcPr>
          <w:p w14:paraId="217C68C3" w14:textId="77777777" w:rsidR="00EB74A4" w:rsidRPr="00EB74A4" w:rsidRDefault="00EB74A4" w:rsidP="00EB74A4">
            <w:pPr>
              <w:pStyle w:val="ae"/>
              <w:rPr>
                <w:b w:val="0"/>
                <w:bCs/>
              </w:rPr>
            </w:pPr>
            <w:r w:rsidRPr="00EB74A4">
              <w:rPr>
                <w:rFonts w:hint="eastAsia"/>
                <w:b w:val="0"/>
                <w:bCs/>
              </w:rPr>
              <w:t>年径流量</w:t>
            </w:r>
          </w:p>
        </w:tc>
        <w:tc>
          <w:tcPr>
            <w:tcW w:w="3455" w:type="pct"/>
            <w:vAlign w:val="center"/>
            <w:hideMark/>
          </w:tcPr>
          <w:p w14:paraId="3CCBD549" w14:textId="77777777" w:rsidR="00EB74A4" w:rsidRPr="00EB74A4" w:rsidRDefault="00EB74A4" w:rsidP="00EB74A4">
            <w:pPr>
              <w:pStyle w:val="ae"/>
              <w:rPr>
                <w:b w:val="0"/>
                <w:bCs/>
              </w:rPr>
            </w:pPr>
            <w:r w:rsidRPr="00EB74A4">
              <w:rPr>
                <w:rFonts w:hint="eastAsia"/>
                <w:b w:val="0"/>
                <w:bCs/>
              </w:rPr>
              <w:t>相关设计文件、年径流总量控制率计算书、设计控制雨量计算</w:t>
            </w:r>
            <w:r w:rsidRPr="00EB74A4">
              <w:rPr>
                <w:rFonts w:hint="eastAsia"/>
                <w:b w:val="0"/>
                <w:bCs/>
              </w:rPr>
              <w:lastRenderedPageBreak/>
              <w:t>书、场地雨水综合利用方案或专项设计文件；</w:t>
            </w:r>
          </w:p>
        </w:tc>
      </w:tr>
      <w:tr w:rsidR="00EB74A4" w:rsidRPr="00EB74A4" w14:paraId="3C74C8B8" w14:textId="77777777" w:rsidTr="00EB74A4">
        <w:trPr>
          <w:trHeight w:val="276"/>
        </w:trPr>
        <w:tc>
          <w:tcPr>
            <w:tcW w:w="447" w:type="pct"/>
            <w:vAlign w:val="center"/>
            <w:hideMark/>
          </w:tcPr>
          <w:p w14:paraId="1C59ED5E" w14:textId="77777777" w:rsidR="00EB74A4" w:rsidRPr="00EB74A4" w:rsidRDefault="00EB74A4" w:rsidP="00EB74A4">
            <w:pPr>
              <w:pStyle w:val="ae"/>
              <w:rPr>
                <w:b w:val="0"/>
                <w:bCs/>
              </w:rPr>
            </w:pPr>
            <w:r w:rsidRPr="00EB74A4">
              <w:rPr>
                <w:rFonts w:hint="eastAsia"/>
                <w:b w:val="0"/>
                <w:bCs/>
              </w:rPr>
              <w:lastRenderedPageBreak/>
              <w:t>8.2.3</w:t>
            </w:r>
          </w:p>
        </w:tc>
        <w:tc>
          <w:tcPr>
            <w:tcW w:w="1098" w:type="pct"/>
            <w:vAlign w:val="center"/>
            <w:hideMark/>
          </w:tcPr>
          <w:p w14:paraId="40F3E279" w14:textId="77777777" w:rsidR="00EB74A4" w:rsidRPr="00EB74A4" w:rsidRDefault="00EB74A4" w:rsidP="00EB74A4">
            <w:pPr>
              <w:pStyle w:val="ae"/>
              <w:rPr>
                <w:b w:val="0"/>
                <w:bCs/>
              </w:rPr>
            </w:pPr>
            <w:r w:rsidRPr="00EB74A4">
              <w:rPr>
                <w:rFonts w:hint="eastAsia"/>
                <w:b w:val="0"/>
                <w:bCs/>
              </w:rPr>
              <w:t>绿化用地</w:t>
            </w:r>
          </w:p>
        </w:tc>
        <w:tc>
          <w:tcPr>
            <w:tcW w:w="3455" w:type="pct"/>
            <w:vAlign w:val="center"/>
            <w:hideMark/>
          </w:tcPr>
          <w:p w14:paraId="6744260E" w14:textId="77777777" w:rsidR="00EB74A4" w:rsidRPr="00EB74A4" w:rsidRDefault="00EB74A4" w:rsidP="00EB74A4">
            <w:pPr>
              <w:pStyle w:val="ae"/>
              <w:rPr>
                <w:b w:val="0"/>
                <w:bCs/>
              </w:rPr>
            </w:pPr>
            <w:r w:rsidRPr="00EB74A4">
              <w:rPr>
                <w:rFonts w:hint="eastAsia"/>
                <w:b w:val="0"/>
                <w:bCs/>
              </w:rPr>
              <w:t>规划许可的设计条件、相关设计文件、日照分析报告、绿地率计算书；</w:t>
            </w:r>
          </w:p>
        </w:tc>
      </w:tr>
      <w:tr w:rsidR="00EB74A4" w:rsidRPr="00EB74A4" w14:paraId="72BCA98F" w14:textId="77777777" w:rsidTr="00EB74A4">
        <w:trPr>
          <w:trHeight w:val="276"/>
        </w:trPr>
        <w:tc>
          <w:tcPr>
            <w:tcW w:w="447" w:type="pct"/>
            <w:vAlign w:val="center"/>
            <w:hideMark/>
          </w:tcPr>
          <w:p w14:paraId="67450851" w14:textId="77777777" w:rsidR="00EB74A4" w:rsidRPr="00EB74A4" w:rsidRDefault="00EB74A4" w:rsidP="00EB74A4">
            <w:pPr>
              <w:pStyle w:val="ae"/>
              <w:rPr>
                <w:b w:val="0"/>
                <w:bCs/>
              </w:rPr>
            </w:pPr>
            <w:r w:rsidRPr="00EB74A4">
              <w:rPr>
                <w:rFonts w:hint="eastAsia"/>
                <w:b w:val="0"/>
                <w:bCs/>
              </w:rPr>
              <w:t>8.2.4</w:t>
            </w:r>
          </w:p>
        </w:tc>
        <w:tc>
          <w:tcPr>
            <w:tcW w:w="1098" w:type="pct"/>
            <w:vAlign w:val="center"/>
            <w:hideMark/>
          </w:tcPr>
          <w:p w14:paraId="5E5D0495" w14:textId="77777777" w:rsidR="00EB74A4" w:rsidRPr="00EB74A4" w:rsidRDefault="00EB74A4" w:rsidP="00EB74A4">
            <w:pPr>
              <w:pStyle w:val="ae"/>
              <w:rPr>
                <w:b w:val="0"/>
                <w:bCs/>
              </w:rPr>
            </w:pPr>
            <w:r w:rsidRPr="00EB74A4">
              <w:rPr>
                <w:rFonts w:hint="eastAsia"/>
                <w:b w:val="0"/>
                <w:bCs/>
              </w:rPr>
              <w:t>室外吸烟区</w:t>
            </w:r>
          </w:p>
        </w:tc>
        <w:tc>
          <w:tcPr>
            <w:tcW w:w="3455" w:type="pct"/>
            <w:vAlign w:val="center"/>
            <w:hideMark/>
          </w:tcPr>
          <w:p w14:paraId="3185BD51"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7DEF403A" w14:textId="77777777" w:rsidTr="00EB74A4">
        <w:trPr>
          <w:trHeight w:val="276"/>
        </w:trPr>
        <w:tc>
          <w:tcPr>
            <w:tcW w:w="447" w:type="pct"/>
            <w:vAlign w:val="center"/>
            <w:hideMark/>
          </w:tcPr>
          <w:p w14:paraId="4AC1CAAF" w14:textId="77777777" w:rsidR="00EB74A4" w:rsidRPr="00EB74A4" w:rsidRDefault="00EB74A4" w:rsidP="00EB74A4">
            <w:pPr>
              <w:pStyle w:val="ae"/>
              <w:rPr>
                <w:b w:val="0"/>
                <w:bCs/>
              </w:rPr>
            </w:pPr>
            <w:r w:rsidRPr="00EB74A4">
              <w:rPr>
                <w:rFonts w:hint="eastAsia"/>
                <w:b w:val="0"/>
                <w:bCs/>
              </w:rPr>
              <w:t>8.2.5</w:t>
            </w:r>
          </w:p>
        </w:tc>
        <w:tc>
          <w:tcPr>
            <w:tcW w:w="1098" w:type="pct"/>
            <w:vAlign w:val="center"/>
            <w:hideMark/>
          </w:tcPr>
          <w:p w14:paraId="07897F9B" w14:textId="77777777" w:rsidR="00EB74A4" w:rsidRPr="00EB74A4" w:rsidRDefault="00EB74A4" w:rsidP="00EB74A4">
            <w:pPr>
              <w:pStyle w:val="ae"/>
              <w:rPr>
                <w:b w:val="0"/>
                <w:bCs/>
              </w:rPr>
            </w:pPr>
            <w:r w:rsidRPr="00EB74A4">
              <w:rPr>
                <w:rFonts w:hint="eastAsia"/>
                <w:b w:val="0"/>
                <w:bCs/>
              </w:rPr>
              <w:t>绿色雨水基础设施</w:t>
            </w:r>
          </w:p>
        </w:tc>
        <w:tc>
          <w:tcPr>
            <w:tcW w:w="3455" w:type="pct"/>
            <w:vAlign w:val="center"/>
            <w:hideMark/>
          </w:tcPr>
          <w:p w14:paraId="40F12397" w14:textId="77777777" w:rsidR="00EB74A4" w:rsidRPr="00EB74A4" w:rsidRDefault="00EB74A4" w:rsidP="00EB74A4">
            <w:pPr>
              <w:pStyle w:val="ae"/>
              <w:rPr>
                <w:b w:val="0"/>
                <w:bCs/>
              </w:rPr>
            </w:pPr>
            <w:r w:rsidRPr="00EB74A4">
              <w:rPr>
                <w:rFonts w:hint="eastAsia"/>
                <w:b w:val="0"/>
                <w:bCs/>
              </w:rPr>
              <w:t>相关设计文件</w:t>
            </w:r>
            <w:r w:rsidRPr="00EB74A4">
              <w:rPr>
                <w:rFonts w:hint="eastAsia"/>
                <w:b w:val="0"/>
                <w:bCs/>
              </w:rPr>
              <w:t>(</w:t>
            </w:r>
            <w:r w:rsidRPr="00EB74A4">
              <w:rPr>
                <w:rFonts w:hint="eastAsia"/>
                <w:b w:val="0"/>
                <w:bCs/>
              </w:rPr>
              <w:t>含总平面图、景观设计图、室外给水排水总平面图等</w:t>
            </w:r>
            <w:r w:rsidRPr="00EB74A4">
              <w:rPr>
                <w:rFonts w:hint="eastAsia"/>
                <w:b w:val="0"/>
                <w:bCs/>
              </w:rPr>
              <w:t>)</w:t>
            </w:r>
            <w:r w:rsidRPr="00EB74A4">
              <w:rPr>
                <w:rFonts w:hint="eastAsia"/>
                <w:b w:val="0"/>
                <w:bCs/>
              </w:rPr>
              <w:t>、计算书</w:t>
            </w:r>
          </w:p>
        </w:tc>
      </w:tr>
      <w:tr w:rsidR="00EB74A4" w:rsidRPr="00EB74A4" w14:paraId="72BDB4C0" w14:textId="77777777" w:rsidTr="00EB74A4">
        <w:trPr>
          <w:trHeight w:val="552"/>
        </w:trPr>
        <w:tc>
          <w:tcPr>
            <w:tcW w:w="447" w:type="pct"/>
            <w:vAlign w:val="center"/>
            <w:hideMark/>
          </w:tcPr>
          <w:p w14:paraId="5E7FF23F" w14:textId="77777777" w:rsidR="00EB74A4" w:rsidRPr="00EB74A4" w:rsidRDefault="00EB74A4" w:rsidP="00EB74A4">
            <w:pPr>
              <w:pStyle w:val="ae"/>
              <w:rPr>
                <w:b w:val="0"/>
                <w:bCs/>
              </w:rPr>
            </w:pPr>
            <w:r w:rsidRPr="00EB74A4">
              <w:rPr>
                <w:rFonts w:hint="eastAsia"/>
                <w:b w:val="0"/>
                <w:bCs/>
              </w:rPr>
              <w:t>8.2.6</w:t>
            </w:r>
          </w:p>
        </w:tc>
        <w:tc>
          <w:tcPr>
            <w:tcW w:w="1098" w:type="pct"/>
            <w:vAlign w:val="center"/>
            <w:hideMark/>
          </w:tcPr>
          <w:p w14:paraId="6D7D3A6B" w14:textId="77777777" w:rsidR="00EB74A4" w:rsidRPr="00EB74A4" w:rsidRDefault="00EB74A4" w:rsidP="00EB74A4">
            <w:pPr>
              <w:pStyle w:val="ae"/>
              <w:rPr>
                <w:b w:val="0"/>
                <w:bCs/>
              </w:rPr>
            </w:pPr>
            <w:r w:rsidRPr="00EB74A4">
              <w:rPr>
                <w:rFonts w:hint="eastAsia"/>
                <w:b w:val="0"/>
                <w:bCs/>
              </w:rPr>
              <w:t>土石方工程</w:t>
            </w:r>
          </w:p>
        </w:tc>
        <w:tc>
          <w:tcPr>
            <w:tcW w:w="3455" w:type="pct"/>
            <w:vAlign w:val="center"/>
            <w:hideMark/>
          </w:tcPr>
          <w:p w14:paraId="78370B69" w14:textId="77777777" w:rsidR="00EB74A4" w:rsidRPr="00EB74A4" w:rsidRDefault="00EB74A4" w:rsidP="00EB74A4">
            <w:pPr>
              <w:pStyle w:val="ae"/>
              <w:rPr>
                <w:b w:val="0"/>
                <w:bCs/>
              </w:rPr>
            </w:pPr>
            <w:r w:rsidRPr="00EB74A4">
              <w:rPr>
                <w:rFonts w:hint="eastAsia"/>
                <w:b w:val="0"/>
                <w:bCs/>
              </w:rPr>
              <w:t>预评价查阅相关规划设计文件、场地竖向分析图、土石方平衡计算书、生态补偿计划</w:t>
            </w:r>
          </w:p>
        </w:tc>
      </w:tr>
      <w:tr w:rsidR="00EB74A4" w:rsidRPr="00EB74A4" w14:paraId="3D86A2DA" w14:textId="77777777" w:rsidTr="00EB74A4">
        <w:trPr>
          <w:trHeight w:val="552"/>
        </w:trPr>
        <w:tc>
          <w:tcPr>
            <w:tcW w:w="447" w:type="pct"/>
            <w:vAlign w:val="center"/>
            <w:hideMark/>
          </w:tcPr>
          <w:p w14:paraId="72CC2275" w14:textId="77777777" w:rsidR="00EB74A4" w:rsidRPr="00EB74A4" w:rsidRDefault="00EB74A4" w:rsidP="00EB74A4">
            <w:pPr>
              <w:pStyle w:val="ae"/>
              <w:rPr>
                <w:b w:val="0"/>
                <w:bCs/>
              </w:rPr>
            </w:pPr>
            <w:r w:rsidRPr="00EB74A4">
              <w:rPr>
                <w:rFonts w:hint="eastAsia"/>
                <w:b w:val="0"/>
                <w:bCs/>
              </w:rPr>
              <w:t>8.2.7</w:t>
            </w:r>
          </w:p>
        </w:tc>
        <w:tc>
          <w:tcPr>
            <w:tcW w:w="1098" w:type="pct"/>
            <w:vAlign w:val="center"/>
            <w:hideMark/>
          </w:tcPr>
          <w:p w14:paraId="1C52D453" w14:textId="77777777" w:rsidR="00EB74A4" w:rsidRPr="00EB74A4" w:rsidRDefault="00EB74A4" w:rsidP="00EB74A4">
            <w:pPr>
              <w:pStyle w:val="ae"/>
              <w:rPr>
                <w:b w:val="0"/>
                <w:bCs/>
              </w:rPr>
            </w:pPr>
            <w:r w:rsidRPr="00EB74A4">
              <w:rPr>
                <w:rFonts w:hint="eastAsia"/>
                <w:b w:val="0"/>
                <w:bCs/>
              </w:rPr>
              <w:t>环境噪声</w:t>
            </w:r>
          </w:p>
        </w:tc>
        <w:tc>
          <w:tcPr>
            <w:tcW w:w="3455" w:type="pct"/>
            <w:vAlign w:val="center"/>
            <w:hideMark/>
          </w:tcPr>
          <w:p w14:paraId="30A82455" w14:textId="77777777" w:rsidR="00EB74A4" w:rsidRPr="00EB74A4" w:rsidRDefault="00EB74A4" w:rsidP="00EB74A4">
            <w:pPr>
              <w:pStyle w:val="ae"/>
              <w:rPr>
                <w:b w:val="0"/>
                <w:bCs/>
              </w:rPr>
            </w:pPr>
            <w:r w:rsidRPr="00EB74A4">
              <w:rPr>
                <w:rFonts w:hint="eastAsia"/>
                <w:b w:val="0"/>
                <w:bCs/>
              </w:rPr>
              <w:t>环评报告</w:t>
            </w:r>
            <w:r w:rsidRPr="00EB74A4">
              <w:rPr>
                <w:rFonts w:hint="eastAsia"/>
                <w:b w:val="0"/>
                <w:bCs/>
              </w:rPr>
              <w:t>(</w:t>
            </w:r>
            <w:r w:rsidRPr="00EB74A4">
              <w:rPr>
                <w:rFonts w:hint="eastAsia"/>
                <w:b w:val="0"/>
                <w:bCs/>
              </w:rPr>
              <w:t>含有噪声检测及预测评价或独立的环境噪声影响测试评估报告</w:t>
            </w:r>
            <w:r w:rsidRPr="00EB74A4">
              <w:rPr>
                <w:rFonts w:hint="eastAsia"/>
                <w:b w:val="0"/>
                <w:bCs/>
              </w:rPr>
              <w:t>)</w:t>
            </w:r>
            <w:r w:rsidRPr="00EB74A4">
              <w:rPr>
                <w:rFonts w:hint="eastAsia"/>
                <w:b w:val="0"/>
                <w:bCs/>
              </w:rPr>
              <w:t>、相关设计文件、声环境优化报告</w:t>
            </w:r>
          </w:p>
        </w:tc>
      </w:tr>
      <w:tr w:rsidR="00EB74A4" w:rsidRPr="00EB74A4" w14:paraId="44FD612C" w14:textId="77777777" w:rsidTr="00EB74A4">
        <w:trPr>
          <w:trHeight w:val="276"/>
        </w:trPr>
        <w:tc>
          <w:tcPr>
            <w:tcW w:w="447" w:type="pct"/>
            <w:vAlign w:val="center"/>
            <w:hideMark/>
          </w:tcPr>
          <w:p w14:paraId="71225418" w14:textId="77777777" w:rsidR="00EB74A4" w:rsidRPr="00EB74A4" w:rsidRDefault="00EB74A4" w:rsidP="00EB74A4">
            <w:pPr>
              <w:pStyle w:val="ae"/>
              <w:rPr>
                <w:b w:val="0"/>
                <w:bCs/>
              </w:rPr>
            </w:pPr>
            <w:r w:rsidRPr="00EB74A4">
              <w:rPr>
                <w:rFonts w:hint="eastAsia"/>
                <w:b w:val="0"/>
                <w:bCs/>
              </w:rPr>
              <w:t>8.2.8</w:t>
            </w:r>
          </w:p>
        </w:tc>
        <w:tc>
          <w:tcPr>
            <w:tcW w:w="1098" w:type="pct"/>
            <w:vAlign w:val="center"/>
            <w:hideMark/>
          </w:tcPr>
          <w:p w14:paraId="4D0100D3" w14:textId="77777777" w:rsidR="00EB74A4" w:rsidRPr="00EB74A4" w:rsidRDefault="00EB74A4" w:rsidP="00EB74A4">
            <w:pPr>
              <w:pStyle w:val="ae"/>
              <w:rPr>
                <w:b w:val="0"/>
                <w:bCs/>
              </w:rPr>
            </w:pPr>
            <w:r w:rsidRPr="00EB74A4">
              <w:rPr>
                <w:rFonts w:hint="eastAsia"/>
                <w:b w:val="0"/>
                <w:bCs/>
              </w:rPr>
              <w:t>避免光污染</w:t>
            </w:r>
          </w:p>
        </w:tc>
        <w:tc>
          <w:tcPr>
            <w:tcW w:w="3455" w:type="pct"/>
            <w:vAlign w:val="center"/>
            <w:hideMark/>
          </w:tcPr>
          <w:p w14:paraId="3A896BE7" w14:textId="77777777" w:rsidR="00EB74A4" w:rsidRPr="00EB74A4" w:rsidRDefault="00EB74A4" w:rsidP="00EB74A4">
            <w:pPr>
              <w:pStyle w:val="ae"/>
              <w:rPr>
                <w:b w:val="0"/>
                <w:bCs/>
              </w:rPr>
            </w:pPr>
            <w:r w:rsidRPr="00EB74A4">
              <w:rPr>
                <w:rFonts w:hint="eastAsia"/>
                <w:b w:val="0"/>
                <w:bCs/>
              </w:rPr>
              <w:t>相关设计文件、光污染分析报告</w:t>
            </w:r>
          </w:p>
        </w:tc>
      </w:tr>
      <w:tr w:rsidR="00EB74A4" w:rsidRPr="00EB74A4" w14:paraId="63A52172" w14:textId="77777777" w:rsidTr="00EB74A4">
        <w:trPr>
          <w:trHeight w:val="276"/>
        </w:trPr>
        <w:tc>
          <w:tcPr>
            <w:tcW w:w="447" w:type="pct"/>
            <w:vAlign w:val="center"/>
            <w:hideMark/>
          </w:tcPr>
          <w:p w14:paraId="4785B02C" w14:textId="77777777" w:rsidR="00EB74A4" w:rsidRPr="00EB74A4" w:rsidRDefault="00EB74A4" w:rsidP="00EB74A4">
            <w:pPr>
              <w:pStyle w:val="ae"/>
              <w:rPr>
                <w:b w:val="0"/>
                <w:bCs/>
              </w:rPr>
            </w:pPr>
            <w:r w:rsidRPr="00EB74A4">
              <w:rPr>
                <w:rFonts w:hint="eastAsia"/>
                <w:b w:val="0"/>
                <w:bCs/>
              </w:rPr>
              <w:t>8.2.9</w:t>
            </w:r>
          </w:p>
        </w:tc>
        <w:tc>
          <w:tcPr>
            <w:tcW w:w="1098" w:type="pct"/>
            <w:vAlign w:val="center"/>
            <w:hideMark/>
          </w:tcPr>
          <w:p w14:paraId="6EC463FE" w14:textId="77777777" w:rsidR="00EB74A4" w:rsidRPr="00EB74A4" w:rsidRDefault="00EB74A4" w:rsidP="00EB74A4">
            <w:pPr>
              <w:pStyle w:val="ae"/>
              <w:rPr>
                <w:b w:val="0"/>
                <w:bCs/>
              </w:rPr>
            </w:pPr>
            <w:r w:rsidRPr="00EB74A4">
              <w:rPr>
                <w:rFonts w:hint="eastAsia"/>
                <w:b w:val="0"/>
                <w:bCs/>
              </w:rPr>
              <w:t>风环境</w:t>
            </w:r>
          </w:p>
        </w:tc>
        <w:tc>
          <w:tcPr>
            <w:tcW w:w="3455" w:type="pct"/>
            <w:vAlign w:val="center"/>
            <w:hideMark/>
          </w:tcPr>
          <w:p w14:paraId="7F3D0992" w14:textId="77777777" w:rsidR="00EB74A4" w:rsidRPr="00EB74A4" w:rsidRDefault="00EB74A4" w:rsidP="00EB74A4">
            <w:pPr>
              <w:pStyle w:val="ae"/>
              <w:rPr>
                <w:b w:val="0"/>
                <w:bCs/>
              </w:rPr>
            </w:pPr>
            <w:r w:rsidRPr="00EB74A4">
              <w:rPr>
                <w:rFonts w:hint="eastAsia"/>
                <w:b w:val="0"/>
                <w:bCs/>
              </w:rPr>
              <w:t>相关设计文件、风环境分析报告等</w:t>
            </w:r>
          </w:p>
        </w:tc>
      </w:tr>
      <w:tr w:rsidR="00EB74A4" w:rsidRPr="00EB74A4" w14:paraId="7E61F1E6" w14:textId="77777777" w:rsidTr="00EB74A4">
        <w:trPr>
          <w:trHeight w:val="276"/>
        </w:trPr>
        <w:tc>
          <w:tcPr>
            <w:tcW w:w="447" w:type="pct"/>
            <w:vAlign w:val="center"/>
            <w:hideMark/>
          </w:tcPr>
          <w:p w14:paraId="5100F28C" w14:textId="77777777" w:rsidR="00EB74A4" w:rsidRPr="00EB74A4" w:rsidRDefault="00EB74A4" w:rsidP="00EB74A4">
            <w:pPr>
              <w:pStyle w:val="ae"/>
              <w:rPr>
                <w:b w:val="0"/>
                <w:bCs/>
              </w:rPr>
            </w:pPr>
            <w:r w:rsidRPr="00EB74A4">
              <w:rPr>
                <w:rFonts w:hint="eastAsia"/>
                <w:b w:val="0"/>
                <w:bCs/>
              </w:rPr>
              <w:t>8.2.10</w:t>
            </w:r>
          </w:p>
        </w:tc>
        <w:tc>
          <w:tcPr>
            <w:tcW w:w="1098" w:type="pct"/>
            <w:vAlign w:val="center"/>
            <w:hideMark/>
          </w:tcPr>
          <w:p w14:paraId="2C65C06C" w14:textId="77777777" w:rsidR="00EB74A4" w:rsidRPr="00EB74A4" w:rsidRDefault="00EB74A4" w:rsidP="00EB74A4">
            <w:pPr>
              <w:pStyle w:val="ae"/>
              <w:rPr>
                <w:b w:val="0"/>
                <w:bCs/>
              </w:rPr>
            </w:pPr>
            <w:r w:rsidRPr="00EB74A4">
              <w:rPr>
                <w:rFonts w:hint="eastAsia"/>
                <w:b w:val="0"/>
                <w:bCs/>
              </w:rPr>
              <w:t>热岛强度</w:t>
            </w:r>
          </w:p>
        </w:tc>
        <w:tc>
          <w:tcPr>
            <w:tcW w:w="3455" w:type="pct"/>
            <w:vAlign w:val="center"/>
            <w:hideMark/>
          </w:tcPr>
          <w:p w14:paraId="5693C7B9" w14:textId="77777777" w:rsidR="00EB74A4" w:rsidRPr="00EB74A4" w:rsidRDefault="00EB74A4" w:rsidP="00EB74A4">
            <w:pPr>
              <w:pStyle w:val="ae"/>
              <w:rPr>
                <w:b w:val="0"/>
                <w:bCs/>
              </w:rPr>
            </w:pPr>
            <w:r w:rsidRPr="00EB74A4">
              <w:rPr>
                <w:rFonts w:hint="eastAsia"/>
                <w:b w:val="0"/>
                <w:bCs/>
              </w:rPr>
              <w:t>相关设计文件、日照分析报告、计算书</w:t>
            </w:r>
          </w:p>
        </w:tc>
      </w:tr>
      <w:tr w:rsidR="00EB74A4" w:rsidRPr="00EB74A4" w14:paraId="60D6C52B" w14:textId="77777777" w:rsidTr="00EB74A4">
        <w:trPr>
          <w:trHeight w:val="552"/>
        </w:trPr>
        <w:tc>
          <w:tcPr>
            <w:tcW w:w="447" w:type="pct"/>
            <w:vAlign w:val="center"/>
            <w:hideMark/>
          </w:tcPr>
          <w:p w14:paraId="0E8A01C3" w14:textId="77777777" w:rsidR="00EB74A4" w:rsidRPr="00EB74A4" w:rsidRDefault="00EB74A4" w:rsidP="00EB74A4">
            <w:pPr>
              <w:pStyle w:val="ae"/>
              <w:rPr>
                <w:b w:val="0"/>
                <w:bCs/>
              </w:rPr>
            </w:pPr>
            <w:r w:rsidRPr="00EB74A4">
              <w:rPr>
                <w:rFonts w:hint="eastAsia"/>
                <w:b w:val="0"/>
                <w:bCs/>
              </w:rPr>
              <w:t>9.2.1</w:t>
            </w:r>
          </w:p>
        </w:tc>
        <w:tc>
          <w:tcPr>
            <w:tcW w:w="1098" w:type="pct"/>
            <w:vAlign w:val="center"/>
            <w:hideMark/>
          </w:tcPr>
          <w:p w14:paraId="5F725D65" w14:textId="77777777" w:rsidR="00EB74A4" w:rsidRPr="00EB74A4" w:rsidRDefault="00EB74A4" w:rsidP="00EB74A4">
            <w:pPr>
              <w:pStyle w:val="ae"/>
              <w:rPr>
                <w:b w:val="0"/>
                <w:bCs/>
              </w:rPr>
            </w:pPr>
            <w:r w:rsidRPr="00EB74A4">
              <w:rPr>
                <w:rFonts w:hint="eastAsia"/>
                <w:b w:val="0"/>
                <w:bCs/>
              </w:rPr>
              <w:t>进一步降低建筑能耗</w:t>
            </w:r>
          </w:p>
        </w:tc>
        <w:tc>
          <w:tcPr>
            <w:tcW w:w="3455" w:type="pct"/>
            <w:vAlign w:val="center"/>
            <w:hideMark/>
          </w:tcPr>
          <w:p w14:paraId="4175D770" w14:textId="77777777" w:rsidR="00EB74A4" w:rsidRPr="00EB74A4" w:rsidRDefault="00EB74A4" w:rsidP="00EB74A4">
            <w:pPr>
              <w:pStyle w:val="ae"/>
              <w:rPr>
                <w:b w:val="0"/>
                <w:bCs/>
              </w:rPr>
            </w:pPr>
            <w:r w:rsidRPr="00EB74A4">
              <w:rPr>
                <w:rFonts w:hint="eastAsia"/>
                <w:b w:val="0"/>
                <w:bCs/>
              </w:rPr>
              <w:t>建筑热工、供暖空调专业的设计说明、施工图、设备材料表等设计文件，节能计算书、供暖空调系统能耗节能率分析报告。</w:t>
            </w:r>
          </w:p>
        </w:tc>
      </w:tr>
      <w:tr w:rsidR="00EB74A4" w:rsidRPr="00EB74A4" w14:paraId="565C2A8D" w14:textId="77777777" w:rsidTr="00EB74A4">
        <w:trPr>
          <w:trHeight w:val="552"/>
        </w:trPr>
        <w:tc>
          <w:tcPr>
            <w:tcW w:w="447" w:type="pct"/>
            <w:vAlign w:val="center"/>
            <w:hideMark/>
          </w:tcPr>
          <w:p w14:paraId="2A56E886" w14:textId="77777777" w:rsidR="00EB74A4" w:rsidRPr="00EB74A4" w:rsidRDefault="00EB74A4" w:rsidP="00EB74A4">
            <w:pPr>
              <w:pStyle w:val="ae"/>
              <w:rPr>
                <w:b w:val="0"/>
                <w:bCs/>
              </w:rPr>
            </w:pPr>
            <w:r w:rsidRPr="00EB74A4">
              <w:rPr>
                <w:rFonts w:hint="eastAsia"/>
                <w:b w:val="0"/>
                <w:bCs/>
              </w:rPr>
              <w:t>9.2.2</w:t>
            </w:r>
          </w:p>
        </w:tc>
        <w:tc>
          <w:tcPr>
            <w:tcW w:w="1098" w:type="pct"/>
            <w:vAlign w:val="center"/>
            <w:hideMark/>
          </w:tcPr>
          <w:p w14:paraId="632337B7" w14:textId="77777777" w:rsidR="00EB74A4" w:rsidRPr="00EB74A4" w:rsidRDefault="00EB74A4" w:rsidP="00EB74A4">
            <w:pPr>
              <w:pStyle w:val="ae"/>
              <w:rPr>
                <w:b w:val="0"/>
                <w:bCs/>
              </w:rPr>
            </w:pPr>
            <w:r w:rsidRPr="00EB74A4">
              <w:rPr>
                <w:rFonts w:hint="eastAsia"/>
                <w:b w:val="0"/>
                <w:bCs/>
              </w:rPr>
              <w:t>传承地域建筑文化</w:t>
            </w:r>
          </w:p>
        </w:tc>
        <w:tc>
          <w:tcPr>
            <w:tcW w:w="3455" w:type="pct"/>
            <w:vAlign w:val="center"/>
            <w:hideMark/>
          </w:tcPr>
          <w:p w14:paraId="591D5BEB" w14:textId="77777777" w:rsidR="00EB74A4" w:rsidRPr="00EB74A4" w:rsidRDefault="00EB74A4" w:rsidP="00EB74A4">
            <w:pPr>
              <w:pStyle w:val="ae"/>
              <w:rPr>
                <w:b w:val="0"/>
                <w:bCs/>
              </w:rPr>
            </w:pPr>
            <w:r w:rsidRPr="00EB74A4">
              <w:rPr>
                <w:rFonts w:hint="eastAsia"/>
                <w:b w:val="0"/>
                <w:bCs/>
              </w:rPr>
              <w:t>相关批文、风貌规划文件、设计文件（建筑专业施工图及设计说明）、专项分析论证报告相关佐证材料</w:t>
            </w:r>
          </w:p>
        </w:tc>
      </w:tr>
      <w:tr w:rsidR="00EB74A4" w:rsidRPr="00EB74A4" w14:paraId="76F46DB4" w14:textId="77777777" w:rsidTr="00EB74A4">
        <w:trPr>
          <w:trHeight w:val="828"/>
        </w:trPr>
        <w:tc>
          <w:tcPr>
            <w:tcW w:w="447" w:type="pct"/>
            <w:vAlign w:val="center"/>
            <w:hideMark/>
          </w:tcPr>
          <w:p w14:paraId="28D93772" w14:textId="77777777" w:rsidR="00EB74A4" w:rsidRPr="00EB74A4" w:rsidRDefault="00EB74A4" w:rsidP="00EB74A4">
            <w:pPr>
              <w:pStyle w:val="ae"/>
              <w:rPr>
                <w:b w:val="0"/>
                <w:bCs/>
              </w:rPr>
            </w:pPr>
            <w:r w:rsidRPr="00EB74A4">
              <w:rPr>
                <w:rFonts w:hint="eastAsia"/>
                <w:b w:val="0"/>
                <w:bCs/>
              </w:rPr>
              <w:t>9.2.3</w:t>
            </w:r>
          </w:p>
        </w:tc>
        <w:tc>
          <w:tcPr>
            <w:tcW w:w="1098" w:type="pct"/>
            <w:vAlign w:val="center"/>
            <w:hideMark/>
          </w:tcPr>
          <w:p w14:paraId="3030CA2F" w14:textId="77777777" w:rsidR="00EB74A4" w:rsidRPr="00EB74A4" w:rsidRDefault="00EB74A4" w:rsidP="00EB74A4">
            <w:pPr>
              <w:pStyle w:val="ae"/>
              <w:rPr>
                <w:b w:val="0"/>
                <w:bCs/>
              </w:rPr>
            </w:pPr>
            <w:r w:rsidRPr="00EB74A4">
              <w:rPr>
                <w:rFonts w:hint="eastAsia"/>
                <w:b w:val="0"/>
                <w:bCs/>
              </w:rPr>
              <w:t>利用废弃场地</w:t>
            </w:r>
          </w:p>
        </w:tc>
        <w:tc>
          <w:tcPr>
            <w:tcW w:w="3455" w:type="pct"/>
            <w:vAlign w:val="center"/>
            <w:hideMark/>
          </w:tcPr>
          <w:p w14:paraId="5AC948A3" w14:textId="77777777" w:rsidR="00EB74A4" w:rsidRPr="00EB74A4" w:rsidRDefault="00EB74A4" w:rsidP="00EB74A4">
            <w:pPr>
              <w:pStyle w:val="ae"/>
              <w:rPr>
                <w:b w:val="0"/>
                <w:bCs/>
              </w:rPr>
            </w:pPr>
            <w:r w:rsidRPr="00EB74A4">
              <w:rPr>
                <w:rFonts w:hint="eastAsia"/>
                <w:b w:val="0"/>
                <w:bCs/>
              </w:rPr>
              <w:t>建设项目规划设计总平面图、建筑和结构专业设计说明等设计文件，环评报告及政府国土和环保部门的批复（仅选用废弃场地进行建设需要），废弃场地或旧建筑再利用检测报告和评估报告。</w:t>
            </w:r>
          </w:p>
        </w:tc>
      </w:tr>
      <w:tr w:rsidR="00EB74A4" w:rsidRPr="00EB74A4" w14:paraId="5802767C" w14:textId="77777777" w:rsidTr="00EB74A4">
        <w:trPr>
          <w:trHeight w:val="276"/>
        </w:trPr>
        <w:tc>
          <w:tcPr>
            <w:tcW w:w="447" w:type="pct"/>
            <w:vAlign w:val="center"/>
            <w:hideMark/>
          </w:tcPr>
          <w:p w14:paraId="1A218017" w14:textId="77777777" w:rsidR="00EB74A4" w:rsidRPr="00EB74A4" w:rsidRDefault="00EB74A4" w:rsidP="00EB74A4">
            <w:pPr>
              <w:pStyle w:val="ae"/>
              <w:rPr>
                <w:b w:val="0"/>
                <w:bCs/>
              </w:rPr>
            </w:pPr>
            <w:r w:rsidRPr="00EB74A4">
              <w:rPr>
                <w:rFonts w:hint="eastAsia"/>
                <w:b w:val="0"/>
                <w:bCs/>
              </w:rPr>
              <w:t>9.2.4</w:t>
            </w:r>
          </w:p>
        </w:tc>
        <w:tc>
          <w:tcPr>
            <w:tcW w:w="1098" w:type="pct"/>
            <w:vAlign w:val="center"/>
            <w:hideMark/>
          </w:tcPr>
          <w:p w14:paraId="123BA2D6" w14:textId="77777777" w:rsidR="00EB74A4" w:rsidRPr="00EB74A4" w:rsidRDefault="00EB74A4" w:rsidP="00EB74A4">
            <w:pPr>
              <w:pStyle w:val="ae"/>
              <w:rPr>
                <w:b w:val="0"/>
                <w:bCs/>
              </w:rPr>
            </w:pPr>
            <w:r w:rsidRPr="00EB74A4">
              <w:rPr>
                <w:rFonts w:hint="eastAsia"/>
                <w:b w:val="0"/>
                <w:bCs/>
              </w:rPr>
              <w:t>绿地绿容率</w:t>
            </w:r>
          </w:p>
        </w:tc>
        <w:tc>
          <w:tcPr>
            <w:tcW w:w="3455" w:type="pct"/>
            <w:vAlign w:val="center"/>
            <w:hideMark/>
          </w:tcPr>
          <w:p w14:paraId="14E2B33A" w14:textId="77777777" w:rsidR="00EB74A4" w:rsidRPr="00EB74A4" w:rsidRDefault="00EB74A4" w:rsidP="00EB74A4">
            <w:pPr>
              <w:pStyle w:val="ae"/>
              <w:rPr>
                <w:b w:val="0"/>
                <w:bCs/>
              </w:rPr>
            </w:pPr>
            <w:r w:rsidRPr="00EB74A4">
              <w:rPr>
                <w:rFonts w:hint="eastAsia"/>
                <w:b w:val="0"/>
                <w:bCs/>
              </w:rPr>
              <w:t>绿化种植平面图、苗木表等景观设计文件，绿容率计算书</w:t>
            </w:r>
          </w:p>
        </w:tc>
      </w:tr>
      <w:tr w:rsidR="00EB74A4" w:rsidRPr="00EB74A4" w14:paraId="12D123BE" w14:textId="77777777" w:rsidTr="00EB74A4">
        <w:trPr>
          <w:trHeight w:val="552"/>
        </w:trPr>
        <w:tc>
          <w:tcPr>
            <w:tcW w:w="447" w:type="pct"/>
            <w:vAlign w:val="center"/>
            <w:hideMark/>
          </w:tcPr>
          <w:p w14:paraId="718858A6" w14:textId="77777777" w:rsidR="00EB74A4" w:rsidRPr="00EB74A4" w:rsidRDefault="00EB74A4" w:rsidP="00EB74A4">
            <w:pPr>
              <w:pStyle w:val="ae"/>
              <w:rPr>
                <w:b w:val="0"/>
                <w:bCs/>
              </w:rPr>
            </w:pPr>
            <w:r w:rsidRPr="00EB74A4">
              <w:rPr>
                <w:rFonts w:hint="eastAsia"/>
                <w:b w:val="0"/>
                <w:bCs/>
              </w:rPr>
              <w:t>9.2.5</w:t>
            </w:r>
          </w:p>
        </w:tc>
        <w:tc>
          <w:tcPr>
            <w:tcW w:w="1098" w:type="pct"/>
            <w:vAlign w:val="center"/>
            <w:hideMark/>
          </w:tcPr>
          <w:p w14:paraId="16BDBDD6" w14:textId="77777777" w:rsidR="00EB74A4" w:rsidRPr="00EB74A4" w:rsidRDefault="00EB74A4" w:rsidP="00EB74A4">
            <w:pPr>
              <w:pStyle w:val="ae"/>
              <w:rPr>
                <w:b w:val="0"/>
                <w:bCs/>
              </w:rPr>
            </w:pPr>
            <w:r w:rsidRPr="00EB74A4">
              <w:rPr>
                <w:rFonts w:hint="eastAsia"/>
                <w:b w:val="0"/>
                <w:bCs/>
              </w:rPr>
              <w:t>装配式建筑</w:t>
            </w:r>
          </w:p>
        </w:tc>
        <w:tc>
          <w:tcPr>
            <w:tcW w:w="3455" w:type="pct"/>
            <w:vAlign w:val="center"/>
            <w:hideMark/>
          </w:tcPr>
          <w:p w14:paraId="08287304" w14:textId="77777777" w:rsidR="00EB74A4" w:rsidRPr="00EB74A4" w:rsidRDefault="00EB74A4" w:rsidP="00EB74A4">
            <w:pPr>
              <w:pStyle w:val="ae"/>
              <w:rPr>
                <w:b w:val="0"/>
                <w:bCs/>
              </w:rPr>
            </w:pPr>
            <w:r w:rsidRPr="00EB74A4">
              <w:rPr>
                <w:rFonts w:hint="eastAsia"/>
                <w:b w:val="0"/>
                <w:bCs/>
              </w:rPr>
              <w:t>项目施工图图纸（建筑、结构、电气、给排水、暖通、室内装修等专业，含装配式建筑专项设计说明书）和装配率计算书</w:t>
            </w:r>
          </w:p>
        </w:tc>
      </w:tr>
      <w:tr w:rsidR="00EB74A4" w:rsidRPr="00EB74A4" w14:paraId="575BD8DC" w14:textId="77777777" w:rsidTr="00EB74A4">
        <w:trPr>
          <w:trHeight w:val="276"/>
        </w:trPr>
        <w:tc>
          <w:tcPr>
            <w:tcW w:w="447" w:type="pct"/>
            <w:vAlign w:val="center"/>
            <w:hideMark/>
          </w:tcPr>
          <w:p w14:paraId="7C54E7D7" w14:textId="77777777" w:rsidR="00EB74A4" w:rsidRPr="00EB74A4" w:rsidRDefault="00EB74A4" w:rsidP="00EB74A4">
            <w:pPr>
              <w:pStyle w:val="ae"/>
              <w:rPr>
                <w:b w:val="0"/>
                <w:bCs/>
              </w:rPr>
            </w:pPr>
            <w:r w:rsidRPr="00EB74A4">
              <w:rPr>
                <w:rFonts w:hint="eastAsia"/>
                <w:b w:val="0"/>
                <w:bCs/>
              </w:rPr>
              <w:t>9.2.6</w:t>
            </w:r>
          </w:p>
        </w:tc>
        <w:tc>
          <w:tcPr>
            <w:tcW w:w="1098" w:type="pct"/>
            <w:vAlign w:val="center"/>
            <w:hideMark/>
          </w:tcPr>
          <w:p w14:paraId="604F2FAB" w14:textId="77777777" w:rsidR="00EB74A4" w:rsidRPr="00EB74A4" w:rsidRDefault="00EB74A4" w:rsidP="00EB74A4">
            <w:pPr>
              <w:pStyle w:val="ae"/>
              <w:rPr>
                <w:b w:val="0"/>
                <w:bCs/>
              </w:rPr>
            </w:pPr>
            <w:r w:rsidRPr="00EB74A4">
              <w:rPr>
                <w:rFonts w:hint="eastAsia"/>
                <w:b w:val="0"/>
                <w:bCs/>
              </w:rPr>
              <w:t>建筑信息模型技术</w:t>
            </w:r>
          </w:p>
        </w:tc>
        <w:tc>
          <w:tcPr>
            <w:tcW w:w="3455" w:type="pct"/>
            <w:vAlign w:val="center"/>
            <w:hideMark/>
          </w:tcPr>
          <w:p w14:paraId="58E4AA08" w14:textId="77777777" w:rsidR="00EB74A4" w:rsidRPr="00EB74A4" w:rsidRDefault="00EB74A4" w:rsidP="00EB74A4">
            <w:pPr>
              <w:pStyle w:val="ae"/>
              <w:rPr>
                <w:b w:val="0"/>
                <w:bCs/>
              </w:rPr>
            </w:pPr>
            <w:r w:rsidRPr="00EB74A4">
              <w:rPr>
                <w:rFonts w:hint="eastAsia"/>
                <w:b w:val="0"/>
                <w:bCs/>
              </w:rPr>
              <w:t>专项分析模型和分析报告，设计管理平台。</w:t>
            </w:r>
          </w:p>
        </w:tc>
      </w:tr>
      <w:tr w:rsidR="00EB74A4" w:rsidRPr="00EB74A4" w14:paraId="00A88473" w14:textId="77777777" w:rsidTr="00EB74A4">
        <w:trPr>
          <w:trHeight w:val="276"/>
        </w:trPr>
        <w:tc>
          <w:tcPr>
            <w:tcW w:w="447" w:type="pct"/>
            <w:vAlign w:val="center"/>
            <w:hideMark/>
          </w:tcPr>
          <w:p w14:paraId="799B5599" w14:textId="77777777" w:rsidR="00EB74A4" w:rsidRPr="00EB74A4" w:rsidRDefault="00EB74A4" w:rsidP="00EB74A4">
            <w:pPr>
              <w:pStyle w:val="ae"/>
              <w:rPr>
                <w:b w:val="0"/>
                <w:bCs/>
              </w:rPr>
            </w:pPr>
            <w:r w:rsidRPr="00EB74A4">
              <w:rPr>
                <w:rFonts w:hint="eastAsia"/>
                <w:b w:val="0"/>
                <w:bCs/>
              </w:rPr>
              <w:t>9.2.7</w:t>
            </w:r>
          </w:p>
        </w:tc>
        <w:tc>
          <w:tcPr>
            <w:tcW w:w="1098" w:type="pct"/>
            <w:vAlign w:val="center"/>
            <w:hideMark/>
          </w:tcPr>
          <w:p w14:paraId="572FBB14" w14:textId="77777777" w:rsidR="00EB74A4" w:rsidRPr="00EB74A4" w:rsidRDefault="00EB74A4" w:rsidP="00EB74A4">
            <w:pPr>
              <w:pStyle w:val="ae"/>
              <w:rPr>
                <w:b w:val="0"/>
                <w:bCs/>
              </w:rPr>
            </w:pPr>
            <w:r w:rsidRPr="00EB74A4">
              <w:rPr>
                <w:rFonts w:hint="eastAsia"/>
                <w:b w:val="0"/>
                <w:bCs/>
              </w:rPr>
              <w:t>碳排放计算分析</w:t>
            </w:r>
          </w:p>
        </w:tc>
        <w:tc>
          <w:tcPr>
            <w:tcW w:w="3455" w:type="pct"/>
            <w:vAlign w:val="center"/>
            <w:hideMark/>
          </w:tcPr>
          <w:p w14:paraId="5D28C8B4" w14:textId="77777777" w:rsidR="00EB74A4" w:rsidRPr="00EB74A4" w:rsidRDefault="00EB74A4" w:rsidP="00EB74A4">
            <w:pPr>
              <w:pStyle w:val="ae"/>
              <w:rPr>
                <w:b w:val="0"/>
                <w:bCs/>
              </w:rPr>
            </w:pPr>
            <w:r w:rsidRPr="00EB74A4">
              <w:rPr>
                <w:rFonts w:hint="eastAsia"/>
                <w:b w:val="0"/>
                <w:bCs/>
              </w:rPr>
              <w:t>建筑碳排放计算分析报告</w:t>
            </w:r>
          </w:p>
        </w:tc>
      </w:tr>
      <w:tr w:rsidR="00EB74A4" w:rsidRPr="00EB74A4" w14:paraId="3154ED77" w14:textId="77777777" w:rsidTr="00EB74A4">
        <w:trPr>
          <w:trHeight w:val="828"/>
        </w:trPr>
        <w:tc>
          <w:tcPr>
            <w:tcW w:w="447" w:type="pct"/>
            <w:vAlign w:val="center"/>
            <w:hideMark/>
          </w:tcPr>
          <w:p w14:paraId="5BEDE832" w14:textId="77777777" w:rsidR="00EB74A4" w:rsidRPr="00EB74A4" w:rsidRDefault="00EB74A4" w:rsidP="00EB74A4">
            <w:pPr>
              <w:pStyle w:val="ae"/>
              <w:rPr>
                <w:b w:val="0"/>
                <w:bCs/>
              </w:rPr>
            </w:pPr>
            <w:r w:rsidRPr="00EB74A4">
              <w:rPr>
                <w:rFonts w:hint="eastAsia"/>
                <w:b w:val="0"/>
                <w:bCs/>
              </w:rPr>
              <w:lastRenderedPageBreak/>
              <w:t>9.2.8</w:t>
            </w:r>
          </w:p>
        </w:tc>
        <w:tc>
          <w:tcPr>
            <w:tcW w:w="1098" w:type="pct"/>
            <w:vAlign w:val="center"/>
            <w:hideMark/>
          </w:tcPr>
          <w:p w14:paraId="50F1BDC0" w14:textId="77777777" w:rsidR="00EB74A4" w:rsidRPr="00EB74A4" w:rsidRDefault="00EB74A4" w:rsidP="00EB74A4">
            <w:pPr>
              <w:pStyle w:val="ae"/>
              <w:rPr>
                <w:b w:val="0"/>
                <w:bCs/>
              </w:rPr>
            </w:pPr>
            <w:r w:rsidRPr="00EB74A4">
              <w:rPr>
                <w:rFonts w:hint="eastAsia"/>
                <w:b w:val="0"/>
                <w:bCs/>
              </w:rPr>
              <w:t>绿色施工</w:t>
            </w:r>
          </w:p>
        </w:tc>
        <w:tc>
          <w:tcPr>
            <w:tcW w:w="3455" w:type="pct"/>
            <w:vAlign w:val="center"/>
            <w:hideMark/>
          </w:tcPr>
          <w:p w14:paraId="65095028" w14:textId="77777777" w:rsidR="00EB74A4" w:rsidRPr="00EB74A4" w:rsidRDefault="00EB74A4" w:rsidP="00EB74A4">
            <w:pPr>
              <w:pStyle w:val="ae"/>
              <w:rPr>
                <w:b w:val="0"/>
                <w:bCs/>
              </w:rPr>
            </w:pPr>
            <w:r w:rsidRPr="00EB74A4">
              <w:rPr>
                <w:rFonts w:hint="eastAsia"/>
                <w:b w:val="0"/>
                <w:bCs/>
              </w:rPr>
              <w:t>——</w:t>
            </w:r>
          </w:p>
        </w:tc>
      </w:tr>
      <w:tr w:rsidR="00EB74A4" w:rsidRPr="00EB74A4" w14:paraId="763D7258" w14:textId="77777777" w:rsidTr="00EB74A4">
        <w:trPr>
          <w:trHeight w:val="276"/>
        </w:trPr>
        <w:tc>
          <w:tcPr>
            <w:tcW w:w="447" w:type="pct"/>
            <w:vAlign w:val="center"/>
            <w:hideMark/>
          </w:tcPr>
          <w:p w14:paraId="2226CD64" w14:textId="77777777" w:rsidR="00EB74A4" w:rsidRPr="00EB74A4" w:rsidRDefault="00EB74A4" w:rsidP="00EB74A4">
            <w:pPr>
              <w:pStyle w:val="ae"/>
              <w:rPr>
                <w:b w:val="0"/>
                <w:bCs/>
              </w:rPr>
            </w:pPr>
            <w:r w:rsidRPr="00EB74A4">
              <w:rPr>
                <w:rFonts w:hint="eastAsia"/>
                <w:b w:val="0"/>
                <w:bCs/>
              </w:rPr>
              <w:t>9.2.9</w:t>
            </w:r>
          </w:p>
        </w:tc>
        <w:tc>
          <w:tcPr>
            <w:tcW w:w="1098" w:type="pct"/>
            <w:vAlign w:val="center"/>
            <w:hideMark/>
          </w:tcPr>
          <w:p w14:paraId="45A24307" w14:textId="77777777" w:rsidR="00EB74A4" w:rsidRPr="00EB74A4" w:rsidRDefault="00EB74A4" w:rsidP="00EB74A4">
            <w:pPr>
              <w:pStyle w:val="ae"/>
              <w:rPr>
                <w:b w:val="0"/>
                <w:bCs/>
              </w:rPr>
            </w:pPr>
            <w:r w:rsidRPr="00EB74A4">
              <w:rPr>
                <w:rFonts w:hint="eastAsia"/>
                <w:b w:val="0"/>
                <w:bCs/>
              </w:rPr>
              <w:t>工程质量保险产品</w:t>
            </w:r>
          </w:p>
        </w:tc>
        <w:tc>
          <w:tcPr>
            <w:tcW w:w="3455" w:type="pct"/>
            <w:vAlign w:val="center"/>
            <w:hideMark/>
          </w:tcPr>
          <w:p w14:paraId="7CF24B3E" w14:textId="77777777" w:rsidR="00EB74A4" w:rsidRPr="00EB74A4" w:rsidRDefault="00EB74A4" w:rsidP="00EB74A4">
            <w:pPr>
              <w:pStyle w:val="ae"/>
              <w:rPr>
                <w:b w:val="0"/>
                <w:bCs/>
              </w:rPr>
            </w:pPr>
            <w:r w:rsidRPr="00EB74A4">
              <w:rPr>
                <w:rFonts w:hint="eastAsia"/>
                <w:b w:val="0"/>
                <w:bCs/>
              </w:rPr>
              <w:t>建设工程质量保险产品投保计划，保险产品保单（如有）</w:t>
            </w:r>
          </w:p>
        </w:tc>
      </w:tr>
      <w:tr w:rsidR="00EB74A4" w:rsidRPr="00EB74A4" w14:paraId="4CC7D484" w14:textId="77777777" w:rsidTr="00EB74A4">
        <w:trPr>
          <w:trHeight w:val="552"/>
        </w:trPr>
        <w:tc>
          <w:tcPr>
            <w:tcW w:w="447" w:type="pct"/>
            <w:vAlign w:val="center"/>
            <w:hideMark/>
          </w:tcPr>
          <w:p w14:paraId="2E589EAB" w14:textId="77777777" w:rsidR="00EB74A4" w:rsidRPr="00EB74A4" w:rsidRDefault="00EB74A4" w:rsidP="00EB74A4">
            <w:pPr>
              <w:pStyle w:val="ae"/>
              <w:rPr>
                <w:b w:val="0"/>
                <w:bCs/>
              </w:rPr>
            </w:pPr>
            <w:r w:rsidRPr="00EB74A4">
              <w:rPr>
                <w:rFonts w:hint="eastAsia"/>
                <w:b w:val="0"/>
                <w:bCs/>
              </w:rPr>
              <w:t>9.2.10</w:t>
            </w:r>
          </w:p>
        </w:tc>
        <w:tc>
          <w:tcPr>
            <w:tcW w:w="1098" w:type="pct"/>
            <w:vAlign w:val="center"/>
            <w:hideMark/>
          </w:tcPr>
          <w:p w14:paraId="18CBD3F9" w14:textId="77777777" w:rsidR="00EB74A4" w:rsidRPr="00EB74A4" w:rsidRDefault="00EB74A4" w:rsidP="00EB74A4">
            <w:pPr>
              <w:pStyle w:val="ae"/>
              <w:rPr>
                <w:b w:val="0"/>
                <w:bCs/>
              </w:rPr>
            </w:pPr>
            <w:r w:rsidRPr="00EB74A4">
              <w:rPr>
                <w:rFonts w:hint="eastAsia"/>
                <w:b w:val="0"/>
                <w:bCs/>
              </w:rPr>
              <w:t>高效能源供应系统</w:t>
            </w:r>
          </w:p>
        </w:tc>
        <w:tc>
          <w:tcPr>
            <w:tcW w:w="3455" w:type="pct"/>
            <w:vAlign w:val="center"/>
            <w:hideMark/>
          </w:tcPr>
          <w:p w14:paraId="5E8FC6BB" w14:textId="77777777" w:rsidR="00EB74A4" w:rsidRPr="00EB74A4" w:rsidRDefault="00EB74A4" w:rsidP="00EB74A4">
            <w:pPr>
              <w:pStyle w:val="ae"/>
              <w:rPr>
                <w:b w:val="0"/>
                <w:bCs/>
              </w:rPr>
            </w:pPr>
            <w:r w:rsidRPr="00EB74A4">
              <w:rPr>
                <w:rFonts w:hint="eastAsia"/>
                <w:b w:val="0"/>
                <w:bCs/>
              </w:rPr>
              <w:t>暖通空调设计图和专项计算分析论证报告、相关设计文件、计算分析报告（包括负荷预测、系统配置、运行模式、经济和环保效益等方面）</w:t>
            </w:r>
          </w:p>
        </w:tc>
      </w:tr>
      <w:tr w:rsidR="00EB74A4" w:rsidRPr="00EB74A4" w14:paraId="3389AE8F" w14:textId="77777777" w:rsidTr="00EB74A4">
        <w:trPr>
          <w:trHeight w:val="276"/>
        </w:trPr>
        <w:tc>
          <w:tcPr>
            <w:tcW w:w="447" w:type="pct"/>
            <w:vAlign w:val="center"/>
            <w:hideMark/>
          </w:tcPr>
          <w:p w14:paraId="2930AAF7" w14:textId="77777777" w:rsidR="00EB74A4" w:rsidRPr="00EB74A4" w:rsidRDefault="00EB74A4" w:rsidP="00EB74A4">
            <w:pPr>
              <w:pStyle w:val="ae"/>
              <w:rPr>
                <w:b w:val="0"/>
                <w:bCs/>
              </w:rPr>
            </w:pPr>
            <w:r w:rsidRPr="00EB74A4">
              <w:rPr>
                <w:rFonts w:hint="eastAsia"/>
                <w:b w:val="0"/>
                <w:bCs/>
              </w:rPr>
              <w:t>9.2.11</w:t>
            </w:r>
          </w:p>
        </w:tc>
        <w:tc>
          <w:tcPr>
            <w:tcW w:w="1098" w:type="pct"/>
            <w:vAlign w:val="center"/>
            <w:hideMark/>
          </w:tcPr>
          <w:p w14:paraId="4B1B857E" w14:textId="77777777" w:rsidR="00EB74A4" w:rsidRPr="00EB74A4" w:rsidRDefault="00EB74A4" w:rsidP="00EB74A4">
            <w:pPr>
              <w:pStyle w:val="ae"/>
              <w:rPr>
                <w:b w:val="0"/>
                <w:bCs/>
              </w:rPr>
            </w:pPr>
            <w:r w:rsidRPr="00EB74A4">
              <w:rPr>
                <w:rFonts w:hint="eastAsia"/>
                <w:b w:val="0"/>
                <w:bCs/>
              </w:rPr>
              <w:t>智慧管理系统</w:t>
            </w:r>
          </w:p>
        </w:tc>
        <w:tc>
          <w:tcPr>
            <w:tcW w:w="3455" w:type="pct"/>
            <w:vAlign w:val="center"/>
            <w:hideMark/>
          </w:tcPr>
          <w:p w14:paraId="79DD22B7"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651D5807" w14:textId="77777777" w:rsidTr="00EB74A4">
        <w:trPr>
          <w:trHeight w:val="552"/>
        </w:trPr>
        <w:tc>
          <w:tcPr>
            <w:tcW w:w="447" w:type="pct"/>
            <w:vAlign w:val="center"/>
            <w:hideMark/>
          </w:tcPr>
          <w:p w14:paraId="43FA62F7" w14:textId="77777777" w:rsidR="00EB74A4" w:rsidRPr="00EB74A4" w:rsidRDefault="00EB74A4" w:rsidP="00EB74A4">
            <w:pPr>
              <w:pStyle w:val="ae"/>
              <w:rPr>
                <w:b w:val="0"/>
                <w:bCs/>
              </w:rPr>
            </w:pPr>
            <w:r w:rsidRPr="00EB74A4">
              <w:rPr>
                <w:rFonts w:hint="eastAsia"/>
                <w:b w:val="0"/>
                <w:bCs/>
              </w:rPr>
              <w:t>9.2.12</w:t>
            </w:r>
          </w:p>
        </w:tc>
        <w:tc>
          <w:tcPr>
            <w:tcW w:w="1098" w:type="pct"/>
            <w:vAlign w:val="center"/>
            <w:hideMark/>
          </w:tcPr>
          <w:p w14:paraId="77B36E5A" w14:textId="77777777" w:rsidR="00EB74A4" w:rsidRPr="00EB74A4" w:rsidRDefault="00EB74A4" w:rsidP="00EB74A4">
            <w:pPr>
              <w:pStyle w:val="ae"/>
              <w:rPr>
                <w:b w:val="0"/>
                <w:bCs/>
              </w:rPr>
            </w:pPr>
            <w:r w:rsidRPr="00EB74A4">
              <w:rPr>
                <w:rFonts w:hint="eastAsia"/>
                <w:b w:val="0"/>
                <w:bCs/>
              </w:rPr>
              <w:t>智慧运维系统</w:t>
            </w:r>
          </w:p>
        </w:tc>
        <w:tc>
          <w:tcPr>
            <w:tcW w:w="3455" w:type="pct"/>
            <w:vAlign w:val="center"/>
            <w:hideMark/>
          </w:tcPr>
          <w:p w14:paraId="399D5D9E" w14:textId="77777777" w:rsidR="00EB74A4" w:rsidRPr="00EB74A4" w:rsidRDefault="00EB74A4" w:rsidP="00EB74A4">
            <w:pPr>
              <w:pStyle w:val="ae"/>
              <w:rPr>
                <w:b w:val="0"/>
                <w:bCs/>
              </w:rPr>
            </w:pPr>
            <w:r w:rsidRPr="00EB74A4">
              <w:rPr>
                <w:rFonts w:hint="eastAsia"/>
                <w:b w:val="0"/>
                <w:bCs/>
              </w:rPr>
              <w:t>标识系统设计与设置说明文件（施工图、设计方案等）</w:t>
            </w:r>
          </w:p>
        </w:tc>
      </w:tr>
      <w:tr w:rsidR="00EB74A4" w:rsidRPr="00EB74A4" w14:paraId="0802D9E1" w14:textId="77777777" w:rsidTr="00EB74A4">
        <w:trPr>
          <w:trHeight w:val="552"/>
        </w:trPr>
        <w:tc>
          <w:tcPr>
            <w:tcW w:w="447" w:type="pct"/>
            <w:vAlign w:val="center"/>
            <w:hideMark/>
          </w:tcPr>
          <w:p w14:paraId="31C6F862" w14:textId="77777777" w:rsidR="00EB74A4" w:rsidRPr="00EB74A4" w:rsidRDefault="00EB74A4" w:rsidP="00EB74A4">
            <w:pPr>
              <w:pStyle w:val="ae"/>
              <w:rPr>
                <w:b w:val="0"/>
                <w:bCs/>
              </w:rPr>
            </w:pPr>
            <w:r w:rsidRPr="00EB74A4">
              <w:rPr>
                <w:rFonts w:hint="eastAsia"/>
                <w:b w:val="0"/>
                <w:bCs/>
              </w:rPr>
              <w:t>9.2.13</w:t>
            </w:r>
          </w:p>
        </w:tc>
        <w:tc>
          <w:tcPr>
            <w:tcW w:w="1098" w:type="pct"/>
            <w:vAlign w:val="center"/>
            <w:hideMark/>
          </w:tcPr>
          <w:p w14:paraId="39339A66" w14:textId="77777777" w:rsidR="00EB74A4" w:rsidRPr="00EB74A4" w:rsidRDefault="00EB74A4" w:rsidP="00EB74A4">
            <w:pPr>
              <w:pStyle w:val="ae"/>
              <w:rPr>
                <w:b w:val="0"/>
                <w:bCs/>
              </w:rPr>
            </w:pPr>
            <w:r w:rsidRPr="00EB74A4">
              <w:rPr>
                <w:rFonts w:hint="eastAsia"/>
                <w:b w:val="0"/>
                <w:bCs/>
              </w:rPr>
              <w:t>高星级绿色建材</w:t>
            </w:r>
          </w:p>
        </w:tc>
        <w:tc>
          <w:tcPr>
            <w:tcW w:w="3455" w:type="pct"/>
            <w:vAlign w:val="center"/>
            <w:hideMark/>
          </w:tcPr>
          <w:p w14:paraId="0BB709E2" w14:textId="77777777" w:rsidR="00EB74A4" w:rsidRPr="00EB74A4" w:rsidRDefault="00EB74A4" w:rsidP="00EB74A4">
            <w:pPr>
              <w:pStyle w:val="ae"/>
              <w:rPr>
                <w:b w:val="0"/>
                <w:bCs/>
              </w:rPr>
            </w:pPr>
            <w:r w:rsidRPr="00EB74A4">
              <w:rPr>
                <w:rFonts w:hint="eastAsia"/>
                <w:b w:val="0"/>
                <w:bCs/>
              </w:rPr>
              <w:t>相关设计文件、计算分析报告</w:t>
            </w:r>
          </w:p>
        </w:tc>
      </w:tr>
      <w:tr w:rsidR="00EB74A4" w:rsidRPr="00EB74A4" w14:paraId="6F22EDA1" w14:textId="77777777" w:rsidTr="00EB74A4">
        <w:trPr>
          <w:trHeight w:val="276"/>
        </w:trPr>
        <w:tc>
          <w:tcPr>
            <w:tcW w:w="447" w:type="pct"/>
            <w:vAlign w:val="center"/>
            <w:hideMark/>
          </w:tcPr>
          <w:p w14:paraId="706D37BF" w14:textId="77777777" w:rsidR="00EB74A4" w:rsidRPr="00EB74A4" w:rsidRDefault="00EB74A4" w:rsidP="00EB74A4">
            <w:pPr>
              <w:pStyle w:val="ae"/>
              <w:rPr>
                <w:b w:val="0"/>
                <w:bCs/>
              </w:rPr>
            </w:pPr>
            <w:r w:rsidRPr="00EB74A4">
              <w:rPr>
                <w:rFonts w:hint="eastAsia"/>
                <w:b w:val="0"/>
                <w:bCs/>
              </w:rPr>
              <w:t>9.2.14</w:t>
            </w:r>
          </w:p>
        </w:tc>
        <w:tc>
          <w:tcPr>
            <w:tcW w:w="1098" w:type="pct"/>
            <w:vAlign w:val="center"/>
            <w:hideMark/>
          </w:tcPr>
          <w:p w14:paraId="29007E45" w14:textId="77777777" w:rsidR="00EB74A4" w:rsidRPr="00EB74A4" w:rsidRDefault="00EB74A4" w:rsidP="00EB74A4">
            <w:pPr>
              <w:pStyle w:val="ae"/>
              <w:rPr>
                <w:b w:val="0"/>
                <w:bCs/>
              </w:rPr>
            </w:pPr>
            <w:r w:rsidRPr="00EB74A4">
              <w:rPr>
                <w:rFonts w:hint="eastAsia"/>
                <w:b w:val="0"/>
                <w:bCs/>
              </w:rPr>
              <w:t>自保温砌体材料</w:t>
            </w:r>
          </w:p>
        </w:tc>
        <w:tc>
          <w:tcPr>
            <w:tcW w:w="3455" w:type="pct"/>
            <w:vAlign w:val="center"/>
            <w:hideMark/>
          </w:tcPr>
          <w:p w14:paraId="12F8D57E" w14:textId="77777777" w:rsidR="00EB74A4" w:rsidRPr="00EB74A4" w:rsidRDefault="00EB74A4" w:rsidP="00EB74A4">
            <w:pPr>
              <w:pStyle w:val="ae"/>
              <w:rPr>
                <w:b w:val="0"/>
                <w:bCs/>
              </w:rPr>
            </w:pPr>
            <w:r w:rsidRPr="00EB74A4">
              <w:rPr>
                <w:rFonts w:hint="eastAsia"/>
                <w:b w:val="0"/>
                <w:bCs/>
              </w:rPr>
              <w:t>相关设计文件</w:t>
            </w:r>
          </w:p>
        </w:tc>
      </w:tr>
      <w:tr w:rsidR="00EB74A4" w:rsidRPr="00EB74A4" w14:paraId="48F8C367" w14:textId="77777777" w:rsidTr="00EB74A4">
        <w:trPr>
          <w:trHeight w:val="552"/>
        </w:trPr>
        <w:tc>
          <w:tcPr>
            <w:tcW w:w="447" w:type="pct"/>
            <w:vAlign w:val="center"/>
            <w:hideMark/>
          </w:tcPr>
          <w:p w14:paraId="2A0335CC" w14:textId="77777777" w:rsidR="00EB74A4" w:rsidRPr="00EB74A4" w:rsidRDefault="00EB74A4" w:rsidP="00EB74A4">
            <w:pPr>
              <w:pStyle w:val="ae"/>
              <w:rPr>
                <w:b w:val="0"/>
                <w:bCs/>
              </w:rPr>
            </w:pPr>
            <w:r w:rsidRPr="00EB74A4">
              <w:rPr>
                <w:rFonts w:hint="eastAsia"/>
                <w:b w:val="0"/>
                <w:bCs/>
              </w:rPr>
              <w:t>9.2.15</w:t>
            </w:r>
          </w:p>
        </w:tc>
        <w:tc>
          <w:tcPr>
            <w:tcW w:w="1098" w:type="pct"/>
            <w:vAlign w:val="center"/>
            <w:hideMark/>
          </w:tcPr>
          <w:p w14:paraId="583393C5" w14:textId="77777777" w:rsidR="00EB74A4" w:rsidRPr="00EB74A4" w:rsidRDefault="00EB74A4" w:rsidP="00EB74A4">
            <w:pPr>
              <w:pStyle w:val="ae"/>
              <w:rPr>
                <w:b w:val="0"/>
                <w:bCs/>
              </w:rPr>
            </w:pPr>
            <w:r w:rsidRPr="00EB74A4">
              <w:rPr>
                <w:rFonts w:hint="eastAsia"/>
                <w:b w:val="0"/>
                <w:bCs/>
              </w:rPr>
              <w:t>效益</w:t>
            </w:r>
          </w:p>
        </w:tc>
        <w:tc>
          <w:tcPr>
            <w:tcW w:w="3455" w:type="pct"/>
            <w:vAlign w:val="center"/>
            <w:hideMark/>
          </w:tcPr>
          <w:p w14:paraId="4DB8E367" w14:textId="77777777" w:rsidR="00EB74A4" w:rsidRPr="00EB74A4" w:rsidRDefault="00EB74A4" w:rsidP="00EB74A4">
            <w:pPr>
              <w:pStyle w:val="ae"/>
              <w:rPr>
                <w:b w:val="0"/>
                <w:bCs/>
              </w:rPr>
            </w:pPr>
            <w:r w:rsidRPr="00EB74A4">
              <w:rPr>
                <w:rFonts w:hint="eastAsia"/>
                <w:b w:val="0"/>
                <w:bCs/>
              </w:rPr>
              <w:t>相关设计文件、分析报告、市建设行政主管部门组织实施的专家论证意见及相关证明材料</w:t>
            </w:r>
          </w:p>
        </w:tc>
      </w:tr>
    </w:tbl>
    <w:p w14:paraId="0A6D3038" w14:textId="77777777" w:rsidR="00EB74A4" w:rsidRPr="003D2B01" w:rsidRDefault="00EB74A4" w:rsidP="00EB74A4">
      <w:pPr>
        <w:ind w:firstLine="420"/>
        <w:rPr>
          <w:rFonts w:cs="Times New Roman"/>
        </w:rPr>
      </w:pPr>
    </w:p>
    <w:p w14:paraId="19DF9A1B" w14:textId="57F61E79" w:rsidR="00EB74A4" w:rsidRDefault="004A7A0D" w:rsidP="004A7A0D">
      <w:pPr>
        <w:pStyle w:val="ae"/>
      </w:pPr>
      <w:r>
        <w:rPr>
          <w:rFonts w:hint="eastAsia"/>
        </w:rPr>
        <w:t>表</w:t>
      </w:r>
      <w:r>
        <w:rPr>
          <w:rFonts w:hint="eastAsia"/>
        </w:rPr>
        <w:t>5</w:t>
      </w:r>
      <w:r>
        <w:t xml:space="preserve"> </w:t>
      </w:r>
      <w:r w:rsidR="00EB74A4">
        <w:rPr>
          <w:rFonts w:hint="eastAsia"/>
        </w:rPr>
        <w:t>评价阶段支撑材料清单</w:t>
      </w:r>
    </w:p>
    <w:tbl>
      <w:tblPr>
        <w:tblStyle w:val="ac"/>
        <w:tblW w:w="0" w:type="auto"/>
        <w:tblBorders>
          <w:top w:val="single" w:sz="8" w:space="0" w:color="auto"/>
          <w:left w:val="none" w:sz="0" w:space="0" w:color="auto"/>
          <w:bottom w:val="single" w:sz="8" w:space="0" w:color="auto"/>
          <w:right w:val="none" w:sz="0" w:space="0" w:color="auto"/>
        </w:tblBorders>
        <w:tblLook w:val="04A0" w:firstRow="1" w:lastRow="0" w:firstColumn="1" w:lastColumn="0" w:noHBand="0" w:noVBand="1"/>
      </w:tblPr>
      <w:tblGrid>
        <w:gridCol w:w="853"/>
        <w:gridCol w:w="1355"/>
        <w:gridCol w:w="6321"/>
      </w:tblGrid>
      <w:tr w:rsidR="00EB74A4" w:rsidRPr="00EB74A4" w14:paraId="1404F52E" w14:textId="77777777" w:rsidTr="00EB74A4">
        <w:trPr>
          <w:trHeight w:val="276"/>
          <w:tblHeader/>
        </w:trPr>
        <w:tc>
          <w:tcPr>
            <w:tcW w:w="960" w:type="dxa"/>
            <w:vAlign w:val="center"/>
            <w:hideMark/>
          </w:tcPr>
          <w:p w14:paraId="3227B568" w14:textId="77777777" w:rsidR="00EB74A4" w:rsidRPr="00EB74A4" w:rsidRDefault="00EB74A4" w:rsidP="00EB74A4">
            <w:pPr>
              <w:pStyle w:val="ae"/>
              <w:rPr>
                <w:b w:val="0"/>
                <w:bCs/>
              </w:rPr>
            </w:pPr>
            <w:r w:rsidRPr="00EB74A4">
              <w:rPr>
                <w:rFonts w:hint="eastAsia"/>
                <w:b w:val="0"/>
                <w:bCs/>
              </w:rPr>
              <w:t>条文</w:t>
            </w:r>
          </w:p>
        </w:tc>
        <w:tc>
          <w:tcPr>
            <w:tcW w:w="2040" w:type="dxa"/>
            <w:vAlign w:val="center"/>
            <w:hideMark/>
          </w:tcPr>
          <w:p w14:paraId="38672814" w14:textId="77777777" w:rsidR="00EB74A4" w:rsidRPr="00EB74A4" w:rsidRDefault="00EB74A4" w:rsidP="00EB74A4">
            <w:pPr>
              <w:pStyle w:val="ae"/>
              <w:rPr>
                <w:b w:val="0"/>
                <w:bCs/>
              </w:rPr>
            </w:pPr>
            <w:r w:rsidRPr="00EB74A4">
              <w:rPr>
                <w:rFonts w:hint="eastAsia"/>
                <w:b w:val="0"/>
                <w:bCs/>
              </w:rPr>
              <w:t>条文关键词</w:t>
            </w:r>
          </w:p>
        </w:tc>
        <w:tc>
          <w:tcPr>
            <w:tcW w:w="11540" w:type="dxa"/>
            <w:vAlign w:val="center"/>
            <w:hideMark/>
          </w:tcPr>
          <w:p w14:paraId="6879642D" w14:textId="77777777" w:rsidR="00EB74A4" w:rsidRPr="00EB74A4" w:rsidRDefault="00EB74A4" w:rsidP="00EB74A4">
            <w:pPr>
              <w:pStyle w:val="ae"/>
              <w:rPr>
                <w:b w:val="0"/>
                <w:bCs/>
              </w:rPr>
            </w:pPr>
            <w:r w:rsidRPr="00EB74A4">
              <w:rPr>
                <w:rFonts w:hint="eastAsia"/>
                <w:b w:val="0"/>
                <w:bCs/>
              </w:rPr>
              <w:t>支撑材料</w:t>
            </w:r>
          </w:p>
        </w:tc>
      </w:tr>
      <w:tr w:rsidR="00EB74A4" w:rsidRPr="00EB74A4" w14:paraId="2CC5662B" w14:textId="77777777" w:rsidTr="00EB74A4">
        <w:trPr>
          <w:trHeight w:val="552"/>
        </w:trPr>
        <w:tc>
          <w:tcPr>
            <w:tcW w:w="960" w:type="dxa"/>
            <w:vAlign w:val="center"/>
            <w:hideMark/>
          </w:tcPr>
          <w:p w14:paraId="1D3EAF98" w14:textId="77777777" w:rsidR="00EB74A4" w:rsidRPr="00EB74A4" w:rsidRDefault="00EB74A4" w:rsidP="00EB74A4">
            <w:pPr>
              <w:pStyle w:val="ae"/>
              <w:rPr>
                <w:b w:val="0"/>
                <w:bCs/>
              </w:rPr>
            </w:pPr>
            <w:r w:rsidRPr="00EB74A4">
              <w:rPr>
                <w:rFonts w:hint="eastAsia"/>
                <w:b w:val="0"/>
                <w:bCs/>
              </w:rPr>
              <w:t>3.2.8</w:t>
            </w:r>
          </w:p>
        </w:tc>
        <w:tc>
          <w:tcPr>
            <w:tcW w:w="2040" w:type="dxa"/>
            <w:vAlign w:val="center"/>
            <w:hideMark/>
          </w:tcPr>
          <w:p w14:paraId="08E31172" w14:textId="77777777" w:rsidR="00EB74A4" w:rsidRPr="00EB74A4" w:rsidRDefault="00EB74A4" w:rsidP="00EB74A4">
            <w:pPr>
              <w:pStyle w:val="ae"/>
              <w:rPr>
                <w:b w:val="0"/>
                <w:bCs/>
              </w:rPr>
            </w:pPr>
            <w:r w:rsidRPr="00EB74A4">
              <w:rPr>
                <w:rFonts w:hint="eastAsia"/>
                <w:b w:val="0"/>
                <w:bCs/>
              </w:rPr>
              <w:t>评级基本条件</w:t>
            </w:r>
          </w:p>
        </w:tc>
        <w:tc>
          <w:tcPr>
            <w:tcW w:w="11540" w:type="dxa"/>
            <w:vAlign w:val="center"/>
            <w:hideMark/>
          </w:tcPr>
          <w:p w14:paraId="0A20F0E0" w14:textId="77777777" w:rsidR="00EB74A4" w:rsidRPr="00EB74A4" w:rsidRDefault="00EB74A4" w:rsidP="00EB74A4">
            <w:pPr>
              <w:pStyle w:val="ae"/>
              <w:rPr>
                <w:b w:val="0"/>
                <w:bCs/>
              </w:rPr>
            </w:pPr>
            <w:r w:rsidRPr="00EB74A4">
              <w:rPr>
                <w:rFonts w:hint="eastAsia"/>
                <w:b w:val="0"/>
                <w:bCs/>
              </w:rPr>
              <w:t>室外与卧室之间空气声隔声性能检测报告</w:t>
            </w:r>
            <w:r w:rsidRPr="00EB74A4">
              <w:rPr>
                <w:rFonts w:hint="eastAsia"/>
                <w:b w:val="0"/>
                <w:bCs/>
              </w:rPr>
              <w:br/>
            </w:r>
            <w:r w:rsidRPr="00EB74A4">
              <w:rPr>
                <w:rFonts w:hint="eastAsia"/>
                <w:b w:val="0"/>
                <w:bCs/>
              </w:rPr>
              <w:t>外窗气密性能设计文件、外窗气密性能检测报告、外窗气密性能现场检测报告及现场施工、监理影像资料。</w:t>
            </w:r>
          </w:p>
        </w:tc>
      </w:tr>
      <w:tr w:rsidR="00EB74A4" w:rsidRPr="00EB74A4" w14:paraId="04A7865B" w14:textId="77777777" w:rsidTr="00EB74A4">
        <w:trPr>
          <w:trHeight w:val="552"/>
        </w:trPr>
        <w:tc>
          <w:tcPr>
            <w:tcW w:w="960" w:type="dxa"/>
            <w:vAlign w:val="center"/>
            <w:hideMark/>
          </w:tcPr>
          <w:p w14:paraId="2BED3A37" w14:textId="77777777" w:rsidR="00EB74A4" w:rsidRPr="00EB74A4" w:rsidRDefault="00EB74A4" w:rsidP="00EB74A4">
            <w:pPr>
              <w:pStyle w:val="ae"/>
              <w:rPr>
                <w:b w:val="0"/>
                <w:bCs/>
              </w:rPr>
            </w:pPr>
            <w:r w:rsidRPr="00EB74A4">
              <w:rPr>
                <w:rFonts w:hint="eastAsia"/>
                <w:b w:val="0"/>
                <w:bCs/>
              </w:rPr>
              <w:t>4.1.1</w:t>
            </w:r>
          </w:p>
        </w:tc>
        <w:tc>
          <w:tcPr>
            <w:tcW w:w="2040" w:type="dxa"/>
            <w:vAlign w:val="center"/>
            <w:hideMark/>
          </w:tcPr>
          <w:p w14:paraId="46DF2B78" w14:textId="77777777" w:rsidR="00EB74A4" w:rsidRPr="00EB74A4" w:rsidRDefault="00EB74A4" w:rsidP="00EB74A4">
            <w:pPr>
              <w:pStyle w:val="ae"/>
              <w:rPr>
                <w:b w:val="0"/>
                <w:bCs/>
              </w:rPr>
            </w:pPr>
            <w:r w:rsidRPr="00EB74A4">
              <w:rPr>
                <w:rFonts w:hint="eastAsia"/>
                <w:b w:val="0"/>
                <w:bCs/>
              </w:rPr>
              <w:t>场地安全</w:t>
            </w:r>
          </w:p>
        </w:tc>
        <w:tc>
          <w:tcPr>
            <w:tcW w:w="11540" w:type="dxa"/>
            <w:vAlign w:val="center"/>
            <w:hideMark/>
          </w:tcPr>
          <w:p w14:paraId="7A936C1D" w14:textId="77777777" w:rsidR="00EB74A4" w:rsidRPr="00EB74A4" w:rsidRDefault="00EB74A4" w:rsidP="00EB74A4">
            <w:pPr>
              <w:pStyle w:val="ae"/>
              <w:rPr>
                <w:b w:val="0"/>
                <w:bCs/>
              </w:rPr>
            </w:pPr>
            <w:r w:rsidRPr="00EB74A4">
              <w:rPr>
                <w:rFonts w:hint="eastAsia"/>
                <w:b w:val="0"/>
                <w:bCs/>
              </w:rPr>
              <w:t>项目区位图、场地地形图、勘察报告、环评报告或相关检测报告或论证报告（含地质灾害危险性评估报告；污染源检测报告，氡浓度报告的区域说明）</w:t>
            </w:r>
          </w:p>
        </w:tc>
      </w:tr>
      <w:tr w:rsidR="00EB74A4" w:rsidRPr="00EB74A4" w14:paraId="12C7915B" w14:textId="77777777" w:rsidTr="00EB74A4">
        <w:trPr>
          <w:trHeight w:val="276"/>
        </w:trPr>
        <w:tc>
          <w:tcPr>
            <w:tcW w:w="960" w:type="dxa"/>
            <w:vAlign w:val="center"/>
            <w:hideMark/>
          </w:tcPr>
          <w:p w14:paraId="29DA013D" w14:textId="77777777" w:rsidR="00EB74A4" w:rsidRPr="00EB74A4" w:rsidRDefault="00EB74A4" w:rsidP="00EB74A4">
            <w:pPr>
              <w:pStyle w:val="ae"/>
              <w:rPr>
                <w:b w:val="0"/>
                <w:bCs/>
              </w:rPr>
            </w:pPr>
            <w:r w:rsidRPr="00EB74A4">
              <w:rPr>
                <w:rFonts w:hint="eastAsia"/>
                <w:b w:val="0"/>
                <w:bCs/>
              </w:rPr>
              <w:t>4.1.2</w:t>
            </w:r>
          </w:p>
        </w:tc>
        <w:tc>
          <w:tcPr>
            <w:tcW w:w="2040" w:type="dxa"/>
            <w:vAlign w:val="center"/>
            <w:hideMark/>
          </w:tcPr>
          <w:p w14:paraId="2B6E5322" w14:textId="77777777" w:rsidR="00EB74A4" w:rsidRPr="00EB74A4" w:rsidRDefault="00EB74A4" w:rsidP="00EB74A4">
            <w:pPr>
              <w:pStyle w:val="ae"/>
              <w:rPr>
                <w:b w:val="0"/>
                <w:bCs/>
              </w:rPr>
            </w:pPr>
            <w:r w:rsidRPr="00EB74A4">
              <w:rPr>
                <w:rFonts w:hint="eastAsia"/>
                <w:b w:val="0"/>
                <w:bCs/>
              </w:rPr>
              <w:t>结构承载力</w:t>
            </w:r>
          </w:p>
        </w:tc>
        <w:tc>
          <w:tcPr>
            <w:tcW w:w="11540" w:type="dxa"/>
            <w:vAlign w:val="center"/>
            <w:hideMark/>
          </w:tcPr>
          <w:p w14:paraId="42780E40" w14:textId="77777777" w:rsidR="00EB74A4" w:rsidRPr="00EB74A4" w:rsidRDefault="00EB74A4" w:rsidP="00EB74A4">
            <w:pPr>
              <w:pStyle w:val="ae"/>
              <w:rPr>
                <w:b w:val="0"/>
                <w:bCs/>
              </w:rPr>
            </w:pPr>
            <w:r w:rsidRPr="00EB74A4">
              <w:rPr>
                <w:rFonts w:hint="eastAsia"/>
                <w:b w:val="0"/>
                <w:bCs/>
              </w:rPr>
              <w:t>相关竣工图（含设计说明、计算书等），查看工程验收资料，相关检测检验报告</w:t>
            </w:r>
          </w:p>
        </w:tc>
      </w:tr>
      <w:tr w:rsidR="00EB74A4" w:rsidRPr="00EB74A4" w14:paraId="5F071B07" w14:textId="77777777" w:rsidTr="00EB74A4">
        <w:trPr>
          <w:trHeight w:val="276"/>
        </w:trPr>
        <w:tc>
          <w:tcPr>
            <w:tcW w:w="960" w:type="dxa"/>
            <w:vAlign w:val="center"/>
            <w:hideMark/>
          </w:tcPr>
          <w:p w14:paraId="0D201D50" w14:textId="77777777" w:rsidR="00EB74A4" w:rsidRPr="00EB74A4" w:rsidRDefault="00EB74A4" w:rsidP="00EB74A4">
            <w:pPr>
              <w:pStyle w:val="ae"/>
              <w:rPr>
                <w:b w:val="0"/>
                <w:bCs/>
              </w:rPr>
            </w:pPr>
            <w:r w:rsidRPr="00EB74A4">
              <w:rPr>
                <w:rFonts w:hint="eastAsia"/>
                <w:b w:val="0"/>
                <w:bCs/>
              </w:rPr>
              <w:t>4.1.3</w:t>
            </w:r>
          </w:p>
        </w:tc>
        <w:tc>
          <w:tcPr>
            <w:tcW w:w="2040" w:type="dxa"/>
            <w:vAlign w:val="center"/>
            <w:hideMark/>
          </w:tcPr>
          <w:p w14:paraId="241143F5" w14:textId="77777777" w:rsidR="00EB74A4" w:rsidRPr="00EB74A4" w:rsidRDefault="00EB74A4" w:rsidP="00EB74A4">
            <w:pPr>
              <w:pStyle w:val="ae"/>
              <w:rPr>
                <w:b w:val="0"/>
                <w:bCs/>
              </w:rPr>
            </w:pPr>
            <w:r w:rsidRPr="00EB74A4">
              <w:rPr>
                <w:rFonts w:hint="eastAsia"/>
                <w:b w:val="0"/>
                <w:bCs/>
              </w:rPr>
              <w:t>外部设施</w:t>
            </w:r>
          </w:p>
        </w:tc>
        <w:tc>
          <w:tcPr>
            <w:tcW w:w="11540" w:type="dxa"/>
            <w:vAlign w:val="center"/>
            <w:hideMark/>
          </w:tcPr>
          <w:p w14:paraId="4568C2D4" w14:textId="77777777" w:rsidR="00EB74A4" w:rsidRPr="00EB74A4" w:rsidRDefault="00EB74A4" w:rsidP="00EB74A4">
            <w:pPr>
              <w:pStyle w:val="ae"/>
              <w:rPr>
                <w:b w:val="0"/>
                <w:bCs/>
              </w:rPr>
            </w:pPr>
            <w:r w:rsidRPr="00EB74A4">
              <w:rPr>
                <w:rFonts w:hint="eastAsia"/>
                <w:b w:val="0"/>
                <w:bCs/>
              </w:rPr>
              <w:t>施工组织文件、相关竣工图（含设计说明、计算书等）</w:t>
            </w:r>
            <w:r w:rsidRPr="00EB74A4">
              <w:rPr>
                <w:rFonts w:hint="eastAsia"/>
                <w:b w:val="0"/>
                <w:bCs/>
              </w:rPr>
              <w:t xml:space="preserve"> </w:t>
            </w:r>
            <w:r w:rsidRPr="00EB74A4">
              <w:rPr>
                <w:rFonts w:hint="eastAsia"/>
                <w:b w:val="0"/>
                <w:bCs/>
              </w:rPr>
              <w:t>及检测检验报告、检修和维护条件</w:t>
            </w:r>
          </w:p>
        </w:tc>
      </w:tr>
      <w:tr w:rsidR="00EB74A4" w:rsidRPr="00EB74A4" w14:paraId="61381C31" w14:textId="77777777" w:rsidTr="00EB74A4">
        <w:trPr>
          <w:trHeight w:val="276"/>
        </w:trPr>
        <w:tc>
          <w:tcPr>
            <w:tcW w:w="960" w:type="dxa"/>
            <w:vAlign w:val="center"/>
            <w:hideMark/>
          </w:tcPr>
          <w:p w14:paraId="2EA4B77B" w14:textId="77777777" w:rsidR="00EB74A4" w:rsidRPr="00EB74A4" w:rsidRDefault="00EB74A4" w:rsidP="00EB74A4">
            <w:pPr>
              <w:pStyle w:val="ae"/>
              <w:rPr>
                <w:b w:val="0"/>
                <w:bCs/>
              </w:rPr>
            </w:pPr>
            <w:r w:rsidRPr="00EB74A4">
              <w:rPr>
                <w:rFonts w:hint="eastAsia"/>
                <w:b w:val="0"/>
                <w:bCs/>
              </w:rPr>
              <w:t>4.1.4</w:t>
            </w:r>
          </w:p>
        </w:tc>
        <w:tc>
          <w:tcPr>
            <w:tcW w:w="2040" w:type="dxa"/>
            <w:vAlign w:val="center"/>
            <w:hideMark/>
          </w:tcPr>
          <w:p w14:paraId="001FBEA8" w14:textId="77777777" w:rsidR="00EB74A4" w:rsidRPr="00EB74A4" w:rsidRDefault="00EB74A4" w:rsidP="00EB74A4">
            <w:pPr>
              <w:pStyle w:val="ae"/>
              <w:rPr>
                <w:b w:val="0"/>
                <w:bCs/>
              </w:rPr>
            </w:pPr>
            <w:r w:rsidRPr="00EB74A4">
              <w:rPr>
                <w:rFonts w:hint="eastAsia"/>
                <w:b w:val="0"/>
                <w:bCs/>
              </w:rPr>
              <w:t>内部设施</w:t>
            </w:r>
          </w:p>
        </w:tc>
        <w:tc>
          <w:tcPr>
            <w:tcW w:w="11540" w:type="dxa"/>
            <w:vAlign w:val="center"/>
            <w:hideMark/>
          </w:tcPr>
          <w:p w14:paraId="5CE1E5C2" w14:textId="77777777" w:rsidR="00EB74A4" w:rsidRPr="00EB74A4" w:rsidRDefault="00EB74A4" w:rsidP="00EB74A4">
            <w:pPr>
              <w:pStyle w:val="ae"/>
              <w:rPr>
                <w:b w:val="0"/>
                <w:bCs/>
              </w:rPr>
            </w:pPr>
            <w:r w:rsidRPr="00EB74A4">
              <w:rPr>
                <w:rFonts w:hint="eastAsia"/>
                <w:b w:val="0"/>
                <w:bCs/>
              </w:rPr>
              <w:t>相关竣工图、材料决算清单、产品说明书、力学及耐久性能测试或试验报告、相关记录文件</w:t>
            </w:r>
          </w:p>
        </w:tc>
      </w:tr>
      <w:tr w:rsidR="00EB74A4" w:rsidRPr="00EB74A4" w14:paraId="135F5D3A" w14:textId="77777777" w:rsidTr="00EB74A4">
        <w:trPr>
          <w:trHeight w:val="276"/>
        </w:trPr>
        <w:tc>
          <w:tcPr>
            <w:tcW w:w="960" w:type="dxa"/>
            <w:vAlign w:val="center"/>
            <w:hideMark/>
          </w:tcPr>
          <w:p w14:paraId="409E6E6D" w14:textId="77777777" w:rsidR="00EB74A4" w:rsidRPr="00EB74A4" w:rsidRDefault="00EB74A4" w:rsidP="00EB74A4">
            <w:pPr>
              <w:pStyle w:val="ae"/>
              <w:rPr>
                <w:b w:val="0"/>
                <w:bCs/>
              </w:rPr>
            </w:pPr>
            <w:r w:rsidRPr="00EB74A4">
              <w:rPr>
                <w:rFonts w:hint="eastAsia"/>
                <w:b w:val="0"/>
                <w:bCs/>
              </w:rPr>
              <w:lastRenderedPageBreak/>
              <w:t>4.1.5</w:t>
            </w:r>
          </w:p>
        </w:tc>
        <w:tc>
          <w:tcPr>
            <w:tcW w:w="2040" w:type="dxa"/>
            <w:vAlign w:val="center"/>
            <w:hideMark/>
          </w:tcPr>
          <w:p w14:paraId="18FF1149" w14:textId="77777777" w:rsidR="00EB74A4" w:rsidRPr="00EB74A4" w:rsidRDefault="00EB74A4" w:rsidP="00EB74A4">
            <w:pPr>
              <w:pStyle w:val="ae"/>
              <w:rPr>
                <w:b w:val="0"/>
                <w:bCs/>
              </w:rPr>
            </w:pPr>
            <w:r w:rsidRPr="00EB74A4">
              <w:rPr>
                <w:rFonts w:hint="eastAsia"/>
                <w:b w:val="0"/>
                <w:bCs/>
              </w:rPr>
              <w:t>外门窗三性</w:t>
            </w:r>
          </w:p>
        </w:tc>
        <w:tc>
          <w:tcPr>
            <w:tcW w:w="11540" w:type="dxa"/>
            <w:vAlign w:val="center"/>
            <w:hideMark/>
          </w:tcPr>
          <w:p w14:paraId="0C46CE27" w14:textId="77777777" w:rsidR="00EB74A4" w:rsidRPr="00EB74A4" w:rsidRDefault="00EB74A4" w:rsidP="00EB74A4">
            <w:pPr>
              <w:pStyle w:val="ae"/>
              <w:rPr>
                <w:b w:val="0"/>
                <w:bCs/>
              </w:rPr>
            </w:pPr>
            <w:r w:rsidRPr="00EB74A4">
              <w:rPr>
                <w:rFonts w:hint="eastAsia"/>
                <w:b w:val="0"/>
                <w:bCs/>
              </w:rPr>
              <w:t>相关竣工图、门窗产品三性检测报告和施工工法说明文件，隐蔽工程验收记录，现场检查</w:t>
            </w:r>
          </w:p>
        </w:tc>
      </w:tr>
      <w:tr w:rsidR="00EB74A4" w:rsidRPr="00EB74A4" w14:paraId="498AC6A2" w14:textId="77777777" w:rsidTr="00EB74A4">
        <w:trPr>
          <w:trHeight w:val="276"/>
        </w:trPr>
        <w:tc>
          <w:tcPr>
            <w:tcW w:w="960" w:type="dxa"/>
            <w:vAlign w:val="center"/>
            <w:hideMark/>
          </w:tcPr>
          <w:p w14:paraId="4C88303E" w14:textId="77777777" w:rsidR="00EB74A4" w:rsidRPr="00EB74A4" w:rsidRDefault="00EB74A4" w:rsidP="00EB74A4">
            <w:pPr>
              <w:pStyle w:val="ae"/>
              <w:rPr>
                <w:b w:val="0"/>
                <w:bCs/>
              </w:rPr>
            </w:pPr>
            <w:r w:rsidRPr="00EB74A4">
              <w:rPr>
                <w:rFonts w:hint="eastAsia"/>
                <w:b w:val="0"/>
                <w:bCs/>
              </w:rPr>
              <w:t>4.1.6</w:t>
            </w:r>
          </w:p>
        </w:tc>
        <w:tc>
          <w:tcPr>
            <w:tcW w:w="2040" w:type="dxa"/>
            <w:vAlign w:val="center"/>
            <w:hideMark/>
          </w:tcPr>
          <w:p w14:paraId="1FAFA0E1" w14:textId="77777777" w:rsidR="00EB74A4" w:rsidRPr="00EB74A4" w:rsidRDefault="00EB74A4" w:rsidP="00EB74A4">
            <w:pPr>
              <w:pStyle w:val="ae"/>
              <w:rPr>
                <w:b w:val="0"/>
                <w:bCs/>
              </w:rPr>
            </w:pPr>
            <w:r w:rsidRPr="00EB74A4">
              <w:rPr>
                <w:rFonts w:hint="eastAsia"/>
                <w:b w:val="0"/>
                <w:bCs/>
              </w:rPr>
              <w:t>防水防潮</w:t>
            </w:r>
          </w:p>
        </w:tc>
        <w:tc>
          <w:tcPr>
            <w:tcW w:w="11540" w:type="dxa"/>
            <w:vAlign w:val="center"/>
            <w:hideMark/>
          </w:tcPr>
          <w:p w14:paraId="2FBB8FDC" w14:textId="77777777" w:rsidR="00EB74A4" w:rsidRPr="00EB74A4" w:rsidRDefault="00EB74A4" w:rsidP="00EB74A4">
            <w:pPr>
              <w:pStyle w:val="ae"/>
              <w:rPr>
                <w:b w:val="0"/>
                <w:bCs/>
              </w:rPr>
            </w:pPr>
            <w:r w:rsidRPr="00EB74A4">
              <w:rPr>
                <w:rFonts w:hint="eastAsia"/>
                <w:b w:val="0"/>
                <w:bCs/>
              </w:rPr>
              <w:t>相关竣工图及检测检验报告、防水和防潮措施说明，工程验收资料</w:t>
            </w:r>
          </w:p>
        </w:tc>
      </w:tr>
      <w:tr w:rsidR="00EB74A4" w:rsidRPr="00EB74A4" w14:paraId="67642EDC" w14:textId="77777777" w:rsidTr="00EB74A4">
        <w:trPr>
          <w:trHeight w:val="276"/>
        </w:trPr>
        <w:tc>
          <w:tcPr>
            <w:tcW w:w="960" w:type="dxa"/>
            <w:vAlign w:val="center"/>
            <w:hideMark/>
          </w:tcPr>
          <w:p w14:paraId="6BF31B47" w14:textId="77777777" w:rsidR="00EB74A4" w:rsidRPr="00EB74A4" w:rsidRDefault="00EB74A4" w:rsidP="00EB74A4">
            <w:pPr>
              <w:pStyle w:val="ae"/>
              <w:rPr>
                <w:b w:val="0"/>
                <w:bCs/>
              </w:rPr>
            </w:pPr>
            <w:r w:rsidRPr="00EB74A4">
              <w:rPr>
                <w:rFonts w:hint="eastAsia"/>
                <w:b w:val="0"/>
                <w:bCs/>
              </w:rPr>
              <w:t>4.1.7</w:t>
            </w:r>
          </w:p>
        </w:tc>
        <w:tc>
          <w:tcPr>
            <w:tcW w:w="2040" w:type="dxa"/>
            <w:vAlign w:val="center"/>
            <w:hideMark/>
          </w:tcPr>
          <w:p w14:paraId="686A583E" w14:textId="77777777" w:rsidR="00EB74A4" w:rsidRPr="00EB74A4" w:rsidRDefault="00EB74A4" w:rsidP="00EB74A4">
            <w:pPr>
              <w:pStyle w:val="ae"/>
              <w:rPr>
                <w:b w:val="0"/>
                <w:bCs/>
              </w:rPr>
            </w:pPr>
            <w:r w:rsidRPr="00EB74A4">
              <w:rPr>
                <w:rFonts w:hint="eastAsia"/>
                <w:b w:val="0"/>
                <w:bCs/>
              </w:rPr>
              <w:t>紧急疏散、应急救护</w:t>
            </w:r>
          </w:p>
        </w:tc>
        <w:tc>
          <w:tcPr>
            <w:tcW w:w="11540" w:type="dxa"/>
            <w:vAlign w:val="center"/>
            <w:hideMark/>
          </w:tcPr>
          <w:p w14:paraId="52C840A0" w14:textId="77777777" w:rsidR="00EB74A4" w:rsidRPr="00EB74A4" w:rsidRDefault="00EB74A4" w:rsidP="00EB74A4">
            <w:pPr>
              <w:pStyle w:val="ae"/>
              <w:rPr>
                <w:b w:val="0"/>
                <w:bCs/>
              </w:rPr>
            </w:pPr>
            <w:r w:rsidRPr="00EB74A4">
              <w:rPr>
                <w:rFonts w:hint="eastAsia"/>
                <w:b w:val="0"/>
                <w:bCs/>
              </w:rPr>
              <w:t>相关竣工图、相关管理规定</w:t>
            </w:r>
          </w:p>
        </w:tc>
      </w:tr>
      <w:tr w:rsidR="00EB74A4" w:rsidRPr="00EB74A4" w14:paraId="3AFF01D2" w14:textId="77777777" w:rsidTr="00EB74A4">
        <w:trPr>
          <w:trHeight w:val="552"/>
        </w:trPr>
        <w:tc>
          <w:tcPr>
            <w:tcW w:w="960" w:type="dxa"/>
            <w:vAlign w:val="center"/>
            <w:hideMark/>
          </w:tcPr>
          <w:p w14:paraId="0966ADFA" w14:textId="77777777" w:rsidR="00EB74A4" w:rsidRPr="00EB74A4" w:rsidRDefault="00EB74A4" w:rsidP="00EB74A4">
            <w:pPr>
              <w:pStyle w:val="ae"/>
              <w:rPr>
                <w:b w:val="0"/>
                <w:bCs/>
              </w:rPr>
            </w:pPr>
            <w:r w:rsidRPr="00EB74A4">
              <w:rPr>
                <w:rFonts w:hint="eastAsia"/>
                <w:b w:val="0"/>
                <w:bCs/>
              </w:rPr>
              <w:t>4.1.8</w:t>
            </w:r>
          </w:p>
        </w:tc>
        <w:tc>
          <w:tcPr>
            <w:tcW w:w="2040" w:type="dxa"/>
            <w:vAlign w:val="center"/>
            <w:hideMark/>
          </w:tcPr>
          <w:p w14:paraId="432D138E" w14:textId="77777777" w:rsidR="00EB74A4" w:rsidRPr="00EB74A4" w:rsidRDefault="00EB74A4" w:rsidP="00EB74A4">
            <w:pPr>
              <w:pStyle w:val="ae"/>
              <w:rPr>
                <w:b w:val="0"/>
                <w:bCs/>
              </w:rPr>
            </w:pPr>
            <w:r w:rsidRPr="00EB74A4">
              <w:rPr>
                <w:rFonts w:hint="eastAsia"/>
                <w:b w:val="0"/>
                <w:bCs/>
              </w:rPr>
              <w:t>标识系统</w:t>
            </w:r>
          </w:p>
        </w:tc>
        <w:tc>
          <w:tcPr>
            <w:tcW w:w="11540" w:type="dxa"/>
            <w:vAlign w:val="center"/>
            <w:hideMark/>
          </w:tcPr>
          <w:p w14:paraId="33541038" w14:textId="77777777" w:rsidR="00EB74A4" w:rsidRPr="00EB74A4" w:rsidRDefault="00EB74A4" w:rsidP="00EB74A4">
            <w:pPr>
              <w:pStyle w:val="ae"/>
              <w:rPr>
                <w:b w:val="0"/>
                <w:bCs/>
              </w:rPr>
            </w:pPr>
            <w:r w:rsidRPr="00EB74A4">
              <w:rPr>
                <w:rFonts w:hint="eastAsia"/>
                <w:b w:val="0"/>
                <w:bCs/>
              </w:rPr>
              <w:t>标识系统设计（含标识标牌设计详图，车库应提供标识标牌和安全防护措施专项设计详图）与设置说明文件、相关影像材料、组织现场查勘</w:t>
            </w:r>
          </w:p>
        </w:tc>
      </w:tr>
      <w:tr w:rsidR="00EB74A4" w:rsidRPr="00EB74A4" w14:paraId="68F8FC2F" w14:textId="77777777" w:rsidTr="00EB74A4">
        <w:trPr>
          <w:trHeight w:val="276"/>
        </w:trPr>
        <w:tc>
          <w:tcPr>
            <w:tcW w:w="960" w:type="dxa"/>
            <w:vAlign w:val="center"/>
            <w:hideMark/>
          </w:tcPr>
          <w:p w14:paraId="63F5A815" w14:textId="77777777" w:rsidR="00EB74A4" w:rsidRPr="00EB74A4" w:rsidRDefault="00EB74A4" w:rsidP="00EB74A4">
            <w:pPr>
              <w:pStyle w:val="ae"/>
              <w:rPr>
                <w:b w:val="0"/>
                <w:bCs/>
              </w:rPr>
            </w:pPr>
            <w:r w:rsidRPr="00EB74A4">
              <w:rPr>
                <w:rFonts w:hint="eastAsia"/>
                <w:b w:val="0"/>
                <w:bCs/>
              </w:rPr>
              <w:t>4.2.1</w:t>
            </w:r>
          </w:p>
        </w:tc>
        <w:tc>
          <w:tcPr>
            <w:tcW w:w="2040" w:type="dxa"/>
            <w:vAlign w:val="center"/>
            <w:hideMark/>
          </w:tcPr>
          <w:p w14:paraId="623E22D1" w14:textId="77777777" w:rsidR="00EB74A4" w:rsidRPr="00EB74A4" w:rsidRDefault="00EB74A4" w:rsidP="00EB74A4">
            <w:pPr>
              <w:pStyle w:val="ae"/>
              <w:rPr>
                <w:b w:val="0"/>
                <w:bCs/>
              </w:rPr>
            </w:pPr>
            <w:r w:rsidRPr="00EB74A4">
              <w:rPr>
                <w:rFonts w:hint="eastAsia"/>
                <w:b w:val="0"/>
                <w:bCs/>
              </w:rPr>
              <w:t>抗震设计</w:t>
            </w:r>
          </w:p>
        </w:tc>
        <w:tc>
          <w:tcPr>
            <w:tcW w:w="11540" w:type="dxa"/>
            <w:vAlign w:val="center"/>
            <w:hideMark/>
          </w:tcPr>
          <w:p w14:paraId="04CA8911" w14:textId="77777777" w:rsidR="00EB74A4" w:rsidRPr="00EB74A4" w:rsidRDefault="00EB74A4" w:rsidP="00EB74A4">
            <w:pPr>
              <w:pStyle w:val="ae"/>
              <w:rPr>
                <w:b w:val="0"/>
                <w:bCs/>
              </w:rPr>
            </w:pPr>
            <w:r w:rsidRPr="00EB74A4">
              <w:rPr>
                <w:rFonts w:hint="eastAsia"/>
                <w:b w:val="0"/>
                <w:bCs/>
              </w:rPr>
              <w:t>相关竣工图、结构计算文件、项目安全分析报告及应对措施结果</w:t>
            </w:r>
          </w:p>
        </w:tc>
      </w:tr>
      <w:tr w:rsidR="00EB74A4" w:rsidRPr="00EB74A4" w14:paraId="27E13B58" w14:textId="77777777" w:rsidTr="00EB74A4">
        <w:trPr>
          <w:trHeight w:val="276"/>
        </w:trPr>
        <w:tc>
          <w:tcPr>
            <w:tcW w:w="960" w:type="dxa"/>
            <w:vAlign w:val="center"/>
            <w:hideMark/>
          </w:tcPr>
          <w:p w14:paraId="32EF7AF4" w14:textId="77777777" w:rsidR="00EB74A4" w:rsidRPr="00EB74A4" w:rsidRDefault="00EB74A4" w:rsidP="00EB74A4">
            <w:pPr>
              <w:pStyle w:val="ae"/>
              <w:rPr>
                <w:b w:val="0"/>
                <w:bCs/>
              </w:rPr>
            </w:pPr>
            <w:r w:rsidRPr="00EB74A4">
              <w:rPr>
                <w:rFonts w:hint="eastAsia"/>
                <w:b w:val="0"/>
                <w:bCs/>
              </w:rPr>
              <w:t>4.2.2</w:t>
            </w:r>
          </w:p>
        </w:tc>
        <w:tc>
          <w:tcPr>
            <w:tcW w:w="2040" w:type="dxa"/>
            <w:vAlign w:val="center"/>
            <w:hideMark/>
          </w:tcPr>
          <w:p w14:paraId="284CC15A" w14:textId="77777777" w:rsidR="00EB74A4" w:rsidRPr="00EB74A4" w:rsidRDefault="00EB74A4" w:rsidP="00EB74A4">
            <w:pPr>
              <w:pStyle w:val="ae"/>
              <w:rPr>
                <w:b w:val="0"/>
                <w:bCs/>
              </w:rPr>
            </w:pPr>
            <w:r w:rsidRPr="00EB74A4">
              <w:rPr>
                <w:rFonts w:hint="eastAsia"/>
                <w:b w:val="0"/>
                <w:bCs/>
              </w:rPr>
              <w:t>安全防护措施</w:t>
            </w:r>
          </w:p>
        </w:tc>
        <w:tc>
          <w:tcPr>
            <w:tcW w:w="11540" w:type="dxa"/>
            <w:vAlign w:val="center"/>
            <w:hideMark/>
          </w:tcPr>
          <w:p w14:paraId="23A263F4" w14:textId="77777777" w:rsidR="00EB74A4" w:rsidRPr="00EB74A4" w:rsidRDefault="00EB74A4" w:rsidP="00EB74A4">
            <w:pPr>
              <w:pStyle w:val="ae"/>
              <w:rPr>
                <w:b w:val="0"/>
                <w:bCs/>
              </w:rPr>
            </w:pPr>
            <w:r w:rsidRPr="00EB74A4">
              <w:rPr>
                <w:rFonts w:hint="eastAsia"/>
                <w:b w:val="0"/>
                <w:bCs/>
              </w:rPr>
              <w:t>相关竣工图及检测检验报告，组织现场查勘</w:t>
            </w:r>
          </w:p>
        </w:tc>
      </w:tr>
      <w:tr w:rsidR="00EB74A4" w:rsidRPr="00EB74A4" w14:paraId="24A12A4D" w14:textId="77777777" w:rsidTr="00EB74A4">
        <w:trPr>
          <w:trHeight w:val="552"/>
        </w:trPr>
        <w:tc>
          <w:tcPr>
            <w:tcW w:w="960" w:type="dxa"/>
            <w:vAlign w:val="center"/>
            <w:hideMark/>
          </w:tcPr>
          <w:p w14:paraId="06AE5F30" w14:textId="77777777" w:rsidR="00EB74A4" w:rsidRPr="00EB74A4" w:rsidRDefault="00EB74A4" w:rsidP="00EB74A4">
            <w:pPr>
              <w:pStyle w:val="ae"/>
              <w:rPr>
                <w:b w:val="0"/>
                <w:bCs/>
              </w:rPr>
            </w:pPr>
            <w:r w:rsidRPr="00EB74A4">
              <w:rPr>
                <w:rFonts w:hint="eastAsia"/>
                <w:b w:val="0"/>
                <w:bCs/>
              </w:rPr>
              <w:t>4.2.3</w:t>
            </w:r>
          </w:p>
        </w:tc>
        <w:tc>
          <w:tcPr>
            <w:tcW w:w="2040" w:type="dxa"/>
            <w:vAlign w:val="center"/>
            <w:hideMark/>
          </w:tcPr>
          <w:p w14:paraId="6A865B19" w14:textId="77777777" w:rsidR="00EB74A4" w:rsidRPr="00EB74A4" w:rsidRDefault="00EB74A4" w:rsidP="00EB74A4">
            <w:pPr>
              <w:pStyle w:val="ae"/>
              <w:rPr>
                <w:b w:val="0"/>
                <w:bCs/>
              </w:rPr>
            </w:pPr>
            <w:r w:rsidRPr="00EB74A4">
              <w:rPr>
                <w:rFonts w:hint="eastAsia"/>
                <w:b w:val="0"/>
                <w:bCs/>
              </w:rPr>
              <w:t>配件产品安全防护性能</w:t>
            </w:r>
          </w:p>
        </w:tc>
        <w:tc>
          <w:tcPr>
            <w:tcW w:w="11540" w:type="dxa"/>
            <w:vAlign w:val="center"/>
            <w:hideMark/>
          </w:tcPr>
          <w:p w14:paraId="3F61C3CB" w14:textId="77777777" w:rsidR="00EB74A4" w:rsidRPr="00EB74A4" w:rsidRDefault="00EB74A4" w:rsidP="00EB74A4">
            <w:pPr>
              <w:pStyle w:val="ae"/>
              <w:rPr>
                <w:b w:val="0"/>
                <w:bCs/>
              </w:rPr>
            </w:pPr>
            <w:r w:rsidRPr="00EB74A4">
              <w:rPr>
                <w:rFonts w:hint="eastAsia"/>
                <w:b w:val="0"/>
                <w:bCs/>
              </w:rPr>
              <w:t>相关竣工图、门窗检测检验报告</w:t>
            </w:r>
          </w:p>
        </w:tc>
      </w:tr>
      <w:tr w:rsidR="00EB74A4" w:rsidRPr="00EB74A4" w14:paraId="0516F3B0" w14:textId="77777777" w:rsidTr="00EB74A4">
        <w:trPr>
          <w:trHeight w:val="276"/>
        </w:trPr>
        <w:tc>
          <w:tcPr>
            <w:tcW w:w="960" w:type="dxa"/>
            <w:vAlign w:val="center"/>
            <w:hideMark/>
          </w:tcPr>
          <w:p w14:paraId="55E0807F" w14:textId="77777777" w:rsidR="00EB74A4" w:rsidRPr="00EB74A4" w:rsidRDefault="00EB74A4" w:rsidP="00EB74A4">
            <w:pPr>
              <w:pStyle w:val="ae"/>
              <w:rPr>
                <w:b w:val="0"/>
                <w:bCs/>
              </w:rPr>
            </w:pPr>
            <w:r w:rsidRPr="00EB74A4">
              <w:rPr>
                <w:rFonts w:hint="eastAsia"/>
                <w:b w:val="0"/>
                <w:bCs/>
              </w:rPr>
              <w:t>4.2.4</w:t>
            </w:r>
          </w:p>
        </w:tc>
        <w:tc>
          <w:tcPr>
            <w:tcW w:w="2040" w:type="dxa"/>
            <w:vAlign w:val="center"/>
            <w:hideMark/>
          </w:tcPr>
          <w:p w14:paraId="20AE6EA4" w14:textId="77777777" w:rsidR="00EB74A4" w:rsidRPr="00EB74A4" w:rsidRDefault="00EB74A4" w:rsidP="00EB74A4">
            <w:pPr>
              <w:pStyle w:val="ae"/>
              <w:rPr>
                <w:b w:val="0"/>
                <w:bCs/>
              </w:rPr>
            </w:pPr>
            <w:r w:rsidRPr="00EB74A4">
              <w:rPr>
                <w:rFonts w:hint="eastAsia"/>
                <w:b w:val="0"/>
                <w:bCs/>
              </w:rPr>
              <w:t>防滑措施</w:t>
            </w:r>
          </w:p>
        </w:tc>
        <w:tc>
          <w:tcPr>
            <w:tcW w:w="11540" w:type="dxa"/>
            <w:vAlign w:val="center"/>
            <w:hideMark/>
          </w:tcPr>
          <w:p w14:paraId="5ED74FA2" w14:textId="77777777" w:rsidR="00EB74A4" w:rsidRPr="00EB74A4" w:rsidRDefault="00EB74A4" w:rsidP="00EB74A4">
            <w:pPr>
              <w:pStyle w:val="ae"/>
              <w:rPr>
                <w:b w:val="0"/>
                <w:bCs/>
              </w:rPr>
            </w:pPr>
            <w:r w:rsidRPr="00EB74A4">
              <w:rPr>
                <w:rFonts w:hint="eastAsia"/>
                <w:b w:val="0"/>
                <w:bCs/>
              </w:rPr>
              <w:t>相关竣工图、防滑材料有关测试、检测报告，组织现场查勘</w:t>
            </w:r>
          </w:p>
        </w:tc>
      </w:tr>
      <w:tr w:rsidR="00EB74A4" w:rsidRPr="00EB74A4" w14:paraId="6C0A93C3" w14:textId="77777777" w:rsidTr="00EB74A4">
        <w:trPr>
          <w:trHeight w:val="552"/>
        </w:trPr>
        <w:tc>
          <w:tcPr>
            <w:tcW w:w="960" w:type="dxa"/>
            <w:vAlign w:val="center"/>
            <w:hideMark/>
          </w:tcPr>
          <w:p w14:paraId="5C8F67C0" w14:textId="77777777" w:rsidR="00EB74A4" w:rsidRPr="00EB74A4" w:rsidRDefault="00EB74A4" w:rsidP="00EB74A4">
            <w:pPr>
              <w:pStyle w:val="ae"/>
              <w:rPr>
                <w:b w:val="0"/>
                <w:bCs/>
              </w:rPr>
            </w:pPr>
            <w:r w:rsidRPr="00EB74A4">
              <w:rPr>
                <w:rFonts w:hint="eastAsia"/>
                <w:b w:val="0"/>
                <w:bCs/>
              </w:rPr>
              <w:t>4.2.5</w:t>
            </w:r>
          </w:p>
        </w:tc>
        <w:tc>
          <w:tcPr>
            <w:tcW w:w="2040" w:type="dxa"/>
            <w:vAlign w:val="center"/>
            <w:hideMark/>
          </w:tcPr>
          <w:p w14:paraId="048C0F2A" w14:textId="77777777" w:rsidR="00EB74A4" w:rsidRPr="00EB74A4" w:rsidRDefault="00EB74A4" w:rsidP="00EB74A4">
            <w:pPr>
              <w:pStyle w:val="ae"/>
              <w:rPr>
                <w:b w:val="0"/>
                <w:bCs/>
              </w:rPr>
            </w:pPr>
            <w:r w:rsidRPr="00EB74A4">
              <w:rPr>
                <w:rFonts w:hint="eastAsia"/>
                <w:b w:val="0"/>
                <w:bCs/>
              </w:rPr>
              <w:t>人车分流</w:t>
            </w:r>
          </w:p>
        </w:tc>
        <w:tc>
          <w:tcPr>
            <w:tcW w:w="11540" w:type="dxa"/>
            <w:vAlign w:val="center"/>
            <w:hideMark/>
          </w:tcPr>
          <w:p w14:paraId="0C2E6CA4" w14:textId="77777777" w:rsidR="00EB74A4" w:rsidRPr="00EB74A4" w:rsidRDefault="00EB74A4" w:rsidP="00EB74A4">
            <w:pPr>
              <w:pStyle w:val="ae"/>
              <w:rPr>
                <w:b w:val="0"/>
                <w:bCs/>
              </w:rPr>
            </w:pPr>
            <w:r w:rsidRPr="00EB74A4">
              <w:rPr>
                <w:rFonts w:hint="eastAsia"/>
                <w:b w:val="0"/>
                <w:bCs/>
              </w:rPr>
              <w:t>相关竣工图及道路照度现场检测报告（步行和自行车交通系统的路面平均照度、路面最小照度和垂直照度检测报告），组织现场查勘</w:t>
            </w:r>
          </w:p>
        </w:tc>
      </w:tr>
      <w:tr w:rsidR="00EB74A4" w:rsidRPr="00EB74A4" w14:paraId="7CC8D42C" w14:textId="77777777" w:rsidTr="00EB74A4">
        <w:trPr>
          <w:trHeight w:val="276"/>
        </w:trPr>
        <w:tc>
          <w:tcPr>
            <w:tcW w:w="960" w:type="dxa"/>
            <w:vAlign w:val="center"/>
            <w:hideMark/>
          </w:tcPr>
          <w:p w14:paraId="6CD384EA" w14:textId="77777777" w:rsidR="00EB74A4" w:rsidRPr="00EB74A4" w:rsidRDefault="00EB74A4" w:rsidP="00EB74A4">
            <w:pPr>
              <w:pStyle w:val="ae"/>
              <w:rPr>
                <w:b w:val="0"/>
                <w:bCs/>
              </w:rPr>
            </w:pPr>
            <w:r w:rsidRPr="00EB74A4">
              <w:rPr>
                <w:rFonts w:hint="eastAsia"/>
                <w:b w:val="0"/>
                <w:bCs/>
              </w:rPr>
              <w:t>4.2.6</w:t>
            </w:r>
          </w:p>
        </w:tc>
        <w:tc>
          <w:tcPr>
            <w:tcW w:w="2040" w:type="dxa"/>
            <w:vAlign w:val="center"/>
            <w:hideMark/>
          </w:tcPr>
          <w:p w14:paraId="099F0690" w14:textId="77777777" w:rsidR="00EB74A4" w:rsidRPr="00EB74A4" w:rsidRDefault="00EB74A4" w:rsidP="00EB74A4">
            <w:pPr>
              <w:pStyle w:val="ae"/>
              <w:rPr>
                <w:b w:val="0"/>
                <w:bCs/>
              </w:rPr>
            </w:pPr>
            <w:r w:rsidRPr="00EB74A4">
              <w:rPr>
                <w:rFonts w:hint="eastAsia"/>
                <w:b w:val="0"/>
                <w:bCs/>
              </w:rPr>
              <w:t>建筑适变性</w:t>
            </w:r>
          </w:p>
        </w:tc>
        <w:tc>
          <w:tcPr>
            <w:tcW w:w="11540" w:type="dxa"/>
            <w:vAlign w:val="center"/>
            <w:hideMark/>
          </w:tcPr>
          <w:p w14:paraId="34CB7809" w14:textId="77777777" w:rsidR="00EB74A4" w:rsidRPr="00EB74A4" w:rsidRDefault="00EB74A4" w:rsidP="00EB74A4">
            <w:pPr>
              <w:pStyle w:val="ae"/>
              <w:rPr>
                <w:b w:val="0"/>
                <w:bCs/>
              </w:rPr>
            </w:pPr>
            <w:r w:rsidRPr="00EB74A4">
              <w:rPr>
                <w:rFonts w:hint="eastAsia"/>
                <w:b w:val="0"/>
                <w:bCs/>
              </w:rPr>
              <w:t>相关竣工图、建筑适变性提升措施的设计说明，查看施工过程影像资料，工程验收资料，组织现场查勘</w:t>
            </w:r>
          </w:p>
        </w:tc>
      </w:tr>
      <w:tr w:rsidR="00EB74A4" w:rsidRPr="00EB74A4" w14:paraId="6BC69A18" w14:textId="77777777" w:rsidTr="00EB74A4">
        <w:trPr>
          <w:trHeight w:val="276"/>
        </w:trPr>
        <w:tc>
          <w:tcPr>
            <w:tcW w:w="960" w:type="dxa"/>
            <w:vAlign w:val="center"/>
            <w:hideMark/>
          </w:tcPr>
          <w:p w14:paraId="3F809332" w14:textId="77777777" w:rsidR="00EB74A4" w:rsidRPr="00EB74A4" w:rsidRDefault="00EB74A4" w:rsidP="00EB74A4">
            <w:pPr>
              <w:pStyle w:val="ae"/>
              <w:rPr>
                <w:b w:val="0"/>
                <w:bCs/>
              </w:rPr>
            </w:pPr>
            <w:r w:rsidRPr="00EB74A4">
              <w:rPr>
                <w:rFonts w:hint="eastAsia"/>
                <w:b w:val="0"/>
                <w:bCs/>
              </w:rPr>
              <w:t>4.2.7</w:t>
            </w:r>
          </w:p>
        </w:tc>
        <w:tc>
          <w:tcPr>
            <w:tcW w:w="2040" w:type="dxa"/>
            <w:vAlign w:val="center"/>
            <w:hideMark/>
          </w:tcPr>
          <w:p w14:paraId="429BBEB4" w14:textId="77777777" w:rsidR="00EB74A4" w:rsidRPr="00EB74A4" w:rsidRDefault="00EB74A4" w:rsidP="00EB74A4">
            <w:pPr>
              <w:pStyle w:val="ae"/>
              <w:rPr>
                <w:b w:val="0"/>
                <w:bCs/>
              </w:rPr>
            </w:pPr>
            <w:r w:rsidRPr="00EB74A4">
              <w:rPr>
                <w:rFonts w:hint="eastAsia"/>
                <w:b w:val="0"/>
                <w:bCs/>
              </w:rPr>
              <w:t>部件耐久性</w:t>
            </w:r>
          </w:p>
        </w:tc>
        <w:tc>
          <w:tcPr>
            <w:tcW w:w="11540" w:type="dxa"/>
            <w:vAlign w:val="center"/>
            <w:hideMark/>
          </w:tcPr>
          <w:p w14:paraId="6BEFDB8D" w14:textId="77777777" w:rsidR="00EB74A4" w:rsidRPr="00EB74A4" w:rsidRDefault="00EB74A4" w:rsidP="00EB74A4">
            <w:pPr>
              <w:pStyle w:val="ae"/>
              <w:rPr>
                <w:b w:val="0"/>
                <w:bCs/>
              </w:rPr>
            </w:pPr>
            <w:r w:rsidRPr="00EB74A4">
              <w:rPr>
                <w:rFonts w:hint="eastAsia"/>
                <w:b w:val="0"/>
                <w:bCs/>
              </w:rPr>
              <w:t>相关竣工图、产品说明书或检测检验报告</w:t>
            </w:r>
          </w:p>
        </w:tc>
      </w:tr>
      <w:tr w:rsidR="00EB74A4" w:rsidRPr="00EB74A4" w14:paraId="44FE38D2" w14:textId="77777777" w:rsidTr="00EB74A4">
        <w:trPr>
          <w:trHeight w:val="276"/>
        </w:trPr>
        <w:tc>
          <w:tcPr>
            <w:tcW w:w="960" w:type="dxa"/>
            <w:vAlign w:val="center"/>
            <w:hideMark/>
          </w:tcPr>
          <w:p w14:paraId="3D127DE2" w14:textId="77777777" w:rsidR="00EB74A4" w:rsidRPr="00EB74A4" w:rsidRDefault="00EB74A4" w:rsidP="00EB74A4">
            <w:pPr>
              <w:pStyle w:val="ae"/>
              <w:rPr>
                <w:b w:val="0"/>
                <w:bCs/>
              </w:rPr>
            </w:pPr>
            <w:r w:rsidRPr="00EB74A4">
              <w:rPr>
                <w:rFonts w:hint="eastAsia"/>
                <w:b w:val="0"/>
                <w:bCs/>
              </w:rPr>
              <w:t>4.2.8</w:t>
            </w:r>
          </w:p>
        </w:tc>
        <w:tc>
          <w:tcPr>
            <w:tcW w:w="2040" w:type="dxa"/>
            <w:vAlign w:val="center"/>
            <w:hideMark/>
          </w:tcPr>
          <w:p w14:paraId="097427FD" w14:textId="77777777" w:rsidR="00EB74A4" w:rsidRPr="00EB74A4" w:rsidRDefault="00EB74A4" w:rsidP="00EB74A4">
            <w:pPr>
              <w:pStyle w:val="ae"/>
              <w:rPr>
                <w:b w:val="0"/>
                <w:bCs/>
              </w:rPr>
            </w:pPr>
            <w:r w:rsidRPr="00EB74A4">
              <w:rPr>
                <w:rFonts w:hint="eastAsia"/>
                <w:b w:val="0"/>
                <w:bCs/>
              </w:rPr>
              <w:t>结构材料耐久性</w:t>
            </w:r>
          </w:p>
        </w:tc>
        <w:tc>
          <w:tcPr>
            <w:tcW w:w="11540" w:type="dxa"/>
            <w:vAlign w:val="center"/>
            <w:hideMark/>
          </w:tcPr>
          <w:p w14:paraId="482EC311" w14:textId="77777777" w:rsidR="00EB74A4" w:rsidRPr="00EB74A4" w:rsidRDefault="00EB74A4" w:rsidP="00EB74A4">
            <w:pPr>
              <w:pStyle w:val="ae"/>
              <w:rPr>
                <w:b w:val="0"/>
                <w:bCs/>
              </w:rPr>
            </w:pPr>
            <w:r w:rsidRPr="00EB74A4">
              <w:rPr>
                <w:rFonts w:hint="eastAsia"/>
                <w:b w:val="0"/>
                <w:bCs/>
              </w:rPr>
              <w:t>相关竣工图、检测检验报告、材料用量计算书、材料决算清单，施工过程影像资料</w:t>
            </w:r>
          </w:p>
        </w:tc>
      </w:tr>
      <w:tr w:rsidR="00EB74A4" w:rsidRPr="00EB74A4" w14:paraId="4DC19E4D" w14:textId="77777777" w:rsidTr="00EB74A4">
        <w:trPr>
          <w:trHeight w:val="276"/>
        </w:trPr>
        <w:tc>
          <w:tcPr>
            <w:tcW w:w="960" w:type="dxa"/>
            <w:vAlign w:val="center"/>
            <w:hideMark/>
          </w:tcPr>
          <w:p w14:paraId="67D69B5D" w14:textId="77777777" w:rsidR="00EB74A4" w:rsidRPr="00EB74A4" w:rsidRDefault="00EB74A4" w:rsidP="00EB74A4">
            <w:pPr>
              <w:pStyle w:val="ae"/>
              <w:rPr>
                <w:b w:val="0"/>
                <w:bCs/>
              </w:rPr>
            </w:pPr>
            <w:r w:rsidRPr="00EB74A4">
              <w:rPr>
                <w:rFonts w:hint="eastAsia"/>
                <w:b w:val="0"/>
                <w:bCs/>
              </w:rPr>
              <w:t>4.2.9</w:t>
            </w:r>
          </w:p>
        </w:tc>
        <w:tc>
          <w:tcPr>
            <w:tcW w:w="2040" w:type="dxa"/>
            <w:vAlign w:val="center"/>
            <w:hideMark/>
          </w:tcPr>
          <w:p w14:paraId="2F133F24" w14:textId="77777777" w:rsidR="00EB74A4" w:rsidRPr="00EB74A4" w:rsidRDefault="00EB74A4" w:rsidP="00EB74A4">
            <w:pPr>
              <w:pStyle w:val="ae"/>
              <w:rPr>
                <w:b w:val="0"/>
                <w:bCs/>
              </w:rPr>
            </w:pPr>
            <w:r w:rsidRPr="00EB74A4">
              <w:rPr>
                <w:rFonts w:hint="eastAsia"/>
                <w:b w:val="0"/>
                <w:bCs/>
              </w:rPr>
              <w:t>装饰装修材料耐久</w:t>
            </w:r>
          </w:p>
        </w:tc>
        <w:tc>
          <w:tcPr>
            <w:tcW w:w="11540" w:type="dxa"/>
            <w:vAlign w:val="center"/>
            <w:hideMark/>
          </w:tcPr>
          <w:p w14:paraId="106A0154" w14:textId="77777777" w:rsidR="00EB74A4" w:rsidRPr="00EB74A4" w:rsidRDefault="00EB74A4" w:rsidP="00EB74A4">
            <w:pPr>
              <w:pStyle w:val="ae"/>
              <w:rPr>
                <w:b w:val="0"/>
                <w:bCs/>
              </w:rPr>
            </w:pPr>
            <w:r w:rsidRPr="00EB74A4">
              <w:rPr>
                <w:rFonts w:hint="eastAsia"/>
                <w:b w:val="0"/>
                <w:bCs/>
              </w:rPr>
              <w:t>装饰装修竣工图、材料决算清单、材料检测检验报告、有关耐久性证明材料、施工过程影像资料</w:t>
            </w:r>
          </w:p>
        </w:tc>
      </w:tr>
      <w:tr w:rsidR="00EB74A4" w:rsidRPr="00EB74A4" w14:paraId="337C3F43" w14:textId="77777777" w:rsidTr="00EB74A4">
        <w:trPr>
          <w:trHeight w:val="552"/>
        </w:trPr>
        <w:tc>
          <w:tcPr>
            <w:tcW w:w="960" w:type="dxa"/>
            <w:vAlign w:val="center"/>
            <w:hideMark/>
          </w:tcPr>
          <w:p w14:paraId="17E2BEF3" w14:textId="77777777" w:rsidR="00EB74A4" w:rsidRPr="00EB74A4" w:rsidRDefault="00EB74A4" w:rsidP="00EB74A4">
            <w:pPr>
              <w:pStyle w:val="ae"/>
              <w:rPr>
                <w:b w:val="0"/>
                <w:bCs/>
              </w:rPr>
            </w:pPr>
            <w:r w:rsidRPr="00EB74A4">
              <w:rPr>
                <w:rFonts w:hint="eastAsia"/>
                <w:b w:val="0"/>
                <w:bCs/>
              </w:rPr>
              <w:t>5.1.1</w:t>
            </w:r>
          </w:p>
        </w:tc>
        <w:tc>
          <w:tcPr>
            <w:tcW w:w="2040" w:type="dxa"/>
            <w:vAlign w:val="center"/>
            <w:hideMark/>
          </w:tcPr>
          <w:p w14:paraId="70C434FC" w14:textId="77777777" w:rsidR="00EB74A4" w:rsidRPr="00EB74A4" w:rsidRDefault="00EB74A4" w:rsidP="00EB74A4">
            <w:pPr>
              <w:pStyle w:val="ae"/>
              <w:rPr>
                <w:b w:val="0"/>
                <w:bCs/>
              </w:rPr>
            </w:pPr>
            <w:r w:rsidRPr="00EB74A4">
              <w:rPr>
                <w:rFonts w:hint="eastAsia"/>
                <w:b w:val="0"/>
                <w:bCs/>
              </w:rPr>
              <w:t>室内污染物浓度</w:t>
            </w:r>
          </w:p>
        </w:tc>
        <w:tc>
          <w:tcPr>
            <w:tcW w:w="11540" w:type="dxa"/>
            <w:vAlign w:val="center"/>
            <w:hideMark/>
          </w:tcPr>
          <w:p w14:paraId="3231970B" w14:textId="77777777" w:rsidR="00EB74A4" w:rsidRPr="00EB74A4" w:rsidRDefault="00EB74A4" w:rsidP="00EB74A4">
            <w:pPr>
              <w:pStyle w:val="ae"/>
              <w:rPr>
                <w:b w:val="0"/>
                <w:bCs/>
              </w:rPr>
            </w:pPr>
            <w:r w:rsidRPr="00EB74A4">
              <w:rPr>
                <w:rFonts w:hint="eastAsia"/>
                <w:b w:val="0"/>
                <w:bCs/>
              </w:rPr>
              <w:t>相关竣工图、相关说明文件</w:t>
            </w:r>
            <w:r w:rsidRPr="00EB74A4">
              <w:rPr>
                <w:rFonts w:hint="eastAsia"/>
                <w:b w:val="0"/>
                <w:bCs/>
              </w:rPr>
              <w:t>(</w:t>
            </w:r>
            <w:r w:rsidRPr="00EB74A4">
              <w:rPr>
                <w:rFonts w:hint="eastAsia"/>
                <w:b w:val="0"/>
                <w:bCs/>
              </w:rPr>
              <w:t>装修材料种类、用量，禁止吸烟措施</w:t>
            </w:r>
            <w:r w:rsidRPr="00EB74A4">
              <w:rPr>
                <w:rFonts w:hint="eastAsia"/>
                <w:b w:val="0"/>
                <w:bCs/>
              </w:rPr>
              <w:t>)</w:t>
            </w:r>
            <w:r w:rsidRPr="00EB74A4">
              <w:rPr>
                <w:rFonts w:hint="eastAsia"/>
                <w:b w:val="0"/>
                <w:bCs/>
              </w:rPr>
              <w:t>、预评估分析报告</w:t>
            </w:r>
            <w:r w:rsidRPr="00EB74A4">
              <w:rPr>
                <w:rFonts w:hint="eastAsia"/>
                <w:b w:val="0"/>
                <w:bCs/>
              </w:rPr>
              <w:br/>
            </w:r>
            <w:r w:rsidRPr="00EB74A4">
              <w:rPr>
                <w:rFonts w:hint="eastAsia"/>
                <w:b w:val="0"/>
                <w:bCs/>
              </w:rPr>
              <w:t>投入使用的项目：室内空气质量检测报告、现场实体禁烟标识</w:t>
            </w:r>
          </w:p>
        </w:tc>
      </w:tr>
      <w:tr w:rsidR="00EB74A4" w:rsidRPr="00EB74A4" w14:paraId="7FF0F99D" w14:textId="77777777" w:rsidTr="00EB74A4">
        <w:trPr>
          <w:trHeight w:val="552"/>
        </w:trPr>
        <w:tc>
          <w:tcPr>
            <w:tcW w:w="960" w:type="dxa"/>
            <w:vAlign w:val="center"/>
            <w:hideMark/>
          </w:tcPr>
          <w:p w14:paraId="4093C502" w14:textId="77777777" w:rsidR="00EB74A4" w:rsidRPr="00EB74A4" w:rsidRDefault="00EB74A4" w:rsidP="00EB74A4">
            <w:pPr>
              <w:pStyle w:val="ae"/>
              <w:rPr>
                <w:b w:val="0"/>
                <w:bCs/>
              </w:rPr>
            </w:pPr>
            <w:r w:rsidRPr="00EB74A4">
              <w:rPr>
                <w:rFonts w:hint="eastAsia"/>
                <w:b w:val="0"/>
                <w:bCs/>
              </w:rPr>
              <w:t>5.1.2</w:t>
            </w:r>
          </w:p>
        </w:tc>
        <w:tc>
          <w:tcPr>
            <w:tcW w:w="2040" w:type="dxa"/>
            <w:vAlign w:val="center"/>
            <w:hideMark/>
          </w:tcPr>
          <w:p w14:paraId="7FF9A521" w14:textId="77777777" w:rsidR="00EB74A4" w:rsidRPr="00EB74A4" w:rsidRDefault="00EB74A4" w:rsidP="00EB74A4">
            <w:pPr>
              <w:pStyle w:val="ae"/>
              <w:rPr>
                <w:b w:val="0"/>
                <w:bCs/>
              </w:rPr>
            </w:pPr>
            <w:r w:rsidRPr="00EB74A4">
              <w:rPr>
                <w:rFonts w:hint="eastAsia"/>
                <w:b w:val="0"/>
                <w:bCs/>
              </w:rPr>
              <w:t>防止空气污染物串通</w:t>
            </w:r>
          </w:p>
        </w:tc>
        <w:tc>
          <w:tcPr>
            <w:tcW w:w="11540" w:type="dxa"/>
            <w:vAlign w:val="center"/>
            <w:hideMark/>
          </w:tcPr>
          <w:p w14:paraId="2740E72A" w14:textId="77777777" w:rsidR="00EB74A4" w:rsidRPr="00EB74A4" w:rsidRDefault="00EB74A4" w:rsidP="00EB74A4">
            <w:pPr>
              <w:pStyle w:val="ae"/>
              <w:rPr>
                <w:b w:val="0"/>
                <w:bCs/>
              </w:rPr>
            </w:pPr>
            <w:r w:rsidRPr="00EB74A4">
              <w:rPr>
                <w:rFonts w:hint="eastAsia"/>
                <w:b w:val="0"/>
                <w:bCs/>
              </w:rPr>
              <w:t>相关竣工图、气流组织模拟分析报告（含打印复印室、影像设备房、厨房等特殊功能房间的气流组织设计，室内风环境数值分析报告）、</w:t>
            </w:r>
            <w:r w:rsidRPr="00EB74A4">
              <w:rPr>
                <w:rFonts w:hint="eastAsia"/>
                <w:b w:val="0"/>
                <w:bCs/>
              </w:rPr>
              <w:lastRenderedPageBreak/>
              <w:t>相关产品性能检测报告或质量合格证书，施工过程影像资料</w:t>
            </w:r>
          </w:p>
        </w:tc>
      </w:tr>
      <w:tr w:rsidR="00EB74A4" w:rsidRPr="00EB74A4" w14:paraId="114CF332" w14:textId="77777777" w:rsidTr="00EB74A4">
        <w:trPr>
          <w:trHeight w:val="276"/>
        </w:trPr>
        <w:tc>
          <w:tcPr>
            <w:tcW w:w="960" w:type="dxa"/>
            <w:vAlign w:val="center"/>
            <w:hideMark/>
          </w:tcPr>
          <w:p w14:paraId="5AA5078D" w14:textId="77777777" w:rsidR="00EB74A4" w:rsidRPr="00EB74A4" w:rsidRDefault="00EB74A4" w:rsidP="00EB74A4">
            <w:pPr>
              <w:pStyle w:val="ae"/>
              <w:rPr>
                <w:b w:val="0"/>
                <w:bCs/>
              </w:rPr>
            </w:pPr>
            <w:r w:rsidRPr="00EB74A4">
              <w:rPr>
                <w:rFonts w:hint="eastAsia"/>
                <w:b w:val="0"/>
                <w:bCs/>
              </w:rPr>
              <w:lastRenderedPageBreak/>
              <w:t>5.1.3</w:t>
            </w:r>
          </w:p>
        </w:tc>
        <w:tc>
          <w:tcPr>
            <w:tcW w:w="2040" w:type="dxa"/>
            <w:vAlign w:val="center"/>
            <w:hideMark/>
          </w:tcPr>
          <w:p w14:paraId="081F8E75" w14:textId="77777777" w:rsidR="00EB74A4" w:rsidRPr="00EB74A4" w:rsidRDefault="00EB74A4" w:rsidP="00EB74A4">
            <w:pPr>
              <w:pStyle w:val="ae"/>
              <w:rPr>
                <w:b w:val="0"/>
                <w:bCs/>
              </w:rPr>
            </w:pPr>
            <w:r w:rsidRPr="00EB74A4">
              <w:rPr>
                <w:rFonts w:hint="eastAsia"/>
                <w:b w:val="0"/>
                <w:bCs/>
              </w:rPr>
              <w:t>给水排水系统</w:t>
            </w:r>
          </w:p>
        </w:tc>
        <w:tc>
          <w:tcPr>
            <w:tcW w:w="11540" w:type="dxa"/>
            <w:vAlign w:val="center"/>
            <w:hideMark/>
          </w:tcPr>
          <w:p w14:paraId="3DA8D700" w14:textId="77777777" w:rsidR="00EB74A4" w:rsidRPr="00EB74A4" w:rsidRDefault="00EB74A4" w:rsidP="00EB74A4">
            <w:pPr>
              <w:pStyle w:val="ae"/>
              <w:rPr>
                <w:b w:val="0"/>
                <w:bCs/>
              </w:rPr>
            </w:pPr>
            <w:r w:rsidRPr="00EB74A4">
              <w:rPr>
                <w:rFonts w:hint="eastAsia"/>
                <w:b w:val="0"/>
                <w:bCs/>
              </w:rPr>
              <w:t>相关竣工图、产品说明、各用水部门水质检测报告、管理制度、工作记录</w:t>
            </w:r>
          </w:p>
        </w:tc>
      </w:tr>
      <w:tr w:rsidR="00EB74A4" w:rsidRPr="00EB74A4" w14:paraId="5338311B" w14:textId="77777777" w:rsidTr="00EB74A4">
        <w:trPr>
          <w:trHeight w:val="828"/>
        </w:trPr>
        <w:tc>
          <w:tcPr>
            <w:tcW w:w="960" w:type="dxa"/>
            <w:vAlign w:val="center"/>
            <w:hideMark/>
          </w:tcPr>
          <w:p w14:paraId="501A709F" w14:textId="77777777" w:rsidR="00EB74A4" w:rsidRPr="00EB74A4" w:rsidRDefault="00EB74A4" w:rsidP="00EB74A4">
            <w:pPr>
              <w:pStyle w:val="ae"/>
              <w:rPr>
                <w:b w:val="0"/>
                <w:bCs/>
              </w:rPr>
            </w:pPr>
            <w:r w:rsidRPr="00EB74A4">
              <w:rPr>
                <w:rFonts w:hint="eastAsia"/>
                <w:b w:val="0"/>
                <w:bCs/>
              </w:rPr>
              <w:t>5.1.4</w:t>
            </w:r>
          </w:p>
        </w:tc>
        <w:tc>
          <w:tcPr>
            <w:tcW w:w="2040" w:type="dxa"/>
            <w:vAlign w:val="center"/>
            <w:hideMark/>
          </w:tcPr>
          <w:p w14:paraId="215F6B17" w14:textId="77777777" w:rsidR="00EB74A4" w:rsidRPr="00EB74A4" w:rsidRDefault="00EB74A4" w:rsidP="00EB74A4">
            <w:pPr>
              <w:pStyle w:val="ae"/>
              <w:rPr>
                <w:b w:val="0"/>
                <w:bCs/>
              </w:rPr>
            </w:pPr>
            <w:r w:rsidRPr="00EB74A4">
              <w:rPr>
                <w:rFonts w:hint="eastAsia"/>
                <w:b w:val="0"/>
                <w:bCs/>
              </w:rPr>
              <w:t>声环境质量</w:t>
            </w:r>
          </w:p>
        </w:tc>
        <w:tc>
          <w:tcPr>
            <w:tcW w:w="11540" w:type="dxa"/>
            <w:vAlign w:val="center"/>
            <w:hideMark/>
          </w:tcPr>
          <w:p w14:paraId="649C1756" w14:textId="77777777" w:rsidR="00EB74A4" w:rsidRPr="00EB74A4" w:rsidRDefault="00EB74A4" w:rsidP="00EB74A4">
            <w:pPr>
              <w:pStyle w:val="ae"/>
              <w:rPr>
                <w:b w:val="0"/>
                <w:bCs/>
              </w:rPr>
            </w:pPr>
            <w:r w:rsidRPr="00EB74A4">
              <w:rPr>
                <w:rFonts w:hint="eastAsia"/>
                <w:b w:val="0"/>
                <w:bCs/>
              </w:rPr>
              <w:t>相关竣工图、噪声分析报告（含室内噪声计算报告）、声学设计分析报告、室内噪声级检测报告、构件隔声性能的实验室检验报告（含建筑构件隔声性能计算报告）、建筑服务设备、设施噪声排放检测报告、建筑服务设备结构噪声检测报告、混响时间检测报告</w:t>
            </w:r>
          </w:p>
        </w:tc>
      </w:tr>
      <w:tr w:rsidR="00EB74A4" w:rsidRPr="00EB74A4" w14:paraId="4DC96816" w14:textId="77777777" w:rsidTr="00EB74A4">
        <w:trPr>
          <w:trHeight w:val="276"/>
        </w:trPr>
        <w:tc>
          <w:tcPr>
            <w:tcW w:w="960" w:type="dxa"/>
            <w:vAlign w:val="center"/>
            <w:hideMark/>
          </w:tcPr>
          <w:p w14:paraId="2DC0C41B" w14:textId="77777777" w:rsidR="00EB74A4" w:rsidRPr="00EB74A4" w:rsidRDefault="00EB74A4" w:rsidP="00EB74A4">
            <w:pPr>
              <w:pStyle w:val="ae"/>
              <w:rPr>
                <w:b w:val="0"/>
                <w:bCs/>
              </w:rPr>
            </w:pPr>
            <w:r w:rsidRPr="00EB74A4">
              <w:rPr>
                <w:rFonts w:hint="eastAsia"/>
                <w:b w:val="0"/>
                <w:bCs/>
              </w:rPr>
              <w:t>5.1.5</w:t>
            </w:r>
          </w:p>
        </w:tc>
        <w:tc>
          <w:tcPr>
            <w:tcW w:w="2040" w:type="dxa"/>
            <w:vAlign w:val="center"/>
            <w:hideMark/>
          </w:tcPr>
          <w:p w14:paraId="57301DD8" w14:textId="77777777" w:rsidR="00EB74A4" w:rsidRPr="00EB74A4" w:rsidRDefault="00EB74A4" w:rsidP="00EB74A4">
            <w:pPr>
              <w:pStyle w:val="ae"/>
              <w:rPr>
                <w:b w:val="0"/>
                <w:bCs/>
              </w:rPr>
            </w:pPr>
            <w:r w:rsidRPr="00EB74A4">
              <w:rPr>
                <w:rFonts w:hint="eastAsia"/>
                <w:b w:val="0"/>
                <w:bCs/>
              </w:rPr>
              <w:t>建筑照明</w:t>
            </w:r>
          </w:p>
        </w:tc>
        <w:tc>
          <w:tcPr>
            <w:tcW w:w="11540" w:type="dxa"/>
            <w:vAlign w:val="center"/>
            <w:hideMark/>
          </w:tcPr>
          <w:p w14:paraId="6BF5BFBB" w14:textId="77777777" w:rsidR="00EB74A4" w:rsidRPr="00EB74A4" w:rsidRDefault="00EB74A4" w:rsidP="00EB74A4">
            <w:pPr>
              <w:pStyle w:val="ae"/>
              <w:rPr>
                <w:b w:val="0"/>
                <w:bCs/>
              </w:rPr>
            </w:pPr>
            <w:r w:rsidRPr="00EB74A4">
              <w:rPr>
                <w:rFonts w:hint="eastAsia"/>
                <w:b w:val="0"/>
                <w:bCs/>
              </w:rPr>
              <w:t>相关竣工图、计算书、现场检测报告、产品说明书及产品型式检验报告，组织现场查勘</w:t>
            </w:r>
          </w:p>
        </w:tc>
      </w:tr>
      <w:tr w:rsidR="00EB74A4" w:rsidRPr="00EB74A4" w14:paraId="4F70C24F" w14:textId="77777777" w:rsidTr="00EB74A4">
        <w:trPr>
          <w:trHeight w:val="276"/>
        </w:trPr>
        <w:tc>
          <w:tcPr>
            <w:tcW w:w="960" w:type="dxa"/>
            <w:vAlign w:val="center"/>
            <w:hideMark/>
          </w:tcPr>
          <w:p w14:paraId="42AAF746" w14:textId="77777777" w:rsidR="00EB74A4" w:rsidRPr="00EB74A4" w:rsidRDefault="00EB74A4" w:rsidP="00EB74A4">
            <w:pPr>
              <w:pStyle w:val="ae"/>
              <w:rPr>
                <w:b w:val="0"/>
                <w:bCs/>
              </w:rPr>
            </w:pPr>
            <w:r w:rsidRPr="00EB74A4">
              <w:rPr>
                <w:rFonts w:hint="eastAsia"/>
                <w:b w:val="0"/>
                <w:bCs/>
              </w:rPr>
              <w:t>5.1.6</w:t>
            </w:r>
          </w:p>
        </w:tc>
        <w:tc>
          <w:tcPr>
            <w:tcW w:w="2040" w:type="dxa"/>
            <w:vAlign w:val="center"/>
            <w:hideMark/>
          </w:tcPr>
          <w:p w14:paraId="33DD05C2" w14:textId="77777777" w:rsidR="00EB74A4" w:rsidRPr="00EB74A4" w:rsidRDefault="00EB74A4" w:rsidP="00EB74A4">
            <w:pPr>
              <w:pStyle w:val="ae"/>
              <w:rPr>
                <w:b w:val="0"/>
                <w:bCs/>
              </w:rPr>
            </w:pPr>
            <w:r w:rsidRPr="00EB74A4">
              <w:rPr>
                <w:rFonts w:hint="eastAsia"/>
                <w:b w:val="0"/>
                <w:bCs/>
              </w:rPr>
              <w:t>室内热环境</w:t>
            </w:r>
          </w:p>
        </w:tc>
        <w:tc>
          <w:tcPr>
            <w:tcW w:w="11540" w:type="dxa"/>
            <w:vAlign w:val="center"/>
            <w:hideMark/>
          </w:tcPr>
          <w:p w14:paraId="4132A856" w14:textId="77777777" w:rsidR="00EB74A4" w:rsidRPr="00EB74A4" w:rsidRDefault="00EB74A4" w:rsidP="00EB74A4">
            <w:pPr>
              <w:pStyle w:val="ae"/>
              <w:rPr>
                <w:b w:val="0"/>
                <w:bCs/>
              </w:rPr>
            </w:pPr>
            <w:r w:rsidRPr="00EB74A4">
              <w:rPr>
                <w:rFonts w:hint="eastAsia"/>
                <w:b w:val="0"/>
                <w:bCs/>
              </w:rPr>
              <w:t>相关竣工图、室内温湿度检测报告</w:t>
            </w:r>
          </w:p>
        </w:tc>
      </w:tr>
      <w:tr w:rsidR="00EB74A4" w:rsidRPr="00EB74A4" w14:paraId="0A918745" w14:textId="77777777" w:rsidTr="00EB74A4">
        <w:trPr>
          <w:trHeight w:val="276"/>
        </w:trPr>
        <w:tc>
          <w:tcPr>
            <w:tcW w:w="960" w:type="dxa"/>
            <w:vAlign w:val="center"/>
            <w:hideMark/>
          </w:tcPr>
          <w:p w14:paraId="33DB2D16" w14:textId="77777777" w:rsidR="00EB74A4" w:rsidRPr="00EB74A4" w:rsidRDefault="00EB74A4" w:rsidP="00EB74A4">
            <w:pPr>
              <w:pStyle w:val="ae"/>
              <w:rPr>
                <w:b w:val="0"/>
                <w:bCs/>
              </w:rPr>
            </w:pPr>
            <w:r w:rsidRPr="00EB74A4">
              <w:rPr>
                <w:rFonts w:hint="eastAsia"/>
                <w:b w:val="0"/>
                <w:bCs/>
              </w:rPr>
              <w:t>5.1.7</w:t>
            </w:r>
          </w:p>
        </w:tc>
        <w:tc>
          <w:tcPr>
            <w:tcW w:w="2040" w:type="dxa"/>
            <w:vAlign w:val="center"/>
            <w:hideMark/>
          </w:tcPr>
          <w:p w14:paraId="7A5D7D68" w14:textId="77777777" w:rsidR="00EB74A4" w:rsidRPr="00EB74A4" w:rsidRDefault="00EB74A4" w:rsidP="00EB74A4">
            <w:pPr>
              <w:pStyle w:val="ae"/>
              <w:rPr>
                <w:b w:val="0"/>
                <w:bCs/>
              </w:rPr>
            </w:pPr>
            <w:r w:rsidRPr="00EB74A4">
              <w:rPr>
                <w:rFonts w:hint="eastAsia"/>
                <w:b w:val="0"/>
                <w:bCs/>
              </w:rPr>
              <w:t>围护结构热工性能</w:t>
            </w:r>
          </w:p>
        </w:tc>
        <w:tc>
          <w:tcPr>
            <w:tcW w:w="11540" w:type="dxa"/>
            <w:vAlign w:val="center"/>
            <w:hideMark/>
          </w:tcPr>
          <w:p w14:paraId="6FA0E581" w14:textId="77777777" w:rsidR="00EB74A4" w:rsidRPr="00EB74A4" w:rsidRDefault="00EB74A4" w:rsidP="00EB74A4">
            <w:pPr>
              <w:pStyle w:val="ae"/>
              <w:rPr>
                <w:b w:val="0"/>
                <w:bCs/>
              </w:rPr>
            </w:pPr>
            <w:r w:rsidRPr="00EB74A4">
              <w:rPr>
                <w:rFonts w:hint="eastAsia"/>
                <w:b w:val="0"/>
                <w:bCs/>
              </w:rPr>
              <w:t>相关竣工图，施工、监理过程影像资料</w:t>
            </w:r>
          </w:p>
        </w:tc>
      </w:tr>
      <w:tr w:rsidR="00EB74A4" w:rsidRPr="00EB74A4" w14:paraId="1E0D5FB0" w14:textId="77777777" w:rsidTr="00EB74A4">
        <w:trPr>
          <w:trHeight w:val="276"/>
        </w:trPr>
        <w:tc>
          <w:tcPr>
            <w:tcW w:w="960" w:type="dxa"/>
            <w:vAlign w:val="center"/>
            <w:hideMark/>
          </w:tcPr>
          <w:p w14:paraId="0BFF09DB" w14:textId="77777777" w:rsidR="00EB74A4" w:rsidRPr="00EB74A4" w:rsidRDefault="00EB74A4" w:rsidP="00EB74A4">
            <w:pPr>
              <w:pStyle w:val="ae"/>
              <w:rPr>
                <w:b w:val="0"/>
                <w:bCs/>
              </w:rPr>
            </w:pPr>
            <w:r w:rsidRPr="00EB74A4">
              <w:rPr>
                <w:rFonts w:hint="eastAsia"/>
                <w:b w:val="0"/>
                <w:bCs/>
              </w:rPr>
              <w:t>5.1.8</w:t>
            </w:r>
          </w:p>
        </w:tc>
        <w:tc>
          <w:tcPr>
            <w:tcW w:w="2040" w:type="dxa"/>
            <w:vAlign w:val="center"/>
            <w:hideMark/>
          </w:tcPr>
          <w:p w14:paraId="5229DB58" w14:textId="77777777" w:rsidR="00EB74A4" w:rsidRPr="00EB74A4" w:rsidRDefault="00EB74A4" w:rsidP="00EB74A4">
            <w:pPr>
              <w:pStyle w:val="ae"/>
              <w:rPr>
                <w:b w:val="0"/>
                <w:bCs/>
              </w:rPr>
            </w:pPr>
            <w:r w:rsidRPr="00EB74A4">
              <w:rPr>
                <w:rFonts w:hint="eastAsia"/>
                <w:b w:val="0"/>
                <w:bCs/>
              </w:rPr>
              <w:t>热环境调节装置</w:t>
            </w:r>
          </w:p>
        </w:tc>
        <w:tc>
          <w:tcPr>
            <w:tcW w:w="11540" w:type="dxa"/>
            <w:vAlign w:val="center"/>
            <w:hideMark/>
          </w:tcPr>
          <w:p w14:paraId="2AD08F12" w14:textId="77777777" w:rsidR="00EB74A4" w:rsidRPr="00EB74A4" w:rsidRDefault="00EB74A4" w:rsidP="00EB74A4">
            <w:pPr>
              <w:pStyle w:val="ae"/>
              <w:rPr>
                <w:b w:val="0"/>
                <w:bCs/>
              </w:rPr>
            </w:pPr>
            <w:r w:rsidRPr="00EB74A4">
              <w:rPr>
                <w:rFonts w:hint="eastAsia"/>
                <w:b w:val="0"/>
                <w:bCs/>
              </w:rPr>
              <w:t>相关竣工图、产品说明书，组织现场查勘</w:t>
            </w:r>
          </w:p>
        </w:tc>
      </w:tr>
      <w:tr w:rsidR="00EB74A4" w:rsidRPr="00EB74A4" w14:paraId="58758DCE" w14:textId="77777777" w:rsidTr="00EB74A4">
        <w:trPr>
          <w:trHeight w:val="276"/>
        </w:trPr>
        <w:tc>
          <w:tcPr>
            <w:tcW w:w="960" w:type="dxa"/>
            <w:vAlign w:val="center"/>
            <w:hideMark/>
          </w:tcPr>
          <w:p w14:paraId="021C949E" w14:textId="77777777" w:rsidR="00EB74A4" w:rsidRPr="00EB74A4" w:rsidRDefault="00EB74A4" w:rsidP="00EB74A4">
            <w:pPr>
              <w:pStyle w:val="ae"/>
              <w:rPr>
                <w:b w:val="0"/>
                <w:bCs/>
              </w:rPr>
            </w:pPr>
            <w:r w:rsidRPr="00EB74A4">
              <w:rPr>
                <w:rFonts w:hint="eastAsia"/>
                <w:b w:val="0"/>
                <w:bCs/>
              </w:rPr>
              <w:t>5.1.9</w:t>
            </w:r>
          </w:p>
        </w:tc>
        <w:tc>
          <w:tcPr>
            <w:tcW w:w="2040" w:type="dxa"/>
            <w:vAlign w:val="center"/>
            <w:hideMark/>
          </w:tcPr>
          <w:p w14:paraId="1D7E3549" w14:textId="77777777" w:rsidR="00EB74A4" w:rsidRPr="00EB74A4" w:rsidRDefault="00EB74A4" w:rsidP="00EB74A4">
            <w:pPr>
              <w:pStyle w:val="ae"/>
              <w:rPr>
                <w:b w:val="0"/>
                <w:bCs/>
              </w:rPr>
            </w:pPr>
            <w:r w:rsidRPr="00EB74A4">
              <w:rPr>
                <w:rFonts w:hint="eastAsia"/>
                <w:b w:val="0"/>
                <w:bCs/>
              </w:rPr>
              <w:t>地下车库一氧化碳</w:t>
            </w:r>
          </w:p>
        </w:tc>
        <w:tc>
          <w:tcPr>
            <w:tcW w:w="11540" w:type="dxa"/>
            <w:vAlign w:val="center"/>
            <w:hideMark/>
          </w:tcPr>
          <w:p w14:paraId="0DCEFABB" w14:textId="77777777" w:rsidR="00EB74A4" w:rsidRPr="00EB74A4" w:rsidRDefault="00EB74A4" w:rsidP="00EB74A4">
            <w:pPr>
              <w:pStyle w:val="ae"/>
              <w:rPr>
                <w:b w:val="0"/>
                <w:bCs/>
              </w:rPr>
            </w:pPr>
            <w:r w:rsidRPr="00EB74A4">
              <w:rPr>
                <w:rFonts w:hint="eastAsia"/>
                <w:b w:val="0"/>
                <w:bCs/>
              </w:rPr>
              <w:t>相关竣工图、运行记录，组织现场查勘</w:t>
            </w:r>
          </w:p>
        </w:tc>
      </w:tr>
      <w:tr w:rsidR="00EB74A4" w:rsidRPr="00EB74A4" w14:paraId="711D4A3A" w14:textId="77777777" w:rsidTr="00EB74A4">
        <w:trPr>
          <w:trHeight w:val="552"/>
        </w:trPr>
        <w:tc>
          <w:tcPr>
            <w:tcW w:w="960" w:type="dxa"/>
            <w:vAlign w:val="center"/>
            <w:hideMark/>
          </w:tcPr>
          <w:p w14:paraId="30CE08AE" w14:textId="77777777" w:rsidR="00EB74A4" w:rsidRPr="00EB74A4" w:rsidRDefault="00EB74A4" w:rsidP="00EB74A4">
            <w:pPr>
              <w:pStyle w:val="ae"/>
              <w:rPr>
                <w:b w:val="0"/>
                <w:bCs/>
              </w:rPr>
            </w:pPr>
            <w:r w:rsidRPr="00EB74A4">
              <w:rPr>
                <w:rFonts w:hint="eastAsia"/>
                <w:b w:val="0"/>
                <w:bCs/>
              </w:rPr>
              <w:t>5.1.10</w:t>
            </w:r>
          </w:p>
        </w:tc>
        <w:tc>
          <w:tcPr>
            <w:tcW w:w="2040" w:type="dxa"/>
            <w:vAlign w:val="center"/>
            <w:hideMark/>
          </w:tcPr>
          <w:p w14:paraId="6B2FC3D0" w14:textId="77777777" w:rsidR="00EB74A4" w:rsidRPr="00EB74A4" w:rsidRDefault="00EB74A4" w:rsidP="00EB74A4">
            <w:pPr>
              <w:pStyle w:val="ae"/>
              <w:rPr>
                <w:b w:val="0"/>
                <w:bCs/>
              </w:rPr>
            </w:pPr>
            <w:r w:rsidRPr="00EB74A4">
              <w:rPr>
                <w:rFonts w:hint="eastAsia"/>
                <w:b w:val="0"/>
                <w:bCs/>
              </w:rPr>
              <w:t>游泳池水、非传统水源</w:t>
            </w:r>
          </w:p>
        </w:tc>
        <w:tc>
          <w:tcPr>
            <w:tcW w:w="11540" w:type="dxa"/>
            <w:vAlign w:val="center"/>
            <w:hideMark/>
          </w:tcPr>
          <w:p w14:paraId="22780324" w14:textId="77777777" w:rsidR="00EB74A4" w:rsidRPr="00EB74A4" w:rsidRDefault="00EB74A4" w:rsidP="00EB74A4">
            <w:pPr>
              <w:pStyle w:val="ae"/>
              <w:rPr>
                <w:b w:val="0"/>
                <w:bCs/>
              </w:rPr>
            </w:pPr>
            <w:r w:rsidRPr="00EB74A4">
              <w:rPr>
                <w:rFonts w:hint="eastAsia"/>
                <w:b w:val="0"/>
                <w:bCs/>
              </w:rPr>
              <w:t>相关竣工图、运行记录，水质检测报告（含游泳池水水质检测报告、非传统水源水质检测报告），水质记录</w:t>
            </w:r>
          </w:p>
        </w:tc>
      </w:tr>
      <w:tr w:rsidR="00EB74A4" w:rsidRPr="00EB74A4" w14:paraId="544296C5" w14:textId="77777777" w:rsidTr="00EB74A4">
        <w:trPr>
          <w:trHeight w:val="828"/>
        </w:trPr>
        <w:tc>
          <w:tcPr>
            <w:tcW w:w="960" w:type="dxa"/>
            <w:vAlign w:val="center"/>
            <w:hideMark/>
          </w:tcPr>
          <w:p w14:paraId="0BB57E39" w14:textId="77777777" w:rsidR="00EB74A4" w:rsidRPr="00EB74A4" w:rsidRDefault="00EB74A4" w:rsidP="00EB74A4">
            <w:pPr>
              <w:pStyle w:val="ae"/>
              <w:rPr>
                <w:b w:val="0"/>
                <w:bCs/>
              </w:rPr>
            </w:pPr>
            <w:r w:rsidRPr="00EB74A4">
              <w:rPr>
                <w:rFonts w:hint="eastAsia"/>
                <w:b w:val="0"/>
                <w:bCs/>
              </w:rPr>
              <w:t>5.2.1</w:t>
            </w:r>
          </w:p>
        </w:tc>
        <w:tc>
          <w:tcPr>
            <w:tcW w:w="2040" w:type="dxa"/>
            <w:vAlign w:val="center"/>
            <w:hideMark/>
          </w:tcPr>
          <w:p w14:paraId="4CB7FA97" w14:textId="77777777" w:rsidR="00EB74A4" w:rsidRPr="00EB74A4" w:rsidRDefault="00EB74A4" w:rsidP="00EB74A4">
            <w:pPr>
              <w:pStyle w:val="ae"/>
              <w:rPr>
                <w:b w:val="0"/>
                <w:bCs/>
              </w:rPr>
            </w:pPr>
            <w:r w:rsidRPr="00EB74A4">
              <w:rPr>
                <w:rFonts w:hint="eastAsia"/>
                <w:b w:val="0"/>
                <w:bCs/>
              </w:rPr>
              <w:t>空气污染物</w:t>
            </w:r>
          </w:p>
        </w:tc>
        <w:tc>
          <w:tcPr>
            <w:tcW w:w="11540" w:type="dxa"/>
            <w:vAlign w:val="center"/>
            <w:hideMark/>
          </w:tcPr>
          <w:p w14:paraId="4915614D" w14:textId="77777777" w:rsidR="00EB74A4" w:rsidRPr="00EB74A4" w:rsidRDefault="00EB74A4" w:rsidP="00EB74A4">
            <w:pPr>
              <w:pStyle w:val="ae"/>
              <w:rPr>
                <w:b w:val="0"/>
                <w:bCs/>
              </w:rPr>
            </w:pPr>
            <w:r w:rsidRPr="00EB74A4">
              <w:rPr>
                <w:rFonts w:hint="eastAsia"/>
                <w:b w:val="0"/>
                <w:bCs/>
              </w:rPr>
              <w:t>相关竣工图、建筑材料使用说明</w:t>
            </w:r>
            <w:r w:rsidRPr="00EB74A4">
              <w:rPr>
                <w:rFonts w:hint="eastAsia"/>
                <w:b w:val="0"/>
                <w:bCs/>
              </w:rPr>
              <w:t>(</w:t>
            </w:r>
            <w:r w:rsidRPr="00EB74A4">
              <w:rPr>
                <w:rFonts w:hint="eastAsia"/>
                <w:b w:val="0"/>
                <w:bCs/>
              </w:rPr>
              <w:t>含种类、用量</w:t>
            </w:r>
            <w:r w:rsidRPr="00EB74A4">
              <w:rPr>
                <w:rFonts w:hint="eastAsia"/>
                <w:b w:val="0"/>
                <w:bCs/>
              </w:rPr>
              <w:t>)</w:t>
            </w:r>
            <w:r w:rsidRPr="00EB74A4">
              <w:rPr>
                <w:rFonts w:hint="eastAsia"/>
                <w:b w:val="0"/>
                <w:bCs/>
              </w:rPr>
              <w:t>、污染物浓度预评估分析报告，</w:t>
            </w:r>
            <w:r w:rsidRPr="00EB74A4">
              <w:rPr>
                <w:rFonts w:hint="eastAsia"/>
                <w:b w:val="0"/>
                <w:bCs/>
              </w:rPr>
              <w:br/>
            </w:r>
            <w:r w:rsidRPr="00EB74A4">
              <w:rPr>
                <w:rFonts w:hint="eastAsia"/>
                <w:b w:val="0"/>
                <w:bCs/>
              </w:rPr>
              <w:t>投入使用的项目：室内空气质量现场检测报告（含室内污染物检测报告、室内污染物浓度监测报告）、</w:t>
            </w:r>
            <w:r w:rsidRPr="00EB74A4">
              <w:rPr>
                <w:rFonts w:hint="eastAsia"/>
                <w:b w:val="0"/>
                <w:bCs/>
              </w:rPr>
              <w:t>PM2.5</w:t>
            </w:r>
            <w:r w:rsidRPr="00EB74A4">
              <w:rPr>
                <w:rFonts w:hint="eastAsia"/>
                <w:b w:val="0"/>
                <w:bCs/>
              </w:rPr>
              <w:t>和</w:t>
            </w:r>
            <w:r w:rsidRPr="00EB74A4">
              <w:rPr>
                <w:rFonts w:hint="eastAsia"/>
                <w:b w:val="0"/>
                <w:bCs/>
              </w:rPr>
              <w:t>PM10</w:t>
            </w:r>
            <w:r w:rsidRPr="00EB74A4">
              <w:rPr>
                <w:rFonts w:hint="eastAsia"/>
                <w:b w:val="0"/>
                <w:bCs/>
              </w:rPr>
              <w:t>浓度计算报告</w:t>
            </w:r>
            <w:r w:rsidRPr="00EB74A4">
              <w:rPr>
                <w:rFonts w:hint="eastAsia"/>
                <w:b w:val="0"/>
                <w:bCs/>
              </w:rPr>
              <w:t>(</w:t>
            </w:r>
            <w:r w:rsidRPr="00EB74A4">
              <w:rPr>
                <w:rFonts w:hint="eastAsia"/>
                <w:b w:val="0"/>
                <w:bCs/>
              </w:rPr>
              <w:t>附原始监测数据</w:t>
            </w:r>
            <w:r w:rsidRPr="00EB74A4">
              <w:rPr>
                <w:rFonts w:hint="eastAsia"/>
                <w:b w:val="0"/>
                <w:bCs/>
              </w:rPr>
              <w:t>)</w:t>
            </w:r>
          </w:p>
        </w:tc>
      </w:tr>
      <w:tr w:rsidR="00EB74A4" w:rsidRPr="00EB74A4" w14:paraId="433C8D11" w14:textId="77777777" w:rsidTr="00EB74A4">
        <w:trPr>
          <w:trHeight w:val="276"/>
        </w:trPr>
        <w:tc>
          <w:tcPr>
            <w:tcW w:w="960" w:type="dxa"/>
            <w:vAlign w:val="center"/>
            <w:hideMark/>
          </w:tcPr>
          <w:p w14:paraId="199EEE91" w14:textId="77777777" w:rsidR="00EB74A4" w:rsidRPr="00EB74A4" w:rsidRDefault="00EB74A4" w:rsidP="00EB74A4">
            <w:pPr>
              <w:pStyle w:val="ae"/>
              <w:rPr>
                <w:b w:val="0"/>
                <w:bCs/>
              </w:rPr>
            </w:pPr>
            <w:r w:rsidRPr="00EB74A4">
              <w:rPr>
                <w:rFonts w:hint="eastAsia"/>
                <w:b w:val="0"/>
                <w:bCs/>
              </w:rPr>
              <w:t>5.2.2</w:t>
            </w:r>
          </w:p>
        </w:tc>
        <w:tc>
          <w:tcPr>
            <w:tcW w:w="2040" w:type="dxa"/>
            <w:vAlign w:val="center"/>
            <w:hideMark/>
          </w:tcPr>
          <w:p w14:paraId="0132F2D7" w14:textId="77777777" w:rsidR="00EB74A4" w:rsidRPr="00EB74A4" w:rsidRDefault="00EB74A4" w:rsidP="00EB74A4">
            <w:pPr>
              <w:pStyle w:val="ae"/>
              <w:rPr>
                <w:b w:val="0"/>
                <w:bCs/>
              </w:rPr>
            </w:pPr>
            <w:r w:rsidRPr="00EB74A4">
              <w:rPr>
                <w:rFonts w:hint="eastAsia"/>
                <w:b w:val="0"/>
                <w:bCs/>
              </w:rPr>
              <w:t>装饰装修材料</w:t>
            </w:r>
          </w:p>
        </w:tc>
        <w:tc>
          <w:tcPr>
            <w:tcW w:w="11540" w:type="dxa"/>
            <w:vAlign w:val="center"/>
            <w:hideMark/>
          </w:tcPr>
          <w:p w14:paraId="1A9AE47F" w14:textId="77777777" w:rsidR="00EB74A4" w:rsidRPr="00EB74A4" w:rsidRDefault="00EB74A4" w:rsidP="00EB74A4">
            <w:pPr>
              <w:pStyle w:val="ae"/>
              <w:rPr>
                <w:b w:val="0"/>
                <w:bCs/>
              </w:rPr>
            </w:pPr>
            <w:r w:rsidRPr="00EB74A4">
              <w:rPr>
                <w:rFonts w:hint="eastAsia"/>
                <w:b w:val="0"/>
                <w:bCs/>
              </w:rPr>
              <w:t>相关竣工图、工程决算材料清单、产品检验报告</w:t>
            </w:r>
          </w:p>
        </w:tc>
      </w:tr>
      <w:tr w:rsidR="00EB74A4" w:rsidRPr="00EB74A4" w14:paraId="7E700081" w14:textId="77777777" w:rsidTr="00EB74A4">
        <w:trPr>
          <w:trHeight w:val="276"/>
        </w:trPr>
        <w:tc>
          <w:tcPr>
            <w:tcW w:w="960" w:type="dxa"/>
            <w:vAlign w:val="center"/>
            <w:hideMark/>
          </w:tcPr>
          <w:p w14:paraId="04FC9B9C" w14:textId="77777777" w:rsidR="00EB74A4" w:rsidRPr="00EB74A4" w:rsidRDefault="00EB74A4" w:rsidP="00EB74A4">
            <w:pPr>
              <w:pStyle w:val="ae"/>
              <w:rPr>
                <w:b w:val="0"/>
                <w:bCs/>
              </w:rPr>
            </w:pPr>
            <w:r w:rsidRPr="00EB74A4">
              <w:rPr>
                <w:rFonts w:hint="eastAsia"/>
                <w:b w:val="0"/>
                <w:bCs/>
              </w:rPr>
              <w:t>5.2.3</w:t>
            </w:r>
          </w:p>
        </w:tc>
        <w:tc>
          <w:tcPr>
            <w:tcW w:w="2040" w:type="dxa"/>
            <w:vAlign w:val="center"/>
            <w:hideMark/>
          </w:tcPr>
          <w:p w14:paraId="69EA63F8" w14:textId="77777777" w:rsidR="00EB74A4" w:rsidRPr="00EB74A4" w:rsidRDefault="00EB74A4" w:rsidP="00EB74A4">
            <w:pPr>
              <w:pStyle w:val="ae"/>
              <w:rPr>
                <w:b w:val="0"/>
                <w:bCs/>
              </w:rPr>
            </w:pPr>
            <w:r w:rsidRPr="00EB74A4">
              <w:rPr>
                <w:rFonts w:hint="eastAsia"/>
                <w:b w:val="0"/>
                <w:bCs/>
              </w:rPr>
              <w:t>直饮水等水质</w:t>
            </w:r>
          </w:p>
        </w:tc>
        <w:tc>
          <w:tcPr>
            <w:tcW w:w="11540" w:type="dxa"/>
            <w:vAlign w:val="center"/>
            <w:hideMark/>
          </w:tcPr>
          <w:p w14:paraId="600A190D" w14:textId="77777777" w:rsidR="00EB74A4" w:rsidRPr="00EB74A4" w:rsidRDefault="00EB74A4" w:rsidP="00EB74A4">
            <w:pPr>
              <w:pStyle w:val="ae"/>
              <w:rPr>
                <w:b w:val="0"/>
                <w:bCs/>
              </w:rPr>
            </w:pPr>
            <w:r w:rsidRPr="00EB74A4">
              <w:rPr>
                <w:rFonts w:hint="eastAsia"/>
                <w:b w:val="0"/>
                <w:bCs/>
              </w:rPr>
              <w:t>相关竣工图、设计说明、水质检测报告（含直饮水、集中生活用水、采暖空调系统用水、景观水体）、组织现场查勘</w:t>
            </w:r>
          </w:p>
        </w:tc>
      </w:tr>
      <w:tr w:rsidR="00EB74A4" w:rsidRPr="00EB74A4" w14:paraId="772E428B" w14:textId="77777777" w:rsidTr="00EB74A4">
        <w:trPr>
          <w:trHeight w:val="276"/>
        </w:trPr>
        <w:tc>
          <w:tcPr>
            <w:tcW w:w="960" w:type="dxa"/>
            <w:vAlign w:val="center"/>
            <w:hideMark/>
          </w:tcPr>
          <w:p w14:paraId="29D04D93" w14:textId="77777777" w:rsidR="00EB74A4" w:rsidRPr="00EB74A4" w:rsidRDefault="00EB74A4" w:rsidP="00EB74A4">
            <w:pPr>
              <w:pStyle w:val="ae"/>
              <w:rPr>
                <w:b w:val="0"/>
                <w:bCs/>
              </w:rPr>
            </w:pPr>
            <w:r w:rsidRPr="00EB74A4">
              <w:rPr>
                <w:rFonts w:hint="eastAsia"/>
                <w:b w:val="0"/>
                <w:bCs/>
              </w:rPr>
              <w:t>5.2.4</w:t>
            </w:r>
          </w:p>
        </w:tc>
        <w:tc>
          <w:tcPr>
            <w:tcW w:w="2040" w:type="dxa"/>
            <w:vAlign w:val="center"/>
            <w:hideMark/>
          </w:tcPr>
          <w:p w14:paraId="373CCBDB" w14:textId="77777777" w:rsidR="00EB74A4" w:rsidRPr="00EB74A4" w:rsidRDefault="00EB74A4" w:rsidP="00EB74A4">
            <w:pPr>
              <w:pStyle w:val="ae"/>
              <w:rPr>
                <w:b w:val="0"/>
                <w:bCs/>
              </w:rPr>
            </w:pPr>
            <w:r w:rsidRPr="00EB74A4">
              <w:rPr>
                <w:rFonts w:hint="eastAsia"/>
                <w:b w:val="0"/>
                <w:bCs/>
              </w:rPr>
              <w:t>储水设施</w:t>
            </w:r>
          </w:p>
        </w:tc>
        <w:tc>
          <w:tcPr>
            <w:tcW w:w="11540" w:type="dxa"/>
            <w:vAlign w:val="center"/>
            <w:hideMark/>
          </w:tcPr>
          <w:p w14:paraId="32656707" w14:textId="77777777" w:rsidR="00EB74A4" w:rsidRPr="00EB74A4" w:rsidRDefault="00EB74A4" w:rsidP="00EB74A4">
            <w:pPr>
              <w:pStyle w:val="ae"/>
              <w:rPr>
                <w:b w:val="0"/>
                <w:bCs/>
              </w:rPr>
            </w:pPr>
            <w:r w:rsidRPr="00EB74A4">
              <w:rPr>
                <w:rFonts w:hint="eastAsia"/>
                <w:b w:val="0"/>
                <w:bCs/>
              </w:rPr>
              <w:t>相关竣工图</w:t>
            </w:r>
            <w:r w:rsidRPr="00EB74A4">
              <w:rPr>
                <w:rFonts w:hint="eastAsia"/>
                <w:b w:val="0"/>
                <w:bCs/>
              </w:rPr>
              <w:t>(</w:t>
            </w:r>
            <w:r w:rsidRPr="00EB74A4">
              <w:rPr>
                <w:rFonts w:hint="eastAsia"/>
                <w:b w:val="0"/>
                <w:bCs/>
              </w:rPr>
              <w:t>含设计说明、储水设施详图、设备材料表</w:t>
            </w:r>
            <w:r w:rsidRPr="00EB74A4">
              <w:rPr>
                <w:rFonts w:hint="eastAsia"/>
                <w:b w:val="0"/>
                <w:bCs/>
              </w:rPr>
              <w:t>)</w:t>
            </w:r>
            <w:r w:rsidRPr="00EB74A4">
              <w:rPr>
                <w:rFonts w:hint="eastAsia"/>
                <w:b w:val="0"/>
                <w:bCs/>
              </w:rPr>
              <w:t>、设备材料</w:t>
            </w:r>
            <w:r w:rsidRPr="00EB74A4">
              <w:rPr>
                <w:rFonts w:hint="eastAsia"/>
                <w:b w:val="0"/>
                <w:bCs/>
              </w:rPr>
              <w:lastRenderedPageBreak/>
              <w:t>采购清单或进场记录、水质检测报告</w:t>
            </w:r>
          </w:p>
        </w:tc>
      </w:tr>
      <w:tr w:rsidR="00EB74A4" w:rsidRPr="00EB74A4" w14:paraId="7CBC9ACA" w14:textId="77777777" w:rsidTr="00EB74A4">
        <w:trPr>
          <w:trHeight w:val="276"/>
        </w:trPr>
        <w:tc>
          <w:tcPr>
            <w:tcW w:w="960" w:type="dxa"/>
            <w:vAlign w:val="center"/>
            <w:hideMark/>
          </w:tcPr>
          <w:p w14:paraId="44BBC7E1" w14:textId="77777777" w:rsidR="00EB74A4" w:rsidRPr="00EB74A4" w:rsidRDefault="00EB74A4" w:rsidP="00EB74A4">
            <w:pPr>
              <w:pStyle w:val="ae"/>
              <w:rPr>
                <w:b w:val="0"/>
                <w:bCs/>
              </w:rPr>
            </w:pPr>
            <w:r w:rsidRPr="00EB74A4">
              <w:rPr>
                <w:rFonts w:hint="eastAsia"/>
                <w:b w:val="0"/>
                <w:bCs/>
              </w:rPr>
              <w:lastRenderedPageBreak/>
              <w:t>5.2.5</w:t>
            </w:r>
          </w:p>
        </w:tc>
        <w:tc>
          <w:tcPr>
            <w:tcW w:w="2040" w:type="dxa"/>
            <w:vAlign w:val="center"/>
            <w:hideMark/>
          </w:tcPr>
          <w:p w14:paraId="72EFE677" w14:textId="77777777" w:rsidR="00EB74A4" w:rsidRPr="00EB74A4" w:rsidRDefault="00EB74A4" w:rsidP="00EB74A4">
            <w:pPr>
              <w:pStyle w:val="ae"/>
              <w:rPr>
                <w:b w:val="0"/>
                <w:bCs/>
              </w:rPr>
            </w:pPr>
            <w:r w:rsidRPr="00EB74A4">
              <w:rPr>
                <w:rFonts w:hint="eastAsia"/>
                <w:b w:val="0"/>
                <w:bCs/>
              </w:rPr>
              <w:t>声环境</w:t>
            </w:r>
            <w:r w:rsidRPr="00EB74A4">
              <w:rPr>
                <w:rFonts w:hint="eastAsia"/>
                <w:b w:val="0"/>
                <w:bCs/>
              </w:rPr>
              <w:t xml:space="preserve"> </w:t>
            </w:r>
            <w:r w:rsidRPr="00EB74A4">
              <w:rPr>
                <w:rFonts w:hint="eastAsia"/>
                <w:b w:val="0"/>
                <w:bCs/>
              </w:rPr>
              <w:t>优化</w:t>
            </w:r>
          </w:p>
        </w:tc>
        <w:tc>
          <w:tcPr>
            <w:tcW w:w="11540" w:type="dxa"/>
            <w:vAlign w:val="center"/>
            <w:hideMark/>
          </w:tcPr>
          <w:p w14:paraId="78695A5D" w14:textId="77777777" w:rsidR="00EB74A4" w:rsidRPr="00EB74A4" w:rsidRDefault="00EB74A4" w:rsidP="00EB74A4">
            <w:pPr>
              <w:pStyle w:val="ae"/>
              <w:rPr>
                <w:b w:val="0"/>
                <w:bCs/>
              </w:rPr>
            </w:pPr>
            <w:r w:rsidRPr="00EB74A4">
              <w:rPr>
                <w:rFonts w:hint="eastAsia"/>
                <w:b w:val="0"/>
                <w:bCs/>
              </w:rPr>
              <w:t>相关竣工图、室内噪声检测报告（含建筑构件隔声性能计算报告）</w:t>
            </w:r>
          </w:p>
        </w:tc>
      </w:tr>
      <w:tr w:rsidR="00EB74A4" w:rsidRPr="00EB74A4" w14:paraId="46E35011" w14:textId="77777777" w:rsidTr="00EB74A4">
        <w:trPr>
          <w:trHeight w:val="276"/>
        </w:trPr>
        <w:tc>
          <w:tcPr>
            <w:tcW w:w="960" w:type="dxa"/>
            <w:vAlign w:val="center"/>
            <w:hideMark/>
          </w:tcPr>
          <w:p w14:paraId="6A8B4512" w14:textId="77777777" w:rsidR="00EB74A4" w:rsidRPr="00EB74A4" w:rsidRDefault="00EB74A4" w:rsidP="00EB74A4">
            <w:pPr>
              <w:pStyle w:val="ae"/>
              <w:rPr>
                <w:b w:val="0"/>
                <w:bCs/>
              </w:rPr>
            </w:pPr>
            <w:r w:rsidRPr="00EB74A4">
              <w:rPr>
                <w:rFonts w:hint="eastAsia"/>
                <w:b w:val="0"/>
                <w:bCs/>
              </w:rPr>
              <w:t>5.2.6</w:t>
            </w:r>
          </w:p>
        </w:tc>
        <w:tc>
          <w:tcPr>
            <w:tcW w:w="2040" w:type="dxa"/>
            <w:vAlign w:val="center"/>
            <w:hideMark/>
          </w:tcPr>
          <w:p w14:paraId="7BE5AFF5" w14:textId="77777777" w:rsidR="00EB74A4" w:rsidRPr="00EB74A4" w:rsidRDefault="00EB74A4" w:rsidP="00EB74A4">
            <w:pPr>
              <w:pStyle w:val="ae"/>
              <w:rPr>
                <w:b w:val="0"/>
                <w:bCs/>
              </w:rPr>
            </w:pPr>
            <w:r w:rsidRPr="00EB74A4">
              <w:rPr>
                <w:rFonts w:hint="eastAsia"/>
                <w:b w:val="0"/>
                <w:bCs/>
              </w:rPr>
              <w:t>隔声性能</w:t>
            </w:r>
          </w:p>
        </w:tc>
        <w:tc>
          <w:tcPr>
            <w:tcW w:w="11540" w:type="dxa"/>
            <w:vAlign w:val="center"/>
            <w:hideMark/>
          </w:tcPr>
          <w:p w14:paraId="359C43D7" w14:textId="77777777" w:rsidR="00EB74A4" w:rsidRPr="00EB74A4" w:rsidRDefault="00EB74A4" w:rsidP="00EB74A4">
            <w:pPr>
              <w:pStyle w:val="ae"/>
              <w:rPr>
                <w:b w:val="0"/>
                <w:bCs/>
              </w:rPr>
            </w:pPr>
            <w:r w:rsidRPr="00EB74A4">
              <w:rPr>
                <w:rFonts w:hint="eastAsia"/>
                <w:b w:val="0"/>
                <w:bCs/>
              </w:rPr>
              <w:t>相关竣工图、构件隔声性能的检验报告</w:t>
            </w:r>
          </w:p>
        </w:tc>
      </w:tr>
      <w:tr w:rsidR="00EB74A4" w:rsidRPr="00EB74A4" w14:paraId="2DDF0BC3" w14:textId="77777777" w:rsidTr="00EB74A4">
        <w:trPr>
          <w:trHeight w:val="276"/>
        </w:trPr>
        <w:tc>
          <w:tcPr>
            <w:tcW w:w="960" w:type="dxa"/>
            <w:vAlign w:val="center"/>
            <w:hideMark/>
          </w:tcPr>
          <w:p w14:paraId="19838886" w14:textId="77777777" w:rsidR="00EB74A4" w:rsidRPr="00EB74A4" w:rsidRDefault="00EB74A4" w:rsidP="00EB74A4">
            <w:pPr>
              <w:pStyle w:val="ae"/>
              <w:rPr>
                <w:b w:val="0"/>
                <w:bCs/>
              </w:rPr>
            </w:pPr>
            <w:r w:rsidRPr="00EB74A4">
              <w:rPr>
                <w:rFonts w:hint="eastAsia"/>
                <w:b w:val="0"/>
                <w:bCs/>
              </w:rPr>
              <w:t>5.2.7</w:t>
            </w:r>
          </w:p>
        </w:tc>
        <w:tc>
          <w:tcPr>
            <w:tcW w:w="2040" w:type="dxa"/>
            <w:vAlign w:val="center"/>
            <w:hideMark/>
          </w:tcPr>
          <w:p w14:paraId="6619492E" w14:textId="77777777" w:rsidR="00EB74A4" w:rsidRPr="00EB74A4" w:rsidRDefault="00EB74A4" w:rsidP="00EB74A4">
            <w:pPr>
              <w:pStyle w:val="ae"/>
              <w:rPr>
                <w:b w:val="0"/>
                <w:bCs/>
              </w:rPr>
            </w:pPr>
            <w:r w:rsidRPr="00EB74A4">
              <w:rPr>
                <w:rFonts w:hint="eastAsia"/>
                <w:b w:val="0"/>
                <w:bCs/>
              </w:rPr>
              <w:t>天然光利用</w:t>
            </w:r>
          </w:p>
        </w:tc>
        <w:tc>
          <w:tcPr>
            <w:tcW w:w="11540" w:type="dxa"/>
            <w:vAlign w:val="center"/>
            <w:hideMark/>
          </w:tcPr>
          <w:p w14:paraId="73195501" w14:textId="77777777" w:rsidR="00EB74A4" w:rsidRPr="00EB74A4" w:rsidRDefault="00EB74A4" w:rsidP="00EB74A4">
            <w:pPr>
              <w:pStyle w:val="ae"/>
              <w:rPr>
                <w:b w:val="0"/>
                <w:bCs/>
              </w:rPr>
            </w:pPr>
            <w:r w:rsidRPr="00EB74A4">
              <w:rPr>
                <w:rFonts w:hint="eastAsia"/>
                <w:b w:val="0"/>
                <w:bCs/>
              </w:rPr>
              <w:t>相关竣工图、计算书（含室内采光数值分析报告）、采光检测报告，组织现场查勘</w:t>
            </w:r>
          </w:p>
        </w:tc>
      </w:tr>
      <w:tr w:rsidR="00EB74A4" w:rsidRPr="00EB74A4" w14:paraId="18903FF2" w14:textId="77777777" w:rsidTr="00EB74A4">
        <w:trPr>
          <w:trHeight w:val="276"/>
        </w:trPr>
        <w:tc>
          <w:tcPr>
            <w:tcW w:w="960" w:type="dxa"/>
            <w:vAlign w:val="center"/>
            <w:hideMark/>
          </w:tcPr>
          <w:p w14:paraId="60D3102E" w14:textId="77777777" w:rsidR="00EB74A4" w:rsidRPr="00EB74A4" w:rsidRDefault="00EB74A4" w:rsidP="00EB74A4">
            <w:pPr>
              <w:pStyle w:val="ae"/>
              <w:rPr>
                <w:b w:val="0"/>
                <w:bCs/>
              </w:rPr>
            </w:pPr>
            <w:r w:rsidRPr="00EB74A4">
              <w:rPr>
                <w:rFonts w:hint="eastAsia"/>
                <w:b w:val="0"/>
                <w:bCs/>
              </w:rPr>
              <w:t>5.2.8</w:t>
            </w:r>
          </w:p>
        </w:tc>
        <w:tc>
          <w:tcPr>
            <w:tcW w:w="2040" w:type="dxa"/>
            <w:vAlign w:val="center"/>
            <w:hideMark/>
          </w:tcPr>
          <w:p w14:paraId="1C209479" w14:textId="77777777" w:rsidR="00EB74A4" w:rsidRPr="00EB74A4" w:rsidRDefault="00EB74A4" w:rsidP="00EB74A4">
            <w:pPr>
              <w:pStyle w:val="ae"/>
              <w:rPr>
                <w:b w:val="0"/>
                <w:bCs/>
              </w:rPr>
            </w:pPr>
            <w:r w:rsidRPr="00EB74A4">
              <w:rPr>
                <w:rFonts w:hint="eastAsia"/>
                <w:b w:val="0"/>
                <w:bCs/>
              </w:rPr>
              <w:t>热湿环境</w:t>
            </w:r>
          </w:p>
        </w:tc>
        <w:tc>
          <w:tcPr>
            <w:tcW w:w="11540" w:type="dxa"/>
            <w:vAlign w:val="center"/>
            <w:hideMark/>
          </w:tcPr>
          <w:p w14:paraId="28EC9EAE" w14:textId="77777777" w:rsidR="00EB74A4" w:rsidRPr="00EB74A4" w:rsidRDefault="00EB74A4" w:rsidP="00EB74A4">
            <w:pPr>
              <w:pStyle w:val="ae"/>
              <w:rPr>
                <w:b w:val="0"/>
                <w:bCs/>
              </w:rPr>
            </w:pPr>
            <w:r w:rsidRPr="00EB74A4">
              <w:rPr>
                <w:rFonts w:hint="eastAsia"/>
                <w:b w:val="0"/>
                <w:bCs/>
              </w:rPr>
              <w:t>相关竣工图、气流组织分析报告、计算分析报告</w:t>
            </w:r>
          </w:p>
        </w:tc>
      </w:tr>
      <w:tr w:rsidR="00EB74A4" w:rsidRPr="00EB74A4" w14:paraId="45818FF5" w14:textId="77777777" w:rsidTr="00EB74A4">
        <w:trPr>
          <w:trHeight w:val="276"/>
        </w:trPr>
        <w:tc>
          <w:tcPr>
            <w:tcW w:w="960" w:type="dxa"/>
            <w:vAlign w:val="center"/>
            <w:hideMark/>
          </w:tcPr>
          <w:p w14:paraId="70F1EC5F" w14:textId="77777777" w:rsidR="00EB74A4" w:rsidRPr="00EB74A4" w:rsidRDefault="00EB74A4" w:rsidP="00EB74A4">
            <w:pPr>
              <w:pStyle w:val="ae"/>
              <w:rPr>
                <w:b w:val="0"/>
                <w:bCs/>
              </w:rPr>
            </w:pPr>
            <w:r w:rsidRPr="00EB74A4">
              <w:rPr>
                <w:rFonts w:hint="eastAsia"/>
                <w:b w:val="0"/>
                <w:bCs/>
              </w:rPr>
              <w:t>5.2.9</w:t>
            </w:r>
          </w:p>
        </w:tc>
        <w:tc>
          <w:tcPr>
            <w:tcW w:w="2040" w:type="dxa"/>
            <w:vAlign w:val="center"/>
            <w:hideMark/>
          </w:tcPr>
          <w:p w14:paraId="0C05E0F7" w14:textId="77777777" w:rsidR="00EB74A4" w:rsidRPr="00EB74A4" w:rsidRDefault="00EB74A4" w:rsidP="00EB74A4">
            <w:pPr>
              <w:pStyle w:val="ae"/>
              <w:rPr>
                <w:b w:val="0"/>
                <w:bCs/>
              </w:rPr>
            </w:pPr>
            <w:r w:rsidRPr="00EB74A4">
              <w:rPr>
                <w:rFonts w:hint="eastAsia"/>
                <w:b w:val="0"/>
                <w:bCs/>
              </w:rPr>
              <w:t>自然通风</w:t>
            </w:r>
          </w:p>
        </w:tc>
        <w:tc>
          <w:tcPr>
            <w:tcW w:w="11540" w:type="dxa"/>
            <w:vAlign w:val="center"/>
            <w:hideMark/>
          </w:tcPr>
          <w:p w14:paraId="58941F4C" w14:textId="77777777" w:rsidR="00EB74A4" w:rsidRPr="00EB74A4" w:rsidRDefault="00EB74A4" w:rsidP="00EB74A4">
            <w:pPr>
              <w:pStyle w:val="ae"/>
              <w:rPr>
                <w:b w:val="0"/>
                <w:bCs/>
              </w:rPr>
            </w:pPr>
            <w:r w:rsidRPr="00EB74A4">
              <w:rPr>
                <w:rFonts w:hint="eastAsia"/>
                <w:b w:val="0"/>
                <w:bCs/>
              </w:rPr>
              <w:t>相关竣工图、计算分析报告（含自然通风换气次数模拟报告），组织现场查勘</w:t>
            </w:r>
          </w:p>
        </w:tc>
      </w:tr>
      <w:tr w:rsidR="00EB74A4" w:rsidRPr="00EB74A4" w14:paraId="65AA96F7" w14:textId="77777777" w:rsidTr="00EB74A4">
        <w:trPr>
          <w:trHeight w:val="276"/>
        </w:trPr>
        <w:tc>
          <w:tcPr>
            <w:tcW w:w="960" w:type="dxa"/>
            <w:vAlign w:val="center"/>
            <w:hideMark/>
          </w:tcPr>
          <w:p w14:paraId="167C92AE" w14:textId="77777777" w:rsidR="00EB74A4" w:rsidRPr="00EB74A4" w:rsidRDefault="00EB74A4" w:rsidP="00EB74A4">
            <w:pPr>
              <w:pStyle w:val="ae"/>
              <w:rPr>
                <w:b w:val="0"/>
                <w:bCs/>
              </w:rPr>
            </w:pPr>
            <w:r w:rsidRPr="00EB74A4">
              <w:rPr>
                <w:rFonts w:hint="eastAsia"/>
                <w:b w:val="0"/>
                <w:bCs/>
              </w:rPr>
              <w:t>5.2.10</w:t>
            </w:r>
          </w:p>
        </w:tc>
        <w:tc>
          <w:tcPr>
            <w:tcW w:w="2040" w:type="dxa"/>
            <w:vAlign w:val="center"/>
            <w:hideMark/>
          </w:tcPr>
          <w:p w14:paraId="4413ED89" w14:textId="77777777" w:rsidR="00EB74A4" w:rsidRPr="00EB74A4" w:rsidRDefault="00EB74A4" w:rsidP="00EB74A4">
            <w:pPr>
              <w:pStyle w:val="ae"/>
              <w:rPr>
                <w:b w:val="0"/>
                <w:bCs/>
              </w:rPr>
            </w:pPr>
            <w:r w:rsidRPr="00EB74A4">
              <w:rPr>
                <w:rFonts w:hint="eastAsia"/>
                <w:b w:val="0"/>
                <w:bCs/>
              </w:rPr>
              <w:t>可调节遮阳设施</w:t>
            </w:r>
          </w:p>
        </w:tc>
        <w:tc>
          <w:tcPr>
            <w:tcW w:w="11540" w:type="dxa"/>
            <w:vAlign w:val="center"/>
            <w:hideMark/>
          </w:tcPr>
          <w:p w14:paraId="4B8C6FD2" w14:textId="77777777" w:rsidR="00EB74A4" w:rsidRPr="00EB74A4" w:rsidRDefault="00EB74A4" w:rsidP="00EB74A4">
            <w:pPr>
              <w:pStyle w:val="ae"/>
              <w:rPr>
                <w:b w:val="0"/>
                <w:bCs/>
              </w:rPr>
            </w:pPr>
            <w:r w:rsidRPr="00EB74A4">
              <w:rPr>
                <w:rFonts w:hint="eastAsia"/>
                <w:b w:val="0"/>
                <w:bCs/>
              </w:rPr>
              <w:t>相关竣工图、产品说明书、计算书，组织现场查勘</w:t>
            </w:r>
          </w:p>
        </w:tc>
      </w:tr>
      <w:tr w:rsidR="00EB74A4" w:rsidRPr="00EB74A4" w14:paraId="30F664E6" w14:textId="77777777" w:rsidTr="00EB74A4">
        <w:trPr>
          <w:trHeight w:val="276"/>
        </w:trPr>
        <w:tc>
          <w:tcPr>
            <w:tcW w:w="960" w:type="dxa"/>
            <w:vAlign w:val="center"/>
            <w:hideMark/>
          </w:tcPr>
          <w:p w14:paraId="5C6E6D1A" w14:textId="77777777" w:rsidR="00EB74A4" w:rsidRPr="00EB74A4" w:rsidRDefault="00EB74A4" w:rsidP="00EB74A4">
            <w:pPr>
              <w:pStyle w:val="ae"/>
              <w:rPr>
                <w:b w:val="0"/>
                <w:bCs/>
              </w:rPr>
            </w:pPr>
            <w:r w:rsidRPr="00EB74A4">
              <w:rPr>
                <w:rFonts w:hint="eastAsia"/>
                <w:b w:val="0"/>
                <w:bCs/>
              </w:rPr>
              <w:t>5.2.11</w:t>
            </w:r>
          </w:p>
        </w:tc>
        <w:tc>
          <w:tcPr>
            <w:tcW w:w="2040" w:type="dxa"/>
            <w:vAlign w:val="center"/>
            <w:hideMark/>
          </w:tcPr>
          <w:p w14:paraId="135C6374" w14:textId="77777777" w:rsidR="00EB74A4" w:rsidRPr="00EB74A4" w:rsidRDefault="00EB74A4" w:rsidP="00EB74A4">
            <w:pPr>
              <w:pStyle w:val="ae"/>
              <w:rPr>
                <w:b w:val="0"/>
                <w:bCs/>
              </w:rPr>
            </w:pPr>
            <w:r w:rsidRPr="00EB74A4">
              <w:rPr>
                <w:rFonts w:hint="eastAsia"/>
                <w:b w:val="0"/>
                <w:bCs/>
              </w:rPr>
              <w:t>室内环境整体质量</w:t>
            </w:r>
          </w:p>
        </w:tc>
        <w:tc>
          <w:tcPr>
            <w:tcW w:w="11540" w:type="dxa"/>
            <w:vAlign w:val="center"/>
            <w:hideMark/>
          </w:tcPr>
          <w:p w14:paraId="5A6006EC" w14:textId="77777777" w:rsidR="00EB74A4" w:rsidRPr="00EB74A4" w:rsidRDefault="00EB74A4" w:rsidP="00EB74A4">
            <w:pPr>
              <w:pStyle w:val="ae"/>
              <w:rPr>
                <w:b w:val="0"/>
                <w:bCs/>
              </w:rPr>
            </w:pPr>
            <w:r w:rsidRPr="00EB74A4">
              <w:rPr>
                <w:rFonts w:hint="eastAsia"/>
                <w:b w:val="0"/>
                <w:bCs/>
              </w:rPr>
              <w:t>计算分析报告，检测报告</w:t>
            </w:r>
          </w:p>
        </w:tc>
      </w:tr>
      <w:tr w:rsidR="00EB74A4" w:rsidRPr="00EB74A4" w14:paraId="4493CE77" w14:textId="77777777" w:rsidTr="00EB74A4">
        <w:trPr>
          <w:trHeight w:val="276"/>
        </w:trPr>
        <w:tc>
          <w:tcPr>
            <w:tcW w:w="960" w:type="dxa"/>
            <w:vAlign w:val="center"/>
            <w:hideMark/>
          </w:tcPr>
          <w:p w14:paraId="7789AB3C" w14:textId="77777777" w:rsidR="00EB74A4" w:rsidRPr="00EB74A4" w:rsidRDefault="00EB74A4" w:rsidP="00EB74A4">
            <w:pPr>
              <w:pStyle w:val="ae"/>
              <w:rPr>
                <w:b w:val="0"/>
                <w:bCs/>
              </w:rPr>
            </w:pPr>
            <w:r w:rsidRPr="00EB74A4">
              <w:rPr>
                <w:rFonts w:hint="eastAsia"/>
                <w:b w:val="0"/>
                <w:bCs/>
              </w:rPr>
              <w:t>6.1.1</w:t>
            </w:r>
          </w:p>
        </w:tc>
        <w:tc>
          <w:tcPr>
            <w:tcW w:w="2040" w:type="dxa"/>
            <w:vAlign w:val="center"/>
            <w:hideMark/>
          </w:tcPr>
          <w:p w14:paraId="777B1B46" w14:textId="77777777" w:rsidR="00EB74A4" w:rsidRPr="00EB74A4" w:rsidRDefault="00EB74A4" w:rsidP="00EB74A4">
            <w:pPr>
              <w:pStyle w:val="ae"/>
              <w:rPr>
                <w:b w:val="0"/>
                <w:bCs/>
              </w:rPr>
            </w:pPr>
            <w:r w:rsidRPr="00EB74A4">
              <w:rPr>
                <w:rFonts w:hint="eastAsia"/>
                <w:b w:val="0"/>
                <w:bCs/>
              </w:rPr>
              <w:t>无障碍通道</w:t>
            </w:r>
          </w:p>
        </w:tc>
        <w:tc>
          <w:tcPr>
            <w:tcW w:w="11540" w:type="dxa"/>
            <w:vAlign w:val="center"/>
            <w:hideMark/>
          </w:tcPr>
          <w:p w14:paraId="48D23DA5" w14:textId="77777777" w:rsidR="00EB74A4" w:rsidRPr="00EB74A4" w:rsidRDefault="00EB74A4" w:rsidP="00EB74A4">
            <w:pPr>
              <w:pStyle w:val="ae"/>
              <w:rPr>
                <w:b w:val="0"/>
                <w:bCs/>
              </w:rPr>
            </w:pPr>
            <w:r w:rsidRPr="00EB74A4">
              <w:rPr>
                <w:rFonts w:hint="eastAsia"/>
                <w:b w:val="0"/>
                <w:bCs/>
              </w:rPr>
              <w:t>相关竣工图，查看施工过程影像资料，组织现场查勘</w:t>
            </w:r>
          </w:p>
        </w:tc>
      </w:tr>
      <w:tr w:rsidR="00EB74A4" w:rsidRPr="00EB74A4" w14:paraId="672F50EE" w14:textId="77777777" w:rsidTr="00EB74A4">
        <w:trPr>
          <w:trHeight w:val="276"/>
        </w:trPr>
        <w:tc>
          <w:tcPr>
            <w:tcW w:w="960" w:type="dxa"/>
            <w:vAlign w:val="center"/>
            <w:hideMark/>
          </w:tcPr>
          <w:p w14:paraId="756477CE" w14:textId="77777777" w:rsidR="00EB74A4" w:rsidRPr="00EB74A4" w:rsidRDefault="00EB74A4" w:rsidP="00EB74A4">
            <w:pPr>
              <w:pStyle w:val="ae"/>
              <w:rPr>
                <w:b w:val="0"/>
                <w:bCs/>
              </w:rPr>
            </w:pPr>
            <w:r w:rsidRPr="00EB74A4">
              <w:rPr>
                <w:rFonts w:hint="eastAsia"/>
                <w:b w:val="0"/>
                <w:bCs/>
              </w:rPr>
              <w:t>6.1.2</w:t>
            </w:r>
          </w:p>
        </w:tc>
        <w:tc>
          <w:tcPr>
            <w:tcW w:w="2040" w:type="dxa"/>
            <w:vAlign w:val="center"/>
            <w:hideMark/>
          </w:tcPr>
          <w:p w14:paraId="2A550C1A" w14:textId="77777777" w:rsidR="00EB74A4" w:rsidRPr="00EB74A4" w:rsidRDefault="00EB74A4" w:rsidP="00EB74A4">
            <w:pPr>
              <w:pStyle w:val="ae"/>
              <w:rPr>
                <w:b w:val="0"/>
                <w:bCs/>
              </w:rPr>
            </w:pPr>
            <w:r w:rsidRPr="00EB74A4">
              <w:rPr>
                <w:rFonts w:hint="eastAsia"/>
                <w:b w:val="0"/>
                <w:bCs/>
              </w:rPr>
              <w:t>公共交通站点</w:t>
            </w:r>
          </w:p>
        </w:tc>
        <w:tc>
          <w:tcPr>
            <w:tcW w:w="11540" w:type="dxa"/>
            <w:vAlign w:val="center"/>
            <w:hideMark/>
          </w:tcPr>
          <w:p w14:paraId="1BBE1B70" w14:textId="77777777" w:rsidR="00EB74A4" w:rsidRPr="00EB74A4" w:rsidRDefault="00EB74A4" w:rsidP="00EB74A4">
            <w:pPr>
              <w:pStyle w:val="ae"/>
              <w:rPr>
                <w:b w:val="0"/>
                <w:bCs/>
              </w:rPr>
            </w:pPr>
            <w:r w:rsidRPr="00EB74A4">
              <w:rPr>
                <w:rFonts w:hint="eastAsia"/>
                <w:b w:val="0"/>
                <w:bCs/>
              </w:rPr>
              <w:t>相关竣工图，现场站牌和车辆等影像资料</w:t>
            </w:r>
          </w:p>
        </w:tc>
      </w:tr>
      <w:tr w:rsidR="00EB74A4" w:rsidRPr="00EB74A4" w14:paraId="4DCF5966" w14:textId="77777777" w:rsidTr="00EB74A4">
        <w:trPr>
          <w:trHeight w:val="276"/>
        </w:trPr>
        <w:tc>
          <w:tcPr>
            <w:tcW w:w="960" w:type="dxa"/>
            <w:vAlign w:val="center"/>
            <w:hideMark/>
          </w:tcPr>
          <w:p w14:paraId="1D40B1F9" w14:textId="77777777" w:rsidR="00EB74A4" w:rsidRPr="00EB74A4" w:rsidRDefault="00EB74A4" w:rsidP="00EB74A4">
            <w:pPr>
              <w:pStyle w:val="ae"/>
              <w:rPr>
                <w:b w:val="0"/>
                <w:bCs/>
              </w:rPr>
            </w:pPr>
            <w:r w:rsidRPr="00EB74A4">
              <w:rPr>
                <w:rFonts w:hint="eastAsia"/>
                <w:b w:val="0"/>
                <w:bCs/>
              </w:rPr>
              <w:t>6.1.3</w:t>
            </w:r>
          </w:p>
        </w:tc>
        <w:tc>
          <w:tcPr>
            <w:tcW w:w="2040" w:type="dxa"/>
            <w:vAlign w:val="center"/>
            <w:hideMark/>
          </w:tcPr>
          <w:p w14:paraId="55F86C6E" w14:textId="77777777" w:rsidR="00EB74A4" w:rsidRPr="00EB74A4" w:rsidRDefault="00EB74A4" w:rsidP="00EB74A4">
            <w:pPr>
              <w:pStyle w:val="ae"/>
              <w:rPr>
                <w:b w:val="0"/>
                <w:bCs/>
              </w:rPr>
            </w:pPr>
            <w:r w:rsidRPr="00EB74A4">
              <w:rPr>
                <w:rFonts w:hint="eastAsia"/>
                <w:b w:val="0"/>
                <w:bCs/>
              </w:rPr>
              <w:t>电动汽车</w:t>
            </w:r>
          </w:p>
        </w:tc>
        <w:tc>
          <w:tcPr>
            <w:tcW w:w="11540" w:type="dxa"/>
            <w:vAlign w:val="center"/>
            <w:hideMark/>
          </w:tcPr>
          <w:p w14:paraId="3664A309" w14:textId="77777777" w:rsidR="00EB74A4" w:rsidRPr="00EB74A4" w:rsidRDefault="00EB74A4" w:rsidP="00EB74A4">
            <w:pPr>
              <w:pStyle w:val="ae"/>
              <w:rPr>
                <w:b w:val="0"/>
                <w:bCs/>
              </w:rPr>
            </w:pPr>
            <w:r w:rsidRPr="00EB74A4">
              <w:rPr>
                <w:rFonts w:hint="eastAsia"/>
                <w:b w:val="0"/>
                <w:bCs/>
              </w:rPr>
              <w:t>相关竣工文件、实景影像资料，并现场查勘</w:t>
            </w:r>
          </w:p>
        </w:tc>
      </w:tr>
      <w:tr w:rsidR="00EB74A4" w:rsidRPr="00EB74A4" w14:paraId="45BF9845" w14:textId="77777777" w:rsidTr="00EB74A4">
        <w:trPr>
          <w:trHeight w:val="276"/>
        </w:trPr>
        <w:tc>
          <w:tcPr>
            <w:tcW w:w="960" w:type="dxa"/>
            <w:vAlign w:val="center"/>
            <w:hideMark/>
          </w:tcPr>
          <w:p w14:paraId="26A582AF" w14:textId="77777777" w:rsidR="00EB74A4" w:rsidRPr="00EB74A4" w:rsidRDefault="00EB74A4" w:rsidP="00EB74A4">
            <w:pPr>
              <w:pStyle w:val="ae"/>
              <w:rPr>
                <w:b w:val="0"/>
                <w:bCs/>
              </w:rPr>
            </w:pPr>
            <w:r w:rsidRPr="00EB74A4">
              <w:rPr>
                <w:rFonts w:hint="eastAsia"/>
                <w:b w:val="0"/>
                <w:bCs/>
              </w:rPr>
              <w:t>6.1.4</w:t>
            </w:r>
          </w:p>
        </w:tc>
        <w:tc>
          <w:tcPr>
            <w:tcW w:w="2040" w:type="dxa"/>
            <w:vAlign w:val="center"/>
            <w:hideMark/>
          </w:tcPr>
          <w:p w14:paraId="36934B3E" w14:textId="77777777" w:rsidR="00EB74A4" w:rsidRPr="00EB74A4" w:rsidRDefault="00EB74A4" w:rsidP="00EB74A4">
            <w:pPr>
              <w:pStyle w:val="ae"/>
              <w:rPr>
                <w:b w:val="0"/>
                <w:bCs/>
              </w:rPr>
            </w:pPr>
            <w:r w:rsidRPr="00EB74A4">
              <w:rPr>
                <w:rFonts w:hint="eastAsia"/>
                <w:b w:val="0"/>
                <w:bCs/>
              </w:rPr>
              <w:t>非机动车</w:t>
            </w:r>
          </w:p>
        </w:tc>
        <w:tc>
          <w:tcPr>
            <w:tcW w:w="11540" w:type="dxa"/>
            <w:vAlign w:val="center"/>
            <w:hideMark/>
          </w:tcPr>
          <w:p w14:paraId="4BBA50EE" w14:textId="77777777" w:rsidR="00EB74A4" w:rsidRPr="00EB74A4" w:rsidRDefault="00EB74A4" w:rsidP="00EB74A4">
            <w:pPr>
              <w:pStyle w:val="ae"/>
              <w:rPr>
                <w:b w:val="0"/>
                <w:bCs/>
              </w:rPr>
            </w:pPr>
            <w:r w:rsidRPr="00EB74A4">
              <w:rPr>
                <w:rFonts w:hint="eastAsia"/>
                <w:b w:val="0"/>
                <w:bCs/>
              </w:rPr>
              <w:t>相关竣工图、实景影像资料，并现场查勘</w:t>
            </w:r>
          </w:p>
        </w:tc>
      </w:tr>
      <w:tr w:rsidR="00EB74A4" w:rsidRPr="00EB74A4" w14:paraId="6DD3F31E" w14:textId="77777777" w:rsidTr="00EB74A4">
        <w:trPr>
          <w:trHeight w:val="276"/>
        </w:trPr>
        <w:tc>
          <w:tcPr>
            <w:tcW w:w="960" w:type="dxa"/>
            <w:vAlign w:val="center"/>
            <w:hideMark/>
          </w:tcPr>
          <w:p w14:paraId="624178CA" w14:textId="77777777" w:rsidR="00EB74A4" w:rsidRPr="00EB74A4" w:rsidRDefault="00EB74A4" w:rsidP="00EB74A4">
            <w:pPr>
              <w:pStyle w:val="ae"/>
              <w:rPr>
                <w:b w:val="0"/>
                <w:bCs/>
              </w:rPr>
            </w:pPr>
            <w:r w:rsidRPr="00EB74A4">
              <w:rPr>
                <w:rFonts w:hint="eastAsia"/>
                <w:b w:val="0"/>
                <w:bCs/>
              </w:rPr>
              <w:t>6.1.5</w:t>
            </w:r>
          </w:p>
        </w:tc>
        <w:tc>
          <w:tcPr>
            <w:tcW w:w="2040" w:type="dxa"/>
            <w:vAlign w:val="center"/>
            <w:hideMark/>
          </w:tcPr>
          <w:p w14:paraId="04C3C28A" w14:textId="77777777" w:rsidR="00EB74A4" w:rsidRPr="00EB74A4" w:rsidRDefault="00EB74A4" w:rsidP="00EB74A4">
            <w:pPr>
              <w:pStyle w:val="ae"/>
              <w:rPr>
                <w:b w:val="0"/>
                <w:bCs/>
              </w:rPr>
            </w:pPr>
            <w:r w:rsidRPr="00EB74A4">
              <w:rPr>
                <w:rFonts w:hint="eastAsia"/>
                <w:b w:val="0"/>
                <w:bCs/>
              </w:rPr>
              <w:t>建筑设备系统</w:t>
            </w:r>
          </w:p>
        </w:tc>
        <w:tc>
          <w:tcPr>
            <w:tcW w:w="11540" w:type="dxa"/>
            <w:vAlign w:val="center"/>
            <w:hideMark/>
          </w:tcPr>
          <w:p w14:paraId="650AE3D9" w14:textId="77777777" w:rsidR="00EB74A4" w:rsidRPr="00EB74A4" w:rsidRDefault="00EB74A4" w:rsidP="00EB74A4">
            <w:pPr>
              <w:pStyle w:val="ae"/>
              <w:rPr>
                <w:b w:val="0"/>
                <w:bCs/>
              </w:rPr>
            </w:pPr>
            <w:r w:rsidRPr="00EB74A4">
              <w:rPr>
                <w:rFonts w:hint="eastAsia"/>
                <w:b w:val="0"/>
                <w:bCs/>
              </w:rPr>
              <w:t>相关竣工图和现场实景影像资料、运行记录，组织现场查勘</w:t>
            </w:r>
          </w:p>
        </w:tc>
      </w:tr>
      <w:tr w:rsidR="00EB74A4" w:rsidRPr="00EB74A4" w14:paraId="4BF1DDE5" w14:textId="77777777" w:rsidTr="00EB74A4">
        <w:trPr>
          <w:trHeight w:val="276"/>
        </w:trPr>
        <w:tc>
          <w:tcPr>
            <w:tcW w:w="960" w:type="dxa"/>
            <w:vAlign w:val="center"/>
            <w:hideMark/>
          </w:tcPr>
          <w:p w14:paraId="7722A654" w14:textId="77777777" w:rsidR="00EB74A4" w:rsidRPr="00EB74A4" w:rsidRDefault="00EB74A4" w:rsidP="00EB74A4">
            <w:pPr>
              <w:pStyle w:val="ae"/>
              <w:rPr>
                <w:b w:val="0"/>
                <w:bCs/>
              </w:rPr>
            </w:pPr>
            <w:r w:rsidRPr="00EB74A4">
              <w:rPr>
                <w:rFonts w:hint="eastAsia"/>
                <w:b w:val="0"/>
                <w:bCs/>
              </w:rPr>
              <w:t>6.1.6</w:t>
            </w:r>
          </w:p>
        </w:tc>
        <w:tc>
          <w:tcPr>
            <w:tcW w:w="2040" w:type="dxa"/>
            <w:vAlign w:val="center"/>
            <w:hideMark/>
          </w:tcPr>
          <w:p w14:paraId="0753DC08" w14:textId="77777777" w:rsidR="00EB74A4" w:rsidRPr="00EB74A4" w:rsidRDefault="00EB74A4" w:rsidP="00EB74A4">
            <w:pPr>
              <w:pStyle w:val="ae"/>
              <w:rPr>
                <w:b w:val="0"/>
                <w:bCs/>
              </w:rPr>
            </w:pPr>
            <w:r w:rsidRPr="00EB74A4">
              <w:rPr>
                <w:rFonts w:hint="eastAsia"/>
                <w:b w:val="0"/>
                <w:bCs/>
              </w:rPr>
              <w:t>信息网络系统</w:t>
            </w:r>
          </w:p>
        </w:tc>
        <w:tc>
          <w:tcPr>
            <w:tcW w:w="11540" w:type="dxa"/>
            <w:vAlign w:val="center"/>
            <w:hideMark/>
          </w:tcPr>
          <w:p w14:paraId="372CC798" w14:textId="77777777" w:rsidR="00EB74A4" w:rsidRPr="00EB74A4" w:rsidRDefault="00EB74A4" w:rsidP="00EB74A4">
            <w:pPr>
              <w:pStyle w:val="ae"/>
              <w:rPr>
                <w:b w:val="0"/>
                <w:bCs/>
              </w:rPr>
            </w:pPr>
            <w:r w:rsidRPr="00EB74A4">
              <w:rPr>
                <w:rFonts w:hint="eastAsia"/>
                <w:b w:val="0"/>
                <w:bCs/>
              </w:rPr>
              <w:t>相关竣工图（含智能化系统工程专项深化设计竣工图纸）、施工变更文件、验收报告、运行记录，组织现场查勘</w:t>
            </w:r>
          </w:p>
        </w:tc>
      </w:tr>
      <w:tr w:rsidR="00EB74A4" w:rsidRPr="00EB74A4" w14:paraId="03710F35" w14:textId="77777777" w:rsidTr="00EB74A4">
        <w:trPr>
          <w:trHeight w:val="276"/>
        </w:trPr>
        <w:tc>
          <w:tcPr>
            <w:tcW w:w="960" w:type="dxa"/>
            <w:vAlign w:val="center"/>
            <w:hideMark/>
          </w:tcPr>
          <w:p w14:paraId="18DA8591" w14:textId="77777777" w:rsidR="00EB74A4" w:rsidRPr="00EB74A4" w:rsidRDefault="00EB74A4" w:rsidP="00EB74A4">
            <w:pPr>
              <w:pStyle w:val="ae"/>
              <w:rPr>
                <w:b w:val="0"/>
                <w:bCs/>
              </w:rPr>
            </w:pPr>
            <w:r w:rsidRPr="00EB74A4">
              <w:rPr>
                <w:rFonts w:hint="eastAsia"/>
                <w:b w:val="0"/>
                <w:bCs/>
              </w:rPr>
              <w:t>6.1.7</w:t>
            </w:r>
          </w:p>
        </w:tc>
        <w:tc>
          <w:tcPr>
            <w:tcW w:w="2040" w:type="dxa"/>
            <w:vAlign w:val="center"/>
            <w:hideMark/>
          </w:tcPr>
          <w:p w14:paraId="1242CA52" w14:textId="77777777" w:rsidR="00EB74A4" w:rsidRPr="00EB74A4" w:rsidRDefault="00EB74A4" w:rsidP="00EB74A4">
            <w:pPr>
              <w:pStyle w:val="ae"/>
              <w:rPr>
                <w:b w:val="0"/>
                <w:bCs/>
              </w:rPr>
            </w:pPr>
            <w:r w:rsidRPr="00EB74A4">
              <w:rPr>
                <w:rFonts w:hint="eastAsia"/>
                <w:b w:val="0"/>
                <w:bCs/>
              </w:rPr>
              <w:t>标识系统</w:t>
            </w:r>
          </w:p>
        </w:tc>
        <w:tc>
          <w:tcPr>
            <w:tcW w:w="11540" w:type="dxa"/>
            <w:vAlign w:val="center"/>
            <w:hideMark/>
          </w:tcPr>
          <w:p w14:paraId="27585992" w14:textId="77777777" w:rsidR="00EB74A4" w:rsidRPr="00EB74A4" w:rsidRDefault="00EB74A4" w:rsidP="00EB74A4">
            <w:pPr>
              <w:pStyle w:val="ae"/>
              <w:rPr>
                <w:b w:val="0"/>
                <w:bCs/>
              </w:rPr>
            </w:pPr>
            <w:r w:rsidRPr="00EB74A4">
              <w:rPr>
                <w:rFonts w:hint="eastAsia"/>
                <w:b w:val="0"/>
                <w:bCs/>
              </w:rPr>
              <w:t>查阅相关竣工图</w:t>
            </w:r>
            <w:r w:rsidRPr="00EB74A4">
              <w:rPr>
                <w:rFonts w:hint="eastAsia"/>
                <w:b w:val="0"/>
                <w:bCs/>
              </w:rPr>
              <w:t>(</w:t>
            </w:r>
            <w:r w:rsidRPr="00EB74A4">
              <w:rPr>
                <w:rFonts w:hint="eastAsia"/>
                <w:b w:val="0"/>
                <w:bCs/>
              </w:rPr>
              <w:t>含设计说明、车库划线图、建筑与环境标识系统图</w:t>
            </w:r>
            <w:r w:rsidRPr="00EB74A4">
              <w:rPr>
                <w:rFonts w:hint="eastAsia"/>
                <w:b w:val="0"/>
                <w:bCs/>
              </w:rPr>
              <w:t>)</w:t>
            </w:r>
            <w:r w:rsidRPr="00EB74A4">
              <w:rPr>
                <w:rFonts w:hint="eastAsia"/>
                <w:b w:val="0"/>
                <w:bCs/>
              </w:rPr>
              <w:t>、现场实景影像资料，并现场查勘</w:t>
            </w:r>
          </w:p>
        </w:tc>
      </w:tr>
      <w:tr w:rsidR="00EB74A4" w:rsidRPr="00EB74A4" w14:paraId="35FE3A12" w14:textId="77777777" w:rsidTr="00EB74A4">
        <w:trPr>
          <w:trHeight w:val="276"/>
        </w:trPr>
        <w:tc>
          <w:tcPr>
            <w:tcW w:w="960" w:type="dxa"/>
            <w:vAlign w:val="center"/>
            <w:hideMark/>
          </w:tcPr>
          <w:p w14:paraId="23611D93" w14:textId="77777777" w:rsidR="00EB74A4" w:rsidRPr="00EB74A4" w:rsidRDefault="00EB74A4" w:rsidP="00EB74A4">
            <w:pPr>
              <w:pStyle w:val="ae"/>
              <w:rPr>
                <w:b w:val="0"/>
                <w:bCs/>
              </w:rPr>
            </w:pPr>
            <w:r w:rsidRPr="00EB74A4">
              <w:rPr>
                <w:rFonts w:hint="eastAsia"/>
                <w:b w:val="0"/>
                <w:bCs/>
              </w:rPr>
              <w:t>6.2.1</w:t>
            </w:r>
          </w:p>
        </w:tc>
        <w:tc>
          <w:tcPr>
            <w:tcW w:w="2040" w:type="dxa"/>
            <w:vAlign w:val="center"/>
            <w:hideMark/>
          </w:tcPr>
          <w:p w14:paraId="5FB86884" w14:textId="77777777" w:rsidR="00EB74A4" w:rsidRPr="00EB74A4" w:rsidRDefault="00EB74A4" w:rsidP="00EB74A4">
            <w:pPr>
              <w:pStyle w:val="ae"/>
              <w:rPr>
                <w:b w:val="0"/>
                <w:bCs/>
              </w:rPr>
            </w:pPr>
            <w:r w:rsidRPr="00EB74A4">
              <w:rPr>
                <w:rFonts w:hint="eastAsia"/>
                <w:b w:val="0"/>
                <w:bCs/>
              </w:rPr>
              <w:t>公共交通站点</w:t>
            </w:r>
          </w:p>
        </w:tc>
        <w:tc>
          <w:tcPr>
            <w:tcW w:w="11540" w:type="dxa"/>
            <w:vAlign w:val="center"/>
            <w:hideMark/>
          </w:tcPr>
          <w:p w14:paraId="408E812C" w14:textId="77777777" w:rsidR="00EB74A4" w:rsidRPr="00EB74A4" w:rsidRDefault="00EB74A4" w:rsidP="00EB74A4">
            <w:pPr>
              <w:pStyle w:val="ae"/>
              <w:rPr>
                <w:b w:val="0"/>
                <w:bCs/>
              </w:rPr>
            </w:pPr>
            <w:r w:rsidRPr="00EB74A4">
              <w:rPr>
                <w:rFonts w:hint="eastAsia"/>
                <w:b w:val="0"/>
                <w:bCs/>
              </w:rPr>
              <w:t>相关竣工图、位置距离的标识地图和现场影像资料，并现场查勘</w:t>
            </w:r>
          </w:p>
        </w:tc>
      </w:tr>
      <w:tr w:rsidR="00EB74A4" w:rsidRPr="00EB74A4" w14:paraId="668084BF" w14:textId="77777777" w:rsidTr="00EB74A4">
        <w:trPr>
          <w:trHeight w:val="276"/>
        </w:trPr>
        <w:tc>
          <w:tcPr>
            <w:tcW w:w="960" w:type="dxa"/>
            <w:vAlign w:val="center"/>
            <w:hideMark/>
          </w:tcPr>
          <w:p w14:paraId="75068A25" w14:textId="77777777" w:rsidR="00EB74A4" w:rsidRPr="00EB74A4" w:rsidRDefault="00EB74A4" w:rsidP="00EB74A4">
            <w:pPr>
              <w:pStyle w:val="ae"/>
              <w:rPr>
                <w:b w:val="0"/>
                <w:bCs/>
              </w:rPr>
            </w:pPr>
            <w:r w:rsidRPr="00EB74A4">
              <w:rPr>
                <w:rFonts w:hint="eastAsia"/>
                <w:b w:val="0"/>
                <w:bCs/>
              </w:rPr>
              <w:t>6.2.2</w:t>
            </w:r>
          </w:p>
        </w:tc>
        <w:tc>
          <w:tcPr>
            <w:tcW w:w="2040" w:type="dxa"/>
            <w:vAlign w:val="center"/>
            <w:hideMark/>
          </w:tcPr>
          <w:p w14:paraId="16EEA3D5" w14:textId="77777777" w:rsidR="00EB74A4" w:rsidRPr="00EB74A4" w:rsidRDefault="00EB74A4" w:rsidP="00EB74A4">
            <w:pPr>
              <w:pStyle w:val="ae"/>
              <w:rPr>
                <w:b w:val="0"/>
                <w:bCs/>
              </w:rPr>
            </w:pPr>
            <w:r w:rsidRPr="00EB74A4">
              <w:rPr>
                <w:rFonts w:hint="eastAsia"/>
                <w:b w:val="0"/>
                <w:bCs/>
              </w:rPr>
              <w:t>室内外公共区域</w:t>
            </w:r>
          </w:p>
        </w:tc>
        <w:tc>
          <w:tcPr>
            <w:tcW w:w="11540" w:type="dxa"/>
            <w:vAlign w:val="center"/>
            <w:hideMark/>
          </w:tcPr>
          <w:p w14:paraId="5C0FD58E" w14:textId="77777777" w:rsidR="00EB74A4" w:rsidRPr="00EB74A4" w:rsidRDefault="00EB74A4" w:rsidP="00EB74A4">
            <w:pPr>
              <w:pStyle w:val="ae"/>
              <w:rPr>
                <w:b w:val="0"/>
                <w:bCs/>
              </w:rPr>
            </w:pPr>
            <w:r w:rsidRPr="00EB74A4">
              <w:rPr>
                <w:rFonts w:hint="eastAsia"/>
                <w:b w:val="0"/>
                <w:bCs/>
              </w:rPr>
              <w:t>相关竣工图和现场实景影像，组织现场查勘</w:t>
            </w:r>
          </w:p>
        </w:tc>
      </w:tr>
      <w:tr w:rsidR="00EB74A4" w:rsidRPr="00EB74A4" w14:paraId="0D52B934" w14:textId="77777777" w:rsidTr="00EB74A4">
        <w:trPr>
          <w:trHeight w:val="552"/>
        </w:trPr>
        <w:tc>
          <w:tcPr>
            <w:tcW w:w="960" w:type="dxa"/>
            <w:vAlign w:val="center"/>
            <w:hideMark/>
          </w:tcPr>
          <w:p w14:paraId="6B717D42" w14:textId="77777777" w:rsidR="00EB74A4" w:rsidRPr="00EB74A4" w:rsidRDefault="00EB74A4" w:rsidP="00EB74A4">
            <w:pPr>
              <w:pStyle w:val="ae"/>
              <w:rPr>
                <w:b w:val="0"/>
                <w:bCs/>
              </w:rPr>
            </w:pPr>
            <w:r w:rsidRPr="00EB74A4">
              <w:rPr>
                <w:rFonts w:hint="eastAsia"/>
                <w:b w:val="0"/>
                <w:bCs/>
              </w:rPr>
              <w:lastRenderedPageBreak/>
              <w:t>6.2.3</w:t>
            </w:r>
          </w:p>
        </w:tc>
        <w:tc>
          <w:tcPr>
            <w:tcW w:w="2040" w:type="dxa"/>
            <w:vAlign w:val="center"/>
            <w:hideMark/>
          </w:tcPr>
          <w:p w14:paraId="7BDF4010" w14:textId="77777777" w:rsidR="00EB74A4" w:rsidRPr="00EB74A4" w:rsidRDefault="00EB74A4" w:rsidP="00EB74A4">
            <w:pPr>
              <w:pStyle w:val="ae"/>
              <w:rPr>
                <w:b w:val="0"/>
                <w:bCs/>
              </w:rPr>
            </w:pPr>
            <w:r w:rsidRPr="00EB74A4">
              <w:rPr>
                <w:rFonts w:hint="eastAsia"/>
                <w:b w:val="0"/>
                <w:bCs/>
              </w:rPr>
              <w:t>公共服务</w:t>
            </w:r>
          </w:p>
        </w:tc>
        <w:tc>
          <w:tcPr>
            <w:tcW w:w="11540" w:type="dxa"/>
            <w:vAlign w:val="center"/>
            <w:hideMark/>
          </w:tcPr>
          <w:p w14:paraId="3EA9A604" w14:textId="77777777" w:rsidR="00EB74A4" w:rsidRPr="00EB74A4" w:rsidRDefault="00EB74A4" w:rsidP="00EB74A4">
            <w:pPr>
              <w:pStyle w:val="ae"/>
              <w:rPr>
                <w:b w:val="0"/>
                <w:bCs/>
              </w:rPr>
            </w:pPr>
            <w:r w:rsidRPr="00EB74A4">
              <w:rPr>
                <w:rFonts w:hint="eastAsia"/>
                <w:b w:val="0"/>
                <w:bCs/>
              </w:rPr>
              <w:t>相关内容的竣工文件，</w:t>
            </w:r>
            <w:r w:rsidRPr="00EB74A4">
              <w:rPr>
                <w:rFonts w:hint="eastAsia"/>
                <w:b w:val="0"/>
                <w:bCs/>
              </w:rPr>
              <w:br/>
            </w:r>
            <w:r w:rsidRPr="00EB74A4">
              <w:rPr>
                <w:rFonts w:hint="eastAsia"/>
                <w:b w:val="0"/>
                <w:bCs/>
              </w:rPr>
              <w:t>投入使用的项目：设施向社会共享的管理办法、实施方案、使用说明、工作记录和现场实景影像等，并组织现场查勘。</w:t>
            </w:r>
          </w:p>
        </w:tc>
      </w:tr>
      <w:tr w:rsidR="00EB74A4" w:rsidRPr="00EB74A4" w14:paraId="57AE6E13" w14:textId="77777777" w:rsidTr="00EB74A4">
        <w:trPr>
          <w:trHeight w:val="276"/>
        </w:trPr>
        <w:tc>
          <w:tcPr>
            <w:tcW w:w="960" w:type="dxa"/>
            <w:vAlign w:val="center"/>
            <w:hideMark/>
          </w:tcPr>
          <w:p w14:paraId="3997B9E3" w14:textId="77777777" w:rsidR="00EB74A4" w:rsidRPr="00EB74A4" w:rsidRDefault="00EB74A4" w:rsidP="00EB74A4">
            <w:pPr>
              <w:pStyle w:val="ae"/>
              <w:rPr>
                <w:b w:val="0"/>
                <w:bCs/>
              </w:rPr>
            </w:pPr>
            <w:r w:rsidRPr="00EB74A4">
              <w:rPr>
                <w:rFonts w:hint="eastAsia"/>
                <w:b w:val="0"/>
                <w:bCs/>
              </w:rPr>
              <w:t>6.2.4</w:t>
            </w:r>
          </w:p>
        </w:tc>
        <w:tc>
          <w:tcPr>
            <w:tcW w:w="2040" w:type="dxa"/>
            <w:vAlign w:val="center"/>
            <w:hideMark/>
          </w:tcPr>
          <w:p w14:paraId="0CC30393" w14:textId="77777777" w:rsidR="00EB74A4" w:rsidRPr="00EB74A4" w:rsidRDefault="00EB74A4" w:rsidP="00EB74A4">
            <w:pPr>
              <w:pStyle w:val="ae"/>
              <w:rPr>
                <w:b w:val="0"/>
                <w:bCs/>
              </w:rPr>
            </w:pPr>
            <w:r w:rsidRPr="00EB74A4">
              <w:rPr>
                <w:rFonts w:hint="eastAsia"/>
                <w:b w:val="0"/>
                <w:bCs/>
              </w:rPr>
              <w:t>城市开敞空间</w:t>
            </w:r>
          </w:p>
        </w:tc>
        <w:tc>
          <w:tcPr>
            <w:tcW w:w="11540" w:type="dxa"/>
            <w:vAlign w:val="center"/>
            <w:hideMark/>
          </w:tcPr>
          <w:p w14:paraId="306CC42B" w14:textId="77777777" w:rsidR="00EB74A4" w:rsidRPr="00EB74A4" w:rsidRDefault="00EB74A4" w:rsidP="00EB74A4">
            <w:pPr>
              <w:pStyle w:val="ae"/>
              <w:rPr>
                <w:b w:val="0"/>
                <w:bCs/>
              </w:rPr>
            </w:pPr>
            <w:r w:rsidRPr="00EB74A4">
              <w:rPr>
                <w:rFonts w:hint="eastAsia"/>
                <w:b w:val="0"/>
                <w:bCs/>
              </w:rPr>
              <w:t>相关内容的竣工文件、步行路线图及开敞空间出入口影像资料，或进行现场实地查勘</w:t>
            </w:r>
          </w:p>
        </w:tc>
      </w:tr>
      <w:tr w:rsidR="00EB74A4" w:rsidRPr="00EB74A4" w14:paraId="230FAA6E" w14:textId="77777777" w:rsidTr="00EB74A4">
        <w:trPr>
          <w:trHeight w:val="276"/>
        </w:trPr>
        <w:tc>
          <w:tcPr>
            <w:tcW w:w="960" w:type="dxa"/>
            <w:vAlign w:val="center"/>
            <w:hideMark/>
          </w:tcPr>
          <w:p w14:paraId="59C1C18B" w14:textId="77777777" w:rsidR="00EB74A4" w:rsidRPr="00EB74A4" w:rsidRDefault="00EB74A4" w:rsidP="00EB74A4">
            <w:pPr>
              <w:pStyle w:val="ae"/>
              <w:rPr>
                <w:b w:val="0"/>
                <w:bCs/>
              </w:rPr>
            </w:pPr>
            <w:r w:rsidRPr="00EB74A4">
              <w:rPr>
                <w:rFonts w:hint="eastAsia"/>
                <w:b w:val="0"/>
                <w:bCs/>
              </w:rPr>
              <w:t>6.2.5</w:t>
            </w:r>
          </w:p>
        </w:tc>
        <w:tc>
          <w:tcPr>
            <w:tcW w:w="2040" w:type="dxa"/>
            <w:vAlign w:val="center"/>
            <w:hideMark/>
          </w:tcPr>
          <w:p w14:paraId="792AC7E3" w14:textId="77777777" w:rsidR="00EB74A4" w:rsidRPr="00EB74A4" w:rsidRDefault="00EB74A4" w:rsidP="00EB74A4">
            <w:pPr>
              <w:pStyle w:val="ae"/>
              <w:rPr>
                <w:b w:val="0"/>
                <w:bCs/>
              </w:rPr>
            </w:pPr>
            <w:r w:rsidRPr="00EB74A4">
              <w:rPr>
                <w:rFonts w:hint="eastAsia"/>
                <w:b w:val="0"/>
                <w:bCs/>
              </w:rPr>
              <w:t>健身场地和空间</w:t>
            </w:r>
          </w:p>
        </w:tc>
        <w:tc>
          <w:tcPr>
            <w:tcW w:w="11540" w:type="dxa"/>
            <w:vAlign w:val="center"/>
            <w:hideMark/>
          </w:tcPr>
          <w:p w14:paraId="794339DC" w14:textId="77777777" w:rsidR="00EB74A4" w:rsidRPr="00EB74A4" w:rsidRDefault="00EB74A4" w:rsidP="00EB74A4">
            <w:pPr>
              <w:pStyle w:val="ae"/>
              <w:rPr>
                <w:b w:val="0"/>
                <w:bCs/>
              </w:rPr>
            </w:pPr>
            <w:r w:rsidRPr="00EB74A4">
              <w:rPr>
                <w:rFonts w:hint="eastAsia"/>
                <w:b w:val="0"/>
                <w:bCs/>
              </w:rPr>
              <w:t>相关竣工文件，相关产品说明书及现场实景影像资料，组织现场查勘。</w:t>
            </w:r>
          </w:p>
        </w:tc>
      </w:tr>
      <w:tr w:rsidR="00EB74A4" w:rsidRPr="00EB74A4" w14:paraId="57768CBE" w14:textId="77777777" w:rsidTr="00EB74A4">
        <w:trPr>
          <w:trHeight w:val="276"/>
        </w:trPr>
        <w:tc>
          <w:tcPr>
            <w:tcW w:w="960" w:type="dxa"/>
            <w:vAlign w:val="center"/>
            <w:hideMark/>
          </w:tcPr>
          <w:p w14:paraId="2B09FB07" w14:textId="77777777" w:rsidR="00EB74A4" w:rsidRPr="00EB74A4" w:rsidRDefault="00EB74A4" w:rsidP="00EB74A4">
            <w:pPr>
              <w:pStyle w:val="ae"/>
              <w:rPr>
                <w:b w:val="0"/>
                <w:bCs/>
              </w:rPr>
            </w:pPr>
            <w:r w:rsidRPr="00EB74A4">
              <w:rPr>
                <w:rFonts w:hint="eastAsia"/>
                <w:b w:val="0"/>
                <w:bCs/>
              </w:rPr>
              <w:t>6.2.6</w:t>
            </w:r>
          </w:p>
        </w:tc>
        <w:tc>
          <w:tcPr>
            <w:tcW w:w="2040" w:type="dxa"/>
            <w:vAlign w:val="center"/>
            <w:hideMark/>
          </w:tcPr>
          <w:p w14:paraId="38F016CE" w14:textId="77777777" w:rsidR="00EB74A4" w:rsidRPr="00EB74A4" w:rsidRDefault="00EB74A4" w:rsidP="00EB74A4">
            <w:pPr>
              <w:pStyle w:val="ae"/>
              <w:rPr>
                <w:b w:val="0"/>
                <w:bCs/>
              </w:rPr>
            </w:pPr>
            <w:r w:rsidRPr="00EB74A4">
              <w:rPr>
                <w:rFonts w:hint="eastAsia"/>
                <w:b w:val="0"/>
                <w:bCs/>
              </w:rPr>
              <w:t>急救医疗措施</w:t>
            </w:r>
          </w:p>
        </w:tc>
        <w:tc>
          <w:tcPr>
            <w:tcW w:w="11540" w:type="dxa"/>
            <w:vAlign w:val="center"/>
            <w:hideMark/>
          </w:tcPr>
          <w:p w14:paraId="6DA7BFD0" w14:textId="77777777" w:rsidR="00EB74A4" w:rsidRPr="00EB74A4" w:rsidRDefault="00EB74A4" w:rsidP="00EB74A4">
            <w:pPr>
              <w:pStyle w:val="ae"/>
              <w:rPr>
                <w:b w:val="0"/>
                <w:bCs/>
              </w:rPr>
            </w:pPr>
            <w:r w:rsidRPr="00EB74A4">
              <w:rPr>
                <w:rFonts w:hint="eastAsia"/>
                <w:b w:val="0"/>
                <w:bCs/>
              </w:rPr>
              <w:t>竣工文件（设备放置位置图）、物业人员的培训记录、相关产品说明书及现场实物影像，组织现场查勘</w:t>
            </w:r>
          </w:p>
        </w:tc>
      </w:tr>
      <w:tr w:rsidR="00EB74A4" w:rsidRPr="00EB74A4" w14:paraId="231EC17E" w14:textId="77777777" w:rsidTr="00EB74A4">
        <w:trPr>
          <w:trHeight w:val="276"/>
        </w:trPr>
        <w:tc>
          <w:tcPr>
            <w:tcW w:w="960" w:type="dxa"/>
            <w:vAlign w:val="center"/>
            <w:hideMark/>
          </w:tcPr>
          <w:p w14:paraId="7A022A5D" w14:textId="77777777" w:rsidR="00EB74A4" w:rsidRPr="00EB74A4" w:rsidRDefault="00EB74A4" w:rsidP="00EB74A4">
            <w:pPr>
              <w:pStyle w:val="ae"/>
              <w:rPr>
                <w:b w:val="0"/>
                <w:bCs/>
              </w:rPr>
            </w:pPr>
            <w:r w:rsidRPr="00EB74A4">
              <w:rPr>
                <w:rFonts w:hint="eastAsia"/>
                <w:b w:val="0"/>
                <w:bCs/>
              </w:rPr>
              <w:t>6.2.7</w:t>
            </w:r>
          </w:p>
        </w:tc>
        <w:tc>
          <w:tcPr>
            <w:tcW w:w="2040" w:type="dxa"/>
            <w:vAlign w:val="center"/>
            <w:hideMark/>
          </w:tcPr>
          <w:p w14:paraId="40202DB8" w14:textId="77777777" w:rsidR="00EB74A4" w:rsidRPr="00EB74A4" w:rsidRDefault="00EB74A4" w:rsidP="00EB74A4">
            <w:pPr>
              <w:pStyle w:val="ae"/>
              <w:rPr>
                <w:b w:val="0"/>
                <w:bCs/>
              </w:rPr>
            </w:pPr>
            <w:r w:rsidRPr="00EB74A4">
              <w:rPr>
                <w:rFonts w:hint="eastAsia"/>
                <w:b w:val="0"/>
                <w:bCs/>
              </w:rPr>
              <w:t>自动远传计量系统</w:t>
            </w:r>
          </w:p>
        </w:tc>
        <w:tc>
          <w:tcPr>
            <w:tcW w:w="11540" w:type="dxa"/>
            <w:vAlign w:val="center"/>
            <w:hideMark/>
          </w:tcPr>
          <w:p w14:paraId="2D86B01B" w14:textId="77777777" w:rsidR="00EB74A4" w:rsidRPr="00EB74A4" w:rsidRDefault="00EB74A4" w:rsidP="00EB74A4">
            <w:pPr>
              <w:pStyle w:val="ae"/>
              <w:rPr>
                <w:b w:val="0"/>
                <w:bCs/>
              </w:rPr>
            </w:pPr>
            <w:r w:rsidRPr="00EB74A4">
              <w:rPr>
                <w:rFonts w:hint="eastAsia"/>
                <w:b w:val="0"/>
                <w:bCs/>
              </w:rPr>
              <w:t>查阅相关竣工图、产品型式检验报告，投入使用的项目尚应查阅管理制度、历史监测数据、运行记录</w:t>
            </w:r>
          </w:p>
        </w:tc>
      </w:tr>
      <w:tr w:rsidR="00EB74A4" w:rsidRPr="00EB74A4" w14:paraId="55343709" w14:textId="77777777" w:rsidTr="00EB74A4">
        <w:trPr>
          <w:trHeight w:val="276"/>
        </w:trPr>
        <w:tc>
          <w:tcPr>
            <w:tcW w:w="960" w:type="dxa"/>
            <w:vAlign w:val="center"/>
            <w:hideMark/>
          </w:tcPr>
          <w:p w14:paraId="6DF1D5C3" w14:textId="77777777" w:rsidR="00EB74A4" w:rsidRPr="00EB74A4" w:rsidRDefault="00EB74A4" w:rsidP="00EB74A4">
            <w:pPr>
              <w:pStyle w:val="ae"/>
              <w:rPr>
                <w:b w:val="0"/>
                <w:bCs/>
              </w:rPr>
            </w:pPr>
            <w:r w:rsidRPr="00EB74A4">
              <w:rPr>
                <w:rFonts w:hint="eastAsia"/>
                <w:b w:val="0"/>
                <w:bCs/>
              </w:rPr>
              <w:t>6.2.8</w:t>
            </w:r>
          </w:p>
        </w:tc>
        <w:tc>
          <w:tcPr>
            <w:tcW w:w="2040" w:type="dxa"/>
            <w:vAlign w:val="center"/>
            <w:hideMark/>
          </w:tcPr>
          <w:p w14:paraId="71A2959E" w14:textId="77777777" w:rsidR="00EB74A4" w:rsidRPr="00EB74A4" w:rsidRDefault="00EB74A4" w:rsidP="00EB74A4">
            <w:pPr>
              <w:pStyle w:val="ae"/>
              <w:rPr>
                <w:b w:val="0"/>
                <w:bCs/>
              </w:rPr>
            </w:pPr>
            <w:r w:rsidRPr="00EB74A4">
              <w:rPr>
                <w:rFonts w:hint="eastAsia"/>
                <w:b w:val="0"/>
                <w:bCs/>
              </w:rPr>
              <w:t>空气质量监测系统</w:t>
            </w:r>
          </w:p>
        </w:tc>
        <w:tc>
          <w:tcPr>
            <w:tcW w:w="11540" w:type="dxa"/>
            <w:vAlign w:val="center"/>
            <w:hideMark/>
          </w:tcPr>
          <w:p w14:paraId="0552D14D" w14:textId="77777777" w:rsidR="00EB74A4" w:rsidRPr="00EB74A4" w:rsidRDefault="00EB74A4" w:rsidP="00EB74A4">
            <w:pPr>
              <w:pStyle w:val="ae"/>
              <w:rPr>
                <w:b w:val="0"/>
                <w:bCs/>
              </w:rPr>
            </w:pPr>
            <w:r w:rsidRPr="00EB74A4">
              <w:rPr>
                <w:rFonts w:hint="eastAsia"/>
                <w:b w:val="0"/>
                <w:bCs/>
              </w:rPr>
              <w:t>相关竣工图、产品型式检验报告，投入使用的项目尚应查阅管理制度、历史监测数据、运行记录</w:t>
            </w:r>
          </w:p>
        </w:tc>
      </w:tr>
      <w:tr w:rsidR="00EB74A4" w:rsidRPr="00EB74A4" w14:paraId="566C9193" w14:textId="77777777" w:rsidTr="00EB74A4">
        <w:trPr>
          <w:trHeight w:val="1104"/>
        </w:trPr>
        <w:tc>
          <w:tcPr>
            <w:tcW w:w="960" w:type="dxa"/>
            <w:vAlign w:val="center"/>
            <w:hideMark/>
          </w:tcPr>
          <w:p w14:paraId="4F3039B9" w14:textId="77777777" w:rsidR="00EB74A4" w:rsidRPr="00EB74A4" w:rsidRDefault="00EB74A4" w:rsidP="00EB74A4">
            <w:pPr>
              <w:pStyle w:val="ae"/>
              <w:rPr>
                <w:b w:val="0"/>
                <w:bCs/>
              </w:rPr>
            </w:pPr>
            <w:r w:rsidRPr="00EB74A4">
              <w:rPr>
                <w:rFonts w:hint="eastAsia"/>
                <w:b w:val="0"/>
                <w:bCs/>
              </w:rPr>
              <w:t>6.2.9</w:t>
            </w:r>
          </w:p>
        </w:tc>
        <w:tc>
          <w:tcPr>
            <w:tcW w:w="2040" w:type="dxa"/>
            <w:vAlign w:val="center"/>
            <w:hideMark/>
          </w:tcPr>
          <w:p w14:paraId="082345CD" w14:textId="77777777" w:rsidR="00EB74A4" w:rsidRPr="00EB74A4" w:rsidRDefault="00EB74A4" w:rsidP="00EB74A4">
            <w:pPr>
              <w:pStyle w:val="ae"/>
              <w:rPr>
                <w:b w:val="0"/>
                <w:bCs/>
              </w:rPr>
            </w:pPr>
            <w:r w:rsidRPr="00EB74A4">
              <w:rPr>
                <w:rFonts w:hint="eastAsia"/>
                <w:b w:val="0"/>
                <w:bCs/>
              </w:rPr>
              <w:t>水质监测</w:t>
            </w:r>
          </w:p>
        </w:tc>
        <w:tc>
          <w:tcPr>
            <w:tcW w:w="11540" w:type="dxa"/>
            <w:vAlign w:val="center"/>
            <w:hideMark/>
          </w:tcPr>
          <w:p w14:paraId="4C3989E9" w14:textId="77777777" w:rsidR="00EB74A4" w:rsidRPr="00EB74A4" w:rsidRDefault="00EB74A4" w:rsidP="00EB74A4">
            <w:pPr>
              <w:pStyle w:val="ae"/>
              <w:rPr>
                <w:b w:val="0"/>
                <w:bCs/>
              </w:rPr>
            </w:pPr>
            <w:r w:rsidRPr="00EB74A4">
              <w:rPr>
                <w:rFonts w:hint="eastAsia"/>
                <w:b w:val="0"/>
                <w:bCs/>
              </w:rPr>
              <w:t>设计文件（供水系统远传计量设计图纸、计量点位说明或示意图、水质监测系统设计图纸、监测点位说明或示意图）、监测与发布系统说明，远传水表或水质监测设备的型式检验报告。</w:t>
            </w:r>
            <w:r w:rsidRPr="00EB74A4">
              <w:rPr>
                <w:rFonts w:hint="eastAsia"/>
                <w:b w:val="0"/>
                <w:bCs/>
              </w:rPr>
              <w:br/>
            </w:r>
            <w:r w:rsidRPr="00EB74A4">
              <w:rPr>
                <w:rFonts w:hint="eastAsia"/>
                <w:b w:val="0"/>
                <w:bCs/>
              </w:rPr>
              <w:t>已投入使用的项目：用水量远传计量及水质在线监测的管理制度、历史监测数据、运行记录，用水量分类、分项计量记录及统计分析报告，管网漏损自动检测分析记录和整改报告</w:t>
            </w:r>
          </w:p>
        </w:tc>
      </w:tr>
      <w:tr w:rsidR="00EB74A4" w:rsidRPr="00EB74A4" w14:paraId="339C4CC9" w14:textId="77777777" w:rsidTr="00EB74A4">
        <w:trPr>
          <w:trHeight w:val="276"/>
        </w:trPr>
        <w:tc>
          <w:tcPr>
            <w:tcW w:w="960" w:type="dxa"/>
            <w:vAlign w:val="center"/>
            <w:hideMark/>
          </w:tcPr>
          <w:p w14:paraId="1E199DC1" w14:textId="77777777" w:rsidR="00EB74A4" w:rsidRPr="00EB74A4" w:rsidRDefault="00EB74A4" w:rsidP="00EB74A4">
            <w:pPr>
              <w:pStyle w:val="ae"/>
              <w:rPr>
                <w:b w:val="0"/>
                <w:bCs/>
              </w:rPr>
            </w:pPr>
            <w:r w:rsidRPr="00EB74A4">
              <w:rPr>
                <w:rFonts w:hint="eastAsia"/>
                <w:b w:val="0"/>
                <w:bCs/>
              </w:rPr>
              <w:t>6.2.10</w:t>
            </w:r>
          </w:p>
        </w:tc>
        <w:tc>
          <w:tcPr>
            <w:tcW w:w="2040" w:type="dxa"/>
            <w:vAlign w:val="center"/>
            <w:hideMark/>
          </w:tcPr>
          <w:p w14:paraId="57C5B76C" w14:textId="77777777" w:rsidR="00EB74A4" w:rsidRPr="00EB74A4" w:rsidRDefault="00EB74A4" w:rsidP="00EB74A4">
            <w:pPr>
              <w:pStyle w:val="ae"/>
              <w:rPr>
                <w:b w:val="0"/>
                <w:bCs/>
              </w:rPr>
            </w:pPr>
            <w:r w:rsidRPr="00EB74A4">
              <w:rPr>
                <w:rFonts w:hint="eastAsia"/>
                <w:b w:val="0"/>
                <w:bCs/>
              </w:rPr>
              <w:t>智能化服务系统</w:t>
            </w:r>
          </w:p>
        </w:tc>
        <w:tc>
          <w:tcPr>
            <w:tcW w:w="11540" w:type="dxa"/>
            <w:vAlign w:val="center"/>
            <w:hideMark/>
          </w:tcPr>
          <w:p w14:paraId="571AA0EB" w14:textId="77777777" w:rsidR="00EB74A4" w:rsidRPr="00EB74A4" w:rsidRDefault="00EB74A4" w:rsidP="00EB74A4">
            <w:pPr>
              <w:pStyle w:val="ae"/>
              <w:rPr>
                <w:b w:val="0"/>
                <w:bCs/>
              </w:rPr>
            </w:pPr>
            <w:r w:rsidRPr="00EB74A4">
              <w:rPr>
                <w:rFonts w:hint="eastAsia"/>
                <w:b w:val="0"/>
                <w:bCs/>
              </w:rPr>
              <w:t>相关竣工图、产品型式检验报告，投入使用的项目尚应查阅管理制度、历史监测数据、运行记录</w:t>
            </w:r>
          </w:p>
        </w:tc>
      </w:tr>
      <w:tr w:rsidR="00EB74A4" w:rsidRPr="00EB74A4" w14:paraId="739ACD92" w14:textId="77777777" w:rsidTr="00EB74A4">
        <w:trPr>
          <w:trHeight w:val="276"/>
        </w:trPr>
        <w:tc>
          <w:tcPr>
            <w:tcW w:w="960" w:type="dxa"/>
            <w:vAlign w:val="center"/>
            <w:hideMark/>
          </w:tcPr>
          <w:p w14:paraId="0E3A86B3" w14:textId="77777777" w:rsidR="00EB74A4" w:rsidRPr="00EB74A4" w:rsidRDefault="00EB74A4" w:rsidP="00EB74A4">
            <w:pPr>
              <w:pStyle w:val="ae"/>
              <w:rPr>
                <w:b w:val="0"/>
                <w:bCs/>
              </w:rPr>
            </w:pPr>
            <w:r w:rsidRPr="00EB74A4">
              <w:rPr>
                <w:rFonts w:hint="eastAsia"/>
                <w:b w:val="0"/>
                <w:bCs/>
              </w:rPr>
              <w:t>6.2.11</w:t>
            </w:r>
          </w:p>
        </w:tc>
        <w:tc>
          <w:tcPr>
            <w:tcW w:w="2040" w:type="dxa"/>
            <w:vAlign w:val="center"/>
            <w:hideMark/>
          </w:tcPr>
          <w:p w14:paraId="764E4609" w14:textId="77777777" w:rsidR="00EB74A4" w:rsidRPr="00EB74A4" w:rsidRDefault="00EB74A4" w:rsidP="00EB74A4">
            <w:pPr>
              <w:pStyle w:val="ae"/>
              <w:rPr>
                <w:b w:val="0"/>
                <w:bCs/>
              </w:rPr>
            </w:pPr>
            <w:r w:rsidRPr="00EB74A4">
              <w:rPr>
                <w:rFonts w:hint="eastAsia"/>
                <w:b w:val="0"/>
                <w:bCs/>
              </w:rPr>
              <w:t>节能节水等管理</w:t>
            </w:r>
          </w:p>
        </w:tc>
        <w:tc>
          <w:tcPr>
            <w:tcW w:w="11540" w:type="dxa"/>
            <w:vAlign w:val="center"/>
            <w:hideMark/>
          </w:tcPr>
          <w:p w14:paraId="33E1AC46" w14:textId="77777777" w:rsidR="00EB74A4" w:rsidRPr="00EB74A4" w:rsidRDefault="00EB74A4" w:rsidP="00EB74A4">
            <w:pPr>
              <w:pStyle w:val="ae"/>
              <w:rPr>
                <w:b w:val="0"/>
                <w:bCs/>
              </w:rPr>
            </w:pPr>
            <w:r w:rsidRPr="00EB74A4">
              <w:rPr>
                <w:rFonts w:hint="eastAsia"/>
                <w:b w:val="0"/>
                <w:bCs/>
              </w:rPr>
              <w:t>相关管理制度、操作规程、应急预案（含应急情况报告、应急处置报告）、运行记录</w:t>
            </w:r>
          </w:p>
        </w:tc>
      </w:tr>
      <w:tr w:rsidR="00EB74A4" w:rsidRPr="00EB74A4" w14:paraId="34A870C5" w14:textId="77777777" w:rsidTr="00EB74A4">
        <w:trPr>
          <w:trHeight w:val="276"/>
        </w:trPr>
        <w:tc>
          <w:tcPr>
            <w:tcW w:w="960" w:type="dxa"/>
            <w:vAlign w:val="center"/>
            <w:hideMark/>
          </w:tcPr>
          <w:p w14:paraId="14CD5992" w14:textId="77777777" w:rsidR="00EB74A4" w:rsidRPr="00EB74A4" w:rsidRDefault="00EB74A4" w:rsidP="00EB74A4">
            <w:pPr>
              <w:pStyle w:val="ae"/>
              <w:rPr>
                <w:b w:val="0"/>
                <w:bCs/>
              </w:rPr>
            </w:pPr>
            <w:r w:rsidRPr="00EB74A4">
              <w:rPr>
                <w:rFonts w:hint="eastAsia"/>
                <w:b w:val="0"/>
                <w:bCs/>
              </w:rPr>
              <w:t>6.2.12</w:t>
            </w:r>
          </w:p>
        </w:tc>
        <w:tc>
          <w:tcPr>
            <w:tcW w:w="2040" w:type="dxa"/>
            <w:vAlign w:val="center"/>
            <w:hideMark/>
          </w:tcPr>
          <w:p w14:paraId="24F1EF83" w14:textId="77777777" w:rsidR="00EB74A4" w:rsidRPr="00EB74A4" w:rsidRDefault="00EB74A4" w:rsidP="00EB74A4">
            <w:pPr>
              <w:pStyle w:val="ae"/>
              <w:rPr>
                <w:b w:val="0"/>
                <w:bCs/>
              </w:rPr>
            </w:pPr>
            <w:r w:rsidRPr="00EB74A4">
              <w:rPr>
                <w:rFonts w:hint="eastAsia"/>
                <w:b w:val="0"/>
                <w:bCs/>
              </w:rPr>
              <w:t>平均日用水量</w:t>
            </w:r>
          </w:p>
        </w:tc>
        <w:tc>
          <w:tcPr>
            <w:tcW w:w="11540" w:type="dxa"/>
            <w:vAlign w:val="center"/>
            <w:hideMark/>
          </w:tcPr>
          <w:p w14:paraId="707E3447" w14:textId="77777777" w:rsidR="00EB74A4" w:rsidRPr="00EB74A4" w:rsidRDefault="00EB74A4" w:rsidP="00EB74A4">
            <w:pPr>
              <w:pStyle w:val="ae"/>
              <w:rPr>
                <w:b w:val="0"/>
                <w:bCs/>
              </w:rPr>
            </w:pPr>
            <w:r w:rsidRPr="00EB74A4">
              <w:rPr>
                <w:rFonts w:hint="eastAsia"/>
                <w:b w:val="0"/>
                <w:bCs/>
              </w:rPr>
              <w:t>用水量计量报告和建筑平均日用水量计算书</w:t>
            </w:r>
          </w:p>
        </w:tc>
      </w:tr>
      <w:tr w:rsidR="00EB74A4" w:rsidRPr="00EB74A4" w14:paraId="508A72B2" w14:textId="77777777" w:rsidTr="00EB74A4">
        <w:trPr>
          <w:trHeight w:val="276"/>
        </w:trPr>
        <w:tc>
          <w:tcPr>
            <w:tcW w:w="960" w:type="dxa"/>
            <w:vAlign w:val="center"/>
            <w:hideMark/>
          </w:tcPr>
          <w:p w14:paraId="3CFAFB7A" w14:textId="77777777" w:rsidR="00EB74A4" w:rsidRPr="00EB74A4" w:rsidRDefault="00EB74A4" w:rsidP="00EB74A4">
            <w:pPr>
              <w:pStyle w:val="ae"/>
              <w:rPr>
                <w:b w:val="0"/>
                <w:bCs/>
              </w:rPr>
            </w:pPr>
            <w:r w:rsidRPr="00EB74A4">
              <w:rPr>
                <w:rFonts w:hint="eastAsia"/>
                <w:b w:val="0"/>
                <w:bCs/>
              </w:rPr>
              <w:t>6.2.13</w:t>
            </w:r>
          </w:p>
        </w:tc>
        <w:tc>
          <w:tcPr>
            <w:tcW w:w="2040" w:type="dxa"/>
            <w:vAlign w:val="center"/>
            <w:hideMark/>
          </w:tcPr>
          <w:p w14:paraId="038E3CDC" w14:textId="77777777" w:rsidR="00EB74A4" w:rsidRPr="00EB74A4" w:rsidRDefault="00EB74A4" w:rsidP="00EB74A4">
            <w:pPr>
              <w:pStyle w:val="ae"/>
              <w:rPr>
                <w:b w:val="0"/>
                <w:bCs/>
              </w:rPr>
            </w:pPr>
            <w:r w:rsidRPr="00EB74A4">
              <w:rPr>
                <w:rFonts w:hint="eastAsia"/>
                <w:b w:val="0"/>
                <w:bCs/>
              </w:rPr>
              <w:t>运营效果评估</w:t>
            </w:r>
          </w:p>
        </w:tc>
        <w:tc>
          <w:tcPr>
            <w:tcW w:w="11540" w:type="dxa"/>
            <w:vAlign w:val="center"/>
            <w:hideMark/>
          </w:tcPr>
          <w:p w14:paraId="02C1669E" w14:textId="77777777" w:rsidR="00EB74A4" w:rsidRPr="00EB74A4" w:rsidRDefault="00EB74A4" w:rsidP="00EB74A4">
            <w:pPr>
              <w:pStyle w:val="ae"/>
              <w:rPr>
                <w:b w:val="0"/>
                <w:bCs/>
              </w:rPr>
            </w:pPr>
            <w:r w:rsidRPr="00EB74A4">
              <w:rPr>
                <w:rFonts w:hint="eastAsia"/>
                <w:b w:val="0"/>
                <w:bCs/>
              </w:rPr>
              <w:t>相关管理制度、年度评估报告、历史监测数据、运行记录、检测报告（含水质检测报告）、诊断报告</w:t>
            </w:r>
          </w:p>
        </w:tc>
      </w:tr>
      <w:tr w:rsidR="00EB74A4" w:rsidRPr="00EB74A4" w14:paraId="7070D7D3" w14:textId="77777777" w:rsidTr="00EB74A4">
        <w:trPr>
          <w:trHeight w:val="276"/>
        </w:trPr>
        <w:tc>
          <w:tcPr>
            <w:tcW w:w="960" w:type="dxa"/>
            <w:vAlign w:val="center"/>
            <w:hideMark/>
          </w:tcPr>
          <w:p w14:paraId="6A5EF274" w14:textId="77777777" w:rsidR="00EB74A4" w:rsidRPr="00EB74A4" w:rsidRDefault="00EB74A4" w:rsidP="00EB74A4">
            <w:pPr>
              <w:pStyle w:val="ae"/>
              <w:rPr>
                <w:b w:val="0"/>
                <w:bCs/>
              </w:rPr>
            </w:pPr>
            <w:r w:rsidRPr="00EB74A4">
              <w:rPr>
                <w:rFonts w:hint="eastAsia"/>
                <w:b w:val="0"/>
                <w:bCs/>
              </w:rPr>
              <w:t>6.2.14</w:t>
            </w:r>
          </w:p>
        </w:tc>
        <w:tc>
          <w:tcPr>
            <w:tcW w:w="2040" w:type="dxa"/>
            <w:vAlign w:val="center"/>
            <w:hideMark/>
          </w:tcPr>
          <w:p w14:paraId="57882A2D" w14:textId="77777777" w:rsidR="00EB74A4" w:rsidRPr="00EB74A4" w:rsidRDefault="00EB74A4" w:rsidP="00EB74A4">
            <w:pPr>
              <w:pStyle w:val="ae"/>
              <w:rPr>
                <w:b w:val="0"/>
                <w:bCs/>
              </w:rPr>
            </w:pPr>
            <w:r w:rsidRPr="00EB74A4">
              <w:rPr>
                <w:rFonts w:hint="eastAsia"/>
                <w:b w:val="0"/>
                <w:bCs/>
              </w:rPr>
              <w:t>绿色教育宣</w:t>
            </w:r>
            <w:r w:rsidRPr="00EB74A4">
              <w:rPr>
                <w:rFonts w:hint="eastAsia"/>
                <w:b w:val="0"/>
                <w:bCs/>
              </w:rPr>
              <w:lastRenderedPageBreak/>
              <w:t>传</w:t>
            </w:r>
          </w:p>
        </w:tc>
        <w:tc>
          <w:tcPr>
            <w:tcW w:w="11540" w:type="dxa"/>
            <w:vAlign w:val="center"/>
            <w:hideMark/>
          </w:tcPr>
          <w:p w14:paraId="1DC6D89E" w14:textId="77777777" w:rsidR="00EB74A4" w:rsidRPr="00EB74A4" w:rsidRDefault="00EB74A4" w:rsidP="00EB74A4">
            <w:pPr>
              <w:pStyle w:val="ae"/>
              <w:rPr>
                <w:b w:val="0"/>
                <w:bCs/>
              </w:rPr>
            </w:pPr>
            <w:r w:rsidRPr="00EB74A4">
              <w:rPr>
                <w:rFonts w:hint="eastAsia"/>
                <w:b w:val="0"/>
                <w:bCs/>
              </w:rPr>
              <w:lastRenderedPageBreak/>
              <w:t>相关管理制度、工作记录、活动宣传和推送材料、绿色设施使用手</w:t>
            </w:r>
            <w:r w:rsidRPr="00EB74A4">
              <w:rPr>
                <w:rFonts w:hint="eastAsia"/>
                <w:b w:val="0"/>
                <w:bCs/>
              </w:rPr>
              <w:lastRenderedPageBreak/>
              <w:t>册、影像材料、年度调查报告及整改方案</w:t>
            </w:r>
          </w:p>
        </w:tc>
      </w:tr>
      <w:tr w:rsidR="00EB74A4" w:rsidRPr="00EB74A4" w14:paraId="02EBB669" w14:textId="77777777" w:rsidTr="00EB74A4">
        <w:trPr>
          <w:trHeight w:val="552"/>
        </w:trPr>
        <w:tc>
          <w:tcPr>
            <w:tcW w:w="960" w:type="dxa"/>
            <w:vAlign w:val="center"/>
            <w:hideMark/>
          </w:tcPr>
          <w:p w14:paraId="34149CDC" w14:textId="77777777" w:rsidR="00EB74A4" w:rsidRPr="00EB74A4" w:rsidRDefault="00EB74A4" w:rsidP="00EB74A4">
            <w:pPr>
              <w:pStyle w:val="ae"/>
              <w:rPr>
                <w:b w:val="0"/>
                <w:bCs/>
              </w:rPr>
            </w:pPr>
            <w:r w:rsidRPr="00EB74A4">
              <w:rPr>
                <w:rFonts w:hint="eastAsia"/>
                <w:b w:val="0"/>
                <w:bCs/>
              </w:rPr>
              <w:lastRenderedPageBreak/>
              <w:t>7.1.1</w:t>
            </w:r>
          </w:p>
        </w:tc>
        <w:tc>
          <w:tcPr>
            <w:tcW w:w="2040" w:type="dxa"/>
            <w:vAlign w:val="center"/>
            <w:hideMark/>
          </w:tcPr>
          <w:p w14:paraId="15D26A48" w14:textId="77777777" w:rsidR="00EB74A4" w:rsidRPr="00EB74A4" w:rsidRDefault="00EB74A4" w:rsidP="00EB74A4">
            <w:pPr>
              <w:pStyle w:val="ae"/>
              <w:rPr>
                <w:b w:val="0"/>
                <w:bCs/>
              </w:rPr>
            </w:pPr>
            <w:r w:rsidRPr="00EB74A4">
              <w:rPr>
                <w:rFonts w:hint="eastAsia"/>
                <w:b w:val="0"/>
                <w:bCs/>
              </w:rPr>
              <w:t>结合场地节能设计</w:t>
            </w:r>
          </w:p>
        </w:tc>
        <w:tc>
          <w:tcPr>
            <w:tcW w:w="11540" w:type="dxa"/>
            <w:vAlign w:val="center"/>
            <w:hideMark/>
          </w:tcPr>
          <w:p w14:paraId="44441523" w14:textId="77777777" w:rsidR="00EB74A4" w:rsidRPr="00EB74A4" w:rsidRDefault="00EB74A4" w:rsidP="00EB74A4">
            <w:pPr>
              <w:pStyle w:val="ae"/>
              <w:rPr>
                <w:b w:val="0"/>
                <w:bCs/>
              </w:rPr>
            </w:pPr>
            <w:r w:rsidRPr="00EB74A4">
              <w:rPr>
                <w:rFonts w:hint="eastAsia"/>
                <w:b w:val="0"/>
                <w:bCs/>
              </w:rPr>
              <w:t>设计文件审查报告、相关竣工图、节能计算书（含室内采光数值分析报告、室内风环境数值分析报告）、建筑日照模拟计算报告、优化设计报告、建筑朝向比例计算书。</w:t>
            </w:r>
          </w:p>
        </w:tc>
      </w:tr>
      <w:tr w:rsidR="00EB74A4" w:rsidRPr="00EB74A4" w14:paraId="103E106E" w14:textId="77777777" w:rsidTr="00EB74A4">
        <w:trPr>
          <w:trHeight w:val="276"/>
        </w:trPr>
        <w:tc>
          <w:tcPr>
            <w:tcW w:w="960" w:type="dxa"/>
            <w:vAlign w:val="center"/>
            <w:hideMark/>
          </w:tcPr>
          <w:p w14:paraId="27C193B1" w14:textId="77777777" w:rsidR="00EB74A4" w:rsidRPr="00EB74A4" w:rsidRDefault="00EB74A4" w:rsidP="00EB74A4">
            <w:pPr>
              <w:pStyle w:val="ae"/>
              <w:rPr>
                <w:b w:val="0"/>
                <w:bCs/>
              </w:rPr>
            </w:pPr>
            <w:r w:rsidRPr="00EB74A4">
              <w:rPr>
                <w:rFonts w:hint="eastAsia"/>
                <w:b w:val="0"/>
                <w:bCs/>
              </w:rPr>
              <w:t>7.1.2</w:t>
            </w:r>
          </w:p>
        </w:tc>
        <w:tc>
          <w:tcPr>
            <w:tcW w:w="2040" w:type="dxa"/>
            <w:vAlign w:val="center"/>
            <w:hideMark/>
          </w:tcPr>
          <w:p w14:paraId="484BB3F6" w14:textId="77777777" w:rsidR="00EB74A4" w:rsidRPr="00EB74A4" w:rsidRDefault="00EB74A4" w:rsidP="00EB74A4">
            <w:pPr>
              <w:pStyle w:val="ae"/>
              <w:rPr>
                <w:b w:val="0"/>
                <w:bCs/>
              </w:rPr>
            </w:pPr>
            <w:r w:rsidRPr="00EB74A4">
              <w:rPr>
                <w:rFonts w:hint="eastAsia"/>
                <w:b w:val="0"/>
                <w:bCs/>
              </w:rPr>
              <w:t>降低空调系统能耗</w:t>
            </w:r>
          </w:p>
        </w:tc>
        <w:tc>
          <w:tcPr>
            <w:tcW w:w="11540" w:type="dxa"/>
            <w:vAlign w:val="center"/>
            <w:hideMark/>
          </w:tcPr>
          <w:p w14:paraId="1B43B9DD" w14:textId="77777777" w:rsidR="00EB74A4" w:rsidRPr="00EB74A4" w:rsidRDefault="00EB74A4" w:rsidP="00EB74A4">
            <w:pPr>
              <w:pStyle w:val="ae"/>
              <w:rPr>
                <w:b w:val="0"/>
                <w:bCs/>
              </w:rPr>
            </w:pPr>
            <w:r w:rsidRPr="00EB74A4">
              <w:rPr>
                <w:rFonts w:hint="eastAsia"/>
                <w:b w:val="0"/>
                <w:bCs/>
              </w:rPr>
              <w:t>相关竣工图、冷源机组设备说明，组织现场查勘</w:t>
            </w:r>
          </w:p>
        </w:tc>
      </w:tr>
      <w:tr w:rsidR="00EB74A4" w:rsidRPr="00EB74A4" w14:paraId="309CCF80" w14:textId="77777777" w:rsidTr="00EB74A4">
        <w:trPr>
          <w:trHeight w:val="276"/>
        </w:trPr>
        <w:tc>
          <w:tcPr>
            <w:tcW w:w="960" w:type="dxa"/>
            <w:vAlign w:val="center"/>
            <w:hideMark/>
          </w:tcPr>
          <w:p w14:paraId="380907D4" w14:textId="77777777" w:rsidR="00EB74A4" w:rsidRPr="00EB74A4" w:rsidRDefault="00EB74A4" w:rsidP="00EB74A4">
            <w:pPr>
              <w:pStyle w:val="ae"/>
              <w:rPr>
                <w:b w:val="0"/>
                <w:bCs/>
              </w:rPr>
            </w:pPr>
            <w:r w:rsidRPr="00EB74A4">
              <w:rPr>
                <w:rFonts w:hint="eastAsia"/>
                <w:b w:val="0"/>
                <w:bCs/>
              </w:rPr>
              <w:t>7.1.3</w:t>
            </w:r>
          </w:p>
        </w:tc>
        <w:tc>
          <w:tcPr>
            <w:tcW w:w="2040" w:type="dxa"/>
            <w:vAlign w:val="center"/>
            <w:hideMark/>
          </w:tcPr>
          <w:p w14:paraId="4D7E2EE0" w14:textId="77777777" w:rsidR="00EB74A4" w:rsidRPr="00EB74A4" w:rsidRDefault="00EB74A4" w:rsidP="00EB74A4">
            <w:pPr>
              <w:pStyle w:val="ae"/>
              <w:rPr>
                <w:b w:val="0"/>
                <w:bCs/>
              </w:rPr>
            </w:pPr>
            <w:r w:rsidRPr="00EB74A4">
              <w:rPr>
                <w:rFonts w:hint="eastAsia"/>
                <w:b w:val="0"/>
                <w:bCs/>
              </w:rPr>
              <w:t>设置分区温度</w:t>
            </w:r>
          </w:p>
        </w:tc>
        <w:tc>
          <w:tcPr>
            <w:tcW w:w="11540" w:type="dxa"/>
            <w:vAlign w:val="center"/>
            <w:hideMark/>
          </w:tcPr>
          <w:p w14:paraId="7CD91F90" w14:textId="77777777" w:rsidR="00EB74A4" w:rsidRPr="00EB74A4" w:rsidRDefault="00EB74A4" w:rsidP="00EB74A4">
            <w:pPr>
              <w:pStyle w:val="ae"/>
              <w:rPr>
                <w:b w:val="0"/>
                <w:bCs/>
              </w:rPr>
            </w:pPr>
            <w:r w:rsidRPr="00EB74A4">
              <w:rPr>
                <w:rFonts w:hint="eastAsia"/>
                <w:b w:val="0"/>
                <w:bCs/>
              </w:rPr>
              <w:t>相关竣工图、计算书</w:t>
            </w:r>
          </w:p>
        </w:tc>
      </w:tr>
      <w:tr w:rsidR="00EB74A4" w:rsidRPr="00EB74A4" w14:paraId="385C58FB" w14:textId="77777777" w:rsidTr="00EB74A4">
        <w:trPr>
          <w:trHeight w:val="552"/>
        </w:trPr>
        <w:tc>
          <w:tcPr>
            <w:tcW w:w="960" w:type="dxa"/>
            <w:vAlign w:val="center"/>
            <w:hideMark/>
          </w:tcPr>
          <w:p w14:paraId="0AD12277" w14:textId="77777777" w:rsidR="00EB74A4" w:rsidRPr="00EB74A4" w:rsidRDefault="00EB74A4" w:rsidP="00EB74A4">
            <w:pPr>
              <w:pStyle w:val="ae"/>
              <w:rPr>
                <w:b w:val="0"/>
                <w:bCs/>
              </w:rPr>
            </w:pPr>
            <w:r w:rsidRPr="00EB74A4">
              <w:rPr>
                <w:rFonts w:hint="eastAsia"/>
                <w:b w:val="0"/>
                <w:bCs/>
              </w:rPr>
              <w:t>7.1.4</w:t>
            </w:r>
          </w:p>
        </w:tc>
        <w:tc>
          <w:tcPr>
            <w:tcW w:w="2040" w:type="dxa"/>
            <w:vAlign w:val="center"/>
            <w:hideMark/>
          </w:tcPr>
          <w:p w14:paraId="1423F537" w14:textId="77777777" w:rsidR="00EB74A4" w:rsidRPr="00EB74A4" w:rsidRDefault="00EB74A4" w:rsidP="00EB74A4">
            <w:pPr>
              <w:pStyle w:val="ae"/>
              <w:rPr>
                <w:b w:val="0"/>
                <w:bCs/>
              </w:rPr>
            </w:pPr>
            <w:r w:rsidRPr="00EB74A4">
              <w:rPr>
                <w:rFonts w:hint="eastAsia"/>
                <w:b w:val="0"/>
                <w:bCs/>
              </w:rPr>
              <w:t>照明系统</w:t>
            </w:r>
          </w:p>
        </w:tc>
        <w:tc>
          <w:tcPr>
            <w:tcW w:w="11540" w:type="dxa"/>
            <w:vAlign w:val="center"/>
            <w:hideMark/>
          </w:tcPr>
          <w:p w14:paraId="42830B7C" w14:textId="77777777" w:rsidR="00EB74A4" w:rsidRPr="00EB74A4" w:rsidRDefault="00EB74A4" w:rsidP="00EB74A4">
            <w:pPr>
              <w:pStyle w:val="ae"/>
              <w:rPr>
                <w:b w:val="0"/>
                <w:bCs/>
              </w:rPr>
            </w:pPr>
            <w:r w:rsidRPr="00EB74A4">
              <w:rPr>
                <w:rFonts w:hint="eastAsia"/>
                <w:b w:val="0"/>
                <w:bCs/>
              </w:rPr>
              <w:t>相关竣工图、设计说明</w:t>
            </w:r>
            <w:r w:rsidRPr="00EB74A4">
              <w:rPr>
                <w:rFonts w:hint="eastAsia"/>
                <w:b w:val="0"/>
                <w:bCs/>
              </w:rPr>
              <w:t>(</w:t>
            </w:r>
            <w:r w:rsidRPr="00EB74A4">
              <w:rPr>
                <w:rFonts w:hint="eastAsia"/>
                <w:b w:val="0"/>
                <w:bCs/>
              </w:rPr>
              <w:t>需包含照明设计要求、照明设计标准、照明控制措施等</w:t>
            </w:r>
            <w:r w:rsidRPr="00EB74A4">
              <w:rPr>
                <w:rFonts w:hint="eastAsia"/>
                <w:b w:val="0"/>
                <w:bCs/>
              </w:rPr>
              <w:t>)</w:t>
            </w:r>
            <w:r w:rsidRPr="00EB74A4">
              <w:rPr>
                <w:rFonts w:hint="eastAsia"/>
                <w:b w:val="0"/>
                <w:bCs/>
              </w:rPr>
              <w:t>、建筑照明功率密度检测报告，组织现场查勘</w:t>
            </w:r>
          </w:p>
        </w:tc>
      </w:tr>
      <w:tr w:rsidR="00EB74A4" w:rsidRPr="00EB74A4" w14:paraId="1095A213" w14:textId="77777777" w:rsidTr="00EB74A4">
        <w:trPr>
          <w:trHeight w:val="276"/>
        </w:trPr>
        <w:tc>
          <w:tcPr>
            <w:tcW w:w="960" w:type="dxa"/>
            <w:vAlign w:val="center"/>
            <w:hideMark/>
          </w:tcPr>
          <w:p w14:paraId="49CE7338" w14:textId="77777777" w:rsidR="00EB74A4" w:rsidRPr="00EB74A4" w:rsidRDefault="00EB74A4" w:rsidP="00EB74A4">
            <w:pPr>
              <w:pStyle w:val="ae"/>
              <w:rPr>
                <w:b w:val="0"/>
                <w:bCs/>
              </w:rPr>
            </w:pPr>
            <w:r w:rsidRPr="00EB74A4">
              <w:rPr>
                <w:rFonts w:hint="eastAsia"/>
                <w:b w:val="0"/>
                <w:bCs/>
              </w:rPr>
              <w:t>7.1.5</w:t>
            </w:r>
          </w:p>
        </w:tc>
        <w:tc>
          <w:tcPr>
            <w:tcW w:w="2040" w:type="dxa"/>
            <w:vAlign w:val="center"/>
            <w:hideMark/>
          </w:tcPr>
          <w:p w14:paraId="1027039D" w14:textId="77777777" w:rsidR="00EB74A4" w:rsidRPr="00EB74A4" w:rsidRDefault="00EB74A4" w:rsidP="00EB74A4">
            <w:pPr>
              <w:pStyle w:val="ae"/>
              <w:rPr>
                <w:b w:val="0"/>
                <w:bCs/>
              </w:rPr>
            </w:pPr>
            <w:r w:rsidRPr="00EB74A4">
              <w:rPr>
                <w:rFonts w:hint="eastAsia"/>
                <w:b w:val="0"/>
                <w:bCs/>
              </w:rPr>
              <w:t>独立分项计量</w:t>
            </w:r>
          </w:p>
        </w:tc>
        <w:tc>
          <w:tcPr>
            <w:tcW w:w="11540" w:type="dxa"/>
            <w:vAlign w:val="center"/>
            <w:hideMark/>
          </w:tcPr>
          <w:p w14:paraId="43C25076" w14:textId="77777777" w:rsidR="00EB74A4" w:rsidRPr="00EB74A4" w:rsidRDefault="00EB74A4" w:rsidP="00EB74A4">
            <w:pPr>
              <w:pStyle w:val="ae"/>
              <w:rPr>
                <w:b w:val="0"/>
                <w:bCs/>
              </w:rPr>
            </w:pPr>
            <w:r w:rsidRPr="00EB74A4">
              <w:rPr>
                <w:rFonts w:hint="eastAsia"/>
                <w:b w:val="0"/>
                <w:bCs/>
              </w:rPr>
              <w:t>相关竣工图、分项计量记录</w:t>
            </w:r>
          </w:p>
        </w:tc>
      </w:tr>
      <w:tr w:rsidR="00EB74A4" w:rsidRPr="00EB74A4" w14:paraId="008FF699" w14:textId="77777777" w:rsidTr="00EB74A4">
        <w:trPr>
          <w:trHeight w:val="276"/>
        </w:trPr>
        <w:tc>
          <w:tcPr>
            <w:tcW w:w="960" w:type="dxa"/>
            <w:vAlign w:val="center"/>
            <w:hideMark/>
          </w:tcPr>
          <w:p w14:paraId="57777942" w14:textId="77777777" w:rsidR="00EB74A4" w:rsidRPr="00EB74A4" w:rsidRDefault="00EB74A4" w:rsidP="00EB74A4">
            <w:pPr>
              <w:pStyle w:val="ae"/>
              <w:rPr>
                <w:b w:val="0"/>
                <w:bCs/>
              </w:rPr>
            </w:pPr>
            <w:r w:rsidRPr="00EB74A4">
              <w:rPr>
                <w:rFonts w:hint="eastAsia"/>
                <w:b w:val="0"/>
                <w:bCs/>
              </w:rPr>
              <w:t>7.1.6</w:t>
            </w:r>
          </w:p>
        </w:tc>
        <w:tc>
          <w:tcPr>
            <w:tcW w:w="2040" w:type="dxa"/>
            <w:vAlign w:val="center"/>
            <w:hideMark/>
          </w:tcPr>
          <w:p w14:paraId="1D73C853" w14:textId="77777777" w:rsidR="00EB74A4" w:rsidRPr="00EB74A4" w:rsidRDefault="00EB74A4" w:rsidP="00EB74A4">
            <w:pPr>
              <w:pStyle w:val="ae"/>
              <w:rPr>
                <w:b w:val="0"/>
                <w:bCs/>
              </w:rPr>
            </w:pPr>
            <w:r w:rsidRPr="00EB74A4">
              <w:rPr>
                <w:rFonts w:hint="eastAsia"/>
                <w:b w:val="0"/>
                <w:bCs/>
              </w:rPr>
              <w:t>电梯节能</w:t>
            </w:r>
          </w:p>
        </w:tc>
        <w:tc>
          <w:tcPr>
            <w:tcW w:w="11540" w:type="dxa"/>
            <w:vAlign w:val="center"/>
            <w:hideMark/>
          </w:tcPr>
          <w:p w14:paraId="7DD8C87A" w14:textId="77777777" w:rsidR="00EB74A4" w:rsidRPr="00EB74A4" w:rsidRDefault="00EB74A4" w:rsidP="00EB74A4">
            <w:pPr>
              <w:pStyle w:val="ae"/>
              <w:rPr>
                <w:b w:val="0"/>
                <w:bCs/>
              </w:rPr>
            </w:pPr>
            <w:r w:rsidRPr="00EB74A4">
              <w:rPr>
                <w:rFonts w:hint="eastAsia"/>
                <w:b w:val="0"/>
                <w:bCs/>
              </w:rPr>
              <w:t>相关竣工图、相关产品（电梯、扶梯产品）型式检验报告。</w:t>
            </w:r>
          </w:p>
        </w:tc>
      </w:tr>
      <w:tr w:rsidR="00EB74A4" w:rsidRPr="00EB74A4" w14:paraId="7DFAF722" w14:textId="77777777" w:rsidTr="00EB74A4">
        <w:trPr>
          <w:trHeight w:val="276"/>
        </w:trPr>
        <w:tc>
          <w:tcPr>
            <w:tcW w:w="960" w:type="dxa"/>
            <w:vAlign w:val="center"/>
            <w:hideMark/>
          </w:tcPr>
          <w:p w14:paraId="2DF3EBE1" w14:textId="77777777" w:rsidR="00EB74A4" w:rsidRPr="00EB74A4" w:rsidRDefault="00EB74A4" w:rsidP="00EB74A4">
            <w:pPr>
              <w:pStyle w:val="ae"/>
              <w:rPr>
                <w:b w:val="0"/>
                <w:bCs/>
              </w:rPr>
            </w:pPr>
            <w:r w:rsidRPr="00EB74A4">
              <w:rPr>
                <w:rFonts w:hint="eastAsia"/>
                <w:b w:val="0"/>
                <w:bCs/>
              </w:rPr>
              <w:t>7.1.7</w:t>
            </w:r>
          </w:p>
        </w:tc>
        <w:tc>
          <w:tcPr>
            <w:tcW w:w="2040" w:type="dxa"/>
            <w:vAlign w:val="center"/>
            <w:hideMark/>
          </w:tcPr>
          <w:p w14:paraId="01ACD53C" w14:textId="77777777" w:rsidR="00EB74A4" w:rsidRPr="00EB74A4" w:rsidRDefault="00EB74A4" w:rsidP="00EB74A4">
            <w:pPr>
              <w:pStyle w:val="ae"/>
              <w:rPr>
                <w:b w:val="0"/>
                <w:bCs/>
              </w:rPr>
            </w:pPr>
            <w:r w:rsidRPr="00EB74A4">
              <w:rPr>
                <w:rFonts w:hint="eastAsia"/>
                <w:b w:val="0"/>
                <w:bCs/>
              </w:rPr>
              <w:t>水资源利用方案</w:t>
            </w:r>
          </w:p>
        </w:tc>
        <w:tc>
          <w:tcPr>
            <w:tcW w:w="11540" w:type="dxa"/>
            <w:vAlign w:val="center"/>
            <w:hideMark/>
          </w:tcPr>
          <w:p w14:paraId="5E7D0A24" w14:textId="77777777" w:rsidR="00EB74A4" w:rsidRPr="00EB74A4" w:rsidRDefault="00EB74A4" w:rsidP="00EB74A4">
            <w:pPr>
              <w:pStyle w:val="ae"/>
              <w:rPr>
                <w:b w:val="0"/>
                <w:bCs/>
              </w:rPr>
            </w:pPr>
            <w:r w:rsidRPr="00EB74A4">
              <w:rPr>
                <w:rFonts w:hint="eastAsia"/>
                <w:b w:val="0"/>
                <w:bCs/>
              </w:rPr>
              <w:t>相关竣工图（水资源利用方案的落实）、用水器具产品说明书或产品节水性能检测报告。</w:t>
            </w:r>
          </w:p>
        </w:tc>
      </w:tr>
      <w:tr w:rsidR="00EB74A4" w:rsidRPr="00EB74A4" w14:paraId="53F25C80" w14:textId="77777777" w:rsidTr="00EB74A4">
        <w:trPr>
          <w:trHeight w:val="276"/>
        </w:trPr>
        <w:tc>
          <w:tcPr>
            <w:tcW w:w="960" w:type="dxa"/>
            <w:vAlign w:val="center"/>
            <w:hideMark/>
          </w:tcPr>
          <w:p w14:paraId="1FE7C9AA" w14:textId="77777777" w:rsidR="00EB74A4" w:rsidRPr="00EB74A4" w:rsidRDefault="00EB74A4" w:rsidP="00EB74A4">
            <w:pPr>
              <w:pStyle w:val="ae"/>
              <w:rPr>
                <w:b w:val="0"/>
                <w:bCs/>
              </w:rPr>
            </w:pPr>
            <w:r w:rsidRPr="00EB74A4">
              <w:rPr>
                <w:rFonts w:hint="eastAsia"/>
                <w:b w:val="0"/>
                <w:bCs/>
              </w:rPr>
              <w:t>7.1.8</w:t>
            </w:r>
          </w:p>
        </w:tc>
        <w:tc>
          <w:tcPr>
            <w:tcW w:w="2040" w:type="dxa"/>
            <w:vAlign w:val="center"/>
            <w:hideMark/>
          </w:tcPr>
          <w:p w14:paraId="1A305168" w14:textId="77777777" w:rsidR="00EB74A4" w:rsidRPr="00EB74A4" w:rsidRDefault="00EB74A4" w:rsidP="00EB74A4">
            <w:pPr>
              <w:pStyle w:val="ae"/>
              <w:rPr>
                <w:b w:val="0"/>
                <w:bCs/>
              </w:rPr>
            </w:pPr>
            <w:r w:rsidRPr="00EB74A4">
              <w:rPr>
                <w:rFonts w:hint="eastAsia"/>
                <w:b w:val="0"/>
                <w:bCs/>
              </w:rPr>
              <w:t>建筑结构规则</w:t>
            </w:r>
          </w:p>
        </w:tc>
        <w:tc>
          <w:tcPr>
            <w:tcW w:w="11540" w:type="dxa"/>
            <w:vAlign w:val="center"/>
            <w:hideMark/>
          </w:tcPr>
          <w:p w14:paraId="4AAFC3AB" w14:textId="77777777" w:rsidR="00EB74A4" w:rsidRPr="00EB74A4" w:rsidRDefault="00EB74A4" w:rsidP="00EB74A4">
            <w:pPr>
              <w:pStyle w:val="ae"/>
              <w:rPr>
                <w:b w:val="0"/>
                <w:bCs/>
              </w:rPr>
            </w:pPr>
            <w:r w:rsidRPr="00EB74A4">
              <w:rPr>
                <w:rFonts w:hint="eastAsia"/>
                <w:b w:val="0"/>
                <w:bCs/>
              </w:rPr>
              <w:t>相关竣工图、建筑形体规则性判定报告</w:t>
            </w:r>
          </w:p>
        </w:tc>
      </w:tr>
      <w:tr w:rsidR="00EB74A4" w:rsidRPr="00EB74A4" w14:paraId="4E3CF05C" w14:textId="77777777" w:rsidTr="00EB74A4">
        <w:trPr>
          <w:trHeight w:val="276"/>
        </w:trPr>
        <w:tc>
          <w:tcPr>
            <w:tcW w:w="960" w:type="dxa"/>
            <w:vAlign w:val="center"/>
            <w:hideMark/>
          </w:tcPr>
          <w:p w14:paraId="13D36B20" w14:textId="77777777" w:rsidR="00EB74A4" w:rsidRPr="00EB74A4" w:rsidRDefault="00EB74A4" w:rsidP="00EB74A4">
            <w:pPr>
              <w:pStyle w:val="ae"/>
              <w:rPr>
                <w:b w:val="0"/>
                <w:bCs/>
              </w:rPr>
            </w:pPr>
            <w:r w:rsidRPr="00EB74A4">
              <w:rPr>
                <w:rFonts w:hint="eastAsia"/>
                <w:b w:val="0"/>
                <w:bCs/>
              </w:rPr>
              <w:t>7.1.9</w:t>
            </w:r>
          </w:p>
        </w:tc>
        <w:tc>
          <w:tcPr>
            <w:tcW w:w="2040" w:type="dxa"/>
            <w:vAlign w:val="center"/>
            <w:hideMark/>
          </w:tcPr>
          <w:p w14:paraId="30C16F30" w14:textId="77777777" w:rsidR="00EB74A4" w:rsidRPr="00EB74A4" w:rsidRDefault="00EB74A4" w:rsidP="00EB74A4">
            <w:pPr>
              <w:pStyle w:val="ae"/>
              <w:rPr>
                <w:b w:val="0"/>
                <w:bCs/>
              </w:rPr>
            </w:pPr>
            <w:r w:rsidRPr="00EB74A4">
              <w:rPr>
                <w:rFonts w:hint="eastAsia"/>
                <w:b w:val="0"/>
                <w:bCs/>
              </w:rPr>
              <w:t>建筑造型</w:t>
            </w:r>
          </w:p>
        </w:tc>
        <w:tc>
          <w:tcPr>
            <w:tcW w:w="11540" w:type="dxa"/>
            <w:vAlign w:val="center"/>
            <w:hideMark/>
          </w:tcPr>
          <w:p w14:paraId="07D33FA2" w14:textId="77777777" w:rsidR="00EB74A4" w:rsidRPr="00EB74A4" w:rsidRDefault="00EB74A4" w:rsidP="00EB74A4">
            <w:pPr>
              <w:pStyle w:val="ae"/>
              <w:rPr>
                <w:b w:val="0"/>
                <w:bCs/>
              </w:rPr>
            </w:pPr>
            <w:r w:rsidRPr="00EB74A4">
              <w:rPr>
                <w:rFonts w:hint="eastAsia"/>
                <w:b w:val="0"/>
                <w:bCs/>
              </w:rPr>
              <w:t>相关竣工图（女儿墙高度等）和造价计算书</w:t>
            </w:r>
          </w:p>
        </w:tc>
      </w:tr>
      <w:tr w:rsidR="00EB74A4" w:rsidRPr="00EB74A4" w14:paraId="45277C00" w14:textId="77777777" w:rsidTr="00EB74A4">
        <w:trPr>
          <w:trHeight w:val="276"/>
        </w:trPr>
        <w:tc>
          <w:tcPr>
            <w:tcW w:w="960" w:type="dxa"/>
            <w:vAlign w:val="center"/>
            <w:hideMark/>
          </w:tcPr>
          <w:p w14:paraId="12DDD057" w14:textId="77777777" w:rsidR="00EB74A4" w:rsidRPr="00EB74A4" w:rsidRDefault="00EB74A4" w:rsidP="00EB74A4">
            <w:pPr>
              <w:pStyle w:val="ae"/>
              <w:rPr>
                <w:b w:val="0"/>
                <w:bCs/>
              </w:rPr>
            </w:pPr>
            <w:r w:rsidRPr="00EB74A4">
              <w:rPr>
                <w:rFonts w:hint="eastAsia"/>
                <w:b w:val="0"/>
                <w:bCs/>
              </w:rPr>
              <w:t>7.1.10</w:t>
            </w:r>
          </w:p>
        </w:tc>
        <w:tc>
          <w:tcPr>
            <w:tcW w:w="2040" w:type="dxa"/>
            <w:vAlign w:val="center"/>
            <w:hideMark/>
          </w:tcPr>
          <w:p w14:paraId="628E680E" w14:textId="77777777" w:rsidR="00EB74A4" w:rsidRPr="00EB74A4" w:rsidRDefault="00EB74A4" w:rsidP="00EB74A4">
            <w:pPr>
              <w:pStyle w:val="ae"/>
              <w:rPr>
                <w:b w:val="0"/>
                <w:bCs/>
              </w:rPr>
            </w:pPr>
            <w:r w:rsidRPr="00EB74A4">
              <w:rPr>
                <w:rFonts w:hint="eastAsia"/>
                <w:b w:val="0"/>
                <w:bCs/>
              </w:rPr>
              <w:t>建筑材料</w:t>
            </w:r>
          </w:p>
        </w:tc>
        <w:tc>
          <w:tcPr>
            <w:tcW w:w="11540" w:type="dxa"/>
            <w:vAlign w:val="center"/>
            <w:hideMark/>
          </w:tcPr>
          <w:p w14:paraId="0C3AC1BF" w14:textId="77777777" w:rsidR="00EB74A4" w:rsidRPr="00EB74A4" w:rsidRDefault="00EB74A4" w:rsidP="00EB74A4">
            <w:pPr>
              <w:pStyle w:val="ae"/>
              <w:rPr>
                <w:b w:val="0"/>
                <w:bCs/>
              </w:rPr>
            </w:pPr>
            <w:r w:rsidRPr="00EB74A4">
              <w:rPr>
                <w:rFonts w:hint="eastAsia"/>
                <w:b w:val="0"/>
                <w:bCs/>
              </w:rPr>
              <w:t>结构竣工图及设计说明、购销合同及用量清单等有关证明文件。</w:t>
            </w:r>
          </w:p>
        </w:tc>
      </w:tr>
      <w:tr w:rsidR="00EB74A4" w:rsidRPr="00EB74A4" w14:paraId="4770D6E7" w14:textId="77777777" w:rsidTr="00EB74A4">
        <w:trPr>
          <w:trHeight w:val="276"/>
        </w:trPr>
        <w:tc>
          <w:tcPr>
            <w:tcW w:w="960" w:type="dxa"/>
            <w:vAlign w:val="center"/>
            <w:hideMark/>
          </w:tcPr>
          <w:p w14:paraId="16CCEE02" w14:textId="77777777" w:rsidR="00EB74A4" w:rsidRPr="00EB74A4" w:rsidRDefault="00EB74A4" w:rsidP="00EB74A4">
            <w:pPr>
              <w:pStyle w:val="ae"/>
              <w:rPr>
                <w:b w:val="0"/>
                <w:bCs/>
              </w:rPr>
            </w:pPr>
            <w:r w:rsidRPr="00EB74A4">
              <w:rPr>
                <w:rFonts w:hint="eastAsia"/>
                <w:b w:val="0"/>
                <w:bCs/>
              </w:rPr>
              <w:t>7.1.11</w:t>
            </w:r>
          </w:p>
        </w:tc>
        <w:tc>
          <w:tcPr>
            <w:tcW w:w="2040" w:type="dxa"/>
            <w:vAlign w:val="center"/>
            <w:hideMark/>
          </w:tcPr>
          <w:p w14:paraId="4ED38CAE" w14:textId="77777777" w:rsidR="00EB74A4" w:rsidRPr="00EB74A4" w:rsidRDefault="00EB74A4" w:rsidP="00EB74A4">
            <w:pPr>
              <w:pStyle w:val="ae"/>
              <w:rPr>
                <w:b w:val="0"/>
                <w:bCs/>
              </w:rPr>
            </w:pPr>
            <w:r w:rsidRPr="00EB74A4">
              <w:rPr>
                <w:rFonts w:hint="eastAsia"/>
                <w:b w:val="0"/>
                <w:bCs/>
              </w:rPr>
              <w:t>建筑产业化技术</w:t>
            </w:r>
          </w:p>
        </w:tc>
        <w:tc>
          <w:tcPr>
            <w:tcW w:w="11540" w:type="dxa"/>
            <w:vAlign w:val="center"/>
            <w:hideMark/>
          </w:tcPr>
          <w:p w14:paraId="24C8D3C4" w14:textId="77777777" w:rsidR="00EB74A4" w:rsidRPr="00EB74A4" w:rsidRDefault="00EB74A4" w:rsidP="00EB74A4">
            <w:pPr>
              <w:pStyle w:val="ae"/>
              <w:rPr>
                <w:b w:val="0"/>
                <w:bCs/>
              </w:rPr>
            </w:pPr>
            <w:r w:rsidRPr="00EB74A4">
              <w:rPr>
                <w:rFonts w:hint="eastAsia"/>
                <w:b w:val="0"/>
                <w:bCs/>
              </w:rPr>
              <w:t>竣工图、与、竣工资料相吻合的相关应用量的计算证明性材料、施工过程材料购销合同及用量清单等有关证明文件。</w:t>
            </w:r>
          </w:p>
        </w:tc>
      </w:tr>
      <w:tr w:rsidR="00EB74A4" w:rsidRPr="00EB74A4" w14:paraId="43D901A9" w14:textId="77777777" w:rsidTr="00EB74A4">
        <w:trPr>
          <w:trHeight w:val="828"/>
        </w:trPr>
        <w:tc>
          <w:tcPr>
            <w:tcW w:w="960" w:type="dxa"/>
            <w:vAlign w:val="center"/>
            <w:hideMark/>
          </w:tcPr>
          <w:p w14:paraId="4EF12772" w14:textId="77777777" w:rsidR="00EB74A4" w:rsidRPr="00EB74A4" w:rsidRDefault="00EB74A4" w:rsidP="00EB74A4">
            <w:pPr>
              <w:pStyle w:val="ae"/>
              <w:rPr>
                <w:b w:val="0"/>
                <w:bCs/>
              </w:rPr>
            </w:pPr>
            <w:r w:rsidRPr="00EB74A4">
              <w:rPr>
                <w:rFonts w:hint="eastAsia"/>
                <w:b w:val="0"/>
                <w:bCs/>
              </w:rPr>
              <w:t>7.2.1</w:t>
            </w:r>
          </w:p>
        </w:tc>
        <w:tc>
          <w:tcPr>
            <w:tcW w:w="2040" w:type="dxa"/>
            <w:vAlign w:val="center"/>
            <w:hideMark/>
          </w:tcPr>
          <w:p w14:paraId="14831DDA" w14:textId="77777777" w:rsidR="00EB74A4" w:rsidRPr="00EB74A4" w:rsidRDefault="00EB74A4" w:rsidP="00EB74A4">
            <w:pPr>
              <w:pStyle w:val="ae"/>
              <w:rPr>
                <w:b w:val="0"/>
                <w:bCs/>
              </w:rPr>
            </w:pPr>
            <w:r w:rsidRPr="00EB74A4">
              <w:rPr>
                <w:rFonts w:hint="eastAsia"/>
                <w:b w:val="0"/>
                <w:bCs/>
              </w:rPr>
              <w:t>节约土地</w:t>
            </w:r>
          </w:p>
        </w:tc>
        <w:tc>
          <w:tcPr>
            <w:tcW w:w="11540" w:type="dxa"/>
            <w:vAlign w:val="center"/>
            <w:hideMark/>
          </w:tcPr>
          <w:p w14:paraId="051CFB15" w14:textId="77777777" w:rsidR="00EB74A4" w:rsidRPr="00EB74A4" w:rsidRDefault="00EB74A4" w:rsidP="00EB74A4">
            <w:pPr>
              <w:pStyle w:val="ae"/>
              <w:rPr>
                <w:b w:val="0"/>
                <w:bCs/>
              </w:rPr>
            </w:pPr>
            <w:r w:rsidRPr="00EB74A4">
              <w:rPr>
                <w:rFonts w:hint="eastAsia"/>
                <w:b w:val="0"/>
                <w:bCs/>
              </w:rPr>
              <w:t>相关设计文件、计算书、相关竣工图</w:t>
            </w:r>
            <w:r w:rsidRPr="00EB74A4">
              <w:rPr>
                <w:rFonts w:hint="eastAsia"/>
                <w:b w:val="0"/>
                <w:bCs/>
              </w:rPr>
              <w:br/>
            </w:r>
            <w:r w:rsidRPr="00EB74A4">
              <w:rPr>
                <w:rFonts w:hint="eastAsia"/>
                <w:b w:val="0"/>
                <w:bCs/>
              </w:rPr>
              <w:t>（居住：设计图中包含住区总用地面积、总户数、总人口等、人均居住用地控制指标计算书。</w:t>
            </w:r>
            <w:r w:rsidRPr="00EB74A4">
              <w:rPr>
                <w:rFonts w:hint="eastAsia"/>
                <w:b w:val="0"/>
                <w:bCs/>
              </w:rPr>
              <w:br/>
            </w:r>
            <w:r w:rsidRPr="00EB74A4">
              <w:rPr>
                <w:rFonts w:hint="eastAsia"/>
                <w:b w:val="0"/>
                <w:bCs/>
              </w:rPr>
              <w:t>公共建筑：设计文件应包含总用地面积、地上总建筑面积、容积率等、容积率指标计算书。）</w:t>
            </w:r>
          </w:p>
        </w:tc>
      </w:tr>
      <w:tr w:rsidR="00EB74A4" w:rsidRPr="00EB74A4" w14:paraId="35A14FE1" w14:textId="77777777" w:rsidTr="00EB74A4">
        <w:trPr>
          <w:trHeight w:val="552"/>
        </w:trPr>
        <w:tc>
          <w:tcPr>
            <w:tcW w:w="960" w:type="dxa"/>
            <w:vAlign w:val="center"/>
            <w:hideMark/>
          </w:tcPr>
          <w:p w14:paraId="77219099" w14:textId="77777777" w:rsidR="00EB74A4" w:rsidRPr="00EB74A4" w:rsidRDefault="00EB74A4" w:rsidP="00EB74A4">
            <w:pPr>
              <w:pStyle w:val="ae"/>
              <w:rPr>
                <w:b w:val="0"/>
                <w:bCs/>
              </w:rPr>
            </w:pPr>
            <w:r w:rsidRPr="00EB74A4">
              <w:rPr>
                <w:rFonts w:hint="eastAsia"/>
                <w:b w:val="0"/>
                <w:bCs/>
              </w:rPr>
              <w:t>7.2.2</w:t>
            </w:r>
          </w:p>
        </w:tc>
        <w:tc>
          <w:tcPr>
            <w:tcW w:w="2040" w:type="dxa"/>
            <w:vAlign w:val="center"/>
            <w:hideMark/>
          </w:tcPr>
          <w:p w14:paraId="5DB54679" w14:textId="77777777" w:rsidR="00EB74A4" w:rsidRPr="00EB74A4" w:rsidRDefault="00EB74A4" w:rsidP="00EB74A4">
            <w:pPr>
              <w:pStyle w:val="ae"/>
              <w:rPr>
                <w:b w:val="0"/>
                <w:bCs/>
              </w:rPr>
            </w:pPr>
            <w:r w:rsidRPr="00EB74A4">
              <w:rPr>
                <w:rFonts w:hint="eastAsia"/>
                <w:b w:val="0"/>
                <w:bCs/>
              </w:rPr>
              <w:t>开发利用地下空间</w:t>
            </w:r>
          </w:p>
        </w:tc>
        <w:tc>
          <w:tcPr>
            <w:tcW w:w="11540" w:type="dxa"/>
            <w:vAlign w:val="center"/>
            <w:hideMark/>
          </w:tcPr>
          <w:p w14:paraId="0E5D8AC5" w14:textId="77777777" w:rsidR="00EB74A4" w:rsidRPr="00EB74A4" w:rsidRDefault="00EB74A4" w:rsidP="00EB74A4">
            <w:pPr>
              <w:pStyle w:val="ae"/>
              <w:rPr>
                <w:b w:val="0"/>
                <w:bCs/>
              </w:rPr>
            </w:pPr>
            <w:r w:rsidRPr="00EB74A4">
              <w:rPr>
                <w:rFonts w:hint="eastAsia"/>
                <w:b w:val="0"/>
                <w:bCs/>
              </w:rPr>
              <w:t>相关竣工图、计算书（居住建筑设计文件应包含地上、地下建筑面积比率；公共建筑设计文件应包含地下建筑面积与总用地面积的比</w:t>
            </w:r>
            <w:r w:rsidRPr="00EB74A4">
              <w:rPr>
                <w:rFonts w:hint="eastAsia"/>
                <w:b w:val="0"/>
                <w:bCs/>
              </w:rPr>
              <w:lastRenderedPageBreak/>
              <w:t>率及地下一层建筑面积与总用地面积的比率。）</w:t>
            </w:r>
          </w:p>
        </w:tc>
      </w:tr>
      <w:tr w:rsidR="00EB74A4" w:rsidRPr="00EB74A4" w14:paraId="67F3B5B2" w14:textId="77777777" w:rsidTr="00EB74A4">
        <w:trPr>
          <w:trHeight w:val="276"/>
        </w:trPr>
        <w:tc>
          <w:tcPr>
            <w:tcW w:w="960" w:type="dxa"/>
            <w:vAlign w:val="center"/>
            <w:hideMark/>
          </w:tcPr>
          <w:p w14:paraId="088239F1" w14:textId="77777777" w:rsidR="00EB74A4" w:rsidRPr="00EB74A4" w:rsidRDefault="00EB74A4" w:rsidP="00EB74A4">
            <w:pPr>
              <w:pStyle w:val="ae"/>
              <w:rPr>
                <w:b w:val="0"/>
                <w:bCs/>
              </w:rPr>
            </w:pPr>
            <w:r w:rsidRPr="00EB74A4">
              <w:rPr>
                <w:rFonts w:hint="eastAsia"/>
                <w:b w:val="0"/>
                <w:bCs/>
              </w:rPr>
              <w:lastRenderedPageBreak/>
              <w:t>7.2.3</w:t>
            </w:r>
          </w:p>
        </w:tc>
        <w:tc>
          <w:tcPr>
            <w:tcW w:w="2040" w:type="dxa"/>
            <w:vAlign w:val="center"/>
            <w:hideMark/>
          </w:tcPr>
          <w:p w14:paraId="06F585CE" w14:textId="77777777" w:rsidR="00EB74A4" w:rsidRPr="00EB74A4" w:rsidRDefault="00EB74A4" w:rsidP="00EB74A4">
            <w:pPr>
              <w:pStyle w:val="ae"/>
              <w:rPr>
                <w:b w:val="0"/>
                <w:bCs/>
              </w:rPr>
            </w:pPr>
            <w:r w:rsidRPr="00EB74A4">
              <w:rPr>
                <w:rFonts w:hint="eastAsia"/>
                <w:b w:val="0"/>
                <w:bCs/>
              </w:rPr>
              <w:t>机械式停车设施</w:t>
            </w:r>
          </w:p>
        </w:tc>
        <w:tc>
          <w:tcPr>
            <w:tcW w:w="11540" w:type="dxa"/>
            <w:vAlign w:val="center"/>
            <w:hideMark/>
          </w:tcPr>
          <w:p w14:paraId="141AEC9B" w14:textId="77777777" w:rsidR="00EB74A4" w:rsidRPr="00EB74A4" w:rsidRDefault="00EB74A4" w:rsidP="00EB74A4">
            <w:pPr>
              <w:pStyle w:val="ae"/>
              <w:rPr>
                <w:b w:val="0"/>
                <w:bCs/>
              </w:rPr>
            </w:pPr>
            <w:r w:rsidRPr="00EB74A4">
              <w:rPr>
                <w:rFonts w:hint="eastAsia"/>
                <w:b w:val="0"/>
                <w:bCs/>
              </w:rPr>
              <w:t>相关竣工图、计算书、车位优化分析报告，组织现场查勘。</w:t>
            </w:r>
          </w:p>
        </w:tc>
      </w:tr>
      <w:tr w:rsidR="00EB74A4" w:rsidRPr="00EB74A4" w14:paraId="1B178E8B" w14:textId="77777777" w:rsidTr="00EB74A4">
        <w:trPr>
          <w:trHeight w:val="276"/>
        </w:trPr>
        <w:tc>
          <w:tcPr>
            <w:tcW w:w="960" w:type="dxa"/>
            <w:vAlign w:val="center"/>
            <w:hideMark/>
          </w:tcPr>
          <w:p w14:paraId="0B8E6122" w14:textId="77777777" w:rsidR="00EB74A4" w:rsidRPr="00EB74A4" w:rsidRDefault="00EB74A4" w:rsidP="00EB74A4">
            <w:pPr>
              <w:pStyle w:val="ae"/>
              <w:rPr>
                <w:b w:val="0"/>
                <w:bCs/>
              </w:rPr>
            </w:pPr>
            <w:r w:rsidRPr="00EB74A4">
              <w:rPr>
                <w:rFonts w:hint="eastAsia"/>
                <w:b w:val="0"/>
                <w:bCs/>
              </w:rPr>
              <w:t>7.2.4</w:t>
            </w:r>
          </w:p>
        </w:tc>
        <w:tc>
          <w:tcPr>
            <w:tcW w:w="2040" w:type="dxa"/>
            <w:vAlign w:val="center"/>
            <w:hideMark/>
          </w:tcPr>
          <w:p w14:paraId="7031054E" w14:textId="77777777" w:rsidR="00EB74A4" w:rsidRPr="00EB74A4" w:rsidRDefault="00EB74A4" w:rsidP="00EB74A4">
            <w:pPr>
              <w:pStyle w:val="ae"/>
              <w:rPr>
                <w:b w:val="0"/>
                <w:bCs/>
              </w:rPr>
            </w:pPr>
            <w:r w:rsidRPr="00EB74A4">
              <w:rPr>
                <w:rFonts w:hint="eastAsia"/>
                <w:b w:val="0"/>
                <w:bCs/>
              </w:rPr>
              <w:t>围护结构热工性能</w:t>
            </w:r>
          </w:p>
        </w:tc>
        <w:tc>
          <w:tcPr>
            <w:tcW w:w="11540" w:type="dxa"/>
            <w:vAlign w:val="center"/>
            <w:hideMark/>
          </w:tcPr>
          <w:p w14:paraId="23A564C5" w14:textId="77777777" w:rsidR="00EB74A4" w:rsidRPr="00EB74A4" w:rsidRDefault="00EB74A4" w:rsidP="00EB74A4">
            <w:pPr>
              <w:pStyle w:val="ae"/>
              <w:rPr>
                <w:b w:val="0"/>
                <w:bCs/>
              </w:rPr>
            </w:pPr>
            <w:r w:rsidRPr="00EB74A4">
              <w:rPr>
                <w:rFonts w:hint="eastAsia"/>
                <w:b w:val="0"/>
                <w:bCs/>
              </w:rPr>
              <w:t>相关竣工图</w:t>
            </w:r>
            <w:r w:rsidRPr="00EB74A4">
              <w:rPr>
                <w:rFonts w:hint="eastAsia"/>
                <w:b w:val="0"/>
                <w:bCs/>
              </w:rPr>
              <w:t>(</w:t>
            </w:r>
            <w:r w:rsidRPr="00EB74A4">
              <w:rPr>
                <w:rFonts w:hint="eastAsia"/>
                <w:b w:val="0"/>
                <w:bCs/>
              </w:rPr>
              <w:t>设计说明、围护结构竣工详图</w:t>
            </w:r>
            <w:r w:rsidRPr="00EB74A4">
              <w:rPr>
                <w:rFonts w:hint="eastAsia"/>
                <w:b w:val="0"/>
                <w:bCs/>
              </w:rPr>
              <w:t>)</w:t>
            </w:r>
            <w:r w:rsidRPr="00EB74A4">
              <w:rPr>
                <w:rFonts w:hint="eastAsia"/>
                <w:b w:val="0"/>
                <w:bCs/>
              </w:rPr>
              <w:t>、节能计算书、建筑围护结构节能率分析报告</w:t>
            </w:r>
            <w:r w:rsidRPr="00EB74A4">
              <w:rPr>
                <w:rFonts w:hint="eastAsia"/>
                <w:b w:val="0"/>
                <w:bCs/>
              </w:rPr>
              <w:t>(</w:t>
            </w:r>
            <w:r w:rsidRPr="00EB74A4">
              <w:rPr>
                <w:rFonts w:hint="eastAsia"/>
                <w:b w:val="0"/>
                <w:bCs/>
              </w:rPr>
              <w:t>第</w:t>
            </w:r>
            <w:r w:rsidRPr="00EB74A4">
              <w:rPr>
                <w:rFonts w:hint="eastAsia"/>
                <w:b w:val="0"/>
                <w:bCs/>
              </w:rPr>
              <w:t>2</w:t>
            </w:r>
            <w:r w:rsidRPr="00EB74A4">
              <w:rPr>
                <w:rFonts w:hint="eastAsia"/>
                <w:b w:val="0"/>
                <w:bCs/>
              </w:rPr>
              <w:t>款评价时</w:t>
            </w:r>
            <w:r w:rsidRPr="00EB74A4">
              <w:rPr>
                <w:rFonts w:hint="eastAsia"/>
                <w:b w:val="0"/>
                <w:bCs/>
              </w:rPr>
              <w:t>)</w:t>
            </w:r>
            <w:r w:rsidRPr="00EB74A4">
              <w:rPr>
                <w:rFonts w:hint="eastAsia"/>
                <w:b w:val="0"/>
                <w:bCs/>
              </w:rPr>
              <w:t>。</w:t>
            </w:r>
          </w:p>
        </w:tc>
      </w:tr>
      <w:tr w:rsidR="00EB74A4" w:rsidRPr="00EB74A4" w14:paraId="6BC194ED" w14:textId="77777777" w:rsidTr="00EB74A4">
        <w:trPr>
          <w:trHeight w:val="276"/>
        </w:trPr>
        <w:tc>
          <w:tcPr>
            <w:tcW w:w="960" w:type="dxa"/>
            <w:vAlign w:val="center"/>
            <w:hideMark/>
          </w:tcPr>
          <w:p w14:paraId="71C42E14" w14:textId="77777777" w:rsidR="00EB74A4" w:rsidRPr="00EB74A4" w:rsidRDefault="00EB74A4" w:rsidP="00EB74A4">
            <w:pPr>
              <w:pStyle w:val="ae"/>
              <w:rPr>
                <w:b w:val="0"/>
                <w:bCs/>
              </w:rPr>
            </w:pPr>
            <w:r w:rsidRPr="00EB74A4">
              <w:rPr>
                <w:rFonts w:hint="eastAsia"/>
                <w:b w:val="0"/>
                <w:bCs/>
              </w:rPr>
              <w:t>7.2.5</w:t>
            </w:r>
          </w:p>
        </w:tc>
        <w:tc>
          <w:tcPr>
            <w:tcW w:w="2040" w:type="dxa"/>
            <w:vAlign w:val="center"/>
            <w:hideMark/>
          </w:tcPr>
          <w:p w14:paraId="0E28AF54" w14:textId="77777777" w:rsidR="00EB74A4" w:rsidRPr="00EB74A4" w:rsidRDefault="00EB74A4" w:rsidP="00EB74A4">
            <w:pPr>
              <w:pStyle w:val="ae"/>
              <w:rPr>
                <w:b w:val="0"/>
                <w:bCs/>
              </w:rPr>
            </w:pPr>
            <w:r w:rsidRPr="00EB74A4">
              <w:rPr>
                <w:rFonts w:hint="eastAsia"/>
                <w:b w:val="0"/>
                <w:bCs/>
              </w:rPr>
              <w:t>机组能效</w:t>
            </w:r>
          </w:p>
        </w:tc>
        <w:tc>
          <w:tcPr>
            <w:tcW w:w="11540" w:type="dxa"/>
            <w:vAlign w:val="center"/>
            <w:hideMark/>
          </w:tcPr>
          <w:p w14:paraId="49DAD8F2" w14:textId="77777777" w:rsidR="00EB74A4" w:rsidRPr="00EB74A4" w:rsidRDefault="00EB74A4" w:rsidP="00EB74A4">
            <w:pPr>
              <w:pStyle w:val="ae"/>
              <w:rPr>
                <w:b w:val="0"/>
                <w:bCs/>
              </w:rPr>
            </w:pPr>
            <w:r w:rsidRPr="00EB74A4">
              <w:rPr>
                <w:rFonts w:hint="eastAsia"/>
                <w:b w:val="0"/>
                <w:bCs/>
              </w:rPr>
              <w:t>相关竣工图、主要产品型式检验报告</w:t>
            </w:r>
          </w:p>
        </w:tc>
      </w:tr>
      <w:tr w:rsidR="00EB74A4" w:rsidRPr="00EB74A4" w14:paraId="52A040F7" w14:textId="77777777" w:rsidTr="00EB74A4">
        <w:trPr>
          <w:trHeight w:val="552"/>
        </w:trPr>
        <w:tc>
          <w:tcPr>
            <w:tcW w:w="960" w:type="dxa"/>
            <w:vAlign w:val="center"/>
            <w:hideMark/>
          </w:tcPr>
          <w:p w14:paraId="7C7B4034" w14:textId="77777777" w:rsidR="00EB74A4" w:rsidRPr="00EB74A4" w:rsidRDefault="00EB74A4" w:rsidP="00EB74A4">
            <w:pPr>
              <w:pStyle w:val="ae"/>
              <w:rPr>
                <w:b w:val="0"/>
                <w:bCs/>
              </w:rPr>
            </w:pPr>
            <w:r w:rsidRPr="00EB74A4">
              <w:rPr>
                <w:rFonts w:hint="eastAsia"/>
                <w:b w:val="0"/>
                <w:bCs/>
              </w:rPr>
              <w:t>7.2.6</w:t>
            </w:r>
          </w:p>
        </w:tc>
        <w:tc>
          <w:tcPr>
            <w:tcW w:w="2040" w:type="dxa"/>
            <w:vAlign w:val="center"/>
            <w:hideMark/>
          </w:tcPr>
          <w:p w14:paraId="1F5B11B0" w14:textId="77777777" w:rsidR="00EB74A4" w:rsidRPr="00EB74A4" w:rsidRDefault="00EB74A4" w:rsidP="00EB74A4">
            <w:pPr>
              <w:pStyle w:val="ae"/>
              <w:rPr>
                <w:b w:val="0"/>
                <w:bCs/>
              </w:rPr>
            </w:pPr>
            <w:r w:rsidRPr="00EB74A4">
              <w:rPr>
                <w:rFonts w:hint="eastAsia"/>
                <w:b w:val="0"/>
                <w:bCs/>
              </w:rPr>
              <w:t>降低空调输配系统能耗</w:t>
            </w:r>
          </w:p>
        </w:tc>
        <w:tc>
          <w:tcPr>
            <w:tcW w:w="11540" w:type="dxa"/>
            <w:vAlign w:val="center"/>
            <w:hideMark/>
          </w:tcPr>
          <w:p w14:paraId="03C25E17" w14:textId="77777777" w:rsidR="00EB74A4" w:rsidRPr="00EB74A4" w:rsidRDefault="00EB74A4" w:rsidP="00EB74A4">
            <w:pPr>
              <w:pStyle w:val="ae"/>
              <w:rPr>
                <w:b w:val="0"/>
                <w:bCs/>
              </w:rPr>
            </w:pPr>
            <w:r w:rsidRPr="00EB74A4">
              <w:rPr>
                <w:rFonts w:hint="eastAsia"/>
                <w:b w:val="0"/>
                <w:bCs/>
              </w:rPr>
              <w:t>相关竣工图、主要产品型式检验报告</w:t>
            </w:r>
          </w:p>
        </w:tc>
      </w:tr>
      <w:tr w:rsidR="00EB74A4" w:rsidRPr="00EB74A4" w14:paraId="2FBAEE17" w14:textId="77777777" w:rsidTr="00EB74A4">
        <w:trPr>
          <w:trHeight w:val="276"/>
        </w:trPr>
        <w:tc>
          <w:tcPr>
            <w:tcW w:w="960" w:type="dxa"/>
            <w:vAlign w:val="center"/>
            <w:hideMark/>
          </w:tcPr>
          <w:p w14:paraId="68E92ECD" w14:textId="77777777" w:rsidR="00EB74A4" w:rsidRPr="00EB74A4" w:rsidRDefault="00EB74A4" w:rsidP="00EB74A4">
            <w:pPr>
              <w:pStyle w:val="ae"/>
              <w:rPr>
                <w:b w:val="0"/>
                <w:bCs/>
              </w:rPr>
            </w:pPr>
            <w:r w:rsidRPr="00EB74A4">
              <w:rPr>
                <w:rFonts w:hint="eastAsia"/>
                <w:b w:val="0"/>
                <w:bCs/>
              </w:rPr>
              <w:t>7.2.7</w:t>
            </w:r>
          </w:p>
        </w:tc>
        <w:tc>
          <w:tcPr>
            <w:tcW w:w="2040" w:type="dxa"/>
            <w:vAlign w:val="center"/>
            <w:hideMark/>
          </w:tcPr>
          <w:p w14:paraId="54B55DF7" w14:textId="77777777" w:rsidR="00EB74A4" w:rsidRPr="00EB74A4" w:rsidRDefault="00EB74A4" w:rsidP="00EB74A4">
            <w:pPr>
              <w:pStyle w:val="ae"/>
              <w:rPr>
                <w:b w:val="0"/>
                <w:bCs/>
              </w:rPr>
            </w:pPr>
            <w:r w:rsidRPr="00EB74A4">
              <w:rPr>
                <w:rFonts w:hint="eastAsia"/>
                <w:b w:val="0"/>
                <w:bCs/>
              </w:rPr>
              <w:t>节能电器</w:t>
            </w:r>
          </w:p>
        </w:tc>
        <w:tc>
          <w:tcPr>
            <w:tcW w:w="11540" w:type="dxa"/>
            <w:vAlign w:val="center"/>
            <w:hideMark/>
          </w:tcPr>
          <w:p w14:paraId="4CE2B15C" w14:textId="77777777" w:rsidR="00EB74A4" w:rsidRPr="00EB74A4" w:rsidRDefault="00EB74A4" w:rsidP="00EB74A4">
            <w:pPr>
              <w:pStyle w:val="ae"/>
              <w:rPr>
                <w:b w:val="0"/>
                <w:bCs/>
              </w:rPr>
            </w:pPr>
            <w:r w:rsidRPr="00EB74A4">
              <w:rPr>
                <w:rFonts w:hint="eastAsia"/>
                <w:b w:val="0"/>
                <w:bCs/>
              </w:rPr>
              <w:t>相关竣工图，相关设计说明、相关产品型式检验报告，测试、检测报告</w:t>
            </w:r>
          </w:p>
        </w:tc>
      </w:tr>
      <w:tr w:rsidR="00EB74A4" w:rsidRPr="00EB74A4" w14:paraId="004504B3" w14:textId="77777777" w:rsidTr="00EB74A4">
        <w:trPr>
          <w:trHeight w:val="552"/>
        </w:trPr>
        <w:tc>
          <w:tcPr>
            <w:tcW w:w="960" w:type="dxa"/>
            <w:vAlign w:val="center"/>
            <w:hideMark/>
          </w:tcPr>
          <w:p w14:paraId="314CAFC3" w14:textId="77777777" w:rsidR="00EB74A4" w:rsidRPr="00EB74A4" w:rsidRDefault="00EB74A4" w:rsidP="00EB74A4">
            <w:pPr>
              <w:pStyle w:val="ae"/>
              <w:rPr>
                <w:b w:val="0"/>
                <w:bCs/>
              </w:rPr>
            </w:pPr>
            <w:r w:rsidRPr="00EB74A4">
              <w:rPr>
                <w:rFonts w:hint="eastAsia"/>
                <w:b w:val="0"/>
                <w:bCs/>
              </w:rPr>
              <w:t>7.2.8</w:t>
            </w:r>
          </w:p>
        </w:tc>
        <w:tc>
          <w:tcPr>
            <w:tcW w:w="2040" w:type="dxa"/>
            <w:vAlign w:val="center"/>
            <w:hideMark/>
          </w:tcPr>
          <w:p w14:paraId="65FFA9A6" w14:textId="77777777" w:rsidR="00EB74A4" w:rsidRPr="00EB74A4" w:rsidRDefault="00EB74A4" w:rsidP="00EB74A4">
            <w:pPr>
              <w:pStyle w:val="ae"/>
              <w:rPr>
                <w:b w:val="0"/>
                <w:bCs/>
              </w:rPr>
            </w:pPr>
            <w:r w:rsidRPr="00EB74A4">
              <w:rPr>
                <w:rFonts w:hint="eastAsia"/>
                <w:b w:val="0"/>
                <w:bCs/>
              </w:rPr>
              <w:t>降低能耗</w:t>
            </w:r>
          </w:p>
        </w:tc>
        <w:tc>
          <w:tcPr>
            <w:tcW w:w="11540" w:type="dxa"/>
            <w:vAlign w:val="center"/>
            <w:hideMark/>
          </w:tcPr>
          <w:p w14:paraId="1C1C2F08" w14:textId="77777777" w:rsidR="00EB74A4" w:rsidRPr="00EB74A4" w:rsidRDefault="00EB74A4" w:rsidP="00EB74A4">
            <w:pPr>
              <w:pStyle w:val="ae"/>
              <w:rPr>
                <w:b w:val="0"/>
                <w:bCs/>
              </w:rPr>
            </w:pPr>
            <w:r w:rsidRPr="00EB74A4">
              <w:rPr>
                <w:rFonts w:hint="eastAsia"/>
                <w:b w:val="0"/>
                <w:bCs/>
              </w:rPr>
              <w:t>相关竣工图，建筑暖通系统、照明系统及电气设备能耗模拟计算书、暖通系统运行调试记录等，投入使用的项目应查阅建筑运行能耗统计数据</w:t>
            </w:r>
          </w:p>
        </w:tc>
      </w:tr>
      <w:tr w:rsidR="00EB74A4" w:rsidRPr="00EB74A4" w14:paraId="114145AC" w14:textId="77777777" w:rsidTr="00EB74A4">
        <w:trPr>
          <w:trHeight w:val="276"/>
        </w:trPr>
        <w:tc>
          <w:tcPr>
            <w:tcW w:w="960" w:type="dxa"/>
            <w:vAlign w:val="center"/>
            <w:hideMark/>
          </w:tcPr>
          <w:p w14:paraId="72D202BE" w14:textId="77777777" w:rsidR="00EB74A4" w:rsidRPr="00EB74A4" w:rsidRDefault="00EB74A4" w:rsidP="00EB74A4">
            <w:pPr>
              <w:pStyle w:val="ae"/>
              <w:rPr>
                <w:b w:val="0"/>
                <w:bCs/>
              </w:rPr>
            </w:pPr>
            <w:r w:rsidRPr="00EB74A4">
              <w:rPr>
                <w:rFonts w:hint="eastAsia"/>
                <w:b w:val="0"/>
                <w:bCs/>
              </w:rPr>
              <w:t>7.2.9</w:t>
            </w:r>
          </w:p>
        </w:tc>
        <w:tc>
          <w:tcPr>
            <w:tcW w:w="2040" w:type="dxa"/>
            <w:vAlign w:val="center"/>
            <w:hideMark/>
          </w:tcPr>
          <w:p w14:paraId="7DC02A4F" w14:textId="77777777" w:rsidR="00EB74A4" w:rsidRPr="00EB74A4" w:rsidRDefault="00EB74A4" w:rsidP="00EB74A4">
            <w:pPr>
              <w:pStyle w:val="ae"/>
              <w:rPr>
                <w:b w:val="0"/>
                <w:bCs/>
              </w:rPr>
            </w:pPr>
            <w:r w:rsidRPr="00EB74A4">
              <w:rPr>
                <w:rFonts w:hint="eastAsia"/>
                <w:b w:val="0"/>
                <w:bCs/>
              </w:rPr>
              <w:t>可再生能源</w:t>
            </w:r>
          </w:p>
        </w:tc>
        <w:tc>
          <w:tcPr>
            <w:tcW w:w="11540" w:type="dxa"/>
            <w:vAlign w:val="center"/>
            <w:hideMark/>
          </w:tcPr>
          <w:p w14:paraId="50240784" w14:textId="77777777" w:rsidR="00EB74A4" w:rsidRPr="00EB74A4" w:rsidRDefault="00EB74A4" w:rsidP="00EB74A4">
            <w:pPr>
              <w:pStyle w:val="ae"/>
              <w:rPr>
                <w:b w:val="0"/>
                <w:bCs/>
              </w:rPr>
            </w:pPr>
            <w:r w:rsidRPr="00EB74A4">
              <w:rPr>
                <w:rFonts w:hint="eastAsia"/>
                <w:b w:val="0"/>
                <w:bCs/>
              </w:rPr>
              <w:t>相关竣工图、计算分析报告（可再生能源利用率分析计算报告）、产品型式检验报告，组织现场查勘</w:t>
            </w:r>
          </w:p>
        </w:tc>
      </w:tr>
      <w:tr w:rsidR="00EB74A4" w:rsidRPr="00EB74A4" w14:paraId="0F06DBF0" w14:textId="77777777" w:rsidTr="00EB74A4">
        <w:trPr>
          <w:trHeight w:val="552"/>
        </w:trPr>
        <w:tc>
          <w:tcPr>
            <w:tcW w:w="960" w:type="dxa"/>
            <w:vAlign w:val="center"/>
            <w:hideMark/>
          </w:tcPr>
          <w:p w14:paraId="101A8E7C" w14:textId="77777777" w:rsidR="00EB74A4" w:rsidRPr="00EB74A4" w:rsidRDefault="00EB74A4" w:rsidP="00EB74A4">
            <w:pPr>
              <w:pStyle w:val="ae"/>
              <w:rPr>
                <w:b w:val="0"/>
                <w:bCs/>
              </w:rPr>
            </w:pPr>
            <w:r w:rsidRPr="00EB74A4">
              <w:rPr>
                <w:rFonts w:hint="eastAsia"/>
                <w:b w:val="0"/>
                <w:bCs/>
              </w:rPr>
              <w:t>7.2.10</w:t>
            </w:r>
          </w:p>
        </w:tc>
        <w:tc>
          <w:tcPr>
            <w:tcW w:w="2040" w:type="dxa"/>
            <w:vAlign w:val="center"/>
            <w:hideMark/>
          </w:tcPr>
          <w:p w14:paraId="65D8EAF5" w14:textId="77777777" w:rsidR="00EB74A4" w:rsidRPr="00EB74A4" w:rsidRDefault="00EB74A4" w:rsidP="00EB74A4">
            <w:pPr>
              <w:pStyle w:val="ae"/>
              <w:rPr>
                <w:b w:val="0"/>
                <w:bCs/>
              </w:rPr>
            </w:pPr>
            <w:r w:rsidRPr="00EB74A4">
              <w:rPr>
                <w:rFonts w:hint="eastAsia"/>
                <w:b w:val="0"/>
                <w:bCs/>
              </w:rPr>
              <w:t>被动式技术</w:t>
            </w:r>
          </w:p>
        </w:tc>
        <w:tc>
          <w:tcPr>
            <w:tcW w:w="11540" w:type="dxa"/>
            <w:vAlign w:val="center"/>
            <w:hideMark/>
          </w:tcPr>
          <w:p w14:paraId="4DBAB6E2" w14:textId="77777777" w:rsidR="00EB74A4" w:rsidRPr="00EB74A4" w:rsidRDefault="00EB74A4" w:rsidP="00EB74A4">
            <w:pPr>
              <w:pStyle w:val="ae"/>
              <w:rPr>
                <w:b w:val="0"/>
                <w:bCs/>
              </w:rPr>
            </w:pPr>
            <w:r w:rsidRPr="00EB74A4">
              <w:rPr>
                <w:rFonts w:hint="eastAsia"/>
                <w:b w:val="0"/>
                <w:bCs/>
              </w:rPr>
              <w:t>相关竣工图、计算分析报告（主要功能房间外门窗或玻璃幕墙的可开启面积比例计算书、车库自然采光区域面积计算书、节能计算报告）及门窗、主要能耗房间气密性检测检验报告，组织现场查勘</w:t>
            </w:r>
          </w:p>
        </w:tc>
      </w:tr>
      <w:tr w:rsidR="00EB74A4" w:rsidRPr="00EB74A4" w14:paraId="05E03CFA" w14:textId="77777777" w:rsidTr="00EB74A4">
        <w:trPr>
          <w:trHeight w:val="276"/>
        </w:trPr>
        <w:tc>
          <w:tcPr>
            <w:tcW w:w="960" w:type="dxa"/>
            <w:vAlign w:val="center"/>
            <w:hideMark/>
          </w:tcPr>
          <w:p w14:paraId="153045E1" w14:textId="77777777" w:rsidR="00EB74A4" w:rsidRPr="00EB74A4" w:rsidRDefault="00EB74A4" w:rsidP="00EB74A4">
            <w:pPr>
              <w:pStyle w:val="ae"/>
              <w:rPr>
                <w:b w:val="0"/>
                <w:bCs/>
              </w:rPr>
            </w:pPr>
            <w:r w:rsidRPr="00EB74A4">
              <w:rPr>
                <w:rFonts w:hint="eastAsia"/>
                <w:b w:val="0"/>
                <w:bCs/>
              </w:rPr>
              <w:t>7.2.11</w:t>
            </w:r>
          </w:p>
        </w:tc>
        <w:tc>
          <w:tcPr>
            <w:tcW w:w="2040" w:type="dxa"/>
            <w:vAlign w:val="center"/>
            <w:hideMark/>
          </w:tcPr>
          <w:p w14:paraId="77F58B59" w14:textId="77777777" w:rsidR="00EB74A4" w:rsidRPr="00EB74A4" w:rsidRDefault="00EB74A4" w:rsidP="00EB74A4">
            <w:pPr>
              <w:pStyle w:val="ae"/>
              <w:rPr>
                <w:b w:val="0"/>
                <w:bCs/>
              </w:rPr>
            </w:pPr>
            <w:r w:rsidRPr="00EB74A4">
              <w:rPr>
                <w:rFonts w:hint="eastAsia"/>
                <w:b w:val="0"/>
                <w:bCs/>
              </w:rPr>
              <w:t>卫生器具用水效率</w:t>
            </w:r>
          </w:p>
        </w:tc>
        <w:tc>
          <w:tcPr>
            <w:tcW w:w="11540" w:type="dxa"/>
            <w:vAlign w:val="center"/>
            <w:hideMark/>
          </w:tcPr>
          <w:p w14:paraId="21EFC188" w14:textId="77777777" w:rsidR="00EB74A4" w:rsidRPr="00EB74A4" w:rsidRDefault="00EB74A4" w:rsidP="00EB74A4">
            <w:pPr>
              <w:pStyle w:val="ae"/>
              <w:rPr>
                <w:b w:val="0"/>
                <w:bCs/>
              </w:rPr>
            </w:pPr>
            <w:r w:rsidRPr="00EB74A4">
              <w:rPr>
                <w:rFonts w:hint="eastAsia"/>
                <w:b w:val="0"/>
                <w:bCs/>
              </w:rPr>
              <w:t>相关竣工图纸、设计说明、产品说明书、产品节水性能检测报告。</w:t>
            </w:r>
          </w:p>
        </w:tc>
      </w:tr>
      <w:tr w:rsidR="00EB74A4" w:rsidRPr="00EB74A4" w14:paraId="52AB78D1" w14:textId="77777777" w:rsidTr="00EB74A4">
        <w:trPr>
          <w:trHeight w:val="276"/>
        </w:trPr>
        <w:tc>
          <w:tcPr>
            <w:tcW w:w="960" w:type="dxa"/>
            <w:vAlign w:val="center"/>
            <w:hideMark/>
          </w:tcPr>
          <w:p w14:paraId="068FE9A3" w14:textId="77777777" w:rsidR="00EB74A4" w:rsidRPr="00EB74A4" w:rsidRDefault="00EB74A4" w:rsidP="00EB74A4">
            <w:pPr>
              <w:pStyle w:val="ae"/>
              <w:rPr>
                <w:b w:val="0"/>
                <w:bCs/>
              </w:rPr>
            </w:pPr>
            <w:r w:rsidRPr="00EB74A4">
              <w:rPr>
                <w:rFonts w:hint="eastAsia"/>
                <w:b w:val="0"/>
                <w:bCs/>
              </w:rPr>
              <w:t>7.2.12</w:t>
            </w:r>
          </w:p>
        </w:tc>
        <w:tc>
          <w:tcPr>
            <w:tcW w:w="2040" w:type="dxa"/>
            <w:vAlign w:val="center"/>
            <w:hideMark/>
          </w:tcPr>
          <w:p w14:paraId="5A02C923" w14:textId="77777777" w:rsidR="00EB74A4" w:rsidRPr="00EB74A4" w:rsidRDefault="00EB74A4" w:rsidP="00EB74A4">
            <w:pPr>
              <w:pStyle w:val="ae"/>
              <w:rPr>
                <w:b w:val="0"/>
                <w:bCs/>
              </w:rPr>
            </w:pPr>
            <w:r w:rsidRPr="00EB74A4">
              <w:rPr>
                <w:rFonts w:hint="eastAsia"/>
                <w:b w:val="0"/>
                <w:bCs/>
              </w:rPr>
              <w:t>绿色灌溉及节水技术</w:t>
            </w:r>
          </w:p>
        </w:tc>
        <w:tc>
          <w:tcPr>
            <w:tcW w:w="11540" w:type="dxa"/>
            <w:vAlign w:val="center"/>
            <w:hideMark/>
          </w:tcPr>
          <w:p w14:paraId="37EB2306" w14:textId="77777777" w:rsidR="00EB74A4" w:rsidRPr="00EB74A4" w:rsidRDefault="00EB74A4" w:rsidP="00EB74A4">
            <w:pPr>
              <w:pStyle w:val="ae"/>
              <w:rPr>
                <w:b w:val="0"/>
                <w:bCs/>
              </w:rPr>
            </w:pPr>
            <w:r w:rsidRPr="00EB74A4">
              <w:rPr>
                <w:rFonts w:hint="eastAsia"/>
                <w:b w:val="0"/>
                <w:bCs/>
              </w:rPr>
              <w:t>设计说明、相关竣工图、产品说明书、产品节水性能检测报告、节水产品说明书，相关分析报告</w:t>
            </w:r>
          </w:p>
        </w:tc>
      </w:tr>
      <w:tr w:rsidR="00EB74A4" w:rsidRPr="00EB74A4" w14:paraId="1567ADA3" w14:textId="77777777" w:rsidTr="00EB74A4">
        <w:trPr>
          <w:trHeight w:val="276"/>
        </w:trPr>
        <w:tc>
          <w:tcPr>
            <w:tcW w:w="960" w:type="dxa"/>
            <w:vAlign w:val="center"/>
            <w:hideMark/>
          </w:tcPr>
          <w:p w14:paraId="1746C963" w14:textId="77777777" w:rsidR="00EB74A4" w:rsidRPr="00EB74A4" w:rsidRDefault="00EB74A4" w:rsidP="00EB74A4">
            <w:pPr>
              <w:pStyle w:val="ae"/>
              <w:rPr>
                <w:b w:val="0"/>
                <w:bCs/>
              </w:rPr>
            </w:pPr>
            <w:r w:rsidRPr="00EB74A4">
              <w:rPr>
                <w:rFonts w:hint="eastAsia"/>
                <w:b w:val="0"/>
                <w:bCs/>
              </w:rPr>
              <w:t>7.2.13</w:t>
            </w:r>
          </w:p>
        </w:tc>
        <w:tc>
          <w:tcPr>
            <w:tcW w:w="2040" w:type="dxa"/>
            <w:vAlign w:val="center"/>
            <w:hideMark/>
          </w:tcPr>
          <w:p w14:paraId="11A89E2E" w14:textId="77777777" w:rsidR="00EB74A4" w:rsidRPr="00EB74A4" w:rsidRDefault="00EB74A4" w:rsidP="00EB74A4">
            <w:pPr>
              <w:pStyle w:val="ae"/>
              <w:rPr>
                <w:b w:val="0"/>
                <w:bCs/>
              </w:rPr>
            </w:pPr>
            <w:r w:rsidRPr="00EB74A4">
              <w:rPr>
                <w:rFonts w:hint="eastAsia"/>
                <w:b w:val="0"/>
                <w:bCs/>
              </w:rPr>
              <w:t>景观水体</w:t>
            </w:r>
          </w:p>
        </w:tc>
        <w:tc>
          <w:tcPr>
            <w:tcW w:w="11540" w:type="dxa"/>
            <w:vAlign w:val="center"/>
            <w:hideMark/>
          </w:tcPr>
          <w:p w14:paraId="0CC8FB91" w14:textId="77777777" w:rsidR="00EB74A4" w:rsidRPr="00EB74A4" w:rsidRDefault="00EB74A4" w:rsidP="00EB74A4">
            <w:pPr>
              <w:pStyle w:val="ae"/>
              <w:rPr>
                <w:b w:val="0"/>
                <w:bCs/>
              </w:rPr>
            </w:pPr>
            <w:r w:rsidRPr="00EB74A4">
              <w:rPr>
                <w:rFonts w:hint="eastAsia"/>
                <w:b w:val="0"/>
                <w:bCs/>
              </w:rPr>
              <w:t>相关竣工图，计算书，景观水体补水用水计量运行记录，景观水体水质检测报告等</w:t>
            </w:r>
          </w:p>
        </w:tc>
      </w:tr>
      <w:tr w:rsidR="00EB74A4" w:rsidRPr="00EB74A4" w14:paraId="5CBF61B7" w14:textId="77777777" w:rsidTr="00EB74A4">
        <w:trPr>
          <w:trHeight w:val="276"/>
        </w:trPr>
        <w:tc>
          <w:tcPr>
            <w:tcW w:w="960" w:type="dxa"/>
            <w:vAlign w:val="center"/>
            <w:hideMark/>
          </w:tcPr>
          <w:p w14:paraId="457D1663" w14:textId="77777777" w:rsidR="00EB74A4" w:rsidRPr="00EB74A4" w:rsidRDefault="00EB74A4" w:rsidP="00EB74A4">
            <w:pPr>
              <w:pStyle w:val="ae"/>
              <w:rPr>
                <w:b w:val="0"/>
                <w:bCs/>
              </w:rPr>
            </w:pPr>
            <w:r w:rsidRPr="00EB74A4">
              <w:rPr>
                <w:rFonts w:hint="eastAsia"/>
                <w:b w:val="0"/>
                <w:bCs/>
              </w:rPr>
              <w:t>7.2.14</w:t>
            </w:r>
          </w:p>
        </w:tc>
        <w:tc>
          <w:tcPr>
            <w:tcW w:w="2040" w:type="dxa"/>
            <w:vAlign w:val="center"/>
            <w:hideMark/>
          </w:tcPr>
          <w:p w14:paraId="6AD0BB70" w14:textId="77777777" w:rsidR="00EB74A4" w:rsidRPr="00EB74A4" w:rsidRDefault="00EB74A4" w:rsidP="00EB74A4">
            <w:pPr>
              <w:pStyle w:val="ae"/>
              <w:rPr>
                <w:b w:val="0"/>
                <w:bCs/>
              </w:rPr>
            </w:pPr>
            <w:r w:rsidRPr="00EB74A4">
              <w:rPr>
                <w:rFonts w:hint="eastAsia"/>
                <w:b w:val="0"/>
                <w:bCs/>
              </w:rPr>
              <w:t>非传统水源</w:t>
            </w:r>
          </w:p>
        </w:tc>
        <w:tc>
          <w:tcPr>
            <w:tcW w:w="11540" w:type="dxa"/>
            <w:vAlign w:val="center"/>
            <w:hideMark/>
          </w:tcPr>
          <w:p w14:paraId="64B3B1F8" w14:textId="77777777" w:rsidR="00EB74A4" w:rsidRPr="00EB74A4" w:rsidRDefault="00EB74A4" w:rsidP="00EB74A4">
            <w:pPr>
              <w:pStyle w:val="ae"/>
              <w:rPr>
                <w:b w:val="0"/>
                <w:bCs/>
              </w:rPr>
            </w:pPr>
            <w:r w:rsidRPr="00EB74A4">
              <w:rPr>
                <w:rFonts w:hint="eastAsia"/>
                <w:b w:val="0"/>
                <w:bCs/>
              </w:rPr>
              <w:t>相关竣工图纸、设计说明、非传统水源利用计算书、非传统水源水质检测报告</w:t>
            </w:r>
          </w:p>
        </w:tc>
      </w:tr>
      <w:tr w:rsidR="00EB74A4" w:rsidRPr="00EB74A4" w14:paraId="1C31FD7A" w14:textId="77777777" w:rsidTr="00EB74A4">
        <w:trPr>
          <w:trHeight w:val="552"/>
        </w:trPr>
        <w:tc>
          <w:tcPr>
            <w:tcW w:w="960" w:type="dxa"/>
            <w:vAlign w:val="center"/>
            <w:hideMark/>
          </w:tcPr>
          <w:p w14:paraId="35149587" w14:textId="77777777" w:rsidR="00EB74A4" w:rsidRPr="00EB74A4" w:rsidRDefault="00EB74A4" w:rsidP="00EB74A4">
            <w:pPr>
              <w:pStyle w:val="ae"/>
              <w:rPr>
                <w:b w:val="0"/>
                <w:bCs/>
              </w:rPr>
            </w:pPr>
            <w:r w:rsidRPr="00EB74A4">
              <w:rPr>
                <w:rFonts w:hint="eastAsia"/>
                <w:b w:val="0"/>
                <w:bCs/>
              </w:rPr>
              <w:t>7.2.15</w:t>
            </w:r>
          </w:p>
        </w:tc>
        <w:tc>
          <w:tcPr>
            <w:tcW w:w="2040" w:type="dxa"/>
            <w:vAlign w:val="center"/>
            <w:hideMark/>
          </w:tcPr>
          <w:p w14:paraId="71B93308" w14:textId="77777777" w:rsidR="00EB74A4" w:rsidRPr="00EB74A4" w:rsidRDefault="00EB74A4" w:rsidP="00EB74A4">
            <w:pPr>
              <w:pStyle w:val="ae"/>
              <w:rPr>
                <w:b w:val="0"/>
                <w:bCs/>
              </w:rPr>
            </w:pPr>
            <w:r w:rsidRPr="00EB74A4">
              <w:rPr>
                <w:rFonts w:hint="eastAsia"/>
                <w:b w:val="0"/>
                <w:bCs/>
              </w:rPr>
              <w:t>土建、装修工程一体化</w:t>
            </w:r>
          </w:p>
        </w:tc>
        <w:tc>
          <w:tcPr>
            <w:tcW w:w="11540" w:type="dxa"/>
            <w:vAlign w:val="center"/>
            <w:hideMark/>
          </w:tcPr>
          <w:p w14:paraId="68E7B5B0" w14:textId="77777777" w:rsidR="00EB74A4" w:rsidRPr="00EB74A4" w:rsidRDefault="00EB74A4" w:rsidP="00EB74A4">
            <w:pPr>
              <w:pStyle w:val="ae"/>
              <w:rPr>
                <w:b w:val="0"/>
                <w:bCs/>
              </w:rPr>
            </w:pPr>
            <w:r w:rsidRPr="00EB74A4">
              <w:rPr>
                <w:rFonts w:hint="eastAsia"/>
                <w:b w:val="0"/>
                <w:bCs/>
              </w:rPr>
              <w:t>土建、装修各专业竣工图及其他证明材料，施工过程影像资料</w:t>
            </w:r>
          </w:p>
        </w:tc>
      </w:tr>
      <w:tr w:rsidR="00EB74A4" w:rsidRPr="00EB74A4" w14:paraId="14066573" w14:textId="77777777" w:rsidTr="00EB74A4">
        <w:trPr>
          <w:trHeight w:val="276"/>
        </w:trPr>
        <w:tc>
          <w:tcPr>
            <w:tcW w:w="960" w:type="dxa"/>
            <w:vAlign w:val="center"/>
            <w:hideMark/>
          </w:tcPr>
          <w:p w14:paraId="44D5F14F" w14:textId="77777777" w:rsidR="00EB74A4" w:rsidRPr="00EB74A4" w:rsidRDefault="00EB74A4" w:rsidP="00EB74A4">
            <w:pPr>
              <w:pStyle w:val="ae"/>
              <w:rPr>
                <w:b w:val="0"/>
                <w:bCs/>
              </w:rPr>
            </w:pPr>
            <w:r w:rsidRPr="00EB74A4">
              <w:rPr>
                <w:rFonts w:hint="eastAsia"/>
                <w:b w:val="0"/>
                <w:bCs/>
              </w:rPr>
              <w:lastRenderedPageBreak/>
              <w:t>7.2.16</w:t>
            </w:r>
          </w:p>
        </w:tc>
        <w:tc>
          <w:tcPr>
            <w:tcW w:w="2040" w:type="dxa"/>
            <w:vAlign w:val="center"/>
            <w:hideMark/>
          </w:tcPr>
          <w:p w14:paraId="5E97422F" w14:textId="77777777" w:rsidR="00EB74A4" w:rsidRPr="00EB74A4" w:rsidRDefault="00EB74A4" w:rsidP="00EB74A4">
            <w:pPr>
              <w:pStyle w:val="ae"/>
              <w:rPr>
                <w:b w:val="0"/>
                <w:bCs/>
              </w:rPr>
            </w:pPr>
            <w:r w:rsidRPr="00EB74A4">
              <w:rPr>
                <w:rFonts w:hint="eastAsia"/>
                <w:b w:val="0"/>
                <w:bCs/>
              </w:rPr>
              <w:t>建筑结构材料与构件</w:t>
            </w:r>
          </w:p>
        </w:tc>
        <w:tc>
          <w:tcPr>
            <w:tcW w:w="11540" w:type="dxa"/>
            <w:vAlign w:val="center"/>
            <w:hideMark/>
          </w:tcPr>
          <w:p w14:paraId="6BD2E0C9" w14:textId="77777777" w:rsidR="00EB74A4" w:rsidRPr="00EB74A4" w:rsidRDefault="00EB74A4" w:rsidP="00EB74A4">
            <w:pPr>
              <w:pStyle w:val="ae"/>
              <w:rPr>
                <w:b w:val="0"/>
                <w:bCs/>
              </w:rPr>
            </w:pPr>
            <w:r w:rsidRPr="00EB74A4">
              <w:rPr>
                <w:rFonts w:hint="eastAsia"/>
                <w:b w:val="0"/>
                <w:bCs/>
              </w:rPr>
              <w:t>相关竣工图、施工记录、材料决算清单、各类材料用量比例计算书，高强度材料使用比例计算报告，施工过程影像资料</w:t>
            </w:r>
          </w:p>
        </w:tc>
      </w:tr>
      <w:tr w:rsidR="00EB74A4" w:rsidRPr="00EB74A4" w14:paraId="0D9D0481" w14:textId="77777777" w:rsidTr="00EB74A4">
        <w:trPr>
          <w:trHeight w:val="276"/>
        </w:trPr>
        <w:tc>
          <w:tcPr>
            <w:tcW w:w="960" w:type="dxa"/>
            <w:vAlign w:val="center"/>
            <w:hideMark/>
          </w:tcPr>
          <w:p w14:paraId="546EABF1" w14:textId="77777777" w:rsidR="00EB74A4" w:rsidRPr="00EB74A4" w:rsidRDefault="00EB74A4" w:rsidP="00EB74A4">
            <w:pPr>
              <w:pStyle w:val="ae"/>
              <w:rPr>
                <w:b w:val="0"/>
                <w:bCs/>
              </w:rPr>
            </w:pPr>
            <w:r w:rsidRPr="00EB74A4">
              <w:rPr>
                <w:rFonts w:hint="eastAsia"/>
                <w:b w:val="0"/>
                <w:bCs/>
              </w:rPr>
              <w:t>7.2.17</w:t>
            </w:r>
          </w:p>
        </w:tc>
        <w:tc>
          <w:tcPr>
            <w:tcW w:w="2040" w:type="dxa"/>
            <w:vAlign w:val="center"/>
            <w:hideMark/>
          </w:tcPr>
          <w:p w14:paraId="34C71B1C" w14:textId="77777777" w:rsidR="00EB74A4" w:rsidRPr="00EB74A4" w:rsidRDefault="00EB74A4" w:rsidP="00EB74A4">
            <w:pPr>
              <w:pStyle w:val="ae"/>
              <w:rPr>
                <w:b w:val="0"/>
                <w:bCs/>
              </w:rPr>
            </w:pPr>
            <w:r w:rsidRPr="00EB74A4">
              <w:rPr>
                <w:rFonts w:hint="eastAsia"/>
                <w:b w:val="0"/>
                <w:bCs/>
              </w:rPr>
              <w:t>工业化内装部品</w:t>
            </w:r>
          </w:p>
        </w:tc>
        <w:tc>
          <w:tcPr>
            <w:tcW w:w="11540" w:type="dxa"/>
            <w:vAlign w:val="center"/>
            <w:hideMark/>
          </w:tcPr>
          <w:p w14:paraId="5567E3DA" w14:textId="77777777" w:rsidR="00EB74A4" w:rsidRPr="00EB74A4" w:rsidRDefault="00EB74A4" w:rsidP="00EB74A4">
            <w:pPr>
              <w:pStyle w:val="ae"/>
              <w:rPr>
                <w:b w:val="0"/>
                <w:bCs/>
              </w:rPr>
            </w:pPr>
            <w:r w:rsidRPr="00EB74A4">
              <w:rPr>
                <w:rFonts w:hint="eastAsia"/>
                <w:b w:val="0"/>
                <w:bCs/>
              </w:rPr>
              <w:t>相关竣工图、工业化内装部品用量比例计算书</w:t>
            </w:r>
          </w:p>
        </w:tc>
      </w:tr>
      <w:tr w:rsidR="00EB74A4" w:rsidRPr="00EB74A4" w14:paraId="3184C1BE" w14:textId="77777777" w:rsidTr="00EB74A4">
        <w:trPr>
          <w:trHeight w:val="552"/>
        </w:trPr>
        <w:tc>
          <w:tcPr>
            <w:tcW w:w="960" w:type="dxa"/>
            <w:vAlign w:val="center"/>
            <w:hideMark/>
          </w:tcPr>
          <w:p w14:paraId="5BC28854" w14:textId="77777777" w:rsidR="00EB74A4" w:rsidRPr="00EB74A4" w:rsidRDefault="00EB74A4" w:rsidP="00EB74A4">
            <w:pPr>
              <w:pStyle w:val="ae"/>
              <w:rPr>
                <w:b w:val="0"/>
                <w:bCs/>
              </w:rPr>
            </w:pPr>
            <w:r w:rsidRPr="00EB74A4">
              <w:rPr>
                <w:rFonts w:hint="eastAsia"/>
                <w:b w:val="0"/>
                <w:bCs/>
              </w:rPr>
              <w:t>7.2.18</w:t>
            </w:r>
          </w:p>
        </w:tc>
        <w:tc>
          <w:tcPr>
            <w:tcW w:w="2040" w:type="dxa"/>
            <w:vAlign w:val="center"/>
            <w:hideMark/>
          </w:tcPr>
          <w:p w14:paraId="50F4D296" w14:textId="77777777" w:rsidR="00EB74A4" w:rsidRPr="00EB74A4" w:rsidRDefault="00EB74A4" w:rsidP="00EB74A4">
            <w:pPr>
              <w:pStyle w:val="ae"/>
              <w:rPr>
                <w:b w:val="0"/>
                <w:bCs/>
              </w:rPr>
            </w:pPr>
            <w:r w:rsidRPr="00EB74A4">
              <w:rPr>
                <w:rFonts w:hint="eastAsia"/>
                <w:b w:val="0"/>
                <w:bCs/>
              </w:rPr>
              <w:t>可循环材料</w:t>
            </w:r>
          </w:p>
        </w:tc>
        <w:tc>
          <w:tcPr>
            <w:tcW w:w="11540" w:type="dxa"/>
            <w:vAlign w:val="center"/>
            <w:hideMark/>
          </w:tcPr>
          <w:p w14:paraId="5B3F96B0" w14:textId="77777777" w:rsidR="00EB74A4" w:rsidRPr="00EB74A4" w:rsidRDefault="00EB74A4" w:rsidP="00EB74A4">
            <w:pPr>
              <w:pStyle w:val="ae"/>
              <w:rPr>
                <w:b w:val="0"/>
                <w:bCs/>
              </w:rPr>
            </w:pPr>
            <w:r w:rsidRPr="00EB74A4">
              <w:rPr>
                <w:rFonts w:hint="eastAsia"/>
                <w:b w:val="0"/>
                <w:bCs/>
              </w:rPr>
              <w:t>工程决算材料清单、相关产品检测报告、各类材料用量比例计算书（可再循环材料使用比例计算报告等）、利废建材中废弃物掺量说明及证明材料</w:t>
            </w:r>
          </w:p>
        </w:tc>
      </w:tr>
      <w:tr w:rsidR="00EB74A4" w:rsidRPr="00EB74A4" w14:paraId="698F4D50" w14:textId="77777777" w:rsidTr="00EB74A4">
        <w:trPr>
          <w:trHeight w:val="276"/>
        </w:trPr>
        <w:tc>
          <w:tcPr>
            <w:tcW w:w="960" w:type="dxa"/>
            <w:vAlign w:val="center"/>
            <w:hideMark/>
          </w:tcPr>
          <w:p w14:paraId="4D096DC4" w14:textId="77777777" w:rsidR="00EB74A4" w:rsidRPr="00EB74A4" w:rsidRDefault="00EB74A4" w:rsidP="00EB74A4">
            <w:pPr>
              <w:pStyle w:val="ae"/>
              <w:rPr>
                <w:b w:val="0"/>
                <w:bCs/>
              </w:rPr>
            </w:pPr>
            <w:r w:rsidRPr="00EB74A4">
              <w:rPr>
                <w:rFonts w:hint="eastAsia"/>
                <w:b w:val="0"/>
                <w:bCs/>
              </w:rPr>
              <w:t>7.2.19</w:t>
            </w:r>
          </w:p>
        </w:tc>
        <w:tc>
          <w:tcPr>
            <w:tcW w:w="2040" w:type="dxa"/>
            <w:vAlign w:val="center"/>
            <w:hideMark/>
          </w:tcPr>
          <w:p w14:paraId="7DC4C693" w14:textId="77777777" w:rsidR="00EB74A4" w:rsidRPr="00EB74A4" w:rsidRDefault="00EB74A4" w:rsidP="00EB74A4">
            <w:pPr>
              <w:pStyle w:val="ae"/>
              <w:rPr>
                <w:b w:val="0"/>
                <w:bCs/>
              </w:rPr>
            </w:pPr>
            <w:r w:rsidRPr="00EB74A4">
              <w:rPr>
                <w:rFonts w:hint="eastAsia"/>
                <w:b w:val="0"/>
                <w:bCs/>
              </w:rPr>
              <w:t>绿色建材</w:t>
            </w:r>
          </w:p>
        </w:tc>
        <w:tc>
          <w:tcPr>
            <w:tcW w:w="11540" w:type="dxa"/>
            <w:vAlign w:val="center"/>
            <w:hideMark/>
          </w:tcPr>
          <w:p w14:paraId="0102F575" w14:textId="77777777" w:rsidR="00EB74A4" w:rsidRPr="00EB74A4" w:rsidRDefault="00EB74A4" w:rsidP="00EB74A4">
            <w:pPr>
              <w:pStyle w:val="ae"/>
              <w:rPr>
                <w:b w:val="0"/>
                <w:bCs/>
              </w:rPr>
            </w:pPr>
            <w:r w:rsidRPr="00EB74A4">
              <w:rPr>
                <w:rFonts w:hint="eastAsia"/>
                <w:b w:val="0"/>
                <w:bCs/>
              </w:rPr>
              <w:t>相关竣工图、计算分析报告、检测报告、工程决算材料清单、绿色建材标识证书、施工记录</w:t>
            </w:r>
          </w:p>
        </w:tc>
      </w:tr>
      <w:tr w:rsidR="00EB74A4" w:rsidRPr="00EB74A4" w14:paraId="21BAC455" w14:textId="77777777" w:rsidTr="00EB74A4">
        <w:trPr>
          <w:trHeight w:val="276"/>
        </w:trPr>
        <w:tc>
          <w:tcPr>
            <w:tcW w:w="960" w:type="dxa"/>
            <w:vAlign w:val="center"/>
            <w:hideMark/>
          </w:tcPr>
          <w:p w14:paraId="3995DEAA" w14:textId="77777777" w:rsidR="00EB74A4" w:rsidRPr="00EB74A4" w:rsidRDefault="00EB74A4" w:rsidP="00EB74A4">
            <w:pPr>
              <w:pStyle w:val="ae"/>
              <w:rPr>
                <w:b w:val="0"/>
                <w:bCs/>
              </w:rPr>
            </w:pPr>
            <w:r w:rsidRPr="00EB74A4">
              <w:rPr>
                <w:rFonts w:hint="eastAsia"/>
                <w:b w:val="0"/>
                <w:bCs/>
              </w:rPr>
              <w:t>7.2.20</w:t>
            </w:r>
          </w:p>
        </w:tc>
        <w:tc>
          <w:tcPr>
            <w:tcW w:w="2040" w:type="dxa"/>
            <w:vAlign w:val="center"/>
            <w:hideMark/>
          </w:tcPr>
          <w:p w14:paraId="458BF494" w14:textId="77777777" w:rsidR="00EB74A4" w:rsidRPr="00EB74A4" w:rsidRDefault="00EB74A4" w:rsidP="00EB74A4">
            <w:pPr>
              <w:pStyle w:val="ae"/>
              <w:rPr>
                <w:b w:val="0"/>
                <w:bCs/>
              </w:rPr>
            </w:pPr>
            <w:r w:rsidRPr="00EB74A4">
              <w:rPr>
                <w:rFonts w:hint="eastAsia"/>
                <w:b w:val="0"/>
                <w:bCs/>
              </w:rPr>
              <w:t>规则建筑结构</w:t>
            </w:r>
          </w:p>
        </w:tc>
        <w:tc>
          <w:tcPr>
            <w:tcW w:w="11540" w:type="dxa"/>
            <w:vAlign w:val="center"/>
            <w:hideMark/>
          </w:tcPr>
          <w:p w14:paraId="25329CEC" w14:textId="77777777" w:rsidR="00EB74A4" w:rsidRPr="00EB74A4" w:rsidRDefault="00EB74A4" w:rsidP="00EB74A4">
            <w:pPr>
              <w:pStyle w:val="ae"/>
              <w:rPr>
                <w:b w:val="0"/>
                <w:bCs/>
              </w:rPr>
            </w:pPr>
            <w:r w:rsidRPr="00EB74A4">
              <w:rPr>
                <w:rFonts w:hint="eastAsia"/>
                <w:b w:val="0"/>
                <w:bCs/>
              </w:rPr>
              <w:t>相关竣工图、建筑形体规则性判定报告</w:t>
            </w:r>
          </w:p>
        </w:tc>
      </w:tr>
      <w:tr w:rsidR="00EB74A4" w:rsidRPr="00EB74A4" w14:paraId="13596DD7" w14:textId="77777777" w:rsidTr="00EB74A4">
        <w:trPr>
          <w:trHeight w:val="2208"/>
        </w:trPr>
        <w:tc>
          <w:tcPr>
            <w:tcW w:w="960" w:type="dxa"/>
            <w:vAlign w:val="center"/>
            <w:hideMark/>
          </w:tcPr>
          <w:p w14:paraId="150AA602" w14:textId="77777777" w:rsidR="00EB74A4" w:rsidRPr="00EB74A4" w:rsidRDefault="00EB74A4" w:rsidP="00EB74A4">
            <w:pPr>
              <w:pStyle w:val="ae"/>
              <w:rPr>
                <w:b w:val="0"/>
                <w:bCs/>
              </w:rPr>
            </w:pPr>
            <w:r w:rsidRPr="00EB74A4">
              <w:rPr>
                <w:rFonts w:hint="eastAsia"/>
                <w:b w:val="0"/>
                <w:bCs/>
              </w:rPr>
              <w:t>8.1.1</w:t>
            </w:r>
          </w:p>
        </w:tc>
        <w:tc>
          <w:tcPr>
            <w:tcW w:w="2040" w:type="dxa"/>
            <w:vAlign w:val="center"/>
            <w:hideMark/>
          </w:tcPr>
          <w:p w14:paraId="548F45E2" w14:textId="77777777" w:rsidR="00EB74A4" w:rsidRPr="00EB74A4" w:rsidRDefault="00EB74A4" w:rsidP="00EB74A4">
            <w:pPr>
              <w:pStyle w:val="ae"/>
              <w:rPr>
                <w:b w:val="0"/>
                <w:bCs/>
              </w:rPr>
            </w:pPr>
            <w:r w:rsidRPr="00EB74A4">
              <w:rPr>
                <w:rFonts w:hint="eastAsia"/>
                <w:b w:val="0"/>
                <w:bCs/>
              </w:rPr>
              <w:t>日照</w:t>
            </w:r>
          </w:p>
        </w:tc>
        <w:tc>
          <w:tcPr>
            <w:tcW w:w="11540" w:type="dxa"/>
            <w:vAlign w:val="center"/>
            <w:hideMark/>
          </w:tcPr>
          <w:p w14:paraId="1778E0EC" w14:textId="77777777" w:rsidR="00EB74A4" w:rsidRPr="00EB74A4" w:rsidRDefault="00EB74A4" w:rsidP="00EB74A4">
            <w:pPr>
              <w:pStyle w:val="ae"/>
              <w:rPr>
                <w:b w:val="0"/>
                <w:bCs/>
              </w:rPr>
            </w:pPr>
            <w:r w:rsidRPr="00EB74A4">
              <w:rPr>
                <w:rFonts w:hint="eastAsia"/>
                <w:b w:val="0"/>
                <w:bCs/>
              </w:rPr>
              <w:t>相关竣工图、</w:t>
            </w:r>
            <w:r w:rsidRPr="00EB74A4">
              <w:rPr>
                <w:rFonts w:hint="eastAsia"/>
                <w:b w:val="0"/>
                <w:bCs/>
              </w:rPr>
              <w:br/>
            </w:r>
            <w:r w:rsidRPr="00EB74A4">
              <w:rPr>
                <w:rFonts w:hint="eastAsia"/>
                <w:b w:val="0"/>
                <w:bCs/>
              </w:rPr>
              <w:t>（</w:t>
            </w:r>
            <w:r w:rsidRPr="00EB74A4">
              <w:rPr>
                <w:rFonts w:hint="eastAsia"/>
                <w:b w:val="0"/>
                <w:bCs/>
              </w:rPr>
              <w:t>1</w:t>
            </w:r>
            <w:r w:rsidRPr="00EB74A4">
              <w:rPr>
                <w:rFonts w:hint="eastAsia"/>
                <w:b w:val="0"/>
                <w:bCs/>
              </w:rPr>
              <w:t>一般项目：所在地城市（镇）总体规划的“土地利用规划图”或控制性详细规划的相关图纸及文件或控制性详细规划及建设项目地块的规划图，或提供项目规划许可证。</w:t>
            </w:r>
            <w:r w:rsidRPr="00EB74A4">
              <w:rPr>
                <w:rFonts w:hint="eastAsia"/>
                <w:b w:val="0"/>
                <w:bCs/>
              </w:rPr>
              <w:br/>
              <w:t>2</w:t>
            </w:r>
            <w:r w:rsidRPr="00EB74A4">
              <w:rPr>
                <w:rFonts w:hint="eastAsia"/>
                <w:b w:val="0"/>
                <w:bCs/>
              </w:rPr>
              <w:t>风景名胜区的项目：已批复的风景名胜区总体规划有关图纸及文件，城乡规划主管部门或该风景名胜区管理机构出具的同意该项目规划设计方案的证明文件。</w:t>
            </w:r>
            <w:r w:rsidRPr="00EB74A4">
              <w:rPr>
                <w:rFonts w:hint="eastAsia"/>
                <w:b w:val="0"/>
                <w:bCs/>
              </w:rPr>
              <w:br/>
              <w:t>3</w:t>
            </w:r>
            <w:r w:rsidRPr="00EB74A4">
              <w:rPr>
                <w:rFonts w:hint="eastAsia"/>
                <w:b w:val="0"/>
                <w:bCs/>
              </w:rPr>
              <w:t>历史文化名城或历史文化街区的项目：已批复的历史文化名城或历史文化街区保护总体规划的有关图纸和文件</w:t>
            </w:r>
            <w:r w:rsidRPr="00EB74A4">
              <w:rPr>
                <w:rFonts w:hint="eastAsia"/>
                <w:b w:val="0"/>
                <w:bCs/>
              </w:rPr>
              <w:br/>
              <w:t>4</w:t>
            </w:r>
            <w:r w:rsidRPr="00EB74A4">
              <w:rPr>
                <w:rFonts w:hint="eastAsia"/>
                <w:b w:val="0"/>
                <w:bCs/>
              </w:rPr>
              <w:t>文物保护单位的项目：所在地文化行政主管部门出具有关文件，或该项目规划设计方案）、</w:t>
            </w:r>
            <w:r w:rsidRPr="00EB74A4">
              <w:rPr>
                <w:rFonts w:hint="eastAsia"/>
                <w:b w:val="0"/>
                <w:bCs/>
              </w:rPr>
              <w:br/>
            </w:r>
            <w:r w:rsidRPr="00EB74A4">
              <w:rPr>
                <w:rFonts w:hint="eastAsia"/>
                <w:b w:val="0"/>
                <w:bCs/>
              </w:rPr>
              <w:t>日照分析报告</w:t>
            </w:r>
          </w:p>
        </w:tc>
      </w:tr>
      <w:tr w:rsidR="00EB74A4" w:rsidRPr="00EB74A4" w14:paraId="10609A2F" w14:textId="77777777" w:rsidTr="00EB74A4">
        <w:trPr>
          <w:trHeight w:val="276"/>
        </w:trPr>
        <w:tc>
          <w:tcPr>
            <w:tcW w:w="960" w:type="dxa"/>
            <w:vAlign w:val="center"/>
            <w:hideMark/>
          </w:tcPr>
          <w:p w14:paraId="68D79C1B" w14:textId="77777777" w:rsidR="00EB74A4" w:rsidRPr="00EB74A4" w:rsidRDefault="00EB74A4" w:rsidP="00EB74A4">
            <w:pPr>
              <w:pStyle w:val="ae"/>
              <w:rPr>
                <w:b w:val="0"/>
                <w:bCs/>
              </w:rPr>
            </w:pPr>
            <w:r w:rsidRPr="00EB74A4">
              <w:rPr>
                <w:rFonts w:hint="eastAsia"/>
                <w:b w:val="0"/>
                <w:bCs/>
              </w:rPr>
              <w:t>8.1.2</w:t>
            </w:r>
          </w:p>
        </w:tc>
        <w:tc>
          <w:tcPr>
            <w:tcW w:w="2040" w:type="dxa"/>
            <w:vAlign w:val="center"/>
            <w:hideMark/>
          </w:tcPr>
          <w:p w14:paraId="328CB132" w14:textId="77777777" w:rsidR="00EB74A4" w:rsidRPr="00EB74A4" w:rsidRDefault="00EB74A4" w:rsidP="00EB74A4">
            <w:pPr>
              <w:pStyle w:val="ae"/>
              <w:rPr>
                <w:b w:val="0"/>
                <w:bCs/>
              </w:rPr>
            </w:pPr>
            <w:r w:rsidRPr="00EB74A4">
              <w:rPr>
                <w:rFonts w:hint="eastAsia"/>
                <w:b w:val="0"/>
                <w:bCs/>
              </w:rPr>
              <w:t>室外热环境</w:t>
            </w:r>
          </w:p>
        </w:tc>
        <w:tc>
          <w:tcPr>
            <w:tcW w:w="11540" w:type="dxa"/>
            <w:vAlign w:val="center"/>
            <w:hideMark/>
          </w:tcPr>
          <w:p w14:paraId="5A768887" w14:textId="77777777" w:rsidR="00EB74A4" w:rsidRPr="00EB74A4" w:rsidRDefault="00EB74A4" w:rsidP="00EB74A4">
            <w:pPr>
              <w:pStyle w:val="ae"/>
              <w:rPr>
                <w:b w:val="0"/>
                <w:bCs/>
              </w:rPr>
            </w:pPr>
            <w:r w:rsidRPr="00EB74A4">
              <w:rPr>
                <w:rFonts w:hint="eastAsia"/>
                <w:b w:val="0"/>
                <w:bCs/>
              </w:rPr>
              <w:t>相关竣工图、场地热环境计算报告</w:t>
            </w:r>
          </w:p>
        </w:tc>
      </w:tr>
      <w:tr w:rsidR="00EB74A4" w:rsidRPr="00EB74A4" w14:paraId="2E42228F" w14:textId="77777777" w:rsidTr="00EB74A4">
        <w:trPr>
          <w:trHeight w:val="276"/>
        </w:trPr>
        <w:tc>
          <w:tcPr>
            <w:tcW w:w="960" w:type="dxa"/>
            <w:vAlign w:val="center"/>
            <w:hideMark/>
          </w:tcPr>
          <w:p w14:paraId="6507A934" w14:textId="77777777" w:rsidR="00EB74A4" w:rsidRPr="00EB74A4" w:rsidRDefault="00EB74A4" w:rsidP="00EB74A4">
            <w:pPr>
              <w:pStyle w:val="ae"/>
              <w:rPr>
                <w:b w:val="0"/>
                <w:bCs/>
              </w:rPr>
            </w:pPr>
            <w:r w:rsidRPr="00EB74A4">
              <w:rPr>
                <w:rFonts w:hint="eastAsia"/>
                <w:b w:val="0"/>
                <w:bCs/>
              </w:rPr>
              <w:t>8.1.3</w:t>
            </w:r>
          </w:p>
        </w:tc>
        <w:tc>
          <w:tcPr>
            <w:tcW w:w="2040" w:type="dxa"/>
            <w:vAlign w:val="center"/>
            <w:hideMark/>
          </w:tcPr>
          <w:p w14:paraId="71F32F91" w14:textId="77777777" w:rsidR="00EB74A4" w:rsidRPr="00EB74A4" w:rsidRDefault="00EB74A4" w:rsidP="00EB74A4">
            <w:pPr>
              <w:pStyle w:val="ae"/>
              <w:rPr>
                <w:b w:val="0"/>
                <w:bCs/>
              </w:rPr>
            </w:pPr>
            <w:r w:rsidRPr="00EB74A4">
              <w:rPr>
                <w:rFonts w:hint="eastAsia"/>
                <w:b w:val="0"/>
                <w:bCs/>
              </w:rPr>
              <w:t>绿化方式</w:t>
            </w:r>
          </w:p>
        </w:tc>
        <w:tc>
          <w:tcPr>
            <w:tcW w:w="11540" w:type="dxa"/>
            <w:vAlign w:val="center"/>
            <w:hideMark/>
          </w:tcPr>
          <w:p w14:paraId="1974BB4C" w14:textId="77777777" w:rsidR="00EB74A4" w:rsidRPr="00EB74A4" w:rsidRDefault="00EB74A4" w:rsidP="00EB74A4">
            <w:pPr>
              <w:pStyle w:val="ae"/>
              <w:rPr>
                <w:b w:val="0"/>
                <w:bCs/>
              </w:rPr>
            </w:pPr>
            <w:r w:rsidRPr="00EB74A4">
              <w:rPr>
                <w:rFonts w:hint="eastAsia"/>
                <w:b w:val="0"/>
                <w:bCs/>
              </w:rPr>
              <w:t>相关竣工图和计算报告、苗木采购清单、养护资料并现场核实。</w:t>
            </w:r>
          </w:p>
        </w:tc>
      </w:tr>
      <w:tr w:rsidR="00EB74A4" w:rsidRPr="00EB74A4" w14:paraId="292DD0E1" w14:textId="77777777" w:rsidTr="00EB74A4">
        <w:trPr>
          <w:trHeight w:val="276"/>
        </w:trPr>
        <w:tc>
          <w:tcPr>
            <w:tcW w:w="960" w:type="dxa"/>
            <w:vAlign w:val="center"/>
            <w:hideMark/>
          </w:tcPr>
          <w:p w14:paraId="3A349A85" w14:textId="77777777" w:rsidR="00EB74A4" w:rsidRPr="00EB74A4" w:rsidRDefault="00EB74A4" w:rsidP="00EB74A4">
            <w:pPr>
              <w:pStyle w:val="ae"/>
              <w:rPr>
                <w:b w:val="0"/>
                <w:bCs/>
              </w:rPr>
            </w:pPr>
            <w:r w:rsidRPr="00EB74A4">
              <w:rPr>
                <w:rFonts w:hint="eastAsia"/>
                <w:b w:val="0"/>
                <w:bCs/>
              </w:rPr>
              <w:t>8.1.4</w:t>
            </w:r>
          </w:p>
        </w:tc>
        <w:tc>
          <w:tcPr>
            <w:tcW w:w="2040" w:type="dxa"/>
            <w:vAlign w:val="center"/>
            <w:hideMark/>
          </w:tcPr>
          <w:p w14:paraId="0F18C09A" w14:textId="77777777" w:rsidR="00EB74A4" w:rsidRPr="00EB74A4" w:rsidRDefault="00EB74A4" w:rsidP="00EB74A4">
            <w:pPr>
              <w:pStyle w:val="ae"/>
              <w:rPr>
                <w:b w:val="0"/>
                <w:bCs/>
              </w:rPr>
            </w:pPr>
            <w:r w:rsidRPr="00EB74A4">
              <w:rPr>
                <w:rFonts w:hint="eastAsia"/>
                <w:b w:val="0"/>
                <w:bCs/>
              </w:rPr>
              <w:t>场地竖向设计</w:t>
            </w:r>
          </w:p>
        </w:tc>
        <w:tc>
          <w:tcPr>
            <w:tcW w:w="11540" w:type="dxa"/>
            <w:vAlign w:val="center"/>
            <w:hideMark/>
          </w:tcPr>
          <w:p w14:paraId="43A19715" w14:textId="77777777" w:rsidR="00EB74A4" w:rsidRPr="00EB74A4" w:rsidRDefault="00EB74A4" w:rsidP="00EB74A4">
            <w:pPr>
              <w:pStyle w:val="ae"/>
              <w:rPr>
                <w:b w:val="0"/>
                <w:bCs/>
              </w:rPr>
            </w:pPr>
            <w:r w:rsidRPr="00EB74A4">
              <w:rPr>
                <w:rFonts w:hint="eastAsia"/>
                <w:b w:val="0"/>
                <w:bCs/>
              </w:rPr>
              <w:t>（评价查阅相关竣工图、年径流总量控制率计算书、设计控制雨量计算书、场地雨水综合利用方案或专项设计文件。</w:t>
            </w:r>
          </w:p>
        </w:tc>
      </w:tr>
      <w:tr w:rsidR="00EB74A4" w:rsidRPr="00EB74A4" w14:paraId="2C3E4370" w14:textId="77777777" w:rsidTr="00EB74A4">
        <w:trPr>
          <w:trHeight w:val="276"/>
        </w:trPr>
        <w:tc>
          <w:tcPr>
            <w:tcW w:w="960" w:type="dxa"/>
            <w:vAlign w:val="center"/>
            <w:hideMark/>
          </w:tcPr>
          <w:p w14:paraId="5DB30FD1" w14:textId="77777777" w:rsidR="00EB74A4" w:rsidRPr="00EB74A4" w:rsidRDefault="00EB74A4" w:rsidP="00EB74A4">
            <w:pPr>
              <w:pStyle w:val="ae"/>
              <w:rPr>
                <w:b w:val="0"/>
                <w:bCs/>
              </w:rPr>
            </w:pPr>
            <w:r w:rsidRPr="00EB74A4">
              <w:rPr>
                <w:rFonts w:hint="eastAsia"/>
                <w:b w:val="0"/>
                <w:bCs/>
              </w:rPr>
              <w:t>8.1.5</w:t>
            </w:r>
          </w:p>
        </w:tc>
        <w:tc>
          <w:tcPr>
            <w:tcW w:w="2040" w:type="dxa"/>
            <w:vAlign w:val="center"/>
            <w:hideMark/>
          </w:tcPr>
          <w:p w14:paraId="3972BB17" w14:textId="77777777" w:rsidR="00EB74A4" w:rsidRPr="00EB74A4" w:rsidRDefault="00EB74A4" w:rsidP="00EB74A4">
            <w:pPr>
              <w:pStyle w:val="ae"/>
              <w:rPr>
                <w:b w:val="0"/>
                <w:bCs/>
              </w:rPr>
            </w:pPr>
            <w:r w:rsidRPr="00EB74A4">
              <w:rPr>
                <w:rFonts w:hint="eastAsia"/>
                <w:b w:val="0"/>
                <w:bCs/>
              </w:rPr>
              <w:t>无排放超标</w:t>
            </w:r>
          </w:p>
        </w:tc>
        <w:tc>
          <w:tcPr>
            <w:tcW w:w="11540" w:type="dxa"/>
            <w:vAlign w:val="center"/>
            <w:hideMark/>
          </w:tcPr>
          <w:p w14:paraId="018025FE" w14:textId="77777777" w:rsidR="00EB74A4" w:rsidRPr="00EB74A4" w:rsidRDefault="00EB74A4" w:rsidP="00EB74A4">
            <w:pPr>
              <w:pStyle w:val="ae"/>
              <w:rPr>
                <w:b w:val="0"/>
                <w:bCs/>
              </w:rPr>
            </w:pPr>
            <w:r w:rsidRPr="00EB74A4">
              <w:rPr>
                <w:rFonts w:hint="eastAsia"/>
                <w:b w:val="0"/>
                <w:bCs/>
              </w:rPr>
              <w:t>环评报告、治理措施分析报告，组织现场查勘。</w:t>
            </w:r>
          </w:p>
        </w:tc>
      </w:tr>
      <w:tr w:rsidR="00EB74A4" w:rsidRPr="00EB74A4" w14:paraId="70B851CB" w14:textId="77777777" w:rsidTr="00EB74A4">
        <w:trPr>
          <w:trHeight w:val="276"/>
        </w:trPr>
        <w:tc>
          <w:tcPr>
            <w:tcW w:w="960" w:type="dxa"/>
            <w:vAlign w:val="center"/>
            <w:hideMark/>
          </w:tcPr>
          <w:p w14:paraId="6BADE213" w14:textId="77777777" w:rsidR="00EB74A4" w:rsidRPr="00EB74A4" w:rsidRDefault="00EB74A4" w:rsidP="00EB74A4">
            <w:pPr>
              <w:pStyle w:val="ae"/>
              <w:rPr>
                <w:b w:val="0"/>
                <w:bCs/>
              </w:rPr>
            </w:pPr>
            <w:r w:rsidRPr="00EB74A4">
              <w:rPr>
                <w:rFonts w:hint="eastAsia"/>
                <w:b w:val="0"/>
                <w:bCs/>
              </w:rPr>
              <w:lastRenderedPageBreak/>
              <w:t>8.1.6</w:t>
            </w:r>
          </w:p>
        </w:tc>
        <w:tc>
          <w:tcPr>
            <w:tcW w:w="2040" w:type="dxa"/>
            <w:vAlign w:val="center"/>
            <w:hideMark/>
          </w:tcPr>
          <w:p w14:paraId="08C6D5B3" w14:textId="77777777" w:rsidR="00EB74A4" w:rsidRPr="00EB74A4" w:rsidRDefault="00EB74A4" w:rsidP="00EB74A4">
            <w:pPr>
              <w:pStyle w:val="ae"/>
              <w:rPr>
                <w:b w:val="0"/>
                <w:bCs/>
              </w:rPr>
            </w:pPr>
            <w:r w:rsidRPr="00EB74A4">
              <w:rPr>
                <w:rFonts w:hint="eastAsia"/>
                <w:b w:val="0"/>
                <w:bCs/>
              </w:rPr>
              <w:t>生活垃圾</w:t>
            </w:r>
          </w:p>
        </w:tc>
        <w:tc>
          <w:tcPr>
            <w:tcW w:w="11540" w:type="dxa"/>
            <w:vAlign w:val="center"/>
            <w:hideMark/>
          </w:tcPr>
          <w:p w14:paraId="4F00E75A" w14:textId="77777777" w:rsidR="00EB74A4" w:rsidRPr="00EB74A4" w:rsidRDefault="00EB74A4" w:rsidP="00EB74A4">
            <w:pPr>
              <w:pStyle w:val="ae"/>
              <w:rPr>
                <w:b w:val="0"/>
                <w:bCs/>
              </w:rPr>
            </w:pPr>
            <w:r w:rsidRPr="00EB74A4">
              <w:rPr>
                <w:rFonts w:hint="eastAsia"/>
                <w:b w:val="0"/>
                <w:bCs/>
              </w:rPr>
              <w:t>相关竣工图、垃圾收集设施布置图，组织现场查勘、投入使用的项目：物业管理机构制定的垃圾管理制度，</w:t>
            </w:r>
          </w:p>
        </w:tc>
      </w:tr>
      <w:tr w:rsidR="00EB74A4" w:rsidRPr="00EB74A4" w14:paraId="235CE7A9" w14:textId="77777777" w:rsidTr="00EB74A4">
        <w:trPr>
          <w:trHeight w:val="276"/>
        </w:trPr>
        <w:tc>
          <w:tcPr>
            <w:tcW w:w="960" w:type="dxa"/>
            <w:vAlign w:val="center"/>
            <w:hideMark/>
          </w:tcPr>
          <w:p w14:paraId="6A26BA60" w14:textId="77777777" w:rsidR="00EB74A4" w:rsidRPr="00EB74A4" w:rsidRDefault="00EB74A4" w:rsidP="00EB74A4">
            <w:pPr>
              <w:pStyle w:val="ae"/>
              <w:rPr>
                <w:b w:val="0"/>
                <w:bCs/>
              </w:rPr>
            </w:pPr>
            <w:r w:rsidRPr="00EB74A4">
              <w:rPr>
                <w:rFonts w:hint="eastAsia"/>
                <w:b w:val="0"/>
                <w:bCs/>
              </w:rPr>
              <w:t>8.1.7</w:t>
            </w:r>
          </w:p>
        </w:tc>
        <w:tc>
          <w:tcPr>
            <w:tcW w:w="2040" w:type="dxa"/>
            <w:vAlign w:val="center"/>
            <w:hideMark/>
          </w:tcPr>
          <w:p w14:paraId="6AC8E8C9" w14:textId="77777777" w:rsidR="00EB74A4" w:rsidRPr="00EB74A4" w:rsidRDefault="00EB74A4" w:rsidP="00EB74A4">
            <w:pPr>
              <w:pStyle w:val="ae"/>
              <w:rPr>
                <w:b w:val="0"/>
                <w:bCs/>
              </w:rPr>
            </w:pPr>
            <w:r w:rsidRPr="00EB74A4">
              <w:rPr>
                <w:rFonts w:hint="eastAsia"/>
                <w:b w:val="0"/>
                <w:bCs/>
              </w:rPr>
              <w:t>禁止吸烟</w:t>
            </w:r>
          </w:p>
        </w:tc>
        <w:tc>
          <w:tcPr>
            <w:tcW w:w="11540" w:type="dxa"/>
            <w:vAlign w:val="center"/>
            <w:hideMark/>
          </w:tcPr>
          <w:p w14:paraId="38976726" w14:textId="77777777" w:rsidR="00EB74A4" w:rsidRPr="00EB74A4" w:rsidRDefault="00EB74A4" w:rsidP="00EB74A4">
            <w:pPr>
              <w:pStyle w:val="ae"/>
              <w:rPr>
                <w:b w:val="0"/>
                <w:bCs/>
              </w:rPr>
            </w:pPr>
            <w:r w:rsidRPr="00EB74A4">
              <w:rPr>
                <w:rFonts w:hint="eastAsia"/>
                <w:b w:val="0"/>
                <w:bCs/>
              </w:rPr>
              <w:t>相关竣工图、禁烟标识布置图，投入使用的项目尚应查阅相关管理制度，组织现场查勘</w:t>
            </w:r>
          </w:p>
        </w:tc>
      </w:tr>
      <w:tr w:rsidR="00EB74A4" w:rsidRPr="00EB74A4" w14:paraId="57EDCC9B" w14:textId="77777777" w:rsidTr="00EB74A4">
        <w:trPr>
          <w:trHeight w:val="552"/>
        </w:trPr>
        <w:tc>
          <w:tcPr>
            <w:tcW w:w="960" w:type="dxa"/>
            <w:vAlign w:val="center"/>
            <w:hideMark/>
          </w:tcPr>
          <w:p w14:paraId="3E30037B" w14:textId="77777777" w:rsidR="00EB74A4" w:rsidRPr="00EB74A4" w:rsidRDefault="00EB74A4" w:rsidP="00EB74A4">
            <w:pPr>
              <w:pStyle w:val="ae"/>
              <w:rPr>
                <w:b w:val="0"/>
                <w:bCs/>
              </w:rPr>
            </w:pPr>
            <w:r w:rsidRPr="00EB74A4">
              <w:rPr>
                <w:rFonts w:hint="eastAsia"/>
                <w:b w:val="0"/>
                <w:bCs/>
              </w:rPr>
              <w:t>8.2.1</w:t>
            </w:r>
          </w:p>
        </w:tc>
        <w:tc>
          <w:tcPr>
            <w:tcW w:w="2040" w:type="dxa"/>
            <w:vAlign w:val="center"/>
            <w:hideMark/>
          </w:tcPr>
          <w:p w14:paraId="53024B4B" w14:textId="77777777" w:rsidR="00EB74A4" w:rsidRPr="00EB74A4" w:rsidRDefault="00EB74A4" w:rsidP="00EB74A4">
            <w:pPr>
              <w:pStyle w:val="ae"/>
              <w:rPr>
                <w:b w:val="0"/>
                <w:bCs/>
              </w:rPr>
            </w:pPr>
            <w:r w:rsidRPr="00EB74A4">
              <w:rPr>
                <w:rFonts w:hint="eastAsia"/>
                <w:b w:val="0"/>
                <w:bCs/>
              </w:rPr>
              <w:t>场地生态环境</w:t>
            </w:r>
          </w:p>
        </w:tc>
        <w:tc>
          <w:tcPr>
            <w:tcW w:w="11540" w:type="dxa"/>
            <w:vAlign w:val="center"/>
            <w:hideMark/>
          </w:tcPr>
          <w:p w14:paraId="1A0F4C46" w14:textId="77777777" w:rsidR="00EB74A4" w:rsidRPr="00EB74A4" w:rsidRDefault="00EB74A4" w:rsidP="00EB74A4">
            <w:pPr>
              <w:pStyle w:val="ae"/>
              <w:rPr>
                <w:b w:val="0"/>
                <w:bCs/>
              </w:rPr>
            </w:pPr>
            <w:r w:rsidRPr="00EB74A4">
              <w:rPr>
                <w:rFonts w:hint="eastAsia"/>
                <w:b w:val="0"/>
                <w:bCs/>
              </w:rPr>
              <w:t>相关竣工图、生态补偿方案</w:t>
            </w:r>
            <w:r w:rsidRPr="00EB74A4">
              <w:rPr>
                <w:rFonts w:hint="eastAsia"/>
                <w:b w:val="0"/>
                <w:bCs/>
              </w:rPr>
              <w:t>(</w:t>
            </w:r>
            <w:r w:rsidRPr="00EB74A4">
              <w:rPr>
                <w:rFonts w:hint="eastAsia"/>
                <w:b w:val="0"/>
                <w:bCs/>
              </w:rPr>
              <w:t>植被保护方案及记录、水面保留方案、表层土利用相关图纸或说明文件等</w:t>
            </w:r>
            <w:r w:rsidRPr="00EB74A4">
              <w:rPr>
                <w:rFonts w:hint="eastAsia"/>
                <w:b w:val="0"/>
                <w:bCs/>
              </w:rPr>
              <w:t>)</w:t>
            </w:r>
            <w:r w:rsidRPr="00EB74A4">
              <w:rPr>
                <w:rFonts w:hint="eastAsia"/>
                <w:b w:val="0"/>
                <w:bCs/>
              </w:rPr>
              <w:t>、施工记录、影像材料</w:t>
            </w:r>
          </w:p>
        </w:tc>
      </w:tr>
      <w:tr w:rsidR="00EB74A4" w:rsidRPr="00EB74A4" w14:paraId="4D6692A1" w14:textId="77777777" w:rsidTr="00EB74A4">
        <w:trPr>
          <w:trHeight w:val="276"/>
        </w:trPr>
        <w:tc>
          <w:tcPr>
            <w:tcW w:w="960" w:type="dxa"/>
            <w:vAlign w:val="center"/>
            <w:hideMark/>
          </w:tcPr>
          <w:p w14:paraId="58CF3278" w14:textId="77777777" w:rsidR="00EB74A4" w:rsidRPr="00EB74A4" w:rsidRDefault="00EB74A4" w:rsidP="00EB74A4">
            <w:pPr>
              <w:pStyle w:val="ae"/>
              <w:rPr>
                <w:b w:val="0"/>
                <w:bCs/>
              </w:rPr>
            </w:pPr>
            <w:r w:rsidRPr="00EB74A4">
              <w:rPr>
                <w:rFonts w:hint="eastAsia"/>
                <w:b w:val="0"/>
                <w:bCs/>
              </w:rPr>
              <w:t>8.2.2</w:t>
            </w:r>
          </w:p>
        </w:tc>
        <w:tc>
          <w:tcPr>
            <w:tcW w:w="2040" w:type="dxa"/>
            <w:vAlign w:val="center"/>
            <w:hideMark/>
          </w:tcPr>
          <w:p w14:paraId="1FD00F78" w14:textId="77777777" w:rsidR="00EB74A4" w:rsidRPr="00EB74A4" w:rsidRDefault="00EB74A4" w:rsidP="00EB74A4">
            <w:pPr>
              <w:pStyle w:val="ae"/>
              <w:rPr>
                <w:b w:val="0"/>
                <w:bCs/>
              </w:rPr>
            </w:pPr>
            <w:r w:rsidRPr="00EB74A4">
              <w:rPr>
                <w:rFonts w:hint="eastAsia"/>
                <w:b w:val="0"/>
                <w:bCs/>
              </w:rPr>
              <w:t>年径流量</w:t>
            </w:r>
          </w:p>
        </w:tc>
        <w:tc>
          <w:tcPr>
            <w:tcW w:w="11540" w:type="dxa"/>
            <w:vAlign w:val="center"/>
            <w:hideMark/>
          </w:tcPr>
          <w:p w14:paraId="0BEE3B53" w14:textId="77777777" w:rsidR="00EB74A4" w:rsidRPr="00EB74A4" w:rsidRDefault="00EB74A4" w:rsidP="00EB74A4">
            <w:pPr>
              <w:pStyle w:val="ae"/>
              <w:rPr>
                <w:b w:val="0"/>
                <w:bCs/>
              </w:rPr>
            </w:pPr>
            <w:r w:rsidRPr="00EB74A4">
              <w:rPr>
                <w:rFonts w:hint="eastAsia"/>
                <w:b w:val="0"/>
                <w:bCs/>
              </w:rPr>
              <w:t>相关竣工图、年径流总量控制率计算书、设计控制雨量计算书、场地雨水综合利用方案或专项设计文件。</w:t>
            </w:r>
          </w:p>
        </w:tc>
      </w:tr>
      <w:tr w:rsidR="00EB74A4" w:rsidRPr="00EB74A4" w14:paraId="52B3AB02" w14:textId="77777777" w:rsidTr="00EB74A4">
        <w:trPr>
          <w:trHeight w:val="276"/>
        </w:trPr>
        <w:tc>
          <w:tcPr>
            <w:tcW w:w="960" w:type="dxa"/>
            <w:vAlign w:val="center"/>
            <w:hideMark/>
          </w:tcPr>
          <w:p w14:paraId="7313FC28" w14:textId="77777777" w:rsidR="00EB74A4" w:rsidRPr="00EB74A4" w:rsidRDefault="00EB74A4" w:rsidP="00EB74A4">
            <w:pPr>
              <w:pStyle w:val="ae"/>
              <w:rPr>
                <w:b w:val="0"/>
                <w:bCs/>
              </w:rPr>
            </w:pPr>
            <w:r w:rsidRPr="00EB74A4">
              <w:rPr>
                <w:rFonts w:hint="eastAsia"/>
                <w:b w:val="0"/>
                <w:bCs/>
              </w:rPr>
              <w:t>8.2.3</w:t>
            </w:r>
          </w:p>
        </w:tc>
        <w:tc>
          <w:tcPr>
            <w:tcW w:w="2040" w:type="dxa"/>
            <w:vAlign w:val="center"/>
            <w:hideMark/>
          </w:tcPr>
          <w:p w14:paraId="60BD8A48" w14:textId="77777777" w:rsidR="00EB74A4" w:rsidRPr="00EB74A4" w:rsidRDefault="00EB74A4" w:rsidP="00EB74A4">
            <w:pPr>
              <w:pStyle w:val="ae"/>
              <w:rPr>
                <w:b w:val="0"/>
                <w:bCs/>
              </w:rPr>
            </w:pPr>
            <w:r w:rsidRPr="00EB74A4">
              <w:rPr>
                <w:rFonts w:hint="eastAsia"/>
                <w:b w:val="0"/>
                <w:bCs/>
              </w:rPr>
              <w:t>绿化用地</w:t>
            </w:r>
          </w:p>
        </w:tc>
        <w:tc>
          <w:tcPr>
            <w:tcW w:w="11540" w:type="dxa"/>
            <w:vAlign w:val="center"/>
            <w:hideMark/>
          </w:tcPr>
          <w:p w14:paraId="626EE0D1" w14:textId="77777777" w:rsidR="00EB74A4" w:rsidRPr="00EB74A4" w:rsidRDefault="00EB74A4" w:rsidP="00EB74A4">
            <w:pPr>
              <w:pStyle w:val="ae"/>
              <w:rPr>
                <w:b w:val="0"/>
                <w:bCs/>
              </w:rPr>
            </w:pPr>
            <w:r w:rsidRPr="00EB74A4">
              <w:rPr>
                <w:rFonts w:hint="eastAsia"/>
                <w:b w:val="0"/>
                <w:bCs/>
              </w:rPr>
              <w:t>相关竣工图、绿地率计算书，组织现场查勘。</w:t>
            </w:r>
          </w:p>
        </w:tc>
      </w:tr>
      <w:tr w:rsidR="00EB74A4" w:rsidRPr="00EB74A4" w14:paraId="68A41695" w14:textId="77777777" w:rsidTr="00EB74A4">
        <w:trPr>
          <w:trHeight w:val="276"/>
        </w:trPr>
        <w:tc>
          <w:tcPr>
            <w:tcW w:w="960" w:type="dxa"/>
            <w:vAlign w:val="center"/>
            <w:hideMark/>
          </w:tcPr>
          <w:p w14:paraId="51B459F2" w14:textId="77777777" w:rsidR="00EB74A4" w:rsidRPr="00EB74A4" w:rsidRDefault="00EB74A4" w:rsidP="00EB74A4">
            <w:pPr>
              <w:pStyle w:val="ae"/>
              <w:rPr>
                <w:b w:val="0"/>
                <w:bCs/>
              </w:rPr>
            </w:pPr>
            <w:r w:rsidRPr="00EB74A4">
              <w:rPr>
                <w:rFonts w:hint="eastAsia"/>
                <w:b w:val="0"/>
                <w:bCs/>
              </w:rPr>
              <w:t>8.2.4</w:t>
            </w:r>
          </w:p>
        </w:tc>
        <w:tc>
          <w:tcPr>
            <w:tcW w:w="2040" w:type="dxa"/>
            <w:vAlign w:val="center"/>
            <w:hideMark/>
          </w:tcPr>
          <w:p w14:paraId="0EEB7A2D" w14:textId="77777777" w:rsidR="00EB74A4" w:rsidRPr="00EB74A4" w:rsidRDefault="00EB74A4" w:rsidP="00EB74A4">
            <w:pPr>
              <w:pStyle w:val="ae"/>
              <w:rPr>
                <w:b w:val="0"/>
                <w:bCs/>
              </w:rPr>
            </w:pPr>
            <w:r w:rsidRPr="00EB74A4">
              <w:rPr>
                <w:rFonts w:hint="eastAsia"/>
                <w:b w:val="0"/>
                <w:bCs/>
              </w:rPr>
              <w:t>室外吸烟区</w:t>
            </w:r>
          </w:p>
        </w:tc>
        <w:tc>
          <w:tcPr>
            <w:tcW w:w="11540" w:type="dxa"/>
            <w:vAlign w:val="center"/>
            <w:hideMark/>
          </w:tcPr>
          <w:p w14:paraId="7ABABAFB" w14:textId="77777777" w:rsidR="00EB74A4" w:rsidRPr="00EB74A4" w:rsidRDefault="00EB74A4" w:rsidP="00EB74A4">
            <w:pPr>
              <w:pStyle w:val="ae"/>
              <w:rPr>
                <w:b w:val="0"/>
                <w:bCs/>
              </w:rPr>
            </w:pPr>
            <w:r w:rsidRPr="00EB74A4">
              <w:rPr>
                <w:rFonts w:hint="eastAsia"/>
                <w:b w:val="0"/>
                <w:bCs/>
              </w:rPr>
              <w:t>相关竣工图（项目范围内吸烟区设置）、相关禁烟标识影像资料，组织现场查勘</w:t>
            </w:r>
          </w:p>
        </w:tc>
      </w:tr>
      <w:tr w:rsidR="00EB74A4" w:rsidRPr="00EB74A4" w14:paraId="715F1C20" w14:textId="77777777" w:rsidTr="00EB74A4">
        <w:trPr>
          <w:trHeight w:val="276"/>
        </w:trPr>
        <w:tc>
          <w:tcPr>
            <w:tcW w:w="960" w:type="dxa"/>
            <w:vAlign w:val="center"/>
            <w:hideMark/>
          </w:tcPr>
          <w:p w14:paraId="7A034571" w14:textId="77777777" w:rsidR="00EB74A4" w:rsidRPr="00EB74A4" w:rsidRDefault="00EB74A4" w:rsidP="00EB74A4">
            <w:pPr>
              <w:pStyle w:val="ae"/>
              <w:rPr>
                <w:b w:val="0"/>
                <w:bCs/>
              </w:rPr>
            </w:pPr>
            <w:r w:rsidRPr="00EB74A4">
              <w:rPr>
                <w:rFonts w:hint="eastAsia"/>
                <w:b w:val="0"/>
                <w:bCs/>
              </w:rPr>
              <w:t>8.2.5</w:t>
            </w:r>
          </w:p>
        </w:tc>
        <w:tc>
          <w:tcPr>
            <w:tcW w:w="2040" w:type="dxa"/>
            <w:vAlign w:val="center"/>
            <w:hideMark/>
          </w:tcPr>
          <w:p w14:paraId="6A8BEECB" w14:textId="77777777" w:rsidR="00EB74A4" w:rsidRPr="00EB74A4" w:rsidRDefault="00EB74A4" w:rsidP="00EB74A4">
            <w:pPr>
              <w:pStyle w:val="ae"/>
              <w:rPr>
                <w:b w:val="0"/>
                <w:bCs/>
              </w:rPr>
            </w:pPr>
            <w:r w:rsidRPr="00EB74A4">
              <w:rPr>
                <w:rFonts w:hint="eastAsia"/>
                <w:b w:val="0"/>
                <w:bCs/>
              </w:rPr>
              <w:t>绿色雨水基础设施</w:t>
            </w:r>
          </w:p>
        </w:tc>
        <w:tc>
          <w:tcPr>
            <w:tcW w:w="11540" w:type="dxa"/>
            <w:vAlign w:val="center"/>
            <w:hideMark/>
          </w:tcPr>
          <w:p w14:paraId="1554CD92" w14:textId="77777777" w:rsidR="00EB74A4" w:rsidRPr="00EB74A4" w:rsidRDefault="00EB74A4" w:rsidP="00EB74A4">
            <w:pPr>
              <w:pStyle w:val="ae"/>
              <w:rPr>
                <w:b w:val="0"/>
                <w:bCs/>
              </w:rPr>
            </w:pPr>
            <w:r w:rsidRPr="00EB74A4">
              <w:rPr>
                <w:rFonts w:hint="eastAsia"/>
                <w:b w:val="0"/>
                <w:bCs/>
              </w:rPr>
              <w:t>相关竣工图、计算书，组织现场查勘</w:t>
            </w:r>
          </w:p>
        </w:tc>
      </w:tr>
      <w:tr w:rsidR="00EB74A4" w:rsidRPr="00EB74A4" w14:paraId="3AA8EA4F" w14:textId="77777777" w:rsidTr="00EB74A4">
        <w:trPr>
          <w:trHeight w:val="276"/>
        </w:trPr>
        <w:tc>
          <w:tcPr>
            <w:tcW w:w="960" w:type="dxa"/>
            <w:vAlign w:val="center"/>
            <w:hideMark/>
          </w:tcPr>
          <w:p w14:paraId="68C6D967" w14:textId="77777777" w:rsidR="00EB74A4" w:rsidRPr="00EB74A4" w:rsidRDefault="00EB74A4" w:rsidP="00EB74A4">
            <w:pPr>
              <w:pStyle w:val="ae"/>
              <w:rPr>
                <w:b w:val="0"/>
                <w:bCs/>
              </w:rPr>
            </w:pPr>
            <w:r w:rsidRPr="00EB74A4">
              <w:rPr>
                <w:rFonts w:hint="eastAsia"/>
                <w:b w:val="0"/>
                <w:bCs/>
              </w:rPr>
              <w:t>8.2.6</w:t>
            </w:r>
          </w:p>
        </w:tc>
        <w:tc>
          <w:tcPr>
            <w:tcW w:w="2040" w:type="dxa"/>
            <w:vAlign w:val="center"/>
            <w:hideMark/>
          </w:tcPr>
          <w:p w14:paraId="2F8F4645" w14:textId="77777777" w:rsidR="00EB74A4" w:rsidRPr="00EB74A4" w:rsidRDefault="00EB74A4" w:rsidP="00EB74A4">
            <w:pPr>
              <w:pStyle w:val="ae"/>
              <w:rPr>
                <w:b w:val="0"/>
                <w:bCs/>
              </w:rPr>
            </w:pPr>
            <w:r w:rsidRPr="00EB74A4">
              <w:rPr>
                <w:rFonts w:hint="eastAsia"/>
                <w:b w:val="0"/>
                <w:bCs/>
              </w:rPr>
              <w:t>土石方工程</w:t>
            </w:r>
          </w:p>
        </w:tc>
        <w:tc>
          <w:tcPr>
            <w:tcW w:w="11540" w:type="dxa"/>
            <w:vAlign w:val="center"/>
            <w:hideMark/>
          </w:tcPr>
          <w:p w14:paraId="26879697" w14:textId="77777777" w:rsidR="00EB74A4" w:rsidRPr="00EB74A4" w:rsidRDefault="00EB74A4" w:rsidP="00EB74A4">
            <w:pPr>
              <w:pStyle w:val="ae"/>
              <w:rPr>
                <w:b w:val="0"/>
                <w:bCs/>
              </w:rPr>
            </w:pPr>
            <w:r w:rsidRPr="00EB74A4">
              <w:rPr>
                <w:rFonts w:hint="eastAsia"/>
                <w:b w:val="0"/>
                <w:bCs/>
              </w:rPr>
              <w:t>施工过程生态恢复工程资料，组织现场查勘</w:t>
            </w:r>
          </w:p>
        </w:tc>
      </w:tr>
      <w:tr w:rsidR="00EB74A4" w:rsidRPr="00EB74A4" w14:paraId="26F84F1E" w14:textId="77777777" w:rsidTr="00EB74A4">
        <w:trPr>
          <w:trHeight w:val="276"/>
        </w:trPr>
        <w:tc>
          <w:tcPr>
            <w:tcW w:w="960" w:type="dxa"/>
            <w:vAlign w:val="center"/>
            <w:hideMark/>
          </w:tcPr>
          <w:p w14:paraId="7D31AF2A" w14:textId="77777777" w:rsidR="00EB74A4" w:rsidRPr="00EB74A4" w:rsidRDefault="00EB74A4" w:rsidP="00EB74A4">
            <w:pPr>
              <w:pStyle w:val="ae"/>
              <w:rPr>
                <w:b w:val="0"/>
                <w:bCs/>
              </w:rPr>
            </w:pPr>
            <w:r w:rsidRPr="00EB74A4">
              <w:rPr>
                <w:rFonts w:hint="eastAsia"/>
                <w:b w:val="0"/>
                <w:bCs/>
              </w:rPr>
              <w:t>8.2.7</w:t>
            </w:r>
          </w:p>
        </w:tc>
        <w:tc>
          <w:tcPr>
            <w:tcW w:w="2040" w:type="dxa"/>
            <w:vAlign w:val="center"/>
            <w:hideMark/>
          </w:tcPr>
          <w:p w14:paraId="7619CF9F" w14:textId="77777777" w:rsidR="00EB74A4" w:rsidRPr="00EB74A4" w:rsidRDefault="00EB74A4" w:rsidP="00EB74A4">
            <w:pPr>
              <w:pStyle w:val="ae"/>
              <w:rPr>
                <w:b w:val="0"/>
                <w:bCs/>
              </w:rPr>
            </w:pPr>
            <w:r w:rsidRPr="00EB74A4">
              <w:rPr>
                <w:rFonts w:hint="eastAsia"/>
                <w:b w:val="0"/>
                <w:bCs/>
              </w:rPr>
              <w:t>环境噪声</w:t>
            </w:r>
          </w:p>
        </w:tc>
        <w:tc>
          <w:tcPr>
            <w:tcW w:w="11540" w:type="dxa"/>
            <w:vAlign w:val="center"/>
            <w:hideMark/>
          </w:tcPr>
          <w:p w14:paraId="573F0038" w14:textId="77777777" w:rsidR="00EB74A4" w:rsidRPr="00EB74A4" w:rsidRDefault="00EB74A4" w:rsidP="00EB74A4">
            <w:pPr>
              <w:pStyle w:val="ae"/>
              <w:rPr>
                <w:b w:val="0"/>
                <w:bCs/>
              </w:rPr>
            </w:pPr>
            <w:r w:rsidRPr="00EB74A4">
              <w:rPr>
                <w:rFonts w:hint="eastAsia"/>
                <w:b w:val="0"/>
                <w:bCs/>
              </w:rPr>
              <w:t>相关竣工图、声环境检测报告</w:t>
            </w:r>
          </w:p>
        </w:tc>
      </w:tr>
      <w:tr w:rsidR="00EB74A4" w:rsidRPr="00EB74A4" w14:paraId="71621D76" w14:textId="77777777" w:rsidTr="00EB74A4">
        <w:trPr>
          <w:trHeight w:val="276"/>
        </w:trPr>
        <w:tc>
          <w:tcPr>
            <w:tcW w:w="960" w:type="dxa"/>
            <w:vAlign w:val="center"/>
            <w:hideMark/>
          </w:tcPr>
          <w:p w14:paraId="1F000585" w14:textId="77777777" w:rsidR="00EB74A4" w:rsidRPr="00EB74A4" w:rsidRDefault="00EB74A4" w:rsidP="00EB74A4">
            <w:pPr>
              <w:pStyle w:val="ae"/>
              <w:rPr>
                <w:b w:val="0"/>
                <w:bCs/>
              </w:rPr>
            </w:pPr>
            <w:r w:rsidRPr="00EB74A4">
              <w:rPr>
                <w:rFonts w:hint="eastAsia"/>
                <w:b w:val="0"/>
                <w:bCs/>
              </w:rPr>
              <w:t>8.2.8</w:t>
            </w:r>
          </w:p>
        </w:tc>
        <w:tc>
          <w:tcPr>
            <w:tcW w:w="2040" w:type="dxa"/>
            <w:vAlign w:val="center"/>
            <w:hideMark/>
          </w:tcPr>
          <w:p w14:paraId="5EE08E11" w14:textId="77777777" w:rsidR="00EB74A4" w:rsidRPr="00EB74A4" w:rsidRDefault="00EB74A4" w:rsidP="00EB74A4">
            <w:pPr>
              <w:pStyle w:val="ae"/>
              <w:rPr>
                <w:b w:val="0"/>
                <w:bCs/>
              </w:rPr>
            </w:pPr>
            <w:r w:rsidRPr="00EB74A4">
              <w:rPr>
                <w:rFonts w:hint="eastAsia"/>
                <w:b w:val="0"/>
                <w:bCs/>
              </w:rPr>
              <w:t>避免光污染</w:t>
            </w:r>
          </w:p>
        </w:tc>
        <w:tc>
          <w:tcPr>
            <w:tcW w:w="11540" w:type="dxa"/>
            <w:vAlign w:val="center"/>
            <w:hideMark/>
          </w:tcPr>
          <w:p w14:paraId="67B6F857" w14:textId="77777777" w:rsidR="00EB74A4" w:rsidRPr="00EB74A4" w:rsidRDefault="00EB74A4" w:rsidP="00EB74A4">
            <w:pPr>
              <w:pStyle w:val="ae"/>
              <w:rPr>
                <w:b w:val="0"/>
                <w:bCs/>
              </w:rPr>
            </w:pPr>
            <w:r w:rsidRPr="00EB74A4">
              <w:rPr>
                <w:rFonts w:hint="eastAsia"/>
                <w:b w:val="0"/>
                <w:bCs/>
              </w:rPr>
              <w:t>相关竣工图、光污染分析报告、检测报告</w:t>
            </w:r>
          </w:p>
        </w:tc>
      </w:tr>
      <w:tr w:rsidR="00EB74A4" w:rsidRPr="00EB74A4" w14:paraId="35FB664B" w14:textId="77777777" w:rsidTr="00EB74A4">
        <w:trPr>
          <w:trHeight w:val="276"/>
        </w:trPr>
        <w:tc>
          <w:tcPr>
            <w:tcW w:w="960" w:type="dxa"/>
            <w:vAlign w:val="center"/>
            <w:hideMark/>
          </w:tcPr>
          <w:p w14:paraId="5C111B5F" w14:textId="77777777" w:rsidR="00EB74A4" w:rsidRPr="00EB74A4" w:rsidRDefault="00EB74A4" w:rsidP="00EB74A4">
            <w:pPr>
              <w:pStyle w:val="ae"/>
              <w:rPr>
                <w:b w:val="0"/>
                <w:bCs/>
              </w:rPr>
            </w:pPr>
            <w:r w:rsidRPr="00EB74A4">
              <w:rPr>
                <w:rFonts w:hint="eastAsia"/>
                <w:b w:val="0"/>
                <w:bCs/>
              </w:rPr>
              <w:t>8.2.9</w:t>
            </w:r>
          </w:p>
        </w:tc>
        <w:tc>
          <w:tcPr>
            <w:tcW w:w="2040" w:type="dxa"/>
            <w:vAlign w:val="center"/>
            <w:hideMark/>
          </w:tcPr>
          <w:p w14:paraId="1753EDBF" w14:textId="77777777" w:rsidR="00EB74A4" w:rsidRPr="00EB74A4" w:rsidRDefault="00EB74A4" w:rsidP="00EB74A4">
            <w:pPr>
              <w:pStyle w:val="ae"/>
              <w:rPr>
                <w:b w:val="0"/>
                <w:bCs/>
              </w:rPr>
            </w:pPr>
            <w:r w:rsidRPr="00EB74A4">
              <w:rPr>
                <w:rFonts w:hint="eastAsia"/>
                <w:b w:val="0"/>
                <w:bCs/>
              </w:rPr>
              <w:t>风环境</w:t>
            </w:r>
          </w:p>
        </w:tc>
        <w:tc>
          <w:tcPr>
            <w:tcW w:w="11540" w:type="dxa"/>
            <w:vAlign w:val="center"/>
            <w:hideMark/>
          </w:tcPr>
          <w:p w14:paraId="09D470E3" w14:textId="77777777" w:rsidR="00EB74A4" w:rsidRPr="00EB74A4" w:rsidRDefault="00EB74A4" w:rsidP="00EB74A4">
            <w:pPr>
              <w:pStyle w:val="ae"/>
              <w:rPr>
                <w:b w:val="0"/>
                <w:bCs/>
              </w:rPr>
            </w:pPr>
            <w:r w:rsidRPr="00EB74A4">
              <w:rPr>
                <w:rFonts w:hint="eastAsia"/>
                <w:b w:val="0"/>
                <w:bCs/>
              </w:rPr>
              <w:t>相关竣工文件、风环境分析报告，项目及场地周边建筑物的实景影像资料</w:t>
            </w:r>
          </w:p>
        </w:tc>
      </w:tr>
      <w:tr w:rsidR="00EB74A4" w:rsidRPr="00EB74A4" w14:paraId="56339F55" w14:textId="77777777" w:rsidTr="00EB74A4">
        <w:trPr>
          <w:trHeight w:val="276"/>
        </w:trPr>
        <w:tc>
          <w:tcPr>
            <w:tcW w:w="960" w:type="dxa"/>
            <w:vAlign w:val="center"/>
            <w:hideMark/>
          </w:tcPr>
          <w:p w14:paraId="08901D12" w14:textId="77777777" w:rsidR="00EB74A4" w:rsidRPr="00EB74A4" w:rsidRDefault="00EB74A4" w:rsidP="00EB74A4">
            <w:pPr>
              <w:pStyle w:val="ae"/>
              <w:rPr>
                <w:b w:val="0"/>
                <w:bCs/>
              </w:rPr>
            </w:pPr>
            <w:r w:rsidRPr="00EB74A4">
              <w:rPr>
                <w:rFonts w:hint="eastAsia"/>
                <w:b w:val="0"/>
                <w:bCs/>
              </w:rPr>
              <w:t>8.2.10</w:t>
            </w:r>
          </w:p>
        </w:tc>
        <w:tc>
          <w:tcPr>
            <w:tcW w:w="2040" w:type="dxa"/>
            <w:vAlign w:val="center"/>
            <w:hideMark/>
          </w:tcPr>
          <w:p w14:paraId="1BB7FC81" w14:textId="77777777" w:rsidR="00EB74A4" w:rsidRPr="00EB74A4" w:rsidRDefault="00EB74A4" w:rsidP="00EB74A4">
            <w:pPr>
              <w:pStyle w:val="ae"/>
              <w:rPr>
                <w:b w:val="0"/>
                <w:bCs/>
              </w:rPr>
            </w:pPr>
            <w:r w:rsidRPr="00EB74A4">
              <w:rPr>
                <w:rFonts w:hint="eastAsia"/>
                <w:b w:val="0"/>
                <w:bCs/>
              </w:rPr>
              <w:t>热岛强度</w:t>
            </w:r>
          </w:p>
        </w:tc>
        <w:tc>
          <w:tcPr>
            <w:tcW w:w="11540" w:type="dxa"/>
            <w:vAlign w:val="center"/>
            <w:hideMark/>
          </w:tcPr>
          <w:p w14:paraId="7C5EA6D8" w14:textId="77777777" w:rsidR="00EB74A4" w:rsidRPr="00EB74A4" w:rsidRDefault="00EB74A4" w:rsidP="00EB74A4">
            <w:pPr>
              <w:pStyle w:val="ae"/>
              <w:rPr>
                <w:b w:val="0"/>
                <w:bCs/>
              </w:rPr>
            </w:pPr>
            <w:r w:rsidRPr="00EB74A4">
              <w:rPr>
                <w:rFonts w:hint="eastAsia"/>
                <w:b w:val="0"/>
                <w:bCs/>
              </w:rPr>
              <w:t>相关竣工图、日照分析报告、计算书、材料性能检测报告</w:t>
            </w:r>
          </w:p>
        </w:tc>
      </w:tr>
      <w:tr w:rsidR="00EB74A4" w:rsidRPr="00EB74A4" w14:paraId="3DF40BA4" w14:textId="77777777" w:rsidTr="00EB74A4">
        <w:trPr>
          <w:trHeight w:val="552"/>
        </w:trPr>
        <w:tc>
          <w:tcPr>
            <w:tcW w:w="960" w:type="dxa"/>
            <w:vAlign w:val="center"/>
            <w:hideMark/>
          </w:tcPr>
          <w:p w14:paraId="15746B41" w14:textId="77777777" w:rsidR="00EB74A4" w:rsidRPr="00EB74A4" w:rsidRDefault="00EB74A4" w:rsidP="00EB74A4">
            <w:pPr>
              <w:pStyle w:val="ae"/>
              <w:rPr>
                <w:b w:val="0"/>
                <w:bCs/>
              </w:rPr>
            </w:pPr>
            <w:r w:rsidRPr="00EB74A4">
              <w:rPr>
                <w:rFonts w:hint="eastAsia"/>
                <w:b w:val="0"/>
                <w:bCs/>
              </w:rPr>
              <w:t>9.2.1</w:t>
            </w:r>
          </w:p>
        </w:tc>
        <w:tc>
          <w:tcPr>
            <w:tcW w:w="2040" w:type="dxa"/>
            <w:vAlign w:val="center"/>
            <w:hideMark/>
          </w:tcPr>
          <w:p w14:paraId="2E435B41" w14:textId="77777777" w:rsidR="00EB74A4" w:rsidRPr="00EB74A4" w:rsidRDefault="00EB74A4" w:rsidP="00EB74A4">
            <w:pPr>
              <w:pStyle w:val="ae"/>
              <w:rPr>
                <w:b w:val="0"/>
                <w:bCs/>
              </w:rPr>
            </w:pPr>
            <w:r w:rsidRPr="00EB74A4">
              <w:rPr>
                <w:rFonts w:hint="eastAsia"/>
                <w:b w:val="0"/>
                <w:bCs/>
              </w:rPr>
              <w:t>进一步降低建筑能耗</w:t>
            </w:r>
          </w:p>
        </w:tc>
        <w:tc>
          <w:tcPr>
            <w:tcW w:w="11540" w:type="dxa"/>
            <w:vAlign w:val="center"/>
            <w:hideMark/>
          </w:tcPr>
          <w:p w14:paraId="6910A0C1" w14:textId="77777777" w:rsidR="00EB74A4" w:rsidRPr="00EB74A4" w:rsidRDefault="00EB74A4" w:rsidP="00EB74A4">
            <w:pPr>
              <w:pStyle w:val="ae"/>
              <w:rPr>
                <w:b w:val="0"/>
                <w:bCs/>
              </w:rPr>
            </w:pPr>
            <w:r w:rsidRPr="00EB74A4">
              <w:rPr>
                <w:rFonts w:hint="eastAsia"/>
                <w:b w:val="0"/>
                <w:bCs/>
              </w:rPr>
              <w:t>预评价涉及内容的竣工文件，节能计算书、供暖空调系统能耗节能率分析报告。投入使用满</w:t>
            </w:r>
            <w:r w:rsidRPr="00EB74A4">
              <w:rPr>
                <w:rFonts w:hint="eastAsia"/>
                <w:b w:val="0"/>
                <w:bCs/>
              </w:rPr>
              <w:t>1</w:t>
            </w:r>
            <w:r w:rsidRPr="00EB74A4">
              <w:rPr>
                <w:rFonts w:hint="eastAsia"/>
                <w:b w:val="0"/>
                <w:bCs/>
              </w:rPr>
              <w:t>年的项目：运行能耗统计数据，及其节能率分析报告。</w:t>
            </w:r>
          </w:p>
        </w:tc>
      </w:tr>
      <w:tr w:rsidR="00EB74A4" w:rsidRPr="00EB74A4" w14:paraId="747F6181" w14:textId="77777777" w:rsidTr="00EB74A4">
        <w:trPr>
          <w:trHeight w:val="276"/>
        </w:trPr>
        <w:tc>
          <w:tcPr>
            <w:tcW w:w="960" w:type="dxa"/>
            <w:vAlign w:val="center"/>
            <w:hideMark/>
          </w:tcPr>
          <w:p w14:paraId="566F7243" w14:textId="77777777" w:rsidR="00EB74A4" w:rsidRPr="00EB74A4" w:rsidRDefault="00EB74A4" w:rsidP="00EB74A4">
            <w:pPr>
              <w:pStyle w:val="ae"/>
              <w:rPr>
                <w:b w:val="0"/>
                <w:bCs/>
              </w:rPr>
            </w:pPr>
            <w:r w:rsidRPr="00EB74A4">
              <w:rPr>
                <w:rFonts w:hint="eastAsia"/>
                <w:b w:val="0"/>
                <w:bCs/>
              </w:rPr>
              <w:t>9.2.2</w:t>
            </w:r>
          </w:p>
        </w:tc>
        <w:tc>
          <w:tcPr>
            <w:tcW w:w="2040" w:type="dxa"/>
            <w:vAlign w:val="center"/>
            <w:hideMark/>
          </w:tcPr>
          <w:p w14:paraId="0C7F4C76" w14:textId="77777777" w:rsidR="00EB74A4" w:rsidRPr="00EB74A4" w:rsidRDefault="00EB74A4" w:rsidP="00EB74A4">
            <w:pPr>
              <w:pStyle w:val="ae"/>
              <w:rPr>
                <w:b w:val="0"/>
                <w:bCs/>
              </w:rPr>
            </w:pPr>
            <w:r w:rsidRPr="00EB74A4">
              <w:rPr>
                <w:rFonts w:hint="eastAsia"/>
                <w:b w:val="0"/>
                <w:bCs/>
              </w:rPr>
              <w:t>传承地域建筑文化</w:t>
            </w:r>
          </w:p>
        </w:tc>
        <w:tc>
          <w:tcPr>
            <w:tcW w:w="11540" w:type="dxa"/>
            <w:vAlign w:val="center"/>
            <w:hideMark/>
          </w:tcPr>
          <w:p w14:paraId="0AA4EF5C" w14:textId="77777777" w:rsidR="00EB74A4" w:rsidRPr="00EB74A4" w:rsidRDefault="00EB74A4" w:rsidP="00EB74A4">
            <w:pPr>
              <w:pStyle w:val="ae"/>
              <w:rPr>
                <w:b w:val="0"/>
                <w:bCs/>
              </w:rPr>
            </w:pPr>
            <w:r w:rsidRPr="00EB74A4">
              <w:rPr>
                <w:rFonts w:hint="eastAsia"/>
                <w:b w:val="0"/>
                <w:bCs/>
              </w:rPr>
              <w:t>相关批文、风貌规划文件、预评价涉及内容的竣工文件，专项分析论证报告、相关佐证材料，影像资料</w:t>
            </w:r>
          </w:p>
        </w:tc>
      </w:tr>
      <w:tr w:rsidR="00EB74A4" w:rsidRPr="00EB74A4" w14:paraId="79163113" w14:textId="77777777" w:rsidTr="00EB74A4">
        <w:trPr>
          <w:trHeight w:val="552"/>
        </w:trPr>
        <w:tc>
          <w:tcPr>
            <w:tcW w:w="960" w:type="dxa"/>
            <w:vAlign w:val="center"/>
            <w:hideMark/>
          </w:tcPr>
          <w:p w14:paraId="55CC7DD5" w14:textId="77777777" w:rsidR="00EB74A4" w:rsidRPr="00EB74A4" w:rsidRDefault="00EB74A4" w:rsidP="00EB74A4">
            <w:pPr>
              <w:pStyle w:val="ae"/>
              <w:rPr>
                <w:b w:val="0"/>
                <w:bCs/>
              </w:rPr>
            </w:pPr>
            <w:r w:rsidRPr="00EB74A4">
              <w:rPr>
                <w:rFonts w:hint="eastAsia"/>
                <w:b w:val="0"/>
                <w:bCs/>
              </w:rPr>
              <w:t>9.2.3</w:t>
            </w:r>
          </w:p>
        </w:tc>
        <w:tc>
          <w:tcPr>
            <w:tcW w:w="2040" w:type="dxa"/>
            <w:vAlign w:val="center"/>
            <w:hideMark/>
          </w:tcPr>
          <w:p w14:paraId="21044AD8" w14:textId="77777777" w:rsidR="00EB74A4" w:rsidRPr="00EB74A4" w:rsidRDefault="00EB74A4" w:rsidP="00EB74A4">
            <w:pPr>
              <w:pStyle w:val="ae"/>
              <w:rPr>
                <w:b w:val="0"/>
                <w:bCs/>
              </w:rPr>
            </w:pPr>
            <w:r w:rsidRPr="00EB74A4">
              <w:rPr>
                <w:rFonts w:hint="eastAsia"/>
                <w:b w:val="0"/>
                <w:bCs/>
              </w:rPr>
              <w:t>利用废弃场地</w:t>
            </w:r>
          </w:p>
        </w:tc>
        <w:tc>
          <w:tcPr>
            <w:tcW w:w="11540" w:type="dxa"/>
            <w:vAlign w:val="center"/>
            <w:hideMark/>
          </w:tcPr>
          <w:p w14:paraId="3CB7FA9D" w14:textId="77777777" w:rsidR="00EB74A4" w:rsidRPr="00EB74A4" w:rsidRDefault="00EB74A4" w:rsidP="00EB74A4">
            <w:pPr>
              <w:pStyle w:val="ae"/>
              <w:rPr>
                <w:b w:val="0"/>
                <w:bCs/>
              </w:rPr>
            </w:pPr>
            <w:r w:rsidRPr="00EB74A4">
              <w:rPr>
                <w:rFonts w:hint="eastAsia"/>
                <w:b w:val="0"/>
                <w:bCs/>
              </w:rPr>
              <w:t>预评价涉及内容的竣工文件，环评报告及政府国土和环保部门的批复（仅选用废弃场地进行建设需要），废弃场地或旧建筑再利用检测报告和评估报告</w:t>
            </w:r>
          </w:p>
        </w:tc>
      </w:tr>
      <w:tr w:rsidR="00EB74A4" w:rsidRPr="00EB74A4" w14:paraId="73649A7F" w14:textId="77777777" w:rsidTr="00EB74A4">
        <w:trPr>
          <w:trHeight w:val="276"/>
        </w:trPr>
        <w:tc>
          <w:tcPr>
            <w:tcW w:w="960" w:type="dxa"/>
            <w:vAlign w:val="center"/>
            <w:hideMark/>
          </w:tcPr>
          <w:p w14:paraId="63659026" w14:textId="77777777" w:rsidR="00EB74A4" w:rsidRPr="00EB74A4" w:rsidRDefault="00EB74A4" w:rsidP="00EB74A4">
            <w:pPr>
              <w:pStyle w:val="ae"/>
              <w:rPr>
                <w:b w:val="0"/>
                <w:bCs/>
              </w:rPr>
            </w:pPr>
            <w:r w:rsidRPr="00EB74A4">
              <w:rPr>
                <w:rFonts w:hint="eastAsia"/>
                <w:b w:val="0"/>
                <w:bCs/>
              </w:rPr>
              <w:t>9.2.4</w:t>
            </w:r>
          </w:p>
        </w:tc>
        <w:tc>
          <w:tcPr>
            <w:tcW w:w="2040" w:type="dxa"/>
            <w:vAlign w:val="center"/>
            <w:hideMark/>
          </w:tcPr>
          <w:p w14:paraId="4A57F186" w14:textId="77777777" w:rsidR="00EB74A4" w:rsidRPr="00EB74A4" w:rsidRDefault="00EB74A4" w:rsidP="00EB74A4">
            <w:pPr>
              <w:pStyle w:val="ae"/>
              <w:rPr>
                <w:b w:val="0"/>
                <w:bCs/>
              </w:rPr>
            </w:pPr>
            <w:r w:rsidRPr="00EB74A4">
              <w:rPr>
                <w:rFonts w:hint="eastAsia"/>
                <w:b w:val="0"/>
                <w:bCs/>
              </w:rPr>
              <w:t>绿地绿容率</w:t>
            </w:r>
          </w:p>
        </w:tc>
        <w:tc>
          <w:tcPr>
            <w:tcW w:w="11540" w:type="dxa"/>
            <w:vAlign w:val="center"/>
            <w:hideMark/>
          </w:tcPr>
          <w:p w14:paraId="2AD974DA" w14:textId="77777777" w:rsidR="00EB74A4" w:rsidRPr="00EB74A4" w:rsidRDefault="00EB74A4" w:rsidP="00EB74A4">
            <w:pPr>
              <w:pStyle w:val="ae"/>
              <w:rPr>
                <w:b w:val="0"/>
                <w:bCs/>
              </w:rPr>
            </w:pPr>
            <w:r w:rsidRPr="00EB74A4">
              <w:rPr>
                <w:rFonts w:hint="eastAsia"/>
                <w:b w:val="0"/>
                <w:bCs/>
              </w:rPr>
              <w:t>预评价涉及内容的竣工文件，绿容率计算书或植被叶面积测量报告</w:t>
            </w:r>
            <w:r w:rsidRPr="00EB74A4">
              <w:rPr>
                <w:rFonts w:hint="eastAsia"/>
                <w:b w:val="0"/>
                <w:bCs/>
              </w:rPr>
              <w:lastRenderedPageBreak/>
              <w:t>等证明材料</w:t>
            </w:r>
          </w:p>
        </w:tc>
      </w:tr>
      <w:tr w:rsidR="00EB74A4" w:rsidRPr="00EB74A4" w14:paraId="4D449868" w14:textId="77777777" w:rsidTr="00EB74A4">
        <w:trPr>
          <w:trHeight w:val="276"/>
        </w:trPr>
        <w:tc>
          <w:tcPr>
            <w:tcW w:w="960" w:type="dxa"/>
            <w:vAlign w:val="center"/>
            <w:hideMark/>
          </w:tcPr>
          <w:p w14:paraId="7587E907" w14:textId="77777777" w:rsidR="00EB74A4" w:rsidRPr="00EB74A4" w:rsidRDefault="00EB74A4" w:rsidP="00EB74A4">
            <w:pPr>
              <w:pStyle w:val="ae"/>
              <w:rPr>
                <w:b w:val="0"/>
                <w:bCs/>
              </w:rPr>
            </w:pPr>
            <w:r w:rsidRPr="00EB74A4">
              <w:rPr>
                <w:rFonts w:hint="eastAsia"/>
                <w:b w:val="0"/>
                <w:bCs/>
              </w:rPr>
              <w:lastRenderedPageBreak/>
              <w:t>9.2.5</w:t>
            </w:r>
          </w:p>
        </w:tc>
        <w:tc>
          <w:tcPr>
            <w:tcW w:w="2040" w:type="dxa"/>
            <w:vAlign w:val="center"/>
            <w:hideMark/>
          </w:tcPr>
          <w:p w14:paraId="7A03AB26" w14:textId="77777777" w:rsidR="00EB74A4" w:rsidRPr="00EB74A4" w:rsidRDefault="00EB74A4" w:rsidP="00EB74A4">
            <w:pPr>
              <w:pStyle w:val="ae"/>
              <w:rPr>
                <w:b w:val="0"/>
                <w:bCs/>
              </w:rPr>
            </w:pPr>
            <w:r w:rsidRPr="00EB74A4">
              <w:rPr>
                <w:rFonts w:hint="eastAsia"/>
                <w:b w:val="0"/>
                <w:bCs/>
              </w:rPr>
              <w:t>装配式建筑</w:t>
            </w:r>
          </w:p>
        </w:tc>
        <w:tc>
          <w:tcPr>
            <w:tcW w:w="11540" w:type="dxa"/>
            <w:vAlign w:val="center"/>
            <w:hideMark/>
          </w:tcPr>
          <w:p w14:paraId="79C9C983" w14:textId="77777777" w:rsidR="00EB74A4" w:rsidRPr="00EB74A4" w:rsidRDefault="00EB74A4" w:rsidP="00EB74A4">
            <w:pPr>
              <w:pStyle w:val="ae"/>
              <w:rPr>
                <w:b w:val="0"/>
                <w:bCs/>
              </w:rPr>
            </w:pPr>
            <w:r w:rsidRPr="00EB74A4">
              <w:rPr>
                <w:rFonts w:hint="eastAsia"/>
                <w:b w:val="0"/>
                <w:bCs/>
              </w:rPr>
              <w:t>预评价涉及内容的竣工文件和装配率计算书，工程竣工质量报告、工程概况表、设计变更文件</w:t>
            </w:r>
          </w:p>
        </w:tc>
      </w:tr>
      <w:tr w:rsidR="00EB74A4" w:rsidRPr="00EB74A4" w14:paraId="2606F0C9" w14:textId="77777777" w:rsidTr="00EB74A4">
        <w:trPr>
          <w:trHeight w:val="276"/>
        </w:trPr>
        <w:tc>
          <w:tcPr>
            <w:tcW w:w="960" w:type="dxa"/>
            <w:vAlign w:val="center"/>
            <w:hideMark/>
          </w:tcPr>
          <w:p w14:paraId="5B97A452" w14:textId="77777777" w:rsidR="00EB74A4" w:rsidRPr="00EB74A4" w:rsidRDefault="00EB74A4" w:rsidP="00EB74A4">
            <w:pPr>
              <w:pStyle w:val="ae"/>
              <w:rPr>
                <w:b w:val="0"/>
                <w:bCs/>
              </w:rPr>
            </w:pPr>
            <w:r w:rsidRPr="00EB74A4">
              <w:rPr>
                <w:rFonts w:hint="eastAsia"/>
                <w:b w:val="0"/>
                <w:bCs/>
              </w:rPr>
              <w:t>9.2.6</w:t>
            </w:r>
          </w:p>
        </w:tc>
        <w:tc>
          <w:tcPr>
            <w:tcW w:w="2040" w:type="dxa"/>
            <w:vAlign w:val="center"/>
            <w:hideMark/>
          </w:tcPr>
          <w:p w14:paraId="6387D61F" w14:textId="77777777" w:rsidR="00EB74A4" w:rsidRPr="00EB74A4" w:rsidRDefault="00EB74A4" w:rsidP="00EB74A4">
            <w:pPr>
              <w:pStyle w:val="ae"/>
              <w:rPr>
                <w:b w:val="0"/>
                <w:bCs/>
              </w:rPr>
            </w:pPr>
            <w:r w:rsidRPr="00EB74A4">
              <w:rPr>
                <w:rFonts w:hint="eastAsia"/>
                <w:b w:val="0"/>
                <w:bCs/>
              </w:rPr>
              <w:t>建筑信息模型技术</w:t>
            </w:r>
          </w:p>
        </w:tc>
        <w:tc>
          <w:tcPr>
            <w:tcW w:w="11540" w:type="dxa"/>
            <w:vAlign w:val="center"/>
            <w:hideMark/>
          </w:tcPr>
          <w:p w14:paraId="6D2E5886" w14:textId="77777777" w:rsidR="00EB74A4" w:rsidRPr="00EB74A4" w:rsidRDefault="00EB74A4" w:rsidP="00EB74A4">
            <w:pPr>
              <w:pStyle w:val="ae"/>
              <w:rPr>
                <w:b w:val="0"/>
                <w:bCs/>
              </w:rPr>
            </w:pPr>
            <w:r w:rsidRPr="00EB74A4">
              <w:rPr>
                <w:rFonts w:hint="eastAsia"/>
                <w:b w:val="0"/>
                <w:bCs/>
              </w:rPr>
              <w:t>预评价涉及内容、</w:t>
            </w:r>
            <w:r w:rsidRPr="00EB74A4">
              <w:rPr>
                <w:rFonts w:hint="eastAsia"/>
                <w:b w:val="0"/>
                <w:bCs/>
              </w:rPr>
              <w:t>BIM</w:t>
            </w:r>
            <w:r w:rsidRPr="00EB74A4">
              <w:rPr>
                <w:rFonts w:hint="eastAsia"/>
                <w:b w:val="0"/>
                <w:bCs/>
              </w:rPr>
              <w:t>专项应用技术报告和平台软件。</w:t>
            </w:r>
          </w:p>
        </w:tc>
      </w:tr>
      <w:tr w:rsidR="00EB74A4" w:rsidRPr="00EB74A4" w14:paraId="09EF0594" w14:textId="77777777" w:rsidTr="00EB74A4">
        <w:trPr>
          <w:trHeight w:val="276"/>
        </w:trPr>
        <w:tc>
          <w:tcPr>
            <w:tcW w:w="960" w:type="dxa"/>
            <w:vAlign w:val="center"/>
            <w:hideMark/>
          </w:tcPr>
          <w:p w14:paraId="73501C45" w14:textId="77777777" w:rsidR="00EB74A4" w:rsidRPr="00EB74A4" w:rsidRDefault="00EB74A4" w:rsidP="00EB74A4">
            <w:pPr>
              <w:pStyle w:val="ae"/>
              <w:rPr>
                <w:b w:val="0"/>
                <w:bCs/>
              </w:rPr>
            </w:pPr>
            <w:r w:rsidRPr="00EB74A4">
              <w:rPr>
                <w:rFonts w:hint="eastAsia"/>
                <w:b w:val="0"/>
                <w:bCs/>
              </w:rPr>
              <w:t>9.2.7</w:t>
            </w:r>
          </w:p>
        </w:tc>
        <w:tc>
          <w:tcPr>
            <w:tcW w:w="2040" w:type="dxa"/>
            <w:vAlign w:val="center"/>
            <w:hideMark/>
          </w:tcPr>
          <w:p w14:paraId="63596752" w14:textId="77777777" w:rsidR="00EB74A4" w:rsidRPr="00EB74A4" w:rsidRDefault="00EB74A4" w:rsidP="00EB74A4">
            <w:pPr>
              <w:pStyle w:val="ae"/>
              <w:rPr>
                <w:b w:val="0"/>
                <w:bCs/>
              </w:rPr>
            </w:pPr>
            <w:r w:rsidRPr="00EB74A4">
              <w:rPr>
                <w:rFonts w:hint="eastAsia"/>
                <w:b w:val="0"/>
                <w:bCs/>
              </w:rPr>
              <w:t>碳排放计算分析</w:t>
            </w:r>
          </w:p>
        </w:tc>
        <w:tc>
          <w:tcPr>
            <w:tcW w:w="11540" w:type="dxa"/>
            <w:vAlign w:val="center"/>
            <w:hideMark/>
          </w:tcPr>
          <w:p w14:paraId="77DD9020" w14:textId="77777777" w:rsidR="00EB74A4" w:rsidRPr="00EB74A4" w:rsidRDefault="00EB74A4" w:rsidP="00EB74A4">
            <w:pPr>
              <w:pStyle w:val="ae"/>
              <w:rPr>
                <w:b w:val="0"/>
                <w:bCs/>
              </w:rPr>
            </w:pPr>
            <w:r w:rsidRPr="00EB74A4">
              <w:rPr>
                <w:rFonts w:hint="eastAsia"/>
                <w:b w:val="0"/>
                <w:bCs/>
              </w:rPr>
              <w:t>建筑碳排放计算分析报告</w:t>
            </w:r>
          </w:p>
        </w:tc>
      </w:tr>
      <w:tr w:rsidR="00EB74A4" w:rsidRPr="00EB74A4" w14:paraId="0B3B1698" w14:textId="77777777" w:rsidTr="00EB74A4">
        <w:trPr>
          <w:trHeight w:val="828"/>
        </w:trPr>
        <w:tc>
          <w:tcPr>
            <w:tcW w:w="960" w:type="dxa"/>
            <w:vAlign w:val="center"/>
            <w:hideMark/>
          </w:tcPr>
          <w:p w14:paraId="31B5AC40" w14:textId="77777777" w:rsidR="00EB74A4" w:rsidRPr="00EB74A4" w:rsidRDefault="00EB74A4" w:rsidP="00EB74A4">
            <w:pPr>
              <w:pStyle w:val="ae"/>
              <w:rPr>
                <w:b w:val="0"/>
                <w:bCs/>
              </w:rPr>
            </w:pPr>
            <w:r w:rsidRPr="00EB74A4">
              <w:rPr>
                <w:rFonts w:hint="eastAsia"/>
                <w:b w:val="0"/>
                <w:bCs/>
              </w:rPr>
              <w:t>9.2.8</w:t>
            </w:r>
          </w:p>
        </w:tc>
        <w:tc>
          <w:tcPr>
            <w:tcW w:w="2040" w:type="dxa"/>
            <w:vAlign w:val="center"/>
            <w:hideMark/>
          </w:tcPr>
          <w:p w14:paraId="219DD08B" w14:textId="77777777" w:rsidR="00EB74A4" w:rsidRPr="00EB74A4" w:rsidRDefault="00EB74A4" w:rsidP="00EB74A4">
            <w:pPr>
              <w:pStyle w:val="ae"/>
              <w:rPr>
                <w:b w:val="0"/>
                <w:bCs/>
              </w:rPr>
            </w:pPr>
            <w:r w:rsidRPr="00EB74A4">
              <w:rPr>
                <w:rFonts w:hint="eastAsia"/>
                <w:b w:val="0"/>
                <w:bCs/>
              </w:rPr>
              <w:t>绿色施工</w:t>
            </w:r>
          </w:p>
        </w:tc>
        <w:tc>
          <w:tcPr>
            <w:tcW w:w="11540" w:type="dxa"/>
            <w:vAlign w:val="center"/>
            <w:hideMark/>
          </w:tcPr>
          <w:p w14:paraId="3E562E4D" w14:textId="77777777" w:rsidR="00EB74A4" w:rsidRPr="00EB74A4" w:rsidRDefault="00EB74A4" w:rsidP="00EB74A4">
            <w:pPr>
              <w:pStyle w:val="ae"/>
              <w:rPr>
                <w:b w:val="0"/>
                <w:bCs/>
              </w:rPr>
            </w:pPr>
            <w:r w:rsidRPr="00EB74A4">
              <w:rPr>
                <w:rFonts w:hint="eastAsia"/>
                <w:b w:val="0"/>
                <w:bCs/>
              </w:rPr>
              <w:t>“绿色施工优良等级”或“绿色施工示范工程”的认定文件、“智慧工地”的认定或评价结论文件模板工程施工方案、施工日志、技术交底文件、施工现场影像资料及免粉刷混凝土墙体占比计算书、建筑保温工程施工方案、施工日志、技术交底文件、施工现场影像资料及相关材料性能检测报告</w:t>
            </w:r>
          </w:p>
        </w:tc>
      </w:tr>
      <w:tr w:rsidR="00EB74A4" w:rsidRPr="00EB74A4" w14:paraId="17F8A463" w14:textId="77777777" w:rsidTr="00EB74A4">
        <w:trPr>
          <w:trHeight w:val="276"/>
        </w:trPr>
        <w:tc>
          <w:tcPr>
            <w:tcW w:w="960" w:type="dxa"/>
            <w:vAlign w:val="center"/>
            <w:hideMark/>
          </w:tcPr>
          <w:p w14:paraId="74DE77CB" w14:textId="77777777" w:rsidR="00EB74A4" w:rsidRPr="00EB74A4" w:rsidRDefault="00EB74A4" w:rsidP="00EB74A4">
            <w:pPr>
              <w:pStyle w:val="ae"/>
              <w:rPr>
                <w:b w:val="0"/>
                <w:bCs/>
              </w:rPr>
            </w:pPr>
            <w:r w:rsidRPr="00EB74A4">
              <w:rPr>
                <w:rFonts w:hint="eastAsia"/>
                <w:b w:val="0"/>
                <w:bCs/>
              </w:rPr>
              <w:t>9.2.9</w:t>
            </w:r>
          </w:p>
        </w:tc>
        <w:tc>
          <w:tcPr>
            <w:tcW w:w="2040" w:type="dxa"/>
            <w:vAlign w:val="center"/>
            <w:hideMark/>
          </w:tcPr>
          <w:p w14:paraId="15A697E4" w14:textId="77777777" w:rsidR="00EB74A4" w:rsidRPr="00EB74A4" w:rsidRDefault="00EB74A4" w:rsidP="00EB74A4">
            <w:pPr>
              <w:pStyle w:val="ae"/>
              <w:rPr>
                <w:b w:val="0"/>
                <w:bCs/>
              </w:rPr>
            </w:pPr>
            <w:r w:rsidRPr="00EB74A4">
              <w:rPr>
                <w:rFonts w:hint="eastAsia"/>
                <w:b w:val="0"/>
                <w:bCs/>
              </w:rPr>
              <w:t>工程质量保险产品</w:t>
            </w:r>
          </w:p>
        </w:tc>
        <w:tc>
          <w:tcPr>
            <w:tcW w:w="11540" w:type="dxa"/>
            <w:vAlign w:val="center"/>
            <w:hideMark/>
          </w:tcPr>
          <w:p w14:paraId="331DC418" w14:textId="77777777" w:rsidR="00EB74A4" w:rsidRPr="00EB74A4" w:rsidRDefault="00EB74A4" w:rsidP="00EB74A4">
            <w:pPr>
              <w:pStyle w:val="ae"/>
              <w:rPr>
                <w:b w:val="0"/>
                <w:bCs/>
              </w:rPr>
            </w:pPr>
            <w:r w:rsidRPr="00EB74A4">
              <w:rPr>
                <w:rFonts w:hint="eastAsia"/>
                <w:b w:val="0"/>
                <w:bCs/>
              </w:rPr>
              <w:t>建设工程质量保险产品保单</w:t>
            </w:r>
          </w:p>
        </w:tc>
      </w:tr>
      <w:tr w:rsidR="00EB74A4" w:rsidRPr="00EB74A4" w14:paraId="7E7F6CBD" w14:textId="77777777" w:rsidTr="00EB74A4">
        <w:trPr>
          <w:trHeight w:val="276"/>
        </w:trPr>
        <w:tc>
          <w:tcPr>
            <w:tcW w:w="960" w:type="dxa"/>
            <w:vAlign w:val="center"/>
            <w:hideMark/>
          </w:tcPr>
          <w:p w14:paraId="38C7315F" w14:textId="77777777" w:rsidR="00EB74A4" w:rsidRPr="00EB74A4" w:rsidRDefault="00EB74A4" w:rsidP="00EB74A4">
            <w:pPr>
              <w:pStyle w:val="ae"/>
              <w:rPr>
                <w:b w:val="0"/>
                <w:bCs/>
              </w:rPr>
            </w:pPr>
            <w:r w:rsidRPr="00EB74A4">
              <w:rPr>
                <w:rFonts w:hint="eastAsia"/>
                <w:b w:val="0"/>
                <w:bCs/>
              </w:rPr>
              <w:t>9.2.10</w:t>
            </w:r>
          </w:p>
        </w:tc>
        <w:tc>
          <w:tcPr>
            <w:tcW w:w="2040" w:type="dxa"/>
            <w:vAlign w:val="center"/>
            <w:hideMark/>
          </w:tcPr>
          <w:p w14:paraId="4CBDE752" w14:textId="77777777" w:rsidR="00EB74A4" w:rsidRPr="00EB74A4" w:rsidRDefault="00EB74A4" w:rsidP="00EB74A4">
            <w:pPr>
              <w:pStyle w:val="ae"/>
              <w:rPr>
                <w:b w:val="0"/>
                <w:bCs/>
              </w:rPr>
            </w:pPr>
            <w:r w:rsidRPr="00EB74A4">
              <w:rPr>
                <w:rFonts w:hint="eastAsia"/>
                <w:b w:val="0"/>
                <w:bCs/>
              </w:rPr>
              <w:t>高效能源供应系统</w:t>
            </w:r>
          </w:p>
        </w:tc>
        <w:tc>
          <w:tcPr>
            <w:tcW w:w="11540" w:type="dxa"/>
            <w:vAlign w:val="center"/>
            <w:hideMark/>
          </w:tcPr>
          <w:p w14:paraId="2C601E84" w14:textId="77777777" w:rsidR="00EB74A4" w:rsidRPr="00EB74A4" w:rsidRDefault="00EB74A4" w:rsidP="00EB74A4">
            <w:pPr>
              <w:pStyle w:val="ae"/>
              <w:rPr>
                <w:b w:val="0"/>
                <w:bCs/>
              </w:rPr>
            </w:pPr>
            <w:r w:rsidRPr="00EB74A4">
              <w:rPr>
                <w:rFonts w:hint="eastAsia"/>
                <w:b w:val="0"/>
                <w:bCs/>
              </w:rPr>
              <w:t>系统竣工图、主要产品型式检验报告、第三方检测报告、专项计算分析报告、运行报告</w:t>
            </w:r>
          </w:p>
        </w:tc>
      </w:tr>
      <w:tr w:rsidR="00EB74A4" w:rsidRPr="00EB74A4" w14:paraId="326E6DFC" w14:textId="77777777" w:rsidTr="00EB74A4">
        <w:trPr>
          <w:trHeight w:val="276"/>
        </w:trPr>
        <w:tc>
          <w:tcPr>
            <w:tcW w:w="960" w:type="dxa"/>
            <w:vAlign w:val="center"/>
            <w:hideMark/>
          </w:tcPr>
          <w:p w14:paraId="797B971A" w14:textId="77777777" w:rsidR="00EB74A4" w:rsidRPr="00EB74A4" w:rsidRDefault="00EB74A4" w:rsidP="00EB74A4">
            <w:pPr>
              <w:pStyle w:val="ae"/>
              <w:rPr>
                <w:b w:val="0"/>
                <w:bCs/>
              </w:rPr>
            </w:pPr>
            <w:r w:rsidRPr="00EB74A4">
              <w:rPr>
                <w:rFonts w:hint="eastAsia"/>
                <w:b w:val="0"/>
                <w:bCs/>
              </w:rPr>
              <w:t>9.2.11</w:t>
            </w:r>
          </w:p>
        </w:tc>
        <w:tc>
          <w:tcPr>
            <w:tcW w:w="2040" w:type="dxa"/>
            <w:vAlign w:val="center"/>
            <w:hideMark/>
          </w:tcPr>
          <w:p w14:paraId="1560B7CF" w14:textId="77777777" w:rsidR="00EB74A4" w:rsidRPr="00EB74A4" w:rsidRDefault="00EB74A4" w:rsidP="00EB74A4">
            <w:pPr>
              <w:pStyle w:val="ae"/>
              <w:rPr>
                <w:b w:val="0"/>
                <w:bCs/>
              </w:rPr>
            </w:pPr>
            <w:r w:rsidRPr="00EB74A4">
              <w:rPr>
                <w:rFonts w:hint="eastAsia"/>
                <w:b w:val="0"/>
                <w:bCs/>
              </w:rPr>
              <w:t>智慧管理系统</w:t>
            </w:r>
          </w:p>
        </w:tc>
        <w:tc>
          <w:tcPr>
            <w:tcW w:w="11540" w:type="dxa"/>
            <w:vAlign w:val="center"/>
            <w:hideMark/>
          </w:tcPr>
          <w:p w14:paraId="3A784150" w14:textId="77777777" w:rsidR="00EB74A4" w:rsidRPr="00EB74A4" w:rsidRDefault="00EB74A4" w:rsidP="00EB74A4">
            <w:pPr>
              <w:pStyle w:val="ae"/>
              <w:rPr>
                <w:b w:val="0"/>
                <w:bCs/>
              </w:rPr>
            </w:pPr>
            <w:r w:rsidRPr="00EB74A4">
              <w:rPr>
                <w:rFonts w:hint="eastAsia"/>
                <w:b w:val="0"/>
                <w:bCs/>
              </w:rPr>
              <w:t>相关竣工图、计算书、检测报告，现场核实</w:t>
            </w:r>
          </w:p>
        </w:tc>
      </w:tr>
      <w:tr w:rsidR="00EB74A4" w:rsidRPr="00EB74A4" w14:paraId="49E06936" w14:textId="77777777" w:rsidTr="00EB74A4">
        <w:trPr>
          <w:trHeight w:val="828"/>
        </w:trPr>
        <w:tc>
          <w:tcPr>
            <w:tcW w:w="960" w:type="dxa"/>
            <w:vAlign w:val="center"/>
            <w:hideMark/>
          </w:tcPr>
          <w:p w14:paraId="517E20CE" w14:textId="77777777" w:rsidR="00EB74A4" w:rsidRPr="00EB74A4" w:rsidRDefault="00EB74A4" w:rsidP="00EB74A4">
            <w:pPr>
              <w:pStyle w:val="ae"/>
              <w:rPr>
                <w:b w:val="0"/>
                <w:bCs/>
              </w:rPr>
            </w:pPr>
            <w:r w:rsidRPr="00EB74A4">
              <w:rPr>
                <w:rFonts w:hint="eastAsia"/>
                <w:b w:val="0"/>
                <w:bCs/>
              </w:rPr>
              <w:t>9.2.12</w:t>
            </w:r>
          </w:p>
        </w:tc>
        <w:tc>
          <w:tcPr>
            <w:tcW w:w="2040" w:type="dxa"/>
            <w:vAlign w:val="center"/>
            <w:hideMark/>
          </w:tcPr>
          <w:p w14:paraId="6EBD6AE1" w14:textId="77777777" w:rsidR="00EB74A4" w:rsidRPr="00EB74A4" w:rsidRDefault="00EB74A4" w:rsidP="00EB74A4">
            <w:pPr>
              <w:pStyle w:val="ae"/>
              <w:rPr>
                <w:b w:val="0"/>
                <w:bCs/>
              </w:rPr>
            </w:pPr>
            <w:r w:rsidRPr="00EB74A4">
              <w:rPr>
                <w:rFonts w:hint="eastAsia"/>
                <w:b w:val="0"/>
                <w:bCs/>
              </w:rPr>
              <w:t>智慧运维系统</w:t>
            </w:r>
          </w:p>
        </w:tc>
        <w:tc>
          <w:tcPr>
            <w:tcW w:w="11540" w:type="dxa"/>
            <w:vAlign w:val="center"/>
            <w:hideMark/>
          </w:tcPr>
          <w:p w14:paraId="73BA3717" w14:textId="77777777" w:rsidR="00EB74A4" w:rsidRPr="00EB74A4" w:rsidRDefault="00EB74A4" w:rsidP="00EB74A4">
            <w:pPr>
              <w:pStyle w:val="ae"/>
              <w:rPr>
                <w:b w:val="0"/>
                <w:bCs/>
              </w:rPr>
            </w:pPr>
            <w:r w:rsidRPr="00EB74A4">
              <w:rPr>
                <w:rFonts w:hint="eastAsia"/>
                <w:b w:val="0"/>
                <w:bCs/>
              </w:rPr>
              <w:t>预评价涉及内容的竣工文件（竣工图、产品型式检验报告等）、现场查看</w:t>
            </w:r>
            <w:r w:rsidRPr="00EB74A4">
              <w:rPr>
                <w:rFonts w:hint="eastAsia"/>
                <w:b w:val="0"/>
                <w:bCs/>
              </w:rPr>
              <w:br/>
            </w:r>
            <w:r w:rsidRPr="00EB74A4">
              <w:rPr>
                <w:rFonts w:hint="eastAsia"/>
                <w:b w:val="0"/>
                <w:bCs/>
              </w:rPr>
              <w:t>投入使用的项目：管理制度、历史监测数据、运行记录。</w:t>
            </w:r>
            <w:r w:rsidRPr="00EB74A4">
              <w:rPr>
                <w:rFonts w:hint="eastAsia"/>
                <w:b w:val="0"/>
                <w:bCs/>
              </w:rPr>
              <w:br/>
            </w:r>
            <w:r w:rsidRPr="00EB74A4">
              <w:rPr>
                <w:rFonts w:hint="eastAsia"/>
                <w:b w:val="0"/>
                <w:bCs/>
              </w:rPr>
              <w:t>已通过智慧小区评价的项目：市建设行政主管部门出具的授予文件或证书</w:t>
            </w:r>
          </w:p>
        </w:tc>
      </w:tr>
      <w:tr w:rsidR="00EB74A4" w:rsidRPr="00EB74A4" w14:paraId="20DDCE3F" w14:textId="77777777" w:rsidTr="00EB74A4">
        <w:trPr>
          <w:trHeight w:val="552"/>
        </w:trPr>
        <w:tc>
          <w:tcPr>
            <w:tcW w:w="960" w:type="dxa"/>
            <w:vAlign w:val="center"/>
            <w:hideMark/>
          </w:tcPr>
          <w:p w14:paraId="41312032" w14:textId="77777777" w:rsidR="00EB74A4" w:rsidRPr="00EB74A4" w:rsidRDefault="00EB74A4" w:rsidP="00EB74A4">
            <w:pPr>
              <w:pStyle w:val="ae"/>
              <w:rPr>
                <w:b w:val="0"/>
                <w:bCs/>
              </w:rPr>
            </w:pPr>
            <w:r w:rsidRPr="00EB74A4">
              <w:rPr>
                <w:rFonts w:hint="eastAsia"/>
                <w:b w:val="0"/>
                <w:bCs/>
              </w:rPr>
              <w:t>9.2.13</w:t>
            </w:r>
          </w:p>
        </w:tc>
        <w:tc>
          <w:tcPr>
            <w:tcW w:w="2040" w:type="dxa"/>
            <w:vAlign w:val="center"/>
            <w:hideMark/>
          </w:tcPr>
          <w:p w14:paraId="14AD075E" w14:textId="77777777" w:rsidR="00EB74A4" w:rsidRPr="00EB74A4" w:rsidRDefault="00EB74A4" w:rsidP="00EB74A4">
            <w:pPr>
              <w:pStyle w:val="ae"/>
              <w:rPr>
                <w:b w:val="0"/>
                <w:bCs/>
              </w:rPr>
            </w:pPr>
            <w:r w:rsidRPr="00EB74A4">
              <w:rPr>
                <w:rFonts w:hint="eastAsia"/>
                <w:b w:val="0"/>
                <w:bCs/>
              </w:rPr>
              <w:t>高星级绿色建材</w:t>
            </w:r>
          </w:p>
        </w:tc>
        <w:tc>
          <w:tcPr>
            <w:tcW w:w="11540" w:type="dxa"/>
            <w:vAlign w:val="center"/>
            <w:hideMark/>
          </w:tcPr>
          <w:p w14:paraId="4D005586" w14:textId="77777777" w:rsidR="00EB74A4" w:rsidRPr="00EB74A4" w:rsidRDefault="00EB74A4" w:rsidP="00EB74A4">
            <w:pPr>
              <w:pStyle w:val="ae"/>
              <w:rPr>
                <w:b w:val="0"/>
                <w:bCs/>
              </w:rPr>
            </w:pPr>
            <w:r w:rsidRPr="00EB74A4">
              <w:rPr>
                <w:rFonts w:hint="eastAsia"/>
                <w:b w:val="0"/>
                <w:bCs/>
              </w:rPr>
              <w:t>相关竣工图、计算分析报告、供货单（或采购合同、发票等）、检测报告、工程决算材料清单、绿色建材标识证书或授予文件、重庆市绿色建材示范基地授予文件或证书、施工记录</w:t>
            </w:r>
          </w:p>
        </w:tc>
      </w:tr>
      <w:tr w:rsidR="00EB74A4" w:rsidRPr="00EB74A4" w14:paraId="6E5AF001" w14:textId="77777777" w:rsidTr="00EB74A4">
        <w:trPr>
          <w:trHeight w:val="276"/>
        </w:trPr>
        <w:tc>
          <w:tcPr>
            <w:tcW w:w="960" w:type="dxa"/>
            <w:vAlign w:val="center"/>
            <w:hideMark/>
          </w:tcPr>
          <w:p w14:paraId="783E152F" w14:textId="77777777" w:rsidR="00EB74A4" w:rsidRPr="00EB74A4" w:rsidRDefault="00EB74A4" w:rsidP="00EB74A4">
            <w:pPr>
              <w:pStyle w:val="ae"/>
              <w:rPr>
                <w:b w:val="0"/>
                <w:bCs/>
              </w:rPr>
            </w:pPr>
            <w:r w:rsidRPr="00EB74A4">
              <w:rPr>
                <w:rFonts w:hint="eastAsia"/>
                <w:b w:val="0"/>
                <w:bCs/>
              </w:rPr>
              <w:t>9.2.14</w:t>
            </w:r>
          </w:p>
        </w:tc>
        <w:tc>
          <w:tcPr>
            <w:tcW w:w="2040" w:type="dxa"/>
            <w:vAlign w:val="center"/>
            <w:hideMark/>
          </w:tcPr>
          <w:p w14:paraId="00BFA52A" w14:textId="77777777" w:rsidR="00EB74A4" w:rsidRPr="00EB74A4" w:rsidRDefault="00EB74A4" w:rsidP="00EB74A4">
            <w:pPr>
              <w:pStyle w:val="ae"/>
              <w:rPr>
                <w:b w:val="0"/>
                <w:bCs/>
              </w:rPr>
            </w:pPr>
            <w:r w:rsidRPr="00EB74A4">
              <w:rPr>
                <w:rFonts w:hint="eastAsia"/>
                <w:b w:val="0"/>
                <w:bCs/>
              </w:rPr>
              <w:t>自保温砌体材料</w:t>
            </w:r>
          </w:p>
        </w:tc>
        <w:tc>
          <w:tcPr>
            <w:tcW w:w="11540" w:type="dxa"/>
            <w:vAlign w:val="center"/>
            <w:hideMark/>
          </w:tcPr>
          <w:p w14:paraId="532FDDC0" w14:textId="77777777" w:rsidR="00EB74A4" w:rsidRPr="00EB74A4" w:rsidRDefault="00EB74A4" w:rsidP="00EB74A4">
            <w:pPr>
              <w:pStyle w:val="ae"/>
              <w:rPr>
                <w:b w:val="0"/>
                <w:bCs/>
              </w:rPr>
            </w:pPr>
            <w:r w:rsidRPr="00EB74A4">
              <w:rPr>
                <w:rFonts w:hint="eastAsia"/>
                <w:b w:val="0"/>
                <w:bCs/>
              </w:rPr>
              <w:t>相关竣工图、主要墙体材料性能检测报告、施工隐蔽验收记录、砌块材料中建筑垃圾掺量检测报告及相关证明材料</w:t>
            </w:r>
          </w:p>
        </w:tc>
      </w:tr>
      <w:tr w:rsidR="00EB74A4" w:rsidRPr="00EB74A4" w14:paraId="37DCFF50" w14:textId="77777777" w:rsidTr="00EB74A4">
        <w:trPr>
          <w:trHeight w:val="276"/>
        </w:trPr>
        <w:tc>
          <w:tcPr>
            <w:tcW w:w="960" w:type="dxa"/>
            <w:vAlign w:val="center"/>
            <w:hideMark/>
          </w:tcPr>
          <w:p w14:paraId="31B65930" w14:textId="77777777" w:rsidR="00EB74A4" w:rsidRPr="00EB74A4" w:rsidRDefault="00EB74A4" w:rsidP="00EB74A4">
            <w:pPr>
              <w:pStyle w:val="ae"/>
              <w:rPr>
                <w:b w:val="0"/>
                <w:bCs/>
              </w:rPr>
            </w:pPr>
            <w:r w:rsidRPr="00EB74A4">
              <w:rPr>
                <w:rFonts w:hint="eastAsia"/>
                <w:b w:val="0"/>
                <w:bCs/>
              </w:rPr>
              <w:lastRenderedPageBreak/>
              <w:t>9.2.15</w:t>
            </w:r>
          </w:p>
        </w:tc>
        <w:tc>
          <w:tcPr>
            <w:tcW w:w="2040" w:type="dxa"/>
            <w:vAlign w:val="center"/>
            <w:hideMark/>
          </w:tcPr>
          <w:p w14:paraId="3B8865F9" w14:textId="77777777" w:rsidR="00EB74A4" w:rsidRPr="00EB74A4" w:rsidRDefault="00EB74A4" w:rsidP="00EB74A4">
            <w:pPr>
              <w:pStyle w:val="ae"/>
              <w:rPr>
                <w:b w:val="0"/>
                <w:bCs/>
              </w:rPr>
            </w:pPr>
            <w:r w:rsidRPr="00EB74A4">
              <w:rPr>
                <w:rFonts w:hint="eastAsia"/>
                <w:b w:val="0"/>
                <w:bCs/>
              </w:rPr>
              <w:t>效益</w:t>
            </w:r>
          </w:p>
        </w:tc>
        <w:tc>
          <w:tcPr>
            <w:tcW w:w="11540" w:type="dxa"/>
            <w:vAlign w:val="center"/>
            <w:hideMark/>
          </w:tcPr>
          <w:p w14:paraId="7ABCCBA2" w14:textId="77777777" w:rsidR="00EB74A4" w:rsidRPr="00EB74A4" w:rsidRDefault="00EB74A4" w:rsidP="00EB74A4">
            <w:pPr>
              <w:pStyle w:val="ae"/>
              <w:rPr>
                <w:b w:val="0"/>
                <w:bCs/>
              </w:rPr>
            </w:pPr>
            <w:r w:rsidRPr="00EB74A4">
              <w:rPr>
                <w:rFonts w:hint="eastAsia"/>
                <w:b w:val="0"/>
                <w:bCs/>
              </w:rPr>
              <w:t>相关设计文件、分析论证报告及相关证明材料</w:t>
            </w:r>
          </w:p>
        </w:tc>
      </w:tr>
    </w:tbl>
    <w:p w14:paraId="343B6479" w14:textId="77777777" w:rsidR="00EB74A4" w:rsidRPr="003D2B01" w:rsidRDefault="00EB74A4" w:rsidP="00EB74A4">
      <w:pPr>
        <w:ind w:firstLine="420"/>
        <w:rPr>
          <w:rFonts w:cs="Times New Roman"/>
        </w:rPr>
      </w:pPr>
    </w:p>
    <w:p w14:paraId="39E08A2D" w14:textId="3F65248D" w:rsidR="00EB74A4" w:rsidRPr="00EB74A4" w:rsidRDefault="00EB74A4" w:rsidP="00AF7DAA">
      <w:pPr>
        <w:ind w:firstLineChars="0" w:firstLine="0"/>
        <w:rPr>
          <w:rFonts w:cs="Times New Roman"/>
          <w:bCs/>
          <w:kern w:val="44"/>
          <w:szCs w:val="24"/>
        </w:rPr>
      </w:pPr>
    </w:p>
    <w:p w14:paraId="2637FE5B" w14:textId="4D25A753" w:rsidR="00EB74A4" w:rsidRDefault="00EB74A4" w:rsidP="00AF7DAA">
      <w:pPr>
        <w:ind w:firstLineChars="0" w:firstLine="0"/>
        <w:rPr>
          <w:rFonts w:cs="Times New Roman"/>
          <w:bCs/>
          <w:kern w:val="44"/>
          <w:szCs w:val="24"/>
        </w:rPr>
      </w:pPr>
    </w:p>
    <w:p w14:paraId="3890F2D2" w14:textId="2BC029B3" w:rsidR="00EB74A4" w:rsidRDefault="00EB74A4" w:rsidP="00AF7DAA">
      <w:pPr>
        <w:ind w:firstLineChars="0" w:firstLine="0"/>
        <w:rPr>
          <w:rFonts w:cs="Times New Roman"/>
          <w:bCs/>
          <w:kern w:val="44"/>
          <w:szCs w:val="24"/>
        </w:rPr>
      </w:pPr>
    </w:p>
    <w:p w14:paraId="060C6F7A" w14:textId="261D5EAF" w:rsidR="00EB74A4" w:rsidRDefault="00EB74A4" w:rsidP="00AF7DAA">
      <w:pPr>
        <w:ind w:firstLineChars="0" w:firstLine="0"/>
        <w:rPr>
          <w:rFonts w:cs="Times New Roman"/>
          <w:bCs/>
          <w:kern w:val="44"/>
          <w:szCs w:val="24"/>
        </w:rPr>
      </w:pPr>
    </w:p>
    <w:p w14:paraId="4FC61E5D" w14:textId="7E87B7DD" w:rsidR="00EB74A4" w:rsidRDefault="00EB74A4" w:rsidP="00AF7DAA">
      <w:pPr>
        <w:ind w:firstLineChars="0" w:firstLine="0"/>
        <w:rPr>
          <w:rFonts w:cs="Times New Roman"/>
          <w:bCs/>
          <w:kern w:val="44"/>
          <w:szCs w:val="24"/>
        </w:rPr>
      </w:pPr>
    </w:p>
    <w:p w14:paraId="37A59092" w14:textId="65A81178" w:rsidR="00EB74A4" w:rsidRDefault="00EB74A4" w:rsidP="00AF7DAA">
      <w:pPr>
        <w:ind w:firstLineChars="0" w:firstLine="0"/>
        <w:rPr>
          <w:rFonts w:cs="Times New Roman"/>
          <w:bCs/>
          <w:kern w:val="44"/>
          <w:szCs w:val="24"/>
        </w:rPr>
      </w:pPr>
    </w:p>
    <w:p w14:paraId="7BB32007" w14:textId="21E09AEA" w:rsidR="00EB74A4" w:rsidRDefault="00EB74A4" w:rsidP="00AF7DAA">
      <w:pPr>
        <w:ind w:firstLineChars="0" w:firstLine="0"/>
        <w:rPr>
          <w:rFonts w:cs="Times New Roman"/>
          <w:bCs/>
          <w:kern w:val="44"/>
          <w:szCs w:val="24"/>
        </w:rPr>
      </w:pPr>
    </w:p>
    <w:p w14:paraId="40A3CBEA" w14:textId="66D29FBB" w:rsidR="00EB74A4" w:rsidRDefault="00EB74A4" w:rsidP="00AF7DAA">
      <w:pPr>
        <w:ind w:firstLineChars="0" w:firstLine="0"/>
        <w:rPr>
          <w:rFonts w:cs="Times New Roman"/>
          <w:bCs/>
          <w:kern w:val="44"/>
          <w:szCs w:val="24"/>
        </w:rPr>
      </w:pPr>
    </w:p>
    <w:p w14:paraId="02D52E99" w14:textId="78F27496" w:rsidR="00913C78" w:rsidRDefault="00913C78" w:rsidP="00AF7DAA">
      <w:pPr>
        <w:ind w:firstLineChars="0" w:firstLine="0"/>
        <w:rPr>
          <w:rFonts w:cs="Times New Roman"/>
          <w:bCs/>
          <w:kern w:val="44"/>
          <w:szCs w:val="24"/>
        </w:rPr>
      </w:pPr>
    </w:p>
    <w:p w14:paraId="61109A65" w14:textId="2B2CA600" w:rsidR="00913C78" w:rsidRDefault="00913C78" w:rsidP="00913C78">
      <w:pPr>
        <w:pStyle w:val="1"/>
      </w:pPr>
      <w:bookmarkStart w:id="244" w:name="_Toc35364764"/>
      <w:r w:rsidRPr="00913C78">
        <w:rPr>
          <w:rFonts w:hint="eastAsia"/>
        </w:rPr>
        <w:t>附录</w:t>
      </w:r>
      <w:r w:rsidRPr="00913C78">
        <w:rPr>
          <w:rFonts w:hint="eastAsia"/>
        </w:rPr>
        <w:t xml:space="preserve">A  </w:t>
      </w:r>
      <w:r w:rsidRPr="00913C78">
        <w:rPr>
          <w:rFonts w:hint="eastAsia"/>
        </w:rPr>
        <w:t>数值分析报告提纲及要求</w:t>
      </w:r>
      <w:bookmarkEnd w:id="244"/>
    </w:p>
    <w:p w14:paraId="2C8B8169" w14:textId="77777777" w:rsidR="00913C78" w:rsidRPr="00913C78" w:rsidRDefault="00913C78" w:rsidP="00913C78">
      <w:pPr>
        <w:pStyle w:val="24"/>
      </w:pPr>
      <w:bookmarkStart w:id="245" w:name="_Toc35364765"/>
      <w:bookmarkStart w:id="246" w:name="_Hlk34817364"/>
      <w:r w:rsidRPr="00913C78">
        <w:rPr>
          <w:rFonts w:hint="eastAsia"/>
        </w:rPr>
        <w:t>附录</w:t>
      </w:r>
      <w:r w:rsidRPr="00913C78">
        <w:rPr>
          <w:rFonts w:hint="eastAsia"/>
        </w:rPr>
        <w:t>A.</w:t>
      </w:r>
      <w:r w:rsidRPr="00913C78">
        <w:t>1</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——室外声环境数值分析报告提纲及要求</w:t>
      </w:r>
      <w:bookmarkEnd w:id="245"/>
    </w:p>
    <w:p w14:paraId="7EF065DE" w14:textId="77777777" w:rsidR="00913C78" w:rsidRPr="00913C78" w:rsidRDefault="00913C78" w:rsidP="00913C78">
      <w:pPr>
        <w:pStyle w:val="32"/>
      </w:pPr>
      <w:bookmarkStart w:id="247" w:name="_Toc475359885"/>
      <w:bookmarkStart w:id="248" w:name="_Toc35364766"/>
      <w:r w:rsidRPr="00913C78">
        <w:rPr>
          <w:rFonts w:hint="eastAsia"/>
        </w:rPr>
        <w:t xml:space="preserve">A.1.1  </w:t>
      </w:r>
      <w:r w:rsidRPr="00913C78">
        <w:t>综合概况</w:t>
      </w:r>
      <w:bookmarkEnd w:id="247"/>
      <w:bookmarkEnd w:id="248"/>
    </w:p>
    <w:p w14:paraId="6780F5D9" w14:textId="77777777" w:rsidR="00913C78" w:rsidRPr="00913C78" w:rsidRDefault="00913C78" w:rsidP="00913C78">
      <w:pPr>
        <w:ind w:firstLine="420"/>
      </w:pPr>
      <w:bookmarkStart w:id="249" w:name="_Toc475359886"/>
      <w:r w:rsidRPr="00913C78">
        <w:rPr>
          <w:rFonts w:hint="eastAsia"/>
        </w:rPr>
        <w:t>◎</w:t>
      </w:r>
      <w:r w:rsidRPr="00913C78">
        <w:t xml:space="preserve"> </w:t>
      </w:r>
      <w:r w:rsidRPr="00913C78">
        <w:rPr>
          <w:rFonts w:hint="eastAsia"/>
        </w:rPr>
        <w:t>项目基本信息</w:t>
      </w:r>
      <w:bookmarkEnd w:id="249"/>
    </w:p>
    <w:p w14:paraId="59647DF1" w14:textId="77777777" w:rsidR="00913C78" w:rsidRPr="00913C78" w:rsidRDefault="00913C78" w:rsidP="00913C78">
      <w:pPr>
        <w:ind w:firstLine="420"/>
      </w:pPr>
      <w:r w:rsidRPr="00913C78">
        <w:rPr>
          <w:rFonts w:hint="eastAsia"/>
        </w:rPr>
        <w:t>数值分析报告中项目基本信息项目应包括但不限于：用地性质、地块组成、占地面积、建筑面积、主要噪声源及分布、目标建筑与周边声源及遮挡物的位置关系示意图等。</w:t>
      </w:r>
    </w:p>
    <w:p w14:paraId="7F4066E8" w14:textId="77777777" w:rsidR="00913C78" w:rsidRPr="00913C78" w:rsidRDefault="00913C78" w:rsidP="00913C78">
      <w:pPr>
        <w:ind w:firstLine="420"/>
      </w:pPr>
      <w:r w:rsidRPr="00913C78">
        <w:rPr>
          <w:rFonts w:hint="eastAsia"/>
        </w:rPr>
        <w:t>◎</w:t>
      </w:r>
      <w:r w:rsidRPr="00913C78">
        <w:t xml:space="preserve"> </w:t>
      </w:r>
      <w:r w:rsidRPr="00913C78">
        <w:rPr>
          <w:rFonts w:hint="eastAsia"/>
        </w:rPr>
        <w:t>标准要求</w:t>
      </w:r>
    </w:p>
    <w:p w14:paraId="64B8C2BF"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中标准要求应</w:t>
      </w:r>
      <w:r w:rsidRPr="00913C78">
        <w:t>包括：</w:t>
      </w:r>
      <w:r w:rsidRPr="00913C78">
        <w:rPr>
          <w:rFonts w:hint="eastAsia"/>
        </w:rPr>
        <w:t>对应的绿色建筑标准及条款、标准规定的计算要求、评分要求及达标要求。</w:t>
      </w:r>
    </w:p>
    <w:p w14:paraId="1F140BF4" w14:textId="77777777" w:rsidR="00913C78" w:rsidRPr="00913C78" w:rsidRDefault="00913C78" w:rsidP="00913C78">
      <w:pPr>
        <w:ind w:firstLine="420"/>
      </w:pPr>
      <w:r w:rsidRPr="00913C78">
        <w:rPr>
          <w:rFonts w:hint="eastAsia"/>
        </w:rPr>
        <w:t>例如</w:t>
      </w:r>
      <w:r w:rsidRPr="00913C78">
        <w:t>：</w:t>
      </w:r>
    </w:p>
    <w:p w14:paraId="5F1B5F10" w14:textId="45603291" w:rsidR="00913C78" w:rsidRPr="00913C78" w:rsidRDefault="00913C78" w:rsidP="00913C78">
      <w:pPr>
        <w:ind w:firstLine="420"/>
      </w:pPr>
      <w:r w:rsidRPr="00913C78">
        <w:t>《绿色建筑评价标准》</w:t>
      </w:r>
      <w:r w:rsidRPr="00913C78">
        <w:rPr>
          <w:rFonts w:hint="eastAsia"/>
        </w:rPr>
        <w:t>（</w:t>
      </w:r>
      <w:r w:rsidRPr="00913C78">
        <w:t>DBJ50</w:t>
      </w:r>
      <w:r w:rsidRPr="00913C78">
        <w:rPr>
          <w:rFonts w:hint="eastAsia"/>
        </w:rPr>
        <w:t>/</w:t>
      </w:r>
      <w:r w:rsidRPr="00913C78">
        <w:t>T-066</w:t>
      </w:r>
      <w:r w:rsidRPr="00913C78">
        <w:rPr>
          <w:rFonts w:hint="eastAsia"/>
        </w:rPr>
        <w:t>—</w:t>
      </w:r>
      <w:r w:rsidRPr="00913C78">
        <w:rPr>
          <w:rFonts w:hint="eastAsia"/>
        </w:rPr>
        <w:t>201</w:t>
      </w:r>
      <w:r w:rsidRPr="00913C78">
        <w:t>9</w:t>
      </w:r>
      <w:r w:rsidRPr="00913C78">
        <w:rPr>
          <w:rFonts w:hint="eastAsia"/>
        </w:rPr>
        <w:t>）第</w:t>
      </w:r>
      <w:r w:rsidRPr="00913C78">
        <w:t>8.2.7</w:t>
      </w:r>
      <w:r w:rsidRPr="00913C78">
        <w:rPr>
          <w:rFonts w:hint="eastAsia"/>
        </w:rPr>
        <w:t>条</w:t>
      </w:r>
      <w:r w:rsidR="00884668">
        <w:rPr>
          <w:rFonts w:hint="eastAsia"/>
        </w:rPr>
        <w:t>：</w:t>
      </w:r>
    </w:p>
    <w:p w14:paraId="381AD755" w14:textId="77777777" w:rsidR="00913C78" w:rsidRPr="00913C78" w:rsidRDefault="00913C78" w:rsidP="00913C78">
      <w:pPr>
        <w:ind w:firstLine="420"/>
      </w:pPr>
      <w:r w:rsidRPr="00913C78">
        <w:rPr>
          <w:rFonts w:hint="eastAsia"/>
        </w:rPr>
        <w:t>场地内的环境噪声优于现行国家标准《声环境质量标准》</w:t>
      </w:r>
      <w:r w:rsidRPr="00913C78">
        <w:rPr>
          <w:rFonts w:hint="eastAsia"/>
        </w:rPr>
        <w:t>GB3096</w:t>
      </w:r>
      <w:r w:rsidRPr="00913C78">
        <w:rPr>
          <w:rFonts w:hint="eastAsia"/>
        </w:rPr>
        <w:t>的要求，评价总分值</w:t>
      </w:r>
      <w:r w:rsidRPr="00913C78">
        <w:rPr>
          <w:rFonts w:hint="eastAsia"/>
        </w:rPr>
        <w:lastRenderedPageBreak/>
        <w:t>为</w:t>
      </w:r>
      <w:r w:rsidRPr="00913C78">
        <w:rPr>
          <w:rFonts w:hint="eastAsia"/>
        </w:rPr>
        <w:t>10</w:t>
      </w:r>
      <w:r w:rsidRPr="00913C78">
        <w:rPr>
          <w:rFonts w:hint="eastAsia"/>
        </w:rPr>
        <w:t>分，并按下列规则评分：</w:t>
      </w:r>
    </w:p>
    <w:p w14:paraId="78C3AEA5" w14:textId="77777777" w:rsidR="00913C78" w:rsidRPr="00913C78" w:rsidRDefault="00913C78" w:rsidP="00913C78">
      <w:pPr>
        <w:ind w:firstLine="420"/>
      </w:pPr>
      <w:r w:rsidRPr="00913C78">
        <w:rPr>
          <w:rFonts w:hint="eastAsia"/>
        </w:rPr>
        <w:t xml:space="preserve">1 </w:t>
      </w:r>
      <w:r w:rsidRPr="00913C78">
        <w:rPr>
          <w:rFonts w:hint="eastAsia"/>
        </w:rPr>
        <w:t>环境噪声值大于</w:t>
      </w:r>
      <w:r w:rsidRPr="00913C78">
        <w:rPr>
          <w:rFonts w:hint="eastAsia"/>
        </w:rPr>
        <w:t>2</w:t>
      </w:r>
      <w:r w:rsidRPr="00913C78">
        <w:rPr>
          <w:rFonts w:hint="eastAsia"/>
        </w:rPr>
        <w:t>类声环境功能区标准限值，且小于或等于</w:t>
      </w:r>
      <w:r w:rsidRPr="00913C78">
        <w:rPr>
          <w:rFonts w:hint="eastAsia"/>
        </w:rPr>
        <w:t>3</w:t>
      </w:r>
      <w:r w:rsidRPr="00913C78">
        <w:rPr>
          <w:rFonts w:hint="eastAsia"/>
        </w:rPr>
        <w:t>类声环境功能区标准限值，得</w:t>
      </w:r>
      <w:r w:rsidRPr="00913C78">
        <w:rPr>
          <w:rFonts w:hint="eastAsia"/>
        </w:rPr>
        <w:t>5</w:t>
      </w:r>
      <w:r w:rsidRPr="00913C78">
        <w:rPr>
          <w:rFonts w:hint="eastAsia"/>
        </w:rPr>
        <w:t>分。</w:t>
      </w:r>
    </w:p>
    <w:p w14:paraId="17BE51FE" w14:textId="77777777" w:rsidR="009D7120" w:rsidRDefault="00913C78" w:rsidP="00913C78">
      <w:pPr>
        <w:ind w:firstLine="420"/>
      </w:pPr>
      <w:r w:rsidRPr="00913C78">
        <w:rPr>
          <w:rFonts w:hint="eastAsia"/>
        </w:rPr>
        <w:t xml:space="preserve">2 </w:t>
      </w:r>
      <w:r w:rsidRPr="00913C78">
        <w:rPr>
          <w:rFonts w:hint="eastAsia"/>
        </w:rPr>
        <w:t>环境噪声值小于或等于</w:t>
      </w:r>
      <w:r w:rsidRPr="00913C78">
        <w:rPr>
          <w:rFonts w:hint="eastAsia"/>
        </w:rPr>
        <w:t>2</w:t>
      </w:r>
      <w:r w:rsidRPr="00913C78">
        <w:rPr>
          <w:rFonts w:hint="eastAsia"/>
        </w:rPr>
        <w:t>类声环境功能区标准限值，得</w:t>
      </w:r>
      <w:r w:rsidRPr="00913C78">
        <w:rPr>
          <w:rFonts w:hint="eastAsia"/>
        </w:rPr>
        <w:t>10</w:t>
      </w:r>
      <w:r w:rsidRPr="00913C78">
        <w:rPr>
          <w:rFonts w:hint="eastAsia"/>
        </w:rPr>
        <w:t>分。</w:t>
      </w:r>
      <w:bookmarkStart w:id="250" w:name="_Toc475359888"/>
    </w:p>
    <w:p w14:paraId="060FD6D2" w14:textId="00E6224B" w:rsidR="00913C78" w:rsidRPr="00913C78" w:rsidRDefault="00913C78" w:rsidP="00913C78">
      <w:pPr>
        <w:ind w:firstLine="420"/>
      </w:pPr>
      <w:r w:rsidRPr="00913C78">
        <w:rPr>
          <w:rFonts w:hint="eastAsia"/>
        </w:rPr>
        <w:t>◎</w:t>
      </w:r>
      <w:r w:rsidRPr="00913C78">
        <w:t xml:space="preserve"> </w:t>
      </w:r>
      <w:r w:rsidRPr="00913C78">
        <w:rPr>
          <w:rFonts w:hint="eastAsia"/>
        </w:rPr>
        <w:t>数值分析依据</w:t>
      </w:r>
      <w:bookmarkEnd w:id="250"/>
    </w:p>
    <w:p w14:paraId="28B0F8E7" w14:textId="77777777" w:rsidR="00913C78" w:rsidRPr="00913C78" w:rsidRDefault="00913C78" w:rsidP="00913C78">
      <w:pPr>
        <w:ind w:firstLine="420"/>
      </w:pPr>
      <w:r w:rsidRPr="00913C78">
        <w:rPr>
          <w:rFonts w:hint="eastAsia"/>
        </w:rPr>
        <w:t>数值分析依据应</w:t>
      </w:r>
      <w:r w:rsidRPr="00913C78">
        <w:t>包括</w:t>
      </w:r>
      <w:r w:rsidRPr="00913C78">
        <w:rPr>
          <w:rFonts w:hint="eastAsia"/>
        </w:rPr>
        <w:t>但</w:t>
      </w:r>
      <w:r w:rsidRPr="00913C78">
        <w:t>不限于：</w:t>
      </w:r>
      <w:r w:rsidRPr="00913C78">
        <w:rPr>
          <w:rFonts w:hint="eastAsia"/>
        </w:rPr>
        <w:t>应</w:t>
      </w:r>
      <w:r w:rsidRPr="00913C78">
        <w:t>写明</w:t>
      </w:r>
      <w:r w:rsidRPr="00913C78">
        <w:rPr>
          <w:rFonts w:hint="eastAsia"/>
        </w:rPr>
        <w:t>基础</w:t>
      </w:r>
      <w:r w:rsidRPr="00913C78">
        <w:t>数据</w:t>
      </w:r>
      <w:r w:rsidRPr="00913C78">
        <w:rPr>
          <w:rFonts w:hint="eastAsia"/>
        </w:rPr>
        <w:t>及</w:t>
      </w:r>
      <w:r w:rsidRPr="00913C78">
        <w:t>来源，如</w:t>
      </w:r>
      <w:r w:rsidRPr="00913C78">
        <w:rPr>
          <w:rFonts w:hint="eastAsia"/>
        </w:rPr>
        <w:t>模拟</w:t>
      </w:r>
      <w:r w:rsidRPr="00913C78">
        <w:t>区域地形</w:t>
      </w:r>
      <w:r w:rsidRPr="00913C78">
        <w:rPr>
          <w:rFonts w:hint="eastAsia"/>
        </w:rPr>
        <w:t>、</w:t>
      </w:r>
      <w:r w:rsidRPr="00913C78">
        <w:t>模拟区域内</w:t>
      </w:r>
      <w:r w:rsidRPr="00913C78">
        <w:rPr>
          <w:rFonts w:hint="eastAsia"/>
        </w:rPr>
        <w:t>的</w:t>
      </w:r>
      <w:r w:rsidRPr="00913C78">
        <w:t>建筑、</w:t>
      </w:r>
      <w:r w:rsidRPr="00913C78">
        <w:rPr>
          <w:rFonts w:hint="eastAsia"/>
        </w:rPr>
        <w:t>点线面声源输入声源的声功率级</w:t>
      </w:r>
      <w:r w:rsidRPr="00913C78">
        <w:t>、</w:t>
      </w:r>
      <w:r w:rsidRPr="00913C78">
        <w:rPr>
          <w:rFonts w:hint="eastAsia"/>
        </w:rPr>
        <w:t>设备的声功率级、数值分析</w:t>
      </w:r>
      <w:r w:rsidRPr="00913C78">
        <w:t>建筑信息</w:t>
      </w:r>
      <w:r w:rsidRPr="00913C78">
        <w:rPr>
          <w:rFonts w:hint="eastAsia"/>
        </w:rPr>
        <w:t>来源（图纸）等</w:t>
      </w:r>
      <w:r w:rsidRPr="00913C78">
        <w:t>。</w:t>
      </w:r>
    </w:p>
    <w:p w14:paraId="28497BC1" w14:textId="77777777" w:rsidR="00913C78" w:rsidRPr="00913C78" w:rsidRDefault="00913C78" w:rsidP="00913C78">
      <w:pPr>
        <w:ind w:firstLine="420"/>
      </w:pPr>
      <w:r w:rsidRPr="00913C78">
        <w:rPr>
          <w:rFonts w:hint="eastAsia"/>
        </w:rPr>
        <w:t>数据来源</w:t>
      </w:r>
      <w:r w:rsidRPr="00913C78">
        <w:t>：</w:t>
      </w:r>
    </w:p>
    <w:p w14:paraId="261D59AE"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《汽车定置噪声限值》（</w:t>
      </w:r>
      <w:r w:rsidRPr="00913C78">
        <w:t>GB 16170</w:t>
      </w:r>
      <w:r w:rsidRPr="00913C78">
        <w:rPr>
          <w:rFonts w:hint="eastAsia"/>
        </w:rPr>
        <w:t>—</w:t>
      </w:r>
      <w:r w:rsidRPr="00913C78">
        <w:rPr>
          <w:rFonts w:hint="eastAsia"/>
        </w:rPr>
        <w:t>1996</w:t>
      </w:r>
      <w:r w:rsidRPr="00913C78">
        <w:rPr>
          <w:rFonts w:hint="eastAsia"/>
        </w:rPr>
        <w:t>）。</w:t>
      </w:r>
    </w:p>
    <w:p w14:paraId="4F063563"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《机动车辆允许噪声标准》（</w:t>
      </w:r>
      <w:r w:rsidRPr="00913C78">
        <w:rPr>
          <w:rFonts w:hint="eastAsia"/>
        </w:rPr>
        <w:t>GB</w:t>
      </w:r>
      <w:r w:rsidRPr="00913C78">
        <w:t> </w:t>
      </w:r>
      <w:r w:rsidRPr="00913C78">
        <w:rPr>
          <w:rFonts w:hint="eastAsia"/>
        </w:rPr>
        <w:t>1495</w:t>
      </w:r>
      <w:r w:rsidRPr="00913C78">
        <w:rPr>
          <w:rFonts w:hint="eastAsia"/>
        </w:rPr>
        <w:t>—</w:t>
      </w:r>
      <w:r w:rsidRPr="00913C78">
        <w:rPr>
          <w:rFonts w:hint="eastAsia"/>
        </w:rPr>
        <w:t>2002</w:t>
      </w:r>
      <w:r w:rsidRPr="00913C78">
        <w:rPr>
          <w:rFonts w:hint="eastAsia"/>
        </w:rPr>
        <w:t>）。</w:t>
      </w:r>
    </w:p>
    <w:p w14:paraId="3C3AF440"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《铁道机车辐射噪声限值》（</w:t>
      </w:r>
      <w:r w:rsidRPr="00913C78">
        <w:t>GB/T 13669</w:t>
      </w:r>
      <w:r w:rsidRPr="00913C78">
        <w:rPr>
          <w:rFonts w:hint="eastAsia"/>
        </w:rPr>
        <w:t>—</w:t>
      </w:r>
      <w:r w:rsidRPr="00913C78">
        <w:rPr>
          <w:rFonts w:hint="eastAsia"/>
        </w:rPr>
        <w:t>1992</w:t>
      </w:r>
      <w:r w:rsidRPr="00913C78">
        <w:rPr>
          <w:rFonts w:hint="eastAsia"/>
        </w:rPr>
        <w:t>）。</w:t>
      </w:r>
    </w:p>
    <w:p w14:paraId="3CB91A8F"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《声环境质量标准》（</w:t>
      </w:r>
      <w:r w:rsidRPr="00913C78">
        <w:rPr>
          <w:rFonts w:hint="eastAsia"/>
        </w:rPr>
        <w:t>GB 3096</w:t>
      </w:r>
      <w:r w:rsidRPr="00913C78">
        <w:rPr>
          <w:rFonts w:hint="eastAsia"/>
        </w:rPr>
        <w:t>—</w:t>
      </w:r>
      <w:r w:rsidRPr="00913C78">
        <w:rPr>
          <w:rFonts w:hint="eastAsia"/>
        </w:rPr>
        <w:t>2008</w:t>
      </w:r>
      <w:r w:rsidRPr="00913C78">
        <w:rPr>
          <w:rFonts w:hint="eastAsia"/>
        </w:rPr>
        <w:t>）。</w:t>
      </w:r>
    </w:p>
    <w:p w14:paraId="243CBB97" w14:textId="77777777" w:rsidR="00913C78" w:rsidRPr="00913C78" w:rsidRDefault="00913C78" w:rsidP="00913C78">
      <w:pPr>
        <w:ind w:firstLine="420"/>
      </w:pPr>
      <w:r w:rsidRPr="00913C78">
        <w:t>5</w:t>
      </w:r>
      <w:r w:rsidRPr="00913C78">
        <w:rPr>
          <w:rFonts w:hint="eastAsia"/>
        </w:rPr>
        <w:t>）</w:t>
      </w:r>
      <w:r w:rsidRPr="00913C78">
        <w:t> </w:t>
      </w:r>
      <w:r w:rsidRPr="00913C78">
        <w:rPr>
          <w:rFonts w:hint="eastAsia"/>
        </w:rPr>
        <w:t>《重庆统计年鉴》（数据分析应采用最近最新年份关于城区内区域噪声的统计数据等相关标准、资料中的数据）。</w:t>
      </w:r>
    </w:p>
    <w:p w14:paraId="48F548F3" w14:textId="77777777" w:rsidR="00913C78" w:rsidRPr="00913C78" w:rsidRDefault="00913C78" w:rsidP="00913C78">
      <w:pPr>
        <w:ind w:firstLine="420"/>
      </w:pPr>
      <w:r w:rsidRPr="00913C78">
        <w:rPr>
          <w:rFonts w:hint="eastAsia"/>
        </w:rPr>
        <w:t>部分设备的声功率级：《环境噪声与振动控制工程技术导则》（</w:t>
      </w:r>
      <w:r w:rsidRPr="00913C78">
        <w:t>HJ 2034</w:t>
      </w:r>
      <w:r w:rsidRPr="00913C78">
        <w:rPr>
          <w:rFonts w:hint="eastAsia"/>
        </w:rPr>
        <w:t>—</w:t>
      </w:r>
      <w:r w:rsidRPr="00913C78">
        <w:rPr>
          <w:rFonts w:hint="eastAsia"/>
        </w:rPr>
        <w:t>2013</w:t>
      </w:r>
      <w:r w:rsidRPr="00913C78">
        <w:rPr>
          <w:rFonts w:hint="eastAsia"/>
        </w:rPr>
        <w:t>）。</w:t>
      </w:r>
    </w:p>
    <w:p w14:paraId="04FC7BDB" w14:textId="77777777" w:rsidR="00913C78" w:rsidRPr="00913C78" w:rsidRDefault="00913C78" w:rsidP="00913C78">
      <w:pPr>
        <w:ind w:firstLine="420"/>
      </w:pPr>
      <w:r w:rsidRPr="00913C78">
        <w:rPr>
          <w:rFonts w:hint="eastAsia"/>
        </w:rPr>
        <w:t>分析</w:t>
      </w:r>
      <w:r w:rsidRPr="00913C78">
        <w:t>过程</w:t>
      </w:r>
      <w:r w:rsidRPr="00913C78">
        <w:rPr>
          <w:rFonts w:hint="eastAsia"/>
        </w:rPr>
        <w:t>可</w:t>
      </w:r>
      <w:r w:rsidRPr="00913C78">
        <w:t>参考</w:t>
      </w:r>
      <w:r w:rsidRPr="00913C78">
        <w:rPr>
          <w:rFonts w:hint="eastAsia"/>
        </w:rPr>
        <w:t>《</w:t>
      </w:r>
      <w:r w:rsidRPr="00913C78">
        <w:t>民用</w:t>
      </w:r>
      <w:r w:rsidRPr="00913C78">
        <w:rPr>
          <w:rFonts w:hint="eastAsia"/>
        </w:rPr>
        <w:t>建筑</w:t>
      </w:r>
      <w:r w:rsidRPr="00913C78">
        <w:t>绿色</w:t>
      </w:r>
      <w:r w:rsidRPr="00913C78">
        <w:rPr>
          <w:rFonts w:hint="eastAsia"/>
        </w:rPr>
        <w:t>性能</w:t>
      </w:r>
      <w:r w:rsidRPr="00913C78">
        <w:t>计算标准》</w:t>
      </w:r>
      <w:r w:rsidRPr="00913C78">
        <w:rPr>
          <w:rFonts w:hint="eastAsia"/>
        </w:rPr>
        <w:t>（</w:t>
      </w:r>
      <w:r w:rsidRPr="00913C78">
        <w:rPr>
          <w:rFonts w:hint="eastAsia"/>
        </w:rPr>
        <w:t>JGJ/T 449</w:t>
      </w:r>
      <w:r w:rsidRPr="00913C78">
        <w:rPr>
          <w:rFonts w:hint="eastAsia"/>
        </w:rPr>
        <w:t>—</w:t>
      </w:r>
      <w:r w:rsidRPr="00913C78">
        <w:rPr>
          <w:rFonts w:hint="eastAsia"/>
        </w:rPr>
        <w:t>2018</w:t>
      </w:r>
      <w:r w:rsidRPr="00913C78">
        <w:rPr>
          <w:rFonts w:hint="eastAsia"/>
        </w:rPr>
        <w:t>）要求</w:t>
      </w:r>
      <w:r w:rsidRPr="00913C78">
        <w:t>进行。</w:t>
      </w:r>
    </w:p>
    <w:p w14:paraId="65283169" w14:textId="112F2809" w:rsidR="00913C78" w:rsidRPr="00913C78" w:rsidRDefault="00913C78" w:rsidP="00913C78">
      <w:pPr>
        <w:pStyle w:val="32"/>
      </w:pPr>
      <w:bookmarkStart w:id="251" w:name="_Toc475359889"/>
      <w:bookmarkStart w:id="252" w:name="_Toc35364767"/>
      <w:r w:rsidRPr="00913C78">
        <w:rPr>
          <w:rFonts w:hint="eastAsia"/>
        </w:rPr>
        <w:t xml:space="preserve">A.1.2  </w:t>
      </w:r>
      <w:r w:rsidRPr="00913C78">
        <w:rPr>
          <w:rFonts w:hint="eastAsia"/>
        </w:rPr>
        <w:t>数值分析方法</w:t>
      </w:r>
      <w:bookmarkEnd w:id="251"/>
      <w:bookmarkEnd w:id="252"/>
    </w:p>
    <w:p w14:paraId="51FC7378" w14:textId="77777777" w:rsidR="00913C78" w:rsidRPr="00913C78" w:rsidRDefault="00913C78" w:rsidP="00913C78">
      <w:pPr>
        <w:ind w:firstLine="420"/>
      </w:pPr>
      <w:bookmarkStart w:id="253" w:name="_Toc475359890"/>
      <w:r w:rsidRPr="00913C78">
        <w:rPr>
          <w:rFonts w:hint="eastAsia"/>
        </w:rPr>
        <w:t>◎</w:t>
      </w:r>
      <w:r w:rsidRPr="00913C78">
        <w:rPr>
          <w:rFonts w:hint="eastAsia"/>
        </w:rPr>
        <w:t xml:space="preserve"> </w:t>
      </w:r>
      <w:r w:rsidRPr="00913C78">
        <w:rPr>
          <w:rFonts w:hint="eastAsia"/>
        </w:rPr>
        <w:t>分析方法</w:t>
      </w:r>
      <w:bookmarkEnd w:id="253"/>
    </w:p>
    <w:p w14:paraId="5CE692C4"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中分析方法</w:t>
      </w:r>
      <w:r w:rsidRPr="00913C78">
        <w:t>应</w:t>
      </w:r>
      <w:r w:rsidRPr="00913C78">
        <w:rPr>
          <w:rFonts w:hint="eastAsia"/>
        </w:rPr>
        <w:t>包括但</w:t>
      </w:r>
      <w:r w:rsidRPr="00913C78">
        <w:t>不限于</w:t>
      </w:r>
      <w:r w:rsidRPr="00913C78">
        <w:rPr>
          <w:rFonts w:hint="eastAsia"/>
        </w:rPr>
        <w:t>：数值分析采用</w:t>
      </w:r>
      <w:r w:rsidRPr="00913C78">
        <w:t>的分析方法</w:t>
      </w:r>
      <w:r w:rsidRPr="00913C78">
        <w:rPr>
          <w:rFonts w:hint="eastAsia"/>
        </w:rPr>
        <w:t>（模型</w:t>
      </w:r>
      <w:r w:rsidRPr="00913C78">
        <w:t>选取</w:t>
      </w:r>
      <w:r w:rsidRPr="00913C78">
        <w:rPr>
          <w:rFonts w:hint="eastAsia"/>
        </w:rPr>
        <w:t>等）</w:t>
      </w:r>
      <w:r w:rsidRPr="00913C78">
        <w:t>和</w:t>
      </w:r>
      <w:r w:rsidRPr="00913C78">
        <w:rPr>
          <w:rFonts w:hint="eastAsia"/>
        </w:rPr>
        <w:t>基本流程。</w:t>
      </w:r>
    </w:p>
    <w:p w14:paraId="149950AF" w14:textId="77777777" w:rsidR="00913C78" w:rsidRPr="00913C78" w:rsidRDefault="00913C78" w:rsidP="00913C78">
      <w:pPr>
        <w:ind w:firstLine="420"/>
      </w:pPr>
      <w:r w:rsidRPr="00913C78">
        <w:rPr>
          <w:rFonts w:hint="eastAsia"/>
        </w:rPr>
        <w:t>数值分析方法要求如下。</w:t>
      </w:r>
    </w:p>
    <w:p w14:paraId="58B8F721"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）基本计算</w:t>
      </w:r>
      <w:r w:rsidRPr="00913C78">
        <w:t>方法</w:t>
      </w:r>
    </w:p>
    <w:p w14:paraId="4AED979C" w14:textId="77777777" w:rsidR="00913C78" w:rsidRPr="00913C78" w:rsidRDefault="00913C78" w:rsidP="00913C78">
      <w:pPr>
        <w:ind w:firstLine="420"/>
      </w:pPr>
      <w:r w:rsidRPr="00913C78">
        <w:rPr>
          <w:rFonts w:hint="eastAsia"/>
        </w:rPr>
        <w:t>接收点位置的等效连续顺风倍频带声压级</w:t>
      </w:r>
      <w:r w:rsidRPr="00913C78">
        <w:rPr>
          <w:rFonts w:hint="eastAsia"/>
        </w:rPr>
        <w:t>L</w:t>
      </w:r>
      <w:r w:rsidRPr="00913C78">
        <w:t>T</w:t>
      </w:r>
      <w:r w:rsidRPr="00913C78">
        <w:rPr>
          <w:rFonts w:hint="eastAsia"/>
        </w:rPr>
        <w:t>（</w:t>
      </w:r>
      <w:r w:rsidRPr="00913C78">
        <w:rPr>
          <w:rFonts w:hint="eastAsia"/>
        </w:rPr>
        <w:t>DW</w:t>
      </w:r>
      <w:r w:rsidRPr="00913C78">
        <w:rPr>
          <w:rFonts w:hint="eastAsia"/>
        </w:rPr>
        <w:t>）对每个点声源和它的虚源，从</w:t>
      </w:r>
      <w:r w:rsidRPr="00913C78">
        <w:rPr>
          <w:rFonts w:hint="eastAsia"/>
        </w:rPr>
        <w:t>63Hz</w:t>
      </w:r>
      <w:r w:rsidRPr="00913C78">
        <w:rPr>
          <w:rFonts w:hint="eastAsia"/>
        </w:rPr>
        <w:t>到</w:t>
      </w:r>
      <w:r w:rsidRPr="00913C78">
        <w:rPr>
          <w:rFonts w:hint="eastAsia"/>
        </w:rPr>
        <w:t>8kHz</w:t>
      </w:r>
      <w:r w:rsidRPr="00913C78">
        <w:rPr>
          <w:rFonts w:hint="eastAsia"/>
        </w:rPr>
        <w:t>标称中心频率的</w:t>
      </w:r>
      <w:r w:rsidRPr="00913C78">
        <w:rPr>
          <w:rFonts w:hint="eastAsia"/>
        </w:rPr>
        <w:t>8</w:t>
      </w:r>
      <w:r w:rsidRPr="00913C78">
        <w:rPr>
          <w:rFonts w:hint="eastAsia"/>
        </w:rPr>
        <w:t>个倍频带可计算为</w:t>
      </w:r>
    </w:p>
    <w:p w14:paraId="7880A8C7" w14:textId="7AD7D3E6" w:rsidR="00AC2900" w:rsidRPr="00913C78" w:rsidRDefault="00D20A1F" w:rsidP="00AC2900">
      <w:pPr>
        <w:ind w:firstLine="420"/>
        <w:jc w:val="center"/>
      </w:pPr>
      <m:oMathPara>
        <m:oMath>
          <m:sSub>
            <m:sSubPr>
              <m:ctrlPr>
                <w:rPr>
                  <w:rFonts w:ascii="Cambria Math" w:hAnsi="Cambria Math"/>
                  <w:i/>
                </w:rPr>
              </m:ctrlPr>
            </m:sSubPr>
            <m:e>
              <m:r>
                <w:rPr>
                  <w:rFonts w:ascii="Cambria Math"/>
                </w:rPr>
                <m:t>L</m:t>
              </m:r>
            </m:e>
            <m:sub>
              <m:r>
                <w:rPr>
                  <w:rFonts w:ascii="Cambria Math"/>
                </w:rPr>
                <m:t>T</m:t>
              </m:r>
            </m:sub>
          </m:sSub>
          <m:r>
            <w:rPr>
              <w:rFonts w:ascii="Cambria Math"/>
            </w:rPr>
            <m:t>(</m:t>
          </m:r>
          <m:r>
            <m:rPr>
              <m:nor/>
            </m:rPr>
            <w:rPr>
              <w:rFonts w:ascii="Cambria Math"/>
            </w:rPr>
            <m:t>DW</m:t>
          </m:r>
          <m:r>
            <m:rPr>
              <m:sty m:val="p"/>
            </m:rPr>
            <w:rPr>
              <w:rFonts w:ascii="Cambria Math"/>
            </w:rPr>
            <m:t>)=</m:t>
          </m:r>
          <m:sSub>
            <m:sSubPr>
              <m:ctrlPr>
                <w:rPr>
                  <w:rFonts w:ascii="Cambria Math" w:hAnsi="Cambria Math"/>
                </w:rPr>
              </m:ctrlPr>
            </m:sSubPr>
            <m:e>
              <m:r>
                <w:rPr>
                  <w:rFonts w:ascii="Cambria Math"/>
                </w:rPr>
                <m:t>L</m:t>
              </m:r>
            </m:e>
            <m:sub>
              <m:r>
                <w:rPr>
                  <w:rFonts w:ascii="Cambria Math"/>
                </w:rPr>
                <m:t>W</m:t>
              </m:r>
              <m:ctrlPr>
                <w:rPr>
                  <w:rFonts w:ascii="Cambria Math" w:hAnsi="Cambria Math"/>
                  <w:i/>
                </w:rPr>
              </m:ctrlPr>
            </m:sub>
          </m:sSub>
          <m:r>
            <w:rPr>
              <w:rFonts w:ascii="Cambria Math"/>
            </w:rPr>
            <m:t>+</m:t>
          </m:r>
          <m:sSub>
            <m:sSubPr>
              <m:ctrlPr>
                <w:rPr>
                  <w:rFonts w:ascii="Cambria Math" w:hAnsi="Cambria Math"/>
                  <w:i/>
                </w:rPr>
              </m:ctrlPr>
            </m:sSubPr>
            <m:e>
              <m:r>
                <w:rPr>
                  <w:rFonts w:ascii="Cambria Math"/>
                </w:rPr>
                <m:t>D</m:t>
              </m:r>
            </m:e>
            <m:sub>
              <m:r>
                <w:rPr>
                  <w:rFonts w:ascii="Cambria Math"/>
                </w:rPr>
                <m:t>C</m:t>
              </m:r>
            </m:sub>
          </m:sSub>
          <m:r>
            <w:rPr>
              <w:rFonts w:ascii="Cambria Math"/>
            </w:rPr>
            <m:t>-</m:t>
          </m:r>
          <m:r>
            <w:rPr>
              <w:rFonts w:ascii="Cambria Math"/>
            </w:rPr>
            <m:t>A</m:t>
          </m:r>
        </m:oMath>
      </m:oMathPara>
    </w:p>
    <w:p w14:paraId="40A694D6" w14:textId="646693A5" w:rsidR="00913C78" w:rsidRPr="00913C78" w:rsidRDefault="00913C78" w:rsidP="00AC2900">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W</m:t>
            </m:r>
          </m:sub>
        </m:sSub>
      </m:oMath>
      <w:r w:rsidRPr="00913C78">
        <w:instrText xml:space="preserve"> </w:instrText>
      </w:r>
      <w:r w:rsidRPr="00913C78">
        <w:fldChar w:fldCharType="end"/>
      </w:r>
      <m:oMath>
        <m:sSub>
          <m:sSubPr>
            <m:ctrlPr>
              <w:rPr>
                <w:rFonts w:ascii="Cambria Math" w:hAnsi="Cambria Math"/>
                <w:i/>
              </w:rPr>
            </m:ctrlPr>
          </m:sSubPr>
          <m:e>
            <m:r>
              <w:rPr>
                <w:rFonts w:ascii="Cambria Math"/>
              </w:rPr>
              <m:t>L</m:t>
            </m:r>
          </m:e>
          <m:sub>
            <m:r>
              <w:rPr>
                <w:rFonts w:ascii="Cambria Math"/>
              </w:rPr>
              <m:t>W</m:t>
            </m:r>
          </m:sub>
        </m:sSub>
      </m:oMath>
      <w:r w:rsidRPr="00913C78">
        <w:rPr>
          <w:rFonts w:hint="eastAsia"/>
        </w:rPr>
        <w:t>—由点声源产生的倍频带声功率级（</w:t>
      </w:r>
      <w:r w:rsidRPr="00913C78">
        <w:rPr>
          <w:rFonts w:hint="eastAsia"/>
        </w:rPr>
        <w:t>dB</w:t>
      </w:r>
      <w:r w:rsidRPr="00913C78">
        <w:rPr>
          <w:rFonts w:hint="eastAsia"/>
        </w:rPr>
        <w:t>），基准声功率为</w:t>
      </w:r>
      <w:r w:rsidRPr="00913C78">
        <w:rPr>
          <w:rFonts w:hint="eastAsia"/>
        </w:rPr>
        <w:t>1</w:t>
      </w:r>
      <w:r w:rsidRPr="00913C78">
        <w:t>p</w:t>
      </w:r>
      <w:r w:rsidRPr="00913C78">
        <w:rPr>
          <w:rFonts w:hint="eastAsia"/>
        </w:rPr>
        <w:t>W</w:t>
      </w:r>
      <w:r w:rsidRPr="00913C78">
        <w:rPr>
          <w:rFonts w:hint="eastAsia"/>
        </w:rPr>
        <w:t>。</w:t>
      </w:r>
    </w:p>
    <w:p w14:paraId="51A8AB29" w14:textId="51B14EF9" w:rsidR="00913C78" w:rsidRPr="00913C78" w:rsidRDefault="00913C78" w:rsidP="00AC2900">
      <w:pPr>
        <w:ind w:leftChars="500" w:left="1470" w:hangingChars="200" w:hanging="42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C</m:t>
            </m:r>
          </m:sub>
        </m:sSub>
      </m:oMath>
      <w:r w:rsidRPr="00913C78">
        <w:instrText xml:space="preserve"> </w:instrText>
      </w:r>
      <w:r w:rsidRPr="00913C78">
        <w:fldChar w:fldCharType="end"/>
      </w:r>
      <m:oMath>
        <m:sSub>
          <m:sSubPr>
            <m:ctrlPr>
              <w:rPr>
                <w:rFonts w:ascii="Cambria Math" w:hAnsi="Cambria Math"/>
                <w:i/>
              </w:rPr>
            </m:ctrlPr>
          </m:sSubPr>
          <m:e>
            <m:r>
              <w:rPr>
                <w:rFonts w:ascii="Cambria Math"/>
              </w:rPr>
              <m:t>D</m:t>
            </m:r>
          </m:e>
          <m:sub>
            <m:r>
              <w:rPr>
                <w:rFonts w:ascii="Cambria Math"/>
              </w:rPr>
              <m:t>C</m:t>
            </m:r>
          </m:sub>
        </m:sSub>
      </m:oMath>
      <w:r w:rsidRPr="00913C78">
        <w:rPr>
          <w:rFonts w:hint="eastAsia"/>
        </w:rPr>
        <w:t>—指向性校正</w:t>
      </w:r>
      <w:r w:rsidRPr="00913C78">
        <w:t>（</w:t>
      </w:r>
      <w:r w:rsidRPr="00913C78">
        <w:rPr>
          <w:rFonts w:hint="eastAsia"/>
        </w:rPr>
        <w:t>dB</w:t>
      </w:r>
      <w:r w:rsidRPr="00913C78">
        <w:rPr>
          <w:rFonts w:hint="eastAsia"/>
        </w:rPr>
        <w:t>），它述从点声源的等效连续</w:t>
      </w:r>
      <w:r w:rsidRPr="00913C78">
        <w:t>声压级</w:t>
      </w:r>
      <w:r w:rsidRPr="00913C78">
        <w:rPr>
          <w:rFonts w:hint="eastAsia"/>
        </w:rPr>
        <w:t>与产生</w:t>
      </w:r>
      <w:r w:rsidRPr="00913C78">
        <w:t>声功率级</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W</m:t>
            </m:r>
          </m:sub>
        </m:sSub>
      </m:oMath>
      <w:r w:rsidRPr="00913C78">
        <w:instrText xml:space="preserve"> </w:instrText>
      </w:r>
      <w:r w:rsidRPr="00913C78">
        <w:fldChar w:fldCharType="end"/>
      </w:r>
      <m:oMath>
        <m:sSub>
          <m:sSubPr>
            <m:ctrlPr>
              <w:rPr>
                <w:rFonts w:ascii="Cambria Math" w:hAnsi="Cambria Math"/>
                <w:i/>
              </w:rPr>
            </m:ctrlPr>
          </m:sSubPr>
          <m:e>
            <m:r>
              <w:rPr>
                <w:rFonts w:ascii="Cambria Math"/>
              </w:rPr>
              <m:t>L</m:t>
            </m:r>
          </m:e>
          <m:sub>
            <m:r>
              <w:rPr>
                <w:rFonts w:ascii="Cambria Math"/>
              </w:rPr>
              <m:t>W</m:t>
            </m:r>
          </m:sub>
        </m:sSub>
      </m:oMath>
      <w:r w:rsidRPr="00913C78">
        <w:rPr>
          <w:rFonts w:hint="eastAsia"/>
        </w:rPr>
        <w:t>的</w:t>
      </w:r>
      <w:r w:rsidRPr="00913C78">
        <w:lastRenderedPageBreak/>
        <w:t>全</w:t>
      </w:r>
      <w:r w:rsidRPr="00913C78">
        <w:rPr>
          <w:rFonts w:hint="eastAsia"/>
        </w:rPr>
        <w:t>向</w:t>
      </w:r>
      <w:r w:rsidRPr="00913C78">
        <w:t>点声源</w:t>
      </w:r>
      <w:r w:rsidRPr="00913C78">
        <w:rPr>
          <w:rFonts w:hint="eastAsia"/>
        </w:rPr>
        <w:t>在规定方向级的偏差</w:t>
      </w:r>
      <w:r w:rsidRPr="00913C78">
        <w:t>程度。</w:t>
      </w:r>
      <w:r w:rsidRPr="00913C78">
        <w:rPr>
          <w:rFonts w:hint="eastAsia"/>
        </w:rPr>
        <w:t>指向性校正</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C</m:t>
            </m:r>
          </m:sub>
        </m:sSub>
      </m:oMath>
      <w:r w:rsidRPr="00913C78">
        <w:instrText xml:space="preserve"> </w:instrText>
      </w:r>
      <w:r w:rsidRPr="00913C78">
        <w:fldChar w:fldCharType="end"/>
      </w:r>
      <m:oMath>
        <m:sSub>
          <m:sSubPr>
            <m:ctrlPr>
              <w:rPr>
                <w:rFonts w:ascii="Cambria Math" w:hAnsi="Cambria Math"/>
                <w:i/>
              </w:rPr>
            </m:ctrlPr>
          </m:sSubPr>
          <m:e>
            <m:r>
              <w:rPr>
                <w:rFonts w:ascii="Cambria Math"/>
              </w:rPr>
              <m:t>D</m:t>
            </m:r>
          </m:e>
          <m:sub>
            <m:r>
              <w:rPr>
                <w:rFonts w:ascii="Cambria Math"/>
              </w:rPr>
              <m:t>C</m:t>
            </m:r>
          </m:sub>
        </m:sSub>
      </m:oMath>
      <w:r w:rsidRPr="00913C78">
        <w:rPr>
          <w:rFonts w:hint="eastAsia"/>
        </w:rPr>
        <w:t>等于点声源的指向性</w:t>
      </w:r>
      <w:r w:rsidRPr="00913C78">
        <w:t>指数</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1</m:t>
            </m:r>
          </m:sub>
        </m:sSub>
      </m:oMath>
      <w:r w:rsidRPr="00913C78">
        <w:instrText xml:space="preserve"> </w:instrText>
      </w:r>
      <w:r w:rsidRPr="00913C78">
        <w:fldChar w:fldCharType="end"/>
      </w:r>
      <m:oMath>
        <m:sSub>
          <m:sSubPr>
            <m:ctrlPr>
              <w:rPr>
                <w:rFonts w:ascii="Cambria Math" w:hAnsi="Cambria Math"/>
                <w:i/>
              </w:rPr>
            </m:ctrlPr>
          </m:sSubPr>
          <m:e>
            <m:r>
              <w:rPr>
                <w:rFonts w:ascii="Cambria Math"/>
              </w:rPr>
              <m:t>D</m:t>
            </m:r>
          </m:e>
          <m:sub>
            <m:r>
              <w:rPr>
                <w:rFonts w:ascii="Cambria Math"/>
              </w:rPr>
              <m:t>1</m:t>
            </m:r>
          </m:sub>
        </m:sSub>
      </m:oMath>
      <w:r w:rsidRPr="00913C78">
        <w:rPr>
          <w:rFonts w:hint="eastAsia"/>
        </w:rPr>
        <w:t>加上</w:t>
      </w:r>
      <w:r w:rsidRPr="00913C78">
        <w:t>计</w:t>
      </w:r>
      <w:r w:rsidRPr="00913C78">
        <w:rPr>
          <w:rFonts w:hint="eastAsia"/>
        </w:rPr>
        <w:t>到</w:t>
      </w:r>
      <w:r w:rsidRPr="00913C78">
        <w:t>小</w:t>
      </w:r>
      <w:r w:rsidRPr="00913C78">
        <w:rPr>
          <w:rFonts w:hint="eastAsia"/>
        </w:rPr>
        <w:t>于</w:t>
      </w:r>
      <w:r w:rsidRPr="00913C78">
        <w:rPr>
          <w:rFonts w:hint="eastAsia"/>
        </w:rPr>
        <w:t>4</w:t>
      </w:r>
      <w:r w:rsidRPr="00913C78">
        <w:t>π</w:t>
      </w:r>
      <w:r w:rsidRPr="00913C78">
        <w:rPr>
          <w:rFonts w:hint="eastAsia"/>
        </w:rPr>
        <w:t>球面度</w:t>
      </w:r>
      <w:r w:rsidRPr="00913C78">
        <w:t>（</w:t>
      </w:r>
      <w:r w:rsidRPr="00913C78">
        <w:rPr>
          <w:rFonts w:hint="eastAsia"/>
        </w:rPr>
        <w:t>sr</w:t>
      </w:r>
      <w:r w:rsidRPr="00913C78">
        <w:t>）</w:t>
      </w:r>
      <w:r w:rsidRPr="00913C78">
        <w:rPr>
          <w:rFonts w:hint="eastAsia"/>
        </w:rPr>
        <w:t>立体角内</w:t>
      </w:r>
      <w:r w:rsidRPr="00913C78">
        <w:t>的</w:t>
      </w:r>
      <w:r w:rsidRPr="00913C78">
        <w:rPr>
          <w:rFonts w:hint="eastAsia"/>
        </w:rPr>
        <w:t>声传播指数</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Ω</m:t>
            </m:r>
          </m:sub>
        </m:sSub>
      </m:oMath>
      <w:r w:rsidRPr="00913C78">
        <w:instrText xml:space="preserve"> </w:instrText>
      </w:r>
      <w:r w:rsidRPr="00913C78">
        <w:fldChar w:fldCharType="end"/>
      </w:r>
      <m:oMath>
        <m:sSub>
          <m:sSubPr>
            <m:ctrlPr>
              <w:rPr>
                <w:rFonts w:ascii="Cambria Math" w:hAnsi="Cambria Math"/>
                <w:i/>
              </w:rPr>
            </m:ctrlPr>
          </m:sSubPr>
          <m:e>
            <m:r>
              <w:rPr>
                <w:rFonts w:ascii="Cambria Math"/>
              </w:rPr>
              <m:t>D</m:t>
            </m:r>
          </m:e>
          <m:sub>
            <m:r>
              <w:rPr>
                <w:rFonts w:ascii="Cambria Math"/>
              </w:rPr>
              <m:t>Ω</m:t>
            </m:r>
          </m:sub>
        </m:sSub>
      </m:oMath>
      <w:r w:rsidRPr="00913C78">
        <w:rPr>
          <w:rFonts w:hint="eastAsia"/>
        </w:rPr>
        <w:t>，对</w:t>
      </w:r>
      <w:r w:rsidRPr="00913C78">
        <w:t>辐射到</w:t>
      </w:r>
      <w:r w:rsidRPr="00913C78">
        <w:rPr>
          <w:rFonts w:hint="eastAsia"/>
        </w:rPr>
        <w:t>自由空间的</w:t>
      </w:r>
      <w:r w:rsidRPr="00913C78">
        <w:t>全向</w:t>
      </w:r>
      <w:r w:rsidRPr="00913C78">
        <w:rPr>
          <w:rFonts w:hint="eastAsia"/>
        </w:rPr>
        <w:t>点声源，</w:t>
      </w:r>
      <m:oMath>
        <m:sSub>
          <m:sSubPr>
            <m:ctrlPr>
              <w:rPr>
                <w:rFonts w:ascii="Cambria Math" w:hAnsi="Cambria Math"/>
                <w:i/>
              </w:rPr>
            </m:ctrlPr>
          </m:sSubPr>
          <m:e>
            <m:r>
              <w:rPr>
                <w:rFonts w:ascii="Cambria Math"/>
              </w:rPr>
              <m:t>D</m:t>
            </m:r>
          </m:e>
          <m:sub>
            <m:r>
              <w:rPr>
                <w:rFonts w:ascii="Cambria Math"/>
              </w:rPr>
              <m:t>C</m:t>
            </m:r>
          </m:sub>
        </m:sSub>
        <m:r>
          <w:rPr>
            <w:rFonts w:ascii="Cambria Math"/>
          </w:rPr>
          <m:t>=0</m:t>
        </m:r>
        <m:r>
          <m:rPr>
            <m:nor/>
          </m:rPr>
          <w:rPr>
            <w:rFonts w:ascii="Cambria Math"/>
          </w:rPr>
          <m:t>dB</m:t>
        </m:r>
      </m:oMath>
      <w:r w:rsidRPr="00913C78">
        <w:rPr>
          <w:rFonts w:hint="eastAsia"/>
        </w:rPr>
        <w:t>。</w:t>
      </w:r>
    </w:p>
    <w:p w14:paraId="4EBB206E" w14:textId="77777777" w:rsidR="00913C78" w:rsidRPr="00913C78" w:rsidRDefault="00913C78" w:rsidP="00913C78">
      <w:pPr>
        <w:ind w:firstLineChars="500" w:firstLine="1050"/>
      </w:pPr>
      <w:r w:rsidRPr="00913C78">
        <w:rPr>
          <w:rFonts w:hint="eastAsia"/>
          <w:i/>
          <w:iCs/>
        </w:rPr>
        <w:t>A</w:t>
      </w:r>
      <w:r w:rsidRPr="00913C78">
        <w:fldChar w:fldCharType="begin"/>
      </w:r>
      <w:r w:rsidRPr="00913C78">
        <w:instrText xml:space="preserve"> QUOTE </w:instrText>
      </w:r>
      <m:oMath>
        <m:r>
          <m:rPr>
            <m:sty m:val="p"/>
          </m:rPr>
          <w:rPr>
            <w:rFonts w:ascii="Cambria Math" w:hAnsi="Cambria Math"/>
          </w:rPr>
          <m:t>A</m:t>
        </m:r>
      </m:oMath>
      <w:r w:rsidRPr="00913C78">
        <w:instrText xml:space="preserve"> </w:instrText>
      </w:r>
      <w:r w:rsidRPr="00913C78">
        <w:fldChar w:fldCharType="end"/>
      </w:r>
      <w:r w:rsidRPr="00913C78">
        <w:rPr>
          <w:rFonts w:hint="eastAsia"/>
        </w:rPr>
        <w:t>—从点声源到接收点的声传时，倍频带衰减。</w:t>
      </w:r>
    </w:p>
    <w:p w14:paraId="7BD8024F" w14:textId="77777777" w:rsidR="00913C78" w:rsidRPr="00913C78" w:rsidRDefault="00913C78" w:rsidP="00913C78">
      <w:pPr>
        <w:ind w:firstLine="420"/>
      </w:pPr>
      <w:r w:rsidRPr="00913C78">
        <w:rPr>
          <w:rFonts w:hint="eastAsia"/>
        </w:rPr>
        <w:t>（</w:t>
      </w:r>
      <w:r w:rsidRPr="00913C78">
        <w:t>2</w:t>
      </w:r>
      <w:r w:rsidRPr="00913C78">
        <w:rPr>
          <w:rFonts w:hint="eastAsia"/>
        </w:rPr>
        <w:t>）模型</w:t>
      </w:r>
      <w:r w:rsidRPr="00913C78">
        <w:t>选取</w:t>
      </w:r>
    </w:p>
    <w:p w14:paraId="28DD958C" w14:textId="77777777" w:rsidR="00913C78" w:rsidRPr="00913C78" w:rsidRDefault="00913C78" w:rsidP="00913C78">
      <w:pPr>
        <w:ind w:firstLine="420"/>
      </w:pPr>
      <w:r w:rsidRPr="00913C78">
        <w:rPr>
          <w:rFonts w:hint="eastAsia"/>
        </w:rPr>
        <w:t>计算模型应满足《声学</w:t>
      </w:r>
      <w:r w:rsidRPr="00913C78">
        <w:rPr>
          <w:rFonts w:hint="eastAsia"/>
        </w:rPr>
        <w:t xml:space="preserve"> </w:t>
      </w:r>
      <w:r w:rsidRPr="00913C78">
        <w:rPr>
          <w:rFonts w:hint="eastAsia"/>
        </w:rPr>
        <w:t>户外声传播衰减第</w:t>
      </w:r>
      <w:r w:rsidRPr="00913C78">
        <w:rPr>
          <w:rFonts w:hint="eastAsia"/>
        </w:rPr>
        <w:t>2</w:t>
      </w:r>
      <w:r w:rsidRPr="00913C78">
        <w:rPr>
          <w:rFonts w:hint="eastAsia"/>
        </w:rPr>
        <w:t>部分</w:t>
      </w:r>
      <w:r w:rsidRPr="00913C78">
        <w:rPr>
          <w:rFonts w:hint="eastAsia"/>
        </w:rPr>
        <w:t xml:space="preserve"> </w:t>
      </w:r>
      <w:r w:rsidRPr="00913C78">
        <w:rPr>
          <w:rFonts w:hint="eastAsia"/>
        </w:rPr>
        <w:t>一般计算方法》（</w:t>
      </w:r>
      <w:r w:rsidRPr="00913C78">
        <w:rPr>
          <w:rFonts w:hint="eastAsia"/>
        </w:rPr>
        <w:t>GB/T</w:t>
      </w:r>
      <w:r w:rsidRPr="00913C78">
        <w:t> </w:t>
      </w:r>
      <w:r w:rsidRPr="00913C78">
        <w:rPr>
          <w:rFonts w:hint="eastAsia"/>
        </w:rPr>
        <w:t>17247.2</w:t>
      </w:r>
      <w:r w:rsidRPr="00913C78">
        <w:rPr>
          <w:rFonts w:hint="eastAsia"/>
        </w:rPr>
        <w:t>—</w:t>
      </w:r>
      <w:r w:rsidRPr="00913C78">
        <w:rPr>
          <w:rFonts w:hint="eastAsia"/>
        </w:rPr>
        <w:t>1998</w:t>
      </w:r>
      <w:r w:rsidRPr="00913C78">
        <w:rPr>
          <w:rFonts w:hint="eastAsia"/>
        </w:rPr>
        <w:t>）、《环境影响评价技术导则</w:t>
      </w:r>
      <w:r w:rsidRPr="00913C78">
        <w:rPr>
          <w:rFonts w:hint="eastAsia"/>
        </w:rPr>
        <w:t xml:space="preserve"> </w:t>
      </w:r>
      <w:r w:rsidRPr="00913C78">
        <w:rPr>
          <w:rFonts w:hint="eastAsia"/>
        </w:rPr>
        <w:t>声环境》（</w:t>
      </w:r>
      <w:r w:rsidRPr="00913C78">
        <w:rPr>
          <w:rFonts w:hint="eastAsia"/>
        </w:rPr>
        <w:t>HJ</w:t>
      </w:r>
      <w:r w:rsidRPr="00913C78">
        <w:t> </w:t>
      </w:r>
      <w:r w:rsidRPr="00913C78">
        <w:rPr>
          <w:rFonts w:hint="eastAsia"/>
        </w:rPr>
        <w:t>2.4</w:t>
      </w:r>
      <w:r w:rsidRPr="00913C78">
        <w:rPr>
          <w:rFonts w:hint="eastAsia"/>
        </w:rPr>
        <w:t>—</w:t>
      </w:r>
      <w:r w:rsidRPr="00913C78">
        <w:rPr>
          <w:rFonts w:hint="eastAsia"/>
        </w:rPr>
        <w:t>2009</w:t>
      </w:r>
      <w:r w:rsidRPr="00913C78">
        <w:rPr>
          <w:rFonts w:hint="eastAsia"/>
        </w:rPr>
        <w:t>）、《环境影响评价技术导则</w:t>
      </w:r>
      <w:r w:rsidRPr="00913C78">
        <w:rPr>
          <w:rFonts w:hint="eastAsia"/>
        </w:rPr>
        <w:t xml:space="preserve"> </w:t>
      </w:r>
      <w:r w:rsidRPr="00913C78">
        <w:rPr>
          <w:rFonts w:hint="eastAsia"/>
        </w:rPr>
        <w:t>城市轨道交通》（</w:t>
      </w:r>
      <w:r w:rsidRPr="00913C78">
        <w:rPr>
          <w:rFonts w:hint="eastAsia"/>
        </w:rPr>
        <w:t>HJ</w:t>
      </w:r>
      <w:r w:rsidRPr="00913C78">
        <w:t> </w:t>
      </w:r>
      <w:r w:rsidRPr="00913C78">
        <w:rPr>
          <w:rFonts w:hint="eastAsia"/>
        </w:rPr>
        <w:t>453</w:t>
      </w:r>
      <w:r w:rsidRPr="00913C78">
        <w:rPr>
          <w:rFonts w:hint="eastAsia"/>
        </w:rPr>
        <w:t>—</w:t>
      </w:r>
      <w:r w:rsidRPr="00913C78">
        <w:rPr>
          <w:rFonts w:hint="eastAsia"/>
        </w:rPr>
        <w:t>2018</w:t>
      </w:r>
      <w:r w:rsidRPr="00913C78">
        <w:rPr>
          <w:rFonts w:hint="eastAsia"/>
        </w:rPr>
        <w:t>）等现行国内标准或规范的要求，不满足时应采用校核修正的方法校验预测模型的适用性。校核修正方法如下：</w:t>
      </w:r>
    </w:p>
    <w:p w14:paraId="57BEF7A5"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对道路噪声，可在距道路行车道中线</w:t>
      </w:r>
      <w:r w:rsidRPr="00913C78">
        <w:rPr>
          <w:rFonts w:hint="eastAsia"/>
        </w:rPr>
        <w:t>25m</w:t>
      </w:r>
      <w:r w:rsidRPr="00913C78">
        <w:rPr>
          <w:rFonts w:hint="eastAsia"/>
        </w:rPr>
        <w:t>，高于路面</w:t>
      </w:r>
      <w:r w:rsidRPr="00913C78">
        <w:rPr>
          <w:rFonts w:hint="eastAsia"/>
        </w:rPr>
        <w:t>1.5m</w:t>
      </w:r>
      <w:r w:rsidRPr="00913C78">
        <w:rPr>
          <w:rFonts w:hint="eastAsia"/>
        </w:rPr>
        <w:t>处设置预测点及实测点，通过比较预测点与实测点之间差值作为源强修正量，应确保类比道路与预测道路的车流量、车速、路面结构、车型比、昼夜比等与预测道路接近。</w:t>
      </w:r>
    </w:p>
    <w:p w14:paraId="542F6256"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对单车源强校正时，参照距离应距车辆</w:t>
      </w:r>
      <w:r w:rsidRPr="00913C78">
        <w:rPr>
          <w:rFonts w:hint="eastAsia"/>
        </w:rPr>
        <w:t>7.5m</w:t>
      </w:r>
      <w:r w:rsidRPr="00913C78">
        <w:rPr>
          <w:rFonts w:hint="eastAsia"/>
        </w:rPr>
        <w:t>距离。</w:t>
      </w:r>
    </w:p>
    <w:p w14:paraId="38DC5E93"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对轨道交通噪声，可在距离轨道边线</w:t>
      </w:r>
      <w:r w:rsidRPr="00913C78">
        <w:rPr>
          <w:rFonts w:hint="eastAsia"/>
        </w:rPr>
        <w:t>25m</w:t>
      </w:r>
      <w:r w:rsidRPr="00913C78">
        <w:rPr>
          <w:rFonts w:hint="eastAsia"/>
        </w:rPr>
        <w:t>，高于轨面</w:t>
      </w:r>
      <w:r w:rsidRPr="00913C78">
        <w:rPr>
          <w:rFonts w:hint="eastAsia"/>
        </w:rPr>
        <w:t>1.5m</w:t>
      </w:r>
      <w:r w:rsidRPr="00913C78">
        <w:rPr>
          <w:rFonts w:hint="eastAsia"/>
        </w:rPr>
        <w:t>设置预测点及实测点，通过比较预测点与实测点之间差值作为源强修正量。</w:t>
      </w:r>
    </w:p>
    <w:p w14:paraId="7925055D"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对铁路噪声，可在距离轨道边线</w:t>
      </w:r>
      <w:r w:rsidRPr="00913C78">
        <w:rPr>
          <w:rFonts w:hint="eastAsia"/>
        </w:rPr>
        <w:t>25m</w:t>
      </w:r>
      <w:r w:rsidRPr="00913C78">
        <w:rPr>
          <w:rFonts w:hint="eastAsia"/>
        </w:rPr>
        <w:t>，高于轨面</w:t>
      </w:r>
      <w:r w:rsidRPr="00913C78">
        <w:rPr>
          <w:rFonts w:hint="eastAsia"/>
        </w:rPr>
        <w:t>3.5m</w:t>
      </w:r>
      <w:r w:rsidRPr="00913C78">
        <w:rPr>
          <w:rFonts w:hint="eastAsia"/>
        </w:rPr>
        <w:t>设置预测点及实测点，通过比较预测点与实测点之间的差值作为源强修正量；列车类型不同时，应针对不同列车类型分别修正。</w:t>
      </w:r>
    </w:p>
    <w:p w14:paraId="1C4BCA6E" w14:textId="77777777" w:rsidR="00913C78" w:rsidRPr="00913C78" w:rsidRDefault="00913C78" w:rsidP="00913C78">
      <w:pPr>
        <w:ind w:firstLine="420"/>
      </w:pPr>
      <w:bookmarkStart w:id="254" w:name="_Toc475359891"/>
      <w:r w:rsidRPr="00913C78">
        <w:rPr>
          <w:rFonts w:hint="eastAsia"/>
        </w:rPr>
        <w:t>◎</w:t>
      </w:r>
      <w:r w:rsidRPr="00913C78">
        <w:rPr>
          <w:rFonts w:hint="eastAsia"/>
        </w:rPr>
        <w:t xml:space="preserve"> </w:t>
      </w:r>
      <w:r w:rsidRPr="00913C78">
        <w:t>数值分析软件</w:t>
      </w:r>
      <w:bookmarkEnd w:id="254"/>
    </w:p>
    <w:p w14:paraId="22A1AB5D" w14:textId="77777777" w:rsidR="00913C78" w:rsidRPr="00913C78" w:rsidRDefault="00913C78" w:rsidP="00913C78">
      <w:pPr>
        <w:ind w:firstLine="420"/>
      </w:pPr>
      <w:r w:rsidRPr="00913C78">
        <w:rPr>
          <w:rFonts w:hint="eastAsia"/>
        </w:rPr>
        <w:t>数值分析</w:t>
      </w:r>
      <w:r w:rsidRPr="00913C78">
        <w:t>报告应</w:t>
      </w:r>
      <w:r w:rsidRPr="00913C78">
        <w:rPr>
          <w:rFonts w:hint="eastAsia"/>
        </w:rPr>
        <w:t>包括</w:t>
      </w:r>
      <w:r w:rsidRPr="00913C78">
        <w:t>：</w:t>
      </w:r>
      <w:r w:rsidRPr="00913C78">
        <w:rPr>
          <w:rFonts w:hint="eastAsia"/>
        </w:rPr>
        <w:t>数值分析计算软件的</w:t>
      </w:r>
      <w:r w:rsidRPr="00913C78">
        <w:t>介绍。</w:t>
      </w:r>
      <w:r w:rsidRPr="00913C78">
        <w:rPr>
          <w:rFonts w:hint="eastAsia"/>
        </w:rPr>
        <w:t>常用</w:t>
      </w:r>
      <w:r w:rsidRPr="00913C78">
        <w:t>数值分析软件简介</w:t>
      </w:r>
      <w:r w:rsidRPr="00913C78">
        <w:rPr>
          <w:rFonts w:hint="eastAsia"/>
        </w:rPr>
        <w:t>如下。</w:t>
      </w:r>
    </w:p>
    <w:p w14:paraId="2F37DA9D"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w:t>
      </w:r>
      <w:r w:rsidRPr="00913C78">
        <w:rPr>
          <w:rFonts w:hint="eastAsia"/>
        </w:rPr>
        <w:t>Cadna/A</w:t>
      </w:r>
    </w:p>
    <w:p w14:paraId="0CCA8BFC" w14:textId="77777777" w:rsidR="00913C78" w:rsidRPr="00913C78" w:rsidRDefault="00913C78" w:rsidP="00913C78">
      <w:pPr>
        <w:ind w:firstLine="420"/>
      </w:pPr>
      <w:r w:rsidRPr="00913C78">
        <w:rPr>
          <w:rFonts w:hint="eastAsia"/>
        </w:rPr>
        <w:t>Cadna/A</w:t>
      </w:r>
      <w:r w:rsidRPr="00913C78">
        <w:rPr>
          <w:rFonts w:hint="eastAsia"/>
        </w:rPr>
        <w:t>系统是一套基于</w:t>
      </w:r>
      <w:r w:rsidRPr="00913C78">
        <w:rPr>
          <w:rFonts w:hint="eastAsia"/>
        </w:rPr>
        <w:t>ISO 9613</w:t>
      </w:r>
      <w:r w:rsidRPr="00913C78">
        <w:rPr>
          <w:rFonts w:hint="eastAsia"/>
        </w:rPr>
        <w:t>标准方法、利用</w:t>
      </w:r>
      <w:r w:rsidRPr="00913C78">
        <w:rPr>
          <w:rFonts w:hint="eastAsia"/>
        </w:rPr>
        <w:t>W</w:t>
      </w:r>
      <w:r w:rsidRPr="00913C78">
        <w:t>indows</w:t>
      </w:r>
      <w:r w:rsidRPr="00913C78">
        <w:rPr>
          <w:rFonts w:hint="eastAsia"/>
        </w:rPr>
        <w:t>作为操作平台的噪声模拟和控制软件。</w:t>
      </w:r>
      <w:r w:rsidRPr="00913C78">
        <w:rPr>
          <w:rFonts w:hint="eastAsia"/>
        </w:rPr>
        <w:t xml:space="preserve">Cadna A </w:t>
      </w:r>
      <w:r w:rsidRPr="00913C78">
        <w:rPr>
          <w:rFonts w:hint="eastAsia"/>
        </w:rPr>
        <w:t>软件广泛适用于多种噪声源的预测、评价、工程设计和研究，以及城市噪声规划等工作，其中包括工业设施、公路和铁路、机场及其他噪声设备。软件界面输入采用电子地图或图形直接扫描，定义图形比例按需要设置。对噪声源的辐射和传播产生影响的物体进行定义，简单快捷。按照各国的标准计算结果和编制输出文件图形，显示噪声等值线图和彩色噪声分布图。</w:t>
      </w:r>
    </w:p>
    <w:p w14:paraId="5168F8F2"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w:t>
      </w:r>
      <w:r w:rsidRPr="00913C78">
        <w:t>SoundPLAN</w:t>
      </w:r>
    </w:p>
    <w:p w14:paraId="432330CF" w14:textId="77777777" w:rsidR="00913C78" w:rsidRPr="00913C78" w:rsidRDefault="00913C78" w:rsidP="00913C78">
      <w:pPr>
        <w:ind w:firstLine="420"/>
      </w:pPr>
      <w:r w:rsidRPr="00913C78">
        <w:rPr>
          <w:rFonts w:hint="eastAsia"/>
        </w:rPr>
        <w:t>SoundPLAN</w:t>
      </w:r>
      <w:r w:rsidRPr="00913C78">
        <w:rPr>
          <w:rFonts w:hint="eastAsia"/>
        </w:rPr>
        <w:t>是包括墙优化设计、成本核算、工厂内外噪声评估、空气污染评估等的集成软件。其</w:t>
      </w:r>
      <w:r w:rsidRPr="00913C78">
        <w:t>应用范围包括：</w:t>
      </w:r>
    </w:p>
    <w:p w14:paraId="38144752" w14:textId="77777777" w:rsidR="00913C78" w:rsidRPr="00913C78" w:rsidRDefault="00913C78" w:rsidP="00913C78">
      <w:pPr>
        <w:ind w:firstLine="420"/>
      </w:pPr>
      <w:r w:rsidRPr="00913C78">
        <w:rPr>
          <w:rFonts w:hint="eastAsia"/>
        </w:rPr>
        <w:lastRenderedPageBreak/>
        <w:t>1</w:t>
      </w:r>
      <w:r w:rsidRPr="00913C78">
        <w:rPr>
          <w:rFonts w:hint="eastAsia"/>
        </w:rPr>
        <w:t>）各种国际标准的道路、铁路、飞机噪声的预测、规划。</w:t>
      </w:r>
    </w:p>
    <w:p w14:paraId="7D00F19F" w14:textId="77777777" w:rsidR="00913C78" w:rsidRPr="00913C78" w:rsidRDefault="00913C78" w:rsidP="00913C78">
      <w:pPr>
        <w:ind w:firstLine="420"/>
      </w:pPr>
      <w:r w:rsidRPr="00913C78">
        <w:rPr>
          <w:rFonts w:hint="eastAsia"/>
        </w:rPr>
        <w:t>2</w:t>
      </w:r>
      <w:r w:rsidRPr="00913C78">
        <w:rPr>
          <w:rFonts w:hint="eastAsia"/>
        </w:rPr>
        <w:t>）降噪方案优化，声屏障设计。</w:t>
      </w:r>
    </w:p>
    <w:p w14:paraId="284262FD" w14:textId="77777777" w:rsidR="00913C78" w:rsidRPr="00913C78" w:rsidRDefault="00913C78" w:rsidP="00913C78">
      <w:pPr>
        <w:ind w:firstLine="420"/>
      </w:pPr>
      <w:r w:rsidRPr="00913C78">
        <w:rPr>
          <w:rFonts w:hint="eastAsia"/>
        </w:rPr>
        <w:t>3</w:t>
      </w:r>
      <w:r w:rsidRPr="00913C78">
        <w:rPr>
          <w:rFonts w:hint="eastAsia"/>
        </w:rPr>
        <w:t>）石油化工厂、炼铁厂、发电站、采矿厂、制造厂等项目根据噪声限值的规划。</w:t>
      </w:r>
    </w:p>
    <w:p w14:paraId="15DC5210" w14:textId="77777777" w:rsidR="00913C78" w:rsidRPr="00913C78" w:rsidRDefault="00913C78" w:rsidP="00913C78">
      <w:pPr>
        <w:ind w:firstLine="420"/>
      </w:pPr>
      <w:r w:rsidRPr="00913C78">
        <w:rPr>
          <w:rFonts w:hint="eastAsia"/>
        </w:rPr>
        <w:t>4</w:t>
      </w:r>
      <w:r w:rsidRPr="00913C78">
        <w:rPr>
          <w:rFonts w:hint="eastAsia"/>
        </w:rPr>
        <w:t>）</w:t>
      </w:r>
      <w:r w:rsidRPr="00913C78">
        <w:rPr>
          <w:rFonts w:hint="eastAsia"/>
        </w:rPr>
        <w:t>OSHA</w:t>
      </w:r>
      <w:r w:rsidRPr="00913C78">
        <w:rPr>
          <w:rFonts w:hint="eastAsia"/>
        </w:rPr>
        <w:t>［职业安全与卫生条例（美）］标准的鉴定，社区噪声控制，工人工作环境噪声控制等。</w:t>
      </w:r>
    </w:p>
    <w:p w14:paraId="4044F499" w14:textId="77777777" w:rsidR="00913C78" w:rsidRPr="00913C78" w:rsidRDefault="00913C78" w:rsidP="00913C78">
      <w:pPr>
        <w:ind w:firstLine="420"/>
      </w:pPr>
      <w:r w:rsidRPr="00913C78">
        <w:rPr>
          <w:rFonts w:hint="eastAsia"/>
        </w:rPr>
        <w:t>5</w:t>
      </w:r>
      <w:r w:rsidRPr="00913C78">
        <w:rPr>
          <w:rFonts w:hint="eastAsia"/>
        </w:rPr>
        <w:t>）此软件还具有对空气污染物的扩散、传播的预测和分析功能。</w:t>
      </w:r>
    </w:p>
    <w:p w14:paraId="306861AF"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w:t>
      </w:r>
      <w:r w:rsidRPr="00913C78">
        <w:t xml:space="preserve">Predictor-LimA </w:t>
      </w:r>
    </w:p>
    <w:p w14:paraId="2F7830B8" w14:textId="77777777" w:rsidR="00913C78" w:rsidRPr="00913C78" w:rsidRDefault="00913C78" w:rsidP="00913C78">
      <w:pPr>
        <w:ind w:firstLine="420"/>
      </w:pPr>
      <w:r w:rsidRPr="00913C78">
        <w:rPr>
          <w:rFonts w:hint="eastAsia"/>
        </w:rPr>
        <w:t>Predictor</w:t>
      </w:r>
      <w:r w:rsidRPr="00913C78">
        <w:t>-</w:t>
      </w:r>
      <w:r w:rsidRPr="00913C78">
        <w:rPr>
          <w:rFonts w:hint="eastAsia"/>
        </w:rPr>
        <w:t>LimA</w:t>
      </w:r>
      <w:r w:rsidRPr="00913C78">
        <w:rPr>
          <w:rFonts w:hint="eastAsia"/>
        </w:rPr>
        <w:t>软件套件是一款极其高效的环境噪声项目用软件包。该套件将直观的</w:t>
      </w:r>
      <w:r w:rsidRPr="00913C78">
        <w:rPr>
          <w:rFonts w:hint="eastAsia"/>
        </w:rPr>
        <w:t>Predictor</w:t>
      </w:r>
      <w:r w:rsidRPr="00913C78">
        <w:rPr>
          <w:rFonts w:hint="eastAsia"/>
        </w:rPr>
        <w:t>软件和强大的</w:t>
      </w:r>
      <w:r w:rsidRPr="00913C78">
        <w:rPr>
          <w:rFonts w:hint="eastAsia"/>
        </w:rPr>
        <w:t>LimA</w:t>
      </w:r>
      <w:r w:rsidRPr="00913C78">
        <w:rPr>
          <w:rFonts w:hint="eastAsia"/>
        </w:rPr>
        <w:t>软件捆绑成一套最先进的集成软件包，可为所有项目提供最佳解决方案。根据任务不同，可以选择最适合的工具，以便高效进行环境噪声计算与分析。同时允许使</w:t>
      </w:r>
      <w:r w:rsidRPr="00913C78">
        <w:rPr>
          <w:rFonts w:hint="eastAsia"/>
        </w:rPr>
        <w:t>Predictor</w:t>
      </w:r>
      <w:r w:rsidRPr="00913C78">
        <w:rPr>
          <w:rFonts w:hint="eastAsia"/>
        </w:rPr>
        <w:t>的直观功能和</w:t>
      </w:r>
      <w:r w:rsidRPr="00913C78">
        <w:rPr>
          <w:rFonts w:hint="eastAsia"/>
        </w:rPr>
        <w:t>LimA</w:t>
      </w:r>
      <w:r w:rsidRPr="00913C78">
        <w:rPr>
          <w:rFonts w:hint="eastAsia"/>
        </w:rPr>
        <w:t>的灵活性快速方便地进行大多数项目。此外，</w:t>
      </w:r>
      <w:r w:rsidRPr="00913C78">
        <w:rPr>
          <w:rFonts w:hint="eastAsia"/>
        </w:rPr>
        <w:t>LimA</w:t>
      </w:r>
      <w:r w:rsidRPr="00913C78">
        <w:rPr>
          <w:rFonts w:hint="eastAsia"/>
        </w:rPr>
        <w:t>系统还为您提供了用于进行深入的专业工作以及将环境噪声计算与其他系统完全集成的工具。</w:t>
      </w:r>
    </w:p>
    <w:p w14:paraId="30F1DAE3" w14:textId="77777777" w:rsidR="00913C78" w:rsidRPr="00913C78" w:rsidRDefault="00913C78" w:rsidP="00913C78">
      <w:pPr>
        <w:ind w:firstLine="420"/>
      </w:pPr>
      <w:r w:rsidRPr="00913C78">
        <w:rPr>
          <w:rFonts w:hint="eastAsia"/>
        </w:rPr>
        <w:t>（</w:t>
      </w:r>
      <w:r w:rsidRPr="00913C78">
        <w:rPr>
          <w:rFonts w:hint="eastAsia"/>
        </w:rPr>
        <w:t>4</w:t>
      </w:r>
      <w:r w:rsidRPr="00913C78">
        <w:rPr>
          <w:rFonts w:hint="eastAsia"/>
        </w:rPr>
        <w:t>）</w:t>
      </w:r>
      <w:r w:rsidRPr="00913C78">
        <w:t>Noise System</w:t>
      </w:r>
    </w:p>
    <w:p w14:paraId="4966FA5A" w14:textId="77777777" w:rsidR="00913C78" w:rsidRPr="00913C78" w:rsidRDefault="00913C78" w:rsidP="00913C78">
      <w:pPr>
        <w:ind w:firstLine="420"/>
      </w:pPr>
      <w:r w:rsidRPr="00913C78">
        <w:rPr>
          <w:rFonts w:hint="eastAsia"/>
        </w:rPr>
        <w:t>噪声影响评价系统</w:t>
      </w:r>
      <w:r w:rsidRPr="00913C78">
        <w:rPr>
          <w:rFonts w:hint="eastAsia"/>
        </w:rPr>
        <w:t>NoiseSystem</w:t>
      </w:r>
      <w:r w:rsidRPr="00913C78">
        <w:rPr>
          <w:rFonts w:hint="eastAsia"/>
        </w:rPr>
        <w:t>以《环境影响评价技术导则</w:t>
      </w:r>
      <w:r w:rsidRPr="00913C78">
        <w:rPr>
          <w:rFonts w:hint="eastAsia"/>
        </w:rPr>
        <w:t xml:space="preserve"> </w:t>
      </w:r>
      <w:r w:rsidRPr="00913C78">
        <w:rPr>
          <w:rFonts w:hint="eastAsia"/>
        </w:rPr>
        <w:t>声环境》（</w:t>
      </w:r>
      <w:r w:rsidRPr="00913C78">
        <w:rPr>
          <w:rFonts w:hint="eastAsia"/>
        </w:rPr>
        <w:t>HJ 2.4</w:t>
      </w:r>
      <w:r w:rsidRPr="00913C78">
        <w:rPr>
          <w:rFonts w:hint="eastAsia"/>
        </w:rPr>
        <w:t>—</w:t>
      </w:r>
      <w:r w:rsidRPr="00913C78">
        <w:rPr>
          <w:rFonts w:hint="eastAsia"/>
        </w:rPr>
        <w:t>2009</w:t>
      </w:r>
      <w:r w:rsidRPr="00913C78">
        <w:rPr>
          <w:rFonts w:hint="eastAsia"/>
        </w:rPr>
        <w:t>）推荐的模型为基础，采用图形化方式为用户提供良好的操作界面。工业声源包括点、线、水平面源、垂直面源、圆形面源、公路源、室内源。交通噪声支持多车道、路堤、路堑、桥梁、交叉路口、轨道声源计算。噪声衰减过程考虑了几何发散、障碍物屏蔽、空气吸收、绿化林、表面反射和地面效应等衰减因素。计算结果支持接受离散点、网格点、垂直网格点、线接受点、垂向线接受点、计算区域。图形支持位图、</w:t>
      </w:r>
      <w:r w:rsidRPr="00913C78">
        <w:rPr>
          <w:rFonts w:hint="eastAsia"/>
        </w:rPr>
        <w:t>CAD</w:t>
      </w:r>
      <w:r w:rsidRPr="00913C78">
        <w:rPr>
          <w:rFonts w:hint="eastAsia"/>
        </w:rPr>
        <w:t>图和</w:t>
      </w:r>
      <w:r w:rsidRPr="00913C78">
        <w:rPr>
          <w:rFonts w:hint="eastAsia"/>
        </w:rPr>
        <w:t>GIS</w:t>
      </w:r>
      <w:r w:rsidRPr="00913C78">
        <w:rPr>
          <w:rFonts w:hint="eastAsia"/>
        </w:rPr>
        <w:t>图。</w:t>
      </w:r>
    </w:p>
    <w:p w14:paraId="0E9F17E7" w14:textId="77777777" w:rsidR="00913C78" w:rsidRPr="00913C78" w:rsidRDefault="00913C78" w:rsidP="00913C78">
      <w:pPr>
        <w:pStyle w:val="32"/>
      </w:pPr>
      <w:bookmarkStart w:id="255" w:name="_Toc475359892"/>
      <w:bookmarkStart w:id="256" w:name="_Toc35364768"/>
      <w:r w:rsidRPr="00913C78">
        <w:rPr>
          <w:rFonts w:hint="eastAsia"/>
        </w:rPr>
        <w:t xml:space="preserve">A.1.3  </w:t>
      </w:r>
      <w:r w:rsidRPr="00913C78">
        <w:rPr>
          <w:rFonts w:hint="eastAsia"/>
        </w:rPr>
        <w:t>模型建立</w:t>
      </w:r>
      <w:bookmarkEnd w:id="255"/>
      <w:bookmarkEnd w:id="256"/>
    </w:p>
    <w:p w14:paraId="0864BE28" w14:textId="77777777" w:rsidR="00913C78" w:rsidRPr="00913C78" w:rsidRDefault="00913C78" w:rsidP="00913C78">
      <w:pPr>
        <w:ind w:firstLine="420"/>
      </w:pPr>
      <w:bookmarkStart w:id="257" w:name="_Toc475359893"/>
      <w:r w:rsidRPr="00913C78">
        <w:rPr>
          <w:rFonts w:hint="eastAsia"/>
        </w:rPr>
        <w:t>◎</w:t>
      </w:r>
      <w:r w:rsidRPr="00913C78">
        <w:t xml:space="preserve"> </w:t>
      </w:r>
      <w:r w:rsidRPr="00913C78">
        <w:rPr>
          <w:rFonts w:hint="eastAsia"/>
        </w:rPr>
        <w:t>模型建立</w:t>
      </w:r>
      <w:bookmarkEnd w:id="257"/>
    </w:p>
    <w:p w14:paraId="1BDFB1B7" w14:textId="77777777" w:rsidR="00913C78" w:rsidRPr="00913C78" w:rsidRDefault="00913C78" w:rsidP="00913C78">
      <w:pPr>
        <w:ind w:firstLine="420"/>
      </w:pPr>
      <w:r w:rsidRPr="00913C78">
        <w:rPr>
          <w:rFonts w:hint="eastAsia"/>
        </w:rPr>
        <w:t>数值分析</w:t>
      </w:r>
      <w:r w:rsidRPr="00913C78">
        <w:t>报告</w:t>
      </w:r>
      <w:r w:rsidRPr="00913C78">
        <w:rPr>
          <w:rFonts w:hint="eastAsia"/>
        </w:rPr>
        <w:t>模型建立时</w:t>
      </w:r>
      <w:r w:rsidRPr="00913C78">
        <w:t>应</w:t>
      </w:r>
      <w:r w:rsidRPr="00913C78">
        <w:rPr>
          <w:rFonts w:hint="eastAsia"/>
        </w:rPr>
        <w:t>包括但</w:t>
      </w:r>
      <w:r w:rsidRPr="00913C78">
        <w:t>不限于</w:t>
      </w:r>
      <w:r w:rsidRPr="00913C78">
        <w:rPr>
          <w:rFonts w:hint="eastAsia"/>
        </w:rPr>
        <w:t>：</w:t>
      </w:r>
      <w:r w:rsidRPr="00913C78">
        <w:t>物理模型</w:t>
      </w:r>
      <w:r w:rsidRPr="00913C78">
        <w:rPr>
          <w:rFonts w:hint="eastAsia"/>
        </w:rPr>
        <w:t>、声源简化、</w:t>
      </w:r>
      <w:r w:rsidRPr="00913C78">
        <w:t>计算</w:t>
      </w:r>
      <w:r w:rsidRPr="00913C78">
        <w:rPr>
          <w:rFonts w:hint="eastAsia"/>
        </w:rPr>
        <w:t>区</w:t>
      </w:r>
      <w:r w:rsidRPr="00913C78">
        <w:t>域、网格展示</w:t>
      </w:r>
      <w:r w:rsidRPr="00913C78">
        <w:rPr>
          <w:rFonts w:hint="eastAsia"/>
        </w:rPr>
        <w:t>和</w:t>
      </w:r>
      <w:r w:rsidRPr="00913C78">
        <w:t>建模</w:t>
      </w:r>
      <w:r w:rsidRPr="00913C78">
        <w:rPr>
          <w:rFonts w:hint="eastAsia"/>
        </w:rPr>
        <w:t>说明</w:t>
      </w:r>
      <w:r w:rsidRPr="00913C78">
        <w:t>。</w:t>
      </w:r>
    </w:p>
    <w:p w14:paraId="6FB18142" w14:textId="77777777" w:rsidR="00913C78" w:rsidRPr="00913C78" w:rsidRDefault="00913C78" w:rsidP="00913C78">
      <w:pPr>
        <w:ind w:firstLine="420"/>
      </w:pPr>
      <w:r w:rsidRPr="00913C78">
        <w:rPr>
          <w:rFonts w:hint="eastAsia"/>
        </w:rPr>
        <w:t>模型建立要求如下。</w:t>
      </w:r>
    </w:p>
    <w:p w14:paraId="07B8C1A2"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）计算区域</w:t>
      </w:r>
    </w:p>
    <w:p w14:paraId="55E912AE"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建模时应考虑声源和遮挡物两部分，声源包括交通运输噪声、社会生活噪声及工业生产噪声。当目标建筑场所存在的固定设备（如室外空调机组等）产生噪声时，建模中也需</w:t>
      </w:r>
      <w:r w:rsidRPr="00913C78">
        <w:rPr>
          <w:rFonts w:hint="eastAsia"/>
        </w:rPr>
        <w:lastRenderedPageBreak/>
        <w:t>考虑。遮挡物包括不平坦地形、各类建筑物、构筑物、绿化带及草地等。对象建筑外的各类建筑物及围墙、声屏障等构筑物的建模可只考虑外部主体轮廓。</w:t>
      </w:r>
    </w:p>
    <w:p w14:paraId="697E8B34"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建模应包含目标建筑场所及其边界外</w:t>
      </w:r>
      <w:r w:rsidRPr="00913C78">
        <w:rPr>
          <w:rFonts w:hint="eastAsia"/>
        </w:rPr>
        <w:t>200m</w:t>
      </w:r>
      <w:r w:rsidRPr="00913C78">
        <w:rPr>
          <w:rFonts w:hint="eastAsia"/>
        </w:rPr>
        <w:t>范围，当边界外</w:t>
      </w:r>
      <w:r w:rsidRPr="00913C78">
        <w:rPr>
          <w:rFonts w:hint="eastAsia"/>
        </w:rPr>
        <w:t>200</w:t>
      </w:r>
      <w:r w:rsidRPr="00913C78">
        <w:rPr>
          <w:rFonts w:hint="eastAsia"/>
        </w:rPr>
        <w:t>～</w:t>
      </w:r>
      <w:r w:rsidRPr="00913C78">
        <w:rPr>
          <w:rFonts w:hint="eastAsia"/>
        </w:rPr>
        <w:t>500m</w:t>
      </w:r>
      <w:r w:rsidRPr="00913C78">
        <w:rPr>
          <w:rFonts w:hint="eastAsia"/>
        </w:rPr>
        <w:t>内有噪声影响较大的声源时，建模范围应扩大至包含此类声源。机场或飞机噪声应根据其影响情况确定范围，当目标建筑场所在主要航迹离跑道两端各</w:t>
      </w:r>
      <w:r w:rsidRPr="00913C78">
        <w:rPr>
          <w:rFonts w:hint="eastAsia"/>
        </w:rPr>
        <w:t>6</w:t>
      </w:r>
      <w:r w:rsidRPr="00913C78">
        <w:rPr>
          <w:rFonts w:hint="eastAsia"/>
        </w:rPr>
        <w:t>～</w:t>
      </w:r>
      <w:r w:rsidRPr="00913C78">
        <w:rPr>
          <w:rFonts w:hint="eastAsia"/>
        </w:rPr>
        <w:t>12km</w:t>
      </w:r>
      <w:r w:rsidRPr="00913C78">
        <w:rPr>
          <w:rFonts w:hint="eastAsia"/>
        </w:rPr>
        <w:t>、侧向各</w:t>
      </w:r>
      <w:r w:rsidRPr="00913C78">
        <w:rPr>
          <w:rFonts w:hint="eastAsia"/>
        </w:rPr>
        <w:t>1</w:t>
      </w:r>
      <w:r w:rsidRPr="00913C78">
        <w:rPr>
          <w:rFonts w:hint="eastAsia"/>
        </w:rPr>
        <w:t>～</w:t>
      </w:r>
      <w:r w:rsidRPr="00913C78">
        <w:rPr>
          <w:rFonts w:hint="eastAsia"/>
        </w:rPr>
        <w:t>2km</w:t>
      </w:r>
      <w:r w:rsidRPr="00913C78">
        <w:rPr>
          <w:rFonts w:hint="eastAsia"/>
        </w:rPr>
        <w:t>时，应考虑飞机噪声影响。</w:t>
      </w:r>
    </w:p>
    <w:p w14:paraId="36AF3C9B"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建模应考虑</w:t>
      </w:r>
      <w:r w:rsidRPr="00913C78">
        <w:t>可</w:t>
      </w:r>
      <w:r w:rsidRPr="00913C78">
        <w:rPr>
          <w:rFonts w:hint="eastAsia"/>
        </w:rPr>
        <w:t>预计</w:t>
      </w:r>
      <w:r w:rsidRPr="00913C78">
        <w:t>的声源</w:t>
      </w:r>
      <w:r w:rsidRPr="00913C78">
        <w:rPr>
          <w:rFonts w:hint="eastAsia"/>
        </w:rPr>
        <w:t>增加</w:t>
      </w:r>
      <w:r w:rsidRPr="00913C78">
        <w:t>情况。</w:t>
      </w:r>
    </w:p>
    <w:p w14:paraId="7BB4E3AA"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）声源简化</w:t>
      </w:r>
    </w:p>
    <w:p w14:paraId="658EFD65" w14:textId="77777777" w:rsidR="00913C78" w:rsidRPr="00913C78" w:rsidRDefault="00913C78" w:rsidP="00913C78">
      <w:pPr>
        <w:ind w:firstLine="420"/>
      </w:pPr>
      <w:r w:rsidRPr="00913C78">
        <w:rPr>
          <w:rFonts w:hint="eastAsia"/>
        </w:rPr>
        <w:t>声源可根据模拟目的及声源特征进行简化，参考如下原则：</w:t>
      </w:r>
    </w:p>
    <w:p w14:paraId="399C09A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点声源：声源中心到预测点之间的距离超过声源最大几何尺寸</w:t>
      </w:r>
      <w:r w:rsidRPr="00913C78">
        <w:rPr>
          <w:rFonts w:hint="eastAsia"/>
        </w:rPr>
        <w:t>2</w:t>
      </w:r>
      <w:r w:rsidRPr="00913C78">
        <w:rPr>
          <w:rFonts w:hint="eastAsia"/>
        </w:rPr>
        <w:t>倍时，可将该声源近似为点声源。</w:t>
      </w:r>
    </w:p>
    <w:p w14:paraId="322AE5BF"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线声源：公路、铁路、轨道交通或者输送管道、运输路线等产生的噪声，分析时可将其看作由许多点声源连成一线组成的线状声源，可模拟为线声源。</w:t>
      </w:r>
    </w:p>
    <w:p w14:paraId="32BC8BF5"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面声源：当声源中心到预测点之间的距离小于声源最大几何尺寸</w:t>
      </w:r>
      <w:r w:rsidRPr="00913C78">
        <w:rPr>
          <w:rFonts w:hint="eastAsia"/>
        </w:rPr>
        <w:t>3</w:t>
      </w:r>
      <w:r w:rsidRPr="00913C78">
        <w:rPr>
          <w:rFonts w:hint="eastAsia"/>
        </w:rPr>
        <w:t>倍时，该声源宜用面声源模拟。</w:t>
      </w:r>
    </w:p>
    <w:p w14:paraId="0651F8FE"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位于建筑物室内的声源，产生的噪声经室内多次反射后经建筑的围护结构向外传播，应将建筑围护结构作为声源，计算其对外环境的影响，围护结构声源的等效方法同上述</w:t>
      </w:r>
      <w:r w:rsidRPr="00913C78">
        <w:rPr>
          <w:rFonts w:hint="eastAsia"/>
        </w:rPr>
        <w:t>1</w:t>
      </w:r>
      <w:r w:rsidRPr="00913C78">
        <w:rPr>
          <w:rFonts w:hint="eastAsia"/>
        </w:rPr>
        <w:t>）～</w:t>
      </w:r>
      <w:r w:rsidRPr="00913C78">
        <w:rPr>
          <w:rFonts w:hint="eastAsia"/>
        </w:rPr>
        <w:t>3</w:t>
      </w:r>
      <w:r w:rsidRPr="00913C78">
        <w:rPr>
          <w:rFonts w:hint="eastAsia"/>
        </w:rPr>
        <w:t>）。</w:t>
      </w:r>
    </w:p>
    <w:p w14:paraId="11C9EA97" w14:textId="77777777" w:rsidR="00913C78" w:rsidRPr="00913C78" w:rsidRDefault="00913C78" w:rsidP="00913C78">
      <w:pPr>
        <w:ind w:firstLine="420"/>
      </w:pPr>
      <w:r w:rsidRPr="00913C78">
        <w:rPr>
          <w:rFonts w:hint="eastAsia"/>
        </w:rPr>
        <w:t>（</w:t>
      </w:r>
      <w:r w:rsidRPr="00913C78">
        <w:t>3</w:t>
      </w:r>
      <w:r w:rsidRPr="00913C78">
        <w:rPr>
          <w:rFonts w:hint="eastAsia"/>
        </w:rPr>
        <w:t>）网格</w:t>
      </w:r>
      <w:r w:rsidRPr="00913C78">
        <w:t>划分</w:t>
      </w:r>
    </w:p>
    <w:p w14:paraId="0A394CD2" w14:textId="77777777" w:rsidR="00913C78" w:rsidRPr="00913C78" w:rsidRDefault="00913C78" w:rsidP="00913C78">
      <w:pPr>
        <w:ind w:firstLine="420"/>
      </w:pPr>
      <w:r w:rsidRPr="00913C78">
        <w:rPr>
          <w:rFonts w:hint="eastAsia"/>
        </w:rPr>
        <w:t>计算水平或垂直声场时，水平或垂直预测网格点间距应视计算区域大小及计算目的而针对性设定，大多数情况下，可采用</w:t>
      </w:r>
      <w:r w:rsidRPr="00913C78">
        <w:rPr>
          <w:rFonts w:hint="eastAsia"/>
        </w:rPr>
        <w:t>2m</w:t>
      </w:r>
      <w:r w:rsidRPr="00913C78">
        <w:t>×</w:t>
      </w:r>
      <w:r w:rsidRPr="00913C78">
        <w:rPr>
          <w:rFonts w:hint="eastAsia"/>
        </w:rPr>
        <w:t>2m</w:t>
      </w:r>
      <w:r w:rsidRPr="00913C78">
        <w:rPr>
          <w:rFonts w:hint="eastAsia"/>
        </w:rPr>
        <w:t>的计算网格。</w:t>
      </w:r>
    </w:p>
    <w:p w14:paraId="5344BCF9" w14:textId="77777777" w:rsidR="00913C78" w:rsidRPr="00913C78" w:rsidRDefault="00913C78" w:rsidP="00913C78">
      <w:pPr>
        <w:ind w:firstLine="420"/>
      </w:pPr>
      <w:r w:rsidRPr="00913C78">
        <w:rPr>
          <w:rFonts w:hint="eastAsia"/>
        </w:rPr>
        <w:t>（</w:t>
      </w:r>
      <w:r w:rsidRPr="00913C78">
        <w:t>4</w:t>
      </w:r>
      <w:r w:rsidRPr="00913C78">
        <w:rPr>
          <w:rFonts w:hint="eastAsia"/>
        </w:rPr>
        <w:t>）预测点设置</w:t>
      </w:r>
    </w:p>
    <w:p w14:paraId="0F128E80" w14:textId="77777777" w:rsidR="00913C78" w:rsidRPr="00913C78" w:rsidRDefault="00913C78" w:rsidP="00913C78">
      <w:pPr>
        <w:ind w:firstLine="420"/>
      </w:pPr>
      <w:r w:rsidRPr="00913C78">
        <w:rPr>
          <w:rFonts w:hint="eastAsia"/>
        </w:rPr>
        <w:t>预测点设置于目标建筑窗外</w:t>
      </w:r>
      <w:r w:rsidRPr="00913C78">
        <w:rPr>
          <w:rFonts w:hint="eastAsia"/>
        </w:rPr>
        <w:t>1m</w:t>
      </w:r>
      <w:r w:rsidRPr="00913C78">
        <w:rPr>
          <w:rFonts w:hint="eastAsia"/>
        </w:rPr>
        <w:t>处，高于各层楼板</w:t>
      </w:r>
      <w:r w:rsidRPr="00913C78">
        <w:rPr>
          <w:rFonts w:hint="eastAsia"/>
        </w:rPr>
        <w:t>1.2</w:t>
      </w:r>
      <w:r w:rsidRPr="00913C78">
        <w:rPr>
          <w:rFonts w:hint="eastAsia"/>
        </w:rPr>
        <w:t>～</w:t>
      </w:r>
      <w:r w:rsidRPr="00913C78">
        <w:rPr>
          <w:rFonts w:hint="eastAsia"/>
        </w:rPr>
        <w:t>1.5m</w:t>
      </w:r>
      <w:r w:rsidRPr="00913C78">
        <w:rPr>
          <w:rFonts w:hint="eastAsia"/>
        </w:rPr>
        <w:t>，预测点应包含目标建筑的噪声预测最不利点；分析建筑室外近地面噪声水平时，预测点高于地面</w:t>
      </w:r>
      <w:r w:rsidRPr="00913C78">
        <w:rPr>
          <w:rFonts w:hint="eastAsia"/>
        </w:rPr>
        <w:t>1.2</w:t>
      </w:r>
      <w:r w:rsidRPr="00913C78">
        <w:rPr>
          <w:rFonts w:hint="eastAsia"/>
        </w:rPr>
        <w:t>～</w:t>
      </w:r>
      <w:r w:rsidRPr="00913C78">
        <w:rPr>
          <w:rFonts w:hint="eastAsia"/>
        </w:rPr>
        <w:t>1.5m</w:t>
      </w:r>
      <w:r w:rsidRPr="00913C78">
        <w:rPr>
          <w:rFonts w:hint="eastAsia"/>
        </w:rPr>
        <w:t>。</w:t>
      </w:r>
    </w:p>
    <w:p w14:paraId="55F18982" w14:textId="77777777" w:rsidR="00913C78" w:rsidRPr="00913C78" w:rsidRDefault="00913C78" w:rsidP="00913C78">
      <w:pPr>
        <w:ind w:firstLine="420"/>
      </w:pPr>
      <w:bookmarkStart w:id="258" w:name="_Toc475359894"/>
      <w:r w:rsidRPr="00913C78">
        <w:rPr>
          <w:rFonts w:hint="eastAsia"/>
        </w:rPr>
        <w:t>◎</w:t>
      </w:r>
      <w:r w:rsidRPr="00913C78">
        <w:t xml:space="preserve"> </w:t>
      </w:r>
      <w:r w:rsidRPr="00913C78">
        <w:rPr>
          <w:rFonts w:hint="eastAsia"/>
        </w:rPr>
        <w:t>边界条件</w:t>
      </w:r>
      <w:bookmarkEnd w:id="258"/>
    </w:p>
    <w:p w14:paraId="2E35253B" w14:textId="77777777" w:rsidR="00913C78" w:rsidRPr="00913C78" w:rsidRDefault="00913C78" w:rsidP="00913C78">
      <w:pPr>
        <w:ind w:firstLine="420"/>
      </w:pPr>
      <w:r w:rsidRPr="00913C78">
        <w:rPr>
          <w:rFonts w:hint="eastAsia"/>
        </w:rPr>
        <w:t>数值分析</w:t>
      </w:r>
      <w:r w:rsidRPr="00913C78">
        <w:t>报告</w:t>
      </w:r>
      <w:r w:rsidRPr="00913C78">
        <w:rPr>
          <w:rFonts w:hint="eastAsia"/>
        </w:rPr>
        <w:t>边界</w:t>
      </w:r>
      <w:r w:rsidRPr="00913C78">
        <w:t>条件应</w:t>
      </w:r>
      <w:r w:rsidRPr="00913C78">
        <w:rPr>
          <w:rFonts w:hint="eastAsia"/>
        </w:rPr>
        <w:t>包括但</w:t>
      </w:r>
      <w:r w:rsidRPr="00913C78">
        <w:t>不限于</w:t>
      </w:r>
      <w:r w:rsidRPr="00913C78">
        <w:rPr>
          <w:rFonts w:hint="eastAsia"/>
        </w:rPr>
        <w:t>：</w:t>
      </w:r>
      <w:r w:rsidRPr="00913C78">
        <w:t>边界条件、</w:t>
      </w:r>
      <w:r w:rsidRPr="00913C78">
        <w:rPr>
          <w:rFonts w:hint="eastAsia"/>
        </w:rPr>
        <w:t>声源源强参数及</w:t>
      </w:r>
      <w:r w:rsidRPr="00913C78">
        <w:t>其他</w:t>
      </w:r>
      <w:r w:rsidRPr="00913C78">
        <w:rPr>
          <w:rFonts w:hint="eastAsia"/>
        </w:rPr>
        <w:t>较为重要</w:t>
      </w:r>
      <w:r w:rsidRPr="00913C78">
        <w:t>的参数的</w:t>
      </w:r>
      <w:r w:rsidRPr="00913C78">
        <w:rPr>
          <w:rFonts w:hint="eastAsia"/>
        </w:rPr>
        <w:t>设定方法</w:t>
      </w:r>
      <w:r w:rsidRPr="00913C78">
        <w:t>和计算精度说明</w:t>
      </w:r>
      <w:r w:rsidRPr="00913C78">
        <w:rPr>
          <w:rFonts w:hint="eastAsia"/>
        </w:rPr>
        <w:t>。</w:t>
      </w:r>
    </w:p>
    <w:p w14:paraId="47E21C94" w14:textId="77777777" w:rsidR="00913C78" w:rsidRPr="00913C78" w:rsidRDefault="00913C78" w:rsidP="00913C78">
      <w:pPr>
        <w:ind w:firstLine="420"/>
      </w:pPr>
      <w:r w:rsidRPr="00913C78">
        <w:rPr>
          <w:rFonts w:hint="eastAsia"/>
        </w:rPr>
        <w:t>边界</w:t>
      </w:r>
      <w:r w:rsidRPr="00913C78">
        <w:t>条件</w:t>
      </w:r>
      <w:r w:rsidRPr="00913C78">
        <w:rPr>
          <w:rFonts w:hint="eastAsia"/>
        </w:rPr>
        <w:t>要求如下。</w:t>
      </w:r>
    </w:p>
    <w:p w14:paraId="486F32EE"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）声源源强参数</w:t>
      </w:r>
    </w:p>
    <w:p w14:paraId="6D01B424"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点、线、面声源均应输入声源的声功率级。部分设备的声功率级可参照《环境噪声</w:t>
      </w:r>
      <w:r w:rsidRPr="00913C78">
        <w:rPr>
          <w:rFonts w:hint="eastAsia"/>
        </w:rPr>
        <w:lastRenderedPageBreak/>
        <w:t>与振动控制工程技术导则》（</w:t>
      </w:r>
      <w:r w:rsidRPr="00913C78">
        <w:rPr>
          <w:rFonts w:hint="eastAsia"/>
        </w:rPr>
        <w:t>HJ</w:t>
      </w:r>
      <w:r w:rsidRPr="00913C78">
        <w:t> </w:t>
      </w:r>
      <w:r w:rsidRPr="00913C78">
        <w:rPr>
          <w:rFonts w:hint="eastAsia"/>
        </w:rPr>
        <w:t>2034</w:t>
      </w:r>
      <w:r w:rsidRPr="00913C78">
        <w:rPr>
          <w:rFonts w:hint="eastAsia"/>
        </w:rPr>
        <w:t>—</w:t>
      </w:r>
      <w:r w:rsidRPr="00913C78">
        <w:rPr>
          <w:rFonts w:hint="eastAsia"/>
        </w:rPr>
        <w:t>2013</w:t>
      </w:r>
      <w:r w:rsidRPr="00913C78">
        <w:rPr>
          <w:rFonts w:hint="eastAsia"/>
        </w:rPr>
        <w:t>）选取。当无法获知声源的声功率级但可知声源近场处的声压级时，可按照《声学</w:t>
      </w:r>
      <w:r w:rsidRPr="00913C78">
        <w:rPr>
          <w:rFonts w:hint="eastAsia"/>
        </w:rPr>
        <w:t xml:space="preserve"> </w:t>
      </w:r>
      <w:r w:rsidRPr="00913C78">
        <w:rPr>
          <w:rFonts w:hint="eastAsia"/>
        </w:rPr>
        <w:t>声压法测定噪声源声功率级采用反射面上方包络测量面的简易法》（</w:t>
      </w:r>
      <w:r w:rsidRPr="00913C78">
        <w:rPr>
          <w:rFonts w:hint="eastAsia"/>
        </w:rPr>
        <w:t>GB/T</w:t>
      </w:r>
      <w:r w:rsidRPr="00913C78">
        <w:t> </w:t>
      </w:r>
      <w:r w:rsidRPr="00913C78">
        <w:rPr>
          <w:rFonts w:hint="eastAsia"/>
        </w:rPr>
        <w:t>3768</w:t>
      </w:r>
      <w:r w:rsidRPr="00913C78">
        <w:rPr>
          <w:rFonts w:hint="eastAsia"/>
        </w:rPr>
        <w:t>—</w:t>
      </w:r>
      <w:r w:rsidRPr="00913C78">
        <w:rPr>
          <w:rFonts w:hint="eastAsia"/>
        </w:rPr>
        <w:t>2016</w:t>
      </w:r>
      <w:r w:rsidRPr="00913C78">
        <w:rPr>
          <w:rFonts w:hint="eastAsia"/>
        </w:rPr>
        <w:t>）推荐的简易方法，利用距声源一定距离处的声压级及包络面面积估算声源的声功率级。</w:t>
      </w:r>
    </w:p>
    <w:p w14:paraId="7568C78E"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声源源强包含</w:t>
      </w:r>
      <w:r w:rsidRPr="00913C78">
        <w:t>63</w:t>
      </w:r>
      <w:r w:rsidRPr="00913C78">
        <w:rPr>
          <w:rFonts w:hint="eastAsia"/>
        </w:rPr>
        <w:t>～</w:t>
      </w:r>
      <w:r w:rsidRPr="00913C78">
        <w:rPr>
          <w:rFonts w:hint="eastAsia"/>
        </w:rPr>
        <w:t>8000Hz</w:t>
      </w:r>
      <w:r w:rsidRPr="00913C78">
        <w:rPr>
          <w:rFonts w:hint="eastAsia"/>
        </w:rPr>
        <w:t>的</w:t>
      </w:r>
      <w:r w:rsidRPr="00913C78">
        <w:rPr>
          <w:rFonts w:hint="eastAsia"/>
        </w:rPr>
        <w:t>8</w:t>
      </w:r>
      <w:r w:rsidRPr="00913C78">
        <w:rPr>
          <w:rFonts w:hint="eastAsia"/>
        </w:rPr>
        <w:t>个倍频带中心频率。因不同等级的道路的交通流量、通过车型不同，所受到的环境噪声影响也不同。模拟中应采用较为准确的实测道路交通噪声数据，或者是参考标准《汽车定置噪声限值》（</w:t>
      </w:r>
      <w:r w:rsidRPr="00913C78">
        <w:rPr>
          <w:rFonts w:hint="eastAsia"/>
        </w:rPr>
        <w:t>GB16170</w:t>
      </w:r>
      <w:r w:rsidRPr="00913C78">
        <w:rPr>
          <w:rFonts w:hint="eastAsia"/>
        </w:rPr>
        <w:t>—</w:t>
      </w:r>
      <w:r w:rsidRPr="00913C78">
        <w:rPr>
          <w:rFonts w:hint="eastAsia"/>
        </w:rPr>
        <w:t>1996</w:t>
      </w:r>
      <w:r w:rsidRPr="00913C78">
        <w:rPr>
          <w:rFonts w:hint="eastAsia"/>
        </w:rPr>
        <w:t>）、《机动车辆允许噪声标准》、《铁道机车噪声限值》（</w:t>
      </w:r>
      <w:r w:rsidRPr="00913C78">
        <w:rPr>
          <w:rFonts w:hint="eastAsia"/>
        </w:rPr>
        <w:t>GB13669</w:t>
      </w:r>
      <w:r w:rsidRPr="00913C78">
        <w:rPr>
          <w:rFonts w:hint="eastAsia"/>
        </w:rPr>
        <w:t>—</w:t>
      </w:r>
      <w:r w:rsidRPr="00913C78">
        <w:rPr>
          <w:rFonts w:hint="eastAsia"/>
        </w:rPr>
        <w:t>1992</w:t>
      </w:r>
      <w:r w:rsidRPr="00913C78">
        <w:rPr>
          <w:rFonts w:hint="eastAsia"/>
        </w:rPr>
        <w:t>）、《铁道客车内部噪声限值及测量办法》（</w:t>
      </w:r>
      <w:r w:rsidRPr="00913C78">
        <w:rPr>
          <w:rFonts w:hint="eastAsia"/>
        </w:rPr>
        <w:t>GB/T</w:t>
      </w:r>
      <w:r w:rsidRPr="00913C78">
        <w:t> </w:t>
      </w:r>
      <w:r w:rsidRPr="00913C78">
        <w:rPr>
          <w:rFonts w:hint="eastAsia"/>
        </w:rPr>
        <w:t>12816</w:t>
      </w:r>
      <w:r w:rsidRPr="00913C78">
        <w:rPr>
          <w:rFonts w:hint="eastAsia"/>
        </w:rPr>
        <w:t>—</w:t>
      </w:r>
      <w:r w:rsidRPr="00913C78">
        <w:rPr>
          <w:rFonts w:hint="eastAsia"/>
        </w:rPr>
        <w:t>2006</w:t>
      </w:r>
      <w:r w:rsidRPr="00913C78">
        <w:rPr>
          <w:rFonts w:hint="eastAsia"/>
        </w:rPr>
        <w:t>）、《声环境质量标准》（</w:t>
      </w:r>
      <w:r w:rsidRPr="00913C78">
        <w:rPr>
          <w:rFonts w:hint="eastAsia"/>
        </w:rPr>
        <w:t>GB3092</w:t>
      </w:r>
      <w:r w:rsidRPr="00913C78">
        <w:rPr>
          <w:rFonts w:hint="eastAsia"/>
        </w:rPr>
        <w:t>—</w:t>
      </w:r>
      <w:r w:rsidRPr="00913C78">
        <w:rPr>
          <w:rFonts w:hint="eastAsia"/>
        </w:rPr>
        <w:t>2008</w:t>
      </w:r>
      <w:r w:rsidRPr="00913C78">
        <w:rPr>
          <w:rFonts w:hint="eastAsia"/>
        </w:rPr>
        <w:t>）或当地最近年份《重庆统计年鉴》中对城区内区域噪声的统计数据等相关标准、资料中的数据。</w:t>
      </w:r>
    </w:p>
    <w:p w14:paraId="4FBC83CD"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轨道交通噪声源强以距轨道中心线</w:t>
      </w:r>
      <w:r w:rsidRPr="00913C78">
        <w:rPr>
          <w:rFonts w:hint="eastAsia"/>
        </w:rPr>
        <w:t>25m</w:t>
      </w:r>
      <w:r w:rsidRPr="00913C78">
        <w:rPr>
          <w:rFonts w:hint="eastAsia"/>
        </w:rPr>
        <w:t>，高于轨面</w:t>
      </w:r>
      <w:r w:rsidRPr="00913C78">
        <w:rPr>
          <w:rFonts w:hint="eastAsia"/>
        </w:rPr>
        <w:t>1.5m</w:t>
      </w:r>
      <w:r w:rsidRPr="00913C78">
        <w:rPr>
          <w:rFonts w:hint="eastAsia"/>
        </w:rPr>
        <w:t>处计，源强可通过实测或类比确定；铁路噪声源强以距轨道中心线</w:t>
      </w:r>
      <w:r w:rsidRPr="00913C78">
        <w:rPr>
          <w:rFonts w:hint="eastAsia"/>
        </w:rPr>
        <w:t>25m</w:t>
      </w:r>
      <w:r w:rsidRPr="00913C78">
        <w:rPr>
          <w:rFonts w:hint="eastAsia"/>
        </w:rPr>
        <w:t>，高</w:t>
      </w:r>
      <w:r w:rsidRPr="00913C78">
        <w:rPr>
          <w:rFonts w:hint="eastAsia"/>
        </w:rPr>
        <w:t>3.5m</w:t>
      </w:r>
      <w:r w:rsidRPr="00913C78">
        <w:rPr>
          <w:rFonts w:hint="eastAsia"/>
        </w:rPr>
        <w:t>处计。噪声源强数据首先应依据有关标准、规范及行业管理部门颁布的相关指导性意见，当缺少所需数据时，可通过声源类比测量或从有关文献资料、研究报告中获取。对于所依据的文献资料和研究报告，应分析说明源强数据的可靠性（如数据的测量方法、线路条件、列车类型、样本数量、处理方法等），并说明与评价项目声源类型和条件的可比性。噪声源强数据也可通过实测或类比确定。</w:t>
      </w:r>
    </w:p>
    <w:p w14:paraId="0E193B00"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）其他参数</w:t>
      </w:r>
    </w:p>
    <w:p w14:paraId="78F9153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当声源距离遮挡物距离较近时，需考虑遮挡物的反射声影响，反射次数应不低于</w:t>
      </w:r>
      <w:r w:rsidRPr="00913C78">
        <w:rPr>
          <w:rFonts w:hint="eastAsia"/>
        </w:rPr>
        <w:t>5</w:t>
      </w:r>
      <w:r w:rsidRPr="00913C78">
        <w:rPr>
          <w:rFonts w:hint="eastAsia"/>
        </w:rPr>
        <w:t>次。</w:t>
      </w:r>
    </w:p>
    <w:p w14:paraId="06AFAAE3"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道路或铁路、轨道交通的昼</w:t>
      </w:r>
      <w:r w:rsidRPr="00913C78">
        <w:rPr>
          <w:rFonts w:hint="eastAsia"/>
        </w:rPr>
        <w:t>/</w:t>
      </w:r>
      <w:r w:rsidRPr="00913C78">
        <w:rPr>
          <w:rFonts w:hint="eastAsia"/>
        </w:rPr>
        <w:t>夜流量应不低于实际昼间</w:t>
      </w:r>
      <w:r w:rsidRPr="00913C78">
        <w:rPr>
          <w:rFonts w:hint="eastAsia"/>
        </w:rPr>
        <w:t>/</w:t>
      </w:r>
      <w:r w:rsidRPr="00913C78">
        <w:rPr>
          <w:rFonts w:hint="eastAsia"/>
        </w:rPr>
        <w:t>夜间的平均小时流量。如考虑的为规划道路或铁路，预测年限应考虑规划道路远期实施后产生的影响。对流量较低的铁路或专线铁路，可选择流量最大的一小时进行预测。</w:t>
      </w:r>
    </w:p>
    <w:p w14:paraId="1C3B7A18"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当模拟高架及地面道路、高架与高架之间组成的复合道路以及隧道出入口段噪声时，应考虑道路本身构筑物的多次反射声影响。当预测位于城区的道路或轨道交通地面线路时，当两侧高楼林立，多次反射声明显时，需考虑建筑多次反射产生的影响，反射次数不低于</w:t>
      </w:r>
      <w:r w:rsidRPr="00913C78">
        <w:rPr>
          <w:rFonts w:hint="eastAsia"/>
        </w:rPr>
        <w:t>5</w:t>
      </w:r>
      <w:r w:rsidRPr="00913C78">
        <w:rPr>
          <w:rFonts w:hint="eastAsia"/>
        </w:rPr>
        <w:t>次。</w:t>
      </w:r>
    </w:p>
    <w:p w14:paraId="30C7A3F7"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隧道（或下穿地道）洞口噪声采用垂直面声源模拟，面声源源强可根据隧道内车辆源强、隧道形状、隧道内平均吸声系数等因素综合确定。</w:t>
      </w:r>
    </w:p>
    <w:p w14:paraId="75EA0BE0" w14:textId="77777777" w:rsidR="00913C78" w:rsidRPr="00913C78" w:rsidRDefault="00913C78" w:rsidP="00913C78">
      <w:pPr>
        <w:ind w:firstLine="420"/>
      </w:pPr>
      <w:r w:rsidRPr="00913C78">
        <w:t>5</w:t>
      </w:r>
      <w:r w:rsidRPr="00913C78">
        <w:rPr>
          <w:rFonts w:hint="eastAsia"/>
        </w:rPr>
        <w:t>）</w:t>
      </w:r>
      <w:r w:rsidRPr="00913C78">
        <w:t> </w:t>
      </w:r>
      <w:r w:rsidRPr="00913C78">
        <w:rPr>
          <w:rFonts w:hint="eastAsia"/>
        </w:rPr>
        <w:t>对指向性明确的声源，应考虑其指向性影响。</w:t>
      </w:r>
    </w:p>
    <w:p w14:paraId="2ED685B7"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当声源为高速铁路时，除轮轨噪声外，还应考虑高速铁路的空气动力性噪声、桥梁</w:t>
      </w:r>
      <w:r w:rsidRPr="00913C78">
        <w:rPr>
          <w:rFonts w:hint="eastAsia"/>
        </w:rPr>
        <w:lastRenderedPageBreak/>
        <w:t>结构噪声、集电系统噪声的影响，分别计算上述各部分噪声的影响。</w:t>
      </w:r>
    </w:p>
    <w:p w14:paraId="76D48256" w14:textId="77777777" w:rsidR="00913C78" w:rsidRPr="00913C78" w:rsidRDefault="00913C78" w:rsidP="00913C78">
      <w:pPr>
        <w:ind w:firstLine="420"/>
      </w:pPr>
      <w:r w:rsidRPr="00913C78">
        <w:t>7</w:t>
      </w:r>
      <w:r w:rsidRPr="00913C78">
        <w:rPr>
          <w:rFonts w:hint="eastAsia"/>
        </w:rPr>
        <w:t>）</w:t>
      </w:r>
      <w:r w:rsidRPr="00913C78">
        <w:t> </w:t>
      </w:r>
      <w:r w:rsidRPr="00913C78">
        <w:rPr>
          <w:rFonts w:hint="eastAsia"/>
        </w:rPr>
        <w:t>当轨道交通经过钢结构桥梁或特殊结构桥梁时，结构噪声影响突出，在预测中应重点考虑。</w:t>
      </w:r>
    </w:p>
    <w:p w14:paraId="51991AAC" w14:textId="77777777" w:rsidR="00913C78" w:rsidRPr="00913C78" w:rsidRDefault="00913C78" w:rsidP="00913C78">
      <w:pPr>
        <w:ind w:firstLine="420"/>
      </w:pPr>
      <w:r w:rsidRPr="00913C78">
        <w:rPr>
          <w:rFonts w:hint="eastAsia"/>
        </w:rPr>
        <w:t>8</w:t>
      </w:r>
      <w:r w:rsidRPr="00913C78">
        <w:rPr>
          <w:rFonts w:hint="eastAsia"/>
        </w:rPr>
        <w:t>）</w:t>
      </w:r>
      <w:r w:rsidRPr="00913C78">
        <w:t> </w:t>
      </w:r>
      <w:r w:rsidRPr="00913C78">
        <w:rPr>
          <w:rFonts w:hint="eastAsia"/>
        </w:rPr>
        <w:t>乔灌结合，绿化良好的绿化带降噪效果可按</w:t>
      </w:r>
      <w:r w:rsidRPr="00913C78">
        <w:rPr>
          <w:rFonts w:hint="eastAsia"/>
        </w:rPr>
        <w:t>0.5</w:t>
      </w:r>
      <w:r w:rsidRPr="00913C78">
        <w:rPr>
          <w:rFonts w:hint="eastAsia"/>
        </w:rPr>
        <w:t>～</w:t>
      </w:r>
      <w:r w:rsidRPr="00913C78">
        <w:rPr>
          <w:rFonts w:hint="eastAsia"/>
        </w:rPr>
        <w:t>1dB</w:t>
      </w:r>
      <w:r w:rsidRPr="00913C78">
        <w:rPr>
          <w:rFonts w:hint="eastAsia"/>
        </w:rPr>
        <w:t>（</w:t>
      </w:r>
      <w:r w:rsidRPr="00913C78">
        <w:rPr>
          <w:rFonts w:hint="eastAsia"/>
        </w:rPr>
        <w:t>A</w:t>
      </w:r>
      <w:r w:rsidRPr="00913C78">
        <w:rPr>
          <w:rFonts w:hint="eastAsia"/>
        </w:rPr>
        <w:t>）</w:t>
      </w:r>
      <w:r w:rsidRPr="00913C78">
        <w:rPr>
          <w:rFonts w:hint="eastAsia"/>
        </w:rPr>
        <w:t>/10m</w:t>
      </w:r>
      <w:r w:rsidRPr="00913C78">
        <w:rPr>
          <w:rFonts w:hint="eastAsia"/>
        </w:rPr>
        <w:t>计算，绿化带建模高度为绿化带平均高度，绿化带最多考虑</w:t>
      </w:r>
      <w:r w:rsidRPr="00913C78">
        <w:rPr>
          <w:rFonts w:hint="eastAsia"/>
        </w:rPr>
        <w:t>200m</w:t>
      </w:r>
      <w:r w:rsidRPr="00913C78">
        <w:rPr>
          <w:rFonts w:hint="eastAsia"/>
        </w:rPr>
        <w:t>距离。</w:t>
      </w:r>
    </w:p>
    <w:p w14:paraId="79A11505" w14:textId="77777777" w:rsidR="00913C78" w:rsidRPr="00913C78" w:rsidRDefault="00913C78" w:rsidP="00913C78">
      <w:pPr>
        <w:ind w:firstLine="420"/>
      </w:pPr>
      <w:r w:rsidRPr="00913C78">
        <w:t>9</w:t>
      </w:r>
      <w:r w:rsidRPr="00913C78">
        <w:rPr>
          <w:rFonts w:hint="eastAsia"/>
        </w:rPr>
        <w:t>）</w:t>
      </w:r>
      <w:r w:rsidRPr="00913C78">
        <w:t> </w:t>
      </w:r>
      <w:r w:rsidRPr="00913C78">
        <w:rPr>
          <w:rFonts w:hint="eastAsia"/>
        </w:rPr>
        <w:t>当建模区域存在现有飞机噪声影响时，影响值可通过现状监测值类比确定。</w:t>
      </w:r>
    </w:p>
    <w:p w14:paraId="33B0472B" w14:textId="77777777" w:rsidR="00913C78" w:rsidRPr="00913C78" w:rsidRDefault="00913C78" w:rsidP="00913C78">
      <w:pPr>
        <w:ind w:firstLine="420"/>
      </w:pPr>
      <w:r w:rsidRPr="00913C78">
        <w:t>10</w:t>
      </w:r>
      <w:r w:rsidRPr="00913C78">
        <w:rPr>
          <w:rFonts w:hint="eastAsia"/>
        </w:rPr>
        <w:t>）</w:t>
      </w:r>
      <w:r w:rsidRPr="00913C78">
        <w:t> </w:t>
      </w:r>
      <w:r w:rsidRPr="00913C78">
        <w:rPr>
          <w:rFonts w:hint="eastAsia"/>
        </w:rPr>
        <w:t>对飞机噪声预测因子应为计权等效连续感觉噪声级，其他为等效连续</w:t>
      </w:r>
      <w:r w:rsidRPr="00913C78">
        <w:rPr>
          <w:rFonts w:hint="eastAsia"/>
        </w:rPr>
        <w:t>A</w:t>
      </w:r>
      <w:r w:rsidRPr="00913C78">
        <w:rPr>
          <w:rFonts w:hint="eastAsia"/>
        </w:rPr>
        <w:t>声级。</w:t>
      </w:r>
    </w:p>
    <w:p w14:paraId="0CA71B42" w14:textId="77777777" w:rsidR="00913C78" w:rsidRPr="00913C78" w:rsidRDefault="00913C78" w:rsidP="00913C78">
      <w:pPr>
        <w:pStyle w:val="32"/>
      </w:pPr>
      <w:bookmarkStart w:id="259" w:name="_Toc475359895"/>
      <w:bookmarkStart w:id="260" w:name="_Toc35364769"/>
      <w:r w:rsidRPr="00913C78">
        <w:rPr>
          <w:rFonts w:hint="eastAsia"/>
        </w:rPr>
        <w:t>A.1.</w:t>
      </w:r>
      <w:r w:rsidRPr="00913C78">
        <w:t>4</w:t>
      </w:r>
      <w:r w:rsidRPr="00913C78">
        <w:rPr>
          <w:rFonts w:hint="eastAsia"/>
        </w:rPr>
        <w:t xml:space="preserve">  </w:t>
      </w:r>
      <w:r w:rsidRPr="00913C78">
        <w:t>数值分析</w:t>
      </w:r>
      <w:r w:rsidRPr="00913C78">
        <w:rPr>
          <w:rFonts w:hint="eastAsia"/>
        </w:rPr>
        <w:t>结果与</w:t>
      </w:r>
      <w:r w:rsidRPr="00913C78">
        <w:t>结论</w:t>
      </w:r>
      <w:bookmarkEnd w:id="259"/>
      <w:bookmarkEnd w:id="260"/>
    </w:p>
    <w:p w14:paraId="01CD7644" w14:textId="77777777" w:rsidR="00913C78" w:rsidRPr="00913C78" w:rsidRDefault="00913C78" w:rsidP="00913C78">
      <w:pPr>
        <w:ind w:firstLine="420"/>
      </w:pPr>
      <w:bookmarkStart w:id="261" w:name="_Toc475359896"/>
      <w:r w:rsidRPr="00913C78">
        <w:rPr>
          <w:rFonts w:hint="eastAsia"/>
        </w:rPr>
        <w:t>◎</w:t>
      </w:r>
      <w:r w:rsidRPr="00913C78">
        <w:t xml:space="preserve"> </w:t>
      </w:r>
      <w:r w:rsidRPr="00913C78">
        <w:rPr>
          <w:rFonts w:hint="eastAsia"/>
        </w:rPr>
        <w:t>数值分析</w:t>
      </w:r>
      <w:r w:rsidRPr="00913C78">
        <w:t>结果</w:t>
      </w:r>
      <w:bookmarkEnd w:id="261"/>
    </w:p>
    <w:p w14:paraId="423EC686" w14:textId="77777777" w:rsidR="00913C78" w:rsidRPr="00913C78" w:rsidRDefault="00913C78" w:rsidP="00913C78">
      <w:pPr>
        <w:ind w:firstLine="420"/>
      </w:pPr>
      <w:r w:rsidRPr="00913C78">
        <w:rPr>
          <w:rFonts w:hint="eastAsia"/>
        </w:rPr>
        <w:t>室外声环境数值分析结果应包括：</w:t>
      </w:r>
    </w:p>
    <w:p w14:paraId="7D52E8E1"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能够</w:t>
      </w:r>
      <w:r w:rsidRPr="00913C78">
        <w:t>表达目标建筑和周边遮挡物位置关系的总平面图</w:t>
      </w:r>
      <w:r w:rsidRPr="00913C78">
        <w:rPr>
          <w:rFonts w:hint="eastAsia"/>
        </w:rPr>
        <w:t>。</w:t>
      </w:r>
    </w:p>
    <w:p w14:paraId="70BD0DA6"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模拟区域近地面处（地面</w:t>
      </w:r>
      <w:r w:rsidRPr="00913C78">
        <w:rPr>
          <w:rFonts w:hint="eastAsia"/>
        </w:rPr>
        <w:t>1.2</w:t>
      </w:r>
      <w:r w:rsidRPr="00913C78">
        <w:rPr>
          <w:rFonts w:hint="eastAsia"/>
        </w:rPr>
        <w:t>～</w:t>
      </w:r>
      <w:r w:rsidRPr="00913C78">
        <w:rPr>
          <w:rFonts w:hint="eastAsia"/>
        </w:rPr>
        <w:t>1.5m</w:t>
      </w:r>
      <w:r w:rsidRPr="00913C78">
        <w:rPr>
          <w:rFonts w:hint="eastAsia"/>
        </w:rPr>
        <w:t>）的昼间、夜间声场分布图。</w:t>
      </w:r>
    </w:p>
    <w:p w14:paraId="1FC19AB5"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目标建筑外立面（窗外</w:t>
      </w:r>
      <w:r w:rsidRPr="00913C78">
        <w:rPr>
          <w:rFonts w:hint="eastAsia"/>
        </w:rPr>
        <w:t>1m</w:t>
      </w:r>
      <w:r w:rsidRPr="00913C78">
        <w:rPr>
          <w:rFonts w:hint="eastAsia"/>
        </w:rPr>
        <w:t>）噪声预测结果表（或分析图）</w:t>
      </w:r>
      <w:r w:rsidRPr="00913C78">
        <w:t>。</w:t>
      </w:r>
    </w:p>
    <w:p w14:paraId="6158DFE7" w14:textId="77777777" w:rsidR="00913C78" w:rsidRPr="00913C78" w:rsidRDefault="00913C78" w:rsidP="00913C78">
      <w:pPr>
        <w:ind w:firstLine="420"/>
      </w:pPr>
      <w:r w:rsidRPr="00913C78">
        <w:rPr>
          <w:rFonts w:hint="eastAsia"/>
        </w:rPr>
        <w:t>数值分析结果</w:t>
      </w:r>
      <w:r w:rsidRPr="00913C78">
        <w:t>要求：</w:t>
      </w:r>
    </w:p>
    <w:p w14:paraId="29928C11" w14:textId="77777777" w:rsidR="00913C78" w:rsidRPr="00913C78" w:rsidRDefault="00913C78" w:rsidP="00913C78">
      <w:pPr>
        <w:ind w:firstLine="420"/>
      </w:pPr>
      <w:r w:rsidRPr="00913C78">
        <w:rPr>
          <w:rFonts w:hint="eastAsia"/>
        </w:rPr>
        <w:t>模拟</w:t>
      </w:r>
      <w:r w:rsidRPr="00913C78">
        <w:t>结果的等值线图要求</w:t>
      </w:r>
      <w:r w:rsidRPr="00913C78">
        <w:rPr>
          <w:rFonts w:hint="eastAsia"/>
        </w:rPr>
        <w:t>：</w:t>
      </w:r>
    </w:p>
    <w:p w14:paraId="76143845" w14:textId="77777777" w:rsidR="00913C78" w:rsidRPr="00913C78" w:rsidRDefault="00913C78" w:rsidP="00913C78">
      <w:pPr>
        <w:ind w:firstLine="420"/>
      </w:pPr>
      <w:r w:rsidRPr="00913C78">
        <w:rPr>
          <w:rFonts w:hint="eastAsia"/>
        </w:rPr>
        <w:t>应</w:t>
      </w:r>
      <w:r w:rsidRPr="00913C78">
        <w:t>对计算结果的上下限进行调整，</w:t>
      </w:r>
      <w:r w:rsidRPr="00913C78">
        <w:rPr>
          <w:rFonts w:hint="eastAsia"/>
        </w:rPr>
        <w:t>声场分布图</w:t>
      </w:r>
      <w:r w:rsidRPr="00913C78">
        <w:t>应体现出较明显的变化，并对结果进行说明。</w:t>
      </w:r>
    </w:p>
    <w:p w14:paraId="00BFB5F1" w14:textId="77777777" w:rsidR="00913C78" w:rsidRPr="00913C78" w:rsidRDefault="00913C78" w:rsidP="00913C78">
      <w:pPr>
        <w:ind w:firstLine="420"/>
      </w:pPr>
      <w:bookmarkStart w:id="262" w:name="_Toc475359897"/>
      <w:r w:rsidRPr="00913C78">
        <w:rPr>
          <w:rFonts w:hint="eastAsia"/>
        </w:rPr>
        <w:t>◎</w:t>
      </w:r>
      <w:r w:rsidRPr="00913C78">
        <w:rPr>
          <w:rFonts w:hint="eastAsia"/>
        </w:rPr>
        <w:t xml:space="preserve"> </w:t>
      </w:r>
      <w:r w:rsidRPr="00913C78">
        <w:rPr>
          <w:rFonts w:hint="eastAsia"/>
        </w:rPr>
        <w:t>对比</w:t>
      </w:r>
      <w:r w:rsidRPr="00913C78">
        <w:t>分析</w:t>
      </w:r>
      <w:bookmarkEnd w:id="262"/>
    </w:p>
    <w:p w14:paraId="55B3903A" w14:textId="77777777" w:rsidR="00913C78" w:rsidRPr="00913C78" w:rsidRDefault="00913C78" w:rsidP="00913C78">
      <w:pPr>
        <w:ind w:firstLine="420"/>
      </w:pPr>
      <w:r w:rsidRPr="00913C78">
        <w:rPr>
          <w:rFonts w:hint="eastAsia"/>
        </w:rPr>
        <w:t>根据数值分析结果分析项目室外声环境</w:t>
      </w:r>
      <w:r w:rsidRPr="00913C78">
        <w:t>状态</w:t>
      </w:r>
      <w:r w:rsidRPr="00913C78">
        <w:rPr>
          <w:rFonts w:hint="eastAsia"/>
        </w:rPr>
        <w:t>，</w:t>
      </w:r>
      <w:r w:rsidRPr="00913C78">
        <w:t>将</w:t>
      </w:r>
      <w:r w:rsidRPr="00913C78">
        <w:rPr>
          <w:rFonts w:hint="eastAsia"/>
        </w:rPr>
        <w:t>昼间、夜间噪声</w:t>
      </w:r>
      <w:r w:rsidRPr="00913C78">
        <w:t>值</w:t>
      </w:r>
      <w:r w:rsidRPr="00913C78">
        <w:rPr>
          <w:rFonts w:hint="eastAsia"/>
        </w:rPr>
        <w:t>等</w:t>
      </w:r>
      <w:r w:rsidRPr="00913C78">
        <w:t>结果</w:t>
      </w:r>
      <w:r w:rsidRPr="00913C78">
        <w:rPr>
          <w:rFonts w:hint="eastAsia"/>
        </w:rPr>
        <w:t>与相关标准要求进行</w:t>
      </w:r>
      <w:r w:rsidRPr="00913C78">
        <w:t>对比</w:t>
      </w:r>
      <w:r w:rsidRPr="00913C78">
        <w:rPr>
          <w:rFonts w:hint="eastAsia"/>
        </w:rPr>
        <w:t>，判断</w:t>
      </w:r>
      <w:r w:rsidRPr="00913C78">
        <w:t>达标情况。给出</w:t>
      </w:r>
      <w:r w:rsidRPr="00913C78">
        <w:rPr>
          <w:rFonts w:hint="eastAsia"/>
        </w:rPr>
        <w:t>室外声环境的优化措施</w:t>
      </w:r>
      <w:r w:rsidRPr="00913C78">
        <w:t>与实施过程</w:t>
      </w:r>
      <w:r w:rsidRPr="00913C78">
        <w:rPr>
          <w:rFonts w:hint="eastAsia"/>
        </w:rPr>
        <w:t>，</w:t>
      </w:r>
      <w:r w:rsidRPr="00913C78">
        <w:t>对比分析优化</w:t>
      </w:r>
      <w:r w:rsidRPr="00913C78">
        <w:rPr>
          <w:rFonts w:hint="eastAsia"/>
        </w:rPr>
        <w:t>后</w:t>
      </w:r>
      <w:r w:rsidRPr="00913C78">
        <w:t>的项目</w:t>
      </w:r>
      <w:r w:rsidRPr="00913C78">
        <w:rPr>
          <w:rFonts w:hint="eastAsia"/>
        </w:rPr>
        <w:t>室外声环境</w:t>
      </w:r>
      <w:r w:rsidRPr="00913C78">
        <w:t>状态</w:t>
      </w:r>
      <w:r w:rsidRPr="00913C78">
        <w:rPr>
          <w:rFonts w:hint="eastAsia"/>
        </w:rPr>
        <w:t>。</w:t>
      </w:r>
    </w:p>
    <w:p w14:paraId="64B0EB51" w14:textId="77777777" w:rsidR="00913C78" w:rsidRPr="00913C78" w:rsidRDefault="00913C78" w:rsidP="00913C78">
      <w:pPr>
        <w:ind w:firstLine="420"/>
      </w:pPr>
      <w:bookmarkStart w:id="263" w:name="_Toc475359898"/>
      <w:r w:rsidRPr="00913C78">
        <w:rPr>
          <w:rFonts w:hint="eastAsia"/>
        </w:rPr>
        <w:t>◎</w:t>
      </w:r>
      <w:r w:rsidRPr="00913C78">
        <w:t xml:space="preserve"> </w:t>
      </w:r>
      <w:r w:rsidRPr="00913C78">
        <w:rPr>
          <w:rFonts w:hint="eastAsia"/>
        </w:rPr>
        <w:t>结论</w:t>
      </w:r>
      <w:bookmarkEnd w:id="263"/>
    </w:p>
    <w:p w14:paraId="72407D75" w14:textId="77777777" w:rsidR="00913C78" w:rsidRPr="00913C78" w:rsidRDefault="00913C78" w:rsidP="00913C78">
      <w:pPr>
        <w:ind w:firstLine="420"/>
      </w:pPr>
      <w:r w:rsidRPr="00913C78">
        <w:rPr>
          <w:rFonts w:hint="eastAsia"/>
        </w:rPr>
        <w:t>进行达标判定，并给出结论。</w:t>
      </w:r>
    </w:p>
    <w:p w14:paraId="2F19D516" w14:textId="77777777" w:rsidR="00913C78" w:rsidRPr="00913C78" w:rsidRDefault="00913C78" w:rsidP="00913C78">
      <w:pPr>
        <w:pStyle w:val="32"/>
      </w:pPr>
      <w:bookmarkStart w:id="264" w:name="_Toc475359899"/>
      <w:bookmarkStart w:id="265" w:name="_Toc35364770"/>
      <w:r w:rsidRPr="00913C78">
        <w:rPr>
          <w:rFonts w:hint="eastAsia"/>
        </w:rPr>
        <w:t xml:space="preserve">A.1.5  </w:t>
      </w:r>
      <w:r w:rsidRPr="00913C78">
        <w:rPr>
          <w:rFonts w:hint="eastAsia"/>
        </w:rPr>
        <w:t>审查要点</w:t>
      </w:r>
      <w:bookmarkEnd w:id="264"/>
      <w:r w:rsidRPr="00913C78">
        <w:rPr>
          <w:rFonts w:hint="eastAsia"/>
        </w:rPr>
        <w:t>（附表</w:t>
      </w:r>
      <w:r w:rsidRPr="00913C78">
        <w:rPr>
          <w:rFonts w:hint="eastAsia"/>
        </w:rPr>
        <w:t>A.1.1</w:t>
      </w:r>
      <w:r w:rsidRPr="00913C78">
        <w:rPr>
          <w:rFonts w:hint="eastAsia"/>
        </w:rPr>
        <w:t>）</w:t>
      </w:r>
      <w:bookmarkEnd w:id="265"/>
    </w:p>
    <w:p w14:paraId="0D106FE8" w14:textId="77777777" w:rsidR="00913C78" w:rsidRPr="00913C78" w:rsidRDefault="00913C78" w:rsidP="00913C78">
      <w:pPr>
        <w:ind w:firstLine="420"/>
      </w:pPr>
      <w:r w:rsidRPr="00913C78">
        <w:rPr>
          <w:rFonts w:hint="eastAsia"/>
        </w:rPr>
        <w:t>审查要点见附表</w:t>
      </w:r>
      <w:r w:rsidRPr="00913C78">
        <w:rPr>
          <w:rFonts w:hint="eastAsia"/>
        </w:rPr>
        <w:t>A.1.1</w:t>
      </w:r>
      <w:r w:rsidRPr="00913C78">
        <w:rPr>
          <w:rFonts w:hint="eastAsia"/>
        </w:rPr>
        <w:t>。</w:t>
      </w:r>
    </w:p>
    <w:p w14:paraId="4AA1D2A0" w14:textId="69E22532" w:rsidR="00913C78" w:rsidRPr="00913C78" w:rsidRDefault="00913C78" w:rsidP="00884668">
      <w:pPr>
        <w:pStyle w:val="ae"/>
      </w:pPr>
      <w:r w:rsidRPr="00913C78">
        <w:rPr>
          <w:rFonts w:hint="eastAsia"/>
        </w:rPr>
        <w:t>附表</w:t>
      </w:r>
      <w:r w:rsidRPr="00913C78">
        <w:rPr>
          <w:rFonts w:hint="eastAsia"/>
        </w:rPr>
        <w:t xml:space="preserve">A.1.1  </w:t>
      </w:r>
      <w:r w:rsidRPr="00913C78">
        <w:rPr>
          <w:rFonts w:hint="eastAsia"/>
        </w:rPr>
        <w:t>室外声环境数值分析报告专家判断表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bottom w:w="28" w:type="dxa"/>
          <w:right w:w="57" w:type="dxa"/>
        </w:tblCellMar>
        <w:tblLook w:val="04A0" w:firstRow="1" w:lastRow="0" w:firstColumn="1" w:lastColumn="0" w:noHBand="0" w:noVBand="1"/>
      </w:tblPr>
      <w:tblGrid>
        <w:gridCol w:w="570"/>
        <w:gridCol w:w="1224"/>
        <w:gridCol w:w="5794"/>
        <w:gridCol w:w="839"/>
      </w:tblGrid>
      <w:tr w:rsidR="00913C78" w:rsidRPr="00884668" w14:paraId="09D893C9" w14:textId="77777777" w:rsidTr="00E731D0">
        <w:trPr>
          <w:jc w:val="center"/>
        </w:trPr>
        <w:tc>
          <w:tcPr>
            <w:tcW w:w="338" w:type="pct"/>
            <w:shd w:val="clear" w:color="auto" w:fill="auto"/>
            <w:vAlign w:val="center"/>
            <w:hideMark/>
          </w:tcPr>
          <w:p w14:paraId="3D1A1892" w14:textId="77777777" w:rsidR="00913C78" w:rsidRPr="00884668" w:rsidRDefault="00913C78" w:rsidP="00884668">
            <w:pPr>
              <w:pStyle w:val="ae"/>
              <w:rPr>
                <w:b w:val="0"/>
                <w:bCs/>
              </w:rPr>
            </w:pPr>
            <w:r w:rsidRPr="00884668">
              <w:rPr>
                <w:rFonts w:hint="eastAsia"/>
                <w:b w:val="0"/>
                <w:bCs/>
              </w:rPr>
              <w:lastRenderedPageBreak/>
              <w:t>编号</w:t>
            </w:r>
          </w:p>
        </w:tc>
        <w:tc>
          <w:tcPr>
            <w:tcW w:w="726" w:type="pct"/>
            <w:shd w:val="clear" w:color="auto" w:fill="auto"/>
            <w:vAlign w:val="center"/>
            <w:hideMark/>
          </w:tcPr>
          <w:p w14:paraId="2D2D67B7" w14:textId="77777777" w:rsidR="00913C78" w:rsidRPr="00884668" w:rsidRDefault="00913C78" w:rsidP="00884668">
            <w:pPr>
              <w:pStyle w:val="ae"/>
              <w:rPr>
                <w:b w:val="0"/>
                <w:bCs/>
              </w:rPr>
            </w:pPr>
            <w:r w:rsidRPr="00884668">
              <w:rPr>
                <w:rFonts w:hint="eastAsia"/>
                <w:b w:val="0"/>
                <w:bCs/>
              </w:rPr>
              <w:t>审查要点</w:t>
            </w:r>
          </w:p>
        </w:tc>
        <w:tc>
          <w:tcPr>
            <w:tcW w:w="3438" w:type="pct"/>
            <w:shd w:val="clear" w:color="auto" w:fill="auto"/>
            <w:vAlign w:val="center"/>
            <w:hideMark/>
          </w:tcPr>
          <w:p w14:paraId="41F0A6AE" w14:textId="77777777" w:rsidR="00913C78" w:rsidRPr="00884668" w:rsidRDefault="00913C78" w:rsidP="00884668">
            <w:pPr>
              <w:pStyle w:val="af7"/>
              <w:jc w:val="center"/>
            </w:pPr>
            <w:r w:rsidRPr="00884668">
              <w:rPr>
                <w:rFonts w:hint="eastAsia"/>
              </w:rPr>
              <w:t>具体判断</w:t>
            </w:r>
          </w:p>
        </w:tc>
        <w:tc>
          <w:tcPr>
            <w:tcW w:w="498" w:type="pct"/>
            <w:shd w:val="clear" w:color="auto" w:fill="auto"/>
            <w:vAlign w:val="center"/>
            <w:hideMark/>
          </w:tcPr>
          <w:p w14:paraId="48373AD3" w14:textId="77777777" w:rsidR="00913C78" w:rsidRPr="00884668" w:rsidRDefault="00913C78" w:rsidP="00884668">
            <w:pPr>
              <w:pStyle w:val="ae"/>
              <w:rPr>
                <w:b w:val="0"/>
                <w:bCs/>
              </w:rPr>
            </w:pPr>
            <w:r w:rsidRPr="00884668">
              <w:rPr>
                <w:rFonts w:hint="eastAsia"/>
                <w:b w:val="0"/>
                <w:bCs/>
              </w:rPr>
              <w:t>是否满足</w:t>
            </w:r>
          </w:p>
        </w:tc>
      </w:tr>
      <w:tr w:rsidR="00913C78" w:rsidRPr="00884668" w14:paraId="31B51C0E" w14:textId="77777777" w:rsidTr="00E731D0">
        <w:trPr>
          <w:jc w:val="center"/>
        </w:trPr>
        <w:tc>
          <w:tcPr>
            <w:tcW w:w="338" w:type="pct"/>
            <w:shd w:val="clear" w:color="auto" w:fill="auto"/>
            <w:vAlign w:val="center"/>
            <w:hideMark/>
          </w:tcPr>
          <w:p w14:paraId="54AA4568" w14:textId="77777777" w:rsidR="00913C78" w:rsidRPr="00884668" w:rsidRDefault="00913C78" w:rsidP="00884668">
            <w:pPr>
              <w:pStyle w:val="ae"/>
              <w:rPr>
                <w:b w:val="0"/>
                <w:bCs/>
              </w:rPr>
            </w:pPr>
            <w:r w:rsidRPr="00884668">
              <w:rPr>
                <w:rFonts w:hint="eastAsia"/>
                <w:b w:val="0"/>
                <w:bCs/>
              </w:rPr>
              <w:t>1</w:t>
            </w:r>
          </w:p>
        </w:tc>
        <w:tc>
          <w:tcPr>
            <w:tcW w:w="726" w:type="pct"/>
            <w:shd w:val="clear" w:color="auto" w:fill="auto"/>
            <w:vAlign w:val="center"/>
            <w:hideMark/>
          </w:tcPr>
          <w:p w14:paraId="23359A3F" w14:textId="77777777" w:rsidR="00913C78" w:rsidRPr="00884668" w:rsidRDefault="00913C78" w:rsidP="00884668">
            <w:pPr>
              <w:pStyle w:val="ae"/>
              <w:rPr>
                <w:b w:val="0"/>
                <w:bCs/>
              </w:rPr>
            </w:pPr>
            <w:r w:rsidRPr="00884668">
              <w:rPr>
                <w:rFonts w:hint="eastAsia"/>
                <w:b w:val="0"/>
                <w:bCs/>
              </w:rPr>
              <w:t>数值分析依据</w:t>
            </w:r>
          </w:p>
        </w:tc>
        <w:tc>
          <w:tcPr>
            <w:tcW w:w="3438" w:type="pct"/>
            <w:shd w:val="clear" w:color="auto" w:fill="auto"/>
            <w:vAlign w:val="center"/>
            <w:hideMark/>
          </w:tcPr>
          <w:p w14:paraId="5A6B3934" w14:textId="77777777" w:rsidR="00913C78" w:rsidRPr="00884668" w:rsidRDefault="00913C78" w:rsidP="00884668">
            <w:pPr>
              <w:pStyle w:val="af7"/>
            </w:pPr>
            <w:r w:rsidRPr="00884668">
              <w:rPr>
                <w:rFonts w:hint="eastAsia"/>
              </w:rPr>
              <w:t>数值分析基础数据有可靠来源，写明基础数据及参考的数据资料</w:t>
            </w:r>
          </w:p>
        </w:tc>
        <w:tc>
          <w:tcPr>
            <w:tcW w:w="498" w:type="pct"/>
            <w:shd w:val="clear" w:color="auto" w:fill="auto"/>
            <w:vAlign w:val="center"/>
            <w:hideMark/>
          </w:tcPr>
          <w:p w14:paraId="5E7E6352" w14:textId="77777777" w:rsidR="00913C78" w:rsidRPr="00884668" w:rsidRDefault="00913C78" w:rsidP="00884668">
            <w:pPr>
              <w:pStyle w:val="ae"/>
              <w:rPr>
                <w:b w:val="0"/>
                <w:bCs/>
              </w:rPr>
            </w:pPr>
          </w:p>
        </w:tc>
      </w:tr>
      <w:tr w:rsidR="00913C78" w:rsidRPr="00884668" w14:paraId="3B98CF47" w14:textId="77777777" w:rsidTr="00E731D0">
        <w:trPr>
          <w:jc w:val="center"/>
        </w:trPr>
        <w:tc>
          <w:tcPr>
            <w:tcW w:w="338" w:type="pct"/>
            <w:shd w:val="clear" w:color="auto" w:fill="auto"/>
            <w:vAlign w:val="center"/>
          </w:tcPr>
          <w:p w14:paraId="0C0201B5" w14:textId="77777777" w:rsidR="00913C78" w:rsidRPr="00884668" w:rsidRDefault="00913C78" w:rsidP="00884668">
            <w:pPr>
              <w:pStyle w:val="ae"/>
              <w:rPr>
                <w:b w:val="0"/>
                <w:bCs/>
              </w:rPr>
            </w:pPr>
            <w:r w:rsidRPr="00884668">
              <w:rPr>
                <w:rFonts w:hint="eastAsia"/>
                <w:b w:val="0"/>
                <w:bCs/>
              </w:rPr>
              <w:t>2</w:t>
            </w:r>
          </w:p>
        </w:tc>
        <w:tc>
          <w:tcPr>
            <w:tcW w:w="726" w:type="pct"/>
            <w:shd w:val="clear" w:color="auto" w:fill="auto"/>
            <w:vAlign w:val="center"/>
          </w:tcPr>
          <w:p w14:paraId="44082E35" w14:textId="77777777" w:rsidR="00913C78" w:rsidRPr="00884668" w:rsidRDefault="00913C78" w:rsidP="00884668">
            <w:pPr>
              <w:pStyle w:val="ae"/>
              <w:rPr>
                <w:b w:val="0"/>
                <w:bCs/>
              </w:rPr>
            </w:pPr>
            <w:r w:rsidRPr="00884668">
              <w:rPr>
                <w:rFonts w:hint="eastAsia"/>
                <w:b w:val="0"/>
                <w:bCs/>
              </w:rPr>
              <w:t>计算</w:t>
            </w:r>
            <w:r w:rsidRPr="00884668">
              <w:rPr>
                <w:b w:val="0"/>
                <w:bCs/>
              </w:rPr>
              <w:t>方法</w:t>
            </w:r>
          </w:p>
        </w:tc>
        <w:tc>
          <w:tcPr>
            <w:tcW w:w="3438" w:type="pct"/>
            <w:shd w:val="clear" w:color="auto" w:fill="auto"/>
            <w:vAlign w:val="center"/>
          </w:tcPr>
          <w:p w14:paraId="08E17C9A" w14:textId="7BD81B8A" w:rsidR="00913C78" w:rsidRPr="00884668" w:rsidRDefault="00913C78" w:rsidP="00AC2900">
            <w:pPr>
              <w:pStyle w:val="af7"/>
            </w:pPr>
            <w:r w:rsidRPr="00884668">
              <w:rPr>
                <w:rFonts w:hint="eastAsia"/>
              </w:rPr>
              <w:t>以</w:t>
            </w:r>
            <m:oMath>
              <m:sSub>
                <m:sSubPr>
                  <m:ctrlPr>
                    <w:rPr>
                      <w:rFonts w:ascii="Cambria Math" w:hAnsi="Cambria Math"/>
                      <w:i/>
                      <w:noProof/>
                    </w:rPr>
                  </m:ctrlPr>
                </m:sSubPr>
                <m:e>
                  <m:r>
                    <w:rPr>
                      <w:rFonts w:ascii="Cambria Math"/>
                      <w:noProof/>
                    </w:rPr>
                    <m:t>L</m:t>
                  </m:r>
                </m:e>
                <m:sub>
                  <m:r>
                    <w:rPr>
                      <w:rFonts w:ascii="Cambria Math"/>
                      <w:noProof/>
                    </w:rPr>
                    <m:t>T</m:t>
                  </m:r>
                </m:sub>
              </m:sSub>
              <m:r>
                <w:rPr>
                  <w:rFonts w:ascii="Cambria Math"/>
                  <w:noProof/>
                </w:rPr>
                <m:t>(</m:t>
              </m:r>
              <m:r>
                <m:rPr>
                  <m:nor/>
                </m:rPr>
                <w:rPr>
                  <w:rFonts w:ascii="Cambria Math"/>
                  <w:noProof/>
                </w:rPr>
                <m:t>DW</m:t>
              </m:r>
              <m:r>
                <m:rPr>
                  <m:sty m:val="p"/>
                </m:rPr>
                <w:rPr>
                  <w:rFonts w:ascii="Cambria Math"/>
                  <w:noProof/>
                </w:rPr>
                <m:t>)=</m:t>
              </m:r>
              <m:sSub>
                <m:sSubPr>
                  <m:ctrlPr>
                    <w:rPr>
                      <w:rFonts w:ascii="Cambria Math" w:hAnsi="Cambria Math"/>
                      <w:noProof/>
                    </w:rPr>
                  </m:ctrlPr>
                </m:sSubPr>
                <m:e>
                  <m:r>
                    <w:rPr>
                      <w:rFonts w:ascii="Cambria Math"/>
                      <w:noProof/>
                    </w:rPr>
                    <m:t>L</m:t>
                  </m:r>
                </m:e>
                <m:sub>
                  <m:r>
                    <w:rPr>
                      <w:rFonts w:ascii="Cambria Math"/>
                      <w:noProof/>
                    </w:rPr>
                    <m:t>W</m:t>
                  </m:r>
                  <m:ctrlPr>
                    <w:rPr>
                      <w:rFonts w:ascii="Cambria Math" w:hAnsi="Cambria Math"/>
                      <w:i/>
                      <w:noProof/>
                    </w:rPr>
                  </m:ctrlPr>
                </m:sub>
              </m:sSub>
              <m:r>
                <w:rPr>
                  <w:rFonts w:ascii="Cambria Math"/>
                  <w:noProof/>
                </w:rPr>
                <m:t>+</m:t>
              </m:r>
              <m:sSub>
                <m:sSubPr>
                  <m:ctrlPr>
                    <w:rPr>
                      <w:rFonts w:ascii="Cambria Math" w:hAnsi="Cambria Math"/>
                      <w:i/>
                      <w:noProof/>
                    </w:rPr>
                  </m:ctrlPr>
                </m:sSubPr>
                <m:e>
                  <m:r>
                    <w:rPr>
                      <w:rFonts w:ascii="Cambria Math"/>
                      <w:noProof/>
                    </w:rPr>
                    <m:t>D</m:t>
                  </m:r>
                </m:e>
                <m:sub>
                  <m:r>
                    <w:rPr>
                      <w:rFonts w:ascii="Cambria Math"/>
                      <w:noProof/>
                    </w:rPr>
                    <m:t>C</m:t>
                  </m:r>
                </m:sub>
              </m:sSub>
              <m:r>
                <w:rPr>
                  <w:rFonts w:ascii="Cambria Math"/>
                  <w:noProof/>
                </w:rPr>
                <m:t>-</m:t>
              </m:r>
              <m:r>
                <w:rPr>
                  <w:rFonts w:ascii="Cambria Math"/>
                  <w:noProof/>
                </w:rPr>
                <m:t>A</m:t>
              </m:r>
            </m:oMath>
            <w:r w:rsidRPr="00884668">
              <w:rPr>
                <w:rFonts w:hint="eastAsia"/>
              </w:rPr>
              <w:t>为基本计算方法进行</w:t>
            </w:r>
            <w:r w:rsidRPr="00884668">
              <w:t>模拟计算</w:t>
            </w:r>
          </w:p>
        </w:tc>
        <w:tc>
          <w:tcPr>
            <w:tcW w:w="498" w:type="pct"/>
            <w:shd w:val="clear" w:color="auto" w:fill="auto"/>
            <w:vAlign w:val="center"/>
          </w:tcPr>
          <w:p w14:paraId="4D75CF26" w14:textId="77777777" w:rsidR="00913C78" w:rsidRPr="00884668" w:rsidRDefault="00913C78" w:rsidP="00884668">
            <w:pPr>
              <w:pStyle w:val="ae"/>
              <w:rPr>
                <w:b w:val="0"/>
                <w:bCs/>
              </w:rPr>
            </w:pPr>
          </w:p>
        </w:tc>
      </w:tr>
      <w:tr w:rsidR="00913C78" w:rsidRPr="00884668" w14:paraId="65E2EEBF" w14:textId="77777777" w:rsidTr="00E731D0">
        <w:trPr>
          <w:jc w:val="center"/>
        </w:trPr>
        <w:tc>
          <w:tcPr>
            <w:tcW w:w="338" w:type="pct"/>
            <w:shd w:val="clear" w:color="auto" w:fill="auto"/>
            <w:vAlign w:val="center"/>
          </w:tcPr>
          <w:p w14:paraId="7054B4E6" w14:textId="77777777" w:rsidR="00913C78" w:rsidRPr="00884668" w:rsidRDefault="00913C78" w:rsidP="00884668">
            <w:pPr>
              <w:pStyle w:val="ae"/>
              <w:rPr>
                <w:b w:val="0"/>
                <w:bCs/>
              </w:rPr>
            </w:pPr>
            <w:r w:rsidRPr="00884668">
              <w:rPr>
                <w:rFonts w:hint="eastAsia"/>
                <w:b w:val="0"/>
                <w:bCs/>
              </w:rPr>
              <w:t>3</w:t>
            </w:r>
          </w:p>
        </w:tc>
        <w:tc>
          <w:tcPr>
            <w:tcW w:w="726" w:type="pct"/>
            <w:shd w:val="clear" w:color="auto" w:fill="auto"/>
            <w:vAlign w:val="center"/>
          </w:tcPr>
          <w:p w14:paraId="7CACE126" w14:textId="77777777" w:rsidR="00913C78" w:rsidRPr="00884668" w:rsidRDefault="00913C78" w:rsidP="00884668">
            <w:pPr>
              <w:pStyle w:val="ae"/>
              <w:rPr>
                <w:b w:val="0"/>
                <w:bCs/>
              </w:rPr>
            </w:pPr>
            <w:r w:rsidRPr="00884668">
              <w:rPr>
                <w:rFonts w:hint="eastAsia"/>
                <w:b w:val="0"/>
                <w:bCs/>
              </w:rPr>
              <w:t>模型选取</w:t>
            </w:r>
          </w:p>
        </w:tc>
        <w:tc>
          <w:tcPr>
            <w:tcW w:w="3438" w:type="pct"/>
            <w:shd w:val="clear" w:color="auto" w:fill="auto"/>
            <w:vAlign w:val="center"/>
          </w:tcPr>
          <w:p w14:paraId="0F4669EA" w14:textId="77777777" w:rsidR="00913C78" w:rsidRPr="00884668" w:rsidRDefault="00913C78" w:rsidP="00884668">
            <w:pPr>
              <w:pStyle w:val="af7"/>
            </w:pPr>
            <w:r w:rsidRPr="00884668">
              <w:rPr>
                <w:rFonts w:hint="eastAsia"/>
              </w:rPr>
              <w:t>计算模型应满足《声学</w:t>
            </w:r>
            <w:r w:rsidRPr="00884668">
              <w:rPr>
                <w:rFonts w:hint="eastAsia"/>
              </w:rPr>
              <w:t xml:space="preserve"> </w:t>
            </w:r>
            <w:r w:rsidRPr="00884668">
              <w:rPr>
                <w:rFonts w:hint="eastAsia"/>
              </w:rPr>
              <w:t>户外声传播衰减第</w:t>
            </w:r>
            <w:r w:rsidRPr="00884668">
              <w:rPr>
                <w:rFonts w:hint="eastAsia"/>
              </w:rPr>
              <w:t>2</w:t>
            </w:r>
            <w:r w:rsidRPr="00884668">
              <w:rPr>
                <w:rFonts w:hint="eastAsia"/>
              </w:rPr>
              <w:t>部分</w:t>
            </w:r>
            <w:r w:rsidRPr="00884668">
              <w:rPr>
                <w:rFonts w:hint="eastAsia"/>
              </w:rPr>
              <w:t xml:space="preserve"> </w:t>
            </w:r>
            <w:r w:rsidRPr="00884668">
              <w:rPr>
                <w:rFonts w:hint="eastAsia"/>
              </w:rPr>
              <w:t>一般计算方法》（</w:t>
            </w:r>
            <w:r w:rsidRPr="00884668">
              <w:rPr>
                <w:rFonts w:hint="eastAsia"/>
              </w:rPr>
              <w:t>GB/T 17247.2</w:t>
            </w:r>
            <w:r w:rsidRPr="00884668">
              <w:rPr>
                <w:rFonts w:hint="eastAsia"/>
              </w:rPr>
              <w:t>—</w:t>
            </w:r>
            <w:r w:rsidRPr="00884668">
              <w:rPr>
                <w:rFonts w:hint="eastAsia"/>
              </w:rPr>
              <w:t>1998</w:t>
            </w:r>
            <w:r w:rsidRPr="00884668">
              <w:rPr>
                <w:rFonts w:hint="eastAsia"/>
              </w:rPr>
              <w:t>）、《环境影响评价技术导则</w:t>
            </w:r>
            <w:r w:rsidRPr="00884668">
              <w:rPr>
                <w:rFonts w:hint="eastAsia"/>
              </w:rPr>
              <w:t xml:space="preserve"> </w:t>
            </w:r>
            <w:r w:rsidRPr="00884668">
              <w:rPr>
                <w:rFonts w:hint="eastAsia"/>
              </w:rPr>
              <w:t>声环境》（</w:t>
            </w:r>
            <w:r w:rsidRPr="00884668">
              <w:rPr>
                <w:rFonts w:hint="eastAsia"/>
              </w:rPr>
              <w:t>HJ 2.4</w:t>
            </w:r>
            <w:r w:rsidRPr="00884668">
              <w:rPr>
                <w:rFonts w:hint="eastAsia"/>
              </w:rPr>
              <w:t>—</w:t>
            </w:r>
            <w:r w:rsidRPr="00884668">
              <w:rPr>
                <w:rFonts w:hint="eastAsia"/>
              </w:rPr>
              <w:t>2009</w:t>
            </w:r>
            <w:r w:rsidRPr="00884668">
              <w:rPr>
                <w:rFonts w:hint="eastAsia"/>
              </w:rPr>
              <w:t>）、《环境影响评价技术导则</w:t>
            </w:r>
            <w:r w:rsidRPr="00884668">
              <w:rPr>
                <w:rFonts w:hint="eastAsia"/>
              </w:rPr>
              <w:t xml:space="preserve"> </w:t>
            </w:r>
            <w:r w:rsidRPr="00884668">
              <w:rPr>
                <w:rFonts w:hint="eastAsia"/>
              </w:rPr>
              <w:t>城市轨道交通》（</w:t>
            </w:r>
            <w:r w:rsidRPr="00884668">
              <w:rPr>
                <w:rFonts w:hint="eastAsia"/>
              </w:rPr>
              <w:t>HJ 453</w:t>
            </w:r>
            <w:r w:rsidRPr="00884668">
              <w:rPr>
                <w:rFonts w:hint="eastAsia"/>
              </w:rPr>
              <w:t>—</w:t>
            </w:r>
            <w:r w:rsidRPr="00884668">
              <w:rPr>
                <w:rFonts w:hint="eastAsia"/>
              </w:rPr>
              <w:t>2018</w:t>
            </w:r>
            <w:r w:rsidRPr="00884668">
              <w:rPr>
                <w:rFonts w:hint="eastAsia"/>
              </w:rPr>
              <w:t>）等现行国内标准或规范的要求，不满足时采用校核修正的方法校验预测模型的适用性</w:t>
            </w:r>
          </w:p>
        </w:tc>
        <w:tc>
          <w:tcPr>
            <w:tcW w:w="498" w:type="pct"/>
            <w:shd w:val="clear" w:color="auto" w:fill="auto"/>
            <w:vAlign w:val="center"/>
          </w:tcPr>
          <w:p w14:paraId="1B59FA45" w14:textId="77777777" w:rsidR="00913C78" w:rsidRPr="00884668" w:rsidRDefault="00913C78" w:rsidP="00884668">
            <w:pPr>
              <w:pStyle w:val="ae"/>
              <w:rPr>
                <w:b w:val="0"/>
                <w:bCs/>
              </w:rPr>
            </w:pPr>
          </w:p>
        </w:tc>
      </w:tr>
      <w:tr w:rsidR="00913C78" w:rsidRPr="00884668" w14:paraId="34E3B81B" w14:textId="77777777" w:rsidTr="00E731D0">
        <w:trPr>
          <w:jc w:val="center"/>
        </w:trPr>
        <w:tc>
          <w:tcPr>
            <w:tcW w:w="338" w:type="pct"/>
            <w:vMerge w:val="restart"/>
            <w:shd w:val="clear" w:color="auto" w:fill="auto"/>
            <w:vAlign w:val="center"/>
          </w:tcPr>
          <w:p w14:paraId="4DEE12BE" w14:textId="77777777" w:rsidR="00913C78" w:rsidRPr="00884668" w:rsidRDefault="00913C78" w:rsidP="00884668">
            <w:pPr>
              <w:pStyle w:val="ae"/>
              <w:rPr>
                <w:b w:val="0"/>
                <w:bCs/>
              </w:rPr>
            </w:pPr>
            <w:r w:rsidRPr="00884668">
              <w:rPr>
                <w:b w:val="0"/>
                <w:bCs/>
              </w:rPr>
              <w:t>4</w:t>
            </w:r>
          </w:p>
        </w:tc>
        <w:tc>
          <w:tcPr>
            <w:tcW w:w="726" w:type="pct"/>
            <w:vMerge w:val="restart"/>
            <w:shd w:val="clear" w:color="auto" w:fill="auto"/>
            <w:vAlign w:val="center"/>
            <w:hideMark/>
          </w:tcPr>
          <w:p w14:paraId="4151D871" w14:textId="77777777" w:rsidR="00913C78" w:rsidRPr="00884668" w:rsidRDefault="00913C78" w:rsidP="00884668">
            <w:pPr>
              <w:pStyle w:val="ae"/>
              <w:rPr>
                <w:b w:val="0"/>
                <w:bCs/>
              </w:rPr>
            </w:pPr>
            <w:r w:rsidRPr="00884668">
              <w:rPr>
                <w:rFonts w:hint="eastAsia"/>
                <w:b w:val="0"/>
                <w:bCs/>
              </w:rPr>
              <w:t>计算区域</w:t>
            </w:r>
          </w:p>
        </w:tc>
        <w:tc>
          <w:tcPr>
            <w:tcW w:w="3438" w:type="pct"/>
            <w:shd w:val="clear" w:color="auto" w:fill="auto"/>
            <w:vAlign w:val="center"/>
            <w:hideMark/>
          </w:tcPr>
          <w:p w14:paraId="7BE94395" w14:textId="77777777" w:rsidR="00913C78" w:rsidRPr="00884668" w:rsidRDefault="00913C78" w:rsidP="00884668">
            <w:pPr>
              <w:pStyle w:val="af7"/>
            </w:pPr>
            <w:r w:rsidRPr="00884668">
              <w:rPr>
                <w:rFonts w:hint="eastAsia"/>
              </w:rPr>
              <w:t>建模时应考虑声源和遮挡物两部分</w:t>
            </w:r>
          </w:p>
        </w:tc>
        <w:tc>
          <w:tcPr>
            <w:tcW w:w="498" w:type="pct"/>
            <w:shd w:val="clear" w:color="auto" w:fill="auto"/>
            <w:vAlign w:val="center"/>
            <w:hideMark/>
          </w:tcPr>
          <w:p w14:paraId="3ED2B7D8" w14:textId="77777777" w:rsidR="00913C78" w:rsidRPr="00884668" w:rsidRDefault="00913C78" w:rsidP="00884668">
            <w:pPr>
              <w:pStyle w:val="ae"/>
              <w:rPr>
                <w:b w:val="0"/>
                <w:bCs/>
              </w:rPr>
            </w:pPr>
          </w:p>
        </w:tc>
      </w:tr>
      <w:tr w:rsidR="00913C78" w:rsidRPr="00884668" w14:paraId="1419B328" w14:textId="77777777" w:rsidTr="00E731D0">
        <w:trPr>
          <w:jc w:val="center"/>
        </w:trPr>
        <w:tc>
          <w:tcPr>
            <w:tcW w:w="338" w:type="pct"/>
            <w:vMerge/>
            <w:shd w:val="clear" w:color="auto" w:fill="auto"/>
            <w:vAlign w:val="center"/>
          </w:tcPr>
          <w:p w14:paraId="1F1AA719" w14:textId="77777777" w:rsidR="00913C78" w:rsidRPr="00884668" w:rsidRDefault="00913C78" w:rsidP="00884668">
            <w:pPr>
              <w:pStyle w:val="ae"/>
              <w:rPr>
                <w:b w:val="0"/>
                <w:bCs/>
              </w:rPr>
            </w:pPr>
          </w:p>
        </w:tc>
        <w:tc>
          <w:tcPr>
            <w:tcW w:w="726" w:type="pct"/>
            <w:vMerge/>
            <w:shd w:val="clear" w:color="auto" w:fill="auto"/>
            <w:vAlign w:val="center"/>
          </w:tcPr>
          <w:p w14:paraId="5C8921E7" w14:textId="77777777" w:rsidR="00913C78" w:rsidRPr="00884668" w:rsidRDefault="00913C78" w:rsidP="00884668">
            <w:pPr>
              <w:pStyle w:val="ae"/>
              <w:rPr>
                <w:b w:val="0"/>
                <w:bCs/>
              </w:rPr>
            </w:pPr>
          </w:p>
        </w:tc>
        <w:tc>
          <w:tcPr>
            <w:tcW w:w="3438" w:type="pct"/>
            <w:shd w:val="clear" w:color="auto" w:fill="auto"/>
            <w:vAlign w:val="center"/>
          </w:tcPr>
          <w:p w14:paraId="13E68120" w14:textId="77777777" w:rsidR="00913C78" w:rsidRPr="00884668" w:rsidRDefault="00913C78" w:rsidP="00884668">
            <w:pPr>
              <w:pStyle w:val="af7"/>
            </w:pPr>
            <w:r w:rsidRPr="00884668">
              <w:rPr>
                <w:rFonts w:hint="eastAsia"/>
              </w:rPr>
              <w:t>建模应包含目标建筑场所及其边界外</w:t>
            </w:r>
            <w:r w:rsidRPr="00884668">
              <w:rPr>
                <w:rFonts w:hint="eastAsia"/>
              </w:rPr>
              <w:t>200m</w:t>
            </w:r>
            <w:r w:rsidRPr="00884668">
              <w:rPr>
                <w:rFonts w:hint="eastAsia"/>
              </w:rPr>
              <w:t>范围，当边界外</w:t>
            </w:r>
            <w:r w:rsidRPr="00884668">
              <w:rPr>
                <w:rFonts w:hint="eastAsia"/>
              </w:rPr>
              <w:t>200</w:t>
            </w:r>
            <w:r w:rsidRPr="00884668">
              <w:rPr>
                <w:rFonts w:hint="eastAsia"/>
              </w:rPr>
              <w:t>～</w:t>
            </w:r>
            <w:r w:rsidRPr="00884668">
              <w:rPr>
                <w:rFonts w:hint="eastAsia"/>
              </w:rPr>
              <w:t>500m</w:t>
            </w:r>
            <w:r w:rsidRPr="00884668">
              <w:rPr>
                <w:rFonts w:hint="eastAsia"/>
              </w:rPr>
              <w:t>内有噪声影响较大的声源时，建模范围应扩大至包含此类声源。机场或飞机噪声应根据其影响情况确定范围</w:t>
            </w:r>
          </w:p>
        </w:tc>
        <w:tc>
          <w:tcPr>
            <w:tcW w:w="498" w:type="pct"/>
            <w:shd w:val="clear" w:color="auto" w:fill="auto"/>
            <w:vAlign w:val="center"/>
          </w:tcPr>
          <w:p w14:paraId="0CF452D0" w14:textId="77777777" w:rsidR="00913C78" w:rsidRPr="00884668" w:rsidRDefault="00913C78" w:rsidP="00884668">
            <w:pPr>
              <w:pStyle w:val="ae"/>
              <w:rPr>
                <w:b w:val="0"/>
                <w:bCs/>
              </w:rPr>
            </w:pPr>
          </w:p>
        </w:tc>
      </w:tr>
      <w:tr w:rsidR="00E731D0" w:rsidRPr="00884668" w14:paraId="21B08B8B" w14:textId="77777777" w:rsidTr="00E731D0">
        <w:trPr>
          <w:jc w:val="center"/>
        </w:trPr>
        <w:tc>
          <w:tcPr>
            <w:tcW w:w="338" w:type="pct"/>
            <w:vMerge w:val="restart"/>
            <w:shd w:val="clear" w:color="auto" w:fill="auto"/>
            <w:vAlign w:val="center"/>
          </w:tcPr>
          <w:p w14:paraId="1080326C" w14:textId="4F52A73C" w:rsidR="00E731D0" w:rsidRPr="00884668" w:rsidRDefault="00E731D0" w:rsidP="00E731D0">
            <w:pPr>
              <w:pStyle w:val="ae"/>
              <w:rPr>
                <w:b w:val="0"/>
                <w:bCs/>
              </w:rPr>
            </w:pPr>
            <w:r w:rsidRPr="00884668">
              <w:rPr>
                <w:b w:val="0"/>
                <w:bCs/>
              </w:rPr>
              <w:t>5</w:t>
            </w:r>
          </w:p>
        </w:tc>
        <w:tc>
          <w:tcPr>
            <w:tcW w:w="726" w:type="pct"/>
            <w:vMerge w:val="restart"/>
            <w:shd w:val="clear" w:color="auto" w:fill="auto"/>
            <w:vAlign w:val="center"/>
          </w:tcPr>
          <w:p w14:paraId="211B06F1" w14:textId="3917F8CF" w:rsidR="00E731D0" w:rsidRPr="00884668" w:rsidRDefault="00E731D0" w:rsidP="00E731D0">
            <w:pPr>
              <w:pStyle w:val="ae"/>
              <w:rPr>
                <w:b w:val="0"/>
                <w:bCs/>
              </w:rPr>
            </w:pPr>
            <w:r w:rsidRPr="00884668">
              <w:rPr>
                <w:rFonts w:hint="eastAsia"/>
                <w:b w:val="0"/>
                <w:bCs/>
              </w:rPr>
              <w:t>声源简化</w:t>
            </w:r>
          </w:p>
        </w:tc>
        <w:tc>
          <w:tcPr>
            <w:tcW w:w="3438" w:type="pct"/>
            <w:shd w:val="clear" w:color="auto" w:fill="auto"/>
            <w:vAlign w:val="center"/>
          </w:tcPr>
          <w:p w14:paraId="24E61DC0" w14:textId="67B0E7E7" w:rsidR="00E731D0" w:rsidRPr="00884668" w:rsidRDefault="00E731D0" w:rsidP="00E731D0">
            <w:pPr>
              <w:pStyle w:val="af7"/>
            </w:pPr>
            <w:r w:rsidRPr="00884668">
              <w:rPr>
                <w:rFonts w:hint="eastAsia"/>
              </w:rPr>
              <w:t>声源中心到预测点之间的距离超过声源最大几何尺寸</w:t>
            </w:r>
            <w:r w:rsidRPr="00884668">
              <w:rPr>
                <w:rFonts w:hint="eastAsia"/>
              </w:rPr>
              <w:t>2</w:t>
            </w:r>
            <w:r w:rsidRPr="00884668">
              <w:rPr>
                <w:rFonts w:hint="eastAsia"/>
              </w:rPr>
              <w:t>倍时，可将该声源近似为点声源</w:t>
            </w:r>
          </w:p>
        </w:tc>
        <w:tc>
          <w:tcPr>
            <w:tcW w:w="498" w:type="pct"/>
            <w:shd w:val="clear" w:color="auto" w:fill="auto"/>
            <w:vAlign w:val="center"/>
          </w:tcPr>
          <w:p w14:paraId="2B100C31" w14:textId="77777777" w:rsidR="00E731D0" w:rsidRPr="00884668" w:rsidRDefault="00E731D0" w:rsidP="00E731D0">
            <w:pPr>
              <w:pStyle w:val="ae"/>
              <w:rPr>
                <w:b w:val="0"/>
                <w:bCs/>
              </w:rPr>
            </w:pPr>
          </w:p>
        </w:tc>
      </w:tr>
      <w:tr w:rsidR="00E731D0" w:rsidRPr="00884668" w14:paraId="35B38C87" w14:textId="77777777" w:rsidTr="00E731D0">
        <w:trPr>
          <w:jc w:val="center"/>
        </w:trPr>
        <w:tc>
          <w:tcPr>
            <w:tcW w:w="338" w:type="pct"/>
            <w:vMerge/>
            <w:shd w:val="clear" w:color="auto" w:fill="auto"/>
            <w:vAlign w:val="center"/>
          </w:tcPr>
          <w:p w14:paraId="23B7362A" w14:textId="4633E12F" w:rsidR="00E731D0" w:rsidRPr="00884668" w:rsidRDefault="00E731D0" w:rsidP="00E731D0">
            <w:pPr>
              <w:pStyle w:val="ae"/>
              <w:rPr>
                <w:b w:val="0"/>
                <w:bCs/>
              </w:rPr>
            </w:pPr>
          </w:p>
        </w:tc>
        <w:tc>
          <w:tcPr>
            <w:tcW w:w="726" w:type="pct"/>
            <w:vMerge/>
            <w:shd w:val="clear" w:color="auto" w:fill="auto"/>
            <w:vAlign w:val="center"/>
          </w:tcPr>
          <w:p w14:paraId="46A5A906" w14:textId="77777777" w:rsidR="00E731D0" w:rsidRPr="00884668" w:rsidRDefault="00E731D0" w:rsidP="00E731D0">
            <w:pPr>
              <w:pStyle w:val="ae"/>
              <w:rPr>
                <w:b w:val="0"/>
                <w:bCs/>
              </w:rPr>
            </w:pPr>
          </w:p>
        </w:tc>
        <w:tc>
          <w:tcPr>
            <w:tcW w:w="3438" w:type="pct"/>
            <w:shd w:val="clear" w:color="auto" w:fill="auto"/>
            <w:vAlign w:val="center"/>
          </w:tcPr>
          <w:p w14:paraId="5C5214C2" w14:textId="4422E0B3" w:rsidR="00E731D0" w:rsidRPr="00884668" w:rsidRDefault="00E731D0" w:rsidP="00E731D0">
            <w:pPr>
              <w:pStyle w:val="af7"/>
            </w:pPr>
            <w:r w:rsidRPr="00884668">
              <w:rPr>
                <w:rFonts w:hint="eastAsia"/>
              </w:rPr>
              <w:t>公路、铁路、轨道交通或者输送管道、运输路线等产生的噪声，分析时可将其看作由许多点声源连成一线组成的线状声源，可模拟为线声源</w:t>
            </w:r>
          </w:p>
        </w:tc>
        <w:tc>
          <w:tcPr>
            <w:tcW w:w="498" w:type="pct"/>
            <w:shd w:val="clear" w:color="auto" w:fill="auto"/>
            <w:vAlign w:val="center"/>
          </w:tcPr>
          <w:p w14:paraId="53F33E8D" w14:textId="77777777" w:rsidR="00E731D0" w:rsidRPr="00884668" w:rsidRDefault="00E731D0" w:rsidP="00E731D0">
            <w:pPr>
              <w:pStyle w:val="ae"/>
              <w:rPr>
                <w:b w:val="0"/>
                <w:bCs/>
              </w:rPr>
            </w:pPr>
          </w:p>
        </w:tc>
      </w:tr>
      <w:tr w:rsidR="00E731D0" w:rsidRPr="00884668" w14:paraId="4C8E3CBE" w14:textId="77777777" w:rsidTr="00E731D0">
        <w:trPr>
          <w:jc w:val="center"/>
        </w:trPr>
        <w:tc>
          <w:tcPr>
            <w:tcW w:w="338" w:type="pct"/>
            <w:vMerge/>
            <w:shd w:val="clear" w:color="auto" w:fill="auto"/>
            <w:vAlign w:val="center"/>
          </w:tcPr>
          <w:p w14:paraId="1FEE7A71" w14:textId="3119EE55" w:rsidR="00E731D0" w:rsidRPr="00884668" w:rsidRDefault="00E731D0" w:rsidP="00E731D0">
            <w:pPr>
              <w:pStyle w:val="ae"/>
              <w:rPr>
                <w:b w:val="0"/>
                <w:bCs/>
              </w:rPr>
            </w:pPr>
          </w:p>
        </w:tc>
        <w:tc>
          <w:tcPr>
            <w:tcW w:w="726" w:type="pct"/>
            <w:vMerge/>
            <w:shd w:val="clear" w:color="auto" w:fill="auto"/>
            <w:vAlign w:val="center"/>
          </w:tcPr>
          <w:p w14:paraId="1ADC0D1B" w14:textId="77777777" w:rsidR="00E731D0" w:rsidRPr="00884668" w:rsidRDefault="00E731D0" w:rsidP="00E731D0">
            <w:pPr>
              <w:pStyle w:val="ae"/>
              <w:rPr>
                <w:b w:val="0"/>
                <w:bCs/>
              </w:rPr>
            </w:pPr>
          </w:p>
        </w:tc>
        <w:tc>
          <w:tcPr>
            <w:tcW w:w="3438" w:type="pct"/>
            <w:shd w:val="clear" w:color="auto" w:fill="auto"/>
            <w:vAlign w:val="center"/>
          </w:tcPr>
          <w:p w14:paraId="06EF864D" w14:textId="07BD32F2" w:rsidR="00E731D0" w:rsidRPr="00884668" w:rsidRDefault="00E731D0" w:rsidP="00E731D0">
            <w:pPr>
              <w:pStyle w:val="af7"/>
            </w:pPr>
            <w:r w:rsidRPr="00884668">
              <w:rPr>
                <w:rFonts w:hint="eastAsia"/>
              </w:rPr>
              <w:t>当声源中心到预测点之间的距离小于声源最大几何尺寸</w:t>
            </w:r>
            <w:r w:rsidRPr="00884668">
              <w:rPr>
                <w:rFonts w:hint="eastAsia"/>
              </w:rPr>
              <w:t>3</w:t>
            </w:r>
            <w:r w:rsidRPr="00884668">
              <w:rPr>
                <w:rFonts w:hint="eastAsia"/>
              </w:rPr>
              <w:t>倍时，该声源宜用面声源模拟</w:t>
            </w:r>
          </w:p>
        </w:tc>
        <w:tc>
          <w:tcPr>
            <w:tcW w:w="498" w:type="pct"/>
            <w:shd w:val="clear" w:color="auto" w:fill="auto"/>
            <w:vAlign w:val="center"/>
          </w:tcPr>
          <w:p w14:paraId="2DFFE202" w14:textId="77777777" w:rsidR="00E731D0" w:rsidRPr="00884668" w:rsidRDefault="00E731D0" w:rsidP="00E731D0">
            <w:pPr>
              <w:pStyle w:val="ae"/>
              <w:rPr>
                <w:b w:val="0"/>
                <w:bCs/>
              </w:rPr>
            </w:pPr>
          </w:p>
        </w:tc>
      </w:tr>
      <w:tr w:rsidR="00E731D0" w:rsidRPr="00884668" w14:paraId="4EC2039B" w14:textId="77777777" w:rsidTr="00E731D0">
        <w:trPr>
          <w:jc w:val="center"/>
        </w:trPr>
        <w:tc>
          <w:tcPr>
            <w:tcW w:w="338" w:type="pct"/>
            <w:vMerge/>
            <w:shd w:val="clear" w:color="auto" w:fill="auto"/>
            <w:vAlign w:val="center"/>
          </w:tcPr>
          <w:p w14:paraId="4E87C5C6" w14:textId="77777777" w:rsidR="00E731D0" w:rsidRPr="00884668" w:rsidRDefault="00E731D0" w:rsidP="00E731D0">
            <w:pPr>
              <w:pStyle w:val="ae"/>
              <w:rPr>
                <w:b w:val="0"/>
                <w:bCs/>
              </w:rPr>
            </w:pPr>
          </w:p>
        </w:tc>
        <w:tc>
          <w:tcPr>
            <w:tcW w:w="726" w:type="pct"/>
            <w:vMerge/>
            <w:shd w:val="clear" w:color="auto" w:fill="auto"/>
            <w:vAlign w:val="center"/>
          </w:tcPr>
          <w:p w14:paraId="49BB102D" w14:textId="77777777" w:rsidR="00E731D0" w:rsidRPr="00884668" w:rsidRDefault="00E731D0" w:rsidP="00E731D0">
            <w:pPr>
              <w:pStyle w:val="ae"/>
              <w:rPr>
                <w:b w:val="0"/>
                <w:bCs/>
              </w:rPr>
            </w:pPr>
          </w:p>
        </w:tc>
        <w:tc>
          <w:tcPr>
            <w:tcW w:w="3438" w:type="pct"/>
            <w:shd w:val="clear" w:color="auto" w:fill="auto"/>
            <w:vAlign w:val="center"/>
          </w:tcPr>
          <w:p w14:paraId="2868609F" w14:textId="04112010" w:rsidR="00E731D0" w:rsidRPr="00884668" w:rsidRDefault="00E731D0" w:rsidP="00E731D0">
            <w:pPr>
              <w:pStyle w:val="af7"/>
            </w:pPr>
            <w:r w:rsidRPr="00884668">
              <w:rPr>
                <w:rFonts w:hint="eastAsia"/>
              </w:rPr>
              <w:t>位于建筑物室内的声源，产生的噪声经室内多次反射后经建筑的围护结构向外传播，应将建筑围护结构作为声源，计算其对外环境的影响，围护结构声源的等效方法同上</w:t>
            </w:r>
          </w:p>
        </w:tc>
        <w:tc>
          <w:tcPr>
            <w:tcW w:w="498" w:type="pct"/>
            <w:shd w:val="clear" w:color="auto" w:fill="auto"/>
            <w:vAlign w:val="center"/>
          </w:tcPr>
          <w:p w14:paraId="474F782C" w14:textId="77777777" w:rsidR="00E731D0" w:rsidRPr="00884668" w:rsidRDefault="00E731D0" w:rsidP="00E731D0">
            <w:pPr>
              <w:pStyle w:val="ae"/>
              <w:rPr>
                <w:b w:val="0"/>
                <w:bCs/>
              </w:rPr>
            </w:pPr>
          </w:p>
        </w:tc>
      </w:tr>
      <w:tr w:rsidR="00E731D0" w:rsidRPr="00884668" w14:paraId="4E2EBFDF" w14:textId="77777777" w:rsidTr="00E731D0">
        <w:trPr>
          <w:jc w:val="center"/>
        </w:trPr>
        <w:tc>
          <w:tcPr>
            <w:tcW w:w="338" w:type="pct"/>
            <w:shd w:val="clear" w:color="auto" w:fill="auto"/>
            <w:vAlign w:val="center"/>
          </w:tcPr>
          <w:p w14:paraId="5BA62108" w14:textId="72839AA9" w:rsidR="00E731D0" w:rsidRPr="00884668" w:rsidRDefault="00E731D0" w:rsidP="00E731D0">
            <w:pPr>
              <w:pStyle w:val="ae"/>
              <w:rPr>
                <w:b w:val="0"/>
                <w:bCs/>
              </w:rPr>
            </w:pPr>
            <w:r w:rsidRPr="00884668">
              <w:rPr>
                <w:b w:val="0"/>
                <w:bCs/>
              </w:rPr>
              <w:t>6</w:t>
            </w:r>
          </w:p>
        </w:tc>
        <w:tc>
          <w:tcPr>
            <w:tcW w:w="726" w:type="pct"/>
            <w:shd w:val="clear" w:color="auto" w:fill="auto"/>
            <w:vAlign w:val="center"/>
          </w:tcPr>
          <w:p w14:paraId="0F4E081A" w14:textId="3DD13EA1" w:rsidR="00E731D0" w:rsidRPr="00884668" w:rsidRDefault="00E731D0" w:rsidP="00E731D0">
            <w:pPr>
              <w:pStyle w:val="ae"/>
              <w:rPr>
                <w:b w:val="0"/>
                <w:bCs/>
              </w:rPr>
            </w:pPr>
            <w:r w:rsidRPr="00884668">
              <w:rPr>
                <w:rFonts w:hint="eastAsia"/>
                <w:b w:val="0"/>
                <w:bCs/>
              </w:rPr>
              <w:t>网格划分</w:t>
            </w:r>
          </w:p>
        </w:tc>
        <w:tc>
          <w:tcPr>
            <w:tcW w:w="3438" w:type="pct"/>
            <w:shd w:val="clear" w:color="auto" w:fill="auto"/>
            <w:vAlign w:val="center"/>
          </w:tcPr>
          <w:p w14:paraId="3F9978E7" w14:textId="1F5C7C6F" w:rsidR="00E731D0" w:rsidRPr="00884668" w:rsidRDefault="00E731D0" w:rsidP="00E731D0">
            <w:pPr>
              <w:pStyle w:val="af7"/>
            </w:pPr>
            <w:r w:rsidRPr="00884668">
              <w:rPr>
                <w:rFonts w:hint="eastAsia"/>
              </w:rPr>
              <w:t>计算水平或垂直声场时，水平或垂直预测网格点间距应视计算区域大小及计算目的而针对性设定，大多数情况下，可采用</w:t>
            </w:r>
            <w:r w:rsidRPr="00884668">
              <w:rPr>
                <w:rFonts w:hint="eastAsia"/>
              </w:rPr>
              <w:t>2m</w:t>
            </w:r>
            <w:r w:rsidRPr="00884668">
              <w:t>×</w:t>
            </w:r>
            <w:r w:rsidRPr="00884668">
              <w:rPr>
                <w:rFonts w:hint="eastAsia"/>
              </w:rPr>
              <w:t>2m</w:t>
            </w:r>
            <w:r w:rsidRPr="00884668">
              <w:rPr>
                <w:rFonts w:hint="eastAsia"/>
              </w:rPr>
              <w:t>的计算网格</w:t>
            </w:r>
          </w:p>
        </w:tc>
        <w:tc>
          <w:tcPr>
            <w:tcW w:w="498" w:type="pct"/>
            <w:shd w:val="clear" w:color="auto" w:fill="auto"/>
            <w:vAlign w:val="center"/>
          </w:tcPr>
          <w:p w14:paraId="7DC01D3E" w14:textId="77777777" w:rsidR="00E731D0" w:rsidRPr="00884668" w:rsidRDefault="00E731D0" w:rsidP="00E731D0">
            <w:pPr>
              <w:pStyle w:val="ae"/>
              <w:rPr>
                <w:b w:val="0"/>
                <w:bCs/>
              </w:rPr>
            </w:pPr>
          </w:p>
        </w:tc>
      </w:tr>
      <w:tr w:rsidR="00E731D0" w:rsidRPr="00884668" w14:paraId="187154F9" w14:textId="77777777" w:rsidTr="00E731D0">
        <w:trPr>
          <w:jc w:val="center"/>
        </w:trPr>
        <w:tc>
          <w:tcPr>
            <w:tcW w:w="338" w:type="pct"/>
            <w:shd w:val="clear" w:color="auto" w:fill="auto"/>
            <w:vAlign w:val="center"/>
          </w:tcPr>
          <w:p w14:paraId="2C8EDBA3" w14:textId="4ED594F8" w:rsidR="00E731D0" w:rsidRPr="00884668" w:rsidRDefault="00E731D0" w:rsidP="00E731D0">
            <w:pPr>
              <w:pStyle w:val="ae"/>
              <w:rPr>
                <w:b w:val="0"/>
                <w:bCs/>
              </w:rPr>
            </w:pPr>
            <w:r w:rsidRPr="00884668">
              <w:rPr>
                <w:rFonts w:hint="eastAsia"/>
                <w:b w:val="0"/>
                <w:bCs/>
              </w:rPr>
              <w:t>7</w:t>
            </w:r>
          </w:p>
        </w:tc>
        <w:tc>
          <w:tcPr>
            <w:tcW w:w="726" w:type="pct"/>
            <w:shd w:val="clear" w:color="auto" w:fill="auto"/>
            <w:vAlign w:val="center"/>
          </w:tcPr>
          <w:p w14:paraId="7F8CC86A" w14:textId="72C0D6FE" w:rsidR="00E731D0" w:rsidRPr="00884668" w:rsidRDefault="00E731D0" w:rsidP="00E731D0">
            <w:pPr>
              <w:pStyle w:val="ae"/>
              <w:rPr>
                <w:b w:val="0"/>
                <w:bCs/>
              </w:rPr>
            </w:pPr>
            <w:r w:rsidRPr="00884668">
              <w:rPr>
                <w:rFonts w:hint="eastAsia"/>
                <w:b w:val="0"/>
                <w:bCs/>
              </w:rPr>
              <w:t>预测点设置</w:t>
            </w:r>
          </w:p>
        </w:tc>
        <w:tc>
          <w:tcPr>
            <w:tcW w:w="3438" w:type="pct"/>
            <w:shd w:val="clear" w:color="auto" w:fill="auto"/>
            <w:vAlign w:val="center"/>
          </w:tcPr>
          <w:p w14:paraId="56F1804B" w14:textId="6B04B380" w:rsidR="00E731D0" w:rsidRPr="00884668" w:rsidRDefault="00E731D0" w:rsidP="00E731D0">
            <w:pPr>
              <w:pStyle w:val="af7"/>
            </w:pPr>
            <w:r w:rsidRPr="00884668">
              <w:rPr>
                <w:rFonts w:hint="eastAsia"/>
              </w:rPr>
              <w:t>预测点设置于目标建筑窗外</w:t>
            </w:r>
            <w:r w:rsidRPr="00884668">
              <w:rPr>
                <w:rFonts w:hint="eastAsia"/>
              </w:rPr>
              <w:t>1m</w:t>
            </w:r>
            <w:r w:rsidRPr="00884668">
              <w:rPr>
                <w:rFonts w:hint="eastAsia"/>
              </w:rPr>
              <w:t>处，高于各层楼板</w:t>
            </w:r>
            <w:r w:rsidRPr="00884668">
              <w:rPr>
                <w:rFonts w:hint="eastAsia"/>
              </w:rPr>
              <w:t>1.2</w:t>
            </w:r>
            <w:r w:rsidRPr="00884668">
              <w:t>～</w:t>
            </w:r>
            <w:r w:rsidRPr="00884668">
              <w:rPr>
                <w:rFonts w:hint="eastAsia"/>
              </w:rPr>
              <w:t>1.5m</w:t>
            </w:r>
            <w:r w:rsidRPr="00884668">
              <w:rPr>
                <w:rFonts w:hint="eastAsia"/>
              </w:rPr>
              <w:t>，</w:t>
            </w:r>
            <w:r w:rsidRPr="00884668">
              <w:rPr>
                <w:rFonts w:hint="eastAsia"/>
              </w:rPr>
              <w:lastRenderedPageBreak/>
              <w:t>预测点应包含目标建筑的噪声预测最不利点；分析建筑室外近地面噪声水平时，预测点高于地面</w:t>
            </w:r>
            <w:r w:rsidRPr="00884668">
              <w:rPr>
                <w:rFonts w:hint="eastAsia"/>
              </w:rPr>
              <w:t>1.2</w:t>
            </w:r>
            <w:r w:rsidRPr="00884668">
              <w:t>～</w:t>
            </w:r>
            <w:r w:rsidRPr="00884668">
              <w:rPr>
                <w:rFonts w:hint="eastAsia"/>
              </w:rPr>
              <w:t>1.5m</w:t>
            </w:r>
          </w:p>
        </w:tc>
        <w:tc>
          <w:tcPr>
            <w:tcW w:w="498" w:type="pct"/>
            <w:shd w:val="clear" w:color="auto" w:fill="auto"/>
            <w:vAlign w:val="center"/>
          </w:tcPr>
          <w:p w14:paraId="09D3ABC5" w14:textId="77777777" w:rsidR="00E731D0" w:rsidRPr="00884668" w:rsidRDefault="00E731D0" w:rsidP="00E731D0">
            <w:pPr>
              <w:pStyle w:val="ae"/>
              <w:rPr>
                <w:b w:val="0"/>
                <w:bCs/>
              </w:rPr>
            </w:pPr>
          </w:p>
        </w:tc>
      </w:tr>
      <w:tr w:rsidR="00E731D0" w:rsidRPr="00884668" w14:paraId="07CC621B" w14:textId="77777777" w:rsidTr="00E731D0">
        <w:trPr>
          <w:jc w:val="center"/>
        </w:trPr>
        <w:tc>
          <w:tcPr>
            <w:tcW w:w="338" w:type="pct"/>
            <w:vMerge w:val="restart"/>
            <w:shd w:val="clear" w:color="auto" w:fill="auto"/>
            <w:vAlign w:val="center"/>
          </w:tcPr>
          <w:p w14:paraId="0F8696FB" w14:textId="25BFC6A6" w:rsidR="00E731D0" w:rsidRPr="00884668" w:rsidRDefault="00E731D0" w:rsidP="00E731D0">
            <w:pPr>
              <w:pStyle w:val="ae"/>
              <w:rPr>
                <w:b w:val="0"/>
                <w:bCs/>
              </w:rPr>
            </w:pPr>
            <w:r w:rsidRPr="00884668">
              <w:rPr>
                <w:rFonts w:hint="eastAsia"/>
                <w:b w:val="0"/>
                <w:bCs/>
              </w:rPr>
              <w:lastRenderedPageBreak/>
              <w:t>8</w:t>
            </w:r>
          </w:p>
        </w:tc>
        <w:tc>
          <w:tcPr>
            <w:tcW w:w="726" w:type="pct"/>
            <w:vMerge w:val="restart"/>
            <w:shd w:val="clear" w:color="auto" w:fill="auto"/>
            <w:vAlign w:val="center"/>
          </w:tcPr>
          <w:p w14:paraId="395AE24B" w14:textId="493499E8" w:rsidR="00E731D0" w:rsidRPr="00884668" w:rsidRDefault="00E731D0" w:rsidP="00E731D0">
            <w:pPr>
              <w:pStyle w:val="ae"/>
              <w:rPr>
                <w:b w:val="0"/>
                <w:bCs/>
              </w:rPr>
            </w:pPr>
            <w:r w:rsidRPr="00884668">
              <w:rPr>
                <w:rFonts w:hint="eastAsia"/>
                <w:b w:val="0"/>
                <w:bCs/>
              </w:rPr>
              <w:t>声源源强参数</w:t>
            </w:r>
          </w:p>
        </w:tc>
        <w:tc>
          <w:tcPr>
            <w:tcW w:w="3438" w:type="pct"/>
            <w:shd w:val="clear" w:color="auto" w:fill="auto"/>
            <w:vAlign w:val="center"/>
          </w:tcPr>
          <w:p w14:paraId="6EA8192E" w14:textId="02013DB0" w:rsidR="00E731D0" w:rsidRPr="00884668" w:rsidRDefault="00E731D0" w:rsidP="00E731D0">
            <w:pPr>
              <w:pStyle w:val="af7"/>
            </w:pPr>
            <w:r w:rsidRPr="00884668">
              <w:rPr>
                <w:rFonts w:hint="eastAsia"/>
              </w:rPr>
              <w:t>点、线、面声源均应输入声源的声功率级。部分设备的声功率级参照《环境噪声与振动控制工程技术导则》（</w:t>
            </w:r>
            <w:r w:rsidRPr="00884668">
              <w:rPr>
                <w:rFonts w:hint="eastAsia"/>
              </w:rPr>
              <w:t>HJ 2034</w:t>
            </w:r>
            <w:r w:rsidRPr="00884668">
              <w:rPr>
                <w:rFonts w:hint="eastAsia"/>
              </w:rPr>
              <w:t>—</w:t>
            </w:r>
            <w:r w:rsidRPr="00884668">
              <w:rPr>
                <w:rFonts w:hint="eastAsia"/>
              </w:rPr>
              <w:t>2013</w:t>
            </w:r>
            <w:r w:rsidRPr="00884668">
              <w:rPr>
                <w:rFonts w:hint="eastAsia"/>
              </w:rPr>
              <w:t>）选取</w:t>
            </w:r>
          </w:p>
        </w:tc>
        <w:tc>
          <w:tcPr>
            <w:tcW w:w="498" w:type="pct"/>
            <w:shd w:val="clear" w:color="auto" w:fill="auto"/>
            <w:vAlign w:val="center"/>
          </w:tcPr>
          <w:p w14:paraId="41DAF3EB" w14:textId="77777777" w:rsidR="00E731D0" w:rsidRPr="00884668" w:rsidRDefault="00E731D0" w:rsidP="00E731D0">
            <w:pPr>
              <w:pStyle w:val="ae"/>
              <w:rPr>
                <w:b w:val="0"/>
                <w:bCs/>
              </w:rPr>
            </w:pPr>
          </w:p>
        </w:tc>
      </w:tr>
      <w:tr w:rsidR="00E731D0" w:rsidRPr="00884668" w14:paraId="5F0CD027" w14:textId="77777777" w:rsidTr="00E731D0">
        <w:trPr>
          <w:jc w:val="center"/>
        </w:trPr>
        <w:tc>
          <w:tcPr>
            <w:tcW w:w="338" w:type="pct"/>
            <w:vMerge/>
            <w:shd w:val="clear" w:color="auto" w:fill="auto"/>
            <w:vAlign w:val="center"/>
          </w:tcPr>
          <w:p w14:paraId="490F01C2" w14:textId="77777777" w:rsidR="00E731D0" w:rsidRPr="00884668" w:rsidRDefault="00E731D0" w:rsidP="00E731D0">
            <w:pPr>
              <w:pStyle w:val="ae"/>
              <w:rPr>
                <w:b w:val="0"/>
                <w:bCs/>
              </w:rPr>
            </w:pPr>
          </w:p>
        </w:tc>
        <w:tc>
          <w:tcPr>
            <w:tcW w:w="726" w:type="pct"/>
            <w:vMerge/>
            <w:shd w:val="clear" w:color="auto" w:fill="auto"/>
            <w:vAlign w:val="center"/>
          </w:tcPr>
          <w:p w14:paraId="5FC34891" w14:textId="77777777" w:rsidR="00E731D0" w:rsidRPr="00884668" w:rsidRDefault="00E731D0" w:rsidP="00E731D0">
            <w:pPr>
              <w:pStyle w:val="ae"/>
              <w:rPr>
                <w:b w:val="0"/>
                <w:bCs/>
              </w:rPr>
            </w:pPr>
          </w:p>
        </w:tc>
        <w:tc>
          <w:tcPr>
            <w:tcW w:w="3438" w:type="pct"/>
            <w:shd w:val="clear" w:color="auto" w:fill="auto"/>
            <w:vAlign w:val="center"/>
          </w:tcPr>
          <w:p w14:paraId="61C3BB64" w14:textId="099A5724" w:rsidR="00E731D0" w:rsidRPr="00884668" w:rsidRDefault="00E731D0" w:rsidP="00E731D0">
            <w:pPr>
              <w:pStyle w:val="af7"/>
            </w:pPr>
            <w:r w:rsidRPr="00884668">
              <w:rPr>
                <w:rFonts w:hint="eastAsia"/>
              </w:rPr>
              <w:t>声源源强包含</w:t>
            </w:r>
            <w:r w:rsidRPr="00884668">
              <w:rPr>
                <w:rFonts w:hint="eastAsia"/>
              </w:rPr>
              <w:t>63</w:t>
            </w:r>
            <w:r w:rsidRPr="00884668">
              <w:rPr>
                <w:rFonts w:hint="eastAsia"/>
              </w:rPr>
              <w:t>～</w:t>
            </w:r>
            <w:r w:rsidRPr="00884668">
              <w:rPr>
                <w:rFonts w:hint="eastAsia"/>
              </w:rPr>
              <w:t>8000Hz</w:t>
            </w:r>
            <w:r w:rsidRPr="00884668">
              <w:rPr>
                <w:rFonts w:hint="eastAsia"/>
              </w:rPr>
              <w:t>的</w:t>
            </w:r>
            <w:r w:rsidRPr="00884668">
              <w:rPr>
                <w:rFonts w:hint="eastAsia"/>
              </w:rPr>
              <w:t>8</w:t>
            </w:r>
            <w:r w:rsidRPr="00884668">
              <w:rPr>
                <w:rFonts w:hint="eastAsia"/>
              </w:rPr>
              <w:t>个倍频带中心频率</w:t>
            </w:r>
          </w:p>
        </w:tc>
        <w:tc>
          <w:tcPr>
            <w:tcW w:w="498" w:type="pct"/>
            <w:shd w:val="clear" w:color="auto" w:fill="auto"/>
            <w:vAlign w:val="center"/>
          </w:tcPr>
          <w:p w14:paraId="2CF8C791" w14:textId="77777777" w:rsidR="00E731D0" w:rsidRPr="00884668" w:rsidRDefault="00E731D0" w:rsidP="00E731D0">
            <w:pPr>
              <w:pStyle w:val="ae"/>
              <w:rPr>
                <w:b w:val="0"/>
                <w:bCs/>
              </w:rPr>
            </w:pPr>
          </w:p>
        </w:tc>
      </w:tr>
      <w:tr w:rsidR="00E731D0" w:rsidRPr="00884668" w14:paraId="013D7E46" w14:textId="77777777" w:rsidTr="00E731D0">
        <w:trPr>
          <w:jc w:val="center"/>
        </w:trPr>
        <w:tc>
          <w:tcPr>
            <w:tcW w:w="338" w:type="pct"/>
            <w:vMerge/>
            <w:shd w:val="clear" w:color="auto" w:fill="auto"/>
            <w:vAlign w:val="center"/>
          </w:tcPr>
          <w:p w14:paraId="2B5F4A9E" w14:textId="77777777" w:rsidR="00E731D0" w:rsidRPr="00884668" w:rsidRDefault="00E731D0" w:rsidP="00E731D0">
            <w:pPr>
              <w:pStyle w:val="ae"/>
              <w:rPr>
                <w:b w:val="0"/>
                <w:bCs/>
              </w:rPr>
            </w:pPr>
          </w:p>
        </w:tc>
        <w:tc>
          <w:tcPr>
            <w:tcW w:w="726" w:type="pct"/>
            <w:vMerge/>
            <w:shd w:val="clear" w:color="auto" w:fill="auto"/>
            <w:vAlign w:val="center"/>
          </w:tcPr>
          <w:p w14:paraId="01BE5396" w14:textId="77777777" w:rsidR="00E731D0" w:rsidRPr="00884668" w:rsidRDefault="00E731D0" w:rsidP="00E731D0">
            <w:pPr>
              <w:pStyle w:val="ae"/>
              <w:rPr>
                <w:b w:val="0"/>
                <w:bCs/>
              </w:rPr>
            </w:pPr>
          </w:p>
        </w:tc>
        <w:tc>
          <w:tcPr>
            <w:tcW w:w="3438" w:type="pct"/>
            <w:shd w:val="clear" w:color="auto" w:fill="auto"/>
            <w:vAlign w:val="center"/>
          </w:tcPr>
          <w:p w14:paraId="7D996034" w14:textId="2F21FB07" w:rsidR="00E731D0" w:rsidRPr="00884668" w:rsidRDefault="00E731D0" w:rsidP="00E731D0">
            <w:pPr>
              <w:pStyle w:val="af7"/>
            </w:pPr>
            <w:r w:rsidRPr="00884668">
              <w:rPr>
                <w:rFonts w:hint="eastAsia"/>
              </w:rPr>
              <w:t>轨道交通噪声源强以距轨道中心线</w:t>
            </w:r>
            <w:r w:rsidRPr="00884668">
              <w:rPr>
                <w:rFonts w:hint="eastAsia"/>
              </w:rPr>
              <w:t>25m</w:t>
            </w:r>
            <w:r w:rsidRPr="00884668">
              <w:rPr>
                <w:rFonts w:hint="eastAsia"/>
              </w:rPr>
              <w:t>，高于轨面</w:t>
            </w:r>
            <w:r w:rsidRPr="00884668">
              <w:rPr>
                <w:rFonts w:hint="eastAsia"/>
              </w:rPr>
              <w:t>1.5m</w:t>
            </w:r>
            <w:r w:rsidRPr="00884668">
              <w:rPr>
                <w:rFonts w:hint="eastAsia"/>
              </w:rPr>
              <w:t>处计，源强可通过实测或类比确定；铁路噪声源强以距轨道中心线</w:t>
            </w:r>
            <w:r w:rsidRPr="00884668">
              <w:rPr>
                <w:rFonts w:hint="eastAsia"/>
              </w:rPr>
              <w:t>25m</w:t>
            </w:r>
            <w:r w:rsidRPr="00884668">
              <w:rPr>
                <w:rFonts w:hint="eastAsia"/>
              </w:rPr>
              <w:t>，高</w:t>
            </w:r>
            <w:r w:rsidRPr="00884668">
              <w:rPr>
                <w:rFonts w:hint="eastAsia"/>
              </w:rPr>
              <w:t>3.5m</w:t>
            </w:r>
            <w:r w:rsidRPr="00884668">
              <w:rPr>
                <w:rFonts w:hint="eastAsia"/>
              </w:rPr>
              <w:t>处计</w:t>
            </w:r>
          </w:p>
        </w:tc>
        <w:tc>
          <w:tcPr>
            <w:tcW w:w="498" w:type="pct"/>
            <w:shd w:val="clear" w:color="auto" w:fill="auto"/>
            <w:vAlign w:val="center"/>
          </w:tcPr>
          <w:p w14:paraId="000CAC60" w14:textId="77777777" w:rsidR="00E731D0" w:rsidRPr="00884668" w:rsidRDefault="00E731D0" w:rsidP="00E731D0">
            <w:pPr>
              <w:pStyle w:val="ae"/>
              <w:rPr>
                <w:b w:val="0"/>
                <w:bCs/>
              </w:rPr>
            </w:pPr>
          </w:p>
        </w:tc>
      </w:tr>
      <w:tr w:rsidR="00E731D0" w:rsidRPr="00884668" w14:paraId="1DA020B1" w14:textId="77777777" w:rsidTr="00E731D0">
        <w:trPr>
          <w:jc w:val="center"/>
        </w:trPr>
        <w:tc>
          <w:tcPr>
            <w:tcW w:w="338" w:type="pct"/>
            <w:vMerge w:val="restart"/>
            <w:shd w:val="clear" w:color="auto" w:fill="auto"/>
            <w:vAlign w:val="center"/>
          </w:tcPr>
          <w:p w14:paraId="12833000" w14:textId="1D98C1F8" w:rsidR="00E731D0" w:rsidRPr="00884668" w:rsidRDefault="00E731D0" w:rsidP="00E731D0">
            <w:pPr>
              <w:pStyle w:val="ae"/>
              <w:rPr>
                <w:b w:val="0"/>
                <w:bCs/>
              </w:rPr>
            </w:pPr>
            <w:r w:rsidRPr="00884668">
              <w:rPr>
                <w:rFonts w:hint="eastAsia"/>
                <w:b w:val="0"/>
                <w:bCs/>
              </w:rPr>
              <w:t>9</w:t>
            </w:r>
          </w:p>
        </w:tc>
        <w:tc>
          <w:tcPr>
            <w:tcW w:w="726" w:type="pct"/>
            <w:vMerge w:val="restart"/>
            <w:shd w:val="clear" w:color="auto" w:fill="auto"/>
            <w:vAlign w:val="center"/>
          </w:tcPr>
          <w:p w14:paraId="4DD53695" w14:textId="08560763" w:rsidR="00E731D0" w:rsidRPr="00884668" w:rsidRDefault="00E731D0" w:rsidP="00E731D0">
            <w:pPr>
              <w:pStyle w:val="ae"/>
              <w:rPr>
                <w:b w:val="0"/>
                <w:bCs/>
              </w:rPr>
            </w:pPr>
            <w:r w:rsidRPr="00884668">
              <w:rPr>
                <w:rFonts w:hint="eastAsia"/>
                <w:b w:val="0"/>
                <w:bCs/>
              </w:rPr>
              <w:t>其他参数</w:t>
            </w:r>
          </w:p>
        </w:tc>
        <w:tc>
          <w:tcPr>
            <w:tcW w:w="3438" w:type="pct"/>
            <w:shd w:val="clear" w:color="auto" w:fill="auto"/>
            <w:vAlign w:val="center"/>
          </w:tcPr>
          <w:p w14:paraId="079BD005" w14:textId="67660E98" w:rsidR="00E731D0" w:rsidRPr="00884668" w:rsidRDefault="00E731D0" w:rsidP="00E731D0">
            <w:pPr>
              <w:pStyle w:val="af7"/>
            </w:pPr>
            <w:r w:rsidRPr="00884668">
              <w:rPr>
                <w:rFonts w:hint="eastAsia"/>
              </w:rPr>
              <w:t>当声源距离遮挡物距离较近时，需考虑遮挡物的反射声影响，反射次数应不低于</w:t>
            </w:r>
            <w:r w:rsidRPr="00884668">
              <w:rPr>
                <w:rFonts w:hint="eastAsia"/>
              </w:rPr>
              <w:t>5</w:t>
            </w:r>
            <w:r w:rsidRPr="00884668">
              <w:rPr>
                <w:rFonts w:hint="eastAsia"/>
              </w:rPr>
              <w:t>次</w:t>
            </w:r>
          </w:p>
        </w:tc>
        <w:tc>
          <w:tcPr>
            <w:tcW w:w="498" w:type="pct"/>
            <w:shd w:val="clear" w:color="auto" w:fill="auto"/>
            <w:vAlign w:val="center"/>
          </w:tcPr>
          <w:p w14:paraId="7F87F3C7" w14:textId="77777777" w:rsidR="00E731D0" w:rsidRPr="00884668" w:rsidRDefault="00E731D0" w:rsidP="00E731D0">
            <w:pPr>
              <w:pStyle w:val="ae"/>
              <w:rPr>
                <w:b w:val="0"/>
                <w:bCs/>
              </w:rPr>
            </w:pPr>
          </w:p>
        </w:tc>
      </w:tr>
      <w:tr w:rsidR="00E731D0" w:rsidRPr="00884668" w14:paraId="38BC1AC5" w14:textId="77777777" w:rsidTr="00E731D0">
        <w:trPr>
          <w:jc w:val="center"/>
        </w:trPr>
        <w:tc>
          <w:tcPr>
            <w:tcW w:w="338" w:type="pct"/>
            <w:vMerge/>
            <w:shd w:val="clear" w:color="auto" w:fill="auto"/>
            <w:vAlign w:val="center"/>
          </w:tcPr>
          <w:p w14:paraId="14857AEB" w14:textId="77777777" w:rsidR="00E731D0" w:rsidRPr="00884668" w:rsidRDefault="00E731D0" w:rsidP="00E731D0">
            <w:pPr>
              <w:pStyle w:val="ae"/>
              <w:rPr>
                <w:b w:val="0"/>
                <w:bCs/>
              </w:rPr>
            </w:pPr>
          </w:p>
        </w:tc>
        <w:tc>
          <w:tcPr>
            <w:tcW w:w="726" w:type="pct"/>
            <w:vMerge/>
            <w:shd w:val="clear" w:color="auto" w:fill="auto"/>
            <w:vAlign w:val="center"/>
          </w:tcPr>
          <w:p w14:paraId="5FC94B3B" w14:textId="77777777" w:rsidR="00E731D0" w:rsidRPr="00884668" w:rsidRDefault="00E731D0" w:rsidP="00E731D0">
            <w:pPr>
              <w:pStyle w:val="ae"/>
              <w:rPr>
                <w:b w:val="0"/>
                <w:bCs/>
              </w:rPr>
            </w:pPr>
          </w:p>
        </w:tc>
        <w:tc>
          <w:tcPr>
            <w:tcW w:w="3438" w:type="pct"/>
            <w:shd w:val="clear" w:color="auto" w:fill="auto"/>
            <w:vAlign w:val="center"/>
          </w:tcPr>
          <w:p w14:paraId="485809AC" w14:textId="235BD1B5" w:rsidR="00E731D0" w:rsidRPr="00884668" w:rsidRDefault="00E731D0" w:rsidP="00E731D0">
            <w:pPr>
              <w:pStyle w:val="af7"/>
            </w:pPr>
            <w:r w:rsidRPr="00884668">
              <w:rPr>
                <w:rFonts w:hint="eastAsia"/>
              </w:rPr>
              <w:t>道路或铁路、轨道交通的昼</w:t>
            </w:r>
            <w:r w:rsidRPr="00884668">
              <w:rPr>
                <w:rFonts w:hint="eastAsia"/>
              </w:rPr>
              <w:t>/</w:t>
            </w:r>
            <w:r w:rsidRPr="00884668">
              <w:rPr>
                <w:rFonts w:hint="eastAsia"/>
              </w:rPr>
              <w:t>夜流量应不低于实际昼间</w:t>
            </w:r>
            <w:r w:rsidRPr="00884668">
              <w:rPr>
                <w:rFonts w:hint="eastAsia"/>
              </w:rPr>
              <w:t>/</w:t>
            </w:r>
            <w:r w:rsidRPr="00884668">
              <w:rPr>
                <w:rFonts w:hint="eastAsia"/>
              </w:rPr>
              <w:t>夜间的平均小时流量</w:t>
            </w:r>
          </w:p>
        </w:tc>
        <w:tc>
          <w:tcPr>
            <w:tcW w:w="498" w:type="pct"/>
            <w:shd w:val="clear" w:color="auto" w:fill="auto"/>
            <w:vAlign w:val="center"/>
          </w:tcPr>
          <w:p w14:paraId="7477F342" w14:textId="77777777" w:rsidR="00E731D0" w:rsidRPr="00884668" w:rsidRDefault="00E731D0" w:rsidP="00E731D0">
            <w:pPr>
              <w:pStyle w:val="ae"/>
              <w:rPr>
                <w:b w:val="0"/>
                <w:bCs/>
              </w:rPr>
            </w:pPr>
          </w:p>
        </w:tc>
      </w:tr>
      <w:tr w:rsidR="00E731D0" w:rsidRPr="00884668" w14:paraId="3B30865C" w14:textId="77777777" w:rsidTr="00E731D0">
        <w:trPr>
          <w:jc w:val="center"/>
        </w:trPr>
        <w:tc>
          <w:tcPr>
            <w:tcW w:w="338" w:type="pct"/>
            <w:vMerge/>
            <w:shd w:val="clear" w:color="auto" w:fill="auto"/>
            <w:vAlign w:val="center"/>
          </w:tcPr>
          <w:p w14:paraId="656E3DE9" w14:textId="77777777" w:rsidR="00E731D0" w:rsidRPr="00884668" w:rsidRDefault="00E731D0" w:rsidP="00E731D0">
            <w:pPr>
              <w:pStyle w:val="ae"/>
              <w:rPr>
                <w:b w:val="0"/>
                <w:bCs/>
              </w:rPr>
            </w:pPr>
          </w:p>
        </w:tc>
        <w:tc>
          <w:tcPr>
            <w:tcW w:w="726" w:type="pct"/>
            <w:vMerge/>
            <w:shd w:val="clear" w:color="auto" w:fill="auto"/>
            <w:vAlign w:val="center"/>
          </w:tcPr>
          <w:p w14:paraId="5149FC05" w14:textId="77777777" w:rsidR="00E731D0" w:rsidRPr="00884668" w:rsidRDefault="00E731D0" w:rsidP="00E731D0">
            <w:pPr>
              <w:pStyle w:val="ae"/>
              <w:rPr>
                <w:b w:val="0"/>
                <w:bCs/>
              </w:rPr>
            </w:pPr>
          </w:p>
        </w:tc>
        <w:tc>
          <w:tcPr>
            <w:tcW w:w="3438" w:type="pct"/>
            <w:shd w:val="clear" w:color="auto" w:fill="auto"/>
            <w:vAlign w:val="center"/>
          </w:tcPr>
          <w:p w14:paraId="1E5626A2" w14:textId="4F9F4A84" w:rsidR="00E731D0" w:rsidRPr="00884668" w:rsidRDefault="00E731D0" w:rsidP="00E731D0">
            <w:pPr>
              <w:pStyle w:val="af7"/>
            </w:pPr>
            <w:r w:rsidRPr="00884668">
              <w:rPr>
                <w:rFonts w:hint="eastAsia"/>
              </w:rPr>
              <w:t>当模拟高架及地面道路、高架与高架之间组成的复合道路以及隧道出入口段噪声时，应考虑道路本身构筑物的多次反射声影响</w:t>
            </w:r>
          </w:p>
        </w:tc>
        <w:tc>
          <w:tcPr>
            <w:tcW w:w="498" w:type="pct"/>
            <w:shd w:val="clear" w:color="auto" w:fill="auto"/>
            <w:vAlign w:val="center"/>
          </w:tcPr>
          <w:p w14:paraId="6A14CE05" w14:textId="77777777" w:rsidR="00E731D0" w:rsidRPr="00884668" w:rsidRDefault="00E731D0" w:rsidP="00E731D0">
            <w:pPr>
              <w:pStyle w:val="ae"/>
              <w:rPr>
                <w:b w:val="0"/>
                <w:bCs/>
              </w:rPr>
            </w:pPr>
          </w:p>
        </w:tc>
      </w:tr>
      <w:tr w:rsidR="00E731D0" w:rsidRPr="00884668" w14:paraId="6703E79A" w14:textId="77777777" w:rsidTr="00E731D0">
        <w:trPr>
          <w:jc w:val="center"/>
        </w:trPr>
        <w:tc>
          <w:tcPr>
            <w:tcW w:w="338" w:type="pct"/>
            <w:vMerge/>
            <w:shd w:val="clear" w:color="auto" w:fill="auto"/>
            <w:vAlign w:val="center"/>
          </w:tcPr>
          <w:p w14:paraId="5E1DDE73" w14:textId="77777777" w:rsidR="00E731D0" w:rsidRPr="00884668" w:rsidRDefault="00E731D0" w:rsidP="00E731D0">
            <w:pPr>
              <w:pStyle w:val="ae"/>
              <w:rPr>
                <w:b w:val="0"/>
                <w:bCs/>
              </w:rPr>
            </w:pPr>
          </w:p>
        </w:tc>
        <w:tc>
          <w:tcPr>
            <w:tcW w:w="726" w:type="pct"/>
            <w:vMerge/>
            <w:shd w:val="clear" w:color="auto" w:fill="auto"/>
            <w:vAlign w:val="center"/>
          </w:tcPr>
          <w:p w14:paraId="3AEBD9E3" w14:textId="77777777" w:rsidR="00E731D0" w:rsidRPr="00884668" w:rsidRDefault="00E731D0" w:rsidP="00E731D0">
            <w:pPr>
              <w:pStyle w:val="ae"/>
              <w:rPr>
                <w:b w:val="0"/>
                <w:bCs/>
              </w:rPr>
            </w:pPr>
          </w:p>
        </w:tc>
        <w:tc>
          <w:tcPr>
            <w:tcW w:w="3438" w:type="pct"/>
            <w:shd w:val="clear" w:color="auto" w:fill="auto"/>
            <w:vAlign w:val="center"/>
          </w:tcPr>
          <w:p w14:paraId="0512B9D4" w14:textId="1BD8EDC4" w:rsidR="00E731D0" w:rsidRPr="00884668" w:rsidRDefault="00E731D0" w:rsidP="00E731D0">
            <w:pPr>
              <w:pStyle w:val="af7"/>
            </w:pPr>
            <w:r w:rsidRPr="00884668">
              <w:rPr>
                <w:rFonts w:hint="eastAsia"/>
              </w:rPr>
              <w:t>对指向性明确的声源，考虑了其指向性影响</w:t>
            </w:r>
          </w:p>
        </w:tc>
        <w:tc>
          <w:tcPr>
            <w:tcW w:w="498" w:type="pct"/>
            <w:shd w:val="clear" w:color="auto" w:fill="auto"/>
            <w:vAlign w:val="center"/>
          </w:tcPr>
          <w:p w14:paraId="3A6F9DC2" w14:textId="77777777" w:rsidR="00E731D0" w:rsidRPr="00884668" w:rsidRDefault="00E731D0" w:rsidP="00E731D0">
            <w:pPr>
              <w:pStyle w:val="ae"/>
              <w:rPr>
                <w:b w:val="0"/>
                <w:bCs/>
              </w:rPr>
            </w:pPr>
          </w:p>
        </w:tc>
      </w:tr>
      <w:tr w:rsidR="00E731D0" w:rsidRPr="00884668" w14:paraId="63970317" w14:textId="77777777" w:rsidTr="00E731D0">
        <w:trPr>
          <w:jc w:val="center"/>
        </w:trPr>
        <w:tc>
          <w:tcPr>
            <w:tcW w:w="338" w:type="pct"/>
            <w:vMerge/>
            <w:shd w:val="clear" w:color="auto" w:fill="auto"/>
            <w:vAlign w:val="center"/>
          </w:tcPr>
          <w:p w14:paraId="640DDAC7" w14:textId="77777777" w:rsidR="00E731D0" w:rsidRPr="00884668" w:rsidRDefault="00E731D0" w:rsidP="00E731D0">
            <w:pPr>
              <w:pStyle w:val="ae"/>
              <w:rPr>
                <w:b w:val="0"/>
                <w:bCs/>
              </w:rPr>
            </w:pPr>
          </w:p>
        </w:tc>
        <w:tc>
          <w:tcPr>
            <w:tcW w:w="726" w:type="pct"/>
            <w:vMerge/>
            <w:shd w:val="clear" w:color="auto" w:fill="auto"/>
            <w:vAlign w:val="center"/>
          </w:tcPr>
          <w:p w14:paraId="028EFF54" w14:textId="77777777" w:rsidR="00E731D0" w:rsidRPr="00884668" w:rsidRDefault="00E731D0" w:rsidP="00E731D0">
            <w:pPr>
              <w:pStyle w:val="ae"/>
              <w:rPr>
                <w:b w:val="0"/>
                <w:bCs/>
              </w:rPr>
            </w:pPr>
          </w:p>
        </w:tc>
        <w:tc>
          <w:tcPr>
            <w:tcW w:w="3438" w:type="pct"/>
            <w:shd w:val="clear" w:color="auto" w:fill="auto"/>
            <w:vAlign w:val="center"/>
          </w:tcPr>
          <w:p w14:paraId="42E5F6BB" w14:textId="335E7F38" w:rsidR="00E731D0" w:rsidRPr="00884668" w:rsidRDefault="00E731D0" w:rsidP="00E731D0">
            <w:pPr>
              <w:pStyle w:val="af7"/>
            </w:pPr>
            <w:r w:rsidRPr="00884668">
              <w:rPr>
                <w:rFonts w:hint="eastAsia"/>
              </w:rPr>
              <w:t>声源为高速铁路时，除轮轨噪声外，还应考虑高速铁路的空气动力性噪声、桥梁结构噪声、集电系统噪声的影响，分别计算上述各部分噪声的影响</w:t>
            </w:r>
          </w:p>
        </w:tc>
        <w:tc>
          <w:tcPr>
            <w:tcW w:w="498" w:type="pct"/>
            <w:shd w:val="clear" w:color="auto" w:fill="auto"/>
            <w:vAlign w:val="center"/>
          </w:tcPr>
          <w:p w14:paraId="0B374D24" w14:textId="77777777" w:rsidR="00E731D0" w:rsidRPr="00884668" w:rsidRDefault="00E731D0" w:rsidP="00E731D0">
            <w:pPr>
              <w:pStyle w:val="ae"/>
              <w:rPr>
                <w:b w:val="0"/>
                <w:bCs/>
              </w:rPr>
            </w:pPr>
          </w:p>
        </w:tc>
      </w:tr>
      <w:tr w:rsidR="00E731D0" w:rsidRPr="00884668" w14:paraId="05E5DAB7" w14:textId="77777777" w:rsidTr="00E731D0">
        <w:trPr>
          <w:jc w:val="center"/>
        </w:trPr>
        <w:tc>
          <w:tcPr>
            <w:tcW w:w="338" w:type="pct"/>
            <w:vMerge/>
            <w:shd w:val="clear" w:color="auto" w:fill="auto"/>
            <w:vAlign w:val="center"/>
          </w:tcPr>
          <w:p w14:paraId="1FFE010C" w14:textId="77777777" w:rsidR="00E731D0" w:rsidRPr="00884668" w:rsidRDefault="00E731D0" w:rsidP="00E731D0">
            <w:pPr>
              <w:pStyle w:val="ae"/>
              <w:rPr>
                <w:b w:val="0"/>
                <w:bCs/>
              </w:rPr>
            </w:pPr>
          </w:p>
        </w:tc>
        <w:tc>
          <w:tcPr>
            <w:tcW w:w="726" w:type="pct"/>
            <w:vMerge/>
            <w:shd w:val="clear" w:color="auto" w:fill="auto"/>
            <w:vAlign w:val="center"/>
          </w:tcPr>
          <w:p w14:paraId="6E7AF40F" w14:textId="77777777" w:rsidR="00E731D0" w:rsidRPr="00884668" w:rsidRDefault="00E731D0" w:rsidP="00E731D0">
            <w:pPr>
              <w:pStyle w:val="ae"/>
              <w:rPr>
                <w:b w:val="0"/>
                <w:bCs/>
              </w:rPr>
            </w:pPr>
          </w:p>
        </w:tc>
        <w:tc>
          <w:tcPr>
            <w:tcW w:w="3438" w:type="pct"/>
            <w:shd w:val="clear" w:color="auto" w:fill="auto"/>
            <w:vAlign w:val="center"/>
          </w:tcPr>
          <w:p w14:paraId="7DF1E752" w14:textId="5E045FAB" w:rsidR="00E731D0" w:rsidRPr="00884668" w:rsidRDefault="00E731D0" w:rsidP="00E731D0">
            <w:pPr>
              <w:pStyle w:val="af7"/>
            </w:pPr>
            <w:r w:rsidRPr="00884668">
              <w:rPr>
                <w:rFonts w:hint="eastAsia"/>
              </w:rPr>
              <w:t>当轨道交通经过钢结构桥梁或特殊结构桥梁时，结构噪声影响突出，在预测中应重点考虑</w:t>
            </w:r>
          </w:p>
        </w:tc>
        <w:tc>
          <w:tcPr>
            <w:tcW w:w="498" w:type="pct"/>
            <w:shd w:val="clear" w:color="auto" w:fill="auto"/>
            <w:vAlign w:val="center"/>
          </w:tcPr>
          <w:p w14:paraId="44442901" w14:textId="77777777" w:rsidR="00E731D0" w:rsidRPr="00884668" w:rsidRDefault="00E731D0" w:rsidP="00E731D0">
            <w:pPr>
              <w:pStyle w:val="ae"/>
              <w:rPr>
                <w:b w:val="0"/>
                <w:bCs/>
              </w:rPr>
            </w:pPr>
          </w:p>
        </w:tc>
      </w:tr>
      <w:tr w:rsidR="00E731D0" w:rsidRPr="00884668" w14:paraId="608BAB0B" w14:textId="77777777" w:rsidTr="00E731D0">
        <w:trPr>
          <w:jc w:val="center"/>
        </w:trPr>
        <w:tc>
          <w:tcPr>
            <w:tcW w:w="338" w:type="pct"/>
            <w:vMerge/>
            <w:shd w:val="clear" w:color="auto" w:fill="auto"/>
            <w:vAlign w:val="center"/>
          </w:tcPr>
          <w:p w14:paraId="3E2B94DA" w14:textId="77777777" w:rsidR="00E731D0" w:rsidRPr="00884668" w:rsidRDefault="00E731D0" w:rsidP="00E731D0">
            <w:pPr>
              <w:pStyle w:val="ae"/>
              <w:rPr>
                <w:b w:val="0"/>
                <w:bCs/>
              </w:rPr>
            </w:pPr>
          </w:p>
        </w:tc>
        <w:tc>
          <w:tcPr>
            <w:tcW w:w="726" w:type="pct"/>
            <w:vMerge/>
            <w:shd w:val="clear" w:color="auto" w:fill="auto"/>
            <w:vAlign w:val="center"/>
          </w:tcPr>
          <w:p w14:paraId="28FA352E" w14:textId="77777777" w:rsidR="00E731D0" w:rsidRPr="00884668" w:rsidRDefault="00E731D0" w:rsidP="00E731D0">
            <w:pPr>
              <w:pStyle w:val="ae"/>
              <w:rPr>
                <w:b w:val="0"/>
                <w:bCs/>
              </w:rPr>
            </w:pPr>
          </w:p>
        </w:tc>
        <w:tc>
          <w:tcPr>
            <w:tcW w:w="3438" w:type="pct"/>
            <w:shd w:val="clear" w:color="auto" w:fill="auto"/>
            <w:vAlign w:val="center"/>
          </w:tcPr>
          <w:p w14:paraId="21D6F237" w14:textId="692D9D42" w:rsidR="00E731D0" w:rsidRPr="00884668" w:rsidRDefault="00E731D0" w:rsidP="00E731D0">
            <w:pPr>
              <w:pStyle w:val="af7"/>
            </w:pPr>
            <w:r w:rsidRPr="00884668">
              <w:rPr>
                <w:rFonts w:hint="eastAsia"/>
              </w:rPr>
              <w:t>对飞机噪声预测因子应为计权等效连续感觉噪声级，其他为等效连续</w:t>
            </w:r>
            <w:r w:rsidRPr="00884668">
              <w:rPr>
                <w:rFonts w:hint="eastAsia"/>
              </w:rPr>
              <w:t>A</w:t>
            </w:r>
            <w:r w:rsidRPr="00884668">
              <w:rPr>
                <w:rFonts w:hint="eastAsia"/>
              </w:rPr>
              <w:t>声级</w:t>
            </w:r>
          </w:p>
        </w:tc>
        <w:tc>
          <w:tcPr>
            <w:tcW w:w="498" w:type="pct"/>
            <w:shd w:val="clear" w:color="auto" w:fill="auto"/>
            <w:vAlign w:val="center"/>
          </w:tcPr>
          <w:p w14:paraId="4E16ECEA" w14:textId="77777777" w:rsidR="00E731D0" w:rsidRPr="00884668" w:rsidRDefault="00E731D0" w:rsidP="00E731D0">
            <w:pPr>
              <w:pStyle w:val="ae"/>
              <w:rPr>
                <w:b w:val="0"/>
                <w:bCs/>
              </w:rPr>
            </w:pPr>
          </w:p>
        </w:tc>
      </w:tr>
      <w:tr w:rsidR="00E731D0" w:rsidRPr="00884668" w14:paraId="48610D0E" w14:textId="77777777" w:rsidTr="00E731D0">
        <w:trPr>
          <w:jc w:val="center"/>
        </w:trPr>
        <w:tc>
          <w:tcPr>
            <w:tcW w:w="338" w:type="pct"/>
            <w:vMerge/>
            <w:shd w:val="clear" w:color="auto" w:fill="auto"/>
            <w:vAlign w:val="center"/>
          </w:tcPr>
          <w:p w14:paraId="184DAC17" w14:textId="77777777" w:rsidR="00E731D0" w:rsidRPr="00884668" w:rsidRDefault="00E731D0" w:rsidP="00E731D0">
            <w:pPr>
              <w:pStyle w:val="ae"/>
              <w:rPr>
                <w:b w:val="0"/>
                <w:bCs/>
              </w:rPr>
            </w:pPr>
          </w:p>
        </w:tc>
        <w:tc>
          <w:tcPr>
            <w:tcW w:w="726" w:type="pct"/>
            <w:vMerge/>
            <w:shd w:val="clear" w:color="auto" w:fill="auto"/>
            <w:vAlign w:val="center"/>
          </w:tcPr>
          <w:p w14:paraId="76CFA7E6" w14:textId="77777777" w:rsidR="00E731D0" w:rsidRPr="00884668" w:rsidRDefault="00E731D0" w:rsidP="00E731D0">
            <w:pPr>
              <w:pStyle w:val="ae"/>
              <w:rPr>
                <w:b w:val="0"/>
                <w:bCs/>
              </w:rPr>
            </w:pPr>
          </w:p>
        </w:tc>
        <w:tc>
          <w:tcPr>
            <w:tcW w:w="3438" w:type="pct"/>
            <w:shd w:val="clear" w:color="auto" w:fill="auto"/>
            <w:vAlign w:val="center"/>
          </w:tcPr>
          <w:p w14:paraId="17690F94" w14:textId="4E3EAF5F" w:rsidR="00E731D0" w:rsidRPr="00884668" w:rsidRDefault="00E731D0" w:rsidP="00E731D0">
            <w:pPr>
              <w:pStyle w:val="af7"/>
            </w:pPr>
            <w:r w:rsidRPr="00884668">
              <w:rPr>
                <w:rFonts w:hint="eastAsia"/>
              </w:rPr>
              <w:t>乔灌结合，绿化良好的绿化带降噪效果可按</w:t>
            </w:r>
            <w:r w:rsidRPr="00884668">
              <w:rPr>
                <w:rFonts w:hint="eastAsia"/>
              </w:rPr>
              <w:t>0.5</w:t>
            </w:r>
            <w:r w:rsidRPr="00884668">
              <w:rPr>
                <w:rFonts w:hint="eastAsia"/>
              </w:rPr>
              <w:t>～</w:t>
            </w:r>
            <w:r w:rsidRPr="00884668">
              <w:rPr>
                <w:rFonts w:hint="eastAsia"/>
              </w:rPr>
              <w:t>1dB</w:t>
            </w:r>
            <w:r w:rsidRPr="00884668">
              <w:rPr>
                <w:rFonts w:hint="eastAsia"/>
              </w:rPr>
              <w:t>（</w:t>
            </w:r>
            <w:r w:rsidRPr="00884668">
              <w:rPr>
                <w:rFonts w:hint="eastAsia"/>
              </w:rPr>
              <w:t>A</w:t>
            </w:r>
            <w:r w:rsidRPr="00884668">
              <w:rPr>
                <w:rFonts w:hint="eastAsia"/>
              </w:rPr>
              <w:t>）</w:t>
            </w:r>
            <w:r w:rsidRPr="00884668">
              <w:rPr>
                <w:rFonts w:hint="eastAsia"/>
              </w:rPr>
              <w:t>/10m</w:t>
            </w:r>
            <w:r w:rsidRPr="00884668">
              <w:rPr>
                <w:rFonts w:hint="eastAsia"/>
              </w:rPr>
              <w:t>计算，绿化带建模高度为绿化带平均高度，绿化带最多考虑</w:t>
            </w:r>
            <w:r w:rsidRPr="00884668">
              <w:rPr>
                <w:rFonts w:hint="eastAsia"/>
              </w:rPr>
              <w:t>200m</w:t>
            </w:r>
            <w:r w:rsidRPr="00884668">
              <w:rPr>
                <w:rFonts w:hint="eastAsia"/>
              </w:rPr>
              <w:t>距离</w:t>
            </w:r>
          </w:p>
        </w:tc>
        <w:tc>
          <w:tcPr>
            <w:tcW w:w="498" w:type="pct"/>
            <w:shd w:val="clear" w:color="auto" w:fill="auto"/>
            <w:vAlign w:val="center"/>
          </w:tcPr>
          <w:p w14:paraId="34875F55" w14:textId="77777777" w:rsidR="00E731D0" w:rsidRPr="00884668" w:rsidRDefault="00E731D0" w:rsidP="00E731D0">
            <w:pPr>
              <w:pStyle w:val="ae"/>
              <w:rPr>
                <w:b w:val="0"/>
                <w:bCs/>
              </w:rPr>
            </w:pPr>
          </w:p>
        </w:tc>
      </w:tr>
      <w:tr w:rsidR="00E731D0" w:rsidRPr="00884668" w14:paraId="243ABD45" w14:textId="77777777" w:rsidTr="00E731D0">
        <w:trPr>
          <w:jc w:val="center"/>
        </w:trPr>
        <w:tc>
          <w:tcPr>
            <w:tcW w:w="338" w:type="pct"/>
            <w:vMerge/>
            <w:shd w:val="clear" w:color="auto" w:fill="auto"/>
            <w:vAlign w:val="center"/>
          </w:tcPr>
          <w:p w14:paraId="5E19311C" w14:textId="77777777" w:rsidR="00E731D0" w:rsidRPr="00884668" w:rsidRDefault="00E731D0" w:rsidP="00E731D0">
            <w:pPr>
              <w:pStyle w:val="ae"/>
              <w:rPr>
                <w:b w:val="0"/>
                <w:bCs/>
              </w:rPr>
            </w:pPr>
          </w:p>
        </w:tc>
        <w:tc>
          <w:tcPr>
            <w:tcW w:w="726" w:type="pct"/>
            <w:vMerge/>
            <w:shd w:val="clear" w:color="auto" w:fill="auto"/>
            <w:vAlign w:val="center"/>
          </w:tcPr>
          <w:p w14:paraId="077DE980" w14:textId="77777777" w:rsidR="00E731D0" w:rsidRPr="00884668" w:rsidRDefault="00E731D0" w:rsidP="00E731D0">
            <w:pPr>
              <w:pStyle w:val="ae"/>
              <w:rPr>
                <w:b w:val="0"/>
                <w:bCs/>
              </w:rPr>
            </w:pPr>
          </w:p>
        </w:tc>
        <w:tc>
          <w:tcPr>
            <w:tcW w:w="3438" w:type="pct"/>
            <w:shd w:val="clear" w:color="auto" w:fill="auto"/>
            <w:vAlign w:val="center"/>
          </w:tcPr>
          <w:p w14:paraId="04737D50" w14:textId="7C7BC453" w:rsidR="00E731D0" w:rsidRPr="00884668" w:rsidRDefault="00E731D0" w:rsidP="00E731D0">
            <w:pPr>
              <w:pStyle w:val="af7"/>
            </w:pPr>
            <w:r w:rsidRPr="00884668">
              <w:rPr>
                <w:rFonts w:hint="eastAsia"/>
              </w:rPr>
              <w:t>当建模区域存在现有飞机噪声影响时，影响值可通过现状监测</w:t>
            </w:r>
            <w:r w:rsidRPr="00884668">
              <w:rPr>
                <w:rFonts w:hint="eastAsia"/>
              </w:rPr>
              <w:lastRenderedPageBreak/>
              <w:t>值类比确定</w:t>
            </w:r>
          </w:p>
        </w:tc>
        <w:tc>
          <w:tcPr>
            <w:tcW w:w="498" w:type="pct"/>
            <w:shd w:val="clear" w:color="auto" w:fill="auto"/>
            <w:vAlign w:val="center"/>
          </w:tcPr>
          <w:p w14:paraId="5D9B272C" w14:textId="77777777" w:rsidR="00E731D0" w:rsidRPr="00884668" w:rsidRDefault="00E731D0" w:rsidP="00E731D0">
            <w:pPr>
              <w:pStyle w:val="ae"/>
              <w:rPr>
                <w:b w:val="0"/>
                <w:bCs/>
              </w:rPr>
            </w:pPr>
          </w:p>
        </w:tc>
      </w:tr>
      <w:tr w:rsidR="00E731D0" w:rsidRPr="00884668" w14:paraId="31CACBE3" w14:textId="77777777" w:rsidTr="00E731D0">
        <w:trPr>
          <w:jc w:val="center"/>
        </w:trPr>
        <w:tc>
          <w:tcPr>
            <w:tcW w:w="338" w:type="pct"/>
            <w:vMerge w:val="restart"/>
            <w:shd w:val="clear" w:color="auto" w:fill="auto"/>
            <w:vAlign w:val="center"/>
          </w:tcPr>
          <w:p w14:paraId="27486C23" w14:textId="4BFC8CD2" w:rsidR="00E731D0" w:rsidRPr="00884668" w:rsidRDefault="00E731D0" w:rsidP="00E731D0">
            <w:pPr>
              <w:pStyle w:val="ae"/>
              <w:rPr>
                <w:b w:val="0"/>
                <w:bCs/>
              </w:rPr>
            </w:pPr>
            <w:r w:rsidRPr="00884668">
              <w:rPr>
                <w:b w:val="0"/>
                <w:bCs/>
              </w:rPr>
              <w:lastRenderedPageBreak/>
              <w:t>10</w:t>
            </w:r>
          </w:p>
        </w:tc>
        <w:tc>
          <w:tcPr>
            <w:tcW w:w="726" w:type="pct"/>
            <w:vMerge w:val="restart"/>
            <w:shd w:val="clear" w:color="auto" w:fill="auto"/>
            <w:vAlign w:val="center"/>
          </w:tcPr>
          <w:p w14:paraId="20695229" w14:textId="32B32776" w:rsidR="00E731D0" w:rsidRPr="00884668" w:rsidRDefault="00E731D0" w:rsidP="00E731D0">
            <w:pPr>
              <w:pStyle w:val="ae"/>
              <w:rPr>
                <w:b w:val="0"/>
                <w:bCs/>
              </w:rPr>
            </w:pPr>
            <w:r w:rsidRPr="00884668">
              <w:rPr>
                <w:rFonts w:hint="eastAsia"/>
                <w:b w:val="0"/>
                <w:bCs/>
              </w:rPr>
              <w:t>数值分析结果</w:t>
            </w:r>
          </w:p>
        </w:tc>
        <w:tc>
          <w:tcPr>
            <w:tcW w:w="3438" w:type="pct"/>
            <w:shd w:val="clear" w:color="auto" w:fill="auto"/>
            <w:vAlign w:val="center"/>
          </w:tcPr>
          <w:p w14:paraId="0381A166" w14:textId="1DFDA52C" w:rsidR="00E731D0" w:rsidRPr="00884668" w:rsidRDefault="00E731D0" w:rsidP="00E731D0">
            <w:pPr>
              <w:pStyle w:val="af7"/>
            </w:pPr>
            <w:r w:rsidRPr="00884668">
              <w:rPr>
                <w:rFonts w:hint="eastAsia"/>
              </w:rPr>
              <w:t>能够表达目标建筑和周边遮挡物位置关系的总平面图</w:t>
            </w:r>
          </w:p>
        </w:tc>
        <w:tc>
          <w:tcPr>
            <w:tcW w:w="498" w:type="pct"/>
            <w:shd w:val="clear" w:color="auto" w:fill="auto"/>
            <w:vAlign w:val="center"/>
          </w:tcPr>
          <w:p w14:paraId="1F1989DE" w14:textId="77777777" w:rsidR="00E731D0" w:rsidRPr="00884668" w:rsidRDefault="00E731D0" w:rsidP="00E731D0">
            <w:pPr>
              <w:pStyle w:val="ae"/>
              <w:rPr>
                <w:b w:val="0"/>
                <w:bCs/>
              </w:rPr>
            </w:pPr>
          </w:p>
        </w:tc>
      </w:tr>
      <w:tr w:rsidR="00E731D0" w:rsidRPr="00884668" w14:paraId="16A897D4" w14:textId="77777777" w:rsidTr="00E731D0">
        <w:trPr>
          <w:jc w:val="center"/>
        </w:trPr>
        <w:tc>
          <w:tcPr>
            <w:tcW w:w="338" w:type="pct"/>
            <w:vMerge/>
            <w:shd w:val="clear" w:color="auto" w:fill="auto"/>
            <w:vAlign w:val="center"/>
          </w:tcPr>
          <w:p w14:paraId="2DBB8BB9" w14:textId="77777777" w:rsidR="00E731D0" w:rsidRPr="00884668" w:rsidRDefault="00E731D0" w:rsidP="00E731D0">
            <w:pPr>
              <w:pStyle w:val="ae"/>
              <w:rPr>
                <w:b w:val="0"/>
                <w:bCs/>
              </w:rPr>
            </w:pPr>
          </w:p>
        </w:tc>
        <w:tc>
          <w:tcPr>
            <w:tcW w:w="726" w:type="pct"/>
            <w:vMerge/>
            <w:shd w:val="clear" w:color="auto" w:fill="auto"/>
            <w:vAlign w:val="center"/>
          </w:tcPr>
          <w:p w14:paraId="0EEC06F6" w14:textId="77777777" w:rsidR="00E731D0" w:rsidRPr="00884668" w:rsidRDefault="00E731D0" w:rsidP="00E731D0">
            <w:pPr>
              <w:pStyle w:val="ae"/>
              <w:rPr>
                <w:b w:val="0"/>
                <w:bCs/>
              </w:rPr>
            </w:pPr>
          </w:p>
        </w:tc>
        <w:tc>
          <w:tcPr>
            <w:tcW w:w="3438" w:type="pct"/>
            <w:shd w:val="clear" w:color="auto" w:fill="auto"/>
            <w:vAlign w:val="center"/>
          </w:tcPr>
          <w:p w14:paraId="0FD3BB2D" w14:textId="5CD55BE2" w:rsidR="00E731D0" w:rsidRPr="00884668" w:rsidRDefault="00E731D0" w:rsidP="00E731D0">
            <w:pPr>
              <w:pStyle w:val="af7"/>
            </w:pPr>
            <w:r w:rsidRPr="00884668">
              <w:rPr>
                <w:rFonts w:hint="eastAsia"/>
              </w:rPr>
              <w:t>模拟区域近地面处（地面</w:t>
            </w:r>
            <w:r w:rsidRPr="00884668">
              <w:rPr>
                <w:rFonts w:hint="eastAsia"/>
              </w:rPr>
              <w:t>1.2</w:t>
            </w:r>
            <w:r w:rsidRPr="00884668">
              <w:rPr>
                <w:rFonts w:hint="eastAsia"/>
              </w:rPr>
              <w:t>～</w:t>
            </w:r>
            <w:r w:rsidRPr="00884668">
              <w:rPr>
                <w:rFonts w:hint="eastAsia"/>
              </w:rPr>
              <w:t>1.5m</w:t>
            </w:r>
            <w:r w:rsidRPr="00884668">
              <w:rPr>
                <w:rFonts w:hint="eastAsia"/>
              </w:rPr>
              <w:t>）的昼间、夜间声场分布图</w:t>
            </w:r>
          </w:p>
        </w:tc>
        <w:tc>
          <w:tcPr>
            <w:tcW w:w="498" w:type="pct"/>
            <w:shd w:val="clear" w:color="auto" w:fill="auto"/>
            <w:vAlign w:val="center"/>
          </w:tcPr>
          <w:p w14:paraId="48C05C7A" w14:textId="77777777" w:rsidR="00E731D0" w:rsidRPr="00884668" w:rsidRDefault="00E731D0" w:rsidP="00E731D0">
            <w:pPr>
              <w:pStyle w:val="ae"/>
              <w:rPr>
                <w:b w:val="0"/>
                <w:bCs/>
              </w:rPr>
            </w:pPr>
          </w:p>
        </w:tc>
      </w:tr>
      <w:tr w:rsidR="00E731D0" w:rsidRPr="00884668" w14:paraId="724163D9" w14:textId="77777777" w:rsidTr="00E731D0">
        <w:trPr>
          <w:jc w:val="center"/>
        </w:trPr>
        <w:tc>
          <w:tcPr>
            <w:tcW w:w="338" w:type="pct"/>
            <w:vMerge/>
            <w:shd w:val="clear" w:color="auto" w:fill="auto"/>
            <w:vAlign w:val="center"/>
          </w:tcPr>
          <w:p w14:paraId="64B3F56B" w14:textId="77777777" w:rsidR="00E731D0" w:rsidRPr="00884668" w:rsidRDefault="00E731D0" w:rsidP="00E731D0">
            <w:pPr>
              <w:pStyle w:val="ae"/>
              <w:rPr>
                <w:b w:val="0"/>
                <w:bCs/>
              </w:rPr>
            </w:pPr>
          </w:p>
        </w:tc>
        <w:tc>
          <w:tcPr>
            <w:tcW w:w="726" w:type="pct"/>
            <w:vMerge/>
            <w:shd w:val="clear" w:color="auto" w:fill="auto"/>
            <w:vAlign w:val="center"/>
          </w:tcPr>
          <w:p w14:paraId="66DAEBBA" w14:textId="77777777" w:rsidR="00E731D0" w:rsidRPr="00884668" w:rsidRDefault="00E731D0" w:rsidP="00E731D0">
            <w:pPr>
              <w:pStyle w:val="ae"/>
              <w:rPr>
                <w:b w:val="0"/>
                <w:bCs/>
              </w:rPr>
            </w:pPr>
          </w:p>
        </w:tc>
        <w:tc>
          <w:tcPr>
            <w:tcW w:w="3438" w:type="pct"/>
            <w:shd w:val="clear" w:color="auto" w:fill="auto"/>
            <w:vAlign w:val="center"/>
          </w:tcPr>
          <w:p w14:paraId="779220F3" w14:textId="51A074C4" w:rsidR="00E731D0" w:rsidRPr="00884668" w:rsidRDefault="00E731D0" w:rsidP="00E731D0">
            <w:pPr>
              <w:pStyle w:val="af7"/>
            </w:pPr>
            <w:r w:rsidRPr="00884668">
              <w:rPr>
                <w:rFonts w:hint="eastAsia"/>
              </w:rPr>
              <w:t>目标建筑外立面（窗外</w:t>
            </w:r>
            <w:r w:rsidRPr="00884668">
              <w:rPr>
                <w:rFonts w:hint="eastAsia"/>
              </w:rPr>
              <w:t>1m</w:t>
            </w:r>
            <w:r w:rsidRPr="00884668">
              <w:rPr>
                <w:rFonts w:hint="eastAsia"/>
              </w:rPr>
              <w:t>）噪声预测结果表（或分析图）</w:t>
            </w:r>
          </w:p>
        </w:tc>
        <w:tc>
          <w:tcPr>
            <w:tcW w:w="498" w:type="pct"/>
            <w:shd w:val="clear" w:color="auto" w:fill="auto"/>
            <w:vAlign w:val="center"/>
          </w:tcPr>
          <w:p w14:paraId="3C06F713" w14:textId="77777777" w:rsidR="00E731D0" w:rsidRPr="00884668" w:rsidRDefault="00E731D0" w:rsidP="00E731D0">
            <w:pPr>
              <w:pStyle w:val="ae"/>
              <w:rPr>
                <w:b w:val="0"/>
                <w:bCs/>
              </w:rPr>
            </w:pPr>
          </w:p>
        </w:tc>
      </w:tr>
      <w:tr w:rsidR="00E731D0" w:rsidRPr="00884668" w14:paraId="26416256" w14:textId="77777777" w:rsidTr="00E731D0">
        <w:trPr>
          <w:jc w:val="center"/>
        </w:trPr>
        <w:tc>
          <w:tcPr>
            <w:tcW w:w="338" w:type="pct"/>
            <w:vMerge/>
            <w:shd w:val="clear" w:color="auto" w:fill="auto"/>
            <w:vAlign w:val="center"/>
          </w:tcPr>
          <w:p w14:paraId="7FA5BA25" w14:textId="77777777" w:rsidR="00E731D0" w:rsidRPr="00884668" w:rsidRDefault="00E731D0" w:rsidP="00E731D0">
            <w:pPr>
              <w:pStyle w:val="ae"/>
              <w:rPr>
                <w:b w:val="0"/>
                <w:bCs/>
              </w:rPr>
            </w:pPr>
          </w:p>
        </w:tc>
        <w:tc>
          <w:tcPr>
            <w:tcW w:w="726" w:type="pct"/>
            <w:vMerge/>
            <w:shd w:val="clear" w:color="auto" w:fill="auto"/>
            <w:vAlign w:val="center"/>
          </w:tcPr>
          <w:p w14:paraId="13E32BF5" w14:textId="77777777" w:rsidR="00E731D0" w:rsidRPr="00884668" w:rsidRDefault="00E731D0" w:rsidP="00E731D0">
            <w:pPr>
              <w:pStyle w:val="ae"/>
              <w:rPr>
                <w:b w:val="0"/>
                <w:bCs/>
              </w:rPr>
            </w:pPr>
          </w:p>
        </w:tc>
        <w:tc>
          <w:tcPr>
            <w:tcW w:w="3438" w:type="pct"/>
            <w:shd w:val="clear" w:color="auto" w:fill="auto"/>
            <w:vAlign w:val="center"/>
          </w:tcPr>
          <w:p w14:paraId="0D1A1C11" w14:textId="3566354A" w:rsidR="00E731D0" w:rsidRPr="00884668" w:rsidRDefault="00E731D0" w:rsidP="00E731D0">
            <w:pPr>
              <w:pStyle w:val="af7"/>
            </w:pPr>
            <w:r w:rsidRPr="00884668">
              <w:rPr>
                <w:rFonts w:hint="eastAsia"/>
              </w:rPr>
              <w:t>应对计算结果的上下限进行调整，声场分布图应体现出较明显的变化，并对结果进行说明</w:t>
            </w:r>
          </w:p>
        </w:tc>
        <w:tc>
          <w:tcPr>
            <w:tcW w:w="498" w:type="pct"/>
            <w:shd w:val="clear" w:color="auto" w:fill="auto"/>
            <w:vAlign w:val="center"/>
          </w:tcPr>
          <w:p w14:paraId="3DB36548" w14:textId="77777777" w:rsidR="00E731D0" w:rsidRPr="00884668" w:rsidRDefault="00E731D0" w:rsidP="00E731D0">
            <w:pPr>
              <w:pStyle w:val="ae"/>
              <w:rPr>
                <w:b w:val="0"/>
                <w:bCs/>
              </w:rPr>
            </w:pPr>
          </w:p>
        </w:tc>
      </w:tr>
    </w:tbl>
    <w:p w14:paraId="38FAC4D9" w14:textId="5E5B6832" w:rsidR="00913C78" w:rsidRPr="00913C78" w:rsidRDefault="00913C78" w:rsidP="00913C78">
      <w:pPr>
        <w:ind w:firstLine="420"/>
        <w:jc w:val="right"/>
      </w:pPr>
      <w:r w:rsidRPr="00913C78">
        <w:br w:type="page"/>
      </w:r>
      <w:r w:rsidR="00E731D0" w:rsidRPr="00913C78">
        <w:lastRenderedPageBreak/>
        <w:t xml:space="preserve"> </w:t>
      </w:r>
    </w:p>
    <w:p w14:paraId="1AD24A7E" w14:textId="153C9485" w:rsidR="00913C78" w:rsidRPr="00913C78" w:rsidRDefault="00913C78" w:rsidP="00AC08C3">
      <w:pPr>
        <w:pStyle w:val="24"/>
      </w:pPr>
      <w:bookmarkStart w:id="266" w:name="_Toc35364771"/>
      <w:r w:rsidRPr="00913C78">
        <w:rPr>
          <w:rFonts w:hint="eastAsia"/>
        </w:rPr>
        <w:t>附录</w:t>
      </w:r>
      <w:r w:rsidRPr="00913C78">
        <w:rPr>
          <w:rFonts w:hint="eastAsia"/>
        </w:rPr>
        <w:t>A.</w:t>
      </w:r>
      <w:r w:rsidRPr="00913C78">
        <w:t>2</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——室外风环境数值分析报告提纲及要求</w:t>
      </w:r>
      <w:bookmarkEnd w:id="266"/>
    </w:p>
    <w:p w14:paraId="10808A22" w14:textId="77777777" w:rsidR="00913C78" w:rsidRPr="00913C78" w:rsidRDefault="00913C78" w:rsidP="00AC08C3">
      <w:pPr>
        <w:pStyle w:val="32"/>
      </w:pPr>
      <w:bookmarkStart w:id="267" w:name="_Toc35364772"/>
      <w:bookmarkStart w:id="268" w:name="_Toc468890508"/>
      <w:r w:rsidRPr="00913C78">
        <w:rPr>
          <w:rFonts w:hint="eastAsia"/>
        </w:rPr>
        <w:t xml:space="preserve">A.2.1  </w:t>
      </w:r>
      <w:r w:rsidRPr="00913C78">
        <w:t>综合概况</w:t>
      </w:r>
      <w:bookmarkEnd w:id="267"/>
    </w:p>
    <w:p w14:paraId="2E400355" w14:textId="77777777" w:rsidR="00913C78" w:rsidRPr="00913C78" w:rsidRDefault="00913C78" w:rsidP="00913C78">
      <w:pPr>
        <w:ind w:firstLine="420"/>
      </w:pPr>
      <w:r w:rsidRPr="00913C78">
        <w:rPr>
          <w:rFonts w:hint="eastAsia"/>
        </w:rPr>
        <w:t>◎</w:t>
      </w:r>
      <w:r w:rsidRPr="00913C78">
        <w:t xml:space="preserve"> </w:t>
      </w:r>
      <w:r w:rsidRPr="00913C78">
        <w:rPr>
          <w:rFonts w:hint="eastAsia"/>
        </w:rPr>
        <w:t>项目基本信息</w:t>
      </w:r>
    </w:p>
    <w:p w14:paraId="68CCAA92"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中项目基本信息项目应包括但</w:t>
      </w:r>
      <w:r w:rsidRPr="00913C78">
        <w:t>不限于</w:t>
      </w:r>
      <w:r w:rsidRPr="00913C78">
        <w:rPr>
          <w:rFonts w:hint="eastAsia"/>
        </w:rPr>
        <w:t>：用地性质、地块组成、占地面积、建筑面积、建筑功能、建筑朝向、窗墙比、楼间距及项目周边情况（如项目</w:t>
      </w:r>
      <w:r w:rsidRPr="00913C78">
        <w:t>地形</w:t>
      </w:r>
      <w:r w:rsidRPr="00913C78">
        <w:rPr>
          <w:rFonts w:hint="eastAsia"/>
        </w:rPr>
        <w:t>、高大乔木种植生长、</w:t>
      </w:r>
      <w:r w:rsidRPr="00913C78">
        <w:t>周边建筑</w:t>
      </w:r>
      <w:r w:rsidRPr="00913C78">
        <w:rPr>
          <w:rFonts w:hint="eastAsia"/>
        </w:rPr>
        <w:t>等）等说明。</w:t>
      </w:r>
    </w:p>
    <w:p w14:paraId="0EB882F3" w14:textId="77777777" w:rsidR="00913C78" w:rsidRPr="00913C78" w:rsidRDefault="00913C78" w:rsidP="00913C78">
      <w:pPr>
        <w:ind w:firstLine="420"/>
      </w:pPr>
      <w:r w:rsidRPr="00913C78">
        <w:rPr>
          <w:rFonts w:hint="eastAsia"/>
        </w:rPr>
        <w:t>◎</w:t>
      </w:r>
      <w:r w:rsidRPr="00913C78">
        <w:t xml:space="preserve"> </w:t>
      </w:r>
      <w:r w:rsidRPr="00913C78">
        <w:rPr>
          <w:rFonts w:hint="eastAsia"/>
        </w:rPr>
        <w:t>标准要求</w:t>
      </w:r>
    </w:p>
    <w:p w14:paraId="57846AEF"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中标准要求应</w:t>
      </w:r>
      <w:r w:rsidRPr="00913C78">
        <w:t>包括：</w:t>
      </w:r>
      <w:r w:rsidRPr="00913C78">
        <w:rPr>
          <w:rFonts w:hint="eastAsia"/>
        </w:rPr>
        <w:t>对应的绿色建筑标准及条款、标准规定的计算要求、评分要求及达标要求。</w:t>
      </w:r>
    </w:p>
    <w:p w14:paraId="0E0737AE" w14:textId="77777777" w:rsidR="00913C78" w:rsidRPr="00913C78" w:rsidRDefault="00913C78" w:rsidP="00913C78">
      <w:pPr>
        <w:ind w:firstLine="420"/>
      </w:pPr>
      <w:r w:rsidRPr="00913C78">
        <w:rPr>
          <w:rFonts w:hint="eastAsia"/>
        </w:rPr>
        <w:t>◎</w:t>
      </w:r>
      <w:r w:rsidRPr="00913C78">
        <w:t xml:space="preserve"> </w:t>
      </w:r>
      <w:r w:rsidRPr="00913C78">
        <w:rPr>
          <w:rFonts w:hint="eastAsia"/>
        </w:rPr>
        <w:t>数值分析依据</w:t>
      </w:r>
    </w:p>
    <w:p w14:paraId="45EFD46B" w14:textId="77777777" w:rsidR="00913C78" w:rsidRPr="00913C78" w:rsidRDefault="00913C78" w:rsidP="00913C78">
      <w:pPr>
        <w:ind w:firstLine="420"/>
      </w:pPr>
      <w:r w:rsidRPr="00913C78">
        <w:rPr>
          <w:rFonts w:hint="eastAsia"/>
        </w:rPr>
        <w:t>数值分析依据应</w:t>
      </w:r>
      <w:r w:rsidRPr="00913C78">
        <w:t>包括</w:t>
      </w:r>
      <w:r w:rsidRPr="00913C78">
        <w:rPr>
          <w:rFonts w:hint="eastAsia"/>
        </w:rPr>
        <w:t>但</w:t>
      </w:r>
      <w:r w:rsidRPr="00913C78">
        <w:t>不限于：</w:t>
      </w:r>
      <w:r w:rsidRPr="00913C78">
        <w:rPr>
          <w:rFonts w:hint="eastAsia"/>
        </w:rPr>
        <w:t>应</w:t>
      </w:r>
      <w:r w:rsidRPr="00913C78">
        <w:t>写明</w:t>
      </w:r>
      <w:r w:rsidRPr="00913C78">
        <w:rPr>
          <w:rFonts w:hint="eastAsia"/>
        </w:rPr>
        <w:t>基础</w:t>
      </w:r>
      <w:r w:rsidRPr="00913C78">
        <w:t>数据</w:t>
      </w:r>
      <w:r w:rsidRPr="00913C78">
        <w:rPr>
          <w:rFonts w:hint="eastAsia"/>
        </w:rPr>
        <w:t>及</w:t>
      </w:r>
      <w:r w:rsidRPr="00913C78">
        <w:t>来源，例如气象参数来源、地</w:t>
      </w:r>
      <w:r w:rsidRPr="00913C78">
        <w:rPr>
          <w:rFonts w:hint="eastAsia"/>
        </w:rPr>
        <w:t>形</w:t>
      </w:r>
      <w:r w:rsidRPr="00913C78">
        <w:t>参数</w:t>
      </w:r>
      <w:r w:rsidRPr="00913C78">
        <w:rPr>
          <w:rFonts w:hint="eastAsia"/>
        </w:rPr>
        <w:t>、数值</w:t>
      </w:r>
      <w:r w:rsidRPr="00913C78">
        <w:t>分析所需的建筑信息</w:t>
      </w:r>
      <w:r w:rsidRPr="00913C78">
        <w:rPr>
          <w:rFonts w:hint="eastAsia"/>
        </w:rPr>
        <w:t>等</w:t>
      </w:r>
      <w:r w:rsidRPr="00913C78">
        <w:t>。</w:t>
      </w:r>
    </w:p>
    <w:p w14:paraId="1CB4EE48" w14:textId="77777777" w:rsidR="00913C78" w:rsidRPr="00913C78" w:rsidRDefault="00913C78" w:rsidP="00913C78">
      <w:pPr>
        <w:ind w:firstLine="420"/>
      </w:pPr>
      <w:r w:rsidRPr="00913C78">
        <w:rPr>
          <w:rFonts w:hint="eastAsia"/>
        </w:rPr>
        <w:t>数据来源</w:t>
      </w:r>
      <w:r w:rsidRPr="00913C78">
        <w:t>：</w:t>
      </w:r>
    </w:p>
    <w:p w14:paraId="6425F8BA"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当地</w:t>
      </w:r>
      <w:r w:rsidRPr="00913C78">
        <w:t>气象站</w:t>
      </w:r>
      <w:r w:rsidRPr="00913C78">
        <w:rPr>
          <w:rFonts w:hint="eastAsia"/>
        </w:rPr>
        <w:t>的</w:t>
      </w:r>
      <w:r w:rsidRPr="00913C78">
        <w:t>气象数据</w:t>
      </w:r>
      <w:r w:rsidRPr="00913C78">
        <w:rPr>
          <w:rFonts w:hint="eastAsia"/>
        </w:rPr>
        <w:t>。</w:t>
      </w:r>
    </w:p>
    <w:p w14:paraId="1FC3D6BB" w14:textId="77777777" w:rsidR="00913C78" w:rsidRPr="00913C78" w:rsidRDefault="00913C78" w:rsidP="00913C78">
      <w:pPr>
        <w:ind w:firstLine="420"/>
      </w:pPr>
      <w:r w:rsidRPr="00913C78">
        <w:t>2</w:t>
      </w:r>
      <w:r w:rsidRPr="00913C78">
        <w:rPr>
          <w:rFonts w:hint="eastAsia"/>
        </w:rPr>
        <w:t>）《民用建筑供暖通风与空气调节设计规范》（</w:t>
      </w:r>
      <w:r w:rsidRPr="00913C78">
        <w:rPr>
          <w:rFonts w:hint="eastAsia"/>
        </w:rPr>
        <w:t>GB 50736</w:t>
      </w:r>
      <w:r w:rsidRPr="00913C78">
        <w:rPr>
          <w:rFonts w:hint="eastAsia"/>
        </w:rPr>
        <w:t>—</w:t>
      </w:r>
      <w:r w:rsidRPr="00913C78">
        <w:rPr>
          <w:rFonts w:hint="eastAsia"/>
        </w:rPr>
        <w:t>2012</w:t>
      </w:r>
      <w:r w:rsidRPr="00913C78">
        <w:rPr>
          <w:rFonts w:hint="eastAsia"/>
        </w:rPr>
        <w:t>）。</w:t>
      </w:r>
    </w:p>
    <w:p w14:paraId="371191A3" w14:textId="77777777" w:rsidR="00913C78" w:rsidRPr="00913C78" w:rsidRDefault="00913C78" w:rsidP="00913C78">
      <w:pPr>
        <w:ind w:firstLine="420"/>
      </w:pPr>
      <w:r w:rsidRPr="00913C78">
        <w:t>3</w:t>
      </w:r>
      <w:r w:rsidRPr="00913C78">
        <w:rPr>
          <w:rFonts w:hint="eastAsia"/>
        </w:rPr>
        <w:t>）《中国建筑热环境分析专用气象数据集》</w:t>
      </w:r>
      <w:r w:rsidRPr="00913C78">
        <w:footnoteReference w:customMarkFollows="1" w:id="1"/>
        <w:t>*</w:t>
      </w:r>
      <w:r w:rsidRPr="00913C78">
        <w:rPr>
          <w:rFonts w:hint="eastAsia"/>
        </w:rPr>
        <w:t>。</w:t>
      </w:r>
    </w:p>
    <w:p w14:paraId="380CDB8E" w14:textId="0C2A9B22" w:rsidR="00913C78" w:rsidRPr="00913C78" w:rsidRDefault="00913C78" w:rsidP="00913C78">
      <w:pPr>
        <w:ind w:firstLine="420"/>
      </w:pPr>
      <w:r w:rsidRPr="00913C78">
        <w:rPr>
          <w:rFonts w:hint="eastAsia"/>
          <w:noProof/>
        </w:rPr>
        <mc:AlternateContent>
          <mc:Choice Requires="wps">
            <w:drawing>
              <wp:anchor distT="0" distB="0" distL="114300" distR="114300" simplePos="0" relativeHeight="251663360" behindDoc="0" locked="0" layoutInCell="1" allowOverlap="1" wp14:anchorId="3E76C438" wp14:editId="6D527CAC">
                <wp:simplePos x="0" y="0"/>
                <wp:positionH relativeFrom="column">
                  <wp:align>right</wp:align>
                </wp:positionH>
                <wp:positionV relativeFrom="paragraph">
                  <wp:posOffset>243840</wp:posOffset>
                </wp:positionV>
                <wp:extent cx="3510280" cy="73660"/>
                <wp:effectExtent l="2540" t="0" r="1905" b="0"/>
                <wp:wrapNone/>
                <wp:docPr id="17" name="矩形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0280" cy="7366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78510E2" id="矩形 17" o:spid="_x0000_s1026" style="position:absolute;left:0;text-align:left;margin-left:225.2pt;margin-top:19.2pt;width:276.4pt;height:5.8pt;z-index:251663360;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" stroked="f"/>
            </w:pict>
          </mc:Fallback>
        </mc:AlternateContent>
      </w:r>
      <w:r w:rsidRPr="00913C78">
        <w:rPr>
          <w:rFonts w:hint="eastAsia"/>
        </w:rPr>
        <w:t>分析</w:t>
      </w:r>
      <w:r w:rsidRPr="00913C78">
        <w:t>过程</w:t>
      </w:r>
      <w:r w:rsidRPr="00913C78">
        <w:rPr>
          <w:rFonts w:hint="eastAsia"/>
        </w:rPr>
        <w:t>可</w:t>
      </w:r>
      <w:r w:rsidRPr="00913C78">
        <w:t>参考</w:t>
      </w:r>
      <w:r w:rsidRPr="00913C78">
        <w:rPr>
          <w:rFonts w:hint="eastAsia"/>
        </w:rPr>
        <w:t>《</w:t>
      </w:r>
      <w:r w:rsidRPr="00913C78">
        <w:t>民用</w:t>
      </w:r>
      <w:r w:rsidRPr="00913C78">
        <w:rPr>
          <w:rFonts w:hint="eastAsia"/>
        </w:rPr>
        <w:t>建筑</w:t>
      </w:r>
      <w:r w:rsidRPr="00913C78">
        <w:t>绿色</w:t>
      </w:r>
      <w:r w:rsidRPr="00913C78">
        <w:rPr>
          <w:rFonts w:hint="eastAsia"/>
        </w:rPr>
        <w:t>性能</w:t>
      </w:r>
      <w:r w:rsidRPr="00913C78">
        <w:t>计算标准》</w:t>
      </w:r>
      <w:r w:rsidRPr="00913C78">
        <w:rPr>
          <w:rFonts w:hint="eastAsia"/>
        </w:rPr>
        <w:t>（</w:t>
      </w:r>
      <w:r w:rsidRPr="00913C78">
        <w:rPr>
          <w:rFonts w:hint="eastAsia"/>
        </w:rPr>
        <w:t>JGJ/T 449</w:t>
      </w:r>
      <w:r w:rsidRPr="00913C78">
        <w:rPr>
          <w:rFonts w:hint="eastAsia"/>
        </w:rPr>
        <w:t>—</w:t>
      </w:r>
      <w:r w:rsidRPr="00913C78">
        <w:rPr>
          <w:rFonts w:hint="eastAsia"/>
        </w:rPr>
        <w:t>2018</w:t>
      </w:r>
      <w:r w:rsidRPr="00913C78">
        <w:rPr>
          <w:rFonts w:hint="eastAsia"/>
        </w:rPr>
        <w:t>）要求</w:t>
      </w:r>
      <w:r w:rsidRPr="00913C78">
        <w:t>进行。</w:t>
      </w:r>
    </w:p>
    <w:p w14:paraId="604F990C" w14:textId="77777777" w:rsidR="00913C78" w:rsidRPr="00913C78" w:rsidRDefault="00913C78" w:rsidP="00AC08C3">
      <w:pPr>
        <w:pStyle w:val="32"/>
      </w:pPr>
      <w:r w:rsidRPr="00913C78">
        <w:br w:type="page"/>
      </w:r>
      <w:bookmarkStart w:id="269" w:name="_Toc35364773"/>
      <w:r w:rsidRPr="00913C78">
        <w:rPr>
          <w:rFonts w:hint="eastAsia"/>
        </w:rPr>
        <w:lastRenderedPageBreak/>
        <w:t xml:space="preserve">A.2.2  </w:t>
      </w:r>
      <w:r w:rsidRPr="00913C78">
        <w:rPr>
          <w:rFonts w:hint="eastAsia"/>
        </w:rPr>
        <w:t>数值分析方法</w:t>
      </w:r>
      <w:bookmarkEnd w:id="269"/>
    </w:p>
    <w:p w14:paraId="68AF3F9E" w14:textId="77777777" w:rsidR="00913C78" w:rsidRPr="00913C78" w:rsidRDefault="00913C78" w:rsidP="00913C78">
      <w:pPr>
        <w:ind w:firstLine="420"/>
      </w:pPr>
      <w:r w:rsidRPr="00913C78">
        <w:rPr>
          <w:rFonts w:hint="eastAsia"/>
        </w:rPr>
        <w:t>◎</w:t>
      </w:r>
      <w:r w:rsidRPr="00913C78">
        <w:rPr>
          <w:rFonts w:hint="eastAsia"/>
        </w:rPr>
        <w:t xml:space="preserve"> </w:t>
      </w:r>
      <w:r w:rsidRPr="00913C78">
        <w:rPr>
          <w:rFonts w:hint="eastAsia"/>
        </w:rPr>
        <w:t>分析方法</w:t>
      </w:r>
    </w:p>
    <w:p w14:paraId="26287D92"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中分析方法</w:t>
      </w:r>
      <w:r w:rsidRPr="00913C78">
        <w:t>应</w:t>
      </w:r>
      <w:r w:rsidRPr="00913C78">
        <w:rPr>
          <w:rFonts w:hint="eastAsia"/>
        </w:rPr>
        <w:t>包括但</w:t>
      </w:r>
      <w:r w:rsidRPr="00913C78">
        <w:t>不限于</w:t>
      </w:r>
      <w:r w:rsidRPr="00913C78">
        <w:rPr>
          <w:rFonts w:hint="eastAsia"/>
        </w:rPr>
        <w:t>：数值分析采用</w:t>
      </w:r>
      <w:r w:rsidRPr="00913C78">
        <w:t>的分析方法和</w:t>
      </w:r>
      <w:r w:rsidRPr="00913C78">
        <w:rPr>
          <w:rFonts w:hint="eastAsia"/>
        </w:rPr>
        <w:t>基本流程。</w:t>
      </w:r>
    </w:p>
    <w:p w14:paraId="7A661676" w14:textId="77777777" w:rsidR="00913C78" w:rsidRPr="00913C78" w:rsidRDefault="00913C78" w:rsidP="00913C78">
      <w:pPr>
        <w:ind w:firstLine="420"/>
      </w:pPr>
      <w:r w:rsidRPr="00913C78">
        <w:rPr>
          <w:rFonts w:hint="eastAsia"/>
        </w:rPr>
        <w:t>数值分析方法要求如下。</w:t>
      </w:r>
    </w:p>
    <w:p w14:paraId="3978B78F"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）模型</w:t>
      </w:r>
      <w:r w:rsidRPr="00913C78">
        <w:t>选取</w:t>
      </w:r>
    </w:p>
    <w:p w14:paraId="6726CB2E" w14:textId="77777777" w:rsidR="00913C78" w:rsidRPr="00913C78" w:rsidRDefault="00913C78" w:rsidP="00913C78">
      <w:pPr>
        <w:ind w:firstLine="420"/>
      </w:pPr>
      <w:r w:rsidRPr="00913C78">
        <w:rPr>
          <w:rFonts w:hint="eastAsia"/>
        </w:rPr>
        <w:t>数值分析</w:t>
      </w:r>
      <w:r w:rsidRPr="00913C78">
        <w:t>应根据计算对象的特征和计算目的，选择合适的湍流模型</w:t>
      </w:r>
      <w:r w:rsidRPr="00913C78">
        <w:rPr>
          <w:rFonts w:hint="eastAsia"/>
        </w:rPr>
        <w:t>，可</w:t>
      </w:r>
      <w:r w:rsidRPr="00913C78">
        <w:t>采用</w:t>
      </w:r>
      <w:r w:rsidRPr="00913C78">
        <w:t>k-ε</w:t>
      </w:r>
      <w:r w:rsidRPr="00913C78">
        <w:rPr>
          <w:rFonts w:hint="eastAsia"/>
        </w:rPr>
        <w:t>模型、</w:t>
      </w:r>
      <w:r w:rsidRPr="00913C78">
        <w:t>k-ω</w:t>
      </w:r>
      <w:r w:rsidRPr="00913C78">
        <w:t>模型</w:t>
      </w:r>
      <w:r w:rsidRPr="00913C78">
        <w:rPr>
          <w:rFonts w:hint="eastAsia"/>
        </w:rPr>
        <w:t>等；不建议使用</w:t>
      </w:r>
      <w:r w:rsidRPr="00913C78">
        <w:t>零方程模型</w:t>
      </w:r>
      <w:r w:rsidRPr="00913C78">
        <w:rPr>
          <w:rFonts w:hint="eastAsia"/>
        </w:rPr>
        <w:t>。</w:t>
      </w:r>
    </w:p>
    <w:p w14:paraId="564D8292"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）差分格式</w:t>
      </w:r>
    </w:p>
    <w:p w14:paraId="7696F33A" w14:textId="77777777" w:rsidR="00913C78" w:rsidRPr="00913C78" w:rsidRDefault="00913C78" w:rsidP="00913C78">
      <w:pPr>
        <w:ind w:firstLine="420"/>
      </w:pPr>
      <w:r w:rsidRPr="00913C78">
        <w:rPr>
          <w:rFonts w:hint="eastAsia"/>
        </w:rPr>
        <w:t>避免采用一阶差分格式。</w:t>
      </w:r>
    </w:p>
    <w:p w14:paraId="17FDF042"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w:t>
      </w:r>
      <w:r w:rsidRPr="00913C78">
        <w:t>模拟工况</w:t>
      </w:r>
      <w:r w:rsidRPr="00913C78">
        <w:rPr>
          <w:rFonts w:hint="eastAsia"/>
        </w:rPr>
        <w:t>（附表</w:t>
      </w:r>
      <w:r w:rsidRPr="00913C78">
        <w:rPr>
          <w:rFonts w:hint="eastAsia"/>
        </w:rPr>
        <w:t>A.2.1</w:t>
      </w:r>
      <w:r w:rsidRPr="00913C78">
        <w:rPr>
          <w:rFonts w:hint="eastAsia"/>
        </w:rPr>
        <w:t>）</w:t>
      </w:r>
    </w:p>
    <w:p w14:paraId="03F6D4F2" w14:textId="77777777" w:rsidR="00913C78" w:rsidRPr="00913C78" w:rsidRDefault="00913C78" w:rsidP="00AC08C3">
      <w:pPr>
        <w:pStyle w:val="ae"/>
      </w:pPr>
      <w:r w:rsidRPr="00913C78">
        <w:rPr>
          <w:rFonts w:hint="eastAsia"/>
        </w:rPr>
        <w:t>附表</w:t>
      </w:r>
      <w:r w:rsidRPr="00913C78">
        <w:rPr>
          <w:rFonts w:hint="eastAsia"/>
        </w:rPr>
        <w:t xml:space="preserve">A.2.1  </w:t>
      </w:r>
      <w:r w:rsidRPr="00913C78">
        <w:rPr>
          <w:rFonts w:hint="eastAsia"/>
        </w:rPr>
        <w:t>模拟工况</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1"/>
        <w:gridCol w:w="2527"/>
        <w:gridCol w:w="959"/>
        <w:gridCol w:w="1323"/>
        <w:gridCol w:w="1680"/>
      </w:tblGrid>
      <w:tr w:rsidR="00913C78" w:rsidRPr="00913C78" w14:paraId="2AD5DE61" w14:textId="77777777" w:rsidTr="00E731D0">
        <w:trPr>
          <w:jc w:val="center"/>
        </w:trPr>
        <w:tc>
          <w:tcPr>
            <w:tcW w:w="881" w:type="dxa"/>
            <w:shd w:val="clear" w:color="auto" w:fill="auto"/>
            <w:vAlign w:val="center"/>
          </w:tcPr>
          <w:p w14:paraId="2F53E789" w14:textId="77777777" w:rsidR="00913C78" w:rsidRPr="00913C78" w:rsidRDefault="00913C78" w:rsidP="00AC08C3">
            <w:pPr>
              <w:pStyle w:val="af7"/>
              <w:jc w:val="center"/>
            </w:pPr>
            <w:r w:rsidRPr="00913C78">
              <w:t>工况</w:t>
            </w:r>
          </w:p>
        </w:tc>
        <w:tc>
          <w:tcPr>
            <w:tcW w:w="2527" w:type="dxa"/>
            <w:shd w:val="clear" w:color="auto" w:fill="auto"/>
            <w:vAlign w:val="center"/>
          </w:tcPr>
          <w:p w14:paraId="40E63F46" w14:textId="77777777" w:rsidR="00913C78" w:rsidRPr="00913C78" w:rsidRDefault="00913C78" w:rsidP="00AC08C3">
            <w:pPr>
              <w:pStyle w:val="af7"/>
            </w:pPr>
            <w:r w:rsidRPr="00913C78">
              <w:t>基本情况</w:t>
            </w:r>
          </w:p>
        </w:tc>
        <w:tc>
          <w:tcPr>
            <w:tcW w:w="959" w:type="dxa"/>
            <w:shd w:val="clear" w:color="auto" w:fill="auto"/>
            <w:vAlign w:val="center"/>
          </w:tcPr>
          <w:p w14:paraId="5C16255D" w14:textId="77777777" w:rsidR="00913C78" w:rsidRPr="00913C78" w:rsidRDefault="00913C78" w:rsidP="00AC08C3">
            <w:pPr>
              <w:pStyle w:val="af7"/>
              <w:jc w:val="center"/>
            </w:pPr>
            <w:r w:rsidRPr="00913C78">
              <w:t>风向</w:t>
            </w:r>
          </w:p>
        </w:tc>
        <w:tc>
          <w:tcPr>
            <w:tcW w:w="1323" w:type="dxa"/>
            <w:shd w:val="clear" w:color="auto" w:fill="auto"/>
            <w:vAlign w:val="center"/>
          </w:tcPr>
          <w:p w14:paraId="58A43ED2" w14:textId="77777777" w:rsidR="00913C78" w:rsidRPr="00913C78" w:rsidRDefault="00913C78" w:rsidP="00AC08C3">
            <w:pPr>
              <w:pStyle w:val="af7"/>
              <w:jc w:val="center"/>
            </w:pPr>
            <w:r w:rsidRPr="00913C78">
              <w:t>风速</w:t>
            </w:r>
            <w:r w:rsidRPr="00913C78">
              <w:rPr>
                <w:rFonts w:hint="eastAsia"/>
              </w:rPr>
              <w:t>/</w:t>
            </w:r>
            <w:r w:rsidRPr="00913C78">
              <w:t>（</w:t>
            </w:r>
            <w:r w:rsidRPr="00913C78">
              <w:t>m/s</w:t>
            </w:r>
            <w:r w:rsidRPr="00913C78">
              <w:t>）</w:t>
            </w:r>
          </w:p>
        </w:tc>
        <w:tc>
          <w:tcPr>
            <w:tcW w:w="1680" w:type="dxa"/>
            <w:shd w:val="clear" w:color="auto" w:fill="auto"/>
            <w:vAlign w:val="center"/>
          </w:tcPr>
          <w:p w14:paraId="300AD68E" w14:textId="77777777" w:rsidR="00913C78" w:rsidRPr="00913C78" w:rsidRDefault="00913C78" w:rsidP="00AC08C3">
            <w:pPr>
              <w:pStyle w:val="af7"/>
              <w:jc w:val="center"/>
            </w:pPr>
            <w:r w:rsidRPr="00913C78">
              <w:t>主要评价内容</w:t>
            </w:r>
          </w:p>
        </w:tc>
      </w:tr>
      <w:tr w:rsidR="00913C78" w:rsidRPr="00913C78" w14:paraId="54BCE7BA" w14:textId="77777777" w:rsidTr="00E731D0">
        <w:trPr>
          <w:jc w:val="center"/>
        </w:trPr>
        <w:tc>
          <w:tcPr>
            <w:tcW w:w="881" w:type="dxa"/>
            <w:shd w:val="clear" w:color="auto" w:fill="auto"/>
            <w:vAlign w:val="center"/>
          </w:tcPr>
          <w:p w14:paraId="69C0EC14" w14:textId="77777777" w:rsidR="00913C78" w:rsidRPr="00913C78" w:rsidRDefault="00913C78" w:rsidP="00AC08C3">
            <w:pPr>
              <w:pStyle w:val="af7"/>
              <w:jc w:val="center"/>
            </w:pPr>
            <w:r w:rsidRPr="00913C78">
              <w:t>工况</w:t>
            </w:r>
            <w:r w:rsidRPr="00913C78">
              <w:t>1</w:t>
            </w:r>
          </w:p>
        </w:tc>
        <w:tc>
          <w:tcPr>
            <w:tcW w:w="2527" w:type="dxa"/>
            <w:shd w:val="clear" w:color="auto" w:fill="auto"/>
            <w:vAlign w:val="center"/>
          </w:tcPr>
          <w:p w14:paraId="292DA7FD" w14:textId="77777777" w:rsidR="00913C78" w:rsidRPr="00913C78" w:rsidRDefault="00913C78" w:rsidP="00AC08C3">
            <w:pPr>
              <w:pStyle w:val="af7"/>
            </w:pPr>
            <w:r w:rsidRPr="00913C78">
              <w:t>夏季主导风向平均风速</w:t>
            </w:r>
          </w:p>
        </w:tc>
        <w:tc>
          <w:tcPr>
            <w:tcW w:w="959" w:type="dxa"/>
            <w:shd w:val="clear" w:color="auto" w:fill="auto"/>
            <w:vAlign w:val="center"/>
          </w:tcPr>
          <w:p w14:paraId="57925DE4" w14:textId="77777777" w:rsidR="00913C78" w:rsidRPr="00913C78" w:rsidRDefault="00913C78" w:rsidP="00AC08C3">
            <w:pPr>
              <w:pStyle w:val="af7"/>
              <w:jc w:val="center"/>
            </w:pPr>
            <w:r w:rsidRPr="00913C78">
              <w:t>ENE</w:t>
            </w:r>
          </w:p>
        </w:tc>
        <w:tc>
          <w:tcPr>
            <w:tcW w:w="1323" w:type="dxa"/>
            <w:shd w:val="clear" w:color="auto" w:fill="auto"/>
            <w:vAlign w:val="center"/>
          </w:tcPr>
          <w:p w14:paraId="2528CA86" w14:textId="77777777" w:rsidR="00913C78" w:rsidRPr="00913C78" w:rsidRDefault="00913C78" w:rsidP="00AC08C3">
            <w:pPr>
              <w:pStyle w:val="af7"/>
              <w:jc w:val="center"/>
            </w:pPr>
            <w:r w:rsidRPr="00913C78">
              <w:t>1.1</w:t>
            </w:r>
          </w:p>
        </w:tc>
        <w:tc>
          <w:tcPr>
            <w:tcW w:w="1680" w:type="dxa"/>
            <w:shd w:val="clear" w:color="auto" w:fill="auto"/>
            <w:vAlign w:val="center"/>
          </w:tcPr>
          <w:p w14:paraId="28EE303A" w14:textId="77777777" w:rsidR="00913C78" w:rsidRPr="00913C78" w:rsidRDefault="00913C78" w:rsidP="00AC08C3">
            <w:pPr>
              <w:pStyle w:val="af7"/>
              <w:jc w:val="center"/>
            </w:pPr>
            <w:r w:rsidRPr="00913C78">
              <w:t>自然通风</w:t>
            </w:r>
          </w:p>
        </w:tc>
      </w:tr>
      <w:tr w:rsidR="00913C78" w:rsidRPr="00913C78" w14:paraId="73BE01A9" w14:textId="77777777" w:rsidTr="00E731D0">
        <w:trPr>
          <w:jc w:val="center"/>
        </w:trPr>
        <w:tc>
          <w:tcPr>
            <w:tcW w:w="881" w:type="dxa"/>
            <w:shd w:val="clear" w:color="auto" w:fill="auto"/>
            <w:vAlign w:val="center"/>
          </w:tcPr>
          <w:p w14:paraId="6E12AF6C" w14:textId="77777777" w:rsidR="00913C78" w:rsidRPr="00913C78" w:rsidRDefault="00913C78" w:rsidP="00AC08C3">
            <w:pPr>
              <w:pStyle w:val="af7"/>
              <w:jc w:val="center"/>
            </w:pPr>
            <w:r w:rsidRPr="00913C78">
              <w:t>工况</w:t>
            </w:r>
            <w:r w:rsidRPr="00913C78">
              <w:t>2</w:t>
            </w:r>
          </w:p>
        </w:tc>
        <w:tc>
          <w:tcPr>
            <w:tcW w:w="2527" w:type="dxa"/>
            <w:shd w:val="clear" w:color="auto" w:fill="auto"/>
            <w:vAlign w:val="center"/>
          </w:tcPr>
          <w:p w14:paraId="5DE0AECE" w14:textId="77777777" w:rsidR="00913C78" w:rsidRPr="00913C78" w:rsidRDefault="00913C78" w:rsidP="00AC08C3">
            <w:pPr>
              <w:pStyle w:val="af7"/>
            </w:pPr>
            <w:r w:rsidRPr="00913C78">
              <w:t>过渡季主导风向平均风速</w:t>
            </w:r>
          </w:p>
        </w:tc>
        <w:tc>
          <w:tcPr>
            <w:tcW w:w="959" w:type="dxa"/>
            <w:shd w:val="clear" w:color="auto" w:fill="auto"/>
            <w:vAlign w:val="center"/>
          </w:tcPr>
          <w:p w14:paraId="0F9EF652" w14:textId="77777777" w:rsidR="00913C78" w:rsidRPr="00913C78" w:rsidRDefault="00913C78" w:rsidP="00AC08C3">
            <w:pPr>
              <w:pStyle w:val="af7"/>
              <w:jc w:val="center"/>
            </w:pPr>
            <w:r w:rsidRPr="00913C78">
              <w:t>NNW</w:t>
            </w:r>
          </w:p>
        </w:tc>
        <w:tc>
          <w:tcPr>
            <w:tcW w:w="1323" w:type="dxa"/>
            <w:shd w:val="clear" w:color="auto" w:fill="auto"/>
            <w:vAlign w:val="center"/>
          </w:tcPr>
          <w:p w14:paraId="605C6754" w14:textId="77777777" w:rsidR="00913C78" w:rsidRPr="00913C78" w:rsidRDefault="00913C78" w:rsidP="00AC08C3">
            <w:pPr>
              <w:pStyle w:val="af7"/>
              <w:jc w:val="center"/>
            </w:pPr>
            <w:r w:rsidRPr="00913C78">
              <w:t>2</w:t>
            </w:r>
          </w:p>
        </w:tc>
        <w:tc>
          <w:tcPr>
            <w:tcW w:w="1680" w:type="dxa"/>
            <w:shd w:val="clear" w:color="auto" w:fill="auto"/>
            <w:vAlign w:val="center"/>
          </w:tcPr>
          <w:p w14:paraId="53F4DC8D" w14:textId="77777777" w:rsidR="00913C78" w:rsidRPr="00913C78" w:rsidRDefault="00913C78" w:rsidP="00AC08C3">
            <w:pPr>
              <w:pStyle w:val="af7"/>
              <w:jc w:val="center"/>
            </w:pPr>
            <w:r w:rsidRPr="00913C78">
              <w:t>自然通风</w:t>
            </w:r>
          </w:p>
        </w:tc>
      </w:tr>
      <w:tr w:rsidR="00913C78" w:rsidRPr="00913C78" w14:paraId="44D2E702" w14:textId="77777777" w:rsidTr="00E731D0">
        <w:trPr>
          <w:jc w:val="center"/>
        </w:trPr>
        <w:tc>
          <w:tcPr>
            <w:tcW w:w="881" w:type="dxa"/>
            <w:shd w:val="clear" w:color="auto" w:fill="auto"/>
            <w:vAlign w:val="center"/>
          </w:tcPr>
          <w:p w14:paraId="5B529493" w14:textId="77777777" w:rsidR="00913C78" w:rsidRPr="00913C78" w:rsidRDefault="00913C78" w:rsidP="00AC08C3">
            <w:pPr>
              <w:pStyle w:val="af7"/>
              <w:jc w:val="center"/>
            </w:pPr>
            <w:r w:rsidRPr="00913C78">
              <w:t>工况</w:t>
            </w:r>
            <w:r w:rsidRPr="00913C78">
              <w:t>3</w:t>
            </w:r>
          </w:p>
        </w:tc>
        <w:tc>
          <w:tcPr>
            <w:tcW w:w="2527" w:type="dxa"/>
            <w:shd w:val="clear" w:color="auto" w:fill="auto"/>
            <w:vAlign w:val="center"/>
          </w:tcPr>
          <w:p w14:paraId="0A1A9FB3" w14:textId="77777777" w:rsidR="00913C78" w:rsidRPr="00913C78" w:rsidRDefault="00913C78" w:rsidP="00AC08C3">
            <w:pPr>
              <w:pStyle w:val="af7"/>
            </w:pPr>
            <w:r w:rsidRPr="00913C78">
              <w:t>冬季主导风向平均风速</w:t>
            </w:r>
          </w:p>
        </w:tc>
        <w:tc>
          <w:tcPr>
            <w:tcW w:w="959" w:type="dxa"/>
            <w:shd w:val="clear" w:color="auto" w:fill="auto"/>
            <w:vAlign w:val="center"/>
          </w:tcPr>
          <w:p w14:paraId="3A6D56C4" w14:textId="77777777" w:rsidR="00913C78" w:rsidRPr="00913C78" w:rsidRDefault="00913C78" w:rsidP="00AC08C3">
            <w:pPr>
              <w:pStyle w:val="af7"/>
              <w:jc w:val="center"/>
            </w:pPr>
            <w:r w:rsidRPr="00913C78">
              <w:t>NNE</w:t>
            </w:r>
          </w:p>
        </w:tc>
        <w:tc>
          <w:tcPr>
            <w:tcW w:w="1323" w:type="dxa"/>
            <w:shd w:val="clear" w:color="auto" w:fill="auto"/>
            <w:vAlign w:val="center"/>
          </w:tcPr>
          <w:p w14:paraId="0FA674A6" w14:textId="77777777" w:rsidR="00913C78" w:rsidRPr="00913C78" w:rsidRDefault="00913C78" w:rsidP="00AC08C3">
            <w:pPr>
              <w:pStyle w:val="af7"/>
              <w:jc w:val="center"/>
            </w:pPr>
            <w:r w:rsidRPr="00913C78">
              <w:t>1.6</w:t>
            </w:r>
          </w:p>
        </w:tc>
        <w:tc>
          <w:tcPr>
            <w:tcW w:w="1680" w:type="dxa"/>
            <w:shd w:val="clear" w:color="auto" w:fill="auto"/>
            <w:vAlign w:val="center"/>
          </w:tcPr>
          <w:p w14:paraId="7FD5B6CE" w14:textId="77777777" w:rsidR="00913C78" w:rsidRPr="00913C78" w:rsidRDefault="00913C78" w:rsidP="00AC08C3">
            <w:pPr>
              <w:pStyle w:val="af7"/>
              <w:jc w:val="center"/>
            </w:pPr>
            <w:r w:rsidRPr="00913C78">
              <w:t>行人舒适性、防风节能</w:t>
            </w:r>
          </w:p>
        </w:tc>
      </w:tr>
    </w:tbl>
    <w:p w14:paraId="69F52066" w14:textId="77777777" w:rsidR="00913C78" w:rsidRPr="00913C78" w:rsidRDefault="00913C78" w:rsidP="00913C78">
      <w:pPr>
        <w:ind w:firstLine="420"/>
      </w:pPr>
    </w:p>
    <w:p w14:paraId="7BE8DFBD" w14:textId="77777777" w:rsidR="00913C78" w:rsidRPr="00913C78" w:rsidRDefault="00913C78" w:rsidP="00913C78">
      <w:pPr>
        <w:ind w:firstLine="420"/>
      </w:pPr>
      <w:r w:rsidRPr="00913C78">
        <w:rPr>
          <w:rFonts w:hint="eastAsia"/>
        </w:rPr>
        <w:t>◎</w:t>
      </w:r>
      <w:r w:rsidRPr="00913C78">
        <w:rPr>
          <w:rFonts w:hint="eastAsia"/>
        </w:rPr>
        <w:t xml:space="preserve"> </w:t>
      </w:r>
      <w:r w:rsidRPr="00913C78">
        <w:t>数值分析软件</w:t>
      </w:r>
    </w:p>
    <w:p w14:paraId="2FDC4B13" w14:textId="77777777" w:rsidR="00913C78" w:rsidRPr="00913C78" w:rsidRDefault="00913C78" w:rsidP="00913C78">
      <w:pPr>
        <w:ind w:firstLine="420"/>
      </w:pPr>
      <w:r w:rsidRPr="00913C78">
        <w:rPr>
          <w:rFonts w:hint="eastAsia"/>
        </w:rPr>
        <w:t>数值分析</w:t>
      </w:r>
      <w:r w:rsidRPr="00913C78">
        <w:t>报告应</w:t>
      </w:r>
      <w:r w:rsidRPr="00913C78">
        <w:rPr>
          <w:rFonts w:hint="eastAsia"/>
        </w:rPr>
        <w:t>包括</w:t>
      </w:r>
      <w:r w:rsidRPr="00913C78">
        <w:t>：</w:t>
      </w:r>
      <w:r w:rsidRPr="00913C78">
        <w:rPr>
          <w:rFonts w:hint="eastAsia"/>
        </w:rPr>
        <w:t>数值分析计算软件的</w:t>
      </w:r>
      <w:r w:rsidRPr="00913C78">
        <w:t>介绍。</w:t>
      </w:r>
      <w:r w:rsidRPr="00913C78">
        <w:rPr>
          <w:rFonts w:hint="eastAsia"/>
        </w:rPr>
        <w:t>常用</w:t>
      </w:r>
      <w:r w:rsidRPr="00913C78">
        <w:t>数值分析软件</w:t>
      </w:r>
      <w:r w:rsidRPr="00913C78">
        <w:rPr>
          <w:rFonts w:hint="eastAsia"/>
        </w:rPr>
        <w:t>有以下几种。</w:t>
      </w:r>
    </w:p>
    <w:p w14:paraId="3138E3A8"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w:t>
      </w:r>
      <w:r w:rsidRPr="00913C78">
        <w:t>FLUENT</w:t>
      </w:r>
    </w:p>
    <w:p w14:paraId="6E827002" w14:textId="2E8CF06D" w:rsidR="00913C78" w:rsidRPr="00913C78" w:rsidRDefault="00913C78" w:rsidP="00AC2900">
      <w:pPr>
        <w:ind w:firstLine="420"/>
      </w:pPr>
      <w:r w:rsidRPr="00913C78">
        <w:rPr>
          <w:rFonts w:hint="eastAsia"/>
        </w:rPr>
        <w:t>CFD</w:t>
      </w:r>
      <w:r w:rsidRPr="00913C78">
        <w:rPr>
          <w:rFonts w:hint="eastAsia"/>
        </w:rPr>
        <w:t>商业软件</w:t>
      </w:r>
      <w:r w:rsidRPr="00913C78">
        <w:rPr>
          <w:rFonts w:hint="eastAsia"/>
        </w:rPr>
        <w:t>FLUENT</w:t>
      </w:r>
      <w:r w:rsidRPr="00913C78">
        <w:rPr>
          <w:rFonts w:hint="eastAsia"/>
        </w:rPr>
        <w:t>，是通用</w:t>
      </w:r>
      <w:r w:rsidRPr="00913C78">
        <w:rPr>
          <w:rFonts w:hint="eastAsia"/>
        </w:rPr>
        <w:t>CFD</w:t>
      </w:r>
      <w:r w:rsidRPr="00913C78">
        <w:rPr>
          <w:rFonts w:hint="eastAsia"/>
        </w:rPr>
        <w:t>软件包，用来数值分析从不可压缩到高度可压缩范围内的复杂流动。由于采用了多种求解方法和多重网格加速收敛技术，因而</w:t>
      </w:r>
      <w:r w:rsidRPr="00913C78">
        <w:rPr>
          <w:rFonts w:hint="eastAsia"/>
        </w:rPr>
        <w:t>FLUENT</w:t>
      </w:r>
      <w:r w:rsidRPr="00913C78">
        <w:rPr>
          <w:rFonts w:hint="eastAsia"/>
        </w:rPr>
        <w:t>能达到最佳的收敛速度和求解精度。</w:t>
      </w:r>
      <w:r w:rsidRPr="00913C78">
        <w:rPr>
          <w:rFonts w:hint="eastAsia"/>
        </w:rPr>
        <w:t>FLUENT</w:t>
      </w:r>
      <w:r w:rsidRPr="00913C78">
        <w:rPr>
          <w:rFonts w:hint="eastAsia"/>
        </w:rPr>
        <w:t>软件包含三种算法：非耦合隐式算法、耦合显式算法和耦合隐式算法，</w:t>
      </w:r>
      <w:r w:rsidRPr="00913C78">
        <w:rPr>
          <w:rFonts w:hint="eastAsia"/>
        </w:rPr>
        <w:t>FLUENT</w:t>
      </w:r>
      <w:r w:rsidRPr="00913C78">
        <w:rPr>
          <w:rFonts w:hint="eastAsia"/>
        </w:rPr>
        <w:t>软件包含丰富而先进的物理模型，使得用户能够精确地数值分析无黏流、层流和湍流。湍流模型包含</w:t>
      </w:r>
      <w:r w:rsidRPr="00913C78">
        <w:rPr>
          <w:rFonts w:hint="eastAsia"/>
        </w:rPr>
        <w:t>Spalart-Allmaras</w:t>
      </w:r>
      <w:r w:rsidRPr="00913C78">
        <w:rPr>
          <w:rFonts w:hint="eastAsia"/>
        </w:rPr>
        <w:t>模型、</w:t>
      </w:r>
      <m:oMath>
        <m:r>
          <w:rPr>
            <w:rFonts w:ascii="Cambria Math"/>
            <w:noProof/>
          </w:rPr>
          <m:t>k</m:t>
        </m:r>
        <m:r>
          <w:rPr>
            <w:rFonts w:ascii="Cambria Math"/>
            <w:noProof/>
          </w:rPr>
          <m:t>-</m:t>
        </m:r>
        <m:r>
          <w:rPr>
            <w:rFonts w:ascii="Cambria Math"/>
            <w:noProof/>
          </w:rPr>
          <m:t>ω</m:t>
        </m:r>
      </m:oMath>
      <w:r w:rsidRPr="00913C78">
        <w:rPr>
          <w:rFonts w:hint="eastAsia"/>
        </w:rPr>
        <w:t>模型组、</w:t>
      </w:r>
      <m:oMath>
        <m:r>
          <w:rPr>
            <w:rFonts w:ascii="Cambria Math"/>
            <w:noProof/>
          </w:rPr>
          <m:t>k</m:t>
        </m:r>
        <m:r>
          <w:rPr>
            <w:rFonts w:ascii="Cambria Math"/>
            <w:noProof/>
          </w:rPr>
          <m:t>-</m:t>
        </m:r>
        <m:r>
          <w:rPr>
            <w:rFonts w:ascii="Cambria Math"/>
            <w:noProof/>
          </w:rPr>
          <m:t>ε</m:t>
        </m:r>
      </m:oMath>
      <w:r w:rsidRPr="00913C78">
        <w:rPr>
          <w:rFonts w:hint="eastAsia"/>
        </w:rPr>
        <w:t>模型组、雷诺应力模型（</w:t>
      </w:r>
      <w:r w:rsidRPr="00913C78">
        <w:rPr>
          <w:rFonts w:hint="eastAsia"/>
        </w:rPr>
        <w:t>RSM</w:t>
      </w:r>
      <w:r w:rsidRPr="00913C78">
        <w:rPr>
          <w:rFonts w:hint="eastAsia"/>
        </w:rPr>
        <w:t>）组以及最新的分离涡数值分析（</w:t>
      </w:r>
      <w:r w:rsidRPr="00913C78">
        <w:rPr>
          <w:rFonts w:hint="eastAsia"/>
        </w:rPr>
        <w:t>DES</w:t>
      </w:r>
      <w:r w:rsidRPr="00913C78">
        <w:rPr>
          <w:rFonts w:hint="eastAsia"/>
        </w:rPr>
        <w:t>）和</w:t>
      </w:r>
      <w:r w:rsidRPr="00913C78">
        <w:rPr>
          <w:rFonts w:hint="eastAsia"/>
        </w:rPr>
        <w:t>V2F</w:t>
      </w:r>
      <w:r w:rsidRPr="00913C78">
        <w:rPr>
          <w:rFonts w:hint="eastAsia"/>
        </w:rPr>
        <w:t>模型等。另外用户还可以定制或添加自己的湍流模型</w:t>
      </w:r>
      <w:r w:rsidRPr="00913C78">
        <w:t>。</w:t>
      </w:r>
    </w:p>
    <w:p w14:paraId="1D0FDD9C"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w:t>
      </w:r>
      <w:r w:rsidRPr="00913C78">
        <w:t>PHOENICS</w:t>
      </w:r>
    </w:p>
    <w:p w14:paraId="04B57E45" w14:textId="77777777" w:rsidR="00913C78" w:rsidRPr="00913C78" w:rsidRDefault="00913C78" w:rsidP="00913C78">
      <w:pPr>
        <w:ind w:firstLine="420"/>
      </w:pPr>
      <w:r w:rsidRPr="00913C78">
        <w:lastRenderedPageBreak/>
        <w:t>PHOENICS</w:t>
      </w:r>
      <w:r w:rsidRPr="00913C78">
        <w:t>是英国</w:t>
      </w:r>
      <w:r w:rsidRPr="00913C78">
        <w:t>CHAM</w:t>
      </w:r>
      <w:r w:rsidRPr="00913C78">
        <w:t>公司开发的数值分析传热、流动、反应、燃烧过程的通用</w:t>
      </w:r>
      <w:r w:rsidRPr="00913C78">
        <w:t>CFD</w:t>
      </w:r>
      <w:r w:rsidRPr="00913C78">
        <w:t>软件，有</w:t>
      </w:r>
      <w:r w:rsidRPr="00913C78">
        <w:t>30</w:t>
      </w:r>
      <w:r w:rsidRPr="00913C78">
        <w:t>多年的历史。网格系统包括：直角、圆柱、曲面（包括非正交和运动网格，但在其</w:t>
      </w:r>
      <w:r w:rsidRPr="00913C78">
        <w:t>VR</w:t>
      </w:r>
      <w:r w:rsidRPr="00913C78">
        <w:t>环境不可以）、多重网格</w:t>
      </w:r>
      <w:r w:rsidRPr="00913C78">
        <w:rPr>
          <w:rFonts w:hint="eastAsia"/>
        </w:rPr>
        <w:t>和</w:t>
      </w:r>
      <w:r w:rsidRPr="00913C78">
        <w:t>精密网格。</w:t>
      </w:r>
      <w:r w:rsidRPr="00913C78">
        <w:rPr>
          <w:rFonts w:hint="eastAsia"/>
        </w:rPr>
        <w:t>PHOENICS</w:t>
      </w:r>
      <w:r w:rsidRPr="00913C78">
        <w:t>可以对三维稳态或非稳态的可压缩流或不可压缩流进行数值分析，包括非牛顿流、多孔介质中的流动，并且可以考虑</w:t>
      </w:r>
      <w:r w:rsidRPr="00913C78">
        <w:rPr>
          <w:rFonts w:hint="eastAsia"/>
        </w:rPr>
        <w:t>黏</w:t>
      </w:r>
      <w:r w:rsidRPr="00913C78">
        <w:t>度、密度、温度变化的影响。</w:t>
      </w:r>
    </w:p>
    <w:p w14:paraId="41B9D351" w14:textId="77777777" w:rsidR="00913C78" w:rsidRPr="00913C78" w:rsidRDefault="00913C78" w:rsidP="00913C78">
      <w:pPr>
        <w:ind w:firstLine="420"/>
      </w:pPr>
      <w:bookmarkStart w:id="270" w:name="OLE_LINK31"/>
      <w:r w:rsidRPr="00913C78">
        <w:rPr>
          <w:rFonts w:hint="eastAsia"/>
        </w:rPr>
        <w:t>（</w:t>
      </w:r>
      <w:r w:rsidRPr="00913C78">
        <w:rPr>
          <w:rFonts w:hint="eastAsia"/>
        </w:rPr>
        <w:t>3</w:t>
      </w:r>
      <w:r w:rsidRPr="00913C78">
        <w:rPr>
          <w:rFonts w:hint="eastAsia"/>
        </w:rPr>
        <w:t>）</w:t>
      </w:r>
      <w:r w:rsidRPr="00913C78">
        <w:rPr>
          <w:rFonts w:hint="eastAsia"/>
        </w:rPr>
        <w:t xml:space="preserve">Fluent </w:t>
      </w:r>
      <w:r w:rsidRPr="00913C78">
        <w:t>Airpak</w:t>
      </w:r>
    </w:p>
    <w:p w14:paraId="10EC9163" w14:textId="77777777" w:rsidR="00913C78" w:rsidRPr="00913C78" w:rsidRDefault="00913C78" w:rsidP="00913C78">
      <w:pPr>
        <w:ind w:firstLine="420"/>
      </w:pPr>
      <w:r w:rsidRPr="00913C78">
        <w:t>Fluent Airpak</w:t>
      </w:r>
      <w:r w:rsidRPr="00913C78">
        <w:t>是面向工程师、建筑师和室内设计师的专业领域工程师的专业</w:t>
      </w:r>
      <w:hyperlink r:id="rId55" w:tgtFrame="_blank" w:history="1">
        <w:r w:rsidRPr="00913C78">
          <w:t>人工环境</w:t>
        </w:r>
      </w:hyperlink>
      <w:r w:rsidRPr="00913C78">
        <w:t>系统分析软件，特别是</w:t>
      </w:r>
      <w:hyperlink r:id="rId56" w:tgtFrame="_blank" w:history="1">
        <w:r w:rsidRPr="00913C78">
          <w:t>HVAC</w:t>
        </w:r>
      </w:hyperlink>
      <w:r w:rsidRPr="00913C78">
        <w:t>领域。它可精确地数值</w:t>
      </w:r>
      <w:r w:rsidRPr="00913C78">
        <w:rPr>
          <w:rFonts w:hint="eastAsia"/>
        </w:rPr>
        <w:t>模拟</w:t>
      </w:r>
      <w:r w:rsidRPr="00913C78">
        <w:t>分析所研究对象内的空气流动、</w:t>
      </w:r>
      <w:hyperlink r:id="rId57" w:tgtFrame="_blank" w:history="1">
        <w:r w:rsidRPr="00913C78">
          <w:t>传热</w:t>
        </w:r>
      </w:hyperlink>
      <w:r w:rsidRPr="00913C78">
        <w:t>和污染等物理现象，它可准确地数值分析通风系统的空气流动、空气品质、传热、污染和舒适度等问题，并依照</w:t>
      </w:r>
      <w:r w:rsidRPr="00913C78">
        <w:t>ISO 7730</w:t>
      </w:r>
      <w:r w:rsidRPr="00913C78">
        <w:t>标准提供舒适度、</w:t>
      </w:r>
      <w:r w:rsidRPr="00913C78">
        <w:t>PMV</w:t>
      </w:r>
      <w:r w:rsidRPr="00913C78">
        <w:t>、</w:t>
      </w:r>
      <w:r w:rsidRPr="00913C78">
        <w:t>PPD</w:t>
      </w:r>
      <w:r w:rsidRPr="00913C78">
        <w:t>等衡量室内空气质量（</w:t>
      </w:r>
      <w:r w:rsidRPr="00913C78">
        <w:t>IAQ</w:t>
      </w:r>
      <w:r w:rsidRPr="00913C78">
        <w:t>）的技术指标</w:t>
      </w:r>
      <w:r w:rsidRPr="00913C78">
        <w:rPr>
          <w:rFonts w:hint="eastAsia"/>
        </w:rPr>
        <w:t>，</w:t>
      </w:r>
      <w:r w:rsidRPr="00913C78">
        <w:t>从而减少设计成本，降低设计风险，缩短设计周期。</w:t>
      </w:r>
      <w:r w:rsidRPr="00913C78">
        <w:t>Fluent Airpak 3.0</w:t>
      </w:r>
      <w:r w:rsidRPr="00913C78">
        <w:t>是目前国际上比较流行的商用</w:t>
      </w:r>
      <w:r w:rsidRPr="00913C78">
        <w:t>CFD</w:t>
      </w:r>
      <w:r w:rsidRPr="00913C78">
        <w:t>软件。</w:t>
      </w:r>
    </w:p>
    <w:bookmarkEnd w:id="270"/>
    <w:p w14:paraId="5E9236F7" w14:textId="77777777" w:rsidR="00913C78" w:rsidRPr="00913C78" w:rsidRDefault="00913C78" w:rsidP="00913C78">
      <w:pPr>
        <w:ind w:firstLine="420"/>
      </w:pPr>
      <w:r w:rsidRPr="00913C78">
        <w:rPr>
          <w:rFonts w:hint="eastAsia"/>
        </w:rPr>
        <w:t>（</w:t>
      </w:r>
      <w:r w:rsidRPr="00913C78">
        <w:rPr>
          <w:rFonts w:hint="eastAsia"/>
        </w:rPr>
        <w:t>4</w:t>
      </w:r>
      <w:r w:rsidRPr="00913C78">
        <w:rPr>
          <w:rFonts w:hint="eastAsia"/>
        </w:rPr>
        <w:t>）</w:t>
      </w:r>
      <w:r w:rsidRPr="00913C78">
        <w:rPr>
          <w:rFonts w:hint="eastAsia"/>
        </w:rPr>
        <w:t>A</w:t>
      </w:r>
      <w:r w:rsidRPr="00913C78">
        <w:t>nsys</w:t>
      </w:r>
      <w:r w:rsidRPr="00913C78">
        <w:rPr>
          <w:rFonts w:hint="eastAsia"/>
        </w:rPr>
        <w:t xml:space="preserve"> CFX</w:t>
      </w:r>
    </w:p>
    <w:p w14:paraId="2A537DD2" w14:textId="77777777" w:rsidR="00913C78" w:rsidRPr="00913C78" w:rsidRDefault="00913C78" w:rsidP="00913C78">
      <w:pPr>
        <w:ind w:firstLine="420"/>
      </w:pPr>
      <w:r w:rsidRPr="00913C78">
        <w:rPr>
          <w:rFonts w:hint="eastAsia"/>
        </w:rPr>
        <w:t>A</w:t>
      </w:r>
      <w:r w:rsidRPr="00913C78">
        <w:t>nsys</w:t>
      </w:r>
      <w:r w:rsidRPr="00913C78">
        <w:rPr>
          <w:rFonts w:hint="eastAsia"/>
        </w:rPr>
        <w:t xml:space="preserve"> CFX</w:t>
      </w:r>
      <w:r w:rsidRPr="00913C78">
        <w:rPr>
          <w:rFonts w:hint="eastAsia"/>
        </w:rPr>
        <w:t>包括从固体力学、流体力学、传热学、电学、磁学等在内的多物理场及多场耦合整体解决方案。</w:t>
      </w:r>
      <w:r w:rsidRPr="00913C78">
        <w:rPr>
          <w:rFonts w:hint="eastAsia"/>
        </w:rPr>
        <w:t>A</w:t>
      </w:r>
      <w:r w:rsidRPr="00913C78">
        <w:t>nsys</w:t>
      </w:r>
      <w:r w:rsidRPr="00913C78">
        <w:rPr>
          <w:rFonts w:hint="eastAsia"/>
        </w:rPr>
        <w:t xml:space="preserve"> CFX</w:t>
      </w:r>
      <w:r w:rsidRPr="00913C78">
        <w:rPr>
          <w:rFonts w:hint="eastAsia"/>
        </w:rPr>
        <w:t>采用基于有限元的有限体积法的数值方法和自适应多网格技术进行</w:t>
      </w:r>
      <w:r w:rsidRPr="00913C78">
        <w:t>数值计算</w:t>
      </w:r>
      <w:r w:rsidRPr="00913C78">
        <w:rPr>
          <w:rFonts w:hint="eastAsia"/>
        </w:rPr>
        <w:t>。</w:t>
      </w:r>
      <w:r w:rsidRPr="00913C78">
        <w:rPr>
          <w:rFonts w:hint="eastAsia"/>
        </w:rPr>
        <w:t>CFX 4</w:t>
      </w:r>
      <w:r w:rsidRPr="00913C78">
        <w:rPr>
          <w:rFonts w:hint="eastAsia"/>
        </w:rPr>
        <w:t>引进了各种公认的湍流模型，如</w:t>
      </w:r>
      <w:r w:rsidRPr="00913C78">
        <w:rPr>
          <w:rFonts w:hint="eastAsia"/>
        </w:rPr>
        <w:t>k-</w:t>
      </w:r>
      <w:r w:rsidRPr="00913C78">
        <w:rPr>
          <w:rFonts w:hint="eastAsia"/>
        </w:rPr>
        <w:sym w:font="Symbol" w:char="F065"/>
      </w:r>
      <w:r w:rsidRPr="00913C78">
        <w:t> </w:t>
      </w:r>
      <w:r w:rsidRPr="00913C78">
        <w:rPr>
          <w:rFonts w:hint="eastAsia"/>
        </w:rPr>
        <w:t>模型、低雷诺数</w:t>
      </w:r>
      <w:r w:rsidRPr="00913C78">
        <w:rPr>
          <w:rFonts w:hint="eastAsia"/>
        </w:rPr>
        <w:t>k-</w:t>
      </w:r>
      <w:r w:rsidRPr="00913C78">
        <w:rPr>
          <w:rFonts w:hint="eastAsia"/>
        </w:rPr>
        <w:sym w:font="Symbol" w:char="F065"/>
      </w:r>
      <w:r w:rsidRPr="00913C78">
        <w:t> </w:t>
      </w:r>
      <w:r w:rsidRPr="00913C78">
        <w:rPr>
          <w:rFonts w:hint="eastAsia"/>
        </w:rPr>
        <w:t>模型、</w:t>
      </w:r>
      <w:r w:rsidRPr="00913C78">
        <w:rPr>
          <w:rFonts w:hint="eastAsia"/>
        </w:rPr>
        <w:t>RNG k-</w:t>
      </w:r>
      <w:r w:rsidRPr="00913C78">
        <w:rPr>
          <w:rFonts w:hint="eastAsia"/>
        </w:rPr>
        <w:sym w:font="Symbol" w:char="F065"/>
      </w:r>
      <w:r w:rsidRPr="00913C78">
        <w:t> </w:t>
      </w:r>
      <w:r w:rsidRPr="00913C78">
        <w:rPr>
          <w:rFonts w:hint="eastAsia"/>
        </w:rPr>
        <w:t>模型、代数雷诺应力模型、微分雷诺应力模型、微分雷诺通量模型等。</w:t>
      </w:r>
      <w:r w:rsidRPr="00913C78">
        <w:rPr>
          <w:rFonts w:hint="eastAsia"/>
        </w:rPr>
        <w:t>A</w:t>
      </w:r>
      <w:r w:rsidRPr="00913C78">
        <w:t>nsys</w:t>
      </w:r>
      <w:r w:rsidRPr="00913C78">
        <w:rPr>
          <w:rFonts w:hint="eastAsia"/>
        </w:rPr>
        <w:t xml:space="preserve"> CFX</w:t>
      </w:r>
      <w:r w:rsidRPr="00913C78">
        <w:rPr>
          <w:rFonts w:hint="eastAsia"/>
        </w:rPr>
        <w:t>是唯一采用全隐式耦合算法的大型商业软件。算法上的先进性，丰富的物理模型和前后处理的完善性使</w:t>
      </w:r>
      <w:r w:rsidRPr="00913C78">
        <w:rPr>
          <w:rFonts w:hint="eastAsia"/>
        </w:rPr>
        <w:t>A</w:t>
      </w:r>
      <w:r w:rsidRPr="00913C78">
        <w:t>nsys</w:t>
      </w:r>
      <w:r w:rsidRPr="00913C78">
        <w:rPr>
          <w:rFonts w:hint="eastAsia"/>
        </w:rPr>
        <w:t xml:space="preserve"> CFX</w:t>
      </w:r>
      <w:r w:rsidRPr="00913C78">
        <w:rPr>
          <w:rFonts w:hint="eastAsia"/>
        </w:rPr>
        <w:t>在结果精确性，计算稳定性，计算速度和灵活性上都有优异的表现。</w:t>
      </w:r>
    </w:p>
    <w:p w14:paraId="600E9DD4" w14:textId="77777777" w:rsidR="00913C78" w:rsidRPr="00913C78" w:rsidRDefault="00913C78" w:rsidP="00AC08C3">
      <w:pPr>
        <w:pStyle w:val="32"/>
      </w:pPr>
      <w:bookmarkStart w:id="271" w:name="_Toc35364774"/>
      <w:r w:rsidRPr="00913C78">
        <w:rPr>
          <w:rFonts w:hint="eastAsia"/>
        </w:rPr>
        <w:t xml:space="preserve">A.2.3  </w:t>
      </w:r>
      <w:r w:rsidRPr="00913C78">
        <w:rPr>
          <w:rFonts w:hint="eastAsia"/>
        </w:rPr>
        <w:t>模型建立</w:t>
      </w:r>
      <w:bookmarkEnd w:id="271"/>
    </w:p>
    <w:p w14:paraId="2BC9C53A" w14:textId="77777777" w:rsidR="00913C78" w:rsidRPr="00913C78" w:rsidRDefault="00913C78" w:rsidP="00913C78">
      <w:pPr>
        <w:ind w:firstLine="420"/>
      </w:pPr>
      <w:r w:rsidRPr="00913C78">
        <w:rPr>
          <w:rFonts w:hint="eastAsia"/>
        </w:rPr>
        <w:t>◎</w:t>
      </w:r>
      <w:r w:rsidRPr="00913C78">
        <w:t xml:space="preserve"> </w:t>
      </w:r>
      <w:r w:rsidRPr="00913C78">
        <w:rPr>
          <w:rFonts w:hint="eastAsia"/>
        </w:rPr>
        <w:t>模型建立</w:t>
      </w:r>
    </w:p>
    <w:p w14:paraId="76A01B88" w14:textId="77777777" w:rsidR="00913C78" w:rsidRPr="00913C78" w:rsidRDefault="00913C78" w:rsidP="00913C78">
      <w:pPr>
        <w:ind w:firstLine="420"/>
      </w:pPr>
      <w:r w:rsidRPr="00913C78">
        <w:rPr>
          <w:rFonts w:hint="eastAsia"/>
        </w:rPr>
        <w:t>数值分析</w:t>
      </w:r>
      <w:r w:rsidRPr="00913C78">
        <w:t>报告</w:t>
      </w:r>
      <w:r w:rsidRPr="00913C78">
        <w:rPr>
          <w:rFonts w:hint="eastAsia"/>
        </w:rPr>
        <w:t>模型建立时</w:t>
      </w:r>
      <w:r w:rsidRPr="00913C78">
        <w:t>应</w:t>
      </w:r>
      <w:r w:rsidRPr="00913C78">
        <w:rPr>
          <w:rFonts w:hint="eastAsia"/>
        </w:rPr>
        <w:t>包括但</w:t>
      </w:r>
      <w:r w:rsidRPr="00913C78">
        <w:t>不限于</w:t>
      </w:r>
      <w:r w:rsidRPr="00913C78">
        <w:rPr>
          <w:rFonts w:hint="eastAsia"/>
        </w:rPr>
        <w:t>：</w:t>
      </w:r>
      <w:r w:rsidRPr="00913C78">
        <w:t>物理模型</w:t>
      </w:r>
      <w:r w:rsidRPr="00913C78">
        <w:rPr>
          <w:rFonts w:hint="eastAsia"/>
        </w:rPr>
        <w:t>、</w:t>
      </w:r>
      <w:r w:rsidRPr="00913C78">
        <w:t>计算</w:t>
      </w:r>
      <w:r w:rsidRPr="00913C78">
        <w:rPr>
          <w:rFonts w:hint="eastAsia"/>
        </w:rPr>
        <w:t>区</w:t>
      </w:r>
      <w:r w:rsidRPr="00913C78">
        <w:t>域、网格展示</w:t>
      </w:r>
      <w:r w:rsidRPr="00913C78">
        <w:rPr>
          <w:rFonts w:hint="eastAsia"/>
        </w:rPr>
        <w:t>和</w:t>
      </w:r>
      <w:r w:rsidRPr="00913C78">
        <w:t>建模</w:t>
      </w:r>
      <w:r w:rsidRPr="00913C78">
        <w:rPr>
          <w:rFonts w:hint="eastAsia"/>
        </w:rPr>
        <w:t>说明</w:t>
      </w:r>
      <w:r w:rsidRPr="00913C78">
        <w:t>。</w:t>
      </w:r>
      <w:r w:rsidRPr="00913C78">
        <w:rPr>
          <w:rFonts w:hint="eastAsia"/>
        </w:rPr>
        <w:t>模型建立要求如下。</w:t>
      </w:r>
    </w:p>
    <w:p w14:paraId="774D2BF6"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）建筑模型</w:t>
      </w:r>
    </w:p>
    <w:p w14:paraId="669C6A6F" w14:textId="77777777" w:rsidR="00913C78" w:rsidRPr="00913C78" w:rsidRDefault="00913C78" w:rsidP="00913C78">
      <w:pPr>
        <w:ind w:firstLine="420"/>
      </w:pPr>
      <w:r w:rsidRPr="00913C78">
        <w:rPr>
          <w:rFonts w:hint="eastAsia"/>
        </w:rPr>
        <w:t>应对目标建筑及周围障碍物进行分析，提供目标建筑与周围环境布局图，体现目标建筑及周边障碍物关系，可对建筑外观进行简化建模。根据项目规划红线图建立地形、目标建筑及其周边有影响的建筑模型。此外</w:t>
      </w:r>
      <w:r w:rsidRPr="00913C78">
        <w:t>，</w:t>
      </w:r>
      <w:r w:rsidRPr="00913C78">
        <w:rPr>
          <w:rFonts w:hint="eastAsia"/>
        </w:rPr>
        <w:t>物理</w:t>
      </w:r>
      <w:r w:rsidRPr="00913C78">
        <w:t>模型构建</w:t>
      </w:r>
      <w:r w:rsidRPr="00913C78">
        <w:rPr>
          <w:rFonts w:hint="eastAsia"/>
        </w:rPr>
        <w:t>还</w:t>
      </w:r>
      <w:r w:rsidRPr="00913C78">
        <w:t>应包括：</w:t>
      </w:r>
    </w:p>
    <w:p w14:paraId="19AC1E1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对</w:t>
      </w:r>
      <w:r w:rsidRPr="00913C78">
        <w:t>结果影响显著的主要构筑物</w:t>
      </w:r>
      <w:r w:rsidRPr="00913C78">
        <w:rPr>
          <w:rFonts w:hint="eastAsia"/>
        </w:rPr>
        <w:t>。</w:t>
      </w:r>
    </w:p>
    <w:p w14:paraId="7B0AEBD5" w14:textId="77777777" w:rsidR="00913C78" w:rsidRPr="00913C78" w:rsidRDefault="00913C78" w:rsidP="00913C78">
      <w:pPr>
        <w:ind w:firstLine="420"/>
      </w:pPr>
      <w:r w:rsidRPr="00913C78">
        <w:lastRenderedPageBreak/>
        <w:t>2</w:t>
      </w:r>
      <w:r w:rsidRPr="00913C78">
        <w:rPr>
          <w:rFonts w:hint="eastAsia"/>
        </w:rPr>
        <w:t>）</w:t>
      </w:r>
      <w:r w:rsidRPr="00913C78">
        <w:t> </w:t>
      </w:r>
      <w:r w:rsidRPr="00913C78">
        <w:rPr>
          <w:rFonts w:hint="eastAsia"/>
        </w:rPr>
        <w:t>建模域</w:t>
      </w:r>
      <w:r w:rsidRPr="00913C78">
        <w:t>内的既存</w:t>
      </w:r>
      <w:r w:rsidRPr="00913C78">
        <w:rPr>
          <w:rFonts w:hint="eastAsia"/>
        </w:rPr>
        <w:t>的</w:t>
      </w:r>
      <w:r w:rsidRPr="00913C78">
        <w:t>（</w:t>
      </w:r>
      <w:r w:rsidRPr="00913C78">
        <w:rPr>
          <w:rFonts w:hint="eastAsia"/>
        </w:rPr>
        <w:t>或</w:t>
      </w:r>
      <w:r w:rsidRPr="00913C78">
        <w:t>同期建设的）构筑物</w:t>
      </w:r>
      <w:r w:rsidRPr="00913C78">
        <w:rPr>
          <w:rFonts w:hint="eastAsia"/>
        </w:rPr>
        <w:t>。</w:t>
      </w:r>
    </w:p>
    <w:p w14:paraId="6D065345"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既存</w:t>
      </w:r>
      <w:r w:rsidRPr="00913C78">
        <w:t>的连续种植的高度</w:t>
      </w:r>
      <w:r w:rsidRPr="00913C78">
        <w:rPr>
          <w:rFonts w:hint="eastAsia"/>
        </w:rPr>
        <w:t>3</w:t>
      </w:r>
      <w:r w:rsidRPr="00913C78">
        <w:t>m</w:t>
      </w:r>
      <w:r w:rsidRPr="00913C78">
        <w:rPr>
          <w:rFonts w:hint="eastAsia"/>
        </w:rPr>
        <w:t>及</w:t>
      </w:r>
      <w:r w:rsidRPr="00913C78">
        <w:t>以上的乔木</w:t>
      </w:r>
      <w:r w:rsidRPr="00913C78">
        <w:rPr>
          <w:rFonts w:hint="eastAsia"/>
        </w:rPr>
        <w:t>。</w:t>
      </w:r>
    </w:p>
    <w:p w14:paraId="26B578E0"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对</w:t>
      </w:r>
      <w:r w:rsidRPr="00913C78">
        <w:t>既存的（</w:t>
      </w:r>
      <w:r w:rsidRPr="00913C78">
        <w:rPr>
          <w:rFonts w:hint="eastAsia"/>
        </w:rPr>
        <w:t>或</w:t>
      </w:r>
      <w:r w:rsidRPr="00913C78">
        <w:t>同期建设的）</w:t>
      </w:r>
      <w:r w:rsidRPr="00913C78">
        <w:rPr>
          <w:rFonts w:hint="eastAsia"/>
        </w:rPr>
        <w:t>构筑物</w:t>
      </w:r>
      <w:r w:rsidRPr="00913C78">
        <w:t>或显著影响气流的</w:t>
      </w:r>
      <w:r w:rsidRPr="00913C78">
        <w:rPr>
          <w:rFonts w:hint="eastAsia"/>
        </w:rPr>
        <w:t>物体</w:t>
      </w:r>
      <w:r w:rsidRPr="00913C78">
        <w:t>忽略或简化时，应予以说明。</w:t>
      </w:r>
    </w:p>
    <w:p w14:paraId="1AEAF821"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）计算区域</w:t>
      </w:r>
    </w:p>
    <w:p w14:paraId="433DB9CB" w14:textId="77777777" w:rsidR="00913C78" w:rsidRPr="00913C78" w:rsidRDefault="00913C78" w:rsidP="00913C78">
      <w:pPr>
        <w:ind w:firstLine="420"/>
      </w:pPr>
      <w:r w:rsidRPr="00913C78">
        <w:rPr>
          <w:rFonts w:hint="eastAsia"/>
        </w:rPr>
        <w:t>目标建筑边界</w:t>
      </w:r>
      <w:r w:rsidRPr="00913C78">
        <w:rPr>
          <w:rFonts w:hint="eastAsia"/>
        </w:rPr>
        <w:t>H</w:t>
      </w:r>
      <w:r w:rsidRPr="00913C78">
        <w:rPr>
          <w:rFonts w:hint="eastAsia"/>
        </w:rPr>
        <w:t>范围内应以最大的细节要求再现，</w:t>
      </w:r>
      <w:r w:rsidRPr="00913C78">
        <w:t>此外</w:t>
      </w:r>
      <w:r w:rsidRPr="00913C78">
        <w:rPr>
          <w:rFonts w:hint="eastAsia"/>
        </w:rPr>
        <w:t>，</w:t>
      </w:r>
      <w:r w:rsidRPr="00913C78">
        <w:t>还应满足以下要求</w:t>
      </w:r>
      <w:r w:rsidRPr="00913C78">
        <w:rPr>
          <w:rFonts w:hint="eastAsia"/>
        </w:rPr>
        <w:t>：</w:t>
      </w:r>
    </w:p>
    <w:p w14:paraId="320D763E"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建筑迎风截面堵塞比（模型面积</w:t>
      </w:r>
      <w:r w:rsidRPr="00913C78">
        <w:rPr>
          <w:rFonts w:hint="eastAsia"/>
        </w:rPr>
        <w:t>/</w:t>
      </w:r>
      <w:r w:rsidRPr="00913C78">
        <w:rPr>
          <w:rFonts w:hint="eastAsia"/>
        </w:rPr>
        <w:t>迎风面计算区域截面积）小于</w:t>
      </w:r>
      <w:r w:rsidRPr="00913C78">
        <w:rPr>
          <w:rFonts w:hint="eastAsia"/>
        </w:rPr>
        <w:t>4%</w:t>
      </w:r>
      <w:r w:rsidRPr="00913C78">
        <w:rPr>
          <w:rFonts w:hint="eastAsia"/>
        </w:rPr>
        <w:t>。</w:t>
      </w:r>
    </w:p>
    <w:p w14:paraId="497DE5AA"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由对象建筑（群）的外缘至各</w:t>
      </w:r>
      <w:r w:rsidRPr="00913C78">
        <w:t>个</w:t>
      </w:r>
      <w:r w:rsidRPr="00913C78">
        <w:rPr>
          <w:rFonts w:hint="eastAsia"/>
        </w:rPr>
        <w:t>方向的计算域边界，需满足对象建筑高度的</w:t>
      </w:r>
      <w:r w:rsidRPr="00913C78">
        <w:rPr>
          <w:rFonts w:hint="eastAsia"/>
        </w:rPr>
        <w:t>5</w:t>
      </w:r>
      <w:r w:rsidRPr="00913C78">
        <w:rPr>
          <w:rFonts w:hint="eastAsia"/>
        </w:rPr>
        <w:t>倍以上，如果建筑和周围附属物位于丘陵等地形，须考虑地形信息。</w:t>
      </w:r>
    </w:p>
    <w:p w14:paraId="7DE08CFC"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建筑覆盖</w:t>
      </w:r>
      <w:r w:rsidRPr="00913C78">
        <w:t>区域应小于整个计算域面积</w:t>
      </w:r>
      <w:r w:rsidRPr="00913C78">
        <w:rPr>
          <w:rFonts w:hint="eastAsia"/>
        </w:rPr>
        <w:t>3</w:t>
      </w:r>
      <w:r w:rsidRPr="00913C78">
        <w:t>%</w:t>
      </w:r>
      <w:r w:rsidRPr="00913C78">
        <w:t>。</w:t>
      </w:r>
    </w:p>
    <w:p w14:paraId="2A8DA4C5"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）网格</w:t>
      </w:r>
      <w:r w:rsidRPr="00913C78">
        <w:t>划分</w:t>
      </w:r>
    </w:p>
    <w:p w14:paraId="16F6F1E9"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建筑区域内人行高度区</w:t>
      </w:r>
      <w:r w:rsidRPr="00913C78">
        <w:rPr>
          <w:rFonts w:hint="eastAsia"/>
        </w:rPr>
        <w:t>1.5m</w:t>
      </w:r>
      <w:r w:rsidRPr="00913C78">
        <w:rPr>
          <w:rFonts w:hint="eastAsia"/>
        </w:rPr>
        <w:t>高度应划分不小于</w:t>
      </w:r>
      <w:r w:rsidRPr="00913C78">
        <w:t>10</w:t>
      </w:r>
      <w:r w:rsidRPr="00913C78">
        <w:rPr>
          <w:rFonts w:hint="eastAsia"/>
        </w:rPr>
        <w:t>个网格；重点观测区域要在地面以上第</w:t>
      </w:r>
      <w:r w:rsidRPr="00913C78">
        <w:rPr>
          <w:rFonts w:hint="eastAsia"/>
        </w:rPr>
        <w:t>3</w:t>
      </w:r>
      <w:r w:rsidRPr="00913C78">
        <w:rPr>
          <w:rFonts w:hint="eastAsia"/>
        </w:rPr>
        <w:t>个网格或更高的网格内。</w:t>
      </w:r>
    </w:p>
    <w:p w14:paraId="1AAB310B"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采用</w:t>
      </w:r>
      <w:r w:rsidRPr="00913C78">
        <w:t>多尺度网格时，应确保</w:t>
      </w:r>
      <w:r w:rsidRPr="00913C78">
        <w:rPr>
          <w:rFonts w:hint="eastAsia"/>
        </w:rPr>
        <w:t>网格应该反映出障碍物周围流态特征。</w:t>
      </w:r>
    </w:p>
    <w:p w14:paraId="34852BB8" w14:textId="77777777" w:rsidR="00913C78" w:rsidRPr="00913C78" w:rsidRDefault="00913C78" w:rsidP="00913C78">
      <w:pPr>
        <w:ind w:firstLine="420"/>
      </w:pPr>
      <w:r w:rsidRPr="00913C78">
        <w:rPr>
          <w:rFonts w:hint="eastAsia"/>
        </w:rPr>
        <w:t>模型建立建议如下。</w:t>
      </w:r>
    </w:p>
    <w:p w14:paraId="73EAF893"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网格划分的质量要确保计算时能捕捉障碍物（室内和室外轮廓接触处）的流场特征，如穿过门窗的风速发生突变，需要细密的网格。</w:t>
      </w:r>
    </w:p>
    <w:p w14:paraId="184F0B3A"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对</w:t>
      </w:r>
      <w:r w:rsidRPr="00913C78">
        <w:t>形状规则的</w:t>
      </w:r>
      <w:r w:rsidRPr="00913C78">
        <w:rPr>
          <w:rFonts w:hint="eastAsia"/>
        </w:rPr>
        <w:t>障碍物</w:t>
      </w:r>
      <w:r w:rsidRPr="00913C78">
        <w:t>（建筑</w:t>
      </w:r>
      <w:r w:rsidRPr="00913C78">
        <w:rPr>
          <w:rFonts w:hint="eastAsia"/>
        </w:rPr>
        <w:t>、</w:t>
      </w:r>
      <w:r w:rsidRPr="00913C78">
        <w:t>地形等）宜使用结构化网格，</w:t>
      </w:r>
      <w:r w:rsidRPr="00913C78">
        <w:rPr>
          <w:rFonts w:hint="eastAsia"/>
        </w:rPr>
        <w:t>网格</w:t>
      </w:r>
      <w:r w:rsidRPr="00913C78">
        <w:t>过渡比不宜大于</w:t>
      </w:r>
      <w:r w:rsidRPr="00913C78">
        <w:rPr>
          <w:rFonts w:hint="eastAsia"/>
        </w:rPr>
        <w:t>1.5</w:t>
      </w:r>
      <w:r w:rsidRPr="00913C78">
        <w:rPr>
          <w:rFonts w:hint="eastAsia"/>
        </w:rPr>
        <w:t>。</w:t>
      </w:r>
    </w:p>
    <w:p w14:paraId="2B6E723C"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进行大范围的</w:t>
      </w:r>
      <w:r w:rsidRPr="00913C78">
        <w:rPr>
          <w:rFonts w:hint="eastAsia"/>
        </w:rPr>
        <w:t>CFD</w:t>
      </w:r>
      <w:r w:rsidRPr="00913C78">
        <w:rPr>
          <w:rFonts w:hint="eastAsia"/>
        </w:rPr>
        <w:t>数值分析，用于评估目标建筑和相邻建筑的风环境时，考虑自然通风通道。</w:t>
      </w:r>
      <w:r w:rsidRPr="00913C78">
        <w:rPr>
          <w:rFonts w:hint="eastAsia"/>
        </w:rPr>
        <w:t xml:space="preserve"> </w:t>
      </w:r>
    </w:p>
    <w:p w14:paraId="47212A2F" w14:textId="77777777" w:rsidR="00913C78" w:rsidRPr="00913C78" w:rsidRDefault="00913C78" w:rsidP="00913C78">
      <w:pPr>
        <w:ind w:firstLine="420"/>
      </w:pPr>
      <w:r w:rsidRPr="00913C78">
        <w:rPr>
          <w:rFonts w:hint="eastAsia"/>
        </w:rPr>
        <w:t>◎</w:t>
      </w:r>
      <w:r w:rsidRPr="00913C78">
        <w:t xml:space="preserve"> </w:t>
      </w:r>
      <w:r w:rsidRPr="00913C78">
        <w:rPr>
          <w:rFonts w:hint="eastAsia"/>
        </w:rPr>
        <w:t>边界条件</w:t>
      </w:r>
    </w:p>
    <w:p w14:paraId="5E5C245D" w14:textId="77777777" w:rsidR="00913C78" w:rsidRPr="00913C78" w:rsidRDefault="00913C78" w:rsidP="00913C78">
      <w:pPr>
        <w:ind w:firstLine="420"/>
      </w:pPr>
      <w:r w:rsidRPr="00913C78">
        <w:rPr>
          <w:rFonts w:hint="eastAsia"/>
        </w:rPr>
        <w:t>数值分析</w:t>
      </w:r>
      <w:r w:rsidRPr="00913C78">
        <w:t>报告</w:t>
      </w:r>
      <w:r w:rsidRPr="00913C78">
        <w:rPr>
          <w:rFonts w:hint="eastAsia"/>
        </w:rPr>
        <w:t>边界</w:t>
      </w:r>
      <w:r w:rsidRPr="00913C78">
        <w:t>条件应</w:t>
      </w:r>
      <w:r w:rsidRPr="00913C78">
        <w:rPr>
          <w:rFonts w:hint="eastAsia"/>
        </w:rPr>
        <w:t>包括但</w:t>
      </w:r>
      <w:r w:rsidRPr="00913C78">
        <w:t>不限于</w:t>
      </w:r>
      <w:r w:rsidRPr="00913C78">
        <w:rPr>
          <w:rFonts w:hint="eastAsia"/>
        </w:rPr>
        <w:t>：</w:t>
      </w:r>
      <w:r w:rsidRPr="00913C78">
        <w:t>边界条件、初始设置条件</w:t>
      </w:r>
      <w:r w:rsidRPr="00913C78">
        <w:rPr>
          <w:rFonts w:hint="eastAsia"/>
        </w:rPr>
        <w:t>、气象</w:t>
      </w:r>
      <w:r w:rsidRPr="00913C78">
        <w:t>参数</w:t>
      </w:r>
      <w:r w:rsidRPr="00913C78">
        <w:rPr>
          <w:rFonts w:hint="eastAsia"/>
        </w:rPr>
        <w:t>及其他控制参数的设定方法说明。</w:t>
      </w:r>
    </w:p>
    <w:p w14:paraId="0FEBF514" w14:textId="77777777" w:rsidR="00913C78" w:rsidRPr="00913C78" w:rsidRDefault="00913C78" w:rsidP="00913C78">
      <w:pPr>
        <w:ind w:firstLine="420"/>
      </w:pPr>
      <w:r w:rsidRPr="00913C78">
        <w:rPr>
          <w:rFonts w:hint="eastAsia"/>
        </w:rPr>
        <w:t>边界</w:t>
      </w:r>
      <w:r w:rsidRPr="00913C78">
        <w:t>条件</w:t>
      </w:r>
      <w:r w:rsidRPr="00913C78">
        <w:rPr>
          <w:rFonts w:hint="eastAsia"/>
        </w:rPr>
        <w:t>要求</w:t>
      </w:r>
      <w:r w:rsidRPr="00913C78">
        <w:t>：</w:t>
      </w:r>
    </w:p>
    <w:p w14:paraId="6A25CC51" w14:textId="6FF04762" w:rsidR="00913C78" w:rsidRPr="00913C78" w:rsidRDefault="00913C78" w:rsidP="00AC2900">
      <w:pPr>
        <w:ind w:firstLine="420"/>
      </w:pPr>
      <w:r w:rsidRPr="00913C78">
        <w:t>1</w:t>
      </w:r>
      <w:r w:rsidRPr="00913C78">
        <w:rPr>
          <w:rFonts w:hint="eastAsia"/>
        </w:rPr>
        <w:t>）</w:t>
      </w:r>
      <w:r w:rsidRPr="00913C78">
        <w:t> </w:t>
      </w:r>
      <w:r w:rsidRPr="00913C78">
        <w:t>基于当地的风环境</w:t>
      </w:r>
      <w:r w:rsidRPr="00913C78">
        <w:rPr>
          <w:rFonts w:hint="eastAsia"/>
        </w:rPr>
        <w:t>，提供当地不同季节风向、风速基础资料表，至少包括夏季、冬季、过渡季。数值分析应采用季节性的</w:t>
      </w:r>
      <w:r w:rsidRPr="00913C78">
        <w:t>风向和风速的基础数据</w:t>
      </w:r>
      <w:r w:rsidRPr="00913C78">
        <w:rPr>
          <w:rFonts w:hint="eastAsia"/>
        </w:rPr>
        <w:t>，主导风采用平均风速和风向，垂直方向</w:t>
      </w:r>
      <m:oMath>
        <m:sSub>
          <m:sSubPr>
            <m:ctrlPr>
              <w:rPr>
                <w:rFonts w:ascii="Cambria Math" w:hAnsi="Cambria Math"/>
                <w:i/>
                <w:noProof/>
              </w:rPr>
            </m:ctrlPr>
          </m:sSubPr>
          <m:e>
            <m:r>
              <w:rPr>
                <w:rFonts w:ascii="Cambria Math"/>
                <w:noProof/>
              </w:rPr>
              <m:t>h</m:t>
            </m:r>
          </m:e>
          <m:sub>
            <m:r>
              <w:rPr>
                <w:rFonts w:ascii="Cambria Math"/>
                <w:noProof/>
              </w:rPr>
              <m:t>0</m:t>
            </m:r>
          </m:sub>
        </m:sSub>
      </m:oMath>
      <w:r w:rsidRPr="00913C78">
        <w:rPr>
          <w:rFonts w:hint="eastAsia"/>
        </w:rPr>
        <w:t>高度为</w:t>
      </w:r>
      <w:r w:rsidRPr="00913C78">
        <w:rPr>
          <w:rFonts w:hint="eastAsia"/>
        </w:rPr>
        <w:t>10m</w:t>
      </w:r>
      <w:r w:rsidRPr="00913C78">
        <w:rPr>
          <w:rFonts w:hint="eastAsia"/>
        </w:rPr>
        <w:t>。</w:t>
      </w:r>
    </w:p>
    <w:p w14:paraId="471C2747"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入口风速的分布应符合梯度风规律。根据项目实际情况给定室外梯度风分布，考虑地面粗糙度带来影响，即</w:t>
      </w:r>
    </w:p>
    <w:p w14:paraId="1E1B9F32" w14:textId="6FEF66DF"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V</m:t>
              </m:r>
            </m:e>
            <m:sub>
              <m:r>
                <w:rPr>
                  <w:rFonts w:ascii="Cambria Math"/>
                  <w:noProof/>
                </w:rPr>
                <m:t>h</m:t>
              </m:r>
            </m:sub>
          </m:sSub>
          <m:r>
            <w:rPr>
              <w:rFonts w:ascii="Cambria Math"/>
              <w:noProof/>
            </w:rPr>
            <m:t>=</m:t>
          </m:r>
          <m:sSub>
            <m:sSubPr>
              <m:ctrlPr>
                <w:rPr>
                  <w:rFonts w:ascii="Cambria Math" w:hAnsi="Cambria Math"/>
                  <w:i/>
                  <w:noProof/>
                </w:rPr>
              </m:ctrlPr>
            </m:sSubPr>
            <m:e>
              <m:r>
                <w:rPr>
                  <w:rFonts w:ascii="Cambria Math"/>
                  <w:noProof/>
                </w:rPr>
                <m:t>V</m:t>
              </m:r>
            </m:e>
            <m:sub>
              <m:r>
                <w:rPr>
                  <w:rFonts w:ascii="Cambria Math"/>
                  <w:noProof/>
                </w:rPr>
                <m:t>0</m:t>
              </m:r>
            </m:sub>
          </m:sSub>
          <m:sSup>
            <m:sSupPr>
              <m:ctrlPr>
                <w:rPr>
                  <w:rFonts w:ascii="Cambria Math" w:hAnsi="Cambria Math"/>
                  <w:i/>
                  <w:noProof/>
                </w:rPr>
              </m:ctrlPr>
            </m:sSupPr>
            <m:e>
              <m:d>
                <m:dPr>
                  <m:ctrlPr>
                    <w:rPr>
                      <w:rFonts w:ascii="Cambria Math" w:hAnsi="Cambria Math"/>
                      <w:i/>
                      <w:noProof/>
                    </w:rPr>
                  </m:ctrlPr>
                </m:dPr>
                <m:e>
                  <m:f>
                    <m:fPr>
                      <m:ctrlPr>
                        <w:rPr>
                          <w:rFonts w:ascii="Cambria Math" w:hAnsi="Cambria Math"/>
                          <w:i/>
                          <w:noProof/>
                        </w:rPr>
                      </m:ctrlPr>
                    </m:fPr>
                    <m:num>
                      <m:r>
                        <w:rPr>
                          <w:rFonts w:ascii="Cambria Math"/>
                          <w:noProof/>
                        </w:rPr>
                        <m:t>h</m:t>
                      </m:r>
                    </m:num>
                    <m:den>
                      <m:sSub>
                        <m:sSubPr>
                          <m:ctrlPr>
                            <w:rPr>
                              <w:rFonts w:ascii="Cambria Math" w:hAnsi="Cambria Math"/>
                              <w:i/>
                              <w:noProof/>
                            </w:rPr>
                          </m:ctrlPr>
                        </m:sSubPr>
                        <m:e>
                          <m:r>
                            <w:rPr>
                              <w:rFonts w:ascii="Cambria Math"/>
                              <w:noProof/>
                            </w:rPr>
                            <m:t>h</m:t>
                          </m:r>
                        </m:e>
                        <m:sub>
                          <m:r>
                            <w:rPr>
                              <w:rFonts w:ascii="Cambria Math"/>
                              <w:noProof/>
                            </w:rPr>
                            <m:t>0</m:t>
                          </m:r>
                        </m:sub>
                      </m:sSub>
                    </m:den>
                  </m:f>
                </m:e>
              </m:d>
            </m:e>
            <m:sup>
              <m:r>
                <w:rPr>
                  <w:rFonts w:ascii="Cambria Math"/>
                  <w:noProof/>
                </w:rPr>
                <m:t>n</m:t>
              </m:r>
            </m:sup>
          </m:sSup>
        </m:oMath>
      </m:oMathPara>
    </w:p>
    <w:p w14:paraId="24B6F0D2" w14:textId="4E4A64FC" w:rsidR="00913C78" w:rsidRPr="00913C78" w:rsidRDefault="00913C78" w:rsidP="00AC2900">
      <w:pPr>
        <w:ind w:firstLine="420"/>
      </w:pPr>
      <w:r w:rsidRPr="00913C78">
        <w:t>式中</w:t>
      </w:r>
      <w:r w:rsidRPr="00913C78">
        <w:rPr>
          <w:rFonts w:hint="eastAsia"/>
        </w:rPr>
        <w:t>，</w:t>
      </w:r>
      <m:oMath>
        <m:sSub>
          <m:sSubPr>
            <m:ctrlPr>
              <w:rPr>
                <w:rFonts w:ascii="Cambria Math" w:hAnsi="Cambria Math"/>
                <w:i/>
                <w:noProof/>
              </w:rPr>
            </m:ctrlPr>
          </m:sSubPr>
          <m:e>
            <m:r>
              <w:rPr>
                <w:rFonts w:ascii="Cambria Math"/>
                <w:noProof/>
              </w:rPr>
              <m:t>V</m:t>
            </m:r>
          </m:e>
          <m:sub>
            <m:r>
              <w:rPr>
                <w:rFonts w:ascii="Cambria Math"/>
                <w:noProof/>
              </w:rPr>
              <m:t>h</m:t>
            </m:r>
          </m:sub>
        </m:sSub>
      </m:oMath>
      <w:r w:rsidRPr="00913C78">
        <w:rPr>
          <w:rFonts w:hint="eastAsia"/>
        </w:rPr>
        <w:t>—</w:t>
      </w:r>
      <w:r w:rsidRPr="00913C78">
        <w:t>高度为</w:t>
      </w:r>
      <w:r w:rsidRPr="00913C78">
        <w:t>h</w:t>
      </w:r>
      <w:r w:rsidRPr="00913C78">
        <w:t>处的风速，</w:t>
      </w:r>
      <w:r w:rsidRPr="00913C78">
        <w:t>m/s</w:t>
      </w:r>
      <w:r w:rsidRPr="00913C78">
        <w:t>；</w:t>
      </w:r>
    </w:p>
    <w:p w14:paraId="19416FD9" w14:textId="7E938572" w:rsidR="00913C78" w:rsidRPr="00913C78" w:rsidRDefault="00D20A1F" w:rsidP="00AC2900">
      <w:pPr>
        <w:ind w:firstLineChars="500" w:firstLine="1050"/>
      </w:pPr>
      <m:oMath>
        <m:sSub>
          <m:sSubPr>
            <m:ctrlPr>
              <w:rPr>
                <w:rFonts w:ascii="Cambria Math" w:hAnsi="Cambria Math"/>
                <w:i/>
                <w:noProof/>
              </w:rPr>
            </m:ctrlPr>
          </m:sSubPr>
          <m:e>
            <m:r>
              <w:rPr>
                <w:rFonts w:ascii="Cambria Math"/>
                <w:noProof/>
              </w:rPr>
              <m:t>V</m:t>
            </m:r>
          </m:e>
          <m:sub>
            <m:r>
              <w:rPr>
                <w:rFonts w:ascii="Cambria Math"/>
                <w:noProof/>
              </w:rPr>
              <m:t>0</m:t>
            </m:r>
          </m:sub>
        </m:sSub>
      </m:oMath>
      <w:r w:rsidR="00913C78" w:rsidRPr="00913C78">
        <w:rPr>
          <w:rFonts w:hint="eastAsia"/>
        </w:rPr>
        <w:t>—</w:t>
      </w:r>
      <w:r w:rsidR="00913C78" w:rsidRPr="00913C78">
        <w:t>基准高度</w:t>
      </w:r>
      <m:oMath>
        <m:sSub>
          <m:sSubPr>
            <m:ctrlPr>
              <w:rPr>
                <w:rFonts w:ascii="Cambria Math" w:hAnsi="Cambria Math"/>
                <w:i/>
                <w:noProof/>
              </w:rPr>
            </m:ctrlPr>
          </m:sSubPr>
          <m:e>
            <m:r>
              <w:rPr>
                <w:rFonts w:ascii="Cambria Math"/>
                <w:noProof/>
              </w:rPr>
              <m:t>h</m:t>
            </m:r>
          </m:e>
          <m:sub>
            <m:r>
              <w:rPr>
                <w:rFonts w:ascii="Cambria Math"/>
                <w:noProof/>
              </w:rPr>
              <m:t>0</m:t>
            </m:r>
          </m:sub>
        </m:sSub>
      </m:oMath>
      <w:r w:rsidR="00913C78" w:rsidRPr="00913C78">
        <w:t>处的风速，</w:t>
      </w:r>
      <w:r w:rsidR="00913C78" w:rsidRPr="00913C78">
        <w:t>m/s</w:t>
      </w:r>
      <w:r w:rsidR="00913C78" w:rsidRPr="00913C78">
        <w:t>，一般取</w:t>
      </w:r>
      <w:r w:rsidR="00913C78" w:rsidRPr="00913C78">
        <w:t>10m</w:t>
      </w:r>
      <w:r w:rsidR="00913C78" w:rsidRPr="00913C78">
        <w:t>处的风速；</w:t>
      </w:r>
    </w:p>
    <w:p w14:paraId="7E6C9D36" w14:textId="71EF903F" w:rsidR="00913C78" w:rsidRPr="00913C78" w:rsidRDefault="00AC2900" w:rsidP="00AC2900">
      <w:pPr>
        <w:ind w:leftChars="500" w:left="1470" w:hangingChars="200" w:hanging="420"/>
      </w:pPr>
      <m:oMath>
        <m:r>
          <w:rPr>
            <w:rFonts w:ascii="Cambria Math"/>
            <w:noProof/>
          </w:rPr>
          <m:t>n</m:t>
        </m:r>
      </m:oMath>
      <w:r w:rsidR="00913C78" w:rsidRPr="00913C78">
        <w:rPr>
          <w:rFonts w:hint="eastAsia"/>
        </w:rPr>
        <w:t>—粗糙度</w:t>
      </w:r>
      <w:r w:rsidR="00913C78" w:rsidRPr="00913C78">
        <w:t>指数</w:t>
      </w:r>
      <w:r w:rsidR="00913C78" w:rsidRPr="00913C78">
        <w:rPr>
          <w:rFonts w:hint="eastAsia"/>
        </w:rPr>
        <w:t>，参考国内外标准以及我国研究成果，建议不同地貌情况下入口梯度风的指数</w:t>
      </w:r>
      <m:oMath>
        <m:r>
          <w:rPr>
            <w:rFonts w:ascii="Cambria Math"/>
            <w:noProof/>
          </w:rPr>
          <m:t>n</m:t>
        </m:r>
      </m:oMath>
      <w:r w:rsidR="00913C78" w:rsidRPr="00913C78">
        <w:rPr>
          <w:rFonts w:hint="eastAsia"/>
        </w:rPr>
        <w:t>取值如附表</w:t>
      </w:r>
      <w:r w:rsidR="00913C78" w:rsidRPr="00913C78">
        <w:rPr>
          <w:rFonts w:hint="eastAsia"/>
        </w:rPr>
        <w:t>A.2.2</w:t>
      </w:r>
      <w:r w:rsidR="00913C78" w:rsidRPr="00913C78">
        <w:rPr>
          <w:rFonts w:hint="eastAsia"/>
        </w:rPr>
        <w:t>。</w:t>
      </w:r>
    </w:p>
    <w:p w14:paraId="27D82877" w14:textId="77777777" w:rsidR="00913C78" w:rsidRPr="00913C78" w:rsidRDefault="00913C78" w:rsidP="00AC08C3">
      <w:pPr>
        <w:pStyle w:val="ae"/>
      </w:pPr>
      <w:r w:rsidRPr="00913C78">
        <w:rPr>
          <w:rFonts w:hint="eastAsia"/>
        </w:rPr>
        <w:t>附表</w:t>
      </w:r>
      <w:r w:rsidRPr="00913C78">
        <w:rPr>
          <w:rFonts w:hint="eastAsia"/>
        </w:rPr>
        <w:t xml:space="preserve">A.2.2  </w:t>
      </w:r>
      <w:r w:rsidRPr="00913C78">
        <w:rPr>
          <w:rFonts w:hint="eastAsia"/>
        </w:rPr>
        <w:t>大气边界层不同地貌的</w:t>
      </w:r>
      <w:r w:rsidRPr="00913C78">
        <w:rPr>
          <w:rFonts w:hint="eastAsia"/>
        </w:rPr>
        <w:t>n</w:t>
      </w:r>
      <w:r w:rsidRPr="00913C78">
        <w:rPr>
          <w:rFonts w:hint="eastAsia"/>
        </w:rPr>
        <w:t>值</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0A0" w:firstRow="1" w:lastRow="0" w:firstColumn="1" w:lastColumn="0" w:noHBand="0" w:noVBand="0"/>
      </w:tblPr>
      <w:tblGrid>
        <w:gridCol w:w="818"/>
        <w:gridCol w:w="3363"/>
        <w:gridCol w:w="1334"/>
        <w:gridCol w:w="1855"/>
      </w:tblGrid>
      <w:tr w:rsidR="00913C78" w:rsidRPr="00913C78" w14:paraId="78A80F3E" w14:textId="77777777" w:rsidTr="00E731D0">
        <w:trPr>
          <w:jc w:val="center"/>
        </w:trPr>
        <w:tc>
          <w:tcPr>
            <w:tcW w:w="935" w:type="dxa"/>
            <w:shd w:val="clear" w:color="auto" w:fill="auto"/>
            <w:vAlign w:val="center"/>
          </w:tcPr>
          <w:p w14:paraId="2A951CD9" w14:textId="77777777" w:rsidR="00913C78" w:rsidRPr="00913C78" w:rsidRDefault="00913C78" w:rsidP="00AC08C3">
            <w:pPr>
              <w:pStyle w:val="af7"/>
              <w:jc w:val="center"/>
            </w:pPr>
            <w:r w:rsidRPr="00913C78">
              <w:rPr>
                <w:rFonts w:hint="eastAsia"/>
              </w:rPr>
              <w:t>类别</w:t>
            </w:r>
          </w:p>
        </w:tc>
        <w:tc>
          <w:tcPr>
            <w:tcW w:w="4180" w:type="dxa"/>
            <w:shd w:val="clear" w:color="auto" w:fill="auto"/>
            <w:vAlign w:val="center"/>
          </w:tcPr>
          <w:p w14:paraId="35806C7A" w14:textId="77777777" w:rsidR="00913C78" w:rsidRPr="00913C78" w:rsidRDefault="00913C78" w:rsidP="00AC08C3">
            <w:pPr>
              <w:pStyle w:val="af7"/>
            </w:pPr>
            <w:r w:rsidRPr="00913C78">
              <w:rPr>
                <w:rFonts w:hint="eastAsia"/>
              </w:rPr>
              <w:t>适用区域</w:t>
            </w:r>
          </w:p>
        </w:tc>
        <w:tc>
          <w:tcPr>
            <w:tcW w:w="1558" w:type="dxa"/>
            <w:shd w:val="clear" w:color="auto" w:fill="auto"/>
            <w:vAlign w:val="center"/>
          </w:tcPr>
          <w:p w14:paraId="1ACE4E47" w14:textId="77777777" w:rsidR="00913C78" w:rsidRPr="00913C78" w:rsidRDefault="00913C78" w:rsidP="00AC08C3">
            <w:pPr>
              <w:pStyle w:val="af7"/>
              <w:jc w:val="center"/>
            </w:pPr>
            <w:r w:rsidRPr="00913C78">
              <w:rPr>
                <w:rFonts w:hint="eastAsia"/>
              </w:rPr>
              <w:t>指数</w:t>
            </w:r>
            <w:r w:rsidRPr="00913C78">
              <w:rPr>
                <w:rFonts w:hint="eastAsia"/>
              </w:rPr>
              <w:t>n</w:t>
            </w:r>
          </w:p>
        </w:tc>
        <w:tc>
          <w:tcPr>
            <w:tcW w:w="2252" w:type="dxa"/>
            <w:shd w:val="clear" w:color="auto" w:fill="auto"/>
            <w:vAlign w:val="center"/>
          </w:tcPr>
          <w:p w14:paraId="779DB7FB" w14:textId="77777777" w:rsidR="00913C78" w:rsidRPr="00913C78" w:rsidRDefault="00913C78" w:rsidP="00AC08C3">
            <w:pPr>
              <w:pStyle w:val="af7"/>
              <w:jc w:val="center"/>
            </w:pPr>
            <w:r w:rsidRPr="00913C78">
              <w:rPr>
                <w:rFonts w:hint="eastAsia"/>
              </w:rPr>
              <w:t>梯度风高度</w:t>
            </w:r>
            <w:r w:rsidRPr="00913C78">
              <w:rPr>
                <w:rFonts w:hint="eastAsia"/>
              </w:rPr>
              <w:t>/m</w:t>
            </w:r>
          </w:p>
        </w:tc>
      </w:tr>
      <w:tr w:rsidR="00913C78" w:rsidRPr="00913C78" w14:paraId="425E81A5" w14:textId="77777777" w:rsidTr="00E731D0">
        <w:trPr>
          <w:jc w:val="center"/>
        </w:trPr>
        <w:tc>
          <w:tcPr>
            <w:tcW w:w="935" w:type="dxa"/>
            <w:shd w:val="clear" w:color="auto" w:fill="auto"/>
            <w:vAlign w:val="center"/>
          </w:tcPr>
          <w:p w14:paraId="625DAF7D" w14:textId="77777777" w:rsidR="00913C78" w:rsidRPr="00913C78" w:rsidRDefault="00913C78" w:rsidP="00AC08C3">
            <w:pPr>
              <w:pStyle w:val="af7"/>
              <w:jc w:val="center"/>
            </w:pPr>
            <w:r w:rsidRPr="00913C78">
              <w:rPr>
                <w:rFonts w:hint="eastAsia"/>
              </w:rPr>
              <w:t>A</w:t>
            </w:r>
          </w:p>
        </w:tc>
        <w:tc>
          <w:tcPr>
            <w:tcW w:w="4180" w:type="dxa"/>
            <w:shd w:val="clear" w:color="auto" w:fill="auto"/>
            <w:vAlign w:val="center"/>
          </w:tcPr>
          <w:p w14:paraId="3F2232E4" w14:textId="77777777" w:rsidR="00913C78" w:rsidRPr="00913C78" w:rsidRDefault="00913C78" w:rsidP="00AC08C3">
            <w:pPr>
              <w:pStyle w:val="af7"/>
            </w:pPr>
            <w:r w:rsidRPr="00913C78">
              <w:rPr>
                <w:rFonts w:hint="eastAsia"/>
              </w:rPr>
              <w:t>近海地区，</w:t>
            </w:r>
            <w:r w:rsidRPr="00913C78">
              <w:t>湖岸、沙漠地区</w:t>
            </w:r>
          </w:p>
        </w:tc>
        <w:tc>
          <w:tcPr>
            <w:tcW w:w="1558" w:type="dxa"/>
            <w:shd w:val="clear" w:color="auto" w:fill="auto"/>
            <w:vAlign w:val="center"/>
          </w:tcPr>
          <w:p w14:paraId="1E071E8F" w14:textId="77777777" w:rsidR="00913C78" w:rsidRPr="00913C78" w:rsidRDefault="00913C78" w:rsidP="00AC08C3">
            <w:pPr>
              <w:pStyle w:val="af7"/>
              <w:jc w:val="center"/>
            </w:pPr>
            <w:r w:rsidRPr="00913C78">
              <w:t>0.12</w:t>
            </w:r>
          </w:p>
        </w:tc>
        <w:tc>
          <w:tcPr>
            <w:tcW w:w="2252" w:type="dxa"/>
            <w:shd w:val="clear" w:color="auto" w:fill="auto"/>
            <w:vAlign w:val="center"/>
          </w:tcPr>
          <w:p w14:paraId="122C239A" w14:textId="77777777" w:rsidR="00913C78" w:rsidRPr="00913C78" w:rsidRDefault="00913C78" w:rsidP="00AC08C3">
            <w:pPr>
              <w:pStyle w:val="af7"/>
              <w:jc w:val="center"/>
            </w:pPr>
            <w:r w:rsidRPr="00913C78">
              <w:t>300</w:t>
            </w:r>
          </w:p>
        </w:tc>
      </w:tr>
      <w:tr w:rsidR="00913C78" w:rsidRPr="00913C78" w14:paraId="36438BF8" w14:textId="77777777" w:rsidTr="00E731D0">
        <w:trPr>
          <w:jc w:val="center"/>
        </w:trPr>
        <w:tc>
          <w:tcPr>
            <w:tcW w:w="935" w:type="dxa"/>
            <w:shd w:val="clear" w:color="auto" w:fill="auto"/>
            <w:vAlign w:val="center"/>
          </w:tcPr>
          <w:p w14:paraId="3EA06158" w14:textId="77777777" w:rsidR="00913C78" w:rsidRPr="00913C78" w:rsidRDefault="00913C78" w:rsidP="00AC08C3">
            <w:pPr>
              <w:pStyle w:val="af7"/>
              <w:jc w:val="center"/>
            </w:pPr>
            <w:r w:rsidRPr="00913C78">
              <w:rPr>
                <w:rFonts w:hint="eastAsia"/>
              </w:rPr>
              <w:t>B</w:t>
            </w:r>
          </w:p>
        </w:tc>
        <w:tc>
          <w:tcPr>
            <w:tcW w:w="4180" w:type="dxa"/>
            <w:shd w:val="clear" w:color="auto" w:fill="auto"/>
            <w:vAlign w:val="center"/>
          </w:tcPr>
          <w:p w14:paraId="29C354F9" w14:textId="77777777" w:rsidR="00913C78" w:rsidRPr="00913C78" w:rsidRDefault="00913C78" w:rsidP="00AC08C3">
            <w:pPr>
              <w:pStyle w:val="af7"/>
            </w:pPr>
            <w:r w:rsidRPr="00913C78">
              <w:rPr>
                <w:rFonts w:hint="eastAsia"/>
              </w:rPr>
              <w:t>田野</w:t>
            </w:r>
            <w:r w:rsidRPr="00913C78">
              <w:t>，丘陵及中小城市、大城市</w:t>
            </w:r>
            <w:r w:rsidRPr="00913C78">
              <w:rPr>
                <w:rFonts w:hint="eastAsia"/>
              </w:rPr>
              <w:t>郊区</w:t>
            </w:r>
          </w:p>
        </w:tc>
        <w:tc>
          <w:tcPr>
            <w:tcW w:w="1558" w:type="dxa"/>
            <w:shd w:val="clear" w:color="auto" w:fill="auto"/>
            <w:vAlign w:val="center"/>
          </w:tcPr>
          <w:p w14:paraId="459F8C6E" w14:textId="77777777" w:rsidR="00913C78" w:rsidRPr="00913C78" w:rsidRDefault="00913C78" w:rsidP="00AC08C3">
            <w:pPr>
              <w:pStyle w:val="af7"/>
              <w:jc w:val="center"/>
            </w:pPr>
            <w:r w:rsidRPr="00913C78">
              <w:rPr>
                <w:rFonts w:hint="eastAsia"/>
              </w:rPr>
              <w:t>0.16</w:t>
            </w:r>
          </w:p>
        </w:tc>
        <w:tc>
          <w:tcPr>
            <w:tcW w:w="2252" w:type="dxa"/>
            <w:shd w:val="clear" w:color="auto" w:fill="auto"/>
            <w:vAlign w:val="center"/>
          </w:tcPr>
          <w:p w14:paraId="14DB25BD" w14:textId="77777777" w:rsidR="00913C78" w:rsidRPr="00913C78" w:rsidRDefault="00913C78" w:rsidP="00AC08C3">
            <w:pPr>
              <w:pStyle w:val="af7"/>
              <w:jc w:val="center"/>
            </w:pPr>
            <w:r w:rsidRPr="00913C78">
              <w:rPr>
                <w:rFonts w:hint="eastAsia"/>
              </w:rPr>
              <w:t>350</w:t>
            </w:r>
          </w:p>
        </w:tc>
      </w:tr>
      <w:tr w:rsidR="00913C78" w:rsidRPr="00913C78" w14:paraId="21259C66" w14:textId="77777777" w:rsidTr="00E731D0">
        <w:trPr>
          <w:jc w:val="center"/>
        </w:trPr>
        <w:tc>
          <w:tcPr>
            <w:tcW w:w="935" w:type="dxa"/>
            <w:shd w:val="clear" w:color="auto" w:fill="auto"/>
            <w:vAlign w:val="center"/>
          </w:tcPr>
          <w:p w14:paraId="585D676F" w14:textId="77777777" w:rsidR="00913C78" w:rsidRPr="00913C78" w:rsidRDefault="00913C78" w:rsidP="00AC08C3">
            <w:pPr>
              <w:pStyle w:val="af7"/>
              <w:jc w:val="center"/>
            </w:pPr>
            <w:r w:rsidRPr="00913C78">
              <w:rPr>
                <w:rFonts w:hint="eastAsia"/>
              </w:rPr>
              <w:t>C</w:t>
            </w:r>
          </w:p>
        </w:tc>
        <w:tc>
          <w:tcPr>
            <w:tcW w:w="4180" w:type="dxa"/>
            <w:shd w:val="clear" w:color="auto" w:fill="auto"/>
            <w:vAlign w:val="center"/>
          </w:tcPr>
          <w:p w14:paraId="1255EBF6" w14:textId="77777777" w:rsidR="00913C78" w:rsidRPr="00913C78" w:rsidRDefault="00913C78" w:rsidP="00AC08C3">
            <w:pPr>
              <w:pStyle w:val="af7"/>
            </w:pPr>
            <w:r w:rsidRPr="00913C78">
              <w:rPr>
                <w:rFonts w:hint="eastAsia"/>
              </w:rPr>
              <w:t>有密集建筑的</w:t>
            </w:r>
            <w:r w:rsidRPr="00913C78">
              <w:t>大城市区</w:t>
            </w:r>
          </w:p>
        </w:tc>
        <w:tc>
          <w:tcPr>
            <w:tcW w:w="1558" w:type="dxa"/>
            <w:shd w:val="clear" w:color="auto" w:fill="auto"/>
            <w:vAlign w:val="center"/>
          </w:tcPr>
          <w:p w14:paraId="0549FFA8" w14:textId="77777777" w:rsidR="00913C78" w:rsidRPr="00913C78" w:rsidRDefault="00913C78" w:rsidP="00AC08C3">
            <w:pPr>
              <w:pStyle w:val="af7"/>
              <w:jc w:val="center"/>
            </w:pPr>
            <w:r w:rsidRPr="00913C78">
              <w:rPr>
                <w:rFonts w:hint="eastAsia"/>
              </w:rPr>
              <w:t>0.22</w:t>
            </w:r>
          </w:p>
        </w:tc>
        <w:tc>
          <w:tcPr>
            <w:tcW w:w="2252" w:type="dxa"/>
            <w:shd w:val="clear" w:color="auto" w:fill="auto"/>
            <w:vAlign w:val="center"/>
          </w:tcPr>
          <w:p w14:paraId="02E187DB" w14:textId="77777777" w:rsidR="00913C78" w:rsidRPr="00913C78" w:rsidRDefault="00913C78" w:rsidP="00AC08C3">
            <w:pPr>
              <w:pStyle w:val="af7"/>
              <w:jc w:val="center"/>
            </w:pPr>
            <w:r w:rsidRPr="00913C78">
              <w:rPr>
                <w:rFonts w:hint="eastAsia"/>
              </w:rPr>
              <w:t>400</w:t>
            </w:r>
          </w:p>
        </w:tc>
      </w:tr>
      <w:tr w:rsidR="00913C78" w:rsidRPr="00913C78" w14:paraId="70743725" w14:textId="77777777" w:rsidTr="00E731D0">
        <w:trPr>
          <w:jc w:val="center"/>
        </w:trPr>
        <w:tc>
          <w:tcPr>
            <w:tcW w:w="935" w:type="dxa"/>
            <w:shd w:val="clear" w:color="auto" w:fill="auto"/>
            <w:vAlign w:val="center"/>
          </w:tcPr>
          <w:p w14:paraId="3AEDC59B" w14:textId="77777777" w:rsidR="00913C78" w:rsidRPr="00913C78" w:rsidRDefault="00913C78" w:rsidP="00AC08C3">
            <w:pPr>
              <w:pStyle w:val="af7"/>
              <w:jc w:val="center"/>
            </w:pPr>
            <w:r w:rsidRPr="00913C78">
              <w:rPr>
                <w:rFonts w:hint="eastAsia"/>
              </w:rPr>
              <w:t>D</w:t>
            </w:r>
          </w:p>
        </w:tc>
        <w:tc>
          <w:tcPr>
            <w:tcW w:w="4180" w:type="dxa"/>
            <w:shd w:val="clear" w:color="auto" w:fill="auto"/>
            <w:vAlign w:val="center"/>
          </w:tcPr>
          <w:p w14:paraId="4EC29FE7" w14:textId="77777777" w:rsidR="00913C78" w:rsidRPr="00913C78" w:rsidRDefault="00913C78" w:rsidP="00AC08C3">
            <w:pPr>
              <w:pStyle w:val="af7"/>
            </w:pPr>
            <w:r w:rsidRPr="00913C78">
              <w:rPr>
                <w:rFonts w:hint="eastAsia"/>
              </w:rPr>
              <w:t>有密集建筑群</w:t>
            </w:r>
            <w:r w:rsidRPr="00913C78">
              <w:t>且房屋较高的城市市区</w:t>
            </w:r>
          </w:p>
        </w:tc>
        <w:tc>
          <w:tcPr>
            <w:tcW w:w="1558" w:type="dxa"/>
            <w:shd w:val="clear" w:color="auto" w:fill="auto"/>
            <w:vAlign w:val="center"/>
          </w:tcPr>
          <w:p w14:paraId="1B7D3D88" w14:textId="77777777" w:rsidR="00913C78" w:rsidRPr="00913C78" w:rsidRDefault="00913C78" w:rsidP="00AC08C3">
            <w:pPr>
              <w:pStyle w:val="af7"/>
              <w:jc w:val="center"/>
            </w:pPr>
            <w:r w:rsidRPr="00913C78">
              <w:rPr>
                <w:rFonts w:hint="eastAsia"/>
              </w:rPr>
              <w:t>0.30</w:t>
            </w:r>
          </w:p>
        </w:tc>
        <w:tc>
          <w:tcPr>
            <w:tcW w:w="2252" w:type="dxa"/>
            <w:shd w:val="clear" w:color="auto" w:fill="auto"/>
            <w:vAlign w:val="center"/>
          </w:tcPr>
          <w:p w14:paraId="2EAE515D" w14:textId="77777777" w:rsidR="00913C78" w:rsidRPr="00913C78" w:rsidRDefault="00913C78" w:rsidP="00AC08C3">
            <w:pPr>
              <w:pStyle w:val="af7"/>
              <w:jc w:val="center"/>
            </w:pPr>
            <w:r w:rsidRPr="00913C78">
              <w:rPr>
                <w:rFonts w:hint="eastAsia"/>
              </w:rPr>
              <w:t>450</w:t>
            </w:r>
          </w:p>
        </w:tc>
      </w:tr>
    </w:tbl>
    <w:p w14:paraId="357488E4" w14:textId="77777777" w:rsidR="00913C78" w:rsidRPr="00913C78" w:rsidRDefault="00913C78" w:rsidP="00913C78">
      <w:pPr>
        <w:ind w:firstLine="420"/>
      </w:pPr>
      <w:r w:rsidRPr="00913C78">
        <w:rPr>
          <w:noProof/>
        </w:rPr>
        <mc:AlternateContent>
          <mc:Choice Requires="wpi">
            <w:drawing>
              <wp:anchor distT="12249" distB="9862" distL="125829" distR="126263" simplePos="0" relativeHeight="251660288" behindDoc="0" locked="0" layoutInCell="1" allowOverlap="1" wp14:anchorId="1085B4A5" wp14:editId="746FCF9E">
                <wp:simplePos x="0" y="0"/>
                <wp:positionH relativeFrom="column">
                  <wp:posOffset>5789394</wp:posOffset>
                </wp:positionH>
                <wp:positionV relativeFrom="paragraph">
                  <wp:posOffset>33243069</wp:posOffset>
                </wp:positionV>
                <wp:extent cx="482600" cy="474980"/>
                <wp:effectExtent l="38100" t="38100" r="69850" b="58420"/>
                <wp:wrapNone/>
                <wp:docPr id="16" name="墨迹 16"/>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58">
                      <w14:nvContentPartPr>
                        <w14:cNvContentPartPr>
                          <a14:cpLocks xmlns:a14="http://schemas.microsoft.com/office/drawing/2010/main" noChangeAspect="1"/>
                        </w14:cNvContentPartPr>
                      </w14:nvContentPartPr>
                      <w14:xfrm>
                        <a:off x="0" y="0"/>
                        <a:ext cx="482600" cy="474980"/>
                      </w14:xfrm>
                    </w14:contentPart>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1444B441" id="墨迹 16" o:spid="_x0000_s1026" type="#_x0000_t75" style="position:absolute;left:0;text-align:left;margin-left:454.55pt;margin-top:2616.25pt;width:40.55pt;height:39.95pt;z-index:251660288;visibility:visible;mso-wrap-style:square;mso-width-percent:0;mso-height-percent:0;mso-wrap-distance-left:3.49525mm;mso-wrap-distance-top:.34025mm;mso-wrap-distance-right:3.50731mm;mso-wrap-distance-bottom:.27394mm;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">
                <v:imagedata r:id="rId64" o:title=""/>
              </v:shape>
            </w:pict>
          </mc:Fallback>
        </mc:AlternateContent>
      </w:r>
    </w:p>
    <w:p w14:paraId="52B475CF" w14:textId="77777777" w:rsidR="00913C78" w:rsidRPr="00913C78" w:rsidRDefault="00913C78" w:rsidP="00884668">
      <w:pPr>
        <w:pStyle w:val="32"/>
      </w:pPr>
      <w:r w:rsidRPr="00913C78">
        <w:br w:type="page"/>
      </w:r>
      <w:bookmarkStart w:id="272" w:name="_Toc35364775"/>
      <w:r w:rsidRPr="00913C78">
        <w:rPr>
          <w:rFonts w:hint="eastAsia"/>
        </w:rPr>
        <w:lastRenderedPageBreak/>
        <w:t>A.2.</w:t>
      </w:r>
      <w:r w:rsidRPr="00913C78">
        <w:t>4</w:t>
      </w:r>
      <w:r w:rsidRPr="00913C78">
        <w:rPr>
          <w:rFonts w:hint="eastAsia"/>
        </w:rPr>
        <w:t xml:space="preserve">  </w:t>
      </w:r>
      <w:r w:rsidRPr="00913C78">
        <w:t>数值分析</w:t>
      </w:r>
      <w:r w:rsidRPr="00913C78">
        <w:rPr>
          <w:rFonts w:hint="eastAsia"/>
        </w:rPr>
        <w:t>结果与</w:t>
      </w:r>
      <w:r w:rsidRPr="00913C78">
        <w:t>结论</w:t>
      </w:r>
      <w:bookmarkEnd w:id="272"/>
    </w:p>
    <w:p w14:paraId="70185E03" w14:textId="77777777" w:rsidR="00913C78" w:rsidRPr="00913C78" w:rsidRDefault="00913C78" w:rsidP="00913C78">
      <w:pPr>
        <w:ind w:firstLine="420"/>
      </w:pPr>
      <w:r w:rsidRPr="00913C78">
        <w:rPr>
          <w:rFonts w:hint="eastAsia"/>
        </w:rPr>
        <w:t>◎</w:t>
      </w:r>
      <w:r w:rsidRPr="00913C78">
        <w:t xml:space="preserve"> </w:t>
      </w:r>
      <w:r w:rsidRPr="00913C78">
        <w:rPr>
          <w:rFonts w:hint="eastAsia"/>
        </w:rPr>
        <w:t>数值分析</w:t>
      </w:r>
      <w:r w:rsidRPr="00913C78">
        <w:t>结果</w:t>
      </w:r>
    </w:p>
    <w:p w14:paraId="71DB94CB" w14:textId="77777777" w:rsidR="00913C78" w:rsidRPr="00913C78" w:rsidRDefault="00913C78" w:rsidP="00913C78">
      <w:pPr>
        <w:ind w:firstLine="420"/>
      </w:pPr>
      <w:r w:rsidRPr="00913C78">
        <w:rPr>
          <w:rFonts w:hint="eastAsia"/>
        </w:rPr>
        <w:t>室外风环境数值分析结果应包括：</w:t>
      </w:r>
    </w:p>
    <w:p w14:paraId="0FE82BC1"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能够表达目标建筑和周边遮挡物位置关系的总平面图。</w:t>
      </w:r>
    </w:p>
    <w:p w14:paraId="58E35644"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能反映障碍物</w:t>
      </w:r>
      <w:r w:rsidRPr="00913C78">
        <w:t>、建筑和地形</w:t>
      </w:r>
      <w:r w:rsidRPr="00913C78">
        <w:rPr>
          <w:rFonts w:hint="eastAsia"/>
        </w:rPr>
        <w:t>等</w:t>
      </w:r>
      <w:r w:rsidRPr="00913C78">
        <w:t>的</w:t>
      </w:r>
      <w:r w:rsidRPr="00913C78">
        <w:rPr>
          <w:rFonts w:hint="eastAsia"/>
        </w:rPr>
        <w:t>三维物理模型效果图。</w:t>
      </w:r>
    </w:p>
    <w:p w14:paraId="24714FAA"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不同季节不同来流风速下，场地内建筑周围人行区</w:t>
      </w:r>
      <w:r w:rsidRPr="00913C78">
        <w:t>1.5m</w:t>
      </w:r>
      <w:r w:rsidRPr="00913C78">
        <w:rPr>
          <w:rFonts w:hint="eastAsia"/>
        </w:rPr>
        <w:t>高处（屋顶花园</w:t>
      </w:r>
      <w:r w:rsidRPr="00913C78">
        <w:t>、空中连廊、平台、露台等区域的</w:t>
      </w:r>
      <w:r w:rsidRPr="00913C78">
        <w:rPr>
          <w:rFonts w:hint="eastAsia"/>
        </w:rPr>
        <w:t>1.5</w:t>
      </w:r>
      <w:r w:rsidRPr="00913C78">
        <w:t>m</w:t>
      </w:r>
      <w:r w:rsidRPr="00913C78">
        <w:t>高度也应作为参考平面</w:t>
      </w:r>
      <w:r w:rsidRPr="00913C78">
        <w:rPr>
          <w:rFonts w:hint="eastAsia"/>
        </w:rPr>
        <w:t>）的风速分布云图、风速矢量图、</w:t>
      </w:r>
      <w:r w:rsidRPr="00913C78">
        <w:t>风压分布云图、平均风速</w:t>
      </w:r>
      <w:r w:rsidRPr="00913C78">
        <w:rPr>
          <w:rFonts w:hint="eastAsia"/>
        </w:rPr>
        <w:t>和</w:t>
      </w:r>
      <w:r w:rsidRPr="00913C78">
        <w:t>最大风速列表</w:t>
      </w:r>
      <w:r w:rsidRPr="00913C78">
        <w:rPr>
          <w:rFonts w:hint="eastAsia"/>
        </w:rPr>
        <w:t>。</w:t>
      </w:r>
    </w:p>
    <w:p w14:paraId="2A09E1E2"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模拟计算收敛曲线图。</w:t>
      </w:r>
    </w:p>
    <w:p w14:paraId="582B6C9F" w14:textId="77777777" w:rsidR="00913C78" w:rsidRPr="00913C78" w:rsidRDefault="00913C78" w:rsidP="00913C78">
      <w:pPr>
        <w:ind w:firstLine="420"/>
      </w:pPr>
      <w:r w:rsidRPr="00913C78">
        <w:t>5</w:t>
      </w:r>
      <w:r w:rsidRPr="00913C78">
        <w:rPr>
          <w:rFonts w:hint="eastAsia"/>
        </w:rPr>
        <w:t>）</w:t>
      </w:r>
      <w:r w:rsidRPr="00913C78">
        <w:t> </w:t>
      </w:r>
      <w:r w:rsidRPr="00913C78">
        <w:rPr>
          <w:rFonts w:hint="eastAsia"/>
        </w:rPr>
        <w:t>不同季节不同来流风速下，数值分析得到的建筑首层及以上典型楼层迎风面与背风面（或主要开窗面）表面的压力分布云图。</w:t>
      </w:r>
    </w:p>
    <w:p w14:paraId="14F30195"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冬季来流风速下，数值分析得到的室外活动区的风速放大系数图。</w:t>
      </w:r>
    </w:p>
    <w:p w14:paraId="4990613C" w14:textId="77777777" w:rsidR="00913C78" w:rsidRPr="00913C78" w:rsidRDefault="00913C78" w:rsidP="00913C78">
      <w:pPr>
        <w:ind w:firstLine="420"/>
      </w:pPr>
      <w:r w:rsidRPr="00913C78">
        <w:rPr>
          <w:rFonts w:hint="eastAsia"/>
        </w:rPr>
        <w:t>数值分析结果</w:t>
      </w:r>
      <w:r w:rsidRPr="00913C78">
        <w:t>要求：</w:t>
      </w:r>
    </w:p>
    <w:p w14:paraId="42EF05CD" w14:textId="77777777" w:rsidR="00913C78" w:rsidRPr="00913C78" w:rsidRDefault="00913C78" w:rsidP="00913C78">
      <w:pPr>
        <w:ind w:firstLine="420"/>
      </w:pPr>
      <w:r w:rsidRPr="00913C78">
        <w:rPr>
          <w:rFonts w:hint="eastAsia"/>
        </w:rPr>
        <w:t>1</w:t>
      </w:r>
      <w:r w:rsidRPr="00913C78">
        <w:rPr>
          <w:rFonts w:hint="eastAsia"/>
        </w:rPr>
        <w:t>）云图</w:t>
      </w:r>
      <w:r w:rsidRPr="00913C78">
        <w:t>要求：压力云图和风速云图应体现出较明显的变化，风速矢量图</w:t>
      </w:r>
      <w:r w:rsidRPr="00913C78">
        <w:rPr>
          <w:rFonts w:hint="eastAsia"/>
        </w:rPr>
        <w:t>应</w:t>
      </w:r>
      <w:r w:rsidRPr="00913C78">
        <w:t>反映出风流场的气流，并对结果进行说明。</w:t>
      </w:r>
    </w:p>
    <w:p w14:paraId="66BE5C7E" w14:textId="77777777" w:rsidR="00913C78" w:rsidRPr="00913C78" w:rsidRDefault="00913C78" w:rsidP="00913C78">
      <w:pPr>
        <w:ind w:firstLine="420"/>
      </w:pPr>
      <w:r w:rsidRPr="00913C78">
        <w:rPr>
          <w:rFonts w:hint="eastAsia"/>
        </w:rPr>
        <w:t>2</w:t>
      </w:r>
      <w:r w:rsidRPr="00913C78">
        <w:rPr>
          <w:rFonts w:hint="eastAsia"/>
        </w:rPr>
        <w:t>）计算收敛性要求：计算应在求解充分收敛的情况下停止，即确定残差变化率不大于</w:t>
      </w:r>
      <w:r w:rsidRPr="00913C78">
        <w:rPr>
          <w:rFonts w:hint="eastAsia"/>
        </w:rPr>
        <w:t>0.001</w:t>
      </w:r>
      <w:r w:rsidRPr="00913C78">
        <w:rPr>
          <w:rFonts w:hint="eastAsia"/>
        </w:rPr>
        <w:t>。</w:t>
      </w:r>
    </w:p>
    <w:p w14:paraId="2FEF3181" w14:textId="77777777" w:rsidR="00913C78" w:rsidRPr="00913C78" w:rsidRDefault="00913C78" w:rsidP="00913C78">
      <w:pPr>
        <w:ind w:firstLine="420"/>
      </w:pPr>
      <w:r w:rsidRPr="00913C78">
        <w:rPr>
          <w:rFonts w:hint="eastAsia"/>
        </w:rPr>
        <w:t>◎</w:t>
      </w:r>
      <w:r w:rsidRPr="00913C78">
        <w:rPr>
          <w:rFonts w:hint="eastAsia"/>
        </w:rPr>
        <w:t xml:space="preserve"> </w:t>
      </w:r>
      <w:r w:rsidRPr="00913C78">
        <w:rPr>
          <w:rFonts w:hint="eastAsia"/>
        </w:rPr>
        <w:t>对比</w:t>
      </w:r>
      <w:r w:rsidRPr="00913C78">
        <w:t>分析</w:t>
      </w:r>
    </w:p>
    <w:p w14:paraId="064AF2A4" w14:textId="77777777" w:rsidR="00913C78" w:rsidRPr="00913C78" w:rsidRDefault="00913C78" w:rsidP="00913C78">
      <w:pPr>
        <w:ind w:firstLine="420"/>
      </w:pPr>
      <w:r w:rsidRPr="00913C78">
        <w:rPr>
          <w:rFonts w:hint="eastAsia"/>
        </w:rPr>
        <w:t>根据数值分析结果分析项目室外风环境状态，将风速、</w:t>
      </w:r>
      <w:r w:rsidRPr="00913C78">
        <w:t>风压</w:t>
      </w:r>
      <w:r w:rsidRPr="00913C78">
        <w:rPr>
          <w:rFonts w:hint="eastAsia"/>
        </w:rPr>
        <w:t>等结果与相关标准要求进行对比，判断达标情况。给出室外风环境的优化措施与实施过程，对比分析优化后的项目室外风环境状态。</w:t>
      </w:r>
    </w:p>
    <w:p w14:paraId="044B29B7" w14:textId="77777777" w:rsidR="00913C78" w:rsidRPr="00913C78" w:rsidRDefault="00913C78" w:rsidP="00913C78">
      <w:pPr>
        <w:ind w:firstLine="420"/>
      </w:pPr>
      <w:r w:rsidRPr="00913C78">
        <w:rPr>
          <w:rFonts w:hint="eastAsia"/>
        </w:rPr>
        <w:t>◎</w:t>
      </w:r>
      <w:r w:rsidRPr="00913C78">
        <w:t xml:space="preserve"> </w:t>
      </w:r>
      <w:r w:rsidRPr="00913C78">
        <w:rPr>
          <w:rFonts w:hint="eastAsia"/>
        </w:rPr>
        <w:t>结论</w:t>
      </w:r>
    </w:p>
    <w:p w14:paraId="528C046E" w14:textId="77777777" w:rsidR="00913C78" w:rsidRPr="00913C78" w:rsidRDefault="00913C78" w:rsidP="00913C78">
      <w:pPr>
        <w:ind w:firstLine="420"/>
      </w:pPr>
      <w:r w:rsidRPr="00913C78">
        <w:rPr>
          <w:rFonts w:hint="eastAsia"/>
        </w:rPr>
        <w:t>进行达标判定，</w:t>
      </w:r>
      <w:r w:rsidRPr="00913C78">
        <w:t>并</w:t>
      </w:r>
      <w:r w:rsidRPr="00913C78">
        <w:rPr>
          <w:rFonts w:hint="eastAsia"/>
        </w:rPr>
        <w:t>给出结论。</w:t>
      </w:r>
    </w:p>
    <w:p w14:paraId="6092DD94" w14:textId="77777777" w:rsidR="00913C78" w:rsidRPr="00913C78" w:rsidRDefault="00913C78" w:rsidP="00AC08C3">
      <w:pPr>
        <w:pStyle w:val="32"/>
      </w:pPr>
      <w:bookmarkStart w:id="273" w:name="_Toc35364776"/>
      <w:r w:rsidRPr="00913C78">
        <w:rPr>
          <w:rFonts w:hint="eastAsia"/>
        </w:rPr>
        <w:t xml:space="preserve">A.2.5  </w:t>
      </w:r>
      <w:r w:rsidRPr="00913C78">
        <w:rPr>
          <w:rFonts w:hint="eastAsia"/>
        </w:rPr>
        <w:t>审查要点（附表</w:t>
      </w:r>
      <w:r w:rsidRPr="00913C78">
        <w:rPr>
          <w:rFonts w:hint="eastAsia"/>
        </w:rPr>
        <w:t>A.2.3</w:t>
      </w:r>
      <w:r w:rsidRPr="00913C78">
        <w:rPr>
          <w:rFonts w:hint="eastAsia"/>
        </w:rPr>
        <w:t>）</w:t>
      </w:r>
      <w:bookmarkEnd w:id="273"/>
    </w:p>
    <w:p w14:paraId="7D4B6D00" w14:textId="77777777" w:rsidR="00913C78" w:rsidRPr="00913C78" w:rsidRDefault="00913C78" w:rsidP="00913C78">
      <w:pPr>
        <w:ind w:firstLine="420"/>
      </w:pPr>
      <w:r w:rsidRPr="00913C78">
        <w:rPr>
          <w:rFonts w:hint="eastAsia"/>
        </w:rPr>
        <w:t>室外风环境</w:t>
      </w:r>
    </w:p>
    <w:p w14:paraId="6C00C568" w14:textId="77777777" w:rsidR="00E731D0" w:rsidRDefault="00E731D0" w:rsidP="00AC08C3">
      <w:pPr>
        <w:pStyle w:val="ae"/>
      </w:pPr>
    </w:p>
    <w:p w14:paraId="0BF517D8" w14:textId="77777777" w:rsidR="00E731D0" w:rsidRDefault="00E731D0" w:rsidP="00AC08C3">
      <w:pPr>
        <w:pStyle w:val="ae"/>
      </w:pPr>
    </w:p>
    <w:p w14:paraId="51A18AF7" w14:textId="74A22868" w:rsidR="00913C78" w:rsidRPr="00913C78" w:rsidRDefault="00913C78" w:rsidP="00AC08C3">
      <w:pPr>
        <w:pStyle w:val="ae"/>
      </w:pPr>
      <w:r w:rsidRPr="00913C78">
        <w:rPr>
          <w:rFonts w:hint="eastAsia"/>
        </w:rPr>
        <w:t>附表</w:t>
      </w:r>
      <w:r w:rsidRPr="00913C78">
        <w:rPr>
          <w:rFonts w:hint="eastAsia"/>
        </w:rPr>
        <w:t xml:space="preserve">A.2.3  </w:t>
      </w:r>
      <w:r w:rsidRPr="00913C78">
        <w:rPr>
          <w:rFonts w:hint="eastAsia"/>
        </w:rPr>
        <w:t>室外风环境数值分析报告专家判断表</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 w:type="dxa"/>
        </w:tblCellMar>
        <w:tblLook w:val="04A0" w:firstRow="1" w:lastRow="0" w:firstColumn="1" w:lastColumn="0" w:noHBand="0" w:noVBand="1"/>
      </w:tblPr>
      <w:tblGrid>
        <w:gridCol w:w="624"/>
        <w:gridCol w:w="1416"/>
        <w:gridCol w:w="4392"/>
        <w:gridCol w:w="1081"/>
      </w:tblGrid>
      <w:tr w:rsidR="00913C78" w:rsidRPr="00884668" w14:paraId="3C8C294B" w14:textId="77777777" w:rsidTr="00E731D0">
        <w:trPr>
          <w:jc w:val="center"/>
        </w:trPr>
        <w:tc>
          <w:tcPr>
            <w:tcW w:w="624" w:type="dxa"/>
            <w:shd w:val="clear" w:color="auto" w:fill="auto"/>
            <w:vAlign w:val="center"/>
            <w:hideMark/>
          </w:tcPr>
          <w:p w14:paraId="3D5D0A36" w14:textId="77777777" w:rsidR="00913C78" w:rsidRPr="00884668" w:rsidRDefault="00913C78" w:rsidP="00884668">
            <w:pPr>
              <w:pStyle w:val="ae"/>
              <w:rPr>
                <w:b w:val="0"/>
                <w:bCs/>
              </w:rPr>
            </w:pPr>
            <w:r w:rsidRPr="00884668">
              <w:rPr>
                <w:rFonts w:hint="eastAsia"/>
                <w:b w:val="0"/>
                <w:bCs/>
              </w:rPr>
              <w:t>编号</w:t>
            </w:r>
          </w:p>
        </w:tc>
        <w:tc>
          <w:tcPr>
            <w:tcW w:w="1416" w:type="dxa"/>
            <w:shd w:val="clear" w:color="auto" w:fill="auto"/>
            <w:vAlign w:val="center"/>
            <w:hideMark/>
          </w:tcPr>
          <w:p w14:paraId="355D8359" w14:textId="77777777" w:rsidR="00913C78" w:rsidRPr="00884668" w:rsidRDefault="00913C78" w:rsidP="00884668">
            <w:pPr>
              <w:pStyle w:val="ae"/>
              <w:rPr>
                <w:b w:val="0"/>
                <w:bCs/>
              </w:rPr>
            </w:pPr>
            <w:r w:rsidRPr="00884668">
              <w:rPr>
                <w:rFonts w:hint="eastAsia"/>
                <w:b w:val="0"/>
                <w:bCs/>
              </w:rPr>
              <w:t>审查要点</w:t>
            </w:r>
          </w:p>
        </w:tc>
        <w:tc>
          <w:tcPr>
            <w:tcW w:w="4392" w:type="dxa"/>
            <w:shd w:val="clear" w:color="auto" w:fill="auto"/>
            <w:vAlign w:val="center"/>
            <w:hideMark/>
          </w:tcPr>
          <w:p w14:paraId="5F84BCFB" w14:textId="77777777" w:rsidR="00913C78" w:rsidRPr="00884668" w:rsidRDefault="00913C78" w:rsidP="00884668">
            <w:pPr>
              <w:pStyle w:val="af7"/>
              <w:jc w:val="center"/>
            </w:pPr>
            <w:r w:rsidRPr="00884668">
              <w:rPr>
                <w:rFonts w:hint="eastAsia"/>
              </w:rPr>
              <w:t>具体判断</w:t>
            </w:r>
          </w:p>
        </w:tc>
        <w:tc>
          <w:tcPr>
            <w:tcW w:w="1081" w:type="dxa"/>
            <w:shd w:val="clear" w:color="auto" w:fill="auto"/>
            <w:vAlign w:val="center"/>
            <w:hideMark/>
          </w:tcPr>
          <w:p w14:paraId="0252C640" w14:textId="77777777" w:rsidR="00913C78" w:rsidRPr="00884668" w:rsidRDefault="00913C78" w:rsidP="00884668">
            <w:pPr>
              <w:pStyle w:val="ae"/>
              <w:rPr>
                <w:b w:val="0"/>
                <w:bCs/>
              </w:rPr>
            </w:pPr>
            <w:r w:rsidRPr="00884668">
              <w:rPr>
                <w:rFonts w:hint="eastAsia"/>
                <w:b w:val="0"/>
                <w:bCs/>
              </w:rPr>
              <w:t>是否满足</w:t>
            </w:r>
          </w:p>
        </w:tc>
      </w:tr>
      <w:tr w:rsidR="00913C78" w:rsidRPr="00884668" w14:paraId="5F7B68B9" w14:textId="77777777" w:rsidTr="00E731D0">
        <w:trPr>
          <w:jc w:val="center"/>
        </w:trPr>
        <w:tc>
          <w:tcPr>
            <w:tcW w:w="624" w:type="dxa"/>
            <w:shd w:val="clear" w:color="auto" w:fill="auto"/>
            <w:vAlign w:val="center"/>
            <w:hideMark/>
          </w:tcPr>
          <w:p w14:paraId="6818E3E2" w14:textId="77777777" w:rsidR="00913C78" w:rsidRPr="00884668" w:rsidRDefault="00913C78" w:rsidP="00884668">
            <w:pPr>
              <w:pStyle w:val="ae"/>
              <w:rPr>
                <w:b w:val="0"/>
                <w:bCs/>
              </w:rPr>
            </w:pPr>
            <w:r w:rsidRPr="00884668">
              <w:rPr>
                <w:rFonts w:hint="eastAsia"/>
                <w:b w:val="0"/>
                <w:bCs/>
              </w:rPr>
              <w:t>1</w:t>
            </w:r>
          </w:p>
        </w:tc>
        <w:tc>
          <w:tcPr>
            <w:tcW w:w="1416" w:type="dxa"/>
            <w:shd w:val="clear" w:color="auto" w:fill="auto"/>
            <w:vAlign w:val="center"/>
            <w:hideMark/>
          </w:tcPr>
          <w:p w14:paraId="1DEB4A71" w14:textId="77777777" w:rsidR="00913C78" w:rsidRPr="00884668" w:rsidRDefault="00913C78" w:rsidP="00884668">
            <w:pPr>
              <w:pStyle w:val="ae"/>
              <w:rPr>
                <w:b w:val="0"/>
                <w:bCs/>
              </w:rPr>
            </w:pPr>
            <w:r w:rsidRPr="00884668">
              <w:rPr>
                <w:rFonts w:hint="eastAsia"/>
                <w:b w:val="0"/>
                <w:bCs/>
              </w:rPr>
              <w:t>数值分析依据</w:t>
            </w:r>
          </w:p>
        </w:tc>
        <w:tc>
          <w:tcPr>
            <w:tcW w:w="4392" w:type="dxa"/>
            <w:shd w:val="clear" w:color="auto" w:fill="auto"/>
            <w:vAlign w:val="center"/>
            <w:hideMark/>
          </w:tcPr>
          <w:p w14:paraId="669395C2" w14:textId="77777777" w:rsidR="00913C78" w:rsidRPr="00884668" w:rsidRDefault="00913C78" w:rsidP="00884668">
            <w:pPr>
              <w:pStyle w:val="af7"/>
            </w:pPr>
            <w:r w:rsidRPr="00884668">
              <w:rPr>
                <w:rFonts w:hint="eastAsia"/>
              </w:rPr>
              <w:t>数值分析基础数据有可靠来源，写明基础数据及参考的数据资料</w:t>
            </w:r>
          </w:p>
        </w:tc>
        <w:tc>
          <w:tcPr>
            <w:tcW w:w="1081" w:type="dxa"/>
            <w:shd w:val="clear" w:color="auto" w:fill="auto"/>
            <w:vAlign w:val="center"/>
            <w:hideMark/>
          </w:tcPr>
          <w:p w14:paraId="46E522F8" w14:textId="77777777" w:rsidR="00913C78" w:rsidRPr="00884668" w:rsidRDefault="00913C78" w:rsidP="00884668">
            <w:pPr>
              <w:pStyle w:val="ae"/>
              <w:rPr>
                <w:b w:val="0"/>
                <w:bCs/>
              </w:rPr>
            </w:pPr>
          </w:p>
        </w:tc>
      </w:tr>
      <w:tr w:rsidR="00913C78" w:rsidRPr="00884668" w14:paraId="1C8511CC" w14:textId="77777777" w:rsidTr="00E731D0">
        <w:trPr>
          <w:jc w:val="center"/>
        </w:trPr>
        <w:tc>
          <w:tcPr>
            <w:tcW w:w="624" w:type="dxa"/>
            <w:shd w:val="clear" w:color="auto" w:fill="auto"/>
            <w:vAlign w:val="center"/>
            <w:hideMark/>
          </w:tcPr>
          <w:p w14:paraId="1C6D58E0" w14:textId="77777777" w:rsidR="00913C78" w:rsidRPr="00884668" w:rsidRDefault="00913C78" w:rsidP="00884668">
            <w:pPr>
              <w:pStyle w:val="ae"/>
              <w:rPr>
                <w:b w:val="0"/>
                <w:bCs/>
              </w:rPr>
            </w:pPr>
            <w:r w:rsidRPr="00884668">
              <w:rPr>
                <w:rFonts w:hint="eastAsia"/>
                <w:b w:val="0"/>
                <w:bCs/>
              </w:rPr>
              <w:t>2</w:t>
            </w:r>
          </w:p>
        </w:tc>
        <w:tc>
          <w:tcPr>
            <w:tcW w:w="1416" w:type="dxa"/>
            <w:shd w:val="clear" w:color="auto" w:fill="auto"/>
            <w:vAlign w:val="center"/>
            <w:hideMark/>
          </w:tcPr>
          <w:p w14:paraId="29F750C9" w14:textId="77777777" w:rsidR="00913C78" w:rsidRPr="00884668" w:rsidRDefault="00913C78" w:rsidP="00884668">
            <w:pPr>
              <w:pStyle w:val="ae"/>
              <w:rPr>
                <w:b w:val="0"/>
                <w:bCs/>
              </w:rPr>
            </w:pPr>
            <w:r w:rsidRPr="00884668">
              <w:rPr>
                <w:rFonts w:hint="eastAsia"/>
                <w:b w:val="0"/>
                <w:bCs/>
              </w:rPr>
              <w:t>模型选取</w:t>
            </w:r>
          </w:p>
        </w:tc>
        <w:tc>
          <w:tcPr>
            <w:tcW w:w="4392" w:type="dxa"/>
            <w:shd w:val="clear" w:color="auto" w:fill="auto"/>
            <w:vAlign w:val="center"/>
            <w:hideMark/>
          </w:tcPr>
          <w:p w14:paraId="0FE2E678" w14:textId="77777777" w:rsidR="00913C78" w:rsidRPr="00884668" w:rsidRDefault="00913C78" w:rsidP="00884668">
            <w:pPr>
              <w:pStyle w:val="af7"/>
            </w:pPr>
            <w:r w:rsidRPr="00884668">
              <w:rPr>
                <w:rFonts w:hint="eastAsia"/>
              </w:rPr>
              <w:t>数值分析时采用</w:t>
            </w:r>
            <w:r w:rsidRPr="00884668">
              <w:rPr>
                <w:rFonts w:hint="eastAsia"/>
              </w:rPr>
              <w:t>k-</w:t>
            </w:r>
            <w:r w:rsidRPr="00884668">
              <w:rPr>
                <w:rFonts w:hint="eastAsia"/>
              </w:rPr>
              <w:sym w:font="Symbol" w:char="F065"/>
            </w:r>
            <w:r w:rsidRPr="00884668">
              <w:rPr>
                <w:rFonts w:hint="eastAsia"/>
              </w:rPr>
              <w:t xml:space="preserve"> </w:t>
            </w:r>
            <w:r w:rsidRPr="00884668">
              <w:rPr>
                <w:rFonts w:hint="eastAsia"/>
              </w:rPr>
              <w:t>模型、</w:t>
            </w:r>
            <w:r w:rsidRPr="00884668">
              <w:rPr>
                <w:rFonts w:hint="eastAsia"/>
              </w:rPr>
              <w:t>RNG k-</w:t>
            </w:r>
            <w:r w:rsidRPr="00884668">
              <w:rPr>
                <w:rFonts w:hint="eastAsia"/>
              </w:rPr>
              <w:sym w:font="Symbol" w:char="F065"/>
            </w:r>
            <w:r w:rsidRPr="00884668">
              <w:rPr>
                <w:rFonts w:hint="eastAsia"/>
              </w:rPr>
              <w:t xml:space="preserve"> </w:t>
            </w:r>
            <w:r w:rsidRPr="00884668">
              <w:rPr>
                <w:rFonts w:hint="eastAsia"/>
              </w:rPr>
              <w:t>模型或其他适用于计算对象模型</w:t>
            </w:r>
          </w:p>
        </w:tc>
        <w:tc>
          <w:tcPr>
            <w:tcW w:w="1081" w:type="dxa"/>
            <w:shd w:val="clear" w:color="auto" w:fill="auto"/>
            <w:vAlign w:val="center"/>
            <w:hideMark/>
          </w:tcPr>
          <w:p w14:paraId="0EB04CF5" w14:textId="77777777" w:rsidR="00913C78" w:rsidRPr="00884668" w:rsidRDefault="00913C78" w:rsidP="00884668">
            <w:pPr>
              <w:pStyle w:val="ae"/>
              <w:rPr>
                <w:b w:val="0"/>
                <w:bCs/>
              </w:rPr>
            </w:pPr>
          </w:p>
        </w:tc>
      </w:tr>
      <w:tr w:rsidR="00913C78" w:rsidRPr="00884668" w14:paraId="4C30BFBF" w14:textId="77777777" w:rsidTr="00E731D0">
        <w:trPr>
          <w:jc w:val="center"/>
        </w:trPr>
        <w:tc>
          <w:tcPr>
            <w:tcW w:w="624" w:type="dxa"/>
            <w:shd w:val="clear" w:color="auto" w:fill="auto"/>
            <w:vAlign w:val="center"/>
            <w:hideMark/>
          </w:tcPr>
          <w:p w14:paraId="38087AD4" w14:textId="77777777" w:rsidR="00913C78" w:rsidRPr="00884668" w:rsidRDefault="00913C78" w:rsidP="00884668">
            <w:pPr>
              <w:pStyle w:val="ae"/>
              <w:rPr>
                <w:b w:val="0"/>
                <w:bCs/>
              </w:rPr>
            </w:pPr>
            <w:r w:rsidRPr="00884668">
              <w:rPr>
                <w:rFonts w:hint="eastAsia"/>
                <w:b w:val="0"/>
                <w:bCs/>
              </w:rPr>
              <w:t>3</w:t>
            </w:r>
          </w:p>
        </w:tc>
        <w:tc>
          <w:tcPr>
            <w:tcW w:w="1416" w:type="dxa"/>
            <w:shd w:val="clear" w:color="auto" w:fill="auto"/>
            <w:vAlign w:val="center"/>
            <w:hideMark/>
          </w:tcPr>
          <w:p w14:paraId="385CE7F0" w14:textId="77777777" w:rsidR="00913C78" w:rsidRPr="00884668" w:rsidRDefault="00913C78" w:rsidP="00884668">
            <w:pPr>
              <w:pStyle w:val="ae"/>
              <w:rPr>
                <w:b w:val="0"/>
                <w:bCs/>
              </w:rPr>
            </w:pPr>
            <w:r w:rsidRPr="00884668">
              <w:rPr>
                <w:rFonts w:hint="eastAsia"/>
                <w:b w:val="0"/>
                <w:bCs/>
              </w:rPr>
              <w:t>差分格式</w:t>
            </w:r>
          </w:p>
        </w:tc>
        <w:tc>
          <w:tcPr>
            <w:tcW w:w="4392" w:type="dxa"/>
            <w:shd w:val="clear" w:color="auto" w:fill="auto"/>
            <w:vAlign w:val="center"/>
            <w:hideMark/>
          </w:tcPr>
          <w:p w14:paraId="5F3AC29E" w14:textId="77777777" w:rsidR="00913C78" w:rsidRPr="00884668" w:rsidRDefault="00913C78" w:rsidP="00884668">
            <w:pPr>
              <w:pStyle w:val="af7"/>
            </w:pPr>
            <w:r w:rsidRPr="00884668">
              <w:rPr>
                <w:rFonts w:hint="eastAsia"/>
              </w:rPr>
              <w:t>避免采用一阶差分格式</w:t>
            </w:r>
          </w:p>
        </w:tc>
        <w:tc>
          <w:tcPr>
            <w:tcW w:w="1081" w:type="dxa"/>
            <w:shd w:val="clear" w:color="auto" w:fill="auto"/>
            <w:vAlign w:val="center"/>
            <w:hideMark/>
          </w:tcPr>
          <w:p w14:paraId="6C491ED5" w14:textId="77777777" w:rsidR="00913C78" w:rsidRPr="00884668" w:rsidRDefault="00913C78" w:rsidP="00884668">
            <w:pPr>
              <w:pStyle w:val="ae"/>
              <w:rPr>
                <w:b w:val="0"/>
                <w:bCs/>
              </w:rPr>
            </w:pPr>
          </w:p>
        </w:tc>
      </w:tr>
      <w:tr w:rsidR="00913C78" w:rsidRPr="00884668" w14:paraId="404EEB74" w14:textId="77777777" w:rsidTr="00E731D0">
        <w:trPr>
          <w:jc w:val="center"/>
        </w:trPr>
        <w:tc>
          <w:tcPr>
            <w:tcW w:w="624" w:type="dxa"/>
            <w:shd w:val="clear" w:color="auto" w:fill="auto"/>
            <w:vAlign w:val="center"/>
          </w:tcPr>
          <w:p w14:paraId="0538F1A9" w14:textId="77777777" w:rsidR="00913C78" w:rsidRPr="00884668" w:rsidRDefault="00913C78" w:rsidP="00884668">
            <w:pPr>
              <w:pStyle w:val="ae"/>
              <w:rPr>
                <w:b w:val="0"/>
                <w:bCs/>
              </w:rPr>
            </w:pPr>
            <w:r w:rsidRPr="00884668">
              <w:rPr>
                <w:rFonts w:hint="eastAsia"/>
                <w:b w:val="0"/>
                <w:bCs/>
              </w:rPr>
              <w:t>4</w:t>
            </w:r>
          </w:p>
        </w:tc>
        <w:tc>
          <w:tcPr>
            <w:tcW w:w="1416" w:type="dxa"/>
            <w:shd w:val="clear" w:color="auto" w:fill="auto"/>
            <w:vAlign w:val="center"/>
          </w:tcPr>
          <w:p w14:paraId="749B89C1" w14:textId="77777777" w:rsidR="00913C78" w:rsidRPr="00884668" w:rsidRDefault="00913C78" w:rsidP="00884668">
            <w:pPr>
              <w:pStyle w:val="ae"/>
              <w:rPr>
                <w:b w:val="0"/>
                <w:bCs/>
              </w:rPr>
            </w:pPr>
            <w:r w:rsidRPr="00884668">
              <w:rPr>
                <w:rFonts w:hint="eastAsia"/>
                <w:b w:val="0"/>
                <w:bCs/>
              </w:rPr>
              <w:t>模拟工况</w:t>
            </w:r>
          </w:p>
        </w:tc>
        <w:tc>
          <w:tcPr>
            <w:tcW w:w="4392" w:type="dxa"/>
            <w:shd w:val="clear" w:color="auto" w:fill="auto"/>
            <w:vAlign w:val="center"/>
          </w:tcPr>
          <w:p w14:paraId="0E009525" w14:textId="77777777" w:rsidR="00913C78" w:rsidRPr="00884668" w:rsidRDefault="00913C78" w:rsidP="00884668">
            <w:pPr>
              <w:pStyle w:val="af7"/>
            </w:pPr>
            <w:r w:rsidRPr="00884668">
              <w:rPr>
                <w:rFonts w:hint="eastAsia"/>
              </w:rPr>
              <w:t>有夏季主导风向平均风速、过渡季主导风向平均风速和冬季主导风向平均风速三个</w:t>
            </w:r>
            <w:r w:rsidRPr="00884668">
              <w:t>典型工况的模拟结果</w:t>
            </w:r>
          </w:p>
        </w:tc>
        <w:tc>
          <w:tcPr>
            <w:tcW w:w="1081" w:type="dxa"/>
            <w:shd w:val="clear" w:color="auto" w:fill="auto"/>
            <w:vAlign w:val="center"/>
          </w:tcPr>
          <w:p w14:paraId="476672CD" w14:textId="77777777" w:rsidR="00913C78" w:rsidRPr="00884668" w:rsidRDefault="00913C78" w:rsidP="00884668">
            <w:pPr>
              <w:pStyle w:val="ae"/>
              <w:rPr>
                <w:b w:val="0"/>
                <w:bCs/>
              </w:rPr>
            </w:pPr>
          </w:p>
        </w:tc>
      </w:tr>
      <w:tr w:rsidR="00AC08C3" w:rsidRPr="00884668" w14:paraId="44842C23" w14:textId="77777777" w:rsidTr="00E731D0">
        <w:trPr>
          <w:jc w:val="center"/>
        </w:trPr>
        <w:tc>
          <w:tcPr>
            <w:tcW w:w="624" w:type="dxa"/>
            <w:vMerge w:val="restart"/>
            <w:shd w:val="clear" w:color="auto" w:fill="auto"/>
            <w:vAlign w:val="center"/>
          </w:tcPr>
          <w:p w14:paraId="63FC4946" w14:textId="08EA2974" w:rsidR="00AC08C3" w:rsidRPr="00884668" w:rsidRDefault="00AC08C3" w:rsidP="00884668">
            <w:pPr>
              <w:pStyle w:val="ae"/>
              <w:rPr>
                <w:b w:val="0"/>
                <w:bCs/>
              </w:rPr>
            </w:pPr>
            <w:r w:rsidRPr="00884668">
              <w:rPr>
                <w:rFonts w:hint="eastAsia"/>
                <w:b w:val="0"/>
                <w:bCs/>
              </w:rPr>
              <w:t>5</w:t>
            </w:r>
          </w:p>
        </w:tc>
        <w:tc>
          <w:tcPr>
            <w:tcW w:w="1416" w:type="dxa"/>
            <w:vMerge w:val="restart"/>
            <w:shd w:val="clear" w:color="auto" w:fill="auto"/>
            <w:vAlign w:val="center"/>
          </w:tcPr>
          <w:p w14:paraId="6093EC3A" w14:textId="1A4502A3" w:rsidR="00AC08C3" w:rsidRPr="00884668" w:rsidRDefault="00AC08C3" w:rsidP="00884668">
            <w:pPr>
              <w:pStyle w:val="ae"/>
              <w:rPr>
                <w:b w:val="0"/>
                <w:bCs/>
              </w:rPr>
            </w:pPr>
            <w:r w:rsidRPr="00884668">
              <w:rPr>
                <w:rFonts w:hint="eastAsia"/>
                <w:b w:val="0"/>
                <w:bCs/>
              </w:rPr>
              <w:t>建筑模型</w:t>
            </w:r>
          </w:p>
        </w:tc>
        <w:tc>
          <w:tcPr>
            <w:tcW w:w="4392" w:type="dxa"/>
            <w:shd w:val="clear" w:color="auto" w:fill="auto"/>
            <w:vAlign w:val="center"/>
          </w:tcPr>
          <w:p w14:paraId="25DA5932" w14:textId="6482E33B" w:rsidR="00AC08C3" w:rsidRPr="00884668" w:rsidRDefault="00AC08C3" w:rsidP="00884668">
            <w:pPr>
              <w:pStyle w:val="af7"/>
            </w:pPr>
            <w:r w:rsidRPr="00884668">
              <w:rPr>
                <w:rFonts w:hint="eastAsia"/>
              </w:rPr>
              <w:t>根据项目规划红线图建立地形、目标建筑及其周边有影响的建筑进行较为完整的建模</w:t>
            </w:r>
          </w:p>
        </w:tc>
        <w:tc>
          <w:tcPr>
            <w:tcW w:w="1081" w:type="dxa"/>
            <w:shd w:val="clear" w:color="auto" w:fill="auto"/>
            <w:vAlign w:val="center"/>
          </w:tcPr>
          <w:p w14:paraId="449C8AC3" w14:textId="77777777" w:rsidR="00AC08C3" w:rsidRPr="00884668" w:rsidRDefault="00AC08C3" w:rsidP="00884668">
            <w:pPr>
              <w:pStyle w:val="ae"/>
              <w:rPr>
                <w:b w:val="0"/>
                <w:bCs/>
              </w:rPr>
            </w:pPr>
          </w:p>
        </w:tc>
      </w:tr>
      <w:tr w:rsidR="00AC08C3" w:rsidRPr="00884668" w14:paraId="2E120F2F" w14:textId="77777777" w:rsidTr="00E731D0">
        <w:trPr>
          <w:jc w:val="center"/>
        </w:trPr>
        <w:tc>
          <w:tcPr>
            <w:tcW w:w="624" w:type="dxa"/>
            <w:vMerge/>
            <w:shd w:val="clear" w:color="auto" w:fill="auto"/>
            <w:vAlign w:val="center"/>
          </w:tcPr>
          <w:p w14:paraId="212AB6C2" w14:textId="77777777" w:rsidR="00AC08C3" w:rsidRPr="00884668" w:rsidRDefault="00AC08C3" w:rsidP="00884668">
            <w:pPr>
              <w:pStyle w:val="ae"/>
              <w:rPr>
                <w:b w:val="0"/>
                <w:bCs/>
              </w:rPr>
            </w:pPr>
          </w:p>
        </w:tc>
        <w:tc>
          <w:tcPr>
            <w:tcW w:w="1416" w:type="dxa"/>
            <w:vMerge/>
            <w:shd w:val="clear" w:color="auto" w:fill="auto"/>
            <w:vAlign w:val="center"/>
          </w:tcPr>
          <w:p w14:paraId="7EB1FBA0" w14:textId="77777777" w:rsidR="00AC08C3" w:rsidRPr="00884668" w:rsidRDefault="00AC08C3" w:rsidP="00884668">
            <w:pPr>
              <w:pStyle w:val="ae"/>
              <w:rPr>
                <w:b w:val="0"/>
                <w:bCs/>
              </w:rPr>
            </w:pPr>
          </w:p>
        </w:tc>
        <w:tc>
          <w:tcPr>
            <w:tcW w:w="4392" w:type="dxa"/>
            <w:shd w:val="clear" w:color="auto" w:fill="auto"/>
            <w:vAlign w:val="center"/>
          </w:tcPr>
          <w:p w14:paraId="0D0F3073" w14:textId="0C543B3C" w:rsidR="00AC08C3" w:rsidRPr="00884668" w:rsidRDefault="00AC08C3" w:rsidP="00884668">
            <w:pPr>
              <w:pStyle w:val="af7"/>
            </w:pPr>
            <w:r w:rsidRPr="00884668">
              <w:rPr>
                <w:rFonts w:hint="eastAsia"/>
              </w:rPr>
              <w:t>对模型建立区域内对结果影响显著的主要构筑物、既存的（或同期建设的）的构筑物、</w:t>
            </w:r>
            <w:r w:rsidRPr="00884668">
              <w:rPr>
                <w:rFonts w:hint="eastAsia"/>
              </w:rPr>
              <w:t>3m</w:t>
            </w:r>
            <w:r w:rsidRPr="00884668">
              <w:rPr>
                <w:rFonts w:hint="eastAsia"/>
              </w:rPr>
              <w:t>以上的乔木进行了完整的建模，或进行了构筑物简化合理性的说明</w:t>
            </w:r>
          </w:p>
        </w:tc>
        <w:tc>
          <w:tcPr>
            <w:tcW w:w="1081" w:type="dxa"/>
            <w:shd w:val="clear" w:color="auto" w:fill="auto"/>
            <w:vAlign w:val="center"/>
          </w:tcPr>
          <w:p w14:paraId="1AC2610E" w14:textId="77777777" w:rsidR="00AC08C3" w:rsidRPr="00884668" w:rsidRDefault="00AC08C3" w:rsidP="00884668">
            <w:pPr>
              <w:pStyle w:val="ae"/>
              <w:rPr>
                <w:b w:val="0"/>
                <w:bCs/>
              </w:rPr>
            </w:pPr>
          </w:p>
        </w:tc>
      </w:tr>
      <w:tr w:rsidR="00E731D0" w:rsidRPr="00884668" w14:paraId="69354274" w14:textId="77777777" w:rsidTr="00E731D0">
        <w:trPr>
          <w:jc w:val="center"/>
        </w:trPr>
        <w:tc>
          <w:tcPr>
            <w:tcW w:w="624" w:type="dxa"/>
            <w:vMerge w:val="restart"/>
            <w:shd w:val="clear" w:color="auto" w:fill="auto"/>
            <w:vAlign w:val="center"/>
          </w:tcPr>
          <w:p w14:paraId="0EAEC737" w14:textId="3FDB4EA3" w:rsidR="00E731D0" w:rsidRPr="00884668" w:rsidRDefault="00E731D0" w:rsidP="00E731D0">
            <w:pPr>
              <w:pStyle w:val="ae"/>
              <w:rPr>
                <w:b w:val="0"/>
                <w:bCs/>
              </w:rPr>
            </w:pPr>
            <w:r w:rsidRPr="00884668">
              <w:rPr>
                <w:rFonts w:hint="eastAsia"/>
                <w:b w:val="0"/>
                <w:bCs/>
              </w:rPr>
              <w:t>6</w:t>
            </w:r>
          </w:p>
        </w:tc>
        <w:tc>
          <w:tcPr>
            <w:tcW w:w="1416" w:type="dxa"/>
            <w:vMerge w:val="restart"/>
            <w:shd w:val="clear" w:color="auto" w:fill="auto"/>
            <w:vAlign w:val="center"/>
          </w:tcPr>
          <w:p w14:paraId="621D30D7" w14:textId="39FC841E" w:rsidR="00E731D0" w:rsidRPr="00884668" w:rsidRDefault="00E731D0" w:rsidP="00E731D0">
            <w:pPr>
              <w:pStyle w:val="ae"/>
              <w:rPr>
                <w:b w:val="0"/>
                <w:bCs/>
              </w:rPr>
            </w:pPr>
            <w:r w:rsidRPr="00884668">
              <w:rPr>
                <w:rFonts w:hint="eastAsia"/>
                <w:b w:val="0"/>
                <w:bCs/>
              </w:rPr>
              <w:t>计算区域</w:t>
            </w:r>
          </w:p>
        </w:tc>
        <w:tc>
          <w:tcPr>
            <w:tcW w:w="4392" w:type="dxa"/>
            <w:shd w:val="clear" w:color="auto" w:fill="auto"/>
            <w:vAlign w:val="center"/>
          </w:tcPr>
          <w:p w14:paraId="14E79A39" w14:textId="276541E0" w:rsidR="00E731D0" w:rsidRPr="00884668" w:rsidRDefault="00E731D0" w:rsidP="00E731D0">
            <w:pPr>
              <w:pStyle w:val="af7"/>
            </w:pPr>
            <w:r w:rsidRPr="00884668">
              <w:rPr>
                <w:rFonts w:hint="eastAsia"/>
              </w:rPr>
              <w:t>建筑迎风截面堵塞比（模型面积</w:t>
            </w:r>
            <w:r w:rsidRPr="00884668">
              <w:rPr>
                <w:rFonts w:hint="eastAsia"/>
              </w:rPr>
              <w:t>/</w:t>
            </w:r>
            <w:r w:rsidRPr="00884668">
              <w:rPr>
                <w:rFonts w:hint="eastAsia"/>
              </w:rPr>
              <w:t>迎风面计算区域截面积）小于</w:t>
            </w:r>
            <w:r w:rsidRPr="00884668">
              <w:rPr>
                <w:rFonts w:hint="eastAsia"/>
              </w:rPr>
              <w:t>4%</w:t>
            </w:r>
          </w:p>
        </w:tc>
        <w:tc>
          <w:tcPr>
            <w:tcW w:w="1081" w:type="dxa"/>
            <w:shd w:val="clear" w:color="auto" w:fill="auto"/>
            <w:vAlign w:val="center"/>
          </w:tcPr>
          <w:p w14:paraId="141448B0" w14:textId="77777777" w:rsidR="00E731D0" w:rsidRPr="00884668" w:rsidRDefault="00E731D0" w:rsidP="00E731D0">
            <w:pPr>
              <w:pStyle w:val="ae"/>
              <w:rPr>
                <w:b w:val="0"/>
                <w:bCs/>
              </w:rPr>
            </w:pPr>
          </w:p>
        </w:tc>
      </w:tr>
      <w:tr w:rsidR="00E731D0" w:rsidRPr="00884668" w14:paraId="401332F8" w14:textId="77777777" w:rsidTr="00E731D0">
        <w:trPr>
          <w:jc w:val="center"/>
        </w:trPr>
        <w:tc>
          <w:tcPr>
            <w:tcW w:w="624" w:type="dxa"/>
            <w:vMerge/>
            <w:shd w:val="clear" w:color="auto" w:fill="auto"/>
            <w:vAlign w:val="center"/>
          </w:tcPr>
          <w:p w14:paraId="5E08E6B1" w14:textId="6CD198AE" w:rsidR="00E731D0" w:rsidRPr="00884668" w:rsidRDefault="00E731D0" w:rsidP="00E731D0">
            <w:pPr>
              <w:pStyle w:val="ae"/>
              <w:rPr>
                <w:b w:val="0"/>
                <w:bCs/>
              </w:rPr>
            </w:pPr>
          </w:p>
        </w:tc>
        <w:tc>
          <w:tcPr>
            <w:tcW w:w="1416" w:type="dxa"/>
            <w:vMerge/>
            <w:shd w:val="clear" w:color="auto" w:fill="auto"/>
            <w:vAlign w:val="center"/>
          </w:tcPr>
          <w:p w14:paraId="16870020" w14:textId="77777777" w:rsidR="00E731D0" w:rsidRPr="00884668" w:rsidRDefault="00E731D0" w:rsidP="00E731D0">
            <w:pPr>
              <w:pStyle w:val="ae"/>
              <w:rPr>
                <w:b w:val="0"/>
                <w:bCs/>
              </w:rPr>
            </w:pPr>
          </w:p>
        </w:tc>
        <w:tc>
          <w:tcPr>
            <w:tcW w:w="4392" w:type="dxa"/>
            <w:shd w:val="clear" w:color="auto" w:fill="auto"/>
            <w:vAlign w:val="center"/>
          </w:tcPr>
          <w:p w14:paraId="541C8DB6" w14:textId="3B971EA6" w:rsidR="00E731D0" w:rsidRPr="00884668" w:rsidRDefault="00E731D0" w:rsidP="00E731D0">
            <w:pPr>
              <w:pStyle w:val="af7"/>
            </w:pPr>
            <w:r w:rsidRPr="00884668">
              <w:rPr>
                <w:rFonts w:hint="eastAsia"/>
              </w:rPr>
              <w:t>由对象建筑（群）的外缘至各个方向的计算域边界，需满足对象建筑高度的</w:t>
            </w:r>
            <w:r w:rsidRPr="00884668">
              <w:rPr>
                <w:rFonts w:hint="eastAsia"/>
              </w:rPr>
              <w:t>5</w:t>
            </w:r>
            <w:r w:rsidRPr="00884668">
              <w:rPr>
                <w:rFonts w:hint="eastAsia"/>
              </w:rPr>
              <w:t>倍以上</w:t>
            </w:r>
          </w:p>
        </w:tc>
        <w:tc>
          <w:tcPr>
            <w:tcW w:w="1081" w:type="dxa"/>
            <w:shd w:val="clear" w:color="auto" w:fill="auto"/>
            <w:vAlign w:val="center"/>
          </w:tcPr>
          <w:p w14:paraId="667560E6" w14:textId="77777777" w:rsidR="00E731D0" w:rsidRPr="00884668" w:rsidRDefault="00E731D0" w:rsidP="00E731D0">
            <w:pPr>
              <w:pStyle w:val="ae"/>
              <w:rPr>
                <w:b w:val="0"/>
                <w:bCs/>
              </w:rPr>
            </w:pPr>
          </w:p>
        </w:tc>
      </w:tr>
      <w:tr w:rsidR="00E731D0" w:rsidRPr="00884668" w14:paraId="212C59CD" w14:textId="77777777" w:rsidTr="00E731D0">
        <w:trPr>
          <w:jc w:val="center"/>
        </w:trPr>
        <w:tc>
          <w:tcPr>
            <w:tcW w:w="624" w:type="dxa"/>
            <w:vMerge/>
            <w:shd w:val="clear" w:color="auto" w:fill="auto"/>
            <w:vAlign w:val="center"/>
          </w:tcPr>
          <w:p w14:paraId="4401AE5A" w14:textId="77777777" w:rsidR="00E731D0" w:rsidRPr="00884668" w:rsidRDefault="00E731D0" w:rsidP="00E731D0">
            <w:pPr>
              <w:pStyle w:val="ae"/>
              <w:rPr>
                <w:b w:val="0"/>
                <w:bCs/>
              </w:rPr>
            </w:pPr>
          </w:p>
        </w:tc>
        <w:tc>
          <w:tcPr>
            <w:tcW w:w="1416" w:type="dxa"/>
            <w:vMerge/>
            <w:shd w:val="clear" w:color="auto" w:fill="auto"/>
            <w:vAlign w:val="center"/>
          </w:tcPr>
          <w:p w14:paraId="0F8A953B" w14:textId="77777777" w:rsidR="00E731D0" w:rsidRPr="00884668" w:rsidRDefault="00E731D0" w:rsidP="00E731D0">
            <w:pPr>
              <w:pStyle w:val="ae"/>
              <w:rPr>
                <w:b w:val="0"/>
                <w:bCs/>
              </w:rPr>
            </w:pPr>
          </w:p>
        </w:tc>
        <w:tc>
          <w:tcPr>
            <w:tcW w:w="4392" w:type="dxa"/>
            <w:shd w:val="clear" w:color="auto" w:fill="auto"/>
            <w:vAlign w:val="center"/>
          </w:tcPr>
          <w:p w14:paraId="528BA670" w14:textId="3D7DC059" w:rsidR="00E731D0" w:rsidRPr="00884668" w:rsidRDefault="00E731D0" w:rsidP="00E731D0">
            <w:pPr>
              <w:pStyle w:val="af7"/>
            </w:pPr>
            <w:r w:rsidRPr="00884668">
              <w:rPr>
                <w:rFonts w:hint="eastAsia"/>
              </w:rPr>
              <w:t>建筑覆盖区域应小于整个计算域面积</w:t>
            </w:r>
            <w:r w:rsidRPr="00884668">
              <w:rPr>
                <w:rFonts w:hint="eastAsia"/>
              </w:rPr>
              <w:t>3%</w:t>
            </w:r>
          </w:p>
        </w:tc>
        <w:tc>
          <w:tcPr>
            <w:tcW w:w="1081" w:type="dxa"/>
            <w:shd w:val="clear" w:color="auto" w:fill="auto"/>
            <w:vAlign w:val="center"/>
          </w:tcPr>
          <w:p w14:paraId="527D04C2" w14:textId="77777777" w:rsidR="00E731D0" w:rsidRPr="00884668" w:rsidRDefault="00E731D0" w:rsidP="00E731D0">
            <w:pPr>
              <w:pStyle w:val="ae"/>
              <w:rPr>
                <w:b w:val="0"/>
                <w:bCs/>
              </w:rPr>
            </w:pPr>
          </w:p>
        </w:tc>
      </w:tr>
      <w:tr w:rsidR="00E731D0" w:rsidRPr="00884668" w14:paraId="5BE86F86" w14:textId="77777777" w:rsidTr="00E731D0">
        <w:trPr>
          <w:jc w:val="center"/>
        </w:trPr>
        <w:tc>
          <w:tcPr>
            <w:tcW w:w="624" w:type="dxa"/>
            <w:vMerge w:val="restart"/>
            <w:shd w:val="clear" w:color="auto" w:fill="auto"/>
            <w:vAlign w:val="center"/>
          </w:tcPr>
          <w:p w14:paraId="3971F2B8" w14:textId="7F0B4F9A" w:rsidR="00E731D0" w:rsidRPr="00884668" w:rsidRDefault="00E731D0" w:rsidP="00E731D0">
            <w:pPr>
              <w:pStyle w:val="ae"/>
              <w:rPr>
                <w:b w:val="0"/>
                <w:bCs/>
              </w:rPr>
            </w:pPr>
            <w:r w:rsidRPr="00884668">
              <w:rPr>
                <w:rFonts w:hint="eastAsia"/>
                <w:b w:val="0"/>
                <w:bCs/>
              </w:rPr>
              <w:t>7</w:t>
            </w:r>
          </w:p>
        </w:tc>
        <w:tc>
          <w:tcPr>
            <w:tcW w:w="1416" w:type="dxa"/>
            <w:vMerge w:val="restart"/>
            <w:shd w:val="clear" w:color="auto" w:fill="auto"/>
            <w:vAlign w:val="center"/>
          </w:tcPr>
          <w:p w14:paraId="63794EBD" w14:textId="6FF9C4AC" w:rsidR="00E731D0" w:rsidRPr="00884668" w:rsidRDefault="00E731D0" w:rsidP="00E731D0">
            <w:pPr>
              <w:pStyle w:val="ae"/>
              <w:rPr>
                <w:b w:val="0"/>
                <w:bCs/>
              </w:rPr>
            </w:pPr>
            <w:r w:rsidRPr="00884668">
              <w:rPr>
                <w:rFonts w:hint="eastAsia"/>
                <w:b w:val="0"/>
                <w:bCs/>
              </w:rPr>
              <w:t>网格划分</w:t>
            </w:r>
          </w:p>
        </w:tc>
        <w:tc>
          <w:tcPr>
            <w:tcW w:w="4392" w:type="dxa"/>
            <w:shd w:val="clear" w:color="auto" w:fill="auto"/>
            <w:vAlign w:val="center"/>
          </w:tcPr>
          <w:p w14:paraId="3FCE96F4" w14:textId="5BFAF2E5" w:rsidR="00E731D0" w:rsidRPr="00884668" w:rsidRDefault="00E731D0" w:rsidP="00E731D0">
            <w:pPr>
              <w:pStyle w:val="af7"/>
            </w:pPr>
            <w:r w:rsidRPr="00884668">
              <w:rPr>
                <w:rFonts w:hint="eastAsia"/>
              </w:rPr>
              <w:t>人行高度区</w:t>
            </w:r>
            <w:r w:rsidRPr="00884668">
              <w:rPr>
                <w:rFonts w:hint="eastAsia"/>
              </w:rPr>
              <w:t>1.5m</w:t>
            </w:r>
            <w:r w:rsidRPr="00884668">
              <w:rPr>
                <w:rFonts w:hint="eastAsia"/>
              </w:rPr>
              <w:t>高度应划分</w:t>
            </w:r>
            <w:r w:rsidRPr="00884668">
              <w:t>10</w:t>
            </w:r>
            <w:r w:rsidRPr="00884668">
              <w:rPr>
                <w:rFonts w:hint="eastAsia"/>
              </w:rPr>
              <w:t>个网格及以上</w:t>
            </w:r>
          </w:p>
        </w:tc>
        <w:tc>
          <w:tcPr>
            <w:tcW w:w="1081" w:type="dxa"/>
            <w:shd w:val="clear" w:color="auto" w:fill="auto"/>
            <w:vAlign w:val="center"/>
          </w:tcPr>
          <w:p w14:paraId="7381F6DD" w14:textId="77777777" w:rsidR="00E731D0" w:rsidRPr="00884668" w:rsidRDefault="00E731D0" w:rsidP="00E731D0">
            <w:pPr>
              <w:pStyle w:val="ae"/>
              <w:rPr>
                <w:b w:val="0"/>
                <w:bCs/>
              </w:rPr>
            </w:pPr>
          </w:p>
        </w:tc>
      </w:tr>
      <w:tr w:rsidR="00E731D0" w:rsidRPr="00884668" w14:paraId="1D2510F9" w14:textId="77777777" w:rsidTr="00E731D0">
        <w:trPr>
          <w:jc w:val="center"/>
        </w:trPr>
        <w:tc>
          <w:tcPr>
            <w:tcW w:w="624" w:type="dxa"/>
            <w:vMerge/>
            <w:shd w:val="clear" w:color="auto" w:fill="auto"/>
            <w:vAlign w:val="center"/>
          </w:tcPr>
          <w:p w14:paraId="0584F30C" w14:textId="77777777" w:rsidR="00E731D0" w:rsidRPr="00884668" w:rsidRDefault="00E731D0" w:rsidP="00E731D0">
            <w:pPr>
              <w:pStyle w:val="ae"/>
              <w:rPr>
                <w:b w:val="0"/>
                <w:bCs/>
              </w:rPr>
            </w:pPr>
          </w:p>
        </w:tc>
        <w:tc>
          <w:tcPr>
            <w:tcW w:w="1416" w:type="dxa"/>
            <w:vMerge/>
            <w:shd w:val="clear" w:color="auto" w:fill="auto"/>
            <w:vAlign w:val="center"/>
          </w:tcPr>
          <w:p w14:paraId="586CB646" w14:textId="77777777" w:rsidR="00E731D0" w:rsidRPr="00884668" w:rsidRDefault="00E731D0" w:rsidP="00E731D0">
            <w:pPr>
              <w:pStyle w:val="ae"/>
              <w:rPr>
                <w:b w:val="0"/>
                <w:bCs/>
              </w:rPr>
            </w:pPr>
          </w:p>
        </w:tc>
        <w:tc>
          <w:tcPr>
            <w:tcW w:w="4392" w:type="dxa"/>
            <w:shd w:val="clear" w:color="auto" w:fill="auto"/>
            <w:vAlign w:val="center"/>
          </w:tcPr>
          <w:p w14:paraId="5D998DFE" w14:textId="3208D0DD" w:rsidR="00E731D0" w:rsidRPr="00884668" w:rsidRDefault="00E731D0" w:rsidP="00E731D0">
            <w:pPr>
              <w:pStyle w:val="af7"/>
            </w:pPr>
            <w:r w:rsidRPr="00884668">
              <w:rPr>
                <w:rFonts w:hint="eastAsia"/>
              </w:rPr>
              <w:t>重点观测区域要在地面以上第</w:t>
            </w:r>
            <w:r w:rsidRPr="00884668">
              <w:rPr>
                <w:rFonts w:hint="eastAsia"/>
              </w:rPr>
              <w:t>3</w:t>
            </w:r>
            <w:r w:rsidRPr="00884668">
              <w:rPr>
                <w:rFonts w:hint="eastAsia"/>
              </w:rPr>
              <w:t>个网格或更高的网格内</w:t>
            </w:r>
          </w:p>
        </w:tc>
        <w:tc>
          <w:tcPr>
            <w:tcW w:w="1081" w:type="dxa"/>
            <w:shd w:val="clear" w:color="auto" w:fill="auto"/>
            <w:vAlign w:val="center"/>
          </w:tcPr>
          <w:p w14:paraId="66E93F0F" w14:textId="77777777" w:rsidR="00E731D0" w:rsidRPr="00884668" w:rsidRDefault="00E731D0" w:rsidP="00E731D0">
            <w:pPr>
              <w:pStyle w:val="ae"/>
              <w:rPr>
                <w:b w:val="0"/>
                <w:bCs/>
              </w:rPr>
            </w:pPr>
          </w:p>
        </w:tc>
      </w:tr>
      <w:tr w:rsidR="00E731D0" w:rsidRPr="00884668" w14:paraId="6194F8E2" w14:textId="77777777" w:rsidTr="00E731D0">
        <w:trPr>
          <w:jc w:val="center"/>
        </w:trPr>
        <w:tc>
          <w:tcPr>
            <w:tcW w:w="624" w:type="dxa"/>
            <w:vMerge/>
            <w:shd w:val="clear" w:color="auto" w:fill="auto"/>
            <w:vAlign w:val="center"/>
          </w:tcPr>
          <w:p w14:paraId="4E3CF61A" w14:textId="77777777" w:rsidR="00E731D0" w:rsidRPr="00884668" w:rsidRDefault="00E731D0" w:rsidP="00E731D0">
            <w:pPr>
              <w:pStyle w:val="ae"/>
              <w:rPr>
                <w:b w:val="0"/>
                <w:bCs/>
              </w:rPr>
            </w:pPr>
          </w:p>
        </w:tc>
        <w:tc>
          <w:tcPr>
            <w:tcW w:w="1416" w:type="dxa"/>
            <w:vMerge/>
            <w:shd w:val="clear" w:color="auto" w:fill="auto"/>
            <w:vAlign w:val="center"/>
          </w:tcPr>
          <w:p w14:paraId="13BA2441" w14:textId="77777777" w:rsidR="00E731D0" w:rsidRPr="00884668" w:rsidRDefault="00E731D0" w:rsidP="00E731D0">
            <w:pPr>
              <w:pStyle w:val="ae"/>
              <w:rPr>
                <w:b w:val="0"/>
                <w:bCs/>
              </w:rPr>
            </w:pPr>
          </w:p>
        </w:tc>
        <w:tc>
          <w:tcPr>
            <w:tcW w:w="4392" w:type="dxa"/>
            <w:shd w:val="clear" w:color="auto" w:fill="auto"/>
            <w:vAlign w:val="center"/>
          </w:tcPr>
          <w:p w14:paraId="670D9F29" w14:textId="2B1CD39D" w:rsidR="00E731D0" w:rsidRPr="00884668" w:rsidRDefault="00E731D0" w:rsidP="00E731D0">
            <w:pPr>
              <w:pStyle w:val="af7"/>
            </w:pPr>
            <w:r w:rsidRPr="00884668">
              <w:rPr>
                <w:rFonts w:hint="eastAsia"/>
              </w:rPr>
              <w:t>采用</w:t>
            </w:r>
            <w:r w:rsidRPr="00884668">
              <w:t>多尺度网格时，应确保</w:t>
            </w:r>
            <w:r w:rsidRPr="00884668">
              <w:rPr>
                <w:rFonts w:hint="eastAsia"/>
              </w:rPr>
              <w:t>网格应该反映出障碍物周围流态特征</w:t>
            </w:r>
          </w:p>
        </w:tc>
        <w:tc>
          <w:tcPr>
            <w:tcW w:w="1081" w:type="dxa"/>
            <w:shd w:val="clear" w:color="auto" w:fill="auto"/>
            <w:vAlign w:val="center"/>
          </w:tcPr>
          <w:p w14:paraId="109FE806" w14:textId="77777777" w:rsidR="00E731D0" w:rsidRPr="00884668" w:rsidRDefault="00E731D0" w:rsidP="00E731D0">
            <w:pPr>
              <w:pStyle w:val="ae"/>
              <w:rPr>
                <w:b w:val="0"/>
                <w:bCs/>
              </w:rPr>
            </w:pPr>
          </w:p>
        </w:tc>
      </w:tr>
      <w:tr w:rsidR="00E731D0" w:rsidRPr="00884668" w14:paraId="3975C769" w14:textId="77777777" w:rsidTr="00E731D0">
        <w:trPr>
          <w:jc w:val="center"/>
        </w:trPr>
        <w:tc>
          <w:tcPr>
            <w:tcW w:w="624" w:type="dxa"/>
            <w:vMerge w:val="restart"/>
            <w:shd w:val="clear" w:color="auto" w:fill="auto"/>
            <w:vAlign w:val="center"/>
          </w:tcPr>
          <w:p w14:paraId="521E4189" w14:textId="766FEC38" w:rsidR="00E731D0" w:rsidRPr="00884668" w:rsidRDefault="00E731D0" w:rsidP="00E731D0">
            <w:pPr>
              <w:pStyle w:val="ae"/>
              <w:rPr>
                <w:b w:val="0"/>
                <w:bCs/>
              </w:rPr>
            </w:pPr>
            <w:r w:rsidRPr="00884668">
              <w:rPr>
                <w:rFonts w:hint="eastAsia"/>
                <w:b w:val="0"/>
                <w:bCs/>
              </w:rPr>
              <w:t>8</w:t>
            </w:r>
          </w:p>
        </w:tc>
        <w:tc>
          <w:tcPr>
            <w:tcW w:w="1416" w:type="dxa"/>
            <w:vMerge w:val="restart"/>
            <w:shd w:val="clear" w:color="auto" w:fill="auto"/>
            <w:vAlign w:val="center"/>
          </w:tcPr>
          <w:p w14:paraId="6DC4F9D0" w14:textId="3EC621D2" w:rsidR="00E731D0" w:rsidRPr="00884668" w:rsidRDefault="00E731D0" w:rsidP="00E731D0">
            <w:pPr>
              <w:pStyle w:val="ae"/>
              <w:rPr>
                <w:b w:val="0"/>
                <w:bCs/>
              </w:rPr>
            </w:pPr>
            <w:r w:rsidRPr="00884668">
              <w:rPr>
                <w:rFonts w:hint="eastAsia"/>
                <w:b w:val="0"/>
                <w:bCs/>
              </w:rPr>
              <w:t>边界条件</w:t>
            </w:r>
          </w:p>
        </w:tc>
        <w:tc>
          <w:tcPr>
            <w:tcW w:w="4392" w:type="dxa"/>
            <w:shd w:val="clear" w:color="auto" w:fill="auto"/>
            <w:vAlign w:val="center"/>
          </w:tcPr>
          <w:p w14:paraId="38B0809F" w14:textId="520C4A55" w:rsidR="00E731D0" w:rsidRPr="00884668" w:rsidRDefault="00E731D0" w:rsidP="00E731D0">
            <w:pPr>
              <w:pStyle w:val="af7"/>
            </w:pPr>
            <w:r w:rsidRPr="00884668">
              <w:rPr>
                <w:rFonts w:hint="eastAsia"/>
              </w:rPr>
              <w:t>数值分析采用了季节性的风向和风速的基础</w:t>
            </w:r>
            <w:r w:rsidRPr="00884668">
              <w:rPr>
                <w:rFonts w:hint="eastAsia"/>
              </w:rPr>
              <w:lastRenderedPageBreak/>
              <w:t>数据</w:t>
            </w:r>
          </w:p>
        </w:tc>
        <w:tc>
          <w:tcPr>
            <w:tcW w:w="1081" w:type="dxa"/>
            <w:shd w:val="clear" w:color="auto" w:fill="auto"/>
            <w:vAlign w:val="center"/>
          </w:tcPr>
          <w:p w14:paraId="66432881" w14:textId="77777777" w:rsidR="00E731D0" w:rsidRPr="00884668" w:rsidRDefault="00E731D0" w:rsidP="00E731D0">
            <w:pPr>
              <w:pStyle w:val="ae"/>
              <w:rPr>
                <w:b w:val="0"/>
                <w:bCs/>
              </w:rPr>
            </w:pPr>
          </w:p>
        </w:tc>
      </w:tr>
      <w:tr w:rsidR="00E731D0" w:rsidRPr="00884668" w14:paraId="268802D4" w14:textId="77777777" w:rsidTr="00E731D0">
        <w:trPr>
          <w:jc w:val="center"/>
        </w:trPr>
        <w:tc>
          <w:tcPr>
            <w:tcW w:w="624" w:type="dxa"/>
            <w:vMerge/>
            <w:shd w:val="clear" w:color="auto" w:fill="auto"/>
            <w:vAlign w:val="center"/>
          </w:tcPr>
          <w:p w14:paraId="6CBAB89E" w14:textId="77777777" w:rsidR="00E731D0" w:rsidRPr="00884668" w:rsidRDefault="00E731D0" w:rsidP="00E731D0">
            <w:pPr>
              <w:pStyle w:val="ae"/>
              <w:rPr>
                <w:b w:val="0"/>
                <w:bCs/>
              </w:rPr>
            </w:pPr>
          </w:p>
        </w:tc>
        <w:tc>
          <w:tcPr>
            <w:tcW w:w="1416" w:type="dxa"/>
            <w:vMerge/>
            <w:shd w:val="clear" w:color="auto" w:fill="auto"/>
            <w:vAlign w:val="center"/>
          </w:tcPr>
          <w:p w14:paraId="52496887" w14:textId="77777777" w:rsidR="00E731D0" w:rsidRPr="00884668" w:rsidRDefault="00E731D0" w:rsidP="00E731D0">
            <w:pPr>
              <w:pStyle w:val="ae"/>
              <w:rPr>
                <w:b w:val="0"/>
                <w:bCs/>
              </w:rPr>
            </w:pPr>
          </w:p>
        </w:tc>
        <w:tc>
          <w:tcPr>
            <w:tcW w:w="4392" w:type="dxa"/>
            <w:shd w:val="clear" w:color="auto" w:fill="auto"/>
            <w:vAlign w:val="center"/>
          </w:tcPr>
          <w:p w14:paraId="653BE8DE" w14:textId="4AE13C75" w:rsidR="00E731D0" w:rsidRPr="00884668" w:rsidRDefault="00E731D0" w:rsidP="00E731D0">
            <w:pPr>
              <w:pStyle w:val="af7"/>
            </w:pPr>
            <w:r w:rsidRPr="00884668">
              <w:rPr>
                <w:rFonts w:hint="eastAsia"/>
              </w:rPr>
              <w:t>主导风采用平均风速和风向，垂直方向</w:t>
            </w:r>
            <w:r w:rsidRPr="00884668">
              <w:rPr>
                <w:rFonts w:hint="eastAsia"/>
              </w:rPr>
              <w:t>h0</w:t>
            </w:r>
            <w:r w:rsidRPr="00884668">
              <w:rPr>
                <w:rFonts w:hint="eastAsia"/>
              </w:rPr>
              <w:t>高度为</w:t>
            </w:r>
            <w:r w:rsidRPr="00884668">
              <w:rPr>
                <w:rFonts w:hint="eastAsia"/>
              </w:rPr>
              <w:t>10m</w:t>
            </w:r>
          </w:p>
        </w:tc>
        <w:tc>
          <w:tcPr>
            <w:tcW w:w="1081" w:type="dxa"/>
            <w:shd w:val="clear" w:color="auto" w:fill="auto"/>
            <w:vAlign w:val="center"/>
          </w:tcPr>
          <w:p w14:paraId="46618715" w14:textId="77777777" w:rsidR="00E731D0" w:rsidRPr="00884668" w:rsidRDefault="00E731D0" w:rsidP="00E731D0">
            <w:pPr>
              <w:pStyle w:val="ae"/>
              <w:rPr>
                <w:b w:val="0"/>
                <w:bCs/>
              </w:rPr>
            </w:pPr>
          </w:p>
        </w:tc>
      </w:tr>
      <w:tr w:rsidR="00E731D0" w:rsidRPr="00884668" w14:paraId="09B6DB37" w14:textId="77777777" w:rsidTr="00E731D0">
        <w:trPr>
          <w:jc w:val="center"/>
        </w:trPr>
        <w:tc>
          <w:tcPr>
            <w:tcW w:w="624" w:type="dxa"/>
            <w:vMerge/>
            <w:shd w:val="clear" w:color="auto" w:fill="auto"/>
            <w:vAlign w:val="center"/>
          </w:tcPr>
          <w:p w14:paraId="7DB0FE35" w14:textId="77777777" w:rsidR="00E731D0" w:rsidRPr="00884668" w:rsidRDefault="00E731D0" w:rsidP="00E731D0">
            <w:pPr>
              <w:pStyle w:val="ae"/>
              <w:rPr>
                <w:b w:val="0"/>
                <w:bCs/>
              </w:rPr>
            </w:pPr>
          </w:p>
        </w:tc>
        <w:tc>
          <w:tcPr>
            <w:tcW w:w="1416" w:type="dxa"/>
            <w:vMerge/>
            <w:shd w:val="clear" w:color="auto" w:fill="auto"/>
            <w:vAlign w:val="center"/>
          </w:tcPr>
          <w:p w14:paraId="0A152B19" w14:textId="77777777" w:rsidR="00E731D0" w:rsidRPr="00884668" w:rsidRDefault="00E731D0" w:rsidP="00E731D0">
            <w:pPr>
              <w:pStyle w:val="ae"/>
              <w:rPr>
                <w:b w:val="0"/>
                <w:bCs/>
              </w:rPr>
            </w:pPr>
          </w:p>
        </w:tc>
        <w:tc>
          <w:tcPr>
            <w:tcW w:w="4392" w:type="dxa"/>
            <w:shd w:val="clear" w:color="auto" w:fill="auto"/>
            <w:vAlign w:val="center"/>
          </w:tcPr>
          <w:p w14:paraId="69230AAA" w14:textId="470478BD" w:rsidR="00E731D0" w:rsidRPr="00884668" w:rsidRDefault="00E731D0" w:rsidP="00E731D0">
            <w:pPr>
              <w:pStyle w:val="af7"/>
            </w:pPr>
            <w:r w:rsidRPr="00884668">
              <w:rPr>
                <w:rFonts w:hint="eastAsia"/>
              </w:rPr>
              <w:t>入口风速的分布应符合梯度风规律，合理选取入口梯度风指数值</w:t>
            </w:r>
          </w:p>
        </w:tc>
        <w:tc>
          <w:tcPr>
            <w:tcW w:w="1081" w:type="dxa"/>
            <w:shd w:val="clear" w:color="auto" w:fill="auto"/>
            <w:vAlign w:val="center"/>
          </w:tcPr>
          <w:p w14:paraId="005CF886" w14:textId="77777777" w:rsidR="00E731D0" w:rsidRPr="00884668" w:rsidRDefault="00E731D0" w:rsidP="00E731D0">
            <w:pPr>
              <w:pStyle w:val="ae"/>
              <w:rPr>
                <w:b w:val="0"/>
                <w:bCs/>
              </w:rPr>
            </w:pPr>
          </w:p>
        </w:tc>
      </w:tr>
      <w:tr w:rsidR="00E731D0" w:rsidRPr="00884668" w14:paraId="10C4CF9D" w14:textId="77777777" w:rsidTr="00E731D0">
        <w:trPr>
          <w:jc w:val="center"/>
        </w:trPr>
        <w:tc>
          <w:tcPr>
            <w:tcW w:w="624" w:type="dxa"/>
            <w:vMerge/>
            <w:shd w:val="clear" w:color="auto" w:fill="auto"/>
            <w:vAlign w:val="center"/>
          </w:tcPr>
          <w:p w14:paraId="74CEAFCE" w14:textId="77777777" w:rsidR="00E731D0" w:rsidRPr="00884668" w:rsidRDefault="00E731D0" w:rsidP="00E731D0">
            <w:pPr>
              <w:pStyle w:val="ae"/>
              <w:rPr>
                <w:b w:val="0"/>
                <w:bCs/>
              </w:rPr>
            </w:pPr>
          </w:p>
        </w:tc>
        <w:tc>
          <w:tcPr>
            <w:tcW w:w="1416" w:type="dxa"/>
            <w:vMerge/>
            <w:shd w:val="clear" w:color="auto" w:fill="auto"/>
            <w:vAlign w:val="center"/>
          </w:tcPr>
          <w:p w14:paraId="383B68AD" w14:textId="77777777" w:rsidR="00E731D0" w:rsidRPr="00884668" w:rsidRDefault="00E731D0" w:rsidP="00E731D0">
            <w:pPr>
              <w:pStyle w:val="ae"/>
              <w:rPr>
                <w:b w:val="0"/>
                <w:bCs/>
              </w:rPr>
            </w:pPr>
          </w:p>
        </w:tc>
        <w:tc>
          <w:tcPr>
            <w:tcW w:w="4392" w:type="dxa"/>
            <w:shd w:val="clear" w:color="auto" w:fill="auto"/>
            <w:vAlign w:val="center"/>
          </w:tcPr>
          <w:p w14:paraId="5A2B7702" w14:textId="695D84F6" w:rsidR="00E731D0" w:rsidRPr="00884668" w:rsidRDefault="00E731D0" w:rsidP="00E731D0">
            <w:pPr>
              <w:pStyle w:val="af7"/>
            </w:pPr>
            <w:r w:rsidRPr="00884668">
              <w:rPr>
                <w:rFonts w:hint="eastAsia"/>
              </w:rPr>
              <w:t>风速入口根据项目实际情况给定室外梯度风分布，考虑地面粗糙度带来影响；对于未考虑粗糙度的情况，采用指数关系式修正粗糙度带来的影响</w:t>
            </w:r>
          </w:p>
        </w:tc>
        <w:tc>
          <w:tcPr>
            <w:tcW w:w="1081" w:type="dxa"/>
            <w:shd w:val="clear" w:color="auto" w:fill="auto"/>
            <w:vAlign w:val="center"/>
          </w:tcPr>
          <w:p w14:paraId="5081707A" w14:textId="77777777" w:rsidR="00E731D0" w:rsidRPr="00884668" w:rsidRDefault="00E731D0" w:rsidP="00E731D0">
            <w:pPr>
              <w:pStyle w:val="ae"/>
              <w:rPr>
                <w:b w:val="0"/>
                <w:bCs/>
              </w:rPr>
            </w:pPr>
          </w:p>
        </w:tc>
      </w:tr>
      <w:tr w:rsidR="00E731D0" w:rsidRPr="00884668" w14:paraId="73609671" w14:textId="77777777" w:rsidTr="00E731D0">
        <w:trPr>
          <w:jc w:val="center"/>
        </w:trPr>
        <w:tc>
          <w:tcPr>
            <w:tcW w:w="624" w:type="dxa"/>
            <w:vMerge w:val="restart"/>
            <w:shd w:val="clear" w:color="auto" w:fill="auto"/>
            <w:vAlign w:val="center"/>
          </w:tcPr>
          <w:p w14:paraId="3C585900" w14:textId="5B78617D" w:rsidR="00E731D0" w:rsidRPr="00884668" w:rsidRDefault="00E731D0" w:rsidP="00E731D0">
            <w:pPr>
              <w:pStyle w:val="ae"/>
              <w:rPr>
                <w:b w:val="0"/>
                <w:bCs/>
              </w:rPr>
            </w:pPr>
            <w:r w:rsidRPr="00884668">
              <w:rPr>
                <w:rFonts w:hint="eastAsia"/>
                <w:b w:val="0"/>
                <w:bCs/>
              </w:rPr>
              <w:t>9</w:t>
            </w:r>
          </w:p>
        </w:tc>
        <w:tc>
          <w:tcPr>
            <w:tcW w:w="1416" w:type="dxa"/>
            <w:vMerge w:val="restart"/>
            <w:shd w:val="clear" w:color="auto" w:fill="auto"/>
            <w:vAlign w:val="center"/>
          </w:tcPr>
          <w:p w14:paraId="245B1A63" w14:textId="3440DCBD" w:rsidR="00E731D0" w:rsidRPr="00884668" w:rsidRDefault="00E731D0" w:rsidP="00E731D0">
            <w:pPr>
              <w:pStyle w:val="ae"/>
              <w:rPr>
                <w:b w:val="0"/>
                <w:bCs/>
              </w:rPr>
            </w:pPr>
            <w:r w:rsidRPr="00884668">
              <w:rPr>
                <w:rFonts w:hint="eastAsia"/>
                <w:b w:val="0"/>
                <w:bCs/>
              </w:rPr>
              <w:t>数值分析结果</w:t>
            </w:r>
          </w:p>
        </w:tc>
        <w:tc>
          <w:tcPr>
            <w:tcW w:w="4392" w:type="dxa"/>
            <w:shd w:val="clear" w:color="auto" w:fill="auto"/>
            <w:vAlign w:val="center"/>
          </w:tcPr>
          <w:p w14:paraId="376120D1" w14:textId="77777777" w:rsidR="00E731D0" w:rsidRPr="00884668" w:rsidRDefault="00E731D0" w:rsidP="00E731D0">
            <w:pPr>
              <w:pStyle w:val="af7"/>
            </w:pPr>
            <w:r w:rsidRPr="00884668">
              <w:rPr>
                <w:rFonts w:hint="eastAsia"/>
              </w:rPr>
              <w:t>根据不同季节不同来流风速，</w:t>
            </w:r>
            <w:r w:rsidRPr="00884668">
              <w:rPr>
                <w:rFonts w:hint="eastAsia"/>
              </w:rPr>
              <w:t xml:space="preserve">1.5m </w:t>
            </w:r>
            <w:r w:rsidRPr="00884668">
              <w:rPr>
                <w:rFonts w:hint="eastAsia"/>
              </w:rPr>
              <w:t>高处（屋顶花园、空中连廊、平台、露台等区域的</w:t>
            </w:r>
            <w:r w:rsidRPr="00884668">
              <w:rPr>
                <w:rFonts w:hint="eastAsia"/>
              </w:rPr>
              <w:t>1.5m</w:t>
            </w:r>
            <w:r w:rsidRPr="00884668">
              <w:rPr>
                <w:rFonts w:hint="eastAsia"/>
              </w:rPr>
              <w:t>高度也应作为参考平面）的风速分布云图、风速矢量图、风压分布云图。</w:t>
            </w:r>
          </w:p>
          <w:p w14:paraId="56100315" w14:textId="2434C9D2" w:rsidR="00E731D0" w:rsidRPr="00884668" w:rsidRDefault="00E731D0" w:rsidP="00E731D0">
            <w:pPr>
              <w:pStyle w:val="af7"/>
            </w:pPr>
            <w:r w:rsidRPr="00884668">
              <w:rPr>
                <w:rFonts w:hint="eastAsia"/>
              </w:rPr>
              <w:t>结果反映冬季典型风速和风向条件下，建筑物周围人行风速低于</w:t>
            </w:r>
            <w:r w:rsidRPr="00884668">
              <w:rPr>
                <w:rFonts w:hint="eastAsia"/>
              </w:rPr>
              <w:t>5m/s</w:t>
            </w:r>
            <w:r w:rsidRPr="00884668">
              <w:rPr>
                <w:rFonts w:hint="eastAsia"/>
              </w:rPr>
              <w:t>；过渡季、夏季典型风速和风向条件下，场地内人活动区不出现涡旋或无风区</w:t>
            </w:r>
          </w:p>
        </w:tc>
        <w:tc>
          <w:tcPr>
            <w:tcW w:w="1081" w:type="dxa"/>
            <w:shd w:val="clear" w:color="auto" w:fill="auto"/>
            <w:vAlign w:val="center"/>
          </w:tcPr>
          <w:p w14:paraId="3F532288" w14:textId="77777777" w:rsidR="00E731D0" w:rsidRPr="00884668" w:rsidRDefault="00E731D0" w:rsidP="00E731D0">
            <w:pPr>
              <w:pStyle w:val="ae"/>
              <w:rPr>
                <w:b w:val="0"/>
                <w:bCs/>
              </w:rPr>
            </w:pPr>
          </w:p>
        </w:tc>
      </w:tr>
      <w:tr w:rsidR="00E731D0" w:rsidRPr="00884668" w14:paraId="48FB6F05" w14:textId="77777777" w:rsidTr="00E731D0">
        <w:trPr>
          <w:jc w:val="center"/>
        </w:trPr>
        <w:tc>
          <w:tcPr>
            <w:tcW w:w="624" w:type="dxa"/>
            <w:vMerge/>
            <w:shd w:val="clear" w:color="auto" w:fill="auto"/>
            <w:vAlign w:val="center"/>
          </w:tcPr>
          <w:p w14:paraId="10B5BDE5" w14:textId="77777777" w:rsidR="00E731D0" w:rsidRPr="00884668" w:rsidRDefault="00E731D0" w:rsidP="00E731D0">
            <w:pPr>
              <w:pStyle w:val="ae"/>
              <w:rPr>
                <w:b w:val="0"/>
                <w:bCs/>
              </w:rPr>
            </w:pPr>
          </w:p>
        </w:tc>
        <w:tc>
          <w:tcPr>
            <w:tcW w:w="1416" w:type="dxa"/>
            <w:vMerge/>
            <w:shd w:val="clear" w:color="auto" w:fill="auto"/>
            <w:vAlign w:val="center"/>
          </w:tcPr>
          <w:p w14:paraId="2742AA5F" w14:textId="77777777" w:rsidR="00E731D0" w:rsidRPr="00884668" w:rsidRDefault="00E731D0" w:rsidP="00E731D0">
            <w:pPr>
              <w:pStyle w:val="ae"/>
              <w:rPr>
                <w:b w:val="0"/>
                <w:bCs/>
              </w:rPr>
            </w:pPr>
          </w:p>
        </w:tc>
        <w:tc>
          <w:tcPr>
            <w:tcW w:w="4392" w:type="dxa"/>
            <w:shd w:val="clear" w:color="auto" w:fill="auto"/>
            <w:vAlign w:val="center"/>
          </w:tcPr>
          <w:p w14:paraId="70DEE011" w14:textId="77777777" w:rsidR="00E731D0" w:rsidRPr="00884668" w:rsidRDefault="00E731D0" w:rsidP="00E731D0">
            <w:pPr>
              <w:pStyle w:val="af7"/>
            </w:pPr>
            <w:r w:rsidRPr="00884668">
              <w:rPr>
                <w:rFonts w:hint="eastAsia"/>
              </w:rPr>
              <w:t>不同季节不同来流风速下，建筑首层及以上典型楼层迎风面与背风面（或主要开窗面）表面的压力分布云图。</w:t>
            </w:r>
          </w:p>
          <w:p w14:paraId="438ED07C" w14:textId="3146D06E" w:rsidR="00E731D0" w:rsidRPr="00884668" w:rsidRDefault="00E731D0" w:rsidP="00E731D0">
            <w:pPr>
              <w:pStyle w:val="af7"/>
            </w:pPr>
            <w:r w:rsidRPr="00884668">
              <w:rPr>
                <w:rFonts w:hint="eastAsia"/>
              </w:rPr>
              <w:t>冬季典型风速和风向条件下，除迎风第一排建筑外，建筑迎风面与背风面表面风压差不超过</w:t>
            </w:r>
            <w:r w:rsidRPr="00884668">
              <w:rPr>
                <w:rFonts w:hint="eastAsia"/>
              </w:rPr>
              <w:t>5Pa</w:t>
            </w:r>
            <w:r w:rsidRPr="00884668">
              <w:rPr>
                <w:rFonts w:hint="eastAsia"/>
              </w:rPr>
              <w:t>；过渡季、夏季典型风速和风向条件下，</w:t>
            </w:r>
            <w:r w:rsidRPr="00884668">
              <w:rPr>
                <w:rFonts w:hint="eastAsia"/>
              </w:rPr>
              <w:t>50%</w:t>
            </w:r>
            <w:r w:rsidRPr="00884668">
              <w:rPr>
                <w:rFonts w:hint="eastAsia"/>
              </w:rPr>
              <w:t>以上可开启外窗室内外表面的风压差大于</w:t>
            </w:r>
            <w:r w:rsidRPr="00884668">
              <w:rPr>
                <w:rFonts w:hint="eastAsia"/>
              </w:rPr>
              <w:t>0.5Pa</w:t>
            </w:r>
          </w:p>
        </w:tc>
        <w:tc>
          <w:tcPr>
            <w:tcW w:w="1081" w:type="dxa"/>
            <w:shd w:val="clear" w:color="auto" w:fill="auto"/>
            <w:vAlign w:val="center"/>
          </w:tcPr>
          <w:p w14:paraId="58E0F3F2" w14:textId="77777777" w:rsidR="00E731D0" w:rsidRPr="00884668" w:rsidRDefault="00E731D0" w:rsidP="00E731D0">
            <w:pPr>
              <w:pStyle w:val="ae"/>
              <w:rPr>
                <w:b w:val="0"/>
                <w:bCs/>
              </w:rPr>
            </w:pPr>
          </w:p>
        </w:tc>
      </w:tr>
      <w:tr w:rsidR="00E731D0" w:rsidRPr="00884668" w14:paraId="0C29E31B" w14:textId="77777777" w:rsidTr="00E731D0">
        <w:trPr>
          <w:jc w:val="center"/>
        </w:trPr>
        <w:tc>
          <w:tcPr>
            <w:tcW w:w="624" w:type="dxa"/>
            <w:vMerge/>
            <w:shd w:val="clear" w:color="auto" w:fill="auto"/>
            <w:vAlign w:val="center"/>
          </w:tcPr>
          <w:p w14:paraId="6CCF194F" w14:textId="77777777" w:rsidR="00E731D0" w:rsidRPr="00884668" w:rsidRDefault="00E731D0" w:rsidP="00E731D0">
            <w:pPr>
              <w:pStyle w:val="ae"/>
              <w:rPr>
                <w:b w:val="0"/>
                <w:bCs/>
              </w:rPr>
            </w:pPr>
          </w:p>
        </w:tc>
        <w:tc>
          <w:tcPr>
            <w:tcW w:w="1416" w:type="dxa"/>
            <w:vMerge/>
            <w:shd w:val="clear" w:color="auto" w:fill="auto"/>
            <w:vAlign w:val="center"/>
          </w:tcPr>
          <w:p w14:paraId="600AE3CF" w14:textId="77777777" w:rsidR="00E731D0" w:rsidRPr="00884668" w:rsidRDefault="00E731D0" w:rsidP="00E731D0">
            <w:pPr>
              <w:pStyle w:val="ae"/>
              <w:rPr>
                <w:b w:val="0"/>
                <w:bCs/>
              </w:rPr>
            </w:pPr>
          </w:p>
        </w:tc>
        <w:tc>
          <w:tcPr>
            <w:tcW w:w="4392" w:type="dxa"/>
            <w:shd w:val="clear" w:color="auto" w:fill="auto"/>
            <w:vAlign w:val="center"/>
          </w:tcPr>
          <w:p w14:paraId="1CD25CA2" w14:textId="3DFA4BA4" w:rsidR="00E731D0" w:rsidRPr="00884668" w:rsidRDefault="00E731D0" w:rsidP="00E731D0">
            <w:pPr>
              <w:pStyle w:val="af7"/>
            </w:pPr>
            <w:r w:rsidRPr="00884668">
              <w:rPr>
                <w:rFonts w:hint="eastAsia"/>
              </w:rPr>
              <w:t>冬季来流风速下，结果反映室外风速放大系数小于</w:t>
            </w:r>
            <w:r w:rsidRPr="00884668">
              <w:rPr>
                <w:rFonts w:hint="eastAsia"/>
              </w:rPr>
              <w:t>2</w:t>
            </w:r>
          </w:p>
        </w:tc>
        <w:tc>
          <w:tcPr>
            <w:tcW w:w="1081" w:type="dxa"/>
            <w:shd w:val="clear" w:color="auto" w:fill="auto"/>
            <w:vAlign w:val="center"/>
          </w:tcPr>
          <w:p w14:paraId="4D3883EC" w14:textId="77777777" w:rsidR="00E731D0" w:rsidRPr="00884668" w:rsidRDefault="00E731D0" w:rsidP="00E731D0">
            <w:pPr>
              <w:pStyle w:val="ae"/>
              <w:rPr>
                <w:b w:val="0"/>
                <w:bCs/>
              </w:rPr>
            </w:pPr>
          </w:p>
        </w:tc>
      </w:tr>
    </w:tbl>
    <w:p w14:paraId="2EAB97D6" w14:textId="51AF22E1" w:rsidR="00913C78" w:rsidRPr="00913C78" w:rsidRDefault="00913C78" w:rsidP="00884668">
      <w:pPr>
        <w:ind w:firstLine="420"/>
        <w:jc w:val="right"/>
      </w:pPr>
      <w:r w:rsidRPr="00913C78">
        <w:br w:type="page"/>
      </w:r>
      <w:r w:rsidR="00E731D0" w:rsidRPr="00913C78">
        <w:lastRenderedPageBreak/>
        <w:t xml:space="preserve"> </w:t>
      </w:r>
    </w:p>
    <w:p w14:paraId="483A5C44" w14:textId="6FC214BC" w:rsidR="00913C78" w:rsidRPr="00913C78" w:rsidRDefault="00913C78" w:rsidP="00AC08C3">
      <w:pPr>
        <w:pStyle w:val="24"/>
      </w:pPr>
      <w:bookmarkStart w:id="274" w:name="_Toc35364777"/>
      <w:bookmarkEnd w:id="268"/>
      <w:r w:rsidRPr="00913C78">
        <w:rPr>
          <w:rFonts w:hint="eastAsia"/>
        </w:rPr>
        <w:t>附录</w:t>
      </w:r>
      <w:r w:rsidRPr="00913C78">
        <w:rPr>
          <w:rFonts w:hint="eastAsia"/>
        </w:rPr>
        <w:t>A.</w:t>
      </w:r>
      <w:r w:rsidRPr="00913C78">
        <w:t xml:space="preserve">3 </w:t>
      </w:r>
      <w:r w:rsidRPr="00913C78">
        <w:rPr>
          <w:rFonts w:hint="eastAsia"/>
        </w:rPr>
        <w:t xml:space="preserve"> </w:t>
      </w:r>
      <w:r w:rsidRPr="00913C78">
        <w:rPr>
          <w:rFonts w:hint="eastAsia"/>
        </w:rPr>
        <w:t>重庆市</w:t>
      </w:r>
      <w:r w:rsidRPr="00913C78">
        <w:t>绿色建筑自评估报告性能分析要求</w:t>
      </w:r>
      <w:r w:rsidRPr="00913C78">
        <w:t>——</w:t>
      </w:r>
      <w:r w:rsidRPr="00913C78">
        <w:rPr>
          <w:rFonts w:hint="eastAsia"/>
        </w:rPr>
        <w:t>室内采光数值分析报告提纲及要求</w:t>
      </w:r>
      <w:bookmarkEnd w:id="274"/>
    </w:p>
    <w:p w14:paraId="01F27785" w14:textId="77777777" w:rsidR="00913C78" w:rsidRPr="00913C78" w:rsidRDefault="00913C78" w:rsidP="00AC08C3">
      <w:pPr>
        <w:pStyle w:val="32"/>
      </w:pPr>
      <w:bookmarkStart w:id="275" w:name="_Toc475359853"/>
      <w:bookmarkStart w:id="276" w:name="_Toc35364778"/>
      <w:r w:rsidRPr="00913C78">
        <w:rPr>
          <w:rFonts w:hint="eastAsia"/>
        </w:rPr>
        <w:t xml:space="preserve">A.3.1  </w:t>
      </w:r>
      <w:r w:rsidRPr="00913C78">
        <w:t>综合概况</w:t>
      </w:r>
      <w:bookmarkEnd w:id="275"/>
      <w:bookmarkEnd w:id="276"/>
    </w:p>
    <w:p w14:paraId="4DDFE27C" w14:textId="77777777" w:rsidR="00913C78" w:rsidRPr="00913C78" w:rsidRDefault="00913C78" w:rsidP="00913C78">
      <w:pPr>
        <w:ind w:firstLine="420"/>
      </w:pPr>
      <w:bookmarkStart w:id="277" w:name="_Toc475359854"/>
      <w:r w:rsidRPr="00913C78">
        <w:rPr>
          <w:rFonts w:hint="eastAsia"/>
        </w:rPr>
        <w:t>◎</w:t>
      </w:r>
      <w:r w:rsidRPr="00913C78">
        <w:t xml:space="preserve"> </w:t>
      </w:r>
      <w:r w:rsidRPr="00913C78">
        <w:rPr>
          <w:rFonts w:hint="eastAsia"/>
        </w:rPr>
        <w:t>项目基本信息</w:t>
      </w:r>
      <w:bookmarkEnd w:id="277"/>
    </w:p>
    <w:p w14:paraId="21009F98" w14:textId="77777777" w:rsidR="00913C78" w:rsidRPr="00913C78" w:rsidRDefault="00913C78" w:rsidP="00913C78">
      <w:pPr>
        <w:ind w:firstLine="420"/>
      </w:pPr>
      <w:r w:rsidRPr="00913C78">
        <w:rPr>
          <w:rFonts w:hint="eastAsia"/>
        </w:rPr>
        <w:t>数值分析报告中项目基本信息项目应包括但不限于：用地性质、地块组成、占地面积、建筑面积、建筑功能、建筑朝向、窗墙比、楼间距及项目周边情况（如项目地形、高大乔木种植生长、周边建筑）等。</w:t>
      </w:r>
    </w:p>
    <w:p w14:paraId="2FF74DF5" w14:textId="77777777" w:rsidR="00913C78" w:rsidRPr="00913C78" w:rsidRDefault="00913C78" w:rsidP="00913C78">
      <w:pPr>
        <w:ind w:firstLine="420"/>
      </w:pPr>
      <w:bookmarkStart w:id="278" w:name="_Toc475359855"/>
      <w:r w:rsidRPr="00913C78">
        <w:rPr>
          <w:rFonts w:hint="eastAsia"/>
        </w:rPr>
        <w:t>◎</w:t>
      </w:r>
      <w:r w:rsidRPr="00913C78">
        <w:t xml:space="preserve"> </w:t>
      </w:r>
      <w:r w:rsidRPr="00913C78">
        <w:rPr>
          <w:rFonts w:hint="eastAsia"/>
        </w:rPr>
        <w:t>标准要求</w:t>
      </w:r>
      <w:bookmarkEnd w:id="278"/>
    </w:p>
    <w:p w14:paraId="3D766B46"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中标准要求应</w:t>
      </w:r>
      <w:r w:rsidRPr="00913C78">
        <w:t>包括：</w:t>
      </w:r>
      <w:r w:rsidRPr="00913C78">
        <w:rPr>
          <w:rFonts w:hint="eastAsia"/>
        </w:rPr>
        <w:t>对应的绿色建筑标准及条款、标准规定的计算要求、评分要求及达标要求。</w:t>
      </w:r>
    </w:p>
    <w:p w14:paraId="02FE29E9" w14:textId="77777777" w:rsidR="00913C78" w:rsidRPr="00913C78" w:rsidRDefault="00913C78" w:rsidP="00913C78">
      <w:pPr>
        <w:ind w:firstLine="420"/>
      </w:pPr>
      <w:bookmarkStart w:id="279" w:name="_Toc475359856"/>
      <w:r w:rsidRPr="00913C78">
        <w:rPr>
          <w:rFonts w:hint="eastAsia"/>
        </w:rPr>
        <w:t>◎</w:t>
      </w:r>
      <w:r w:rsidRPr="00913C78">
        <w:t xml:space="preserve"> </w:t>
      </w:r>
      <w:r w:rsidRPr="00913C78">
        <w:rPr>
          <w:rFonts w:hint="eastAsia"/>
        </w:rPr>
        <w:t>数值分析依据</w:t>
      </w:r>
      <w:bookmarkEnd w:id="279"/>
    </w:p>
    <w:p w14:paraId="6B9A7C13" w14:textId="77777777" w:rsidR="00913C78" w:rsidRPr="00913C78" w:rsidRDefault="00913C78" w:rsidP="00913C78">
      <w:pPr>
        <w:ind w:firstLine="420"/>
      </w:pPr>
      <w:r w:rsidRPr="00913C78">
        <w:rPr>
          <w:rFonts w:hint="eastAsia"/>
        </w:rPr>
        <w:t>数值分析依据应</w:t>
      </w:r>
      <w:r w:rsidRPr="00913C78">
        <w:t>包括</w:t>
      </w:r>
      <w:r w:rsidRPr="00913C78">
        <w:rPr>
          <w:rFonts w:hint="eastAsia"/>
        </w:rPr>
        <w:t>但</w:t>
      </w:r>
      <w:r w:rsidRPr="00913C78">
        <w:t>不限于：</w:t>
      </w:r>
      <w:r w:rsidRPr="00913C78">
        <w:rPr>
          <w:rFonts w:hint="eastAsia"/>
        </w:rPr>
        <w:t>应</w:t>
      </w:r>
      <w:r w:rsidRPr="00913C78">
        <w:t>写明</w:t>
      </w:r>
      <w:r w:rsidRPr="00913C78">
        <w:rPr>
          <w:rFonts w:hint="eastAsia"/>
        </w:rPr>
        <w:t>基础</w:t>
      </w:r>
      <w:r w:rsidRPr="00913C78">
        <w:t>数据</w:t>
      </w:r>
      <w:r w:rsidRPr="00913C78">
        <w:rPr>
          <w:rFonts w:hint="eastAsia"/>
        </w:rPr>
        <w:t>及</w:t>
      </w:r>
      <w:r w:rsidRPr="00913C78">
        <w:t>来源，如</w:t>
      </w:r>
      <w:r w:rsidRPr="00913C78">
        <w:rPr>
          <w:rFonts w:hint="eastAsia"/>
        </w:rPr>
        <w:t>光气候</w:t>
      </w:r>
      <w:r w:rsidRPr="00913C78">
        <w:t>参数、</w:t>
      </w:r>
      <w:r w:rsidRPr="00913C78">
        <w:rPr>
          <w:rFonts w:hint="eastAsia"/>
        </w:rPr>
        <w:t>建筑透光材料</w:t>
      </w:r>
      <w:r w:rsidRPr="00913C78">
        <w:t>基础</w:t>
      </w:r>
      <w:r w:rsidRPr="00913C78">
        <w:rPr>
          <w:rFonts w:hint="eastAsia"/>
        </w:rPr>
        <w:t>光热</w:t>
      </w:r>
      <w:r w:rsidRPr="00913C78">
        <w:t>参数、</w:t>
      </w:r>
      <w:r w:rsidRPr="00913C78">
        <w:rPr>
          <w:rFonts w:hint="eastAsia"/>
        </w:rPr>
        <w:t>数值分析</w:t>
      </w:r>
      <w:r w:rsidRPr="00913C78">
        <w:t>建筑信息</w:t>
      </w:r>
      <w:r w:rsidRPr="00913C78">
        <w:rPr>
          <w:rFonts w:hint="eastAsia"/>
        </w:rPr>
        <w:t>来源（图纸）等</w:t>
      </w:r>
      <w:r w:rsidRPr="00913C78">
        <w:t>。</w:t>
      </w:r>
    </w:p>
    <w:p w14:paraId="2096DA18" w14:textId="77777777" w:rsidR="00913C78" w:rsidRPr="00913C78" w:rsidRDefault="00913C78" w:rsidP="00913C78">
      <w:pPr>
        <w:ind w:firstLine="420"/>
      </w:pPr>
      <w:r w:rsidRPr="00913C78">
        <w:rPr>
          <w:rFonts w:hint="eastAsia"/>
        </w:rPr>
        <w:t>数据来源</w:t>
      </w:r>
      <w:r w:rsidRPr="00913C78">
        <w:t>：</w:t>
      </w:r>
    </w:p>
    <w:p w14:paraId="56399891"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w:t>
      </w:r>
      <w:r w:rsidRPr="00884668">
        <w:rPr>
          <w:rFonts w:hint="eastAsia"/>
        </w:rPr>
        <w:t>建筑采光设计标准</w:t>
      </w:r>
      <w:r w:rsidRPr="00913C78">
        <w:rPr>
          <w:rFonts w:hint="eastAsia"/>
        </w:rPr>
        <w:t>》（</w:t>
      </w:r>
      <w:r w:rsidRPr="00913C78">
        <w:t>GB 50033</w:t>
      </w:r>
      <w:r w:rsidRPr="00913C78">
        <w:rPr>
          <w:rFonts w:hint="eastAsia"/>
        </w:rPr>
        <w:t>—</w:t>
      </w:r>
      <w:r w:rsidRPr="00913C78">
        <w:rPr>
          <w:rFonts w:hint="eastAsia"/>
        </w:rPr>
        <w:t>2013</w:t>
      </w:r>
      <w:r w:rsidRPr="00913C78">
        <w:rPr>
          <w:rFonts w:hint="eastAsia"/>
        </w:rPr>
        <w:t>）。</w:t>
      </w:r>
    </w:p>
    <w:p w14:paraId="7A9EE84F"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《民用建筑供暖通风与空气调节设计规范》（</w:t>
      </w:r>
      <w:r w:rsidRPr="00913C78">
        <w:rPr>
          <w:rFonts w:hint="eastAsia"/>
        </w:rPr>
        <w:t>GB 50736</w:t>
      </w:r>
      <w:r w:rsidRPr="00913C78">
        <w:rPr>
          <w:rFonts w:hint="eastAsia"/>
        </w:rPr>
        <w:t>—</w:t>
      </w:r>
      <w:r w:rsidRPr="00913C78">
        <w:rPr>
          <w:rFonts w:hint="eastAsia"/>
        </w:rPr>
        <w:t>2012</w:t>
      </w:r>
      <w:r w:rsidRPr="00913C78">
        <w:rPr>
          <w:rFonts w:hint="eastAsia"/>
        </w:rPr>
        <w:t>）。</w:t>
      </w:r>
    </w:p>
    <w:p w14:paraId="3D4325A5" w14:textId="77777777" w:rsidR="00913C78" w:rsidRPr="00913C78" w:rsidRDefault="00913C78" w:rsidP="00913C78">
      <w:pPr>
        <w:ind w:firstLine="420"/>
      </w:pPr>
      <w:r w:rsidRPr="00913C78">
        <w:rPr>
          <w:rFonts w:hint="eastAsia"/>
        </w:rPr>
        <w:t>分析</w:t>
      </w:r>
      <w:r w:rsidRPr="00913C78">
        <w:t>过程</w:t>
      </w:r>
      <w:r w:rsidRPr="00913C78">
        <w:rPr>
          <w:rFonts w:hint="eastAsia"/>
        </w:rPr>
        <w:t>可</w:t>
      </w:r>
      <w:r w:rsidRPr="00913C78">
        <w:t>参考</w:t>
      </w:r>
      <w:r w:rsidRPr="00913C78">
        <w:rPr>
          <w:rFonts w:hint="eastAsia"/>
        </w:rPr>
        <w:t>《</w:t>
      </w:r>
      <w:r w:rsidRPr="00913C78">
        <w:t>民用</w:t>
      </w:r>
      <w:r w:rsidRPr="00913C78">
        <w:rPr>
          <w:rFonts w:hint="eastAsia"/>
        </w:rPr>
        <w:t>建筑</w:t>
      </w:r>
      <w:r w:rsidRPr="00913C78">
        <w:t>绿色</w:t>
      </w:r>
      <w:r w:rsidRPr="00913C78">
        <w:rPr>
          <w:rFonts w:hint="eastAsia"/>
        </w:rPr>
        <w:t>性能</w:t>
      </w:r>
      <w:r w:rsidRPr="00913C78">
        <w:t>计算标准》</w:t>
      </w:r>
      <w:r w:rsidRPr="00913C78">
        <w:rPr>
          <w:rFonts w:hint="eastAsia"/>
        </w:rPr>
        <w:t>（</w:t>
      </w:r>
      <w:r w:rsidRPr="00913C78">
        <w:rPr>
          <w:rFonts w:hint="eastAsia"/>
        </w:rPr>
        <w:t>JGJ/T 449</w:t>
      </w:r>
      <w:r w:rsidRPr="00913C78">
        <w:rPr>
          <w:rFonts w:hint="eastAsia"/>
        </w:rPr>
        <w:t>—</w:t>
      </w:r>
      <w:r w:rsidRPr="00913C78">
        <w:rPr>
          <w:rFonts w:hint="eastAsia"/>
        </w:rPr>
        <w:t>2018</w:t>
      </w:r>
      <w:r w:rsidRPr="00913C78">
        <w:rPr>
          <w:rFonts w:hint="eastAsia"/>
        </w:rPr>
        <w:t>）要求</w:t>
      </w:r>
      <w:r w:rsidRPr="00913C78">
        <w:t>进行。</w:t>
      </w:r>
    </w:p>
    <w:p w14:paraId="54080A06" w14:textId="77777777" w:rsidR="00913C78" w:rsidRPr="00913C78" w:rsidRDefault="00913C78" w:rsidP="00AC08C3">
      <w:pPr>
        <w:pStyle w:val="32"/>
      </w:pPr>
      <w:bookmarkStart w:id="280" w:name="_Toc475359857"/>
      <w:bookmarkStart w:id="281" w:name="_Toc35364779"/>
      <w:r w:rsidRPr="00913C78">
        <w:rPr>
          <w:rFonts w:hint="eastAsia"/>
        </w:rPr>
        <w:t xml:space="preserve">A.3.2  </w:t>
      </w:r>
      <w:r w:rsidRPr="00913C78">
        <w:rPr>
          <w:rFonts w:hint="eastAsia"/>
        </w:rPr>
        <w:t>数值分析方法</w:t>
      </w:r>
      <w:bookmarkEnd w:id="280"/>
      <w:bookmarkEnd w:id="281"/>
    </w:p>
    <w:p w14:paraId="53757546" w14:textId="77777777" w:rsidR="00913C78" w:rsidRPr="00913C78" w:rsidRDefault="00913C78" w:rsidP="00913C78">
      <w:pPr>
        <w:ind w:firstLine="420"/>
      </w:pPr>
      <w:bookmarkStart w:id="282" w:name="_Toc475359858"/>
      <w:r w:rsidRPr="00913C78">
        <w:rPr>
          <w:rFonts w:hint="eastAsia"/>
        </w:rPr>
        <w:t>◎</w:t>
      </w:r>
      <w:r w:rsidRPr="00913C78">
        <w:rPr>
          <w:rFonts w:hint="eastAsia"/>
        </w:rPr>
        <w:t xml:space="preserve"> </w:t>
      </w:r>
      <w:r w:rsidRPr="00913C78">
        <w:rPr>
          <w:rFonts w:hint="eastAsia"/>
        </w:rPr>
        <w:t>分析方法</w:t>
      </w:r>
      <w:bookmarkEnd w:id="282"/>
    </w:p>
    <w:p w14:paraId="5C20EA40"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中分析方法</w:t>
      </w:r>
      <w:r w:rsidRPr="00913C78">
        <w:t>应</w:t>
      </w:r>
      <w:r w:rsidRPr="00913C78">
        <w:rPr>
          <w:rFonts w:hint="eastAsia"/>
        </w:rPr>
        <w:t>包括但</w:t>
      </w:r>
      <w:r w:rsidRPr="00913C78">
        <w:t>不限于</w:t>
      </w:r>
      <w:r w:rsidRPr="00913C78">
        <w:rPr>
          <w:rFonts w:hint="eastAsia"/>
        </w:rPr>
        <w:t>：数值分析采用</w:t>
      </w:r>
      <w:r w:rsidRPr="00913C78">
        <w:t>的分析方法</w:t>
      </w:r>
      <w:r w:rsidRPr="00913C78">
        <w:rPr>
          <w:rFonts w:hint="eastAsia"/>
        </w:rPr>
        <w:t>（模型</w:t>
      </w:r>
      <w:r w:rsidRPr="00913C78">
        <w:t>选取</w:t>
      </w:r>
      <w:r w:rsidRPr="00913C78">
        <w:rPr>
          <w:rFonts w:hint="eastAsia"/>
        </w:rPr>
        <w:t>等）</w:t>
      </w:r>
      <w:r w:rsidRPr="00913C78">
        <w:t>和</w:t>
      </w:r>
      <w:r w:rsidRPr="00913C78">
        <w:rPr>
          <w:rFonts w:hint="eastAsia"/>
        </w:rPr>
        <w:t>基本流程。数值分析方法要求如下。</w:t>
      </w:r>
    </w:p>
    <w:p w14:paraId="75C781B2"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）计算</w:t>
      </w:r>
      <w:r w:rsidRPr="00913C78">
        <w:t>方法</w:t>
      </w:r>
    </w:p>
    <w:p w14:paraId="01C791D0"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采光</w:t>
      </w:r>
      <w:r w:rsidRPr="00913C78">
        <w:t>模拟应以</w:t>
      </w:r>
      <w:r w:rsidRPr="00913C78">
        <w:rPr>
          <w:rFonts w:hint="eastAsia"/>
        </w:rPr>
        <w:t>采光系数和室内天然光照度作为采光设计的主要评价指标。室内某一点的采光系数</w:t>
      </w:r>
      <w:r w:rsidRPr="00913C78">
        <w:rPr>
          <w:rFonts w:hint="eastAsia"/>
        </w:rPr>
        <w:t>C</w:t>
      </w:r>
      <w:r w:rsidRPr="00913C78">
        <w:rPr>
          <w:rFonts w:hint="eastAsia"/>
        </w:rPr>
        <w:t>，即</w:t>
      </w:r>
    </w:p>
    <w:p w14:paraId="60318DAF" w14:textId="0E7DB780" w:rsidR="00913C78" w:rsidRPr="00913C78" w:rsidRDefault="00AC2900" w:rsidP="00AC2900">
      <w:pPr>
        <w:ind w:firstLine="420"/>
        <w:jc w:val="center"/>
      </w:pPr>
      <m:oMathPara>
        <m:oMath>
          <m:r>
            <w:rPr>
              <w:rFonts w:ascii="Cambria Math"/>
              <w:noProof/>
            </w:rPr>
            <w:lastRenderedPageBreak/>
            <m:t>C=(</m:t>
          </m:r>
          <m:sSub>
            <m:sSubPr>
              <m:ctrlPr>
                <w:rPr>
                  <w:rFonts w:ascii="Cambria Math" w:hAnsi="Cambria Math"/>
                  <w:i/>
                  <w:noProof/>
                </w:rPr>
              </m:ctrlPr>
            </m:sSubPr>
            <m:e>
              <m:r>
                <w:rPr>
                  <w:rFonts w:ascii="Cambria Math"/>
                  <w:noProof/>
                </w:rPr>
                <m:t>E</m:t>
              </m:r>
            </m:e>
            <m:sub>
              <m:r>
                <w:rPr>
                  <w:rFonts w:ascii="Cambria Math"/>
                  <w:noProof/>
                </w:rPr>
                <m:t>n</m:t>
              </m:r>
            </m:sub>
          </m:sSub>
          <m:r>
            <w:rPr>
              <w:rFonts w:ascii="Cambria Math"/>
              <w:noProof/>
            </w:rPr>
            <m:t>/</m:t>
          </m:r>
          <m:sSub>
            <m:sSubPr>
              <m:ctrlPr>
                <w:rPr>
                  <w:rFonts w:ascii="Cambria Math" w:hAnsi="Cambria Math"/>
                  <w:i/>
                  <w:noProof/>
                </w:rPr>
              </m:ctrlPr>
            </m:sSubPr>
            <m:e>
              <m:r>
                <w:rPr>
                  <w:rFonts w:ascii="Cambria Math"/>
                  <w:noProof/>
                </w:rPr>
                <m:t>E</m:t>
              </m:r>
            </m:e>
            <m:sub>
              <m:r>
                <w:rPr>
                  <w:rFonts w:ascii="Cambria Math"/>
                  <w:noProof/>
                </w:rPr>
                <m:t>w</m:t>
              </m:r>
            </m:sub>
          </m:sSub>
          <m:r>
            <w:rPr>
              <w:rFonts w:ascii="Cambria Math"/>
              <w:noProof/>
            </w:rPr>
            <m:t>)</m:t>
          </m:r>
          <m:r>
            <w:rPr>
              <w:rFonts w:ascii="Cambria Math"/>
              <w:noProof/>
            </w:rPr>
            <m:t>×</m:t>
          </m:r>
          <m:r>
            <w:rPr>
              <w:rFonts w:ascii="Cambria Math"/>
              <w:noProof/>
            </w:rPr>
            <m:t>100%</m:t>
          </m:r>
        </m:oMath>
      </m:oMathPara>
    </w:p>
    <w:p w14:paraId="68156A76" w14:textId="07F571A9" w:rsidR="00913C78" w:rsidRPr="00913C78" w:rsidRDefault="00913C78" w:rsidP="00AC2900">
      <w:pPr>
        <w:ind w:firstLine="420"/>
      </w:pPr>
      <w:r w:rsidRPr="00913C78">
        <w:rPr>
          <w:rFonts w:hint="eastAsia"/>
        </w:rPr>
        <w:t>式中，</w:t>
      </w:r>
      <m:oMath>
        <m:sSub>
          <m:sSubPr>
            <m:ctrlPr>
              <w:rPr>
                <w:rFonts w:ascii="Cambria Math" w:hAnsi="Cambria Math"/>
                <w:i/>
                <w:noProof/>
              </w:rPr>
            </m:ctrlPr>
          </m:sSubPr>
          <m:e>
            <m:r>
              <w:rPr>
                <w:rFonts w:ascii="Cambria Math"/>
                <w:noProof/>
              </w:rPr>
              <m:t>E</m:t>
            </m:r>
          </m:e>
          <m:sub>
            <m:r>
              <w:rPr>
                <w:rFonts w:ascii="Cambria Math"/>
                <w:noProof/>
              </w:rPr>
              <m:t>n</m:t>
            </m:r>
          </m:sub>
        </m:sSub>
      </m:oMath>
      <w:r w:rsidRPr="00913C78">
        <w:rPr>
          <w:rFonts w:hint="eastAsia"/>
        </w:rPr>
        <w:t>—室内照度；</w:t>
      </w:r>
    </w:p>
    <w:p w14:paraId="18A21353" w14:textId="6E1610CC" w:rsidR="00913C78" w:rsidRPr="00913C78" w:rsidRDefault="00D20A1F" w:rsidP="00AC2900">
      <w:pPr>
        <w:ind w:firstLineChars="500" w:firstLine="1050"/>
      </w:pPr>
      <m:oMath>
        <m:sSub>
          <m:sSubPr>
            <m:ctrlPr>
              <w:rPr>
                <w:rFonts w:ascii="Cambria Math" w:hAnsi="Cambria Math"/>
                <w:i/>
                <w:noProof/>
              </w:rPr>
            </m:ctrlPr>
          </m:sSubPr>
          <m:e>
            <m:r>
              <w:rPr>
                <w:rFonts w:ascii="Cambria Math"/>
                <w:noProof/>
              </w:rPr>
              <m:t>E</m:t>
            </m:r>
          </m:e>
          <m:sub>
            <m:r>
              <w:rPr>
                <w:rFonts w:ascii="Cambria Math"/>
                <w:noProof/>
              </w:rPr>
              <m:t>w</m:t>
            </m:r>
          </m:sub>
        </m:sSub>
      </m:oMath>
      <w:r w:rsidR="00913C78" w:rsidRPr="00913C78">
        <w:rPr>
          <w:rFonts w:hint="eastAsia"/>
        </w:rPr>
        <w:t>—室外照度。</w:t>
      </w:r>
    </w:p>
    <w:p w14:paraId="1CCC248E"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采光</w:t>
      </w:r>
      <w:r w:rsidRPr="00913C78">
        <w:t>模拟分析需要考虑天空光</w:t>
      </w:r>
      <w:r w:rsidRPr="00913C78">
        <w:rPr>
          <w:rFonts w:hint="eastAsia"/>
        </w:rPr>
        <w:t>（</w:t>
      </w:r>
      <w:r w:rsidRPr="00913C78">
        <w:rPr>
          <w:rFonts w:hint="eastAsia"/>
        </w:rPr>
        <w:t>SC</w:t>
      </w:r>
      <w:r w:rsidRPr="00913C78">
        <w:rPr>
          <w:rFonts w:hint="eastAsia"/>
        </w:rPr>
        <w:t>）</w:t>
      </w:r>
      <w:r w:rsidRPr="00913C78">
        <w:t>、室外反射光</w:t>
      </w:r>
      <w:r w:rsidRPr="00913C78">
        <w:rPr>
          <w:rFonts w:hint="eastAsia"/>
        </w:rPr>
        <w:t>（</w:t>
      </w:r>
      <w:r w:rsidRPr="00913C78">
        <w:rPr>
          <w:rFonts w:hint="eastAsia"/>
        </w:rPr>
        <w:t>ERC</w:t>
      </w:r>
      <w:r w:rsidRPr="00913C78">
        <w:rPr>
          <w:rFonts w:hint="eastAsia"/>
        </w:rPr>
        <w:t>）</w:t>
      </w:r>
      <w:r w:rsidRPr="00913C78">
        <w:t>和</w:t>
      </w:r>
      <w:r w:rsidRPr="00913C78">
        <w:rPr>
          <w:rFonts w:hint="eastAsia"/>
        </w:rPr>
        <w:t>房间</w:t>
      </w:r>
      <w:r w:rsidRPr="00913C78">
        <w:t>内表面</w:t>
      </w:r>
      <w:r w:rsidRPr="00913C78">
        <w:rPr>
          <w:rFonts w:hint="eastAsia"/>
        </w:rPr>
        <w:t>的</w:t>
      </w:r>
      <w:r w:rsidRPr="00913C78">
        <w:t>反射光</w:t>
      </w:r>
      <w:r w:rsidRPr="00913C78">
        <w:rPr>
          <w:rFonts w:hint="eastAsia"/>
        </w:rPr>
        <w:t>（</w:t>
      </w:r>
      <w:r w:rsidRPr="00913C78">
        <w:rPr>
          <w:rFonts w:hint="eastAsia"/>
        </w:rPr>
        <w:t>IRC</w:t>
      </w:r>
      <w:r w:rsidRPr="00913C78">
        <w:rPr>
          <w:rFonts w:hint="eastAsia"/>
        </w:rPr>
        <w:t>）。采用光线</w:t>
      </w:r>
      <w:r w:rsidRPr="00913C78">
        <w:t>追踪法计算时，光线反射次数不应低于</w:t>
      </w:r>
      <w:r w:rsidRPr="00913C78">
        <w:rPr>
          <w:rFonts w:hint="eastAsia"/>
        </w:rPr>
        <w:t>5</w:t>
      </w:r>
      <w:r w:rsidRPr="00913C78">
        <w:rPr>
          <w:rFonts w:hint="eastAsia"/>
        </w:rPr>
        <w:t>次，</w:t>
      </w:r>
      <w:r w:rsidRPr="00913C78">
        <w:t>其中</w:t>
      </w:r>
      <w:r w:rsidRPr="00913C78">
        <w:rPr>
          <w:rFonts w:hint="eastAsia"/>
        </w:rPr>
        <w:t>光线</w:t>
      </w:r>
      <w:r w:rsidRPr="00913C78">
        <w:t>反射次数取值越高，光环境模拟结果越接近实际情况</w:t>
      </w:r>
      <w:r w:rsidRPr="00913C78">
        <w:rPr>
          <w:rFonts w:hint="eastAsia"/>
        </w:rPr>
        <w:t>。</w:t>
      </w:r>
    </w:p>
    <w:p w14:paraId="5EA32769" w14:textId="77777777" w:rsidR="00913C78" w:rsidRPr="00913C78" w:rsidRDefault="00913C78" w:rsidP="00913C78">
      <w:pPr>
        <w:ind w:firstLine="420"/>
      </w:pPr>
      <w:r w:rsidRPr="00913C78">
        <w:rPr>
          <w:rFonts w:hint="eastAsia"/>
        </w:rPr>
        <w:t>（</w:t>
      </w:r>
      <w:r w:rsidRPr="00913C78">
        <w:t>2</w:t>
      </w:r>
      <w:r w:rsidRPr="00913C78">
        <w:rPr>
          <w:rFonts w:hint="eastAsia"/>
        </w:rPr>
        <w:t>）模型</w:t>
      </w:r>
      <w:r w:rsidRPr="00913C78">
        <w:t>选取</w:t>
      </w:r>
    </w:p>
    <w:p w14:paraId="342BE074" w14:textId="77777777" w:rsidR="00913C78" w:rsidRPr="00913C78" w:rsidRDefault="00913C78" w:rsidP="00913C78">
      <w:pPr>
        <w:ind w:firstLine="420"/>
      </w:pPr>
      <w:r w:rsidRPr="00913C78">
        <w:rPr>
          <w:rFonts w:hint="eastAsia"/>
        </w:rPr>
        <w:t>采光</w:t>
      </w:r>
      <w:r w:rsidRPr="00913C78">
        <w:t>系数计算时天空模型</w:t>
      </w:r>
      <w:r w:rsidRPr="00913C78">
        <w:rPr>
          <w:rFonts w:hint="eastAsia"/>
        </w:rPr>
        <w:t>应</w:t>
      </w:r>
      <w:r w:rsidRPr="00913C78">
        <w:t>选择</w:t>
      </w:r>
      <w:r w:rsidRPr="00913C78">
        <w:rPr>
          <w:rFonts w:hint="eastAsia"/>
        </w:rPr>
        <w:t>CIE</w:t>
      </w:r>
      <w:r w:rsidRPr="00913C78">
        <w:rPr>
          <w:rFonts w:hint="eastAsia"/>
        </w:rPr>
        <w:t>标准</w:t>
      </w:r>
      <w:r w:rsidRPr="00913C78">
        <w:t>全阴天模型（</w:t>
      </w:r>
      <w:r w:rsidRPr="00913C78">
        <w:rPr>
          <w:rFonts w:hint="eastAsia"/>
        </w:rPr>
        <w:t>CIE Overcast Sky</w:t>
      </w:r>
      <w:r w:rsidRPr="00913C78">
        <w:t>）</w:t>
      </w:r>
      <w:r w:rsidRPr="00913C78">
        <w:rPr>
          <w:rFonts w:hint="eastAsia"/>
        </w:rPr>
        <w:t>。</w:t>
      </w:r>
      <w:r w:rsidRPr="00913C78">
        <w:t>其他类型的采光性能分析应根据分析目的选用其他模型。</w:t>
      </w:r>
    </w:p>
    <w:p w14:paraId="124E9EE8" w14:textId="77777777" w:rsidR="00913C78" w:rsidRPr="00913C78" w:rsidRDefault="00913C78" w:rsidP="00913C78">
      <w:pPr>
        <w:ind w:firstLine="420"/>
      </w:pPr>
      <w:bookmarkStart w:id="283" w:name="_Toc475359859"/>
      <w:r w:rsidRPr="00913C78">
        <w:rPr>
          <w:rFonts w:hint="eastAsia"/>
        </w:rPr>
        <w:t>◎</w:t>
      </w:r>
      <w:r w:rsidRPr="00913C78">
        <w:rPr>
          <w:rFonts w:hint="eastAsia"/>
        </w:rPr>
        <w:t xml:space="preserve"> </w:t>
      </w:r>
      <w:r w:rsidRPr="00913C78">
        <w:t>数值分析软件</w:t>
      </w:r>
      <w:bookmarkEnd w:id="283"/>
    </w:p>
    <w:p w14:paraId="6D32D8CF" w14:textId="77777777" w:rsidR="00913C78" w:rsidRPr="00913C78" w:rsidRDefault="00913C78" w:rsidP="00913C78">
      <w:pPr>
        <w:ind w:firstLine="420"/>
      </w:pPr>
      <w:r w:rsidRPr="00913C78">
        <w:rPr>
          <w:rFonts w:hint="eastAsia"/>
        </w:rPr>
        <w:t>数值分析</w:t>
      </w:r>
      <w:r w:rsidRPr="00913C78">
        <w:t>报告应</w:t>
      </w:r>
      <w:r w:rsidRPr="00913C78">
        <w:rPr>
          <w:rFonts w:hint="eastAsia"/>
        </w:rPr>
        <w:t>包括</w:t>
      </w:r>
      <w:r w:rsidRPr="00913C78">
        <w:t>：</w:t>
      </w:r>
      <w:r w:rsidRPr="00913C78">
        <w:rPr>
          <w:rFonts w:hint="eastAsia"/>
        </w:rPr>
        <w:t>数值分析计算软件的</w:t>
      </w:r>
      <w:r w:rsidRPr="00913C78">
        <w:t>介绍。</w:t>
      </w:r>
      <w:r w:rsidRPr="00913C78">
        <w:rPr>
          <w:rFonts w:hint="eastAsia"/>
        </w:rPr>
        <w:t>常用</w:t>
      </w:r>
      <w:r w:rsidRPr="00913C78">
        <w:t>数值分析软件简介</w:t>
      </w:r>
      <w:r w:rsidRPr="00913C78">
        <w:rPr>
          <w:rFonts w:hint="eastAsia"/>
        </w:rPr>
        <w:t>如下。</w:t>
      </w:r>
    </w:p>
    <w:p w14:paraId="52B475AF"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w:t>
      </w:r>
      <w:r w:rsidRPr="00913C78">
        <w:t>Ecotect Analysis</w:t>
      </w:r>
    </w:p>
    <w:p w14:paraId="70139768" w14:textId="77777777" w:rsidR="00913C78" w:rsidRPr="00913C78" w:rsidRDefault="00913C78" w:rsidP="00913C78">
      <w:pPr>
        <w:ind w:firstLine="420"/>
      </w:pPr>
      <w:r w:rsidRPr="00913C78">
        <w:rPr>
          <w:rFonts w:hint="eastAsia"/>
        </w:rPr>
        <w:t>Ecotect Analysis</w:t>
      </w:r>
      <w:r w:rsidRPr="00913C78">
        <w:rPr>
          <w:rFonts w:hint="eastAsia"/>
        </w:rPr>
        <w:t>软件是一款功能全面，适用于从概念设计到详细设计环节的可持续设计及分析工具，其中包含应用广泛的仿真和分析功能，能够提高现有建筑和新建筑设计的性能。该软件将在线能效、水耗及碳排放分析功能与桌面工具相集成，能够可视化及仿真真实环境中的建筑性能。用户可以利用强大的三维表现功能进行交互式分析，模拟日照、阴影、发射和采光等因素对环境的影响。</w:t>
      </w:r>
    </w:p>
    <w:p w14:paraId="3AA47302"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w:t>
      </w:r>
      <w:r w:rsidRPr="00913C78">
        <w:rPr>
          <w:rFonts w:hint="eastAsia"/>
        </w:rPr>
        <w:t>Radiance</w:t>
      </w:r>
    </w:p>
    <w:p w14:paraId="51DCE1E0" w14:textId="77777777" w:rsidR="00913C78" w:rsidRPr="00913C78" w:rsidRDefault="00913C78" w:rsidP="00913C78">
      <w:pPr>
        <w:ind w:firstLine="420"/>
      </w:pPr>
      <w:r w:rsidRPr="00913C78">
        <w:rPr>
          <w:rFonts w:hint="eastAsia"/>
        </w:rPr>
        <w:t>Radiance</w:t>
      </w:r>
      <w:r w:rsidRPr="00913C78">
        <w:rPr>
          <w:rFonts w:hint="eastAsia"/>
        </w:rPr>
        <w:t>是美国能源部下属的劳伦斯伯克利国家实验室（</w:t>
      </w:r>
      <w:r w:rsidRPr="00913C78">
        <w:rPr>
          <w:rFonts w:hint="eastAsia"/>
        </w:rPr>
        <w:t>LBNL</w:t>
      </w:r>
      <w:r w:rsidRPr="00913C78">
        <w:rPr>
          <w:rFonts w:hint="eastAsia"/>
        </w:rPr>
        <w:t>）于</w:t>
      </w:r>
      <w:r w:rsidRPr="00913C78">
        <w:rPr>
          <w:rFonts w:hint="eastAsia"/>
        </w:rPr>
        <w:t>20</w:t>
      </w:r>
      <w:r w:rsidRPr="00913C78">
        <w:rPr>
          <w:rFonts w:hint="eastAsia"/>
        </w:rPr>
        <w:t>世纪</w:t>
      </w:r>
      <w:r w:rsidRPr="00913C78">
        <w:rPr>
          <w:rFonts w:hint="eastAsia"/>
        </w:rPr>
        <w:t>90</w:t>
      </w:r>
      <w:r w:rsidRPr="00913C78">
        <w:rPr>
          <w:rFonts w:hint="eastAsia"/>
        </w:rPr>
        <w:t>年代初开发的一款优秀的建筑采光和照明模拟软件包，它采用了蒙特卡洛算法优化的反向光线追踪引擎。</w:t>
      </w:r>
      <w:r w:rsidRPr="00913C78">
        <w:rPr>
          <w:rFonts w:hint="eastAsia"/>
        </w:rPr>
        <w:t>ECOTECT</w:t>
      </w:r>
      <w:r w:rsidRPr="00913C78">
        <w:rPr>
          <w:rFonts w:hint="eastAsia"/>
        </w:rPr>
        <w:t>中内置了</w:t>
      </w:r>
      <w:r w:rsidRPr="00913C78">
        <w:rPr>
          <w:rFonts w:hint="eastAsia"/>
        </w:rPr>
        <w:t>Radiance</w:t>
      </w:r>
      <w:r w:rsidRPr="00913C78">
        <w:rPr>
          <w:rFonts w:hint="eastAsia"/>
        </w:rPr>
        <w:t>的输出和控制功能，这大大拓展了</w:t>
      </w:r>
      <w:r w:rsidRPr="00913C78">
        <w:rPr>
          <w:rFonts w:hint="eastAsia"/>
        </w:rPr>
        <w:t>ECOTECT</w:t>
      </w:r>
      <w:r w:rsidRPr="00913C78">
        <w:rPr>
          <w:rFonts w:hint="eastAsia"/>
        </w:rPr>
        <w:t>的应用范围，并且为用户提供了更多的选择。</w:t>
      </w:r>
      <w:r w:rsidRPr="00913C78">
        <w:rPr>
          <w:rFonts w:hint="eastAsia"/>
        </w:rPr>
        <w:t>Radiance</w:t>
      </w:r>
      <w:r w:rsidRPr="00913C78">
        <w:rPr>
          <w:rFonts w:hint="eastAsia"/>
        </w:rPr>
        <w:t>广泛地应用于建筑采光模拟和分析中，其产生的图像效果完全可以媲美高级商业渲染软件，并且比后者更接近真实的物理光环境。</w:t>
      </w:r>
      <w:r w:rsidRPr="00913C78">
        <w:rPr>
          <w:rFonts w:hint="eastAsia"/>
        </w:rPr>
        <w:t>Radiance</w:t>
      </w:r>
      <w:r w:rsidRPr="00913C78">
        <w:rPr>
          <w:rFonts w:hint="eastAsia"/>
        </w:rPr>
        <w:t>中提供了包括人眼、云图和线图在内的高级图像分析处理功能，它可以从计算图像中提取相应的信息进行综合处理。</w:t>
      </w:r>
    </w:p>
    <w:p w14:paraId="21D23986"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w:t>
      </w:r>
      <w:r w:rsidRPr="00913C78">
        <w:t>PKPM-Daylight</w:t>
      </w:r>
    </w:p>
    <w:p w14:paraId="18F599C8" w14:textId="77777777" w:rsidR="00913C78" w:rsidRPr="00913C78" w:rsidRDefault="00913C78" w:rsidP="00913C78">
      <w:pPr>
        <w:ind w:firstLine="420"/>
      </w:pPr>
      <w:r w:rsidRPr="00913C78">
        <w:t>PKPM-Daylight</w:t>
      </w:r>
      <w:r w:rsidRPr="00913C78">
        <w:rPr>
          <w:rFonts w:hint="eastAsia"/>
        </w:rPr>
        <w:t>支持《建筑采光设计标准》（</w:t>
      </w:r>
      <w:r w:rsidRPr="00913C78">
        <w:rPr>
          <w:rFonts w:hint="eastAsia"/>
        </w:rPr>
        <w:t>GB/T</w:t>
      </w:r>
      <w:r w:rsidRPr="00913C78">
        <w:t> </w:t>
      </w:r>
      <w:r w:rsidRPr="00913C78">
        <w:rPr>
          <w:rFonts w:hint="eastAsia"/>
        </w:rPr>
        <w:t>50033</w:t>
      </w:r>
      <w:r w:rsidRPr="00913C78">
        <w:rPr>
          <w:rFonts w:hint="eastAsia"/>
        </w:rPr>
        <w:t>—</w:t>
      </w:r>
      <w:r w:rsidRPr="00913C78">
        <w:rPr>
          <w:rFonts w:hint="eastAsia"/>
        </w:rPr>
        <w:t>2013</w:t>
      </w:r>
      <w:r w:rsidRPr="00913C78">
        <w:rPr>
          <w:rFonts w:hint="eastAsia"/>
        </w:rPr>
        <w:t>）</w:t>
      </w:r>
      <w:r w:rsidRPr="00913C78">
        <w:rPr>
          <w:rFonts w:hint="eastAsia"/>
        </w:rPr>
        <w:t>/</w:t>
      </w:r>
      <w:r w:rsidRPr="00913C78">
        <w:rPr>
          <w:rFonts w:hint="eastAsia"/>
        </w:rPr>
        <w:t>《绿色建筑评价标准》（</w:t>
      </w:r>
      <w:r w:rsidRPr="00913C78">
        <w:rPr>
          <w:rFonts w:hint="eastAsia"/>
        </w:rPr>
        <w:t>GB/T 50378</w:t>
      </w:r>
      <w:r w:rsidRPr="00913C78">
        <w:rPr>
          <w:rFonts w:hint="eastAsia"/>
        </w:rPr>
        <w:t>—</w:t>
      </w:r>
      <w:r w:rsidRPr="00913C78">
        <w:rPr>
          <w:rFonts w:hint="eastAsia"/>
        </w:rPr>
        <w:t>2014</w:t>
      </w:r>
      <w:r w:rsidRPr="00913C78">
        <w:rPr>
          <w:rFonts w:hint="eastAsia"/>
        </w:rPr>
        <w:t>）以及各地方绿色建筑评价标准的要求，也支持我国《建筑采光设计标准》（</w:t>
      </w:r>
      <w:r w:rsidRPr="00913C78">
        <w:rPr>
          <w:rFonts w:hint="eastAsia"/>
        </w:rPr>
        <w:t>GB/T</w:t>
      </w:r>
      <w:r w:rsidRPr="00913C78">
        <w:t> </w:t>
      </w:r>
      <w:r w:rsidRPr="00913C78">
        <w:rPr>
          <w:rFonts w:hint="eastAsia"/>
        </w:rPr>
        <w:t>50033</w:t>
      </w:r>
      <w:r w:rsidRPr="00913C78">
        <w:rPr>
          <w:rFonts w:hint="eastAsia"/>
        </w:rPr>
        <w:t>—</w:t>
      </w:r>
      <w:r w:rsidRPr="00913C78">
        <w:rPr>
          <w:rFonts w:hint="eastAsia"/>
        </w:rPr>
        <w:t>2013</w:t>
      </w:r>
      <w:r w:rsidRPr="00913C78">
        <w:rPr>
          <w:rFonts w:hint="eastAsia"/>
        </w:rPr>
        <w:t>）中平均采光系数算法和国际通用</w:t>
      </w:r>
      <w:r w:rsidRPr="00913C78">
        <w:rPr>
          <w:rFonts w:hint="eastAsia"/>
        </w:rPr>
        <w:t>radiance</w:t>
      </w:r>
      <w:r w:rsidRPr="00913C78">
        <w:rPr>
          <w:rFonts w:hint="eastAsia"/>
        </w:rPr>
        <w:t>逐点采光系数算法。它</w:t>
      </w:r>
      <w:r w:rsidRPr="00913C78">
        <w:t>能够</w:t>
      </w:r>
      <w:r w:rsidRPr="00913C78">
        <w:rPr>
          <w:rFonts w:hint="eastAsia"/>
        </w:rPr>
        <w:t>输出专业的采光分析报告，满足采光及绿色建筑标准要求：计算结果准确，经过建设</w:t>
      </w:r>
      <w:r w:rsidRPr="00913C78">
        <w:rPr>
          <w:rFonts w:hint="eastAsia"/>
        </w:rPr>
        <w:lastRenderedPageBreak/>
        <w:t>部鉴定，并提供多种采光优化建议；支持导光筒、采光罩等主动导光措施分析，支持窗地面积比快速判断。根据用户需求可定制采光报告输出内容、完整的计算过程及结果表述，判断</w:t>
      </w:r>
      <w:r w:rsidRPr="00913C78">
        <w:t>是否</w:t>
      </w:r>
      <w:r w:rsidRPr="00913C78">
        <w:rPr>
          <w:rFonts w:hint="eastAsia"/>
        </w:rPr>
        <w:t>符合绿色建筑评审要求。</w:t>
      </w:r>
    </w:p>
    <w:p w14:paraId="211947CE" w14:textId="77777777" w:rsidR="00913C78" w:rsidRPr="00913C78" w:rsidRDefault="00913C78" w:rsidP="00913C78">
      <w:pPr>
        <w:ind w:firstLine="420"/>
      </w:pPr>
      <w:r w:rsidRPr="00913C78">
        <w:rPr>
          <w:rFonts w:hint="eastAsia"/>
        </w:rPr>
        <w:t>（</w:t>
      </w:r>
      <w:r w:rsidRPr="00913C78">
        <w:rPr>
          <w:rFonts w:hint="eastAsia"/>
        </w:rPr>
        <w:t>4</w:t>
      </w:r>
      <w:r w:rsidRPr="00913C78">
        <w:rPr>
          <w:rFonts w:hint="eastAsia"/>
        </w:rPr>
        <w:t>）绿建斯维尔</w:t>
      </w:r>
      <w:r w:rsidRPr="00913C78">
        <w:rPr>
          <w:rFonts w:hint="eastAsia"/>
        </w:rPr>
        <w:t>-</w:t>
      </w:r>
      <w:r w:rsidRPr="00913C78">
        <w:t>DALI</w:t>
      </w:r>
    </w:p>
    <w:p w14:paraId="61E45B83" w14:textId="77777777" w:rsidR="00913C78" w:rsidRPr="00913C78" w:rsidRDefault="00913C78" w:rsidP="00913C78">
      <w:pPr>
        <w:ind w:firstLine="420"/>
      </w:pPr>
      <w:r w:rsidRPr="00913C78">
        <w:rPr>
          <w:rFonts w:hint="eastAsia"/>
        </w:rPr>
        <w:t>绿建斯维尔</w:t>
      </w:r>
      <w:r w:rsidRPr="00913C78">
        <w:rPr>
          <w:rFonts w:hint="eastAsia"/>
        </w:rPr>
        <w:t>-DALI</w:t>
      </w:r>
      <w:r w:rsidRPr="00913C78">
        <w:rPr>
          <w:rFonts w:hint="eastAsia"/>
        </w:rPr>
        <w:t>构建于</w:t>
      </w:r>
      <w:r w:rsidRPr="00913C78">
        <w:rPr>
          <w:rFonts w:hint="eastAsia"/>
        </w:rPr>
        <w:t>AutoCAD</w:t>
      </w:r>
      <w:r w:rsidRPr="00913C78">
        <w:rPr>
          <w:rFonts w:hint="eastAsia"/>
        </w:rPr>
        <w:t>平台，主要为建筑设计师或绿色建筑评价单位提供建筑采光的定量和定性分析工具，功能操作充分考虑建筑设计师的传统习惯，可快速对单体或总图建筑群进行采光计算。它</w:t>
      </w:r>
      <w:r w:rsidRPr="00913C78">
        <w:t>能够</w:t>
      </w:r>
      <w:r w:rsidRPr="00913C78">
        <w:rPr>
          <w:rFonts w:hint="eastAsia"/>
        </w:rPr>
        <w:t>提供三维采光分析功能，可直观获得房间某一视角的亮度或照度的等值线图或伪彩色图。输出详细到任一房间的项目采光分析报告书，各分析统计表可灵活输出到</w:t>
      </w:r>
      <w:r w:rsidRPr="00913C78">
        <w:t>Word</w:t>
      </w:r>
      <w:r w:rsidRPr="00913C78">
        <w:rPr>
          <w:rFonts w:hint="eastAsia"/>
        </w:rPr>
        <w:t>或</w:t>
      </w:r>
      <w:r w:rsidRPr="00913C78">
        <w:t>Excel</w:t>
      </w:r>
      <w:r w:rsidRPr="00913C78">
        <w:rPr>
          <w:rFonts w:hint="eastAsia"/>
        </w:rPr>
        <w:t>，方便形成不同需求的报告格式。</w:t>
      </w:r>
    </w:p>
    <w:p w14:paraId="10979AD7" w14:textId="77777777" w:rsidR="00913C78" w:rsidRPr="00913C78" w:rsidRDefault="00913C78" w:rsidP="00AC08C3">
      <w:pPr>
        <w:pStyle w:val="32"/>
      </w:pPr>
      <w:bookmarkStart w:id="284" w:name="_Toc475359860"/>
      <w:bookmarkStart w:id="285" w:name="_Toc35364780"/>
      <w:r w:rsidRPr="00913C78">
        <w:rPr>
          <w:rFonts w:hint="eastAsia"/>
        </w:rPr>
        <w:t xml:space="preserve">A.3.3  </w:t>
      </w:r>
      <w:r w:rsidRPr="00913C78">
        <w:rPr>
          <w:rFonts w:hint="eastAsia"/>
        </w:rPr>
        <w:t>模型建立</w:t>
      </w:r>
      <w:bookmarkEnd w:id="284"/>
      <w:bookmarkEnd w:id="285"/>
    </w:p>
    <w:p w14:paraId="231BF350" w14:textId="77777777" w:rsidR="00913C78" w:rsidRPr="00913C78" w:rsidRDefault="00913C78" w:rsidP="00913C78">
      <w:pPr>
        <w:ind w:firstLine="420"/>
      </w:pPr>
      <w:bookmarkStart w:id="286" w:name="_Toc475359861"/>
      <w:r w:rsidRPr="00913C78">
        <w:rPr>
          <w:rFonts w:hint="eastAsia"/>
        </w:rPr>
        <w:t>◎</w:t>
      </w:r>
      <w:r w:rsidRPr="00913C78">
        <w:t xml:space="preserve"> </w:t>
      </w:r>
      <w:r w:rsidRPr="00913C78">
        <w:rPr>
          <w:rFonts w:hint="eastAsia"/>
        </w:rPr>
        <w:t>模型建立</w:t>
      </w:r>
      <w:bookmarkEnd w:id="286"/>
    </w:p>
    <w:p w14:paraId="0252094D" w14:textId="77777777" w:rsidR="00913C78" w:rsidRPr="00913C78" w:rsidRDefault="00913C78" w:rsidP="00913C78">
      <w:pPr>
        <w:ind w:firstLine="420"/>
      </w:pPr>
      <w:r w:rsidRPr="00913C78">
        <w:rPr>
          <w:rFonts w:hint="eastAsia"/>
        </w:rPr>
        <w:t>数值分析</w:t>
      </w:r>
      <w:r w:rsidRPr="00913C78">
        <w:t>报告</w:t>
      </w:r>
      <w:r w:rsidRPr="00913C78">
        <w:rPr>
          <w:rFonts w:hint="eastAsia"/>
        </w:rPr>
        <w:t>模型建立时</w:t>
      </w:r>
      <w:r w:rsidRPr="00913C78">
        <w:t>应</w:t>
      </w:r>
      <w:r w:rsidRPr="00913C78">
        <w:rPr>
          <w:rFonts w:hint="eastAsia"/>
        </w:rPr>
        <w:t>包括但</w:t>
      </w:r>
      <w:r w:rsidRPr="00913C78">
        <w:t>不限于</w:t>
      </w:r>
      <w:r w:rsidRPr="00913C78">
        <w:rPr>
          <w:rFonts w:hint="eastAsia"/>
        </w:rPr>
        <w:t>：</w:t>
      </w:r>
      <w:r w:rsidRPr="00913C78">
        <w:t>物理模型</w:t>
      </w:r>
      <w:r w:rsidRPr="00913C78">
        <w:rPr>
          <w:rFonts w:hint="eastAsia"/>
        </w:rPr>
        <w:t>、</w:t>
      </w:r>
      <w:r w:rsidRPr="00913C78">
        <w:t>计算</w:t>
      </w:r>
      <w:r w:rsidRPr="00913C78">
        <w:rPr>
          <w:rFonts w:hint="eastAsia"/>
        </w:rPr>
        <w:t>区</w:t>
      </w:r>
      <w:r w:rsidRPr="00913C78">
        <w:t>域、网格展示</w:t>
      </w:r>
      <w:r w:rsidRPr="00913C78">
        <w:rPr>
          <w:rFonts w:hint="eastAsia"/>
        </w:rPr>
        <w:t>及</w:t>
      </w:r>
      <w:r w:rsidRPr="00913C78">
        <w:t>建模</w:t>
      </w:r>
      <w:r w:rsidRPr="00913C78">
        <w:rPr>
          <w:rFonts w:hint="eastAsia"/>
        </w:rPr>
        <w:t>说明</w:t>
      </w:r>
      <w:r w:rsidRPr="00913C78">
        <w:t>。</w:t>
      </w:r>
      <w:r w:rsidRPr="00913C78">
        <w:rPr>
          <w:rFonts w:hint="eastAsia"/>
        </w:rPr>
        <w:t>模型建立要求如下。</w:t>
      </w:r>
    </w:p>
    <w:p w14:paraId="203B7C28"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）建筑模型</w:t>
      </w:r>
    </w:p>
    <w:p w14:paraId="2516D251" w14:textId="77777777" w:rsidR="00913C78" w:rsidRPr="00913C78" w:rsidRDefault="00913C78" w:rsidP="00913C78">
      <w:pPr>
        <w:ind w:firstLine="420"/>
      </w:pPr>
      <w:r w:rsidRPr="00913C78">
        <w:rPr>
          <w:rFonts w:hint="eastAsia"/>
        </w:rPr>
        <w:t>采光</w:t>
      </w:r>
      <w:r w:rsidRPr="00913C78">
        <w:t>模型</w:t>
      </w:r>
      <w:r w:rsidRPr="00913C78">
        <w:rPr>
          <w:rFonts w:hint="eastAsia"/>
        </w:rPr>
        <w:t>建立</w:t>
      </w:r>
      <w:r w:rsidRPr="00913C78">
        <w:t>应分为地上和地下</w:t>
      </w:r>
      <w:r w:rsidRPr="00913C78">
        <w:rPr>
          <w:rFonts w:hint="eastAsia"/>
        </w:rPr>
        <w:t>，其中</w:t>
      </w:r>
      <w:r w:rsidRPr="00913C78">
        <w:t>地上建筑模型应包</w:t>
      </w:r>
      <w:r w:rsidRPr="00913C78">
        <w:rPr>
          <w:rFonts w:hint="eastAsia"/>
        </w:rPr>
        <w:t>括</w:t>
      </w:r>
      <w:r w:rsidRPr="00913C78">
        <w:t>：</w:t>
      </w:r>
    </w:p>
    <w:p w14:paraId="778F385A"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建筑</w:t>
      </w:r>
      <w:r w:rsidRPr="00913C78">
        <w:t>周边建筑物、建筑</w:t>
      </w:r>
      <w:r w:rsidRPr="00913C78">
        <w:rPr>
          <w:rFonts w:hint="eastAsia"/>
        </w:rPr>
        <w:t>各个</w:t>
      </w:r>
      <w:r w:rsidRPr="00913C78">
        <w:t>功能房间、</w:t>
      </w:r>
      <w:r w:rsidRPr="00913C78">
        <w:rPr>
          <w:rFonts w:hint="eastAsia"/>
        </w:rPr>
        <w:t>建筑</w:t>
      </w:r>
      <w:r w:rsidRPr="00913C78">
        <w:t>门窗（</w:t>
      </w:r>
      <w:r w:rsidRPr="00913C78">
        <w:rPr>
          <w:rFonts w:hint="eastAsia"/>
        </w:rPr>
        <w:t>含</w:t>
      </w:r>
      <w:r w:rsidRPr="00913C78">
        <w:t>窗台</w:t>
      </w:r>
      <w:r w:rsidRPr="00913C78">
        <w:rPr>
          <w:rFonts w:hint="eastAsia"/>
        </w:rPr>
        <w:t>高</w:t>
      </w:r>
      <w:r w:rsidRPr="00913C78">
        <w:t>）</w:t>
      </w:r>
      <w:r w:rsidRPr="00913C78">
        <w:rPr>
          <w:rFonts w:hint="eastAsia"/>
        </w:rPr>
        <w:t>、</w:t>
      </w:r>
      <w:r w:rsidRPr="00913C78">
        <w:t>建筑物各类外挑构件，影响建筑采光的各类建筑构件</w:t>
      </w:r>
      <w:r w:rsidRPr="00913C78">
        <w:rPr>
          <w:rFonts w:hint="eastAsia"/>
        </w:rPr>
        <w:t>和</w:t>
      </w:r>
      <w:r w:rsidRPr="00913C78">
        <w:t>其他特殊采光构件（</w:t>
      </w:r>
      <w:r w:rsidRPr="00913C78">
        <w:rPr>
          <w:rFonts w:hint="eastAsia"/>
        </w:rPr>
        <w:t>如</w:t>
      </w:r>
      <w:r w:rsidRPr="00913C78">
        <w:t>导光管</w:t>
      </w:r>
      <w:r w:rsidRPr="00913C78">
        <w:rPr>
          <w:rFonts w:hint="eastAsia"/>
        </w:rPr>
        <w:t>等</w:t>
      </w:r>
      <w:r w:rsidRPr="00913C78">
        <w:t>）。</w:t>
      </w:r>
      <w:r w:rsidRPr="00913C78">
        <w:rPr>
          <w:rFonts w:hint="eastAsia"/>
        </w:rPr>
        <w:t>应</w:t>
      </w:r>
      <w:r w:rsidRPr="00913C78">
        <w:t>按照实际尺寸或根据已知条件进行设定</w:t>
      </w:r>
      <w:r w:rsidRPr="00913C78">
        <w:rPr>
          <w:rFonts w:hint="eastAsia"/>
        </w:rPr>
        <w:t>。</w:t>
      </w:r>
    </w:p>
    <w:p w14:paraId="4C71C71C"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周边</w:t>
      </w:r>
      <w:r w:rsidRPr="00913C78">
        <w:t>遮挡物的建模范围：目标建筑周边</w:t>
      </w:r>
      <w:r w:rsidRPr="00913C78">
        <w:rPr>
          <w:rFonts w:hint="eastAsia"/>
        </w:rPr>
        <w:t>的</w:t>
      </w:r>
      <w:r w:rsidRPr="00913C78">
        <w:t>现有建筑和构筑物、设计方案已经规划管理部门审定的拟建建筑应作为遮挡物考察范围，当它与目标建筑的室外地坪</w:t>
      </w:r>
      <w:r w:rsidRPr="00913C78">
        <w:rPr>
          <w:rFonts w:hint="eastAsia"/>
        </w:rPr>
        <w:t>15</w:t>
      </w:r>
      <w:r w:rsidRPr="00913C78">
        <w:rPr>
          <w:rFonts w:hint="eastAsia"/>
        </w:rPr>
        <w:t>°线</w:t>
      </w:r>
      <w:r w:rsidRPr="00913C78">
        <w:t>相交时，应予以建模</w:t>
      </w:r>
      <w:r w:rsidRPr="00913C78">
        <w:rPr>
          <w:rFonts w:hint="eastAsia"/>
        </w:rPr>
        <w:t>（如附</w:t>
      </w:r>
      <w:r w:rsidRPr="00913C78">
        <w:t>图</w:t>
      </w:r>
      <w:r w:rsidRPr="00913C78">
        <w:rPr>
          <w:rFonts w:hint="eastAsia"/>
        </w:rPr>
        <w:t>A.3.1</w:t>
      </w:r>
      <w:r w:rsidRPr="00913C78">
        <w:t>所示，周边建筑</w:t>
      </w:r>
      <w:r w:rsidRPr="00913C78">
        <w:rPr>
          <w:rFonts w:hint="eastAsia"/>
        </w:rPr>
        <w:t>1</w:t>
      </w:r>
      <w:r w:rsidRPr="00913C78">
        <w:rPr>
          <w:rFonts w:hint="eastAsia"/>
        </w:rPr>
        <w:t>应</w:t>
      </w:r>
      <w:r w:rsidRPr="00913C78">
        <w:t>建模，周边建筑</w:t>
      </w:r>
      <w:r w:rsidRPr="00913C78">
        <w:rPr>
          <w:rFonts w:hint="eastAsia"/>
        </w:rPr>
        <w:t>2</w:t>
      </w:r>
      <w:r w:rsidRPr="00913C78">
        <w:rPr>
          <w:rFonts w:hint="eastAsia"/>
        </w:rPr>
        <w:t>可不建模）。</w:t>
      </w:r>
      <w:r w:rsidRPr="00913C78">
        <w:t>周围</w:t>
      </w:r>
      <w:r w:rsidRPr="00913C78">
        <w:rPr>
          <w:rFonts w:hint="eastAsia"/>
        </w:rPr>
        <w:t>遮挡物</w:t>
      </w:r>
      <w:r w:rsidRPr="00913C78">
        <w:t>的物理模型可适当简化，以外部主体轮廓为主</w:t>
      </w:r>
      <w:r w:rsidRPr="00913C78">
        <w:rPr>
          <w:rFonts w:hint="eastAsia"/>
        </w:rPr>
        <w:t>。</w:t>
      </w:r>
    </w:p>
    <w:p w14:paraId="43F06519" w14:textId="77777777" w:rsidR="00913C78" w:rsidRPr="00913C78" w:rsidRDefault="00913C78" w:rsidP="00AC08C3">
      <w:pPr>
        <w:ind w:firstLine="420"/>
        <w:jc w:val="center"/>
      </w:pPr>
      <w:r w:rsidRPr="00913C78">
        <w:rPr>
          <w:noProof/>
        </w:rPr>
        <w:drawing>
          <wp:inline distT="0" distB="0" distL="0" distR="0" wp14:anchorId="007CCAA7" wp14:editId="4E770BA9">
            <wp:extent cx="3502660" cy="122364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502660" cy="1223645"/>
                    </a:xfrm>
                    <a:prstGeom prst="rect">
                      <a:avLst/>
                    </a:prstGeom>
                    <a:noFill/>
                    <a:ln>
                      <a:noFill/>
                    </a:ln>
                  </pic:spPr>
                </pic:pic>
              </a:graphicData>
            </a:graphic>
          </wp:inline>
        </w:drawing>
      </w:r>
    </w:p>
    <w:p w14:paraId="78634772" w14:textId="77777777" w:rsidR="00913C78" w:rsidRPr="00AC08C3" w:rsidRDefault="00913C78" w:rsidP="00AC08C3">
      <w:pPr>
        <w:pStyle w:val="ae"/>
        <w:rPr>
          <w:b w:val="0"/>
          <w:bCs/>
        </w:rPr>
      </w:pPr>
      <w:r w:rsidRPr="00AC08C3">
        <w:rPr>
          <w:rFonts w:hint="eastAsia"/>
          <w:b w:val="0"/>
          <w:bCs/>
        </w:rPr>
        <w:t>附图</w:t>
      </w:r>
      <w:r w:rsidRPr="00AC08C3">
        <w:rPr>
          <w:rFonts w:hint="eastAsia"/>
          <w:b w:val="0"/>
          <w:bCs/>
        </w:rPr>
        <w:t xml:space="preserve">A.3.1  </w:t>
      </w:r>
      <w:r w:rsidRPr="00AC08C3">
        <w:rPr>
          <w:rFonts w:hint="eastAsia"/>
          <w:b w:val="0"/>
          <w:bCs/>
        </w:rPr>
        <w:t>建模</w:t>
      </w:r>
    </w:p>
    <w:p w14:paraId="13B8D8AD" w14:textId="77777777" w:rsidR="00913C78" w:rsidRPr="00913C78" w:rsidRDefault="00913C78" w:rsidP="00913C78">
      <w:pPr>
        <w:ind w:firstLine="420"/>
      </w:pPr>
      <w:r w:rsidRPr="00913C78">
        <w:lastRenderedPageBreak/>
        <w:t>3</w:t>
      </w:r>
      <w:r w:rsidRPr="00913C78">
        <w:rPr>
          <w:rFonts w:hint="eastAsia"/>
        </w:rPr>
        <w:t>）</w:t>
      </w:r>
      <w:r w:rsidRPr="00913C78">
        <w:t> </w:t>
      </w:r>
      <w:r w:rsidRPr="00913C78">
        <w:t>公共建筑采光计算应考虑吊顶高度，窗对面遮挡物距窗中心平均高度不小于遮挡物与窗的距离的</w:t>
      </w:r>
      <w:r w:rsidRPr="00913C78">
        <w:t>0.27</w:t>
      </w:r>
      <w:r w:rsidRPr="00913C78">
        <w:t>倍时，应考虑遮挡物对采光计算的影响</w:t>
      </w:r>
      <w:r w:rsidRPr="00913C78">
        <w:rPr>
          <w:rFonts w:hint="eastAsia"/>
        </w:rPr>
        <w:t>。</w:t>
      </w:r>
    </w:p>
    <w:p w14:paraId="355D2CDB" w14:textId="77777777" w:rsidR="00913C78" w:rsidRPr="00913C78" w:rsidRDefault="00913C78" w:rsidP="00913C78">
      <w:pPr>
        <w:ind w:firstLine="420"/>
      </w:pPr>
      <w:r w:rsidRPr="00913C78">
        <w:t>地</w:t>
      </w:r>
      <w:r w:rsidRPr="00913C78">
        <w:rPr>
          <w:rFonts w:hint="eastAsia"/>
        </w:rPr>
        <w:t>下</w:t>
      </w:r>
      <w:r w:rsidRPr="00913C78">
        <w:t>建筑模型应包</w:t>
      </w:r>
      <w:r w:rsidRPr="00913C78">
        <w:rPr>
          <w:rFonts w:hint="eastAsia"/>
        </w:rPr>
        <w:t>括</w:t>
      </w:r>
      <w:r w:rsidRPr="00913C78">
        <w:t>：</w:t>
      </w:r>
      <w:r w:rsidRPr="00913C78">
        <w:rPr>
          <w:rFonts w:hint="eastAsia"/>
        </w:rPr>
        <w:t>地下</w:t>
      </w:r>
      <w:r w:rsidRPr="00913C78">
        <w:t>空间中各个功能房间，影响地下采光的主要地上建筑物，地下空间</w:t>
      </w:r>
      <w:r w:rsidRPr="00913C78">
        <w:rPr>
          <w:rFonts w:hint="eastAsia"/>
        </w:rPr>
        <w:t>上</w:t>
      </w:r>
      <w:r w:rsidRPr="00913C78">
        <w:t>的覆土</w:t>
      </w:r>
      <w:r w:rsidRPr="00913C78">
        <w:rPr>
          <w:rFonts w:hint="eastAsia"/>
        </w:rPr>
        <w:t>和</w:t>
      </w:r>
      <w:r w:rsidRPr="00913C78">
        <w:t>其他特殊采光构件（</w:t>
      </w:r>
      <w:r w:rsidRPr="00913C78">
        <w:rPr>
          <w:rFonts w:hint="eastAsia"/>
        </w:rPr>
        <w:t>如</w:t>
      </w:r>
      <w:r w:rsidRPr="00913C78">
        <w:t>导光管</w:t>
      </w:r>
      <w:r w:rsidRPr="00913C78">
        <w:rPr>
          <w:rFonts w:hint="eastAsia"/>
        </w:rPr>
        <w:t>等</w:t>
      </w:r>
      <w:r w:rsidRPr="00913C78">
        <w:t>）。</w:t>
      </w:r>
    </w:p>
    <w:p w14:paraId="528E9663" w14:textId="77777777" w:rsidR="00913C78" w:rsidRPr="00913C78" w:rsidRDefault="00913C78" w:rsidP="00913C78">
      <w:pPr>
        <w:ind w:firstLine="420"/>
      </w:pPr>
      <w:r w:rsidRPr="00913C78">
        <w:rPr>
          <w:rFonts w:hint="eastAsia"/>
        </w:rPr>
        <w:t>（</w:t>
      </w:r>
      <w:r w:rsidRPr="00913C78">
        <w:t>2</w:t>
      </w:r>
      <w:r w:rsidRPr="00913C78">
        <w:rPr>
          <w:rFonts w:hint="eastAsia"/>
        </w:rPr>
        <w:t>）</w:t>
      </w:r>
      <w:r w:rsidRPr="00913C78">
        <w:t> </w:t>
      </w:r>
      <w:r w:rsidRPr="00913C78">
        <w:rPr>
          <w:rFonts w:hint="eastAsia"/>
        </w:rPr>
        <w:t>计算区域</w:t>
      </w:r>
    </w:p>
    <w:p w14:paraId="432C4315" w14:textId="77777777" w:rsidR="00913C78" w:rsidRPr="00913C78" w:rsidRDefault="00913C78" w:rsidP="00913C78">
      <w:pPr>
        <w:ind w:firstLine="420"/>
      </w:pPr>
      <w:r w:rsidRPr="00913C78">
        <w:rPr>
          <w:rFonts w:hint="eastAsia"/>
        </w:rPr>
        <w:t>除了附属空间或避难所，</w:t>
      </w:r>
      <w:r w:rsidRPr="00913C78">
        <w:t>其他</w:t>
      </w:r>
      <w:r w:rsidRPr="00913C78">
        <w:rPr>
          <w:rFonts w:hint="eastAsia"/>
        </w:rPr>
        <w:t>所有的住区或功能区都应当被考虑。</w:t>
      </w:r>
    </w:p>
    <w:p w14:paraId="141664C8" w14:textId="77777777" w:rsidR="00913C78" w:rsidRPr="00913C78" w:rsidRDefault="00913C78" w:rsidP="00913C78">
      <w:pPr>
        <w:ind w:firstLine="420"/>
      </w:pPr>
      <w:r w:rsidRPr="00913C78">
        <w:rPr>
          <w:rFonts w:hint="eastAsia"/>
        </w:rPr>
        <w:t>（</w:t>
      </w:r>
      <w:r w:rsidRPr="00913C78">
        <w:t>3</w:t>
      </w:r>
      <w:r w:rsidRPr="00913C78">
        <w:rPr>
          <w:rFonts w:hint="eastAsia"/>
        </w:rPr>
        <w:t>）</w:t>
      </w:r>
      <w:r w:rsidRPr="00913C78">
        <w:t> </w:t>
      </w:r>
      <w:r w:rsidRPr="00913C78">
        <w:rPr>
          <w:rFonts w:hint="eastAsia"/>
        </w:rPr>
        <w:t>网格</w:t>
      </w:r>
      <w:r w:rsidRPr="00913C78">
        <w:t>划分</w:t>
      </w:r>
    </w:p>
    <w:p w14:paraId="3A251291" w14:textId="77777777" w:rsidR="00913C78" w:rsidRPr="00913C78" w:rsidRDefault="00913C78" w:rsidP="00913C78">
      <w:pPr>
        <w:ind w:firstLine="420"/>
      </w:pPr>
      <w:r w:rsidRPr="00913C78">
        <w:rPr>
          <w:rFonts w:hint="eastAsia"/>
        </w:rPr>
        <w:t>对采光计算</w:t>
      </w:r>
      <w:r w:rsidRPr="00913C78">
        <w:t>区域划分网格后，用</w:t>
      </w:r>
      <w:r w:rsidRPr="00913C78">
        <w:rPr>
          <w:rFonts w:hint="eastAsia"/>
        </w:rPr>
        <w:t>各</w:t>
      </w:r>
      <w:r w:rsidRPr="00913C78">
        <w:t>网格点的采光系数的算术平均值作为房间</w:t>
      </w:r>
      <w:r w:rsidRPr="00913C78">
        <w:rPr>
          <w:rFonts w:hint="eastAsia"/>
        </w:rPr>
        <w:t>的</w:t>
      </w:r>
      <w:r w:rsidRPr="00913C78">
        <w:t>平均</w:t>
      </w:r>
      <w:r w:rsidRPr="00913C78">
        <w:rPr>
          <w:rFonts w:hint="eastAsia"/>
        </w:rPr>
        <w:t>采光系数</w:t>
      </w:r>
      <w:r w:rsidRPr="00913C78">
        <w:t>，网格划分应满足以下要求</w:t>
      </w:r>
      <w:r w:rsidRPr="00913C78">
        <w:rPr>
          <w:rFonts w:hint="eastAsia"/>
        </w:rPr>
        <w:t>：</w:t>
      </w:r>
    </w:p>
    <w:p w14:paraId="3B460A36" w14:textId="77777777" w:rsidR="00913C78" w:rsidRPr="00913C78" w:rsidRDefault="00913C78" w:rsidP="00913C78">
      <w:pPr>
        <w:ind w:firstLine="420"/>
      </w:pPr>
      <w:r w:rsidRPr="00913C78">
        <w:rPr>
          <w:rFonts w:hint="eastAsia"/>
        </w:rPr>
        <w:t>对于</w:t>
      </w:r>
      <w:r w:rsidRPr="00913C78">
        <w:t>常见的</w:t>
      </w:r>
      <w:r w:rsidRPr="00913C78">
        <w:rPr>
          <w:rFonts w:hint="eastAsia"/>
        </w:rPr>
        <w:t>10</w:t>
      </w:r>
      <w:r w:rsidRPr="00913C78">
        <w:t>～</w:t>
      </w:r>
      <w:r w:rsidRPr="00913C78">
        <w:t>100</w:t>
      </w:r>
      <w:r w:rsidRPr="00913C78">
        <w:rPr>
          <w:rFonts w:hint="eastAsia"/>
        </w:rPr>
        <w:t>m</w:t>
      </w:r>
      <w:r w:rsidRPr="00F83296">
        <w:rPr>
          <w:vertAlign w:val="superscript"/>
        </w:rPr>
        <w:t>2</w:t>
      </w:r>
      <w:r w:rsidRPr="00913C78">
        <w:t>的房间，网格间距</w:t>
      </w:r>
      <w:r w:rsidRPr="00913C78">
        <w:rPr>
          <w:rFonts w:hint="eastAsia"/>
        </w:rPr>
        <w:t>取</w:t>
      </w:r>
      <w:r w:rsidRPr="00913C78">
        <w:rPr>
          <w:rFonts w:hint="eastAsia"/>
        </w:rPr>
        <w:t>0.5</w:t>
      </w:r>
      <w:r w:rsidRPr="00913C78">
        <w:t>m</w:t>
      </w:r>
      <w:r w:rsidRPr="00913C78">
        <w:rPr>
          <w:rFonts w:hint="eastAsia"/>
        </w:rPr>
        <w:t>；对于</w:t>
      </w:r>
      <w:r w:rsidRPr="00913C78">
        <w:t>大于</w:t>
      </w:r>
      <w:r w:rsidRPr="00913C78">
        <w:rPr>
          <w:rFonts w:hint="eastAsia"/>
        </w:rPr>
        <w:t>100m</w:t>
      </w:r>
      <w:r w:rsidRPr="00F83296">
        <w:rPr>
          <w:vertAlign w:val="superscript"/>
        </w:rPr>
        <w:t>2</w:t>
      </w:r>
      <w:r w:rsidRPr="00913C78">
        <w:t>的大空间，网格间距</w:t>
      </w:r>
      <w:r w:rsidRPr="00913C78">
        <w:rPr>
          <w:rFonts w:hint="eastAsia"/>
        </w:rPr>
        <w:t>取</w:t>
      </w:r>
      <w:r w:rsidRPr="00913C78">
        <w:rPr>
          <w:rFonts w:hint="eastAsia"/>
        </w:rPr>
        <w:t>1.0</w:t>
      </w:r>
      <w:r w:rsidRPr="00913C78">
        <w:t>m</w:t>
      </w:r>
      <w:r w:rsidRPr="00913C78">
        <w:t>；对于小于</w:t>
      </w:r>
      <w:r w:rsidRPr="00913C78">
        <w:rPr>
          <w:rFonts w:hint="eastAsia"/>
        </w:rPr>
        <w:t>10m</w:t>
      </w:r>
      <w:r w:rsidRPr="00F83296">
        <w:rPr>
          <w:vertAlign w:val="superscript"/>
        </w:rPr>
        <w:t>2</w:t>
      </w:r>
      <w:r w:rsidRPr="00913C78">
        <w:t>的小房间，网格间距</w:t>
      </w:r>
      <w:r w:rsidRPr="00913C78">
        <w:rPr>
          <w:rFonts w:hint="eastAsia"/>
        </w:rPr>
        <w:t>取</w:t>
      </w:r>
      <w:r w:rsidRPr="00913C78">
        <w:rPr>
          <w:rFonts w:hint="eastAsia"/>
        </w:rPr>
        <w:t>0.25</w:t>
      </w:r>
      <w:r w:rsidRPr="00913C78">
        <w:t>m</w:t>
      </w:r>
      <w:r w:rsidRPr="00913C78">
        <w:t>。除此之外</w:t>
      </w:r>
      <w:r w:rsidRPr="00913C78">
        <w:rPr>
          <w:rFonts w:hint="eastAsia"/>
        </w:rPr>
        <w:t>，</w:t>
      </w:r>
      <w:r w:rsidRPr="00913C78">
        <w:t>还需满足网格最小间距小于窗洞尺寸、外窗</w:t>
      </w:r>
      <w:r w:rsidRPr="00913C78">
        <w:rPr>
          <w:rFonts w:hint="eastAsia"/>
        </w:rPr>
        <w:t>遮阳</w:t>
      </w:r>
      <w:r w:rsidRPr="00913C78">
        <w:t>构件后遮蔽物</w:t>
      </w:r>
      <w:r w:rsidRPr="00913C78">
        <w:rPr>
          <w:rFonts w:hint="eastAsia"/>
        </w:rPr>
        <w:t>的</w:t>
      </w:r>
      <w:r w:rsidRPr="00913C78">
        <w:t>尺寸。</w:t>
      </w:r>
    </w:p>
    <w:p w14:paraId="090282AD" w14:textId="77777777" w:rsidR="00913C78" w:rsidRPr="00913C78" w:rsidRDefault="00913C78" w:rsidP="00913C78">
      <w:pPr>
        <w:ind w:firstLine="420"/>
      </w:pPr>
      <w:bookmarkStart w:id="287" w:name="_Toc475359862"/>
      <w:r w:rsidRPr="00913C78">
        <w:rPr>
          <w:rFonts w:hint="eastAsia"/>
        </w:rPr>
        <w:t>◎</w:t>
      </w:r>
      <w:r w:rsidRPr="00913C78">
        <w:t xml:space="preserve"> </w:t>
      </w:r>
      <w:r w:rsidRPr="00913C78">
        <w:rPr>
          <w:rFonts w:hint="eastAsia"/>
        </w:rPr>
        <w:t>边界条件</w:t>
      </w:r>
      <w:bookmarkEnd w:id="287"/>
    </w:p>
    <w:p w14:paraId="405BDE25" w14:textId="77777777" w:rsidR="00913C78" w:rsidRPr="00913C78" w:rsidRDefault="00913C78" w:rsidP="00913C78">
      <w:pPr>
        <w:ind w:firstLine="420"/>
      </w:pPr>
      <w:r w:rsidRPr="00913C78">
        <w:rPr>
          <w:rFonts w:hint="eastAsia"/>
        </w:rPr>
        <w:t>数值分析</w:t>
      </w:r>
      <w:r w:rsidRPr="00913C78">
        <w:t>报告</w:t>
      </w:r>
      <w:r w:rsidRPr="00913C78">
        <w:rPr>
          <w:rFonts w:hint="eastAsia"/>
        </w:rPr>
        <w:t>边界</w:t>
      </w:r>
      <w:r w:rsidRPr="00913C78">
        <w:t>条件应</w:t>
      </w:r>
      <w:r w:rsidRPr="00913C78">
        <w:rPr>
          <w:rFonts w:hint="eastAsia"/>
        </w:rPr>
        <w:t>包括但</w:t>
      </w:r>
      <w:r w:rsidRPr="00913C78">
        <w:t>不限于</w:t>
      </w:r>
      <w:r w:rsidRPr="00913C78">
        <w:rPr>
          <w:rFonts w:hint="eastAsia"/>
        </w:rPr>
        <w:t>：</w:t>
      </w:r>
      <w:r w:rsidRPr="00913C78">
        <w:t>边界条件、初始设置条件</w:t>
      </w:r>
      <w:r w:rsidRPr="00913C78">
        <w:rPr>
          <w:rFonts w:hint="eastAsia"/>
        </w:rPr>
        <w:t>、光热参数值及</w:t>
      </w:r>
      <w:r w:rsidRPr="00913C78">
        <w:t>其他控制参数的</w:t>
      </w:r>
      <w:r w:rsidRPr="00913C78">
        <w:rPr>
          <w:rFonts w:hint="eastAsia"/>
        </w:rPr>
        <w:t>设定方法</w:t>
      </w:r>
      <w:r w:rsidRPr="00913C78">
        <w:t>和计算精度说明</w:t>
      </w:r>
      <w:r w:rsidRPr="00913C78">
        <w:rPr>
          <w:rFonts w:hint="eastAsia"/>
        </w:rPr>
        <w:t>。</w:t>
      </w:r>
    </w:p>
    <w:p w14:paraId="1F660D3B" w14:textId="77777777" w:rsidR="00913C78" w:rsidRPr="00913C78" w:rsidRDefault="00913C78" w:rsidP="00913C78">
      <w:pPr>
        <w:ind w:firstLine="420"/>
      </w:pPr>
      <w:r w:rsidRPr="00913C78">
        <w:rPr>
          <w:rFonts w:hint="eastAsia"/>
        </w:rPr>
        <w:t>边界</w:t>
      </w:r>
      <w:r w:rsidRPr="00913C78">
        <w:t>条件</w:t>
      </w:r>
      <w:r w:rsidRPr="00913C78">
        <w:rPr>
          <w:rFonts w:hint="eastAsia"/>
        </w:rPr>
        <w:t>要求</w:t>
      </w:r>
      <w:r w:rsidRPr="00913C78">
        <w:t>：</w:t>
      </w:r>
    </w:p>
    <w:p w14:paraId="29165778"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光气候区的室外天然采光设计照度值应按《建筑采光设计标准》（</w:t>
      </w:r>
      <w:r w:rsidRPr="00913C78">
        <w:rPr>
          <w:rFonts w:hint="eastAsia"/>
        </w:rPr>
        <w:t>GB</w:t>
      </w:r>
      <w:r w:rsidRPr="00913C78">
        <w:t> </w:t>
      </w:r>
      <w:r w:rsidRPr="00913C78">
        <w:rPr>
          <w:rFonts w:hint="eastAsia"/>
        </w:rPr>
        <w:t>50033</w:t>
      </w:r>
      <w:r w:rsidRPr="00913C78">
        <w:t> </w:t>
      </w:r>
      <w:r w:rsidRPr="00913C78">
        <w:rPr>
          <w:rFonts w:hint="eastAsia"/>
        </w:rPr>
        <w:t>—</w:t>
      </w:r>
      <w:r w:rsidRPr="00913C78">
        <w:rPr>
          <w:rFonts w:hint="eastAsia"/>
        </w:rPr>
        <w:t>2013</w:t>
      </w:r>
      <w:r w:rsidRPr="00913C78">
        <w:rPr>
          <w:rFonts w:hint="eastAsia"/>
        </w:rPr>
        <w:t>）确定。重庆地区的采光系数标准值应乘以光气候系数</w:t>
      </w:r>
      <w:r w:rsidRPr="00913C78">
        <w:rPr>
          <w:rFonts w:hint="eastAsia"/>
        </w:rPr>
        <w:t>K</w:t>
      </w:r>
      <w:r w:rsidRPr="00913C78">
        <w:t>=1.20</w:t>
      </w:r>
      <w:r w:rsidRPr="00913C78">
        <w:rPr>
          <w:rFonts w:hint="eastAsia"/>
        </w:rPr>
        <w:t>。</w:t>
      </w:r>
    </w:p>
    <w:p w14:paraId="59265190"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室内各表面的反射比应参考附</w:t>
      </w:r>
      <w:r w:rsidRPr="00913C78">
        <w:t>表</w:t>
      </w:r>
      <w:r w:rsidRPr="00913C78">
        <w:rPr>
          <w:rFonts w:hint="eastAsia"/>
        </w:rPr>
        <w:t>A.3.1</w:t>
      </w:r>
      <w:r w:rsidRPr="00913C78">
        <w:rPr>
          <w:rFonts w:hint="eastAsia"/>
        </w:rPr>
        <w:t>确定。</w:t>
      </w:r>
    </w:p>
    <w:p w14:paraId="2E13D948" w14:textId="77777777" w:rsidR="00913C78" w:rsidRPr="00913C78" w:rsidRDefault="00913C78" w:rsidP="00AC08C3">
      <w:pPr>
        <w:pStyle w:val="ae"/>
      </w:pPr>
      <w:r w:rsidRPr="00913C78">
        <w:rPr>
          <w:rFonts w:hint="eastAsia"/>
        </w:rPr>
        <w:t>附表</w:t>
      </w:r>
      <w:r w:rsidRPr="00913C78">
        <w:rPr>
          <w:rFonts w:hint="eastAsia"/>
        </w:rPr>
        <w:t xml:space="preserve">A.3.1 </w:t>
      </w:r>
      <w:r w:rsidRPr="00913C78">
        <w:t xml:space="preserve"> </w:t>
      </w:r>
      <w:r w:rsidRPr="00913C78">
        <w:rPr>
          <w:rFonts w:hint="eastAsia"/>
        </w:rPr>
        <w:t>室内各表面的反射比</w:t>
      </w:r>
    </w:p>
    <w:tbl>
      <w:tblPr>
        <w:tblW w:w="7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28" w:type="dxa"/>
        </w:tblCellMar>
        <w:tblLook w:val="04A0" w:firstRow="1" w:lastRow="0" w:firstColumn="1" w:lastColumn="0" w:noHBand="0" w:noVBand="1"/>
      </w:tblPr>
      <w:tblGrid>
        <w:gridCol w:w="3673"/>
        <w:gridCol w:w="3698"/>
      </w:tblGrid>
      <w:tr w:rsidR="00913C78" w:rsidRPr="00AC08C3" w14:paraId="6278264A" w14:textId="77777777" w:rsidTr="00E731D0">
        <w:tc>
          <w:tcPr>
            <w:tcW w:w="4264" w:type="dxa"/>
            <w:shd w:val="clear" w:color="auto" w:fill="auto"/>
            <w:vAlign w:val="center"/>
          </w:tcPr>
          <w:p w14:paraId="4A835C13" w14:textId="77777777" w:rsidR="00913C78" w:rsidRPr="00AC08C3" w:rsidRDefault="00913C78" w:rsidP="00AC08C3">
            <w:pPr>
              <w:pStyle w:val="ae"/>
              <w:rPr>
                <w:b w:val="0"/>
                <w:bCs/>
              </w:rPr>
            </w:pPr>
            <w:r w:rsidRPr="00AC08C3">
              <w:rPr>
                <w:rFonts w:hint="eastAsia"/>
                <w:b w:val="0"/>
                <w:bCs/>
              </w:rPr>
              <w:t>表面名称</w:t>
            </w:r>
          </w:p>
        </w:tc>
        <w:tc>
          <w:tcPr>
            <w:tcW w:w="4264" w:type="dxa"/>
            <w:shd w:val="clear" w:color="auto" w:fill="auto"/>
            <w:vAlign w:val="center"/>
          </w:tcPr>
          <w:p w14:paraId="2C70123B" w14:textId="77777777" w:rsidR="00913C78" w:rsidRPr="00AC08C3" w:rsidRDefault="00913C78" w:rsidP="00AC08C3">
            <w:pPr>
              <w:pStyle w:val="ae"/>
              <w:rPr>
                <w:b w:val="0"/>
                <w:bCs/>
              </w:rPr>
            </w:pPr>
            <w:r w:rsidRPr="00AC08C3">
              <w:rPr>
                <w:rFonts w:hint="eastAsia"/>
                <w:b w:val="0"/>
                <w:bCs/>
              </w:rPr>
              <w:t>反射比</w:t>
            </w:r>
          </w:p>
        </w:tc>
      </w:tr>
      <w:tr w:rsidR="00913C78" w:rsidRPr="00AC08C3" w14:paraId="380F5B32" w14:textId="77777777" w:rsidTr="00E731D0">
        <w:tc>
          <w:tcPr>
            <w:tcW w:w="4264" w:type="dxa"/>
            <w:shd w:val="clear" w:color="auto" w:fill="auto"/>
            <w:vAlign w:val="center"/>
          </w:tcPr>
          <w:p w14:paraId="3661E250" w14:textId="77777777" w:rsidR="00913C78" w:rsidRPr="00AC08C3" w:rsidRDefault="00913C78" w:rsidP="00AC08C3">
            <w:pPr>
              <w:pStyle w:val="ae"/>
              <w:rPr>
                <w:b w:val="0"/>
                <w:bCs/>
              </w:rPr>
            </w:pPr>
            <w:r w:rsidRPr="00AC08C3">
              <w:rPr>
                <w:rFonts w:hint="eastAsia"/>
                <w:b w:val="0"/>
                <w:bCs/>
              </w:rPr>
              <w:t>顶棚</w:t>
            </w:r>
          </w:p>
        </w:tc>
        <w:tc>
          <w:tcPr>
            <w:tcW w:w="4264" w:type="dxa"/>
            <w:shd w:val="clear" w:color="auto" w:fill="auto"/>
            <w:vAlign w:val="center"/>
          </w:tcPr>
          <w:p w14:paraId="6433F372" w14:textId="77777777" w:rsidR="00913C78" w:rsidRPr="00AC08C3" w:rsidRDefault="00913C78" w:rsidP="00AC08C3">
            <w:pPr>
              <w:pStyle w:val="ae"/>
              <w:rPr>
                <w:b w:val="0"/>
                <w:bCs/>
              </w:rPr>
            </w:pPr>
            <w:r w:rsidRPr="00AC08C3">
              <w:rPr>
                <w:rFonts w:hint="eastAsia"/>
                <w:b w:val="0"/>
                <w:bCs/>
              </w:rPr>
              <w:t>0.60</w:t>
            </w:r>
            <w:r w:rsidRPr="00AC08C3">
              <w:rPr>
                <w:rFonts w:hint="eastAsia"/>
                <w:b w:val="0"/>
                <w:bCs/>
              </w:rPr>
              <w:t>～</w:t>
            </w:r>
            <w:r w:rsidRPr="00AC08C3">
              <w:rPr>
                <w:rFonts w:hint="eastAsia"/>
                <w:b w:val="0"/>
                <w:bCs/>
              </w:rPr>
              <w:t>0.90</w:t>
            </w:r>
          </w:p>
        </w:tc>
      </w:tr>
      <w:tr w:rsidR="00913C78" w:rsidRPr="00AC08C3" w14:paraId="6E6586D5" w14:textId="77777777" w:rsidTr="00E731D0">
        <w:tc>
          <w:tcPr>
            <w:tcW w:w="4264" w:type="dxa"/>
            <w:shd w:val="clear" w:color="auto" w:fill="auto"/>
            <w:vAlign w:val="center"/>
          </w:tcPr>
          <w:p w14:paraId="402A4D87" w14:textId="77777777" w:rsidR="00913C78" w:rsidRPr="00AC08C3" w:rsidRDefault="00913C78" w:rsidP="00AC08C3">
            <w:pPr>
              <w:pStyle w:val="ae"/>
              <w:rPr>
                <w:b w:val="0"/>
                <w:bCs/>
              </w:rPr>
            </w:pPr>
            <w:r w:rsidRPr="00AC08C3">
              <w:rPr>
                <w:rFonts w:hint="eastAsia"/>
                <w:b w:val="0"/>
                <w:bCs/>
              </w:rPr>
              <w:t>墙面</w:t>
            </w:r>
          </w:p>
        </w:tc>
        <w:tc>
          <w:tcPr>
            <w:tcW w:w="4264" w:type="dxa"/>
            <w:shd w:val="clear" w:color="auto" w:fill="auto"/>
            <w:vAlign w:val="center"/>
          </w:tcPr>
          <w:p w14:paraId="31ED0F02" w14:textId="77777777" w:rsidR="00913C78" w:rsidRPr="00AC08C3" w:rsidRDefault="00913C78" w:rsidP="00AC08C3">
            <w:pPr>
              <w:pStyle w:val="ae"/>
              <w:rPr>
                <w:b w:val="0"/>
                <w:bCs/>
              </w:rPr>
            </w:pPr>
            <w:r w:rsidRPr="00AC08C3">
              <w:rPr>
                <w:rFonts w:hint="eastAsia"/>
                <w:b w:val="0"/>
                <w:bCs/>
              </w:rPr>
              <w:t>0.30</w:t>
            </w:r>
            <w:r w:rsidRPr="00AC08C3">
              <w:rPr>
                <w:rFonts w:hint="eastAsia"/>
                <w:b w:val="0"/>
                <w:bCs/>
              </w:rPr>
              <w:t>～</w:t>
            </w:r>
            <w:r w:rsidRPr="00AC08C3">
              <w:rPr>
                <w:rFonts w:hint="eastAsia"/>
                <w:b w:val="0"/>
                <w:bCs/>
              </w:rPr>
              <w:t>0.80</w:t>
            </w:r>
          </w:p>
        </w:tc>
      </w:tr>
      <w:tr w:rsidR="00913C78" w:rsidRPr="00AC08C3" w14:paraId="041F30BF" w14:textId="77777777" w:rsidTr="00E731D0">
        <w:tc>
          <w:tcPr>
            <w:tcW w:w="4264" w:type="dxa"/>
            <w:shd w:val="clear" w:color="auto" w:fill="auto"/>
            <w:vAlign w:val="center"/>
          </w:tcPr>
          <w:p w14:paraId="47F281AE" w14:textId="77777777" w:rsidR="00913C78" w:rsidRPr="00AC08C3" w:rsidRDefault="00913C78" w:rsidP="00AC08C3">
            <w:pPr>
              <w:pStyle w:val="ae"/>
              <w:rPr>
                <w:b w:val="0"/>
                <w:bCs/>
              </w:rPr>
            </w:pPr>
            <w:r w:rsidRPr="00AC08C3">
              <w:rPr>
                <w:rFonts w:hint="eastAsia"/>
                <w:b w:val="0"/>
                <w:bCs/>
              </w:rPr>
              <w:t>地面</w:t>
            </w:r>
          </w:p>
        </w:tc>
        <w:tc>
          <w:tcPr>
            <w:tcW w:w="4264" w:type="dxa"/>
            <w:shd w:val="clear" w:color="auto" w:fill="auto"/>
            <w:vAlign w:val="center"/>
          </w:tcPr>
          <w:p w14:paraId="3D65C40E" w14:textId="77777777" w:rsidR="00913C78" w:rsidRPr="00AC08C3" w:rsidRDefault="00913C78" w:rsidP="00AC08C3">
            <w:pPr>
              <w:pStyle w:val="ae"/>
              <w:rPr>
                <w:b w:val="0"/>
                <w:bCs/>
              </w:rPr>
            </w:pPr>
            <w:r w:rsidRPr="00AC08C3">
              <w:rPr>
                <w:rFonts w:hint="eastAsia"/>
                <w:b w:val="0"/>
                <w:bCs/>
              </w:rPr>
              <w:t>0.10</w:t>
            </w:r>
            <w:r w:rsidRPr="00AC08C3">
              <w:rPr>
                <w:rFonts w:hint="eastAsia"/>
                <w:b w:val="0"/>
                <w:bCs/>
              </w:rPr>
              <w:t>～</w:t>
            </w:r>
            <w:r w:rsidRPr="00AC08C3">
              <w:rPr>
                <w:rFonts w:hint="eastAsia"/>
                <w:b w:val="0"/>
                <w:bCs/>
              </w:rPr>
              <w:t>0.50</w:t>
            </w:r>
          </w:p>
        </w:tc>
      </w:tr>
      <w:tr w:rsidR="00913C78" w:rsidRPr="00AC08C3" w14:paraId="229630CB" w14:textId="77777777" w:rsidTr="00E731D0">
        <w:tc>
          <w:tcPr>
            <w:tcW w:w="4264" w:type="dxa"/>
            <w:shd w:val="clear" w:color="auto" w:fill="auto"/>
            <w:vAlign w:val="center"/>
          </w:tcPr>
          <w:p w14:paraId="3B9DB2D4" w14:textId="77777777" w:rsidR="00913C78" w:rsidRPr="00AC08C3" w:rsidRDefault="00913C78" w:rsidP="00AC08C3">
            <w:pPr>
              <w:pStyle w:val="ae"/>
              <w:rPr>
                <w:b w:val="0"/>
                <w:bCs/>
              </w:rPr>
            </w:pPr>
            <w:r w:rsidRPr="00AC08C3">
              <w:rPr>
                <w:rFonts w:hint="eastAsia"/>
                <w:b w:val="0"/>
                <w:bCs/>
              </w:rPr>
              <w:t>桌面、工作台面、设备表面</w:t>
            </w:r>
          </w:p>
        </w:tc>
        <w:tc>
          <w:tcPr>
            <w:tcW w:w="4264" w:type="dxa"/>
            <w:shd w:val="clear" w:color="auto" w:fill="auto"/>
            <w:vAlign w:val="center"/>
          </w:tcPr>
          <w:p w14:paraId="2BE245A2" w14:textId="77777777" w:rsidR="00913C78" w:rsidRPr="00AC08C3" w:rsidRDefault="00913C78" w:rsidP="00AC08C3">
            <w:pPr>
              <w:pStyle w:val="ae"/>
              <w:rPr>
                <w:b w:val="0"/>
                <w:bCs/>
              </w:rPr>
            </w:pPr>
            <w:r w:rsidRPr="00AC08C3">
              <w:rPr>
                <w:rFonts w:hint="eastAsia"/>
                <w:b w:val="0"/>
                <w:bCs/>
              </w:rPr>
              <w:t>0.20</w:t>
            </w:r>
            <w:r w:rsidRPr="00AC08C3">
              <w:rPr>
                <w:rFonts w:hint="eastAsia"/>
                <w:b w:val="0"/>
                <w:bCs/>
              </w:rPr>
              <w:t>～</w:t>
            </w:r>
            <w:r w:rsidRPr="00AC08C3">
              <w:rPr>
                <w:rFonts w:hint="eastAsia"/>
                <w:b w:val="0"/>
                <w:bCs/>
              </w:rPr>
              <w:t>0.60</w:t>
            </w:r>
          </w:p>
        </w:tc>
      </w:tr>
    </w:tbl>
    <w:p w14:paraId="76DAA686" w14:textId="77777777" w:rsidR="00913C78" w:rsidRPr="00913C78" w:rsidRDefault="00913C78" w:rsidP="00913C78">
      <w:pPr>
        <w:ind w:firstLine="420"/>
      </w:pPr>
    </w:p>
    <w:p w14:paraId="3D334729"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建筑玻璃的光热参数值、</w:t>
      </w:r>
      <w:r w:rsidRPr="00913C78">
        <w:t>透明（透光）材料的光热参数值</w:t>
      </w:r>
      <w:r w:rsidRPr="00913C78">
        <w:rPr>
          <w:rFonts w:hint="eastAsia"/>
        </w:rPr>
        <w:t>、</w:t>
      </w:r>
      <w:r w:rsidRPr="00913C78">
        <w:t>常用反射膜材料的反射比</w:t>
      </w:r>
      <w:r w:rsidRPr="00913C78">
        <w:rPr>
          <w:rFonts w:hint="eastAsia"/>
        </w:rPr>
        <w:t>、导光管系统的光热性能参数、饰面材料的反射比、窗结构的挡光折减系数、窗玻璃的污染折减系数、室内构件的挡光折减系数、井壁的挡光折减系数、采光罩的距高比应参考《建</w:t>
      </w:r>
      <w:r w:rsidRPr="00913C78">
        <w:rPr>
          <w:rFonts w:hint="eastAsia"/>
        </w:rPr>
        <w:lastRenderedPageBreak/>
        <w:t>筑采光设计标准》（</w:t>
      </w:r>
      <w:r w:rsidRPr="00913C78">
        <w:t>GB 50033</w:t>
      </w:r>
      <w:r w:rsidRPr="00913C78">
        <w:rPr>
          <w:rFonts w:hint="eastAsia"/>
        </w:rPr>
        <w:t>—</w:t>
      </w:r>
      <w:r w:rsidRPr="00913C78">
        <w:rPr>
          <w:rFonts w:hint="eastAsia"/>
        </w:rPr>
        <w:t>2013</w:t>
      </w:r>
      <w:r w:rsidRPr="00913C78">
        <w:rPr>
          <w:rFonts w:hint="eastAsia"/>
        </w:rPr>
        <w:t>）附录</w:t>
      </w:r>
      <w:r w:rsidRPr="00913C78">
        <w:rPr>
          <w:rFonts w:hint="eastAsia"/>
        </w:rPr>
        <w:t>D</w:t>
      </w:r>
      <w:r w:rsidRPr="00913C78">
        <w:rPr>
          <w:rFonts w:hint="eastAsia"/>
        </w:rPr>
        <w:t>表</w:t>
      </w:r>
      <w:r w:rsidRPr="00913C78">
        <w:rPr>
          <w:rFonts w:hint="eastAsia"/>
        </w:rPr>
        <w:t>D.</w:t>
      </w:r>
      <w:r w:rsidRPr="00913C78">
        <w:t>0.1</w:t>
      </w:r>
      <w:r w:rsidRPr="00913C78">
        <w:t>～</w:t>
      </w:r>
      <w:r w:rsidRPr="00913C78">
        <w:t>D.0.10</w:t>
      </w:r>
      <w:r w:rsidRPr="00913C78">
        <w:rPr>
          <w:rFonts w:hint="eastAsia"/>
        </w:rPr>
        <w:t>选取。</w:t>
      </w:r>
    </w:p>
    <w:p w14:paraId="733DB9B2"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计算建筑全部利用天然光时数</w:t>
      </w:r>
      <w:r w:rsidRPr="00913C78">
        <w:rPr>
          <w:rFonts w:hint="eastAsia"/>
        </w:rPr>
        <w:t>t</w:t>
      </w:r>
      <w:r w:rsidRPr="00913C78">
        <w:t>D</w:t>
      </w:r>
      <w:r w:rsidRPr="00913C78">
        <w:rPr>
          <w:rFonts w:hint="eastAsia"/>
        </w:rPr>
        <w:t>时应</w:t>
      </w:r>
      <w:r w:rsidRPr="00913C78">
        <w:t>符合</w:t>
      </w:r>
      <w:r w:rsidRPr="00913C78">
        <w:rPr>
          <w:rFonts w:hint="eastAsia"/>
        </w:rPr>
        <w:t>附表</w:t>
      </w:r>
      <w:r w:rsidRPr="00913C78">
        <w:rPr>
          <w:rFonts w:hint="eastAsia"/>
        </w:rPr>
        <w:t>A.3.2</w:t>
      </w:r>
      <w:r w:rsidRPr="00913C78">
        <w:t>规定</w:t>
      </w:r>
      <w:r w:rsidRPr="00913C78">
        <w:rPr>
          <w:rFonts w:hint="eastAsia"/>
        </w:rPr>
        <w:t>。</w:t>
      </w:r>
    </w:p>
    <w:p w14:paraId="2209DEA6" w14:textId="77777777" w:rsidR="00913C78" w:rsidRPr="00913C78" w:rsidRDefault="00913C78" w:rsidP="00AC08C3">
      <w:pPr>
        <w:pStyle w:val="ae"/>
      </w:pPr>
      <w:r w:rsidRPr="00913C78">
        <w:rPr>
          <w:rFonts w:hint="eastAsia"/>
        </w:rPr>
        <w:t>附表</w:t>
      </w:r>
      <w:r w:rsidRPr="00913C78">
        <w:rPr>
          <w:rFonts w:hint="eastAsia"/>
        </w:rPr>
        <w:t xml:space="preserve">A.3.2 </w:t>
      </w:r>
      <w:r w:rsidRPr="00913C78">
        <w:t xml:space="preserve"> </w:t>
      </w:r>
      <w:r w:rsidRPr="00913C78">
        <w:rPr>
          <w:rFonts w:hint="eastAsia"/>
        </w:rPr>
        <w:t>建筑全部利用天然光时数</w:t>
      </w:r>
      <w:r w:rsidRPr="00913C78">
        <w:rPr>
          <w:rFonts w:hint="eastAsia"/>
        </w:rPr>
        <w:t>tD</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28" w:type="dxa"/>
        </w:tblCellMar>
        <w:tblLook w:val="04A0" w:firstRow="1" w:lastRow="0" w:firstColumn="1" w:lastColumn="0" w:noHBand="0" w:noVBand="1"/>
      </w:tblPr>
      <w:tblGrid>
        <w:gridCol w:w="1286"/>
        <w:gridCol w:w="636"/>
        <w:gridCol w:w="945"/>
        <w:gridCol w:w="944"/>
        <w:gridCol w:w="944"/>
        <w:gridCol w:w="944"/>
        <w:gridCol w:w="944"/>
        <w:gridCol w:w="944"/>
        <w:gridCol w:w="942"/>
      </w:tblGrid>
      <w:tr w:rsidR="00913C78" w:rsidRPr="00AC08C3" w14:paraId="02660F7A" w14:textId="77777777" w:rsidTr="00E731D0">
        <w:trPr>
          <w:jc w:val="center"/>
        </w:trPr>
        <w:tc>
          <w:tcPr>
            <w:tcW w:w="769" w:type="pct"/>
            <w:shd w:val="clear" w:color="auto" w:fill="auto"/>
          </w:tcPr>
          <w:p w14:paraId="6FAF38E1" w14:textId="77777777" w:rsidR="00913C78" w:rsidRPr="00AC08C3" w:rsidRDefault="00913C78" w:rsidP="00AC08C3">
            <w:pPr>
              <w:pStyle w:val="ae"/>
              <w:rPr>
                <w:b w:val="0"/>
                <w:bCs/>
              </w:rPr>
            </w:pPr>
            <w:r w:rsidRPr="00AC08C3">
              <w:rPr>
                <w:rFonts w:hint="eastAsia"/>
                <w:b w:val="0"/>
                <w:bCs/>
              </w:rPr>
              <w:t>光气候区</w:t>
            </w:r>
          </w:p>
        </w:tc>
        <w:tc>
          <w:tcPr>
            <w:tcW w:w="255" w:type="pct"/>
            <w:shd w:val="clear" w:color="auto" w:fill="auto"/>
          </w:tcPr>
          <w:p w14:paraId="302600E2" w14:textId="77777777" w:rsidR="00913C78" w:rsidRPr="00AC08C3" w:rsidRDefault="00913C78" w:rsidP="00AC08C3">
            <w:pPr>
              <w:pStyle w:val="ae"/>
              <w:rPr>
                <w:b w:val="0"/>
                <w:bCs/>
              </w:rPr>
            </w:pPr>
            <w:r w:rsidRPr="00AC08C3">
              <w:rPr>
                <w:rFonts w:hint="eastAsia"/>
                <w:b w:val="0"/>
                <w:bCs/>
              </w:rPr>
              <w:t>办公</w:t>
            </w:r>
          </w:p>
        </w:tc>
        <w:tc>
          <w:tcPr>
            <w:tcW w:w="569" w:type="pct"/>
            <w:shd w:val="clear" w:color="auto" w:fill="auto"/>
          </w:tcPr>
          <w:p w14:paraId="3CFC9C5E" w14:textId="77777777" w:rsidR="00913C78" w:rsidRPr="00AC08C3" w:rsidRDefault="00913C78" w:rsidP="00AC08C3">
            <w:pPr>
              <w:pStyle w:val="ae"/>
              <w:rPr>
                <w:b w:val="0"/>
                <w:bCs/>
              </w:rPr>
            </w:pPr>
            <w:r w:rsidRPr="00AC08C3">
              <w:rPr>
                <w:rFonts w:hint="eastAsia"/>
                <w:b w:val="0"/>
                <w:bCs/>
              </w:rPr>
              <w:t>学校</w:t>
            </w:r>
          </w:p>
        </w:tc>
        <w:tc>
          <w:tcPr>
            <w:tcW w:w="568" w:type="pct"/>
            <w:shd w:val="clear" w:color="auto" w:fill="auto"/>
          </w:tcPr>
          <w:p w14:paraId="420799D1" w14:textId="77777777" w:rsidR="00913C78" w:rsidRPr="00AC08C3" w:rsidRDefault="00913C78" w:rsidP="00AC08C3">
            <w:pPr>
              <w:pStyle w:val="ae"/>
              <w:rPr>
                <w:b w:val="0"/>
                <w:bCs/>
              </w:rPr>
            </w:pPr>
            <w:r w:rsidRPr="00AC08C3">
              <w:rPr>
                <w:rFonts w:hint="eastAsia"/>
                <w:b w:val="0"/>
                <w:bCs/>
              </w:rPr>
              <w:t>旅馆</w:t>
            </w:r>
          </w:p>
        </w:tc>
        <w:tc>
          <w:tcPr>
            <w:tcW w:w="568" w:type="pct"/>
            <w:shd w:val="clear" w:color="auto" w:fill="auto"/>
          </w:tcPr>
          <w:p w14:paraId="38A4AE55" w14:textId="77777777" w:rsidR="00913C78" w:rsidRPr="00AC08C3" w:rsidRDefault="00913C78" w:rsidP="00AC08C3">
            <w:pPr>
              <w:pStyle w:val="ae"/>
              <w:rPr>
                <w:b w:val="0"/>
                <w:bCs/>
              </w:rPr>
            </w:pPr>
            <w:r w:rsidRPr="00AC08C3">
              <w:rPr>
                <w:rFonts w:hint="eastAsia"/>
                <w:b w:val="0"/>
                <w:bCs/>
              </w:rPr>
              <w:t>医院</w:t>
            </w:r>
          </w:p>
        </w:tc>
        <w:tc>
          <w:tcPr>
            <w:tcW w:w="568" w:type="pct"/>
            <w:shd w:val="clear" w:color="auto" w:fill="auto"/>
          </w:tcPr>
          <w:p w14:paraId="20C0D0B1" w14:textId="77777777" w:rsidR="00913C78" w:rsidRPr="00AC08C3" w:rsidRDefault="00913C78" w:rsidP="00AC08C3">
            <w:pPr>
              <w:pStyle w:val="ae"/>
              <w:rPr>
                <w:b w:val="0"/>
                <w:bCs/>
              </w:rPr>
            </w:pPr>
            <w:r w:rsidRPr="00AC08C3">
              <w:rPr>
                <w:rFonts w:hint="eastAsia"/>
                <w:b w:val="0"/>
                <w:bCs/>
              </w:rPr>
              <w:t>展览</w:t>
            </w:r>
          </w:p>
        </w:tc>
        <w:tc>
          <w:tcPr>
            <w:tcW w:w="568" w:type="pct"/>
            <w:shd w:val="clear" w:color="auto" w:fill="auto"/>
          </w:tcPr>
          <w:p w14:paraId="2012D9AA" w14:textId="77777777" w:rsidR="00913C78" w:rsidRPr="00AC08C3" w:rsidRDefault="00913C78" w:rsidP="00AC08C3">
            <w:pPr>
              <w:pStyle w:val="ae"/>
              <w:rPr>
                <w:b w:val="0"/>
                <w:bCs/>
              </w:rPr>
            </w:pPr>
            <w:r w:rsidRPr="00AC08C3">
              <w:rPr>
                <w:rFonts w:hint="eastAsia"/>
                <w:b w:val="0"/>
                <w:bCs/>
              </w:rPr>
              <w:t>交通</w:t>
            </w:r>
          </w:p>
        </w:tc>
        <w:tc>
          <w:tcPr>
            <w:tcW w:w="568" w:type="pct"/>
            <w:shd w:val="clear" w:color="auto" w:fill="auto"/>
          </w:tcPr>
          <w:p w14:paraId="0E350D8D" w14:textId="77777777" w:rsidR="00913C78" w:rsidRPr="00AC08C3" w:rsidRDefault="00913C78" w:rsidP="00AC08C3">
            <w:pPr>
              <w:pStyle w:val="ae"/>
              <w:rPr>
                <w:b w:val="0"/>
                <w:bCs/>
              </w:rPr>
            </w:pPr>
            <w:r w:rsidRPr="00AC08C3">
              <w:rPr>
                <w:rFonts w:hint="eastAsia"/>
                <w:b w:val="0"/>
                <w:bCs/>
              </w:rPr>
              <w:t>体育</w:t>
            </w:r>
          </w:p>
        </w:tc>
        <w:tc>
          <w:tcPr>
            <w:tcW w:w="568" w:type="pct"/>
            <w:shd w:val="clear" w:color="auto" w:fill="auto"/>
          </w:tcPr>
          <w:p w14:paraId="245595F1" w14:textId="77777777" w:rsidR="00913C78" w:rsidRPr="00AC08C3" w:rsidRDefault="00913C78" w:rsidP="00AC08C3">
            <w:pPr>
              <w:pStyle w:val="ae"/>
              <w:rPr>
                <w:b w:val="0"/>
                <w:bCs/>
              </w:rPr>
            </w:pPr>
            <w:r w:rsidRPr="00AC08C3">
              <w:rPr>
                <w:rFonts w:hint="eastAsia"/>
                <w:b w:val="0"/>
                <w:bCs/>
              </w:rPr>
              <w:t>工业</w:t>
            </w:r>
          </w:p>
        </w:tc>
      </w:tr>
      <w:tr w:rsidR="00913C78" w:rsidRPr="00AC08C3" w14:paraId="03F83785" w14:textId="77777777" w:rsidTr="00E731D0">
        <w:trPr>
          <w:jc w:val="center"/>
        </w:trPr>
        <w:tc>
          <w:tcPr>
            <w:tcW w:w="769" w:type="pct"/>
            <w:shd w:val="clear" w:color="auto" w:fill="auto"/>
          </w:tcPr>
          <w:p w14:paraId="206C7564" w14:textId="77777777" w:rsidR="00913C78" w:rsidRPr="00AC08C3" w:rsidRDefault="00913C78" w:rsidP="00AC08C3">
            <w:pPr>
              <w:pStyle w:val="ae"/>
              <w:rPr>
                <w:b w:val="0"/>
                <w:bCs/>
              </w:rPr>
            </w:pPr>
            <w:r w:rsidRPr="00AC08C3">
              <w:rPr>
                <w:rFonts w:hint="eastAsia"/>
                <w:b w:val="0"/>
                <w:bCs/>
              </w:rPr>
              <w:t>Ⅰ</w:t>
            </w:r>
          </w:p>
        </w:tc>
        <w:tc>
          <w:tcPr>
            <w:tcW w:w="255" w:type="pct"/>
            <w:shd w:val="clear" w:color="auto" w:fill="auto"/>
          </w:tcPr>
          <w:p w14:paraId="7BE04E66" w14:textId="77777777" w:rsidR="00913C78" w:rsidRPr="00AC08C3" w:rsidRDefault="00913C78" w:rsidP="00AC08C3">
            <w:pPr>
              <w:pStyle w:val="ae"/>
              <w:rPr>
                <w:b w:val="0"/>
                <w:bCs/>
              </w:rPr>
            </w:pPr>
            <w:r w:rsidRPr="00AC08C3">
              <w:rPr>
                <w:rFonts w:hint="eastAsia"/>
                <w:b w:val="0"/>
                <w:bCs/>
              </w:rPr>
              <w:t>2250</w:t>
            </w:r>
          </w:p>
        </w:tc>
        <w:tc>
          <w:tcPr>
            <w:tcW w:w="569" w:type="pct"/>
            <w:shd w:val="clear" w:color="auto" w:fill="auto"/>
          </w:tcPr>
          <w:p w14:paraId="672CA46D" w14:textId="77777777" w:rsidR="00913C78" w:rsidRPr="00AC08C3" w:rsidRDefault="00913C78" w:rsidP="00AC08C3">
            <w:pPr>
              <w:pStyle w:val="ae"/>
              <w:rPr>
                <w:b w:val="0"/>
                <w:bCs/>
              </w:rPr>
            </w:pPr>
            <w:r w:rsidRPr="00AC08C3">
              <w:rPr>
                <w:rFonts w:hint="eastAsia"/>
                <w:b w:val="0"/>
                <w:bCs/>
              </w:rPr>
              <w:t>1794</w:t>
            </w:r>
          </w:p>
        </w:tc>
        <w:tc>
          <w:tcPr>
            <w:tcW w:w="568" w:type="pct"/>
            <w:shd w:val="clear" w:color="auto" w:fill="auto"/>
          </w:tcPr>
          <w:p w14:paraId="36ACCFBA" w14:textId="77777777" w:rsidR="00913C78" w:rsidRPr="00AC08C3" w:rsidRDefault="00913C78" w:rsidP="00AC08C3">
            <w:pPr>
              <w:pStyle w:val="ae"/>
              <w:rPr>
                <w:b w:val="0"/>
                <w:bCs/>
              </w:rPr>
            </w:pPr>
            <w:r w:rsidRPr="00AC08C3">
              <w:rPr>
                <w:rFonts w:hint="eastAsia"/>
                <w:b w:val="0"/>
                <w:bCs/>
              </w:rPr>
              <w:t>3358</w:t>
            </w:r>
          </w:p>
        </w:tc>
        <w:tc>
          <w:tcPr>
            <w:tcW w:w="568" w:type="pct"/>
            <w:shd w:val="clear" w:color="auto" w:fill="auto"/>
          </w:tcPr>
          <w:p w14:paraId="1EA9DC27" w14:textId="77777777" w:rsidR="00913C78" w:rsidRPr="00AC08C3" w:rsidRDefault="00913C78" w:rsidP="00AC08C3">
            <w:pPr>
              <w:pStyle w:val="ae"/>
              <w:rPr>
                <w:b w:val="0"/>
                <w:bCs/>
              </w:rPr>
            </w:pPr>
            <w:r w:rsidRPr="00AC08C3">
              <w:rPr>
                <w:rFonts w:hint="eastAsia"/>
                <w:b w:val="0"/>
                <w:bCs/>
              </w:rPr>
              <w:t>2852</w:t>
            </w:r>
          </w:p>
        </w:tc>
        <w:tc>
          <w:tcPr>
            <w:tcW w:w="568" w:type="pct"/>
            <w:shd w:val="clear" w:color="auto" w:fill="auto"/>
          </w:tcPr>
          <w:p w14:paraId="756F85E1" w14:textId="77777777" w:rsidR="00913C78" w:rsidRPr="00AC08C3" w:rsidRDefault="00913C78" w:rsidP="00AC08C3">
            <w:pPr>
              <w:pStyle w:val="ae"/>
              <w:rPr>
                <w:b w:val="0"/>
                <w:bCs/>
              </w:rPr>
            </w:pPr>
            <w:r w:rsidRPr="00AC08C3">
              <w:rPr>
                <w:rFonts w:hint="eastAsia"/>
                <w:b w:val="0"/>
                <w:bCs/>
              </w:rPr>
              <w:t>3024</w:t>
            </w:r>
          </w:p>
        </w:tc>
        <w:tc>
          <w:tcPr>
            <w:tcW w:w="568" w:type="pct"/>
            <w:shd w:val="clear" w:color="auto" w:fill="auto"/>
          </w:tcPr>
          <w:p w14:paraId="526FEE0A" w14:textId="77777777" w:rsidR="00913C78" w:rsidRPr="00AC08C3" w:rsidRDefault="00913C78" w:rsidP="00AC08C3">
            <w:pPr>
              <w:pStyle w:val="ae"/>
              <w:rPr>
                <w:b w:val="0"/>
                <w:bCs/>
              </w:rPr>
            </w:pPr>
            <w:r w:rsidRPr="00AC08C3">
              <w:rPr>
                <w:rFonts w:hint="eastAsia"/>
                <w:b w:val="0"/>
                <w:bCs/>
              </w:rPr>
              <w:t>3358</w:t>
            </w:r>
          </w:p>
        </w:tc>
        <w:tc>
          <w:tcPr>
            <w:tcW w:w="568" w:type="pct"/>
            <w:shd w:val="clear" w:color="auto" w:fill="auto"/>
          </w:tcPr>
          <w:p w14:paraId="2B0BE5A7" w14:textId="77777777" w:rsidR="00913C78" w:rsidRPr="00AC08C3" w:rsidRDefault="00913C78" w:rsidP="00AC08C3">
            <w:pPr>
              <w:pStyle w:val="ae"/>
              <w:rPr>
                <w:b w:val="0"/>
                <w:bCs/>
              </w:rPr>
            </w:pPr>
            <w:r w:rsidRPr="00AC08C3">
              <w:rPr>
                <w:rFonts w:hint="eastAsia"/>
                <w:b w:val="0"/>
                <w:bCs/>
              </w:rPr>
              <w:t>3024</w:t>
            </w:r>
          </w:p>
        </w:tc>
        <w:tc>
          <w:tcPr>
            <w:tcW w:w="568" w:type="pct"/>
            <w:shd w:val="clear" w:color="auto" w:fill="auto"/>
          </w:tcPr>
          <w:p w14:paraId="0276005A" w14:textId="77777777" w:rsidR="00913C78" w:rsidRPr="00AC08C3" w:rsidRDefault="00913C78" w:rsidP="00AC08C3">
            <w:pPr>
              <w:pStyle w:val="ae"/>
              <w:rPr>
                <w:b w:val="0"/>
                <w:bCs/>
              </w:rPr>
            </w:pPr>
            <w:r w:rsidRPr="00AC08C3">
              <w:rPr>
                <w:rFonts w:hint="eastAsia"/>
                <w:b w:val="0"/>
                <w:bCs/>
              </w:rPr>
              <w:t>2300</w:t>
            </w:r>
          </w:p>
        </w:tc>
      </w:tr>
      <w:tr w:rsidR="00913C78" w:rsidRPr="00AC08C3" w14:paraId="4B26F9D9" w14:textId="77777777" w:rsidTr="00E731D0">
        <w:trPr>
          <w:jc w:val="center"/>
        </w:trPr>
        <w:tc>
          <w:tcPr>
            <w:tcW w:w="769" w:type="pct"/>
            <w:shd w:val="clear" w:color="auto" w:fill="auto"/>
          </w:tcPr>
          <w:p w14:paraId="64768CFC" w14:textId="77777777" w:rsidR="00913C78" w:rsidRPr="00AC08C3" w:rsidRDefault="00913C78" w:rsidP="00AC08C3">
            <w:pPr>
              <w:pStyle w:val="ae"/>
              <w:rPr>
                <w:b w:val="0"/>
                <w:bCs/>
              </w:rPr>
            </w:pPr>
            <w:r w:rsidRPr="00AC08C3">
              <w:rPr>
                <w:rFonts w:hint="eastAsia"/>
                <w:b w:val="0"/>
                <w:bCs/>
              </w:rPr>
              <w:t>Ⅱ</w:t>
            </w:r>
          </w:p>
        </w:tc>
        <w:tc>
          <w:tcPr>
            <w:tcW w:w="255" w:type="pct"/>
            <w:shd w:val="clear" w:color="auto" w:fill="auto"/>
          </w:tcPr>
          <w:p w14:paraId="330B7BB3" w14:textId="77777777" w:rsidR="00913C78" w:rsidRPr="00AC08C3" w:rsidRDefault="00913C78" w:rsidP="00AC08C3">
            <w:pPr>
              <w:pStyle w:val="ae"/>
              <w:rPr>
                <w:b w:val="0"/>
                <w:bCs/>
              </w:rPr>
            </w:pPr>
            <w:r w:rsidRPr="00AC08C3">
              <w:rPr>
                <w:rFonts w:hint="eastAsia"/>
                <w:b w:val="0"/>
                <w:bCs/>
              </w:rPr>
              <w:t>2225</w:t>
            </w:r>
          </w:p>
        </w:tc>
        <w:tc>
          <w:tcPr>
            <w:tcW w:w="569" w:type="pct"/>
            <w:shd w:val="clear" w:color="auto" w:fill="auto"/>
          </w:tcPr>
          <w:p w14:paraId="5A955C9D" w14:textId="77777777" w:rsidR="00913C78" w:rsidRPr="00AC08C3" w:rsidRDefault="00913C78" w:rsidP="00AC08C3">
            <w:pPr>
              <w:pStyle w:val="ae"/>
              <w:rPr>
                <w:b w:val="0"/>
                <w:bCs/>
              </w:rPr>
            </w:pPr>
            <w:r w:rsidRPr="00AC08C3">
              <w:rPr>
                <w:rFonts w:hint="eastAsia"/>
                <w:b w:val="0"/>
                <w:bCs/>
              </w:rPr>
              <w:t>1736</w:t>
            </w:r>
          </w:p>
        </w:tc>
        <w:tc>
          <w:tcPr>
            <w:tcW w:w="568" w:type="pct"/>
            <w:shd w:val="clear" w:color="auto" w:fill="auto"/>
          </w:tcPr>
          <w:p w14:paraId="2F0EE407" w14:textId="77777777" w:rsidR="00913C78" w:rsidRPr="00AC08C3" w:rsidRDefault="00913C78" w:rsidP="00AC08C3">
            <w:pPr>
              <w:pStyle w:val="ae"/>
              <w:rPr>
                <w:b w:val="0"/>
                <w:bCs/>
              </w:rPr>
            </w:pPr>
            <w:r w:rsidRPr="00AC08C3">
              <w:rPr>
                <w:rFonts w:hint="eastAsia"/>
                <w:b w:val="0"/>
                <w:bCs/>
              </w:rPr>
              <w:t>3249</w:t>
            </w:r>
          </w:p>
        </w:tc>
        <w:tc>
          <w:tcPr>
            <w:tcW w:w="568" w:type="pct"/>
            <w:shd w:val="clear" w:color="auto" w:fill="auto"/>
          </w:tcPr>
          <w:p w14:paraId="694EB715" w14:textId="77777777" w:rsidR="00913C78" w:rsidRPr="00AC08C3" w:rsidRDefault="00913C78" w:rsidP="00AC08C3">
            <w:pPr>
              <w:pStyle w:val="ae"/>
              <w:rPr>
                <w:b w:val="0"/>
                <w:bCs/>
              </w:rPr>
            </w:pPr>
            <w:r w:rsidRPr="00AC08C3">
              <w:rPr>
                <w:rFonts w:hint="eastAsia"/>
                <w:b w:val="0"/>
                <w:bCs/>
              </w:rPr>
              <w:t>2759</w:t>
            </w:r>
          </w:p>
        </w:tc>
        <w:tc>
          <w:tcPr>
            <w:tcW w:w="568" w:type="pct"/>
            <w:shd w:val="clear" w:color="auto" w:fill="auto"/>
          </w:tcPr>
          <w:p w14:paraId="0BD298F8" w14:textId="77777777" w:rsidR="00913C78" w:rsidRPr="00AC08C3" w:rsidRDefault="00913C78" w:rsidP="00AC08C3">
            <w:pPr>
              <w:pStyle w:val="ae"/>
              <w:rPr>
                <w:b w:val="0"/>
                <w:bCs/>
              </w:rPr>
            </w:pPr>
            <w:r w:rsidRPr="00AC08C3">
              <w:rPr>
                <w:rFonts w:hint="eastAsia"/>
                <w:b w:val="0"/>
                <w:bCs/>
              </w:rPr>
              <w:t>2990</w:t>
            </w:r>
          </w:p>
        </w:tc>
        <w:tc>
          <w:tcPr>
            <w:tcW w:w="568" w:type="pct"/>
            <w:shd w:val="clear" w:color="auto" w:fill="auto"/>
          </w:tcPr>
          <w:p w14:paraId="29430AA2" w14:textId="77777777" w:rsidR="00913C78" w:rsidRPr="00AC08C3" w:rsidRDefault="00913C78" w:rsidP="00AC08C3">
            <w:pPr>
              <w:pStyle w:val="ae"/>
              <w:rPr>
                <w:b w:val="0"/>
                <w:bCs/>
              </w:rPr>
            </w:pPr>
            <w:r w:rsidRPr="00AC08C3">
              <w:rPr>
                <w:rFonts w:hint="eastAsia"/>
                <w:b w:val="0"/>
                <w:bCs/>
              </w:rPr>
              <w:t>3249</w:t>
            </w:r>
          </w:p>
        </w:tc>
        <w:tc>
          <w:tcPr>
            <w:tcW w:w="568" w:type="pct"/>
            <w:shd w:val="clear" w:color="auto" w:fill="auto"/>
          </w:tcPr>
          <w:p w14:paraId="0BFBA699" w14:textId="77777777" w:rsidR="00913C78" w:rsidRPr="00AC08C3" w:rsidRDefault="00913C78" w:rsidP="00AC08C3">
            <w:pPr>
              <w:pStyle w:val="ae"/>
              <w:rPr>
                <w:b w:val="0"/>
                <w:bCs/>
              </w:rPr>
            </w:pPr>
            <w:r w:rsidRPr="00AC08C3">
              <w:rPr>
                <w:rFonts w:hint="eastAsia"/>
                <w:b w:val="0"/>
                <w:bCs/>
              </w:rPr>
              <w:t>2990</w:t>
            </w:r>
          </w:p>
        </w:tc>
        <w:tc>
          <w:tcPr>
            <w:tcW w:w="568" w:type="pct"/>
            <w:shd w:val="clear" w:color="auto" w:fill="auto"/>
          </w:tcPr>
          <w:p w14:paraId="5032E278" w14:textId="77777777" w:rsidR="00913C78" w:rsidRPr="00AC08C3" w:rsidRDefault="00913C78" w:rsidP="00AC08C3">
            <w:pPr>
              <w:pStyle w:val="ae"/>
              <w:rPr>
                <w:b w:val="0"/>
                <w:bCs/>
              </w:rPr>
            </w:pPr>
            <w:r w:rsidRPr="00AC08C3">
              <w:rPr>
                <w:rFonts w:hint="eastAsia"/>
                <w:b w:val="0"/>
                <w:bCs/>
              </w:rPr>
              <w:t>2225</w:t>
            </w:r>
          </w:p>
        </w:tc>
      </w:tr>
      <w:tr w:rsidR="00913C78" w:rsidRPr="00AC08C3" w14:paraId="70AB304A" w14:textId="77777777" w:rsidTr="00E731D0">
        <w:trPr>
          <w:jc w:val="center"/>
        </w:trPr>
        <w:tc>
          <w:tcPr>
            <w:tcW w:w="769" w:type="pct"/>
            <w:shd w:val="clear" w:color="auto" w:fill="auto"/>
          </w:tcPr>
          <w:p w14:paraId="314BD505" w14:textId="77777777" w:rsidR="00913C78" w:rsidRPr="00AC08C3" w:rsidRDefault="00913C78" w:rsidP="00AC08C3">
            <w:pPr>
              <w:pStyle w:val="ae"/>
              <w:rPr>
                <w:b w:val="0"/>
                <w:bCs/>
              </w:rPr>
            </w:pPr>
            <w:r w:rsidRPr="00AC08C3">
              <w:rPr>
                <w:rFonts w:hint="eastAsia"/>
                <w:b w:val="0"/>
                <w:bCs/>
              </w:rPr>
              <w:t>Ⅲ</w:t>
            </w:r>
          </w:p>
        </w:tc>
        <w:tc>
          <w:tcPr>
            <w:tcW w:w="255" w:type="pct"/>
            <w:shd w:val="clear" w:color="auto" w:fill="auto"/>
          </w:tcPr>
          <w:p w14:paraId="4537FCD4" w14:textId="77777777" w:rsidR="00913C78" w:rsidRPr="00AC08C3" w:rsidRDefault="00913C78" w:rsidP="00AC08C3">
            <w:pPr>
              <w:pStyle w:val="ae"/>
              <w:rPr>
                <w:b w:val="0"/>
                <w:bCs/>
              </w:rPr>
            </w:pPr>
            <w:r w:rsidRPr="00AC08C3">
              <w:rPr>
                <w:rFonts w:hint="eastAsia"/>
                <w:b w:val="0"/>
                <w:bCs/>
              </w:rPr>
              <w:t>2150</w:t>
            </w:r>
          </w:p>
        </w:tc>
        <w:tc>
          <w:tcPr>
            <w:tcW w:w="569" w:type="pct"/>
            <w:shd w:val="clear" w:color="auto" w:fill="auto"/>
          </w:tcPr>
          <w:p w14:paraId="0FEB2CF5" w14:textId="77777777" w:rsidR="00913C78" w:rsidRPr="00AC08C3" w:rsidRDefault="00913C78" w:rsidP="00AC08C3">
            <w:pPr>
              <w:pStyle w:val="ae"/>
              <w:rPr>
                <w:b w:val="0"/>
                <w:bCs/>
              </w:rPr>
            </w:pPr>
            <w:r w:rsidRPr="00AC08C3">
              <w:rPr>
                <w:rFonts w:hint="eastAsia"/>
                <w:b w:val="0"/>
                <w:bCs/>
              </w:rPr>
              <w:t>1677</w:t>
            </w:r>
          </w:p>
        </w:tc>
        <w:tc>
          <w:tcPr>
            <w:tcW w:w="568" w:type="pct"/>
            <w:shd w:val="clear" w:color="auto" w:fill="auto"/>
          </w:tcPr>
          <w:p w14:paraId="4C28619C" w14:textId="77777777" w:rsidR="00913C78" w:rsidRPr="00AC08C3" w:rsidRDefault="00913C78" w:rsidP="00AC08C3">
            <w:pPr>
              <w:pStyle w:val="ae"/>
              <w:rPr>
                <w:b w:val="0"/>
                <w:bCs/>
              </w:rPr>
            </w:pPr>
            <w:r w:rsidRPr="00AC08C3">
              <w:rPr>
                <w:rFonts w:hint="eastAsia"/>
                <w:b w:val="0"/>
                <w:bCs/>
              </w:rPr>
              <w:t>3139</w:t>
            </w:r>
          </w:p>
        </w:tc>
        <w:tc>
          <w:tcPr>
            <w:tcW w:w="568" w:type="pct"/>
            <w:shd w:val="clear" w:color="auto" w:fill="auto"/>
          </w:tcPr>
          <w:p w14:paraId="443576C3" w14:textId="77777777" w:rsidR="00913C78" w:rsidRPr="00AC08C3" w:rsidRDefault="00913C78" w:rsidP="00AC08C3">
            <w:pPr>
              <w:pStyle w:val="ae"/>
              <w:rPr>
                <w:b w:val="0"/>
                <w:bCs/>
              </w:rPr>
            </w:pPr>
            <w:r w:rsidRPr="00AC08C3">
              <w:rPr>
                <w:rFonts w:hint="eastAsia"/>
                <w:b w:val="0"/>
                <w:bCs/>
              </w:rPr>
              <w:t>2666</w:t>
            </w:r>
          </w:p>
        </w:tc>
        <w:tc>
          <w:tcPr>
            <w:tcW w:w="568" w:type="pct"/>
            <w:shd w:val="clear" w:color="auto" w:fill="auto"/>
          </w:tcPr>
          <w:p w14:paraId="5219EF8E" w14:textId="77777777" w:rsidR="00913C78" w:rsidRPr="00AC08C3" w:rsidRDefault="00913C78" w:rsidP="00AC08C3">
            <w:pPr>
              <w:pStyle w:val="ae"/>
              <w:rPr>
                <w:b w:val="0"/>
                <w:bCs/>
              </w:rPr>
            </w:pPr>
            <w:r w:rsidRPr="00AC08C3">
              <w:rPr>
                <w:rFonts w:hint="eastAsia"/>
                <w:b w:val="0"/>
                <w:bCs/>
              </w:rPr>
              <w:t>2890</w:t>
            </w:r>
          </w:p>
        </w:tc>
        <w:tc>
          <w:tcPr>
            <w:tcW w:w="568" w:type="pct"/>
            <w:shd w:val="clear" w:color="auto" w:fill="auto"/>
          </w:tcPr>
          <w:p w14:paraId="4807F6D3" w14:textId="77777777" w:rsidR="00913C78" w:rsidRPr="00AC08C3" w:rsidRDefault="00913C78" w:rsidP="00AC08C3">
            <w:pPr>
              <w:pStyle w:val="ae"/>
              <w:rPr>
                <w:b w:val="0"/>
                <w:bCs/>
              </w:rPr>
            </w:pPr>
            <w:r w:rsidRPr="00AC08C3">
              <w:rPr>
                <w:rFonts w:hint="eastAsia"/>
                <w:b w:val="0"/>
                <w:bCs/>
              </w:rPr>
              <w:t>3139</w:t>
            </w:r>
          </w:p>
        </w:tc>
        <w:tc>
          <w:tcPr>
            <w:tcW w:w="568" w:type="pct"/>
            <w:shd w:val="clear" w:color="auto" w:fill="auto"/>
          </w:tcPr>
          <w:p w14:paraId="7494C721" w14:textId="77777777" w:rsidR="00913C78" w:rsidRPr="00AC08C3" w:rsidRDefault="00913C78" w:rsidP="00AC08C3">
            <w:pPr>
              <w:pStyle w:val="ae"/>
              <w:rPr>
                <w:b w:val="0"/>
                <w:bCs/>
              </w:rPr>
            </w:pPr>
            <w:r w:rsidRPr="00AC08C3">
              <w:rPr>
                <w:rFonts w:hint="eastAsia"/>
                <w:b w:val="0"/>
                <w:bCs/>
              </w:rPr>
              <w:t>2890</w:t>
            </w:r>
          </w:p>
        </w:tc>
        <w:tc>
          <w:tcPr>
            <w:tcW w:w="568" w:type="pct"/>
            <w:shd w:val="clear" w:color="auto" w:fill="auto"/>
          </w:tcPr>
          <w:p w14:paraId="0AA82BF6" w14:textId="77777777" w:rsidR="00913C78" w:rsidRPr="00AC08C3" w:rsidRDefault="00913C78" w:rsidP="00AC08C3">
            <w:pPr>
              <w:pStyle w:val="ae"/>
              <w:rPr>
                <w:b w:val="0"/>
                <w:bCs/>
              </w:rPr>
            </w:pPr>
            <w:r w:rsidRPr="00AC08C3">
              <w:rPr>
                <w:rFonts w:hint="eastAsia"/>
                <w:b w:val="0"/>
                <w:bCs/>
              </w:rPr>
              <w:t>2150</w:t>
            </w:r>
          </w:p>
        </w:tc>
      </w:tr>
      <w:tr w:rsidR="00913C78" w:rsidRPr="00AC08C3" w14:paraId="17C7B565" w14:textId="77777777" w:rsidTr="00E731D0">
        <w:trPr>
          <w:jc w:val="center"/>
        </w:trPr>
        <w:tc>
          <w:tcPr>
            <w:tcW w:w="769" w:type="pct"/>
            <w:shd w:val="clear" w:color="auto" w:fill="auto"/>
          </w:tcPr>
          <w:p w14:paraId="7268825D" w14:textId="77777777" w:rsidR="00913C78" w:rsidRPr="00AC08C3" w:rsidRDefault="00913C78" w:rsidP="00AC08C3">
            <w:pPr>
              <w:pStyle w:val="ae"/>
              <w:rPr>
                <w:b w:val="0"/>
                <w:bCs/>
              </w:rPr>
            </w:pPr>
            <w:r w:rsidRPr="00AC08C3">
              <w:rPr>
                <w:rFonts w:hint="eastAsia"/>
                <w:b w:val="0"/>
                <w:bCs/>
              </w:rPr>
              <w:t>Ⅳ</w:t>
            </w:r>
          </w:p>
        </w:tc>
        <w:tc>
          <w:tcPr>
            <w:tcW w:w="255" w:type="pct"/>
            <w:shd w:val="clear" w:color="auto" w:fill="auto"/>
          </w:tcPr>
          <w:p w14:paraId="2E5E10D0" w14:textId="77777777" w:rsidR="00913C78" w:rsidRPr="00AC08C3" w:rsidRDefault="00913C78" w:rsidP="00AC08C3">
            <w:pPr>
              <w:pStyle w:val="ae"/>
              <w:rPr>
                <w:b w:val="0"/>
                <w:bCs/>
              </w:rPr>
            </w:pPr>
            <w:r w:rsidRPr="00AC08C3">
              <w:rPr>
                <w:rFonts w:hint="eastAsia"/>
                <w:b w:val="0"/>
                <w:bCs/>
              </w:rPr>
              <w:t>2075</w:t>
            </w:r>
          </w:p>
        </w:tc>
        <w:tc>
          <w:tcPr>
            <w:tcW w:w="569" w:type="pct"/>
            <w:shd w:val="clear" w:color="auto" w:fill="auto"/>
          </w:tcPr>
          <w:p w14:paraId="69B7CC1C" w14:textId="77777777" w:rsidR="00913C78" w:rsidRPr="00AC08C3" w:rsidRDefault="00913C78" w:rsidP="00AC08C3">
            <w:pPr>
              <w:pStyle w:val="ae"/>
              <w:rPr>
                <w:b w:val="0"/>
                <w:bCs/>
              </w:rPr>
            </w:pPr>
            <w:r w:rsidRPr="00AC08C3">
              <w:rPr>
                <w:rFonts w:hint="eastAsia"/>
                <w:b w:val="0"/>
                <w:bCs/>
              </w:rPr>
              <w:t>1619</w:t>
            </w:r>
          </w:p>
        </w:tc>
        <w:tc>
          <w:tcPr>
            <w:tcW w:w="568" w:type="pct"/>
            <w:shd w:val="clear" w:color="auto" w:fill="auto"/>
          </w:tcPr>
          <w:p w14:paraId="4B1E3220" w14:textId="77777777" w:rsidR="00913C78" w:rsidRPr="00AC08C3" w:rsidRDefault="00913C78" w:rsidP="00AC08C3">
            <w:pPr>
              <w:pStyle w:val="ae"/>
              <w:rPr>
                <w:b w:val="0"/>
                <w:bCs/>
              </w:rPr>
            </w:pPr>
            <w:r w:rsidRPr="00AC08C3">
              <w:rPr>
                <w:rFonts w:hint="eastAsia"/>
                <w:b w:val="0"/>
                <w:bCs/>
              </w:rPr>
              <w:t>3030</w:t>
            </w:r>
          </w:p>
        </w:tc>
        <w:tc>
          <w:tcPr>
            <w:tcW w:w="568" w:type="pct"/>
            <w:shd w:val="clear" w:color="auto" w:fill="auto"/>
          </w:tcPr>
          <w:p w14:paraId="6075DB4D" w14:textId="77777777" w:rsidR="00913C78" w:rsidRPr="00AC08C3" w:rsidRDefault="00913C78" w:rsidP="00AC08C3">
            <w:pPr>
              <w:pStyle w:val="ae"/>
              <w:rPr>
                <w:b w:val="0"/>
                <w:bCs/>
              </w:rPr>
            </w:pPr>
            <w:r w:rsidRPr="00AC08C3">
              <w:rPr>
                <w:rFonts w:hint="eastAsia"/>
                <w:b w:val="0"/>
                <w:bCs/>
              </w:rPr>
              <w:t>2573</w:t>
            </w:r>
          </w:p>
        </w:tc>
        <w:tc>
          <w:tcPr>
            <w:tcW w:w="568" w:type="pct"/>
            <w:shd w:val="clear" w:color="auto" w:fill="auto"/>
          </w:tcPr>
          <w:p w14:paraId="246B0579" w14:textId="77777777" w:rsidR="00913C78" w:rsidRPr="00AC08C3" w:rsidRDefault="00913C78" w:rsidP="00AC08C3">
            <w:pPr>
              <w:pStyle w:val="ae"/>
              <w:rPr>
                <w:b w:val="0"/>
                <w:bCs/>
              </w:rPr>
            </w:pPr>
            <w:r w:rsidRPr="00AC08C3">
              <w:rPr>
                <w:rFonts w:hint="eastAsia"/>
                <w:b w:val="0"/>
                <w:bCs/>
              </w:rPr>
              <w:t>2789</w:t>
            </w:r>
          </w:p>
        </w:tc>
        <w:tc>
          <w:tcPr>
            <w:tcW w:w="568" w:type="pct"/>
            <w:shd w:val="clear" w:color="auto" w:fill="auto"/>
          </w:tcPr>
          <w:p w14:paraId="38BDA708" w14:textId="77777777" w:rsidR="00913C78" w:rsidRPr="00AC08C3" w:rsidRDefault="00913C78" w:rsidP="00AC08C3">
            <w:pPr>
              <w:pStyle w:val="ae"/>
              <w:rPr>
                <w:b w:val="0"/>
                <w:bCs/>
              </w:rPr>
            </w:pPr>
            <w:r w:rsidRPr="00AC08C3">
              <w:rPr>
                <w:rFonts w:hint="eastAsia"/>
                <w:b w:val="0"/>
                <w:bCs/>
              </w:rPr>
              <w:t>3030</w:t>
            </w:r>
          </w:p>
        </w:tc>
        <w:tc>
          <w:tcPr>
            <w:tcW w:w="568" w:type="pct"/>
            <w:shd w:val="clear" w:color="auto" w:fill="auto"/>
          </w:tcPr>
          <w:p w14:paraId="5EBDC0F6" w14:textId="77777777" w:rsidR="00913C78" w:rsidRPr="00AC08C3" w:rsidRDefault="00913C78" w:rsidP="00AC08C3">
            <w:pPr>
              <w:pStyle w:val="ae"/>
              <w:rPr>
                <w:b w:val="0"/>
                <w:bCs/>
              </w:rPr>
            </w:pPr>
            <w:r w:rsidRPr="00AC08C3">
              <w:rPr>
                <w:rFonts w:hint="eastAsia"/>
                <w:b w:val="0"/>
                <w:bCs/>
              </w:rPr>
              <w:t>2789</w:t>
            </w:r>
          </w:p>
        </w:tc>
        <w:tc>
          <w:tcPr>
            <w:tcW w:w="568" w:type="pct"/>
            <w:shd w:val="clear" w:color="auto" w:fill="auto"/>
          </w:tcPr>
          <w:p w14:paraId="30A07C27" w14:textId="77777777" w:rsidR="00913C78" w:rsidRPr="00AC08C3" w:rsidRDefault="00913C78" w:rsidP="00AC08C3">
            <w:pPr>
              <w:pStyle w:val="ae"/>
              <w:rPr>
                <w:b w:val="0"/>
                <w:bCs/>
              </w:rPr>
            </w:pPr>
            <w:r w:rsidRPr="00AC08C3">
              <w:rPr>
                <w:rFonts w:hint="eastAsia"/>
                <w:b w:val="0"/>
                <w:bCs/>
              </w:rPr>
              <w:t>2075</w:t>
            </w:r>
          </w:p>
        </w:tc>
      </w:tr>
      <w:tr w:rsidR="00913C78" w:rsidRPr="00AC08C3" w14:paraId="5A0B23F3" w14:textId="77777777" w:rsidTr="00E731D0">
        <w:trPr>
          <w:jc w:val="center"/>
        </w:trPr>
        <w:tc>
          <w:tcPr>
            <w:tcW w:w="769" w:type="pct"/>
            <w:shd w:val="clear" w:color="auto" w:fill="auto"/>
          </w:tcPr>
          <w:p w14:paraId="63869345" w14:textId="77777777" w:rsidR="00913C78" w:rsidRPr="00AC08C3" w:rsidRDefault="00913C78" w:rsidP="00AC08C3">
            <w:pPr>
              <w:pStyle w:val="ae"/>
              <w:rPr>
                <w:b w:val="0"/>
                <w:bCs/>
              </w:rPr>
            </w:pPr>
            <w:r w:rsidRPr="00AC08C3">
              <w:rPr>
                <w:rFonts w:hint="eastAsia"/>
                <w:b w:val="0"/>
                <w:bCs/>
              </w:rPr>
              <w:t>Ⅴ</w:t>
            </w:r>
          </w:p>
        </w:tc>
        <w:tc>
          <w:tcPr>
            <w:tcW w:w="255" w:type="pct"/>
            <w:shd w:val="clear" w:color="auto" w:fill="auto"/>
          </w:tcPr>
          <w:p w14:paraId="3CCCA505" w14:textId="77777777" w:rsidR="00913C78" w:rsidRPr="00AC08C3" w:rsidRDefault="00913C78" w:rsidP="00AC08C3">
            <w:pPr>
              <w:pStyle w:val="ae"/>
              <w:rPr>
                <w:b w:val="0"/>
                <w:bCs/>
              </w:rPr>
            </w:pPr>
            <w:r w:rsidRPr="00AC08C3">
              <w:rPr>
                <w:rFonts w:hint="eastAsia"/>
                <w:b w:val="0"/>
                <w:bCs/>
              </w:rPr>
              <w:t>1825</w:t>
            </w:r>
          </w:p>
        </w:tc>
        <w:tc>
          <w:tcPr>
            <w:tcW w:w="569" w:type="pct"/>
            <w:shd w:val="clear" w:color="auto" w:fill="auto"/>
          </w:tcPr>
          <w:p w14:paraId="11E37A53" w14:textId="77777777" w:rsidR="00913C78" w:rsidRPr="00AC08C3" w:rsidRDefault="00913C78" w:rsidP="00AC08C3">
            <w:pPr>
              <w:pStyle w:val="ae"/>
              <w:rPr>
                <w:b w:val="0"/>
                <w:bCs/>
              </w:rPr>
            </w:pPr>
            <w:r w:rsidRPr="00AC08C3">
              <w:rPr>
                <w:rFonts w:hint="eastAsia"/>
                <w:b w:val="0"/>
                <w:bCs/>
              </w:rPr>
              <w:t>1424</w:t>
            </w:r>
          </w:p>
        </w:tc>
        <w:tc>
          <w:tcPr>
            <w:tcW w:w="568" w:type="pct"/>
            <w:shd w:val="clear" w:color="auto" w:fill="auto"/>
          </w:tcPr>
          <w:p w14:paraId="5ED87CE5" w14:textId="77777777" w:rsidR="00913C78" w:rsidRPr="00AC08C3" w:rsidRDefault="00913C78" w:rsidP="00AC08C3">
            <w:pPr>
              <w:pStyle w:val="ae"/>
              <w:rPr>
                <w:b w:val="0"/>
                <w:bCs/>
              </w:rPr>
            </w:pPr>
            <w:r w:rsidRPr="00AC08C3">
              <w:rPr>
                <w:rFonts w:hint="eastAsia"/>
                <w:b w:val="0"/>
                <w:bCs/>
              </w:rPr>
              <w:t>2665</w:t>
            </w:r>
          </w:p>
        </w:tc>
        <w:tc>
          <w:tcPr>
            <w:tcW w:w="568" w:type="pct"/>
            <w:shd w:val="clear" w:color="auto" w:fill="auto"/>
          </w:tcPr>
          <w:p w14:paraId="323C469E" w14:textId="77777777" w:rsidR="00913C78" w:rsidRPr="00AC08C3" w:rsidRDefault="00913C78" w:rsidP="00AC08C3">
            <w:pPr>
              <w:pStyle w:val="ae"/>
              <w:rPr>
                <w:b w:val="0"/>
                <w:bCs/>
              </w:rPr>
            </w:pPr>
            <w:r w:rsidRPr="00AC08C3">
              <w:rPr>
                <w:rFonts w:hint="eastAsia"/>
                <w:b w:val="0"/>
                <w:bCs/>
              </w:rPr>
              <w:t>2263</w:t>
            </w:r>
          </w:p>
        </w:tc>
        <w:tc>
          <w:tcPr>
            <w:tcW w:w="568" w:type="pct"/>
            <w:shd w:val="clear" w:color="auto" w:fill="auto"/>
          </w:tcPr>
          <w:p w14:paraId="4D6DE4AE" w14:textId="77777777" w:rsidR="00913C78" w:rsidRPr="00AC08C3" w:rsidRDefault="00913C78" w:rsidP="00AC08C3">
            <w:pPr>
              <w:pStyle w:val="ae"/>
              <w:rPr>
                <w:b w:val="0"/>
                <w:bCs/>
              </w:rPr>
            </w:pPr>
            <w:r w:rsidRPr="00AC08C3">
              <w:rPr>
                <w:rFonts w:hint="eastAsia"/>
                <w:b w:val="0"/>
                <w:bCs/>
              </w:rPr>
              <w:t>2453</w:t>
            </w:r>
          </w:p>
        </w:tc>
        <w:tc>
          <w:tcPr>
            <w:tcW w:w="568" w:type="pct"/>
            <w:shd w:val="clear" w:color="auto" w:fill="auto"/>
          </w:tcPr>
          <w:p w14:paraId="0BEAB36B" w14:textId="77777777" w:rsidR="00913C78" w:rsidRPr="00AC08C3" w:rsidRDefault="00913C78" w:rsidP="00AC08C3">
            <w:pPr>
              <w:pStyle w:val="ae"/>
              <w:rPr>
                <w:b w:val="0"/>
                <w:bCs/>
              </w:rPr>
            </w:pPr>
            <w:r w:rsidRPr="00AC08C3">
              <w:rPr>
                <w:rFonts w:hint="eastAsia"/>
                <w:b w:val="0"/>
                <w:bCs/>
              </w:rPr>
              <w:t>2665</w:t>
            </w:r>
          </w:p>
        </w:tc>
        <w:tc>
          <w:tcPr>
            <w:tcW w:w="568" w:type="pct"/>
            <w:shd w:val="clear" w:color="auto" w:fill="auto"/>
          </w:tcPr>
          <w:p w14:paraId="45F1B8EF" w14:textId="77777777" w:rsidR="00913C78" w:rsidRPr="00AC08C3" w:rsidRDefault="00913C78" w:rsidP="00AC08C3">
            <w:pPr>
              <w:pStyle w:val="ae"/>
              <w:rPr>
                <w:b w:val="0"/>
                <w:bCs/>
              </w:rPr>
            </w:pPr>
            <w:r w:rsidRPr="00AC08C3">
              <w:rPr>
                <w:rFonts w:hint="eastAsia"/>
                <w:b w:val="0"/>
                <w:bCs/>
              </w:rPr>
              <w:t>2453</w:t>
            </w:r>
          </w:p>
        </w:tc>
        <w:tc>
          <w:tcPr>
            <w:tcW w:w="568" w:type="pct"/>
            <w:shd w:val="clear" w:color="auto" w:fill="auto"/>
          </w:tcPr>
          <w:p w14:paraId="655070FA" w14:textId="77777777" w:rsidR="00913C78" w:rsidRPr="00AC08C3" w:rsidRDefault="00913C78" w:rsidP="00AC08C3">
            <w:pPr>
              <w:pStyle w:val="ae"/>
              <w:rPr>
                <w:b w:val="0"/>
                <w:bCs/>
              </w:rPr>
            </w:pPr>
            <w:r w:rsidRPr="00AC08C3">
              <w:rPr>
                <w:rFonts w:hint="eastAsia"/>
                <w:b w:val="0"/>
                <w:bCs/>
              </w:rPr>
              <w:t>1825</w:t>
            </w:r>
          </w:p>
        </w:tc>
      </w:tr>
    </w:tbl>
    <w:p w14:paraId="786F0827" w14:textId="77777777" w:rsidR="00913C78" w:rsidRPr="00913C78" w:rsidRDefault="00913C78" w:rsidP="00913C78">
      <w:pPr>
        <w:ind w:firstLine="420"/>
      </w:pPr>
      <w:r w:rsidRPr="00913C78">
        <w:t>注：</w:t>
      </w:r>
      <w:r w:rsidRPr="00913C78">
        <w:t>1</w:t>
      </w:r>
      <w:r w:rsidRPr="00913C78">
        <w:rPr>
          <w:rFonts w:hint="eastAsia"/>
        </w:rPr>
        <w:t>.</w:t>
      </w:r>
      <w:r w:rsidRPr="00913C78">
        <w:t xml:space="preserve"> </w:t>
      </w:r>
      <w:r w:rsidRPr="00913C78">
        <w:t>全部利用天然光的时数是指室外天然光照度在设计照度值以上的时间。</w:t>
      </w:r>
    </w:p>
    <w:p w14:paraId="5698A911" w14:textId="77777777" w:rsidR="00913C78" w:rsidRPr="00913C78" w:rsidRDefault="00913C78" w:rsidP="00913C78">
      <w:pPr>
        <w:ind w:firstLine="420"/>
      </w:pPr>
      <w:r w:rsidRPr="00913C78">
        <w:t>2</w:t>
      </w:r>
      <w:r w:rsidRPr="00913C78">
        <w:rPr>
          <w:rFonts w:hint="eastAsia"/>
        </w:rPr>
        <w:t>.</w:t>
      </w:r>
      <w:r w:rsidRPr="00913C78">
        <w:t xml:space="preserve"> </w:t>
      </w:r>
      <w:r w:rsidRPr="00913C78">
        <w:t>表中的数据是基于日均天然光利用时数计算的，没有考虑冬夏的差异，计算时应按实际使用情况确定。</w:t>
      </w:r>
    </w:p>
    <w:p w14:paraId="399AD668" w14:textId="77777777" w:rsidR="00913C78" w:rsidRPr="00913C78" w:rsidRDefault="00913C78" w:rsidP="00913C78">
      <w:pPr>
        <w:ind w:firstLine="420"/>
      </w:pPr>
    </w:p>
    <w:p w14:paraId="04201679" w14:textId="5F8F48FC" w:rsidR="00913C78" w:rsidRPr="00913C78" w:rsidRDefault="00913C78" w:rsidP="00AC2900">
      <w:pPr>
        <w:ind w:firstLine="420"/>
      </w:pPr>
      <w:r w:rsidRPr="00913C78">
        <w:t>5</w:t>
      </w:r>
      <w:r w:rsidRPr="00913C78">
        <w:rPr>
          <w:rFonts w:hint="eastAsia"/>
        </w:rPr>
        <w:t>）</w:t>
      </w:r>
      <w:r w:rsidRPr="00913C78">
        <w:t> </w:t>
      </w:r>
      <w:r w:rsidRPr="00913C78">
        <w:rPr>
          <w:rFonts w:hint="eastAsia"/>
        </w:rPr>
        <w:t>计算建筑部分利用天然光时数</w:t>
      </w:r>
      <m:oMath>
        <m:sSubSup>
          <m:sSubSupPr>
            <m:ctrlPr>
              <w:rPr>
                <w:rFonts w:ascii="Cambria Math" w:hAnsi="Cambria Math"/>
                <w:i/>
                <w:noProof/>
              </w:rPr>
            </m:ctrlPr>
          </m:sSubSupPr>
          <m:e>
            <m:r>
              <w:rPr>
                <w:rFonts w:ascii="Cambria Math"/>
                <w:noProof/>
              </w:rPr>
              <m:t>t</m:t>
            </m:r>
          </m:e>
          <m:sub>
            <m:r>
              <w:rPr>
                <w:rFonts w:ascii="Cambria Math"/>
                <w:noProof/>
              </w:rPr>
              <m:t>D</m:t>
            </m:r>
          </m:sub>
          <m:sup>
            <m:r>
              <w:rPr>
                <w:rFonts w:ascii="Cambria Math"/>
                <w:noProof/>
              </w:rPr>
              <m:t>'</m:t>
            </m:r>
          </m:sup>
        </m:sSubSup>
      </m:oMath>
      <w:r w:rsidRPr="00913C78">
        <w:rPr>
          <w:rFonts w:hint="eastAsia"/>
        </w:rPr>
        <w:t>时应</w:t>
      </w:r>
      <w:r w:rsidRPr="00913C78">
        <w:t>符合</w:t>
      </w:r>
      <w:r w:rsidRPr="00913C78">
        <w:rPr>
          <w:rFonts w:hint="eastAsia"/>
        </w:rPr>
        <w:t>附表</w:t>
      </w:r>
      <w:r w:rsidRPr="00913C78">
        <w:rPr>
          <w:rFonts w:hint="eastAsia"/>
        </w:rPr>
        <w:t>A.3.3</w:t>
      </w:r>
      <w:r w:rsidRPr="00913C78">
        <w:t>规定</w:t>
      </w:r>
      <w:r w:rsidRPr="00913C78">
        <w:rPr>
          <w:rFonts w:hint="eastAsia"/>
        </w:rPr>
        <w:t>。</w:t>
      </w:r>
    </w:p>
    <w:p w14:paraId="5E0AC665" w14:textId="16EFD486" w:rsidR="00913C78" w:rsidRPr="00913C78" w:rsidRDefault="00913C78" w:rsidP="00AC2900">
      <w:pPr>
        <w:pStyle w:val="ae"/>
      </w:pPr>
      <w:r w:rsidRPr="00913C78">
        <w:rPr>
          <w:rFonts w:hint="eastAsia"/>
        </w:rPr>
        <w:t>附表</w:t>
      </w:r>
      <w:r w:rsidRPr="00913C78">
        <w:rPr>
          <w:rFonts w:hint="eastAsia"/>
        </w:rPr>
        <w:t>A.3.3</w:t>
      </w:r>
      <w:r w:rsidRPr="00913C78">
        <w:t xml:space="preserve"> </w:t>
      </w:r>
      <w:r w:rsidRPr="00913C78">
        <w:rPr>
          <w:rFonts w:hint="eastAsia"/>
        </w:rPr>
        <w:t xml:space="preserve"> </w:t>
      </w:r>
      <w:r w:rsidRPr="00913C78">
        <w:rPr>
          <w:rFonts w:hint="eastAsia"/>
        </w:rPr>
        <w:t>建筑部分利用天然光时数</w:t>
      </w:r>
      <m:oMath>
        <m:sSubSup>
          <m:sSubSupPr>
            <m:ctrlPr>
              <w:rPr>
                <w:rFonts w:ascii="Cambria Math" w:hAnsi="Cambria Math"/>
                <w:i/>
                <w:noProof/>
              </w:rPr>
            </m:ctrlPr>
          </m:sSubSupPr>
          <m:e>
            <m:r>
              <m:rPr>
                <m:sty m:val="bi"/>
              </m:rPr>
              <w:rPr>
                <w:rFonts w:ascii="Cambria Math"/>
                <w:noProof/>
              </w:rPr>
              <m:t>t</m:t>
            </m:r>
          </m:e>
          <m:sub>
            <m:r>
              <m:rPr>
                <m:sty m:val="bi"/>
              </m:rPr>
              <w:rPr>
                <w:rFonts w:ascii="Cambria Math"/>
                <w:noProof/>
              </w:rPr>
              <m:t>D</m:t>
            </m:r>
          </m:sub>
          <m:sup>
            <m:r>
              <m:rPr>
                <m:sty m:val="bi"/>
              </m:rPr>
              <w:rPr>
                <w:rFonts w:ascii="Cambria Math"/>
                <w:noProof/>
              </w:rPr>
              <m:t>'</m:t>
            </m:r>
          </m:sup>
        </m:sSubSup>
      </m:oMath>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28" w:type="dxa"/>
        </w:tblCellMar>
        <w:tblLook w:val="04A0" w:firstRow="1" w:lastRow="0" w:firstColumn="1" w:lastColumn="0" w:noHBand="0" w:noVBand="1"/>
      </w:tblPr>
      <w:tblGrid>
        <w:gridCol w:w="1306"/>
        <w:gridCol w:w="827"/>
        <w:gridCol w:w="823"/>
        <w:gridCol w:w="851"/>
        <w:gridCol w:w="945"/>
        <w:gridCol w:w="945"/>
        <w:gridCol w:w="945"/>
        <w:gridCol w:w="945"/>
        <w:gridCol w:w="942"/>
      </w:tblGrid>
      <w:tr w:rsidR="00913C78" w:rsidRPr="00AC08C3" w14:paraId="73C7E14B" w14:textId="77777777" w:rsidTr="00E731D0">
        <w:trPr>
          <w:jc w:val="center"/>
        </w:trPr>
        <w:tc>
          <w:tcPr>
            <w:tcW w:w="765" w:type="pct"/>
            <w:shd w:val="clear" w:color="auto" w:fill="auto"/>
          </w:tcPr>
          <w:p w14:paraId="5E69F17F" w14:textId="77777777" w:rsidR="00913C78" w:rsidRPr="00AC08C3" w:rsidRDefault="00913C78" w:rsidP="00AC08C3">
            <w:pPr>
              <w:pStyle w:val="ae"/>
              <w:rPr>
                <w:b w:val="0"/>
                <w:bCs/>
              </w:rPr>
            </w:pPr>
            <w:r w:rsidRPr="00AC08C3">
              <w:rPr>
                <w:rFonts w:hint="eastAsia"/>
                <w:b w:val="0"/>
                <w:bCs/>
              </w:rPr>
              <w:t>光气候区</w:t>
            </w:r>
          </w:p>
        </w:tc>
        <w:tc>
          <w:tcPr>
            <w:tcW w:w="484" w:type="pct"/>
            <w:shd w:val="clear" w:color="auto" w:fill="auto"/>
          </w:tcPr>
          <w:p w14:paraId="2162890E" w14:textId="77777777" w:rsidR="00913C78" w:rsidRPr="00AC08C3" w:rsidRDefault="00913C78" w:rsidP="00AC08C3">
            <w:pPr>
              <w:pStyle w:val="ae"/>
              <w:rPr>
                <w:b w:val="0"/>
                <w:bCs/>
              </w:rPr>
            </w:pPr>
            <w:r w:rsidRPr="00AC08C3">
              <w:rPr>
                <w:rFonts w:hint="eastAsia"/>
                <w:b w:val="0"/>
                <w:bCs/>
              </w:rPr>
              <w:t>办公</w:t>
            </w:r>
          </w:p>
        </w:tc>
        <w:tc>
          <w:tcPr>
            <w:tcW w:w="482" w:type="pct"/>
            <w:shd w:val="clear" w:color="auto" w:fill="auto"/>
          </w:tcPr>
          <w:p w14:paraId="5C30917C" w14:textId="77777777" w:rsidR="00913C78" w:rsidRPr="00AC08C3" w:rsidRDefault="00913C78" w:rsidP="00AC08C3">
            <w:pPr>
              <w:pStyle w:val="ae"/>
              <w:rPr>
                <w:b w:val="0"/>
                <w:bCs/>
              </w:rPr>
            </w:pPr>
            <w:r w:rsidRPr="00AC08C3">
              <w:rPr>
                <w:rFonts w:hint="eastAsia"/>
                <w:b w:val="0"/>
                <w:bCs/>
              </w:rPr>
              <w:t>学校</w:t>
            </w:r>
          </w:p>
        </w:tc>
        <w:tc>
          <w:tcPr>
            <w:tcW w:w="499" w:type="pct"/>
            <w:shd w:val="clear" w:color="auto" w:fill="auto"/>
          </w:tcPr>
          <w:p w14:paraId="4E4A331D" w14:textId="77777777" w:rsidR="00913C78" w:rsidRPr="00AC08C3" w:rsidRDefault="00913C78" w:rsidP="00AC08C3">
            <w:pPr>
              <w:pStyle w:val="ae"/>
              <w:rPr>
                <w:b w:val="0"/>
                <w:bCs/>
              </w:rPr>
            </w:pPr>
            <w:r w:rsidRPr="00AC08C3">
              <w:rPr>
                <w:rFonts w:hint="eastAsia"/>
                <w:b w:val="0"/>
                <w:bCs/>
              </w:rPr>
              <w:t>旅馆</w:t>
            </w:r>
          </w:p>
        </w:tc>
        <w:tc>
          <w:tcPr>
            <w:tcW w:w="554" w:type="pct"/>
            <w:shd w:val="clear" w:color="auto" w:fill="auto"/>
          </w:tcPr>
          <w:p w14:paraId="0F97BD0D" w14:textId="77777777" w:rsidR="00913C78" w:rsidRPr="00AC08C3" w:rsidRDefault="00913C78" w:rsidP="00AC08C3">
            <w:pPr>
              <w:pStyle w:val="ae"/>
              <w:rPr>
                <w:b w:val="0"/>
                <w:bCs/>
              </w:rPr>
            </w:pPr>
            <w:r w:rsidRPr="00AC08C3">
              <w:rPr>
                <w:rFonts w:hint="eastAsia"/>
                <w:b w:val="0"/>
                <w:bCs/>
              </w:rPr>
              <w:t>医院</w:t>
            </w:r>
          </w:p>
        </w:tc>
        <w:tc>
          <w:tcPr>
            <w:tcW w:w="554" w:type="pct"/>
            <w:shd w:val="clear" w:color="auto" w:fill="auto"/>
          </w:tcPr>
          <w:p w14:paraId="4B3C4336" w14:textId="77777777" w:rsidR="00913C78" w:rsidRPr="00AC08C3" w:rsidRDefault="00913C78" w:rsidP="00AC08C3">
            <w:pPr>
              <w:pStyle w:val="ae"/>
              <w:rPr>
                <w:b w:val="0"/>
                <w:bCs/>
              </w:rPr>
            </w:pPr>
            <w:r w:rsidRPr="00AC08C3">
              <w:rPr>
                <w:rFonts w:hint="eastAsia"/>
                <w:b w:val="0"/>
                <w:bCs/>
              </w:rPr>
              <w:t>展览</w:t>
            </w:r>
          </w:p>
        </w:tc>
        <w:tc>
          <w:tcPr>
            <w:tcW w:w="554" w:type="pct"/>
            <w:shd w:val="clear" w:color="auto" w:fill="auto"/>
          </w:tcPr>
          <w:p w14:paraId="61EB3DE4" w14:textId="77777777" w:rsidR="00913C78" w:rsidRPr="00AC08C3" w:rsidRDefault="00913C78" w:rsidP="00AC08C3">
            <w:pPr>
              <w:pStyle w:val="ae"/>
              <w:rPr>
                <w:b w:val="0"/>
                <w:bCs/>
              </w:rPr>
            </w:pPr>
            <w:r w:rsidRPr="00AC08C3">
              <w:rPr>
                <w:rFonts w:hint="eastAsia"/>
                <w:b w:val="0"/>
                <w:bCs/>
              </w:rPr>
              <w:t>交通</w:t>
            </w:r>
          </w:p>
        </w:tc>
        <w:tc>
          <w:tcPr>
            <w:tcW w:w="554" w:type="pct"/>
            <w:shd w:val="clear" w:color="auto" w:fill="auto"/>
          </w:tcPr>
          <w:p w14:paraId="18B2346A" w14:textId="77777777" w:rsidR="00913C78" w:rsidRPr="00AC08C3" w:rsidRDefault="00913C78" w:rsidP="00AC08C3">
            <w:pPr>
              <w:pStyle w:val="ae"/>
              <w:rPr>
                <w:b w:val="0"/>
                <w:bCs/>
              </w:rPr>
            </w:pPr>
            <w:r w:rsidRPr="00AC08C3">
              <w:rPr>
                <w:rFonts w:hint="eastAsia"/>
                <w:b w:val="0"/>
                <w:bCs/>
              </w:rPr>
              <w:t>体育</w:t>
            </w:r>
          </w:p>
        </w:tc>
        <w:tc>
          <w:tcPr>
            <w:tcW w:w="552" w:type="pct"/>
            <w:shd w:val="clear" w:color="auto" w:fill="auto"/>
          </w:tcPr>
          <w:p w14:paraId="07917F28" w14:textId="77777777" w:rsidR="00913C78" w:rsidRPr="00AC08C3" w:rsidRDefault="00913C78" w:rsidP="00AC08C3">
            <w:pPr>
              <w:pStyle w:val="ae"/>
              <w:rPr>
                <w:b w:val="0"/>
                <w:bCs/>
              </w:rPr>
            </w:pPr>
            <w:r w:rsidRPr="00AC08C3">
              <w:rPr>
                <w:rFonts w:hint="eastAsia"/>
                <w:b w:val="0"/>
                <w:bCs/>
              </w:rPr>
              <w:t>工业</w:t>
            </w:r>
          </w:p>
        </w:tc>
      </w:tr>
      <w:tr w:rsidR="00913C78" w:rsidRPr="00AC08C3" w14:paraId="120371B0" w14:textId="77777777" w:rsidTr="00E731D0">
        <w:trPr>
          <w:jc w:val="center"/>
        </w:trPr>
        <w:tc>
          <w:tcPr>
            <w:tcW w:w="765" w:type="pct"/>
            <w:shd w:val="clear" w:color="auto" w:fill="auto"/>
          </w:tcPr>
          <w:p w14:paraId="561AEA30" w14:textId="77777777" w:rsidR="00913C78" w:rsidRPr="00AC08C3" w:rsidRDefault="00913C78" w:rsidP="00AC08C3">
            <w:pPr>
              <w:pStyle w:val="ae"/>
              <w:rPr>
                <w:b w:val="0"/>
                <w:bCs/>
              </w:rPr>
            </w:pPr>
            <w:r w:rsidRPr="00AC08C3">
              <w:rPr>
                <w:rFonts w:hint="eastAsia"/>
                <w:b w:val="0"/>
                <w:bCs/>
              </w:rPr>
              <w:t>Ⅰ</w:t>
            </w:r>
          </w:p>
        </w:tc>
        <w:tc>
          <w:tcPr>
            <w:tcW w:w="484" w:type="pct"/>
            <w:shd w:val="clear" w:color="auto" w:fill="auto"/>
          </w:tcPr>
          <w:p w14:paraId="61971BA9" w14:textId="77777777" w:rsidR="00913C78" w:rsidRPr="00AC08C3" w:rsidRDefault="00913C78" w:rsidP="00AC08C3">
            <w:pPr>
              <w:pStyle w:val="ae"/>
              <w:rPr>
                <w:b w:val="0"/>
                <w:bCs/>
              </w:rPr>
            </w:pPr>
            <w:r w:rsidRPr="00AC08C3">
              <w:rPr>
                <w:rFonts w:hint="eastAsia"/>
                <w:b w:val="0"/>
                <w:bCs/>
              </w:rPr>
              <w:t>0</w:t>
            </w:r>
          </w:p>
        </w:tc>
        <w:tc>
          <w:tcPr>
            <w:tcW w:w="482" w:type="pct"/>
            <w:shd w:val="clear" w:color="auto" w:fill="auto"/>
          </w:tcPr>
          <w:p w14:paraId="7D0D15A1" w14:textId="77777777" w:rsidR="00913C78" w:rsidRPr="00AC08C3" w:rsidRDefault="00913C78" w:rsidP="00AC08C3">
            <w:pPr>
              <w:pStyle w:val="ae"/>
              <w:rPr>
                <w:b w:val="0"/>
                <w:bCs/>
              </w:rPr>
            </w:pPr>
            <w:r w:rsidRPr="00AC08C3">
              <w:rPr>
                <w:rFonts w:hint="eastAsia"/>
                <w:b w:val="0"/>
                <w:bCs/>
              </w:rPr>
              <w:t>332</w:t>
            </w:r>
          </w:p>
        </w:tc>
        <w:tc>
          <w:tcPr>
            <w:tcW w:w="499" w:type="pct"/>
            <w:shd w:val="clear" w:color="auto" w:fill="auto"/>
          </w:tcPr>
          <w:p w14:paraId="7A03CFA0" w14:textId="77777777" w:rsidR="00913C78" w:rsidRPr="00AC08C3" w:rsidRDefault="00913C78" w:rsidP="00AC08C3">
            <w:pPr>
              <w:pStyle w:val="ae"/>
              <w:rPr>
                <w:b w:val="0"/>
                <w:bCs/>
              </w:rPr>
            </w:pPr>
            <w:r w:rsidRPr="00AC08C3">
              <w:rPr>
                <w:rFonts w:hint="eastAsia"/>
                <w:b w:val="0"/>
                <w:bCs/>
              </w:rPr>
              <w:t>621</w:t>
            </w:r>
          </w:p>
        </w:tc>
        <w:tc>
          <w:tcPr>
            <w:tcW w:w="554" w:type="pct"/>
            <w:shd w:val="clear" w:color="auto" w:fill="auto"/>
          </w:tcPr>
          <w:p w14:paraId="7F411CFD" w14:textId="77777777" w:rsidR="00913C78" w:rsidRPr="00AC08C3" w:rsidRDefault="00913C78" w:rsidP="00AC08C3">
            <w:pPr>
              <w:pStyle w:val="ae"/>
              <w:rPr>
                <w:b w:val="0"/>
                <w:bCs/>
              </w:rPr>
            </w:pPr>
            <w:r w:rsidRPr="00AC08C3">
              <w:rPr>
                <w:rFonts w:hint="eastAsia"/>
                <w:b w:val="0"/>
                <w:bCs/>
              </w:rPr>
              <w:t>248</w:t>
            </w:r>
          </w:p>
        </w:tc>
        <w:tc>
          <w:tcPr>
            <w:tcW w:w="554" w:type="pct"/>
            <w:shd w:val="clear" w:color="auto" w:fill="auto"/>
          </w:tcPr>
          <w:p w14:paraId="00021D76" w14:textId="77777777" w:rsidR="00913C78" w:rsidRPr="00AC08C3" w:rsidRDefault="00913C78" w:rsidP="00AC08C3">
            <w:pPr>
              <w:pStyle w:val="ae"/>
              <w:rPr>
                <w:b w:val="0"/>
                <w:bCs/>
              </w:rPr>
            </w:pPr>
            <w:r w:rsidRPr="00AC08C3">
              <w:rPr>
                <w:rFonts w:hint="eastAsia"/>
                <w:b w:val="0"/>
                <w:bCs/>
              </w:rPr>
              <w:t>0</w:t>
            </w:r>
          </w:p>
        </w:tc>
        <w:tc>
          <w:tcPr>
            <w:tcW w:w="554" w:type="pct"/>
            <w:shd w:val="clear" w:color="auto" w:fill="auto"/>
          </w:tcPr>
          <w:p w14:paraId="6C30DB9B" w14:textId="77777777" w:rsidR="00913C78" w:rsidRPr="00AC08C3" w:rsidRDefault="00913C78" w:rsidP="00AC08C3">
            <w:pPr>
              <w:pStyle w:val="ae"/>
              <w:rPr>
                <w:b w:val="0"/>
                <w:bCs/>
              </w:rPr>
            </w:pPr>
            <w:r w:rsidRPr="00AC08C3">
              <w:rPr>
                <w:rFonts w:hint="eastAsia"/>
                <w:b w:val="0"/>
                <w:bCs/>
              </w:rPr>
              <w:t>621</w:t>
            </w:r>
          </w:p>
        </w:tc>
        <w:tc>
          <w:tcPr>
            <w:tcW w:w="554" w:type="pct"/>
            <w:shd w:val="clear" w:color="auto" w:fill="auto"/>
          </w:tcPr>
          <w:p w14:paraId="2965BBCD" w14:textId="77777777" w:rsidR="00913C78" w:rsidRPr="00AC08C3" w:rsidRDefault="00913C78" w:rsidP="00AC08C3">
            <w:pPr>
              <w:pStyle w:val="ae"/>
              <w:rPr>
                <w:b w:val="0"/>
                <w:bCs/>
              </w:rPr>
            </w:pPr>
            <w:r w:rsidRPr="00AC08C3">
              <w:rPr>
                <w:rFonts w:hint="eastAsia"/>
                <w:b w:val="0"/>
                <w:bCs/>
              </w:rPr>
              <w:t>0</w:t>
            </w:r>
          </w:p>
        </w:tc>
        <w:tc>
          <w:tcPr>
            <w:tcW w:w="552" w:type="pct"/>
            <w:shd w:val="clear" w:color="auto" w:fill="auto"/>
          </w:tcPr>
          <w:p w14:paraId="3EE27DDE" w14:textId="77777777" w:rsidR="00913C78" w:rsidRPr="00AC08C3" w:rsidRDefault="00913C78" w:rsidP="00AC08C3">
            <w:pPr>
              <w:pStyle w:val="ae"/>
              <w:rPr>
                <w:b w:val="0"/>
                <w:bCs/>
              </w:rPr>
            </w:pPr>
            <w:r w:rsidRPr="00AC08C3">
              <w:rPr>
                <w:rFonts w:hint="eastAsia"/>
                <w:b w:val="0"/>
                <w:bCs/>
              </w:rPr>
              <w:t>425</w:t>
            </w:r>
          </w:p>
        </w:tc>
      </w:tr>
      <w:tr w:rsidR="00913C78" w:rsidRPr="00AC08C3" w14:paraId="578B5751" w14:textId="77777777" w:rsidTr="00E731D0">
        <w:trPr>
          <w:jc w:val="center"/>
        </w:trPr>
        <w:tc>
          <w:tcPr>
            <w:tcW w:w="765" w:type="pct"/>
            <w:shd w:val="clear" w:color="auto" w:fill="auto"/>
          </w:tcPr>
          <w:p w14:paraId="292D1DB8" w14:textId="77777777" w:rsidR="00913C78" w:rsidRPr="00AC08C3" w:rsidRDefault="00913C78" w:rsidP="00AC08C3">
            <w:pPr>
              <w:pStyle w:val="ae"/>
              <w:rPr>
                <w:b w:val="0"/>
                <w:bCs/>
              </w:rPr>
            </w:pPr>
            <w:r w:rsidRPr="00AC08C3">
              <w:rPr>
                <w:rFonts w:hint="eastAsia"/>
                <w:b w:val="0"/>
                <w:bCs/>
              </w:rPr>
              <w:t>Ⅱ</w:t>
            </w:r>
          </w:p>
        </w:tc>
        <w:tc>
          <w:tcPr>
            <w:tcW w:w="484" w:type="pct"/>
            <w:shd w:val="clear" w:color="auto" w:fill="auto"/>
          </w:tcPr>
          <w:p w14:paraId="42D9D8D6" w14:textId="77777777" w:rsidR="00913C78" w:rsidRPr="00AC08C3" w:rsidRDefault="00913C78" w:rsidP="00AC08C3">
            <w:pPr>
              <w:pStyle w:val="ae"/>
              <w:rPr>
                <w:b w:val="0"/>
                <w:bCs/>
              </w:rPr>
            </w:pPr>
            <w:r w:rsidRPr="00AC08C3">
              <w:rPr>
                <w:rFonts w:hint="eastAsia"/>
                <w:b w:val="0"/>
                <w:bCs/>
              </w:rPr>
              <w:t>25</w:t>
            </w:r>
          </w:p>
        </w:tc>
        <w:tc>
          <w:tcPr>
            <w:tcW w:w="482" w:type="pct"/>
            <w:shd w:val="clear" w:color="auto" w:fill="auto"/>
          </w:tcPr>
          <w:p w14:paraId="3A605E0A" w14:textId="77777777" w:rsidR="00913C78" w:rsidRPr="00AC08C3" w:rsidRDefault="00913C78" w:rsidP="00AC08C3">
            <w:pPr>
              <w:pStyle w:val="ae"/>
              <w:rPr>
                <w:b w:val="0"/>
                <w:bCs/>
              </w:rPr>
            </w:pPr>
            <w:r w:rsidRPr="00AC08C3">
              <w:rPr>
                <w:rFonts w:hint="eastAsia"/>
                <w:b w:val="0"/>
                <w:bCs/>
              </w:rPr>
              <w:t>351</w:t>
            </w:r>
          </w:p>
        </w:tc>
        <w:tc>
          <w:tcPr>
            <w:tcW w:w="499" w:type="pct"/>
            <w:shd w:val="clear" w:color="auto" w:fill="auto"/>
          </w:tcPr>
          <w:p w14:paraId="1E046660" w14:textId="77777777" w:rsidR="00913C78" w:rsidRPr="00AC08C3" w:rsidRDefault="00913C78" w:rsidP="00AC08C3">
            <w:pPr>
              <w:pStyle w:val="ae"/>
              <w:rPr>
                <w:b w:val="0"/>
                <w:bCs/>
              </w:rPr>
            </w:pPr>
            <w:r w:rsidRPr="00AC08C3">
              <w:rPr>
                <w:rFonts w:hint="eastAsia"/>
                <w:b w:val="0"/>
                <w:bCs/>
              </w:rPr>
              <w:t>657</w:t>
            </w:r>
          </w:p>
        </w:tc>
        <w:tc>
          <w:tcPr>
            <w:tcW w:w="554" w:type="pct"/>
            <w:shd w:val="clear" w:color="auto" w:fill="auto"/>
          </w:tcPr>
          <w:p w14:paraId="29D821F4" w14:textId="77777777" w:rsidR="00913C78" w:rsidRPr="00AC08C3" w:rsidRDefault="00913C78" w:rsidP="00AC08C3">
            <w:pPr>
              <w:pStyle w:val="ae"/>
              <w:rPr>
                <w:b w:val="0"/>
                <w:bCs/>
              </w:rPr>
            </w:pPr>
            <w:r w:rsidRPr="00AC08C3">
              <w:rPr>
                <w:rFonts w:hint="eastAsia"/>
                <w:b w:val="0"/>
                <w:bCs/>
              </w:rPr>
              <w:t>341</w:t>
            </w:r>
          </w:p>
        </w:tc>
        <w:tc>
          <w:tcPr>
            <w:tcW w:w="554" w:type="pct"/>
            <w:shd w:val="clear" w:color="auto" w:fill="auto"/>
          </w:tcPr>
          <w:p w14:paraId="639B6681" w14:textId="77777777" w:rsidR="00913C78" w:rsidRPr="00AC08C3" w:rsidRDefault="00913C78" w:rsidP="00AC08C3">
            <w:pPr>
              <w:pStyle w:val="ae"/>
              <w:rPr>
                <w:b w:val="0"/>
                <w:bCs/>
              </w:rPr>
            </w:pPr>
            <w:r w:rsidRPr="00AC08C3">
              <w:rPr>
                <w:rFonts w:hint="eastAsia"/>
                <w:b w:val="0"/>
                <w:bCs/>
              </w:rPr>
              <w:t>34</w:t>
            </w:r>
          </w:p>
        </w:tc>
        <w:tc>
          <w:tcPr>
            <w:tcW w:w="554" w:type="pct"/>
            <w:shd w:val="clear" w:color="auto" w:fill="auto"/>
          </w:tcPr>
          <w:p w14:paraId="5BB84D09" w14:textId="77777777" w:rsidR="00913C78" w:rsidRPr="00AC08C3" w:rsidRDefault="00913C78" w:rsidP="00AC08C3">
            <w:pPr>
              <w:pStyle w:val="ae"/>
              <w:rPr>
                <w:b w:val="0"/>
                <w:bCs/>
              </w:rPr>
            </w:pPr>
            <w:r w:rsidRPr="00AC08C3">
              <w:rPr>
                <w:rFonts w:hint="eastAsia"/>
                <w:b w:val="0"/>
                <w:bCs/>
              </w:rPr>
              <w:t>657</w:t>
            </w:r>
          </w:p>
        </w:tc>
        <w:tc>
          <w:tcPr>
            <w:tcW w:w="554" w:type="pct"/>
            <w:shd w:val="clear" w:color="auto" w:fill="auto"/>
          </w:tcPr>
          <w:p w14:paraId="48703ADF" w14:textId="77777777" w:rsidR="00913C78" w:rsidRPr="00AC08C3" w:rsidRDefault="00913C78" w:rsidP="00AC08C3">
            <w:pPr>
              <w:pStyle w:val="ae"/>
              <w:rPr>
                <w:b w:val="0"/>
                <w:bCs/>
              </w:rPr>
            </w:pPr>
            <w:r w:rsidRPr="00AC08C3">
              <w:rPr>
                <w:rFonts w:hint="eastAsia"/>
                <w:b w:val="0"/>
                <w:bCs/>
              </w:rPr>
              <w:t>34</w:t>
            </w:r>
          </w:p>
        </w:tc>
        <w:tc>
          <w:tcPr>
            <w:tcW w:w="552" w:type="pct"/>
            <w:shd w:val="clear" w:color="auto" w:fill="auto"/>
          </w:tcPr>
          <w:p w14:paraId="148F465F" w14:textId="77777777" w:rsidR="00913C78" w:rsidRPr="00AC08C3" w:rsidRDefault="00913C78" w:rsidP="00AC08C3">
            <w:pPr>
              <w:pStyle w:val="ae"/>
              <w:rPr>
                <w:b w:val="0"/>
                <w:bCs/>
              </w:rPr>
            </w:pPr>
            <w:r w:rsidRPr="00AC08C3">
              <w:rPr>
                <w:rFonts w:hint="eastAsia"/>
                <w:b w:val="0"/>
                <w:bCs/>
              </w:rPr>
              <w:t>450</w:t>
            </w:r>
          </w:p>
        </w:tc>
      </w:tr>
      <w:tr w:rsidR="00913C78" w:rsidRPr="00AC08C3" w14:paraId="1767CCE1" w14:textId="77777777" w:rsidTr="00E731D0">
        <w:trPr>
          <w:jc w:val="center"/>
        </w:trPr>
        <w:tc>
          <w:tcPr>
            <w:tcW w:w="765" w:type="pct"/>
            <w:shd w:val="clear" w:color="auto" w:fill="auto"/>
          </w:tcPr>
          <w:p w14:paraId="17A1B018" w14:textId="77777777" w:rsidR="00913C78" w:rsidRPr="00AC08C3" w:rsidRDefault="00913C78" w:rsidP="00AC08C3">
            <w:pPr>
              <w:pStyle w:val="ae"/>
              <w:rPr>
                <w:b w:val="0"/>
                <w:bCs/>
              </w:rPr>
            </w:pPr>
            <w:r w:rsidRPr="00AC08C3">
              <w:rPr>
                <w:rFonts w:hint="eastAsia"/>
                <w:b w:val="0"/>
                <w:bCs/>
              </w:rPr>
              <w:t>Ⅲ</w:t>
            </w:r>
          </w:p>
        </w:tc>
        <w:tc>
          <w:tcPr>
            <w:tcW w:w="484" w:type="pct"/>
            <w:shd w:val="clear" w:color="auto" w:fill="auto"/>
          </w:tcPr>
          <w:p w14:paraId="30ED5140" w14:textId="77777777" w:rsidR="00913C78" w:rsidRPr="00AC08C3" w:rsidRDefault="00913C78" w:rsidP="00AC08C3">
            <w:pPr>
              <w:pStyle w:val="ae"/>
              <w:rPr>
                <w:b w:val="0"/>
                <w:bCs/>
              </w:rPr>
            </w:pPr>
            <w:r w:rsidRPr="00AC08C3">
              <w:rPr>
                <w:rFonts w:hint="eastAsia"/>
                <w:b w:val="0"/>
                <w:bCs/>
              </w:rPr>
              <w:t>100</w:t>
            </w:r>
          </w:p>
        </w:tc>
        <w:tc>
          <w:tcPr>
            <w:tcW w:w="482" w:type="pct"/>
            <w:shd w:val="clear" w:color="auto" w:fill="auto"/>
          </w:tcPr>
          <w:p w14:paraId="1B52D77F" w14:textId="77777777" w:rsidR="00913C78" w:rsidRPr="00AC08C3" w:rsidRDefault="00913C78" w:rsidP="00AC08C3">
            <w:pPr>
              <w:pStyle w:val="ae"/>
              <w:rPr>
                <w:b w:val="0"/>
                <w:bCs/>
              </w:rPr>
            </w:pPr>
            <w:r w:rsidRPr="00AC08C3">
              <w:rPr>
                <w:rFonts w:hint="eastAsia"/>
                <w:b w:val="0"/>
                <w:bCs/>
              </w:rPr>
              <w:t>410</w:t>
            </w:r>
          </w:p>
        </w:tc>
        <w:tc>
          <w:tcPr>
            <w:tcW w:w="499" w:type="pct"/>
            <w:shd w:val="clear" w:color="auto" w:fill="auto"/>
          </w:tcPr>
          <w:p w14:paraId="5421F568" w14:textId="77777777" w:rsidR="00913C78" w:rsidRPr="00AC08C3" w:rsidRDefault="00913C78" w:rsidP="00AC08C3">
            <w:pPr>
              <w:pStyle w:val="ae"/>
              <w:rPr>
                <w:b w:val="0"/>
                <w:bCs/>
              </w:rPr>
            </w:pPr>
            <w:r w:rsidRPr="00AC08C3">
              <w:rPr>
                <w:rFonts w:hint="eastAsia"/>
                <w:b w:val="0"/>
                <w:bCs/>
              </w:rPr>
              <w:t>767</w:t>
            </w:r>
          </w:p>
        </w:tc>
        <w:tc>
          <w:tcPr>
            <w:tcW w:w="554" w:type="pct"/>
            <w:shd w:val="clear" w:color="auto" w:fill="auto"/>
          </w:tcPr>
          <w:p w14:paraId="35D0818E" w14:textId="77777777" w:rsidR="00913C78" w:rsidRPr="00AC08C3" w:rsidRDefault="00913C78" w:rsidP="00AC08C3">
            <w:pPr>
              <w:pStyle w:val="ae"/>
              <w:rPr>
                <w:b w:val="0"/>
                <w:bCs/>
              </w:rPr>
            </w:pPr>
            <w:r w:rsidRPr="00AC08C3">
              <w:rPr>
                <w:rFonts w:hint="eastAsia"/>
                <w:b w:val="0"/>
                <w:bCs/>
              </w:rPr>
              <w:t>434</w:t>
            </w:r>
          </w:p>
        </w:tc>
        <w:tc>
          <w:tcPr>
            <w:tcW w:w="554" w:type="pct"/>
            <w:shd w:val="clear" w:color="auto" w:fill="auto"/>
          </w:tcPr>
          <w:p w14:paraId="1B06F835" w14:textId="77777777" w:rsidR="00913C78" w:rsidRPr="00AC08C3" w:rsidRDefault="00913C78" w:rsidP="00AC08C3">
            <w:pPr>
              <w:pStyle w:val="ae"/>
              <w:rPr>
                <w:b w:val="0"/>
                <w:bCs/>
              </w:rPr>
            </w:pPr>
            <w:r w:rsidRPr="00AC08C3">
              <w:rPr>
                <w:rFonts w:hint="eastAsia"/>
                <w:b w:val="0"/>
                <w:bCs/>
              </w:rPr>
              <w:t>134</w:t>
            </w:r>
          </w:p>
        </w:tc>
        <w:tc>
          <w:tcPr>
            <w:tcW w:w="554" w:type="pct"/>
            <w:shd w:val="clear" w:color="auto" w:fill="auto"/>
          </w:tcPr>
          <w:p w14:paraId="756CD800" w14:textId="77777777" w:rsidR="00913C78" w:rsidRPr="00AC08C3" w:rsidRDefault="00913C78" w:rsidP="00AC08C3">
            <w:pPr>
              <w:pStyle w:val="ae"/>
              <w:rPr>
                <w:b w:val="0"/>
                <w:bCs/>
              </w:rPr>
            </w:pPr>
            <w:r w:rsidRPr="00AC08C3">
              <w:rPr>
                <w:rFonts w:hint="eastAsia"/>
                <w:b w:val="0"/>
                <w:bCs/>
              </w:rPr>
              <w:t>767</w:t>
            </w:r>
          </w:p>
        </w:tc>
        <w:tc>
          <w:tcPr>
            <w:tcW w:w="554" w:type="pct"/>
            <w:shd w:val="clear" w:color="auto" w:fill="auto"/>
          </w:tcPr>
          <w:p w14:paraId="6BA77487" w14:textId="77777777" w:rsidR="00913C78" w:rsidRPr="00AC08C3" w:rsidRDefault="00913C78" w:rsidP="00AC08C3">
            <w:pPr>
              <w:pStyle w:val="ae"/>
              <w:rPr>
                <w:b w:val="0"/>
                <w:bCs/>
              </w:rPr>
            </w:pPr>
            <w:r w:rsidRPr="00AC08C3">
              <w:rPr>
                <w:rFonts w:hint="eastAsia"/>
                <w:b w:val="0"/>
                <w:bCs/>
              </w:rPr>
              <w:t>134</w:t>
            </w:r>
          </w:p>
        </w:tc>
        <w:tc>
          <w:tcPr>
            <w:tcW w:w="552" w:type="pct"/>
            <w:shd w:val="clear" w:color="auto" w:fill="auto"/>
          </w:tcPr>
          <w:p w14:paraId="122E5B0D" w14:textId="77777777" w:rsidR="00913C78" w:rsidRPr="00AC08C3" w:rsidRDefault="00913C78" w:rsidP="00AC08C3">
            <w:pPr>
              <w:pStyle w:val="ae"/>
              <w:rPr>
                <w:b w:val="0"/>
                <w:bCs/>
              </w:rPr>
            </w:pPr>
            <w:r w:rsidRPr="00AC08C3">
              <w:rPr>
                <w:rFonts w:hint="eastAsia"/>
                <w:b w:val="0"/>
                <w:bCs/>
              </w:rPr>
              <w:t>525</w:t>
            </w:r>
          </w:p>
        </w:tc>
      </w:tr>
      <w:tr w:rsidR="00913C78" w:rsidRPr="00AC08C3" w14:paraId="55D5E3B2" w14:textId="77777777" w:rsidTr="00E731D0">
        <w:trPr>
          <w:jc w:val="center"/>
        </w:trPr>
        <w:tc>
          <w:tcPr>
            <w:tcW w:w="765" w:type="pct"/>
            <w:shd w:val="clear" w:color="auto" w:fill="auto"/>
          </w:tcPr>
          <w:p w14:paraId="042B8E56" w14:textId="77777777" w:rsidR="00913C78" w:rsidRPr="00AC08C3" w:rsidRDefault="00913C78" w:rsidP="00AC08C3">
            <w:pPr>
              <w:pStyle w:val="ae"/>
              <w:rPr>
                <w:b w:val="0"/>
                <w:bCs/>
              </w:rPr>
            </w:pPr>
            <w:r w:rsidRPr="00AC08C3">
              <w:rPr>
                <w:rFonts w:hint="eastAsia"/>
                <w:b w:val="0"/>
                <w:bCs/>
              </w:rPr>
              <w:t>Ⅳ</w:t>
            </w:r>
          </w:p>
        </w:tc>
        <w:tc>
          <w:tcPr>
            <w:tcW w:w="484" w:type="pct"/>
            <w:shd w:val="clear" w:color="auto" w:fill="auto"/>
          </w:tcPr>
          <w:p w14:paraId="16002E5F" w14:textId="77777777" w:rsidR="00913C78" w:rsidRPr="00AC08C3" w:rsidRDefault="00913C78" w:rsidP="00AC08C3">
            <w:pPr>
              <w:pStyle w:val="ae"/>
              <w:rPr>
                <w:b w:val="0"/>
                <w:bCs/>
              </w:rPr>
            </w:pPr>
            <w:r w:rsidRPr="00AC08C3">
              <w:rPr>
                <w:rFonts w:hint="eastAsia"/>
                <w:b w:val="0"/>
                <w:bCs/>
              </w:rPr>
              <w:t>175</w:t>
            </w:r>
          </w:p>
        </w:tc>
        <w:tc>
          <w:tcPr>
            <w:tcW w:w="482" w:type="pct"/>
            <w:shd w:val="clear" w:color="auto" w:fill="auto"/>
          </w:tcPr>
          <w:p w14:paraId="1FFF9DAC" w14:textId="77777777" w:rsidR="00913C78" w:rsidRPr="00AC08C3" w:rsidRDefault="00913C78" w:rsidP="00AC08C3">
            <w:pPr>
              <w:pStyle w:val="ae"/>
              <w:rPr>
                <w:b w:val="0"/>
                <w:bCs/>
              </w:rPr>
            </w:pPr>
            <w:r w:rsidRPr="00AC08C3">
              <w:rPr>
                <w:rFonts w:hint="eastAsia"/>
                <w:b w:val="0"/>
                <w:bCs/>
              </w:rPr>
              <w:t>429</w:t>
            </w:r>
          </w:p>
        </w:tc>
        <w:tc>
          <w:tcPr>
            <w:tcW w:w="499" w:type="pct"/>
            <w:shd w:val="clear" w:color="auto" w:fill="auto"/>
          </w:tcPr>
          <w:p w14:paraId="2C509AF0" w14:textId="77777777" w:rsidR="00913C78" w:rsidRPr="00AC08C3" w:rsidRDefault="00913C78" w:rsidP="00AC08C3">
            <w:pPr>
              <w:pStyle w:val="ae"/>
              <w:rPr>
                <w:b w:val="0"/>
                <w:bCs/>
              </w:rPr>
            </w:pPr>
            <w:r w:rsidRPr="00AC08C3">
              <w:rPr>
                <w:rFonts w:hint="eastAsia"/>
                <w:b w:val="0"/>
                <w:bCs/>
              </w:rPr>
              <w:t>803</w:t>
            </w:r>
          </w:p>
        </w:tc>
        <w:tc>
          <w:tcPr>
            <w:tcW w:w="554" w:type="pct"/>
            <w:shd w:val="clear" w:color="auto" w:fill="auto"/>
          </w:tcPr>
          <w:p w14:paraId="2B54BFA8" w14:textId="77777777" w:rsidR="00913C78" w:rsidRPr="00AC08C3" w:rsidRDefault="00913C78" w:rsidP="00AC08C3">
            <w:pPr>
              <w:pStyle w:val="ae"/>
              <w:rPr>
                <w:b w:val="0"/>
                <w:bCs/>
              </w:rPr>
            </w:pPr>
            <w:r w:rsidRPr="00AC08C3">
              <w:rPr>
                <w:rFonts w:hint="eastAsia"/>
                <w:b w:val="0"/>
                <w:bCs/>
              </w:rPr>
              <w:t>527</w:t>
            </w:r>
          </w:p>
        </w:tc>
        <w:tc>
          <w:tcPr>
            <w:tcW w:w="554" w:type="pct"/>
            <w:shd w:val="clear" w:color="auto" w:fill="auto"/>
          </w:tcPr>
          <w:p w14:paraId="6D495B08" w14:textId="77777777" w:rsidR="00913C78" w:rsidRPr="00AC08C3" w:rsidRDefault="00913C78" w:rsidP="00AC08C3">
            <w:pPr>
              <w:pStyle w:val="ae"/>
              <w:rPr>
                <w:b w:val="0"/>
                <w:bCs/>
              </w:rPr>
            </w:pPr>
            <w:r w:rsidRPr="00AC08C3">
              <w:rPr>
                <w:rFonts w:hint="eastAsia"/>
                <w:b w:val="0"/>
                <w:bCs/>
              </w:rPr>
              <w:t>235</w:t>
            </w:r>
          </w:p>
        </w:tc>
        <w:tc>
          <w:tcPr>
            <w:tcW w:w="554" w:type="pct"/>
            <w:shd w:val="clear" w:color="auto" w:fill="auto"/>
          </w:tcPr>
          <w:p w14:paraId="32363B4B" w14:textId="77777777" w:rsidR="00913C78" w:rsidRPr="00AC08C3" w:rsidRDefault="00913C78" w:rsidP="00AC08C3">
            <w:pPr>
              <w:pStyle w:val="ae"/>
              <w:rPr>
                <w:b w:val="0"/>
                <w:bCs/>
              </w:rPr>
            </w:pPr>
            <w:r w:rsidRPr="00AC08C3">
              <w:rPr>
                <w:rFonts w:hint="eastAsia"/>
                <w:b w:val="0"/>
                <w:bCs/>
              </w:rPr>
              <w:t>803</w:t>
            </w:r>
          </w:p>
        </w:tc>
        <w:tc>
          <w:tcPr>
            <w:tcW w:w="554" w:type="pct"/>
            <w:shd w:val="clear" w:color="auto" w:fill="auto"/>
          </w:tcPr>
          <w:p w14:paraId="658D699C" w14:textId="77777777" w:rsidR="00913C78" w:rsidRPr="00AC08C3" w:rsidRDefault="00913C78" w:rsidP="00AC08C3">
            <w:pPr>
              <w:pStyle w:val="ae"/>
              <w:rPr>
                <w:b w:val="0"/>
                <w:bCs/>
              </w:rPr>
            </w:pPr>
            <w:r w:rsidRPr="00AC08C3">
              <w:rPr>
                <w:rFonts w:hint="eastAsia"/>
                <w:b w:val="0"/>
                <w:bCs/>
              </w:rPr>
              <w:t>235</w:t>
            </w:r>
          </w:p>
        </w:tc>
        <w:tc>
          <w:tcPr>
            <w:tcW w:w="552" w:type="pct"/>
            <w:shd w:val="clear" w:color="auto" w:fill="auto"/>
          </w:tcPr>
          <w:p w14:paraId="7D197CCE" w14:textId="77777777" w:rsidR="00913C78" w:rsidRPr="00AC08C3" w:rsidRDefault="00913C78" w:rsidP="00AC08C3">
            <w:pPr>
              <w:pStyle w:val="ae"/>
              <w:rPr>
                <w:b w:val="0"/>
                <w:bCs/>
              </w:rPr>
            </w:pPr>
            <w:r w:rsidRPr="00AC08C3">
              <w:rPr>
                <w:rFonts w:hint="eastAsia"/>
                <w:b w:val="0"/>
                <w:bCs/>
              </w:rPr>
              <w:t>550</w:t>
            </w:r>
          </w:p>
        </w:tc>
      </w:tr>
      <w:tr w:rsidR="00913C78" w:rsidRPr="00AC08C3" w14:paraId="03232968" w14:textId="77777777" w:rsidTr="00E731D0">
        <w:trPr>
          <w:jc w:val="center"/>
        </w:trPr>
        <w:tc>
          <w:tcPr>
            <w:tcW w:w="765" w:type="pct"/>
            <w:shd w:val="clear" w:color="auto" w:fill="auto"/>
          </w:tcPr>
          <w:p w14:paraId="098CFD0F" w14:textId="77777777" w:rsidR="00913C78" w:rsidRPr="00AC08C3" w:rsidRDefault="00913C78" w:rsidP="00AC08C3">
            <w:pPr>
              <w:pStyle w:val="ae"/>
              <w:rPr>
                <w:b w:val="0"/>
                <w:bCs/>
              </w:rPr>
            </w:pPr>
            <w:r w:rsidRPr="00AC08C3">
              <w:rPr>
                <w:rFonts w:hint="eastAsia"/>
                <w:b w:val="0"/>
                <w:bCs/>
              </w:rPr>
              <w:t>Ⅴ</w:t>
            </w:r>
          </w:p>
        </w:tc>
        <w:tc>
          <w:tcPr>
            <w:tcW w:w="484" w:type="pct"/>
            <w:shd w:val="clear" w:color="auto" w:fill="auto"/>
          </w:tcPr>
          <w:p w14:paraId="00D4D051" w14:textId="77777777" w:rsidR="00913C78" w:rsidRPr="00AC08C3" w:rsidRDefault="00913C78" w:rsidP="00AC08C3">
            <w:pPr>
              <w:pStyle w:val="ae"/>
              <w:rPr>
                <w:b w:val="0"/>
                <w:bCs/>
              </w:rPr>
            </w:pPr>
            <w:r w:rsidRPr="00AC08C3">
              <w:rPr>
                <w:rFonts w:hint="eastAsia"/>
                <w:b w:val="0"/>
                <w:bCs/>
              </w:rPr>
              <w:t>425</w:t>
            </w:r>
          </w:p>
        </w:tc>
        <w:tc>
          <w:tcPr>
            <w:tcW w:w="482" w:type="pct"/>
            <w:shd w:val="clear" w:color="auto" w:fill="auto"/>
          </w:tcPr>
          <w:p w14:paraId="7F4858D0" w14:textId="77777777" w:rsidR="00913C78" w:rsidRPr="00AC08C3" w:rsidRDefault="00913C78" w:rsidP="00AC08C3">
            <w:pPr>
              <w:pStyle w:val="ae"/>
              <w:rPr>
                <w:b w:val="0"/>
                <w:bCs/>
              </w:rPr>
            </w:pPr>
            <w:r w:rsidRPr="00AC08C3">
              <w:rPr>
                <w:rFonts w:hint="eastAsia"/>
                <w:b w:val="0"/>
                <w:bCs/>
              </w:rPr>
              <w:t>507</w:t>
            </w:r>
          </w:p>
        </w:tc>
        <w:tc>
          <w:tcPr>
            <w:tcW w:w="499" w:type="pct"/>
            <w:shd w:val="clear" w:color="auto" w:fill="auto"/>
          </w:tcPr>
          <w:p w14:paraId="158415E8" w14:textId="77777777" w:rsidR="00913C78" w:rsidRPr="00AC08C3" w:rsidRDefault="00913C78" w:rsidP="00AC08C3">
            <w:pPr>
              <w:pStyle w:val="ae"/>
              <w:rPr>
                <w:b w:val="0"/>
                <w:bCs/>
              </w:rPr>
            </w:pPr>
            <w:r w:rsidRPr="00AC08C3">
              <w:rPr>
                <w:rFonts w:hint="eastAsia"/>
                <w:b w:val="0"/>
                <w:bCs/>
              </w:rPr>
              <w:t>949</w:t>
            </w:r>
          </w:p>
        </w:tc>
        <w:tc>
          <w:tcPr>
            <w:tcW w:w="554" w:type="pct"/>
            <w:shd w:val="clear" w:color="auto" w:fill="auto"/>
          </w:tcPr>
          <w:p w14:paraId="07492B58" w14:textId="77777777" w:rsidR="00913C78" w:rsidRPr="00AC08C3" w:rsidRDefault="00913C78" w:rsidP="00AC08C3">
            <w:pPr>
              <w:pStyle w:val="ae"/>
              <w:rPr>
                <w:b w:val="0"/>
                <w:bCs/>
              </w:rPr>
            </w:pPr>
            <w:r w:rsidRPr="00AC08C3">
              <w:rPr>
                <w:rFonts w:hint="eastAsia"/>
                <w:b w:val="0"/>
                <w:bCs/>
              </w:rPr>
              <w:t>806</w:t>
            </w:r>
          </w:p>
        </w:tc>
        <w:tc>
          <w:tcPr>
            <w:tcW w:w="554" w:type="pct"/>
            <w:shd w:val="clear" w:color="auto" w:fill="auto"/>
          </w:tcPr>
          <w:p w14:paraId="1D107C14" w14:textId="77777777" w:rsidR="00913C78" w:rsidRPr="00AC08C3" w:rsidRDefault="00913C78" w:rsidP="00AC08C3">
            <w:pPr>
              <w:pStyle w:val="ae"/>
              <w:rPr>
                <w:b w:val="0"/>
                <w:bCs/>
              </w:rPr>
            </w:pPr>
            <w:r w:rsidRPr="00AC08C3">
              <w:rPr>
                <w:rFonts w:hint="eastAsia"/>
                <w:b w:val="0"/>
                <w:bCs/>
              </w:rPr>
              <w:t>571</w:t>
            </w:r>
          </w:p>
        </w:tc>
        <w:tc>
          <w:tcPr>
            <w:tcW w:w="554" w:type="pct"/>
            <w:shd w:val="clear" w:color="auto" w:fill="auto"/>
          </w:tcPr>
          <w:p w14:paraId="1C74CC15" w14:textId="77777777" w:rsidR="00913C78" w:rsidRPr="00AC08C3" w:rsidRDefault="00913C78" w:rsidP="00AC08C3">
            <w:pPr>
              <w:pStyle w:val="ae"/>
              <w:rPr>
                <w:b w:val="0"/>
                <w:bCs/>
              </w:rPr>
            </w:pPr>
            <w:r w:rsidRPr="00AC08C3">
              <w:rPr>
                <w:rFonts w:hint="eastAsia"/>
                <w:b w:val="0"/>
                <w:bCs/>
              </w:rPr>
              <w:t>949</w:t>
            </w:r>
          </w:p>
        </w:tc>
        <w:tc>
          <w:tcPr>
            <w:tcW w:w="554" w:type="pct"/>
            <w:shd w:val="clear" w:color="auto" w:fill="auto"/>
          </w:tcPr>
          <w:p w14:paraId="47C5F9AD" w14:textId="77777777" w:rsidR="00913C78" w:rsidRPr="00AC08C3" w:rsidRDefault="00913C78" w:rsidP="00AC08C3">
            <w:pPr>
              <w:pStyle w:val="ae"/>
              <w:rPr>
                <w:b w:val="0"/>
                <w:bCs/>
              </w:rPr>
            </w:pPr>
            <w:r w:rsidRPr="00AC08C3">
              <w:rPr>
                <w:rFonts w:hint="eastAsia"/>
                <w:b w:val="0"/>
                <w:bCs/>
              </w:rPr>
              <w:t>571</w:t>
            </w:r>
          </w:p>
        </w:tc>
        <w:tc>
          <w:tcPr>
            <w:tcW w:w="552" w:type="pct"/>
            <w:shd w:val="clear" w:color="auto" w:fill="auto"/>
          </w:tcPr>
          <w:p w14:paraId="11083698" w14:textId="77777777" w:rsidR="00913C78" w:rsidRPr="00AC08C3" w:rsidRDefault="00913C78" w:rsidP="00AC08C3">
            <w:pPr>
              <w:pStyle w:val="ae"/>
              <w:rPr>
                <w:b w:val="0"/>
                <w:bCs/>
              </w:rPr>
            </w:pPr>
            <w:r w:rsidRPr="00AC08C3">
              <w:rPr>
                <w:rFonts w:hint="eastAsia"/>
                <w:b w:val="0"/>
                <w:bCs/>
              </w:rPr>
              <w:t>650</w:t>
            </w:r>
          </w:p>
        </w:tc>
      </w:tr>
    </w:tbl>
    <w:p w14:paraId="76F8397E" w14:textId="77777777" w:rsidR="00913C78" w:rsidRPr="00913C78" w:rsidRDefault="00913C78" w:rsidP="00913C78">
      <w:pPr>
        <w:ind w:firstLine="420"/>
      </w:pPr>
      <w:r w:rsidRPr="00913C78">
        <w:t>注：部分利用天然光的时数是指设计照度和临界照度之间的时段。</w:t>
      </w:r>
    </w:p>
    <w:p w14:paraId="2BC29841" w14:textId="62DA1586" w:rsidR="00913C78" w:rsidRPr="00913C78" w:rsidRDefault="00913C78" w:rsidP="00AC08C3">
      <w:pPr>
        <w:pStyle w:val="32"/>
      </w:pPr>
      <w:bookmarkStart w:id="288" w:name="_Toc475359863"/>
      <w:bookmarkStart w:id="289" w:name="_Toc35364781"/>
      <w:r w:rsidRPr="00913C78">
        <w:rPr>
          <w:rFonts w:hint="eastAsia"/>
        </w:rPr>
        <w:t>A.3.</w:t>
      </w:r>
      <w:r w:rsidRPr="00913C78">
        <w:t>4</w:t>
      </w:r>
      <w:r w:rsidRPr="00913C78">
        <w:rPr>
          <w:rFonts w:hint="eastAsia"/>
        </w:rPr>
        <w:t xml:space="preserve">  </w:t>
      </w:r>
      <w:r w:rsidRPr="00913C78">
        <w:t>数值分析</w:t>
      </w:r>
      <w:r w:rsidRPr="00913C78">
        <w:rPr>
          <w:rFonts w:hint="eastAsia"/>
        </w:rPr>
        <w:t>结果与</w:t>
      </w:r>
      <w:r w:rsidRPr="00913C78">
        <w:t>结论</w:t>
      </w:r>
      <w:bookmarkEnd w:id="288"/>
      <w:bookmarkEnd w:id="289"/>
    </w:p>
    <w:p w14:paraId="6357BB5F" w14:textId="77777777" w:rsidR="00913C78" w:rsidRPr="00913C78" w:rsidRDefault="00913C78" w:rsidP="00913C78">
      <w:pPr>
        <w:ind w:firstLine="420"/>
      </w:pPr>
      <w:bookmarkStart w:id="290" w:name="_Toc475359864"/>
      <w:r w:rsidRPr="00913C78">
        <w:rPr>
          <w:rFonts w:hint="eastAsia"/>
        </w:rPr>
        <w:t>◎</w:t>
      </w:r>
      <w:r w:rsidRPr="00913C78">
        <w:t xml:space="preserve"> </w:t>
      </w:r>
      <w:r w:rsidRPr="00913C78">
        <w:rPr>
          <w:rFonts w:hint="eastAsia"/>
        </w:rPr>
        <w:t>数值分析</w:t>
      </w:r>
      <w:r w:rsidRPr="00913C78">
        <w:t>结果</w:t>
      </w:r>
      <w:bookmarkEnd w:id="290"/>
    </w:p>
    <w:p w14:paraId="37BC0979" w14:textId="77777777" w:rsidR="00913C78" w:rsidRPr="00913C78" w:rsidRDefault="00913C78" w:rsidP="00913C78">
      <w:pPr>
        <w:ind w:firstLine="420"/>
      </w:pPr>
      <w:r w:rsidRPr="00913C78">
        <w:rPr>
          <w:rFonts w:hint="eastAsia"/>
        </w:rPr>
        <w:t>室内采光数值分析结果应包括：</w:t>
      </w:r>
    </w:p>
    <w:p w14:paraId="43C43841"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能够</w:t>
      </w:r>
      <w:r w:rsidRPr="00913C78">
        <w:t>表达目标建筑和周边遮挡物位置关系的总平面图</w:t>
      </w:r>
      <w:r w:rsidRPr="00913C78">
        <w:rPr>
          <w:rFonts w:hint="eastAsia"/>
        </w:rPr>
        <w:t>。</w:t>
      </w:r>
    </w:p>
    <w:p w14:paraId="59AEF286" w14:textId="77777777" w:rsidR="00913C78" w:rsidRPr="00913C78" w:rsidRDefault="00913C78" w:rsidP="00913C78">
      <w:pPr>
        <w:ind w:firstLine="420"/>
      </w:pPr>
      <w:r w:rsidRPr="00913C78">
        <w:lastRenderedPageBreak/>
        <w:t>2</w:t>
      </w:r>
      <w:r w:rsidRPr="00913C78">
        <w:rPr>
          <w:rFonts w:hint="eastAsia"/>
        </w:rPr>
        <w:t>）</w:t>
      </w:r>
      <w:r w:rsidRPr="00913C78">
        <w:t> </w:t>
      </w:r>
      <w:r w:rsidRPr="00913C78">
        <w:rPr>
          <w:rFonts w:hint="eastAsia"/>
        </w:rPr>
        <w:t>通过模拟</w:t>
      </w:r>
      <w:r w:rsidRPr="00913C78">
        <w:t>形成的</w:t>
      </w:r>
      <w:r w:rsidRPr="00913C78">
        <w:rPr>
          <w:rFonts w:hint="eastAsia"/>
        </w:rPr>
        <w:t>目标</w:t>
      </w:r>
      <w:r w:rsidRPr="00913C78">
        <w:t>建筑</w:t>
      </w:r>
      <w:r w:rsidRPr="00913C78">
        <w:rPr>
          <w:rFonts w:hint="eastAsia"/>
        </w:rPr>
        <w:t>三维</w:t>
      </w:r>
      <w:r w:rsidRPr="00913C78">
        <w:t>物理模型</w:t>
      </w:r>
      <w:r w:rsidRPr="00913C78">
        <w:rPr>
          <w:rFonts w:hint="eastAsia"/>
        </w:rPr>
        <w:t>效果图。</w:t>
      </w:r>
    </w:p>
    <w:p w14:paraId="279AE183"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数值分析得到满足网格间距参考平面</w:t>
      </w:r>
      <w:r w:rsidRPr="00913C78">
        <w:t>（</w:t>
      </w:r>
      <w:r w:rsidRPr="00913C78">
        <w:rPr>
          <w:rFonts w:hint="eastAsia"/>
        </w:rPr>
        <w:t>民用建筑取距地面</w:t>
      </w:r>
      <w:r w:rsidRPr="00913C78">
        <w:rPr>
          <w:rFonts w:hint="eastAsia"/>
        </w:rPr>
        <w:t>0.75m</w:t>
      </w:r>
      <w:r w:rsidRPr="00913C78">
        <w:t>）</w:t>
      </w:r>
      <w:r w:rsidRPr="00913C78">
        <w:rPr>
          <w:rFonts w:hint="eastAsia"/>
        </w:rPr>
        <w:t>的采光系数</w:t>
      </w:r>
      <w:r w:rsidRPr="00913C78">
        <w:t>平均值、室内参考平面采光系数等值线图</w:t>
      </w:r>
      <w:r w:rsidRPr="00913C78">
        <w:rPr>
          <w:rFonts w:hint="eastAsia"/>
        </w:rPr>
        <w:t>，并列表</w:t>
      </w:r>
      <w:r w:rsidRPr="00913C78">
        <w:t>统计</w:t>
      </w:r>
      <w:r w:rsidRPr="00913C78">
        <w:rPr>
          <w:rFonts w:hint="eastAsia"/>
        </w:rPr>
        <w:t>主要</w:t>
      </w:r>
      <w:r w:rsidRPr="00913C78">
        <w:t>功能房间及</w:t>
      </w:r>
      <w:r w:rsidRPr="00913C78">
        <w:rPr>
          <w:rFonts w:hint="eastAsia"/>
        </w:rPr>
        <w:t>内</w:t>
      </w:r>
      <w:r w:rsidRPr="00913C78">
        <w:t>区</w:t>
      </w:r>
      <w:r w:rsidRPr="00913C78">
        <w:rPr>
          <w:rFonts w:hint="eastAsia"/>
        </w:rPr>
        <w:t>（一般</w:t>
      </w:r>
      <w:r w:rsidRPr="00913C78">
        <w:t>为距外墙</w:t>
      </w:r>
      <w:r w:rsidRPr="00913C78">
        <w:rPr>
          <w:rFonts w:hint="eastAsia"/>
        </w:rPr>
        <w:t>5</w:t>
      </w:r>
      <w:r w:rsidRPr="00913C78">
        <w:t>m</w:t>
      </w:r>
      <w:r w:rsidRPr="00913C78">
        <w:t>以内</w:t>
      </w:r>
      <w:r w:rsidRPr="00913C78">
        <w:rPr>
          <w:rFonts w:hint="eastAsia"/>
        </w:rPr>
        <w:t>）</w:t>
      </w:r>
      <w:r w:rsidRPr="00913C78">
        <w:t>满足标准的比例</w:t>
      </w:r>
      <w:r w:rsidRPr="00913C78">
        <w:rPr>
          <w:rFonts w:hint="eastAsia"/>
        </w:rPr>
        <w:t>。</w:t>
      </w:r>
    </w:p>
    <w:p w14:paraId="7BCA2877"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室内</w:t>
      </w:r>
      <w:r w:rsidRPr="00913C78">
        <w:t>参考平面天然光设计照度平均值、室内参考平面天然光设计照度等值线图</w:t>
      </w:r>
      <w:r w:rsidRPr="00913C78">
        <w:rPr>
          <w:rFonts w:hint="eastAsia"/>
        </w:rPr>
        <w:t>，并列表</w:t>
      </w:r>
      <w:r w:rsidRPr="00913C78">
        <w:t>统计</w:t>
      </w:r>
      <w:r w:rsidRPr="00913C78">
        <w:rPr>
          <w:rFonts w:hint="eastAsia"/>
        </w:rPr>
        <w:t>主要</w:t>
      </w:r>
      <w:r w:rsidRPr="00913C78">
        <w:t>功能房间及</w:t>
      </w:r>
      <w:r w:rsidRPr="00913C78">
        <w:rPr>
          <w:rFonts w:hint="eastAsia"/>
        </w:rPr>
        <w:t>内</w:t>
      </w:r>
      <w:r w:rsidRPr="00913C78">
        <w:t>区</w:t>
      </w:r>
      <w:r w:rsidRPr="00913C78">
        <w:rPr>
          <w:rFonts w:hint="eastAsia"/>
        </w:rPr>
        <w:t>（一般</w:t>
      </w:r>
      <w:r w:rsidRPr="00913C78">
        <w:t>为距外墙</w:t>
      </w:r>
      <w:r w:rsidRPr="00913C78">
        <w:rPr>
          <w:rFonts w:hint="eastAsia"/>
        </w:rPr>
        <w:t>5</w:t>
      </w:r>
      <w:r w:rsidRPr="00913C78">
        <w:t>m</w:t>
      </w:r>
      <w:r w:rsidRPr="00913C78">
        <w:t>以内</w:t>
      </w:r>
      <w:r w:rsidRPr="00913C78">
        <w:rPr>
          <w:rFonts w:hint="eastAsia"/>
        </w:rPr>
        <w:t>）</w:t>
      </w:r>
      <w:r w:rsidRPr="00913C78">
        <w:t>满足标准的比例。</w:t>
      </w:r>
    </w:p>
    <w:p w14:paraId="157F612F" w14:textId="77777777" w:rsidR="00913C78" w:rsidRPr="00913C78" w:rsidRDefault="00913C78" w:rsidP="00913C78">
      <w:pPr>
        <w:ind w:firstLine="420"/>
      </w:pPr>
      <w:r w:rsidRPr="00913C78">
        <w:rPr>
          <w:rFonts w:hint="eastAsia"/>
        </w:rPr>
        <w:t>数值分析结果</w:t>
      </w:r>
      <w:r w:rsidRPr="00913C78">
        <w:t>要求：</w:t>
      </w:r>
    </w:p>
    <w:p w14:paraId="52BFF69B" w14:textId="77777777" w:rsidR="00913C78" w:rsidRPr="00913C78" w:rsidRDefault="00913C78" w:rsidP="00913C78">
      <w:pPr>
        <w:ind w:firstLine="420"/>
      </w:pPr>
      <w:r w:rsidRPr="00913C78">
        <w:rPr>
          <w:rFonts w:hint="eastAsia"/>
        </w:rPr>
        <w:t>模拟</w:t>
      </w:r>
      <w:r w:rsidRPr="00913C78">
        <w:t>结果的等值线图：</w:t>
      </w:r>
      <w:r w:rsidRPr="00913C78">
        <w:rPr>
          <w:rFonts w:hint="eastAsia"/>
        </w:rPr>
        <w:t>应</w:t>
      </w:r>
      <w:r w:rsidRPr="00913C78">
        <w:t>对计算结果的上下限进行调整，等值线图应体现出较明显的变化，并对结果进行说明。</w:t>
      </w:r>
    </w:p>
    <w:p w14:paraId="29646A6F" w14:textId="77777777" w:rsidR="00913C78" w:rsidRPr="00913C78" w:rsidRDefault="00913C78" w:rsidP="00913C78">
      <w:pPr>
        <w:ind w:firstLine="420"/>
      </w:pPr>
      <w:bookmarkStart w:id="291" w:name="_Toc475359865"/>
      <w:r w:rsidRPr="00913C78">
        <w:rPr>
          <w:rFonts w:hint="eastAsia"/>
        </w:rPr>
        <w:t>◎</w:t>
      </w:r>
      <w:r w:rsidRPr="00913C78">
        <w:rPr>
          <w:rFonts w:hint="eastAsia"/>
        </w:rPr>
        <w:t xml:space="preserve"> </w:t>
      </w:r>
      <w:r w:rsidRPr="00913C78">
        <w:rPr>
          <w:rFonts w:hint="eastAsia"/>
        </w:rPr>
        <w:t>对比</w:t>
      </w:r>
      <w:r w:rsidRPr="00913C78">
        <w:t>分析</w:t>
      </w:r>
      <w:bookmarkEnd w:id="291"/>
    </w:p>
    <w:p w14:paraId="0C53DACD" w14:textId="77777777" w:rsidR="00913C78" w:rsidRPr="00913C78" w:rsidRDefault="00913C78" w:rsidP="00913C78">
      <w:pPr>
        <w:ind w:firstLine="420"/>
      </w:pPr>
      <w:r w:rsidRPr="00913C78">
        <w:rPr>
          <w:rFonts w:hint="eastAsia"/>
        </w:rPr>
        <w:t>根据数值分析结果分析项目</w:t>
      </w:r>
      <w:r w:rsidRPr="00913C78">
        <w:t>室</w:t>
      </w:r>
      <w:r w:rsidRPr="00913C78">
        <w:rPr>
          <w:rFonts w:hint="eastAsia"/>
        </w:rPr>
        <w:t>内采光</w:t>
      </w:r>
      <w:r w:rsidRPr="00913C78">
        <w:t>状态</w:t>
      </w:r>
      <w:r w:rsidRPr="00913C78">
        <w:rPr>
          <w:rFonts w:hint="eastAsia"/>
        </w:rPr>
        <w:t>，</w:t>
      </w:r>
      <w:r w:rsidRPr="00913C78">
        <w:t>将采光系数</w:t>
      </w:r>
      <w:r w:rsidRPr="00913C78">
        <w:rPr>
          <w:rFonts w:hint="eastAsia"/>
        </w:rPr>
        <w:t>、</w:t>
      </w:r>
      <w:r w:rsidRPr="00913C78">
        <w:t>室内天然光设计照度</w:t>
      </w:r>
      <w:r w:rsidRPr="00913C78">
        <w:rPr>
          <w:rFonts w:hint="eastAsia"/>
        </w:rPr>
        <w:t>等</w:t>
      </w:r>
      <w:r w:rsidRPr="00913C78">
        <w:t>结果</w:t>
      </w:r>
      <w:r w:rsidRPr="00913C78">
        <w:rPr>
          <w:rFonts w:hint="eastAsia"/>
        </w:rPr>
        <w:t>与相关标准要求进行</w:t>
      </w:r>
      <w:r w:rsidRPr="00913C78">
        <w:t>对比</w:t>
      </w:r>
      <w:r w:rsidRPr="00913C78">
        <w:rPr>
          <w:rFonts w:hint="eastAsia"/>
        </w:rPr>
        <w:t>，判断</w:t>
      </w:r>
      <w:r w:rsidRPr="00913C78">
        <w:t>达标情况。给出室内</w:t>
      </w:r>
      <w:r w:rsidRPr="00913C78">
        <w:rPr>
          <w:rFonts w:hint="eastAsia"/>
        </w:rPr>
        <w:t>采光的优化措施</w:t>
      </w:r>
      <w:r w:rsidRPr="00913C78">
        <w:t>与实施过程</w:t>
      </w:r>
      <w:r w:rsidRPr="00913C78">
        <w:rPr>
          <w:rFonts w:hint="eastAsia"/>
        </w:rPr>
        <w:t>，</w:t>
      </w:r>
      <w:r w:rsidRPr="00913C78">
        <w:t>对比分析优化</w:t>
      </w:r>
      <w:r w:rsidRPr="00913C78">
        <w:rPr>
          <w:rFonts w:hint="eastAsia"/>
        </w:rPr>
        <w:t>后</w:t>
      </w:r>
      <w:r w:rsidRPr="00913C78">
        <w:t>的项目室内</w:t>
      </w:r>
      <w:r w:rsidRPr="00913C78">
        <w:rPr>
          <w:rFonts w:hint="eastAsia"/>
        </w:rPr>
        <w:t>采光</w:t>
      </w:r>
      <w:r w:rsidRPr="00913C78">
        <w:t>状态</w:t>
      </w:r>
      <w:r w:rsidRPr="00913C78">
        <w:rPr>
          <w:rFonts w:hint="eastAsia"/>
        </w:rPr>
        <w:t>。</w:t>
      </w:r>
    </w:p>
    <w:p w14:paraId="07FD9FFA" w14:textId="77777777" w:rsidR="00913C78" w:rsidRPr="00913C78" w:rsidRDefault="00913C78" w:rsidP="00913C78">
      <w:pPr>
        <w:ind w:firstLine="420"/>
      </w:pPr>
      <w:bookmarkStart w:id="292" w:name="_Toc475359866"/>
      <w:r w:rsidRPr="00913C78">
        <w:rPr>
          <w:rFonts w:hint="eastAsia"/>
        </w:rPr>
        <w:t>◎</w:t>
      </w:r>
      <w:r w:rsidRPr="00913C78">
        <w:t xml:space="preserve"> </w:t>
      </w:r>
      <w:r w:rsidRPr="00913C78">
        <w:rPr>
          <w:rFonts w:hint="eastAsia"/>
        </w:rPr>
        <w:t>结论</w:t>
      </w:r>
      <w:bookmarkEnd w:id="292"/>
    </w:p>
    <w:p w14:paraId="27EEE176" w14:textId="77777777" w:rsidR="00913C78" w:rsidRPr="00913C78" w:rsidRDefault="00913C78" w:rsidP="00913C78">
      <w:pPr>
        <w:ind w:firstLine="420"/>
      </w:pPr>
      <w:r w:rsidRPr="00913C78">
        <w:rPr>
          <w:rFonts w:hint="eastAsia"/>
        </w:rPr>
        <w:t>进行达标判定，并给出结论。</w:t>
      </w:r>
    </w:p>
    <w:p w14:paraId="788140C1" w14:textId="77777777" w:rsidR="00532D0F" w:rsidRDefault="00532D0F" w:rsidP="00532D0F">
      <w:pPr>
        <w:ind w:firstLineChars="0" w:firstLine="0"/>
      </w:pPr>
      <w:bookmarkStart w:id="293" w:name="_Toc475359867"/>
    </w:p>
    <w:p w14:paraId="124C22B8" w14:textId="119E2726" w:rsidR="00913C78" w:rsidRPr="00913C78" w:rsidRDefault="00913C78" w:rsidP="00AC08C3">
      <w:pPr>
        <w:pStyle w:val="32"/>
      </w:pPr>
      <w:bookmarkStart w:id="294" w:name="_Toc35364782"/>
      <w:r w:rsidRPr="00913C78">
        <w:rPr>
          <w:rFonts w:hint="eastAsia"/>
        </w:rPr>
        <w:t xml:space="preserve">A.3.5  </w:t>
      </w:r>
      <w:r w:rsidRPr="00913C78">
        <w:rPr>
          <w:rFonts w:hint="eastAsia"/>
        </w:rPr>
        <w:t>审查要点</w:t>
      </w:r>
      <w:bookmarkEnd w:id="293"/>
      <w:r w:rsidRPr="00913C78">
        <w:rPr>
          <w:rFonts w:hint="eastAsia"/>
        </w:rPr>
        <w:t>（附表</w:t>
      </w:r>
      <w:r w:rsidRPr="00913C78">
        <w:rPr>
          <w:rFonts w:hint="eastAsia"/>
        </w:rPr>
        <w:t>A.3.4</w:t>
      </w:r>
      <w:r w:rsidRPr="00913C78">
        <w:rPr>
          <w:rFonts w:hint="eastAsia"/>
        </w:rPr>
        <w:t>）</w:t>
      </w:r>
      <w:bookmarkEnd w:id="294"/>
    </w:p>
    <w:p w14:paraId="0DDC9ED3" w14:textId="77777777" w:rsidR="00913C78" w:rsidRPr="00913C78" w:rsidRDefault="00913C78" w:rsidP="00AC08C3">
      <w:pPr>
        <w:pStyle w:val="ae"/>
      </w:pPr>
      <w:r w:rsidRPr="00913C78">
        <w:rPr>
          <w:rFonts w:hint="eastAsia"/>
        </w:rPr>
        <w:t>附表</w:t>
      </w:r>
      <w:r w:rsidRPr="00913C78">
        <w:rPr>
          <w:rFonts w:hint="eastAsia"/>
        </w:rPr>
        <w:t xml:space="preserve">A.3.4  </w:t>
      </w:r>
      <w:r w:rsidRPr="00913C78">
        <w:rPr>
          <w:rFonts w:hint="eastAsia"/>
        </w:rPr>
        <w:t>室内采光数值分析报告专家判断表</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28" w:type="dxa"/>
          <w:right w:w="57" w:type="dxa"/>
        </w:tblCellMar>
        <w:tblLook w:val="04A0" w:firstRow="1" w:lastRow="0" w:firstColumn="1" w:lastColumn="0" w:noHBand="0" w:noVBand="1"/>
      </w:tblPr>
      <w:tblGrid>
        <w:gridCol w:w="619"/>
        <w:gridCol w:w="1145"/>
        <w:gridCol w:w="4815"/>
        <w:gridCol w:w="1076"/>
      </w:tblGrid>
      <w:tr w:rsidR="00913C78" w:rsidRPr="00913C78" w14:paraId="5A175ECA" w14:textId="77777777" w:rsidTr="00E731D0">
        <w:trPr>
          <w:jc w:val="center"/>
        </w:trPr>
        <w:tc>
          <w:tcPr>
            <w:tcW w:w="619" w:type="dxa"/>
            <w:shd w:val="clear" w:color="auto" w:fill="auto"/>
            <w:vAlign w:val="center"/>
            <w:hideMark/>
          </w:tcPr>
          <w:p w14:paraId="63C5BE0C" w14:textId="77777777" w:rsidR="00913C78" w:rsidRPr="00913C78" w:rsidRDefault="00913C78" w:rsidP="00AC08C3">
            <w:pPr>
              <w:pStyle w:val="af7"/>
              <w:jc w:val="center"/>
            </w:pPr>
            <w:r w:rsidRPr="00913C78">
              <w:rPr>
                <w:rFonts w:hint="eastAsia"/>
              </w:rPr>
              <w:t>编号</w:t>
            </w:r>
          </w:p>
        </w:tc>
        <w:tc>
          <w:tcPr>
            <w:tcW w:w="1145" w:type="dxa"/>
            <w:shd w:val="clear" w:color="auto" w:fill="auto"/>
            <w:vAlign w:val="center"/>
            <w:hideMark/>
          </w:tcPr>
          <w:p w14:paraId="3418B172" w14:textId="77777777" w:rsidR="00913C78" w:rsidRPr="00913C78" w:rsidRDefault="00913C78" w:rsidP="00AC08C3">
            <w:pPr>
              <w:pStyle w:val="af7"/>
              <w:jc w:val="center"/>
            </w:pPr>
            <w:r w:rsidRPr="00913C78">
              <w:rPr>
                <w:rFonts w:hint="eastAsia"/>
              </w:rPr>
              <w:t>审查要点</w:t>
            </w:r>
          </w:p>
        </w:tc>
        <w:tc>
          <w:tcPr>
            <w:tcW w:w="4815" w:type="dxa"/>
            <w:shd w:val="clear" w:color="auto" w:fill="auto"/>
            <w:vAlign w:val="center"/>
            <w:hideMark/>
          </w:tcPr>
          <w:p w14:paraId="325C2926" w14:textId="77777777" w:rsidR="00913C78" w:rsidRPr="00913C78" w:rsidRDefault="00913C78" w:rsidP="00AC08C3">
            <w:pPr>
              <w:pStyle w:val="af7"/>
              <w:jc w:val="center"/>
            </w:pPr>
            <w:r w:rsidRPr="00913C78">
              <w:rPr>
                <w:rFonts w:hint="eastAsia"/>
              </w:rPr>
              <w:t>具体判断</w:t>
            </w:r>
          </w:p>
        </w:tc>
        <w:tc>
          <w:tcPr>
            <w:tcW w:w="1076" w:type="dxa"/>
            <w:shd w:val="clear" w:color="auto" w:fill="auto"/>
            <w:vAlign w:val="center"/>
            <w:hideMark/>
          </w:tcPr>
          <w:p w14:paraId="14A35C44" w14:textId="77777777" w:rsidR="00913C78" w:rsidRPr="00913C78" w:rsidRDefault="00913C78" w:rsidP="00AC08C3">
            <w:pPr>
              <w:pStyle w:val="af7"/>
              <w:jc w:val="center"/>
            </w:pPr>
            <w:r w:rsidRPr="00913C78">
              <w:rPr>
                <w:rFonts w:hint="eastAsia"/>
              </w:rPr>
              <w:t>是否满足</w:t>
            </w:r>
          </w:p>
        </w:tc>
      </w:tr>
      <w:tr w:rsidR="00913C78" w:rsidRPr="00913C78" w14:paraId="36FBFCB7" w14:textId="77777777" w:rsidTr="00E731D0">
        <w:trPr>
          <w:jc w:val="center"/>
        </w:trPr>
        <w:tc>
          <w:tcPr>
            <w:tcW w:w="619" w:type="dxa"/>
            <w:shd w:val="clear" w:color="auto" w:fill="auto"/>
            <w:vAlign w:val="center"/>
            <w:hideMark/>
          </w:tcPr>
          <w:p w14:paraId="4D9C4D2A" w14:textId="77777777" w:rsidR="00913C78" w:rsidRPr="00913C78" w:rsidRDefault="00913C78" w:rsidP="00AC08C3">
            <w:pPr>
              <w:pStyle w:val="af7"/>
              <w:jc w:val="center"/>
            </w:pPr>
            <w:r w:rsidRPr="00913C78">
              <w:rPr>
                <w:rFonts w:hint="eastAsia"/>
              </w:rPr>
              <w:t>1</w:t>
            </w:r>
          </w:p>
        </w:tc>
        <w:tc>
          <w:tcPr>
            <w:tcW w:w="1145" w:type="dxa"/>
            <w:shd w:val="clear" w:color="auto" w:fill="auto"/>
            <w:vAlign w:val="center"/>
            <w:hideMark/>
          </w:tcPr>
          <w:p w14:paraId="00491FAD" w14:textId="77777777" w:rsidR="00913C78" w:rsidRPr="00913C78" w:rsidRDefault="00913C78" w:rsidP="00AC08C3">
            <w:pPr>
              <w:pStyle w:val="af7"/>
              <w:jc w:val="center"/>
            </w:pPr>
            <w:r w:rsidRPr="00913C78">
              <w:rPr>
                <w:rFonts w:hint="eastAsia"/>
              </w:rPr>
              <w:t>数值分析依据</w:t>
            </w:r>
          </w:p>
        </w:tc>
        <w:tc>
          <w:tcPr>
            <w:tcW w:w="4815" w:type="dxa"/>
            <w:shd w:val="clear" w:color="auto" w:fill="auto"/>
            <w:vAlign w:val="center"/>
            <w:hideMark/>
          </w:tcPr>
          <w:p w14:paraId="1050D40B" w14:textId="77777777" w:rsidR="00913C78" w:rsidRPr="00913C78" w:rsidRDefault="00913C78" w:rsidP="00AC08C3">
            <w:pPr>
              <w:pStyle w:val="af7"/>
            </w:pPr>
            <w:r w:rsidRPr="00913C78">
              <w:rPr>
                <w:rFonts w:hint="eastAsia"/>
              </w:rPr>
              <w:t>数值分析基础数据有可靠来源，写明基础数据及参考的数据资料</w:t>
            </w:r>
          </w:p>
        </w:tc>
        <w:tc>
          <w:tcPr>
            <w:tcW w:w="1076" w:type="dxa"/>
            <w:shd w:val="clear" w:color="auto" w:fill="auto"/>
            <w:vAlign w:val="center"/>
            <w:hideMark/>
          </w:tcPr>
          <w:p w14:paraId="07E35336" w14:textId="77777777" w:rsidR="00913C78" w:rsidRPr="00913C78" w:rsidRDefault="00913C78" w:rsidP="00AC08C3">
            <w:pPr>
              <w:pStyle w:val="af7"/>
              <w:jc w:val="center"/>
            </w:pPr>
          </w:p>
        </w:tc>
      </w:tr>
      <w:tr w:rsidR="00913C78" w:rsidRPr="00913C78" w14:paraId="546DBF27" w14:textId="77777777" w:rsidTr="00E731D0">
        <w:trPr>
          <w:jc w:val="center"/>
        </w:trPr>
        <w:tc>
          <w:tcPr>
            <w:tcW w:w="619" w:type="dxa"/>
            <w:shd w:val="clear" w:color="auto" w:fill="auto"/>
            <w:vAlign w:val="center"/>
          </w:tcPr>
          <w:p w14:paraId="7C1ACA0E" w14:textId="77777777" w:rsidR="00913C78" w:rsidRPr="00913C78" w:rsidRDefault="00913C78" w:rsidP="00AC08C3">
            <w:pPr>
              <w:pStyle w:val="af7"/>
              <w:jc w:val="center"/>
            </w:pPr>
            <w:r w:rsidRPr="00913C78">
              <w:rPr>
                <w:rFonts w:hint="eastAsia"/>
              </w:rPr>
              <w:t>2</w:t>
            </w:r>
          </w:p>
        </w:tc>
        <w:tc>
          <w:tcPr>
            <w:tcW w:w="1145" w:type="dxa"/>
            <w:shd w:val="clear" w:color="auto" w:fill="auto"/>
            <w:vAlign w:val="center"/>
          </w:tcPr>
          <w:p w14:paraId="2AC67BBD" w14:textId="77777777" w:rsidR="00913C78" w:rsidRPr="00913C78" w:rsidRDefault="00913C78" w:rsidP="00AC08C3">
            <w:pPr>
              <w:pStyle w:val="af7"/>
              <w:jc w:val="center"/>
            </w:pPr>
            <w:r w:rsidRPr="00913C78">
              <w:rPr>
                <w:rFonts w:hint="eastAsia"/>
              </w:rPr>
              <w:t>计算</w:t>
            </w:r>
            <w:r w:rsidRPr="00913C78">
              <w:t>方法</w:t>
            </w:r>
          </w:p>
        </w:tc>
        <w:tc>
          <w:tcPr>
            <w:tcW w:w="4815" w:type="dxa"/>
            <w:shd w:val="clear" w:color="auto" w:fill="auto"/>
            <w:vAlign w:val="center"/>
          </w:tcPr>
          <w:p w14:paraId="1B85D6DB" w14:textId="77777777" w:rsidR="00913C78" w:rsidRPr="00913C78" w:rsidRDefault="00913C78" w:rsidP="00AC08C3">
            <w:pPr>
              <w:pStyle w:val="af7"/>
            </w:pPr>
            <w:r w:rsidRPr="00913C78">
              <w:rPr>
                <w:rFonts w:hint="eastAsia"/>
              </w:rPr>
              <w:t>采用光线追踪法计算时，光线反射次数不低于</w:t>
            </w:r>
            <w:r w:rsidRPr="00913C78">
              <w:rPr>
                <w:rFonts w:hint="eastAsia"/>
              </w:rPr>
              <w:t>5</w:t>
            </w:r>
            <w:r w:rsidRPr="00913C78">
              <w:rPr>
                <w:rFonts w:hint="eastAsia"/>
              </w:rPr>
              <w:t>次</w:t>
            </w:r>
          </w:p>
        </w:tc>
        <w:tc>
          <w:tcPr>
            <w:tcW w:w="1076" w:type="dxa"/>
            <w:shd w:val="clear" w:color="auto" w:fill="auto"/>
            <w:vAlign w:val="center"/>
          </w:tcPr>
          <w:p w14:paraId="78905730" w14:textId="77777777" w:rsidR="00913C78" w:rsidRPr="00913C78" w:rsidRDefault="00913C78" w:rsidP="00AC08C3">
            <w:pPr>
              <w:pStyle w:val="af7"/>
              <w:jc w:val="center"/>
            </w:pPr>
          </w:p>
        </w:tc>
      </w:tr>
      <w:tr w:rsidR="00913C78" w:rsidRPr="00913C78" w14:paraId="037CA50C" w14:textId="77777777" w:rsidTr="00E731D0">
        <w:trPr>
          <w:jc w:val="center"/>
        </w:trPr>
        <w:tc>
          <w:tcPr>
            <w:tcW w:w="619" w:type="dxa"/>
            <w:shd w:val="clear" w:color="auto" w:fill="auto"/>
            <w:vAlign w:val="center"/>
          </w:tcPr>
          <w:p w14:paraId="114B189B" w14:textId="77777777" w:rsidR="00913C78" w:rsidRPr="00913C78" w:rsidRDefault="00913C78" w:rsidP="00AC08C3">
            <w:pPr>
              <w:pStyle w:val="af7"/>
              <w:jc w:val="center"/>
            </w:pPr>
            <w:r w:rsidRPr="00913C78">
              <w:rPr>
                <w:rFonts w:hint="eastAsia"/>
              </w:rPr>
              <w:t>3</w:t>
            </w:r>
          </w:p>
        </w:tc>
        <w:tc>
          <w:tcPr>
            <w:tcW w:w="1145" w:type="dxa"/>
            <w:shd w:val="clear" w:color="auto" w:fill="auto"/>
            <w:vAlign w:val="center"/>
          </w:tcPr>
          <w:p w14:paraId="08FBB932" w14:textId="77777777" w:rsidR="00913C78" w:rsidRPr="00913C78" w:rsidRDefault="00913C78" w:rsidP="00AC08C3">
            <w:pPr>
              <w:pStyle w:val="af7"/>
              <w:jc w:val="center"/>
            </w:pPr>
            <w:r w:rsidRPr="00913C78">
              <w:rPr>
                <w:rFonts w:hint="eastAsia"/>
              </w:rPr>
              <w:t>模型选取</w:t>
            </w:r>
          </w:p>
        </w:tc>
        <w:tc>
          <w:tcPr>
            <w:tcW w:w="4815" w:type="dxa"/>
            <w:shd w:val="clear" w:color="auto" w:fill="auto"/>
            <w:vAlign w:val="center"/>
          </w:tcPr>
          <w:p w14:paraId="3BFC6032" w14:textId="77777777" w:rsidR="00913C78" w:rsidRPr="00913C78" w:rsidRDefault="00913C78" w:rsidP="00AC08C3">
            <w:pPr>
              <w:pStyle w:val="af7"/>
            </w:pPr>
            <w:r w:rsidRPr="00913C78">
              <w:rPr>
                <w:rFonts w:hint="eastAsia"/>
              </w:rPr>
              <w:t>天空模型选择</w:t>
            </w:r>
            <w:r w:rsidRPr="00913C78">
              <w:rPr>
                <w:rFonts w:hint="eastAsia"/>
              </w:rPr>
              <w:t>CIE</w:t>
            </w:r>
            <w:r w:rsidRPr="00913C78">
              <w:rPr>
                <w:rFonts w:hint="eastAsia"/>
              </w:rPr>
              <w:t>标准全阴天模型</w:t>
            </w:r>
          </w:p>
        </w:tc>
        <w:tc>
          <w:tcPr>
            <w:tcW w:w="1076" w:type="dxa"/>
            <w:shd w:val="clear" w:color="auto" w:fill="auto"/>
            <w:vAlign w:val="center"/>
          </w:tcPr>
          <w:p w14:paraId="5C033E5F" w14:textId="77777777" w:rsidR="00913C78" w:rsidRPr="00913C78" w:rsidRDefault="00913C78" w:rsidP="00AC08C3">
            <w:pPr>
              <w:pStyle w:val="af7"/>
              <w:jc w:val="center"/>
            </w:pPr>
          </w:p>
        </w:tc>
      </w:tr>
      <w:tr w:rsidR="00913C78" w:rsidRPr="00913C78" w14:paraId="080D1D7A" w14:textId="77777777" w:rsidTr="00E731D0">
        <w:trPr>
          <w:jc w:val="center"/>
        </w:trPr>
        <w:tc>
          <w:tcPr>
            <w:tcW w:w="619" w:type="dxa"/>
            <w:vMerge w:val="restart"/>
            <w:shd w:val="clear" w:color="auto" w:fill="auto"/>
            <w:vAlign w:val="center"/>
          </w:tcPr>
          <w:p w14:paraId="5FD46B5D" w14:textId="77777777" w:rsidR="00913C78" w:rsidRPr="00913C78" w:rsidRDefault="00913C78" w:rsidP="00AC08C3">
            <w:pPr>
              <w:pStyle w:val="af7"/>
              <w:jc w:val="center"/>
            </w:pPr>
            <w:r w:rsidRPr="00913C78">
              <w:t>4</w:t>
            </w:r>
          </w:p>
        </w:tc>
        <w:tc>
          <w:tcPr>
            <w:tcW w:w="1145" w:type="dxa"/>
            <w:vMerge w:val="restart"/>
            <w:shd w:val="clear" w:color="auto" w:fill="auto"/>
            <w:vAlign w:val="center"/>
            <w:hideMark/>
          </w:tcPr>
          <w:p w14:paraId="7327BCDA" w14:textId="77777777" w:rsidR="00913C78" w:rsidRPr="00913C78" w:rsidRDefault="00913C78" w:rsidP="00AC08C3">
            <w:pPr>
              <w:pStyle w:val="af7"/>
              <w:jc w:val="center"/>
            </w:pPr>
            <w:r w:rsidRPr="00913C78">
              <w:rPr>
                <w:rFonts w:hint="eastAsia"/>
              </w:rPr>
              <w:t>建筑模型</w:t>
            </w:r>
            <w:r w:rsidRPr="00913C78">
              <w:br/>
            </w:r>
            <w:r w:rsidRPr="00913C78">
              <w:rPr>
                <w:rFonts w:hint="eastAsia"/>
              </w:rPr>
              <w:t>（地上</w:t>
            </w:r>
            <w:r w:rsidRPr="00913C78">
              <w:t>部分</w:t>
            </w:r>
            <w:r w:rsidRPr="00913C78">
              <w:rPr>
                <w:rFonts w:hint="eastAsia"/>
              </w:rPr>
              <w:t>）</w:t>
            </w:r>
          </w:p>
        </w:tc>
        <w:tc>
          <w:tcPr>
            <w:tcW w:w="4815" w:type="dxa"/>
            <w:shd w:val="clear" w:color="auto" w:fill="auto"/>
            <w:vAlign w:val="center"/>
            <w:hideMark/>
          </w:tcPr>
          <w:p w14:paraId="5684F0E1" w14:textId="77777777" w:rsidR="00913C78" w:rsidRPr="00913C78" w:rsidRDefault="00913C78" w:rsidP="00AC08C3">
            <w:pPr>
              <w:pStyle w:val="af7"/>
            </w:pPr>
            <w:r w:rsidRPr="00913C78">
              <w:rPr>
                <w:rFonts w:hint="eastAsia"/>
              </w:rPr>
              <w:t>对影响建筑采光的各类建筑构件和其他特殊采光构件（如导光管等）进行</w:t>
            </w:r>
            <w:r w:rsidRPr="00913C78">
              <w:t>了完整建模</w:t>
            </w:r>
            <w:r w:rsidRPr="00913C78">
              <w:rPr>
                <w:rFonts w:hint="eastAsia"/>
              </w:rPr>
              <w:t>，</w:t>
            </w:r>
            <w:r w:rsidRPr="00913C78">
              <w:t>并</w:t>
            </w:r>
            <w:r w:rsidRPr="00913C78">
              <w:rPr>
                <w:rFonts w:hint="eastAsia"/>
              </w:rPr>
              <w:t>按照实际尺寸或根据已知条件进行设定</w:t>
            </w:r>
          </w:p>
        </w:tc>
        <w:tc>
          <w:tcPr>
            <w:tcW w:w="1076" w:type="dxa"/>
            <w:shd w:val="clear" w:color="auto" w:fill="auto"/>
            <w:vAlign w:val="center"/>
            <w:hideMark/>
          </w:tcPr>
          <w:p w14:paraId="4519C0FA" w14:textId="77777777" w:rsidR="00913C78" w:rsidRPr="00913C78" w:rsidRDefault="00913C78" w:rsidP="00AC08C3">
            <w:pPr>
              <w:pStyle w:val="af7"/>
              <w:jc w:val="center"/>
            </w:pPr>
          </w:p>
        </w:tc>
      </w:tr>
      <w:tr w:rsidR="00913C78" w:rsidRPr="00913C78" w14:paraId="01DD2E78" w14:textId="77777777" w:rsidTr="00E731D0">
        <w:trPr>
          <w:jc w:val="center"/>
        </w:trPr>
        <w:tc>
          <w:tcPr>
            <w:tcW w:w="619" w:type="dxa"/>
            <w:vMerge/>
            <w:shd w:val="clear" w:color="auto" w:fill="auto"/>
            <w:vAlign w:val="center"/>
          </w:tcPr>
          <w:p w14:paraId="7A307EF3" w14:textId="77777777" w:rsidR="00913C78" w:rsidRPr="00913C78" w:rsidRDefault="00913C78" w:rsidP="00AC08C3">
            <w:pPr>
              <w:pStyle w:val="af7"/>
              <w:jc w:val="center"/>
            </w:pPr>
          </w:p>
        </w:tc>
        <w:tc>
          <w:tcPr>
            <w:tcW w:w="1145" w:type="dxa"/>
            <w:vMerge/>
            <w:shd w:val="clear" w:color="auto" w:fill="auto"/>
            <w:vAlign w:val="center"/>
            <w:hideMark/>
          </w:tcPr>
          <w:p w14:paraId="318321DF" w14:textId="77777777" w:rsidR="00913C78" w:rsidRPr="00913C78" w:rsidRDefault="00913C78" w:rsidP="00AC08C3">
            <w:pPr>
              <w:pStyle w:val="af7"/>
              <w:jc w:val="center"/>
            </w:pPr>
          </w:p>
        </w:tc>
        <w:tc>
          <w:tcPr>
            <w:tcW w:w="4815" w:type="dxa"/>
            <w:shd w:val="clear" w:color="auto" w:fill="auto"/>
            <w:vAlign w:val="center"/>
            <w:hideMark/>
          </w:tcPr>
          <w:p w14:paraId="0EB72994" w14:textId="77777777" w:rsidR="00913C78" w:rsidRPr="00913C78" w:rsidRDefault="00913C78" w:rsidP="00AC08C3">
            <w:pPr>
              <w:pStyle w:val="af7"/>
            </w:pPr>
            <w:r w:rsidRPr="00913C78">
              <w:rPr>
                <w:rFonts w:hint="eastAsia"/>
              </w:rPr>
              <w:t>与目标建筑的室外地坪</w:t>
            </w:r>
            <w:r w:rsidRPr="00913C78">
              <w:rPr>
                <w:rFonts w:hint="eastAsia"/>
              </w:rPr>
              <w:t>15</w:t>
            </w:r>
            <w:r w:rsidRPr="00913C78">
              <w:rPr>
                <w:rFonts w:hint="eastAsia"/>
              </w:rPr>
              <w:t>°线相交的建筑，均予以</w:t>
            </w:r>
            <w:r w:rsidRPr="00913C78">
              <w:rPr>
                <w:rFonts w:hint="eastAsia"/>
              </w:rPr>
              <w:lastRenderedPageBreak/>
              <w:t>建模</w:t>
            </w:r>
          </w:p>
        </w:tc>
        <w:tc>
          <w:tcPr>
            <w:tcW w:w="1076" w:type="dxa"/>
            <w:shd w:val="clear" w:color="auto" w:fill="auto"/>
            <w:vAlign w:val="center"/>
            <w:hideMark/>
          </w:tcPr>
          <w:p w14:paraId="23C2C3C5" w14:textId="77777777" w:rsidR="00913C78" w:rsidRPr="00913C78" w:rsidRDefault="00913C78" w:rsidP="00AC08C3">
            <w:pPr>
              <w:pStyle w:val="af7"/>
              <w:jc w:val="center"/>
            </w:pPr>
          </w:p>
        </w:tc>
      </w:tr>
      <w:tr w:rsidR="00913C78" w:rsidRPr="00913C78" w14:paraId="31E4FBA3" w14:textId="77777777" w:rsidTr="00E731D0">
        <w:trPr>
          <w:jc w:val="center"/>
        </w:trPr>
        <w:tc>
          <w:tcPr>
            <w:tcW w:w="619" w:type="dxa"/>
            <w:vMerge/>
            <w:shd w:val="clear" w:color="auto" w:fill="auto"/>
            <w:vAlign w:val="center"/>
          </w:tcPr>
          <w:p w14:paraId="1D4C532A" w14:textId="77777777" w:rsidR="00913C78" w:rsidRPr="00913C78" w:rsidRDefault="00913C78" w:rsidP="00AC08C3">
            <w:pPr>
              <w:pStyle w:val="af7"/>
              <w:jc w:val="center"/>
            </w:pPr>
          </w:p>
        </w:tc>
        <w:tc>
          <w:tcPr>
            <w:tcW w:w="1145" w:type="dxa"/>
            <w:vMerge/>
            <w:shd w:val="clear" w:color="auto" w:fill="auto"/>
            <w:vAlign w:val="center"/>
          </w:tcPr>
          <w:p w14:paraId="141F3420" w14:textId="77777777" w:rsidR="00913C78" w:rsidRPr="00913C78" w:rsidRDefault="00913C78" w:rsidP="00AC08C3">
            <w:pPr>
              <w:pStyle w:val="af7"/>
              <w:jc w:val="center"/>
            </w:pPr>
          </w:p>
        </w:tc>
        <w:tc>
          <w:tcPr>
            <w:tcW w:w="4815" w:type="dxa"/>
            <w:shd w:val="clear" w:color="auto" w:fill="auto"/>
            <w:vAlign w:val="center"/>
          </w:tcPr>
          <w:p w14:paraId="0C1F6D25" w14:textId="77777777" w:rsidR="00913C78" w:rsidRPr="00913C78" w:rsidRDefault="00913C78" w:rsidP="00AC08C3">
            <w:pPr>
              <w:pStyle w:val="af7"/>
            </w:pPr>
            <w:r w:rsidRPr="00913C78">
              <w:rPr>
                <w:rFonts w:hint="eastAsia"/>
              </w:rPr>
              <w:t>公共建筑采光计算考虑吊顶高度，窗对面遮挡物距窗中心平均高度不小于遮挡物与窗的距离的</w:t>
            </w:r>
            <w:r w:rsidRPr="00913C78">
              <w:rPr>
                <w:rFonts w:hint="eastAsia"/>
              </w:rPr>
              <w:t>0.27</w:t>
            </w:r>
            <w:r w:rsidRPr="00913C78">
              <w:rPr>
                <w:rFonts w:hint="eastAsia"/>
              </w:rPr>
              <w:t>倍时，考虑遮挡物对采光计算的影响</w:t>
            </w:r>
          </w:p>
        </w:tc>
        <w:tc>
          <w:tcPr>
            <w:tcW w:w="1076" w:type="dxa"/>
            <w:shd w:val="clear" w:color="auto" w:fill="auto"/>
            <w:vAlign w:val="center"/>
          </w:tcPr>
          <w:p w14:paraId="2CAADCCA" w14:textId="77777777" w:rsidR="00913C78" w:rsidRPr="00913C78" w:rsidRDefault="00913C78" w:rsidP="00AC08C3">
            <w:pPr>
              <w:pStyle w:val="af7"/>
              <w:jc w:val="center"/>
            </w:pPr>
          </w:p>
        </w:tc>
      </w:tr>
      <w:tr w:rsidR="00913C78" w:rsidRPr="00913C78" w14:paraId="094CD850" w14:textId="77777777" w:rsidTr="00E731D0">
        <w:trPr>
          <w:jc w:val="center"/>
        </w:trPr>
        <w:tc>
          <w:tcPr>
            <w:tcW w:w="619" w:type="dxa"/>
            <w:vMerge/>
            <w:shd w:val="clear" w:color="auto" w:fill="auto"/>
            <w:vAlign w:val="center"/>
          </w:tcPr>
          <w:p w14:paraId="38967648" w14:textId="77777777" w:rsidR="00913C78" w:rsidRPr="00913C78" w:rsidRDefault="00913C78" w:rsidP="00AC08C3">
            <w:pPr>
              <w:pStyle w:val="af7"/>
              <w:jc w:val="center"/>
            </w:pPr>
          </w:p>
        </w:tc>
        <w:tc>
          <w:tcPr>
            <w:tcW w:w="1145" w:type="dxa"/>
            <w:shd w:val="clear" w:color="auto" w:fill="auto"/>
            <w:vAlign w:val="center"/>
          </w:tcPr>
          <w:p w14:paraId="7F44685E" w14:textId="77777777" w:rsidR="00913C78" w:rsidRPr="00913C78" w:rsidRDefault="00913C78" w:rsidP="00AC08C3">
            <w:pPr>
              <w:pStyle w:val="af7"/>
              <w:jc w:val="center"/>
            </w:pPr>
            <w:r w:rsidRPr="00913C78">
              <w:rPr>
                <w:rFonts w:hint="eastAsia"/>
              </w:rPr>
              <w:t>建筑模型</w:t>
            </w:r>
            <w:r w:rsidRPr="00913C78">
              <w:br/>
            </w:r>
            <w:r w:rsidRPr="00913C78">
              <w:rPr>
                <w:rFonts w:hint="eastAsia"/>
              </w:rPr>
              <w:t>（地下</w:t>
            </w:r>
            <w:r w:rsidRPr="00913C78">
              <w:t>部分</w:t>
            </w:r>
            <w:r w:rsidRPr="00913C78">
              <w:rPr>
                <w:rFonts w:hint="eastAsia"/>
              </w:rPr>
              <w:t>）</w:t>
            </w:r>
          </w:p>
        </w:tc>
        <w:tc>
          <w:tcPr>
            <w:tcW w:w="4815" w:type="dxa"/>
            <w:shd w:val="clear" w:color="auto" w:fill="auto"/>
            <w:vAlign w:val="center"/>
          </w:tcPr>
          <w:p w14:paraId="7E64D189" w14:textId="77777777" w:rsidR="00913C78" w:rsidRPr="00913C78" w:rsidRDefault="00913C78" w:rsidP="00AC08C3">
            <w:pPr>
              <w:pStyle w:val="af7"/>
            </w:pPr>
            <w:r w:rsidRPr="00913C78">
              <w:rPr>
                <w:rFonts w:hint="eastAsia"/>
              </w:rPr>
              <w:t>地下空间中各个功能房间，影响地下采光的主要地上建筑物，地下空间上的覆土和其他特殊采光构件（如导光管等）均</w:t>
            </w:r>
            <w:r w:rsidRPr="00913C78">
              <w:t>进行了</w:t>
            </w:r>
            <w:r w:rsidRPr="00913C78">
              <w:rPr>
                <w:rFonts w:hint="eastAsia"/>
              </w:rPr>
              <w:t>完整</w:t>
            </w:r>
            <w:r w:rsidRPr="00913C78">
              <w:t>建模</w:t>
            </w:r>
          </w:p>
        </w:tc>
        <w:tc>
          <w:tcPr>
            <w:tcW w:w="1076" w:type="dxa"/>
            <w:shd w:val="clear" w:color="auto" w:fill="auto"/>
            <w:vAlign w:val="center"/>
          </w:tcPr>
          <w:p w14:paraId="7CC76A7A" w14:textId="77777777" w:rsidR="00913C78" w:rsidRPr="00913C78" w:rsidRDefault="00913C78" w:rsidP="00AC08C3">
            <w:pPr>
              <w:pStyle w:val="af7"/>
              <w:jc w:val="center"/>
            </w:pPr>
          </w:p>
        </w:tc>
      </w:tr>
      <w:tr w:rsidR="00532D0F" w:rsidRPr="00913C78" w14:paraId="03F3C1CF" w14:textId="77777777" w:rsidTr="00E731D0">
        <w:trPr>
          <w:jc w:val="center"/>
        </w:trPr>
        <w:tc>
          <w:tcPr>
            <w:tcW w:w="619" w:type="dxa"/>
            <w:shd w:val="clear" w:color="auto" w:fill="auto"/>
            <w:vAlign w:val="center"/>
          </w:tcPr>
          <w:p w14:paraId="248E2346" w14:textId="7D8154E4" w:rsidR="00532D0F" w:rsidRPr="00913C78" w:rsidRDefault="00532D0F" w:rsidP="00532D0F">
            <w:pPr>
              <w:pStyle w:val="af7"/>
              <w:jc w:val="center"/>
            </w:pPr>
            <w:r w:rsidRPr="00913C78">
              <w:t>5</w:t>
            </w:r>
          </w:p>
        </w:tc>
        <w:tc>
          <w:tcPr>
            <w:tcW w:w="1145" w:type="dxa"/>
            <w:shd w:val="clear" w:color="auto" w:fill="auto"/>
            <w:vAlign w:val="center"/>
          </w:tcPr>
          <w:p w14:paraId="7BEBED5F" w14:textId="65A2A942" w:rsidR="00532D0F" w:rsidRPr="00913C78" w:rsidRDefault="00532D0F" w:rsidP="00532D0F">
            <w:pPr>
              <w:pStyle w:val="af7"/>
              <w:jc w:val="center"/>
            </w:pPr>
            <w:r w:rsidRPr="00913C78">
              <w:rPr>
                <w:rFonts w:hint="eastAsia"/>
              </w:rPr>
              <w:t>计算区域</w:t>
            </w:r>
          </w:p>
        </w:tc>
        <w:tc>
          <w:tcPr>
            <w:tcW w:w="4815" w:type="dxa"/>
            <w:shd w:val="clear" w:color="auto" w:fill="auto"/>
            <w:vAlign w:val="center"/>
          </w:tcPr>
          <w:p w14:paraId="24FE5784" w14:textId="2C4441B0" w:rsidR="00532D0F" w:rsidRPr="00913C78" w:rsidRDefault="00532D0F" w:rsidP="00532D0F">
            <w:pPr>
              <w:pStyle w:val="af7"/>
            </w:pPr>
            <w:r w:rsidRPr="00913C78">
              <w:rPr>
                <w:rFonts w:hint="eastAsia"/>
              </w:rPr>
              <w:t>除了附属空间或避难所，其他所有的住区或功能区都被考虑为</w:t>
            </w:r>
            <w:r w:rsidRPr="00913C78">
              <w:t>计算区域</w:t>
            </w:r>
          </w:p>
        </w:tc>
        <w:tc>
          <w:tcPr>
            <w:tcW w:w="1076" w:type="dxa"/>
            <w:shd w:val="clear" w:color="auto" w:fill="auto"/>
            <w:vAlign w:val="center"/>
          </w:tcPr>
          <w:p w14:paraId="4C701C1F" w14:textId="77777777" w:rsidR="00532D0F" w:rsidRPr="00913C78" w:rsidRDefault="00532D0F" w:rsidP="00532D0F">
            <w:pPr>
              <w:pStyle w:val="af7"/>
              <w:jc w:val="center"/>
            </w:pPr>
          </w:p>
        </w:tc>
      </w:tr>
      <w:tr w:rsidR="00532D0F" w:rsidRPr="00913C78" w14:paraId="3FB70329" w14:textId="77777777" w:rsidTr="00E731D0">
        <w:trPr>
          <w:jc w:val="center"/>
        </w:trPr>
        <w:tc>
          <w:tcPr>
            <w:tcW w:w="619" w:type="dxa"/>
            <w:vMerge w:val="restart"/>
            <w:shd w:val="clear" w:color="auto" w:fill="auto"/>
            <w:vAlign w:val="center"/>
          </w:tcPr>
          <w:p w14:paraId="0E4DA4E1" w14:textId="5198C851" w:rsidR="00532D0F" w:rsidRPr="00913C78" w:rsidRDefault="00532D0F" w:rsidP="00532D0F">
            <w:pPr>
              <w:pStyle w:val="af7"/>
              <w:jc w:val="center"/>
            </w:pPr>
            <w:r w:rsidRPr="00913C78">
              <w:t>6</w:t>
            </w:r>
          </w:p>
        </w:tc>
        <w:tc>
          <w:tcPr>
            <w:tcW w:w="1145" w:type="dxa"/>
            <w:vMerge w:val="restart"/>
            <w:shd w:val="clear" w:color="auto" w:fill="auto"/>
            <w:vAlign w:val="center"/>
          </w:tcPr>
          <w:p w14:paraId="53BB0C53" w14:textId="6D499AEC" w:rsidR="00532D0F" w:rsidRPr="00913C78" w:rsidRDefault="00532D0F" w:rsidP="00532D0F">
            <w:pPr>
              <w:pStyle w:val="af7"/>
              <w:jc w:val="center"/>
            </w:pPr>
            <w:r w:rsidRPr="00913C78">
              <w:rPr>
                <w:rFonts w:hint="eastAsia"/>
              </w:rPr>
              <w:t>网格划分</w:t>
            </w:r>
          </w:p>
        </w:tc>
        <w:tc>
          <w:tcPr>
            <w:tcW w:w="4815" w:type="dxa"/>
            <w:shd w:val="clear" w:color="auto" w:fill="auto"/>
            <w:vAlign w:val="center"/>
          </w:tcPr>
          <w:p w14:paraId="49D4BC05" w14:textId="3BC94539" w:rsidR="00532D0F" w:rsidRPr="00913C78" w:rsidRDefault="00532D0F" w:rsidP="00532D0F">
            <w:pPr>
              <w:pStyle w:val="af7"/>
            </w:pPr>
            <w:r w:rsidRPr="00913C78">
              <w:rPr>
                <w:rFonts w:hint="eastAsia"/>
              </w:rPr>
              <w:t>对采光计算区域划分网格后，用各网格点的采光系数的算术平均值作为房间的平均采光系数</w:t>
            </w:r>
          </w:p>
        </w:tc>
        <w:tc>
          <w:tcPr>
            <w:tcW w:w="1076" w:type="dxa"/>
            <w:shd w:val="clear" w:color="auto" w:fill="auto"/>
            <w:vAlign w:val="center"/>
          </w:tcPr>
          <w:p w14:paraId="013DECED" w14:textId="77777777" w:rsidR="00532D0F" w:rsidRPr="00913C78" w:rsidRDefault="00532D0F" w:rsidP="00532D0F">
            <w:pPr>
              <w:pStyle w:val="af7"/>
              <w:jc w:val="center"/>
            </w:pPr>
          </w:p>
        </w:tc>
      </w:tr>
      <w:tr w:rsidR="00532D0F" w:rsidRPr="00913C78" w14:paraId="40C187E2" w14:textId="77777777" w:rsidTr="00E731D0">
        <w:trPr>
          <w:jc w:val="center"/>
        </w:trPr>
        <w:tc>
          <w:tcPr>
            <w:tcW w:w="619" w:type="dxa"/>
            <w:vMerge/>
            <w:shd w:val="clear" w:color="auto" w:fill="auto"/>
            <w:vAlign w:val="center"/>
          </w:tcPr>
          <w:p w14:paraId="3DC48770" w14:textId="77777777" w:rsidR="00532D0F" w:rsidRPr="00913C78" w:rsidRDefault="00532D0F" w:rsidP="00532D0F">
            <w:pPr>
              <w:pStyle w:val="af7"/>
              <w:jc w:val="center"/>
            </w:pPr>
          </w:p>
        </w:tc>
        <w:tc>
          <w:tcPr>
            <w:tcW w:w="1145" w:type="dxa"/>
            <w:vMerge/>
            <w:shd w:val="clear" w:color="auto" w:fill="auto"/>
            <w:vAlign w:val="center"/>
          </w:tcPr>
          <w:p w14:paraId="378CB997" w14:textId="77777777" w:rsidR="00532D0F" w:rsidRPr="00913C78" w:rsidRDefault="00532D0F" w:rsidP="00532D0F">
            <w:pPr>
              <w:pStyle w:val="af7"/>
              <w:jc w:val="center"/>
            </w:pPr>
          </w:p>
        </w:tc>
        <w:tc>
          <w:tcPr>
            <w:tcW w:w="4815" w:type="dxa"/>
            <w:shd w:val="clear" w:color="auto" w:fill="auto"/>
            <w:vAlign w:val="center"/>
          </w:tcPr>
          <w:p w14:paraId="2CB8B0E5" w14:textId="33716E5B" w:rsidR="00532D0F" w:rsidRPr="00913C78" w:rsidRDefault="00532D0F" w:rsidP="00532D0F">
            <w:pPr>
              <w:pStyle w:val="af7"/>
            </w:pPr>
            <w:r w:rsidRPr="00913C78">
              <w:rPr>
                <w:rFonts w:hint="eastAsia"/>
              </w:rPr>
              <w:t>对于常见的</w:t>
            </w:r>
            <w:r w:rsidRPr="00913C78">
              <w:rPr>
                <w:rFonts w:hint="eastAsia"/>
              </w:rPr>
              <w:t>10</w:t>
            </w:r>
            <w:r w:rsidRPr="00913C78">
              <w:rPr>
                <w:rFonts w:hint="eastAsia"/>
              </w:rPr>
              <w:t>～</w:t>
            </w:r>
            <w:r w:rsidRPr="00913C78">
              <w:rPr>
                <w:rFonts w:hint="eastAsia"/>
              </w:rPr>
              <w:t>100m2</w:t>
            </w:r>
            <w:r w:rsidRPr="00913C78">
              <w:rPr>
                <w:rFonts w:hint="eastAsia"/>
              </w:rPr>
              <w:t>的房间，网格间距取</w:t>
            </w:r>
            <w:r w:rsidRPr="00913C78">
              <w:rPr>
                <w:rFonts w:hint="eastAsia"/>
              </w:rPr>
              <w:t>0.5m</w:t>
            </w:r>
            <w:r w:rsidRPr="00913C78">
              <w:rPr>
                <w:rFonts w:hint="eastAsia"/>
              </w:rPr>
              <w:t>；对于大于</w:t>
            </w:r>
            <w:r w:rsidRPr="00913C78">
              <w:rPr>
                <w:rFonts w:hint="eastAsia"/>
              </w:rPr>
              <w:t>100m2</w:t>
            </w:r>
            <w:r w:rsidRPr="00913C78">
              <w:rPr>
                <w:rFonts w:hint="eastAsia"/>
              </w:rPr>
              <w:t>的大空间，网格间距取</w:t>
            </w:r>
            <w:r w:rsidRPr="00913C78">
              <w:rPr>
                <w:rFonts w:hint="eastAsia"/>
              </w:rPr>
              <w:t>1.0m</w:t>
            </w:r>
            <w:r w:rsidRPr="00913C78">
              <w:rPr>
                <w:rFonts w:hint="eastAsia"/>
              </w:rPr>
              <w:t>；对于小于</w:t>
            </w:r>
            <w:r w:rsidRPr="00913C78">
              <w:rPr>
                <w:rFonts w:hint="eastAsia"/>
              </w:rPr>
              <w:t>10m2</w:t>
            </w:r>
            <w:r w:rsidRPr="00913C78">
              <w:rPr>
                <w:rFonts w:hint="eastAsia"/>
              </w:rPr>
              <w:t>的小房间，网格间距取</w:t>
            </w:r>
            <w:r w:rsidRPr="00913C78">
              <w:rPr>
                <w:rFonts w:hint="eastAsia"/>
              </w:rPr>
              <w:t>0.25m</w:t>
            </w:r>
          </w:p>
        </w:tc>
        <w:tc>
          <w:tcPr>
            <w:tcW w:w="1076" w:type="dxa"/>
            <w:shd w:val="clear" w:color="auto" w:fill="auto"/>
            <w:vAlign w:val="center"/>
          </w:tcPr>
          <w:p w14:paraId="44670F44" w14:textId="77777777" w:rsidR="00532D0F" w:rsidRPr="00913C78" w:rsidRDefault="00532D0F" w:rsidP="00532D0F">
            <w:pPr>
              <w:pStyle w:val="af7"/>
              <w:jc w:val="center"/>
            </w:pPr>
          </w:p>
        </w:tc>
      </w:tr>
      <w:tr w:rsidR="00532D0F" w:rsidRPr="00913C78" w14:paraId="03D86328" w14:textId="77777777" w:rsidTr="00E731D0">
        <w:trPr>
          <w:jc w:val="center"/>
        </w:trPr>
        <w:tc>
          <w:tcPr>
            <w:tcW w:w="619" w:type="dxa"/>
            <w:vMerge/>
            <w:shd w:val="clear" w:color="auto" w:fill="auto"/>
            <w:vAlign w:val="center"/>
          </w:tcPr>
          <w:p w14:paraId="0F4953C8" w14:textId="77777777" w:rsidR="00532D0F" w:rsidRPr="00913C78" w:rsidRDefault="00532D0F" w:rsidP="00532D0F">
            <w:pPr>
              <w:pStyle w:val="af7"/>
              <w:jc w:val="center"/>
            </w:pPr>
          </w:p>
        </w:tc>
        <w:tc>
          <w:tcPr>
            <w:tcW w:w="1145" w:type="dxa"/>
            <w:vMerge/>
            <w:shd w:val="clear" w:color="auto" w:fill="auto"/>
            <w:vAlign w:val="center"/>
          </w:tcPr>
          <w:p w14:paraId="0B1FD023" w14:textId="77777777" w:rsidR="00532D0F" w:rsidRPr="00913C78" w:rsidRDefault="00532D0F" w:rsidP="00532D0F">
            <w:pPr>
              <w:pStyle w:val="af7"/>
              <w:jc w:val="center"/>
            </w:pPr>
          </w:p>
        </w:tc>
        <w:tc>
          <w:tcPr>
            <w:tcW w:w="4815" w:type="dxa"/>
            <w:shd w:val="clear" w:color="auto" w:fill="auto"/>
            <w:vAlign w:val="center"/>
          </w:tcPr>
          <w:p w14:paraId="5E809632" w14:textId="21A359F3" w:rsidR="00532D0F" w:rsidRPr="00913C78" w:rsidRDefault="00532D0F" w:rsidP="00532D0F">
            <w:pPr>
              <w:pStyle w:val="af7"/>
            </w:pPr>
            <w:r w:rsidRPr="00913C78">
              <w:rPr>
                <w:rFonts w:hint="eastAsia"/>
              </w:rPr>
              <w:t>满足网格最小间距小于窗洞尺寸、外窗遮阳构件后遮蔽物的尺寸</w:t>
            </w:r>
          </w:p>
        </w:tc>
        <w:tc>
          <w:tcPr>
            <w:tcW w:w="1076" w:type="dxa"/>
            <w:shd w:val="clear" w:color="auto" w:fill="auto"/>
            <w:vAlign w:val="center"/>
          </w:tcPr>
          <w:p w14:paraId="060EE0F2" w14:textId="77777777" w:rsidR="00532D0F" w:rsidRPr="00913C78" w:rsidRDefault="00532D0F" w:rsidP="00532D0F">
            <w:pPr>
              <w:pStyle w:val="af7"/>
              <w:jc w:val="center"/>
            </w:pPr>
          </w:p>
        </w:tc>
      </w:tr>
      <w:tr w:rsidR="00E731D0" w:rsidRPr="00913C78" w14:paraId="106D8665" w14:textId="77777777" w:rsidTr="00E731D0">
        <w:trPr>
          <w:jc w:val="center"/>
        </w:trPr>
        <w:tc>
          <w:tcPr>
            <w:tcW w:w="619" w:type="dxa"/>
            <w:vMerge w:val="restart"/>
            <w:shd w:val="clear" w:color="auto" w:fill="auto"/>
            <w:vAlign w:val="center"/>
          </w:tcPr>
          <w:p w14:paraId="101A7815" w14:textId="312EACAB" w:rsidR="00E731D0" w:rsidRPr="00913C78" w:rsidRDefault="00E731D0" w:rsidP="00E731D0">
            <w:pPr>
              <w:pStyle w:val="af7"/>
              <w:jc w:val="center"/>
            </w:pPr>
            <w:r w:rsidRPr="00913C78">
              <w:t>7</w:t>
            </w:r>
          </w:p>
        </w:tc>
        <w:tc>
          <w:tcPr>
            <w:tcW w:w="1145" w:type="dxa"/>
            <w:vMerge w:val="restart"/>
            <w:shd w:val="clear" w:color="auto" w:fill="auto"/>
            <w:vAlign w:val="center"/>
          </w:tcPr>
          <w:p w14:paraId="627D7753" w14:textId="66A2F582" w:rsidR="00E731D0" w:rsidRPr="00913C78" w:rsidRDefault="00E731D0" w:rsidP="00E731D0">
            <w:pPr>
              <w:pStyle w:val="af7"/>
              <w:jc w:val="center"/>
            </w:pPr>
            <w:r w:rsidRPr="00913C78">
              <w:rPr>
                <w:rFonts w:hint="eastAsia"/>
              </w:rPr>
              <w:t>边界条件</w:t>
            </w:r>
          </w:p>
        </w:tc>
        <w:tc>
          <w:tcPr>
            <w:tcW w:w="4815" w:type="dxa"/>
            <w:shd w:val="clear" w:color="auto" w:fill="auto"/>
            <w:vAlign w:val="center"/>
          </w:tcPr>
          <w:p w14:paraId="025796C1" w14:textId="14B170D1" w:rsidR="00E731D0" w:rsidRPr="00913C78" w:rsidRDefault="00E731D0" w:rsidP="00E731D0">
            <w:pPr>
              <w:pStyle w:val="af7"/>
            </w:pPr>
            <w:r w:rsidRPr="00913C78">
              <w:rPr>
                <w:rFonts w:hint="eastAsia"/>
              </w:rPr>
              <w:t>室外天然采光设计照度值和光气候系数取</w:t>
            </w:r>
            <w:r w:rsidRPr="00913C78">
              <w:rPr>
                <w:rFonts w:hint="eastAsia"/>
              </w:rPr>
              <w:t>1.20</w:t>
            </w:r>
          </w:p>
        </w:tc>
        <w:tc>
          <w:tcPr>
            <w:tcW w:w="1076" w:type="dxa"/>
            <w:shd w:val="clear" w:color="auto" w:fill="auto"/>
            <w:vAlign w:val="center"/>
          </w:tcPr>
          <w:p w14:paraId="753F174B" w14:textId="77777777" w:rsidR="00E731D0" w:rsidRPr="00913C78" w:rsidRDefault="00E731D0" w:rsidP="00E731D0">
            <w:pPr>
              <w:pStyle w:val="af7"/>
              <w:jc w:val="center"/>
            </w:pPr>
          </w:p>
        </w:tc>
      </w:tr>
      <w:tr w:rsidR="00E731D0" w:rsidRPr="00913C78" w14:paraId="17446936" w14:textId="77777777" w:rsidTr="00E731D0">
        <w:trPr>
          <w:jc w:val="center"/>
        </w:trPr>
        <w:tc>
          <w:tcPr>
            <w:tcW w:w="619" w:type="dxa"/>
            <w:vMerge/>
            <w:shd w:val="clear" w:color="auto" w:fill="auto"/>
            <w:vAlign w:val="center"/>
          </w:tcPr>
          <w:p w14:paraId="6473401F" w14:textId="77777777" w:rsidR="00E731D0" w:rsidRPr="00913C78" w:rsidRDefault="00E731D0" w:rsidP="00E731D0">
            <w:pPr>
              <w:pStyle w:val="af7"/>
              <w:jc w:val="center"/>
            </w:pPr>
          </w:p>
        </w:tc>
        <w:tc>
          <w:tcPr>
            <w:tcW w:w="1145" w:type="dxa"/>
            <w:vMerge/>
            <w:shd w:val="clear" w:color="auto" w:fill="auto"/>
            <w:vAlign w:val="center"/>
          </w:tcPr>
          <w:p w14:paraId="346FD787" w14:textId="77777777" w:rsidR="00E731D0" w:rsidRPr="00913C78" w:rsidRDefault="00E731D0" w:rsidP="00E731D0">
            <w:pPr>
              <w:pStyle w:val="af7"/>
              <w:jc w:val="center"/>
            </w:pPr>
          </w:p>
        </w:tc>
        <w:tc>
          <w:tcPr>
            <w:tcW w:w="4815" w:type="dxa"/>
            <w:shd w:val="clear" w:color="auto" w:fill="auto"/>
            <w:vAlign w:val="center"/>
          </w:tcPr>
          <w:p w14:paraId="41AC2FF5" w14:textId="36850B38" w:rsidR="00E731D0" w:rsidRPr="00913C78" w:rsidRDefault="00E731D0" w:rsidP="00E731D0">
            <w:pPr>
              <w:pStyle w:val="af7"/>
            </w:pPr>
            <w:r w:rsidRPr="00913C78">
              <w:rPr>
                <w:rFonts w:hint="eastAsia"/>
              </w:rPr>
              <w:t>室内各表面的反射比满足本书附表</w:t>
            </w:r>
            <w:r w:rsidRPr="00913C78">
              <w:rPr>
                <w:rFonts w:hint="eastAsia"/>
              </w:rPr>
              <w:t>A.3.1</w:t>
            </w:r>
            <w:r w:rsidRPr="00913C78">
              <w:t>要求</w:t>
            </w:r>
          </w:p>
        </w:tc>
        <w:tc>
          <w:tcPr>
            <w:tcW w:w="1076" w:type="dxa"/>
            <w:shd w:val="clear" w:color="auto" w:fill="auto"/>
            <w:vAlign w:val="center"/>
          </w:tcPr>
          <w:p w14:paraId="05B8A2A6" w14:textId="77777777" w:rsidR="00E731D0" w:rsidRPr="00913C78" w:rsidRDefault="00E731D0" w:rsidP="00E731D0">
            <w:pPr>
              <w:pStyle w:val="af7"/>
              <w:jc w:val="center"/>
            </w:pPr>
          </w:p>
        </w:tc>
      </w:tr>
      <w:tr w:rsidR="00E731D0" w:rsidRPr="00913C78" w14:paraId="320DCBDD" w14:textId="77777777" w:rsidTr="00E731D0">
        <w:trPr>
          <w:jc w:val="center"/>
        </w:trPr>
        <w:tc>
          <w:tcPr>
            <w:tcW w:w="619" w:type="dxa"/>
            <w:vMerge/>
            <w:shd w:val="clear" w:color="auto" w:fill="auto"/>
            <w:vAlign w:val="center"/>
          </w:tcPr>
          <w:p w14:paraId="1FAA776F" w14:textId="77777777" w:rsidR="00E731D0" w:rsidRPr="00913C78" w:rsidRDefault="00E731D0" w:rsidP="00E731D0">
            <w:pPr>
              <w:pStyle w:val="af7"/>
              <w:jc w:val="center"/>
            </w:pPr>
          </w:p>
        </w:tc>
        <w:tc>
          <w:tcPr>
            <w:tcW w:w="1145" w:type="dxa"/>
            <w:vMerge/>
            <w:shd w:val="clear" w:color="auto" w:fill="auto"/>
            <w:vAlign w:val="center"/>
          </w:tcPr>
          <w:p w14:paraId="69B4925F" w14:textId="77777777" w:rsidR="00E731D0" w:rsidRPr="00913C78" w:rsidRDefault="00E731D0" w:rsidP="00E731D0">
            <w:pPr>
              <w:pStyle w:val="af7"/>
              <w:jc w:val="center"/>
            </w:pPr>
          </w:p>
        </w:tc>
        <w:tc>
          <w:tcPr>
            <w:tcW w:w="4815" w:type="dxa"/>
            <w:shd w:val="clear" w:color="auto" w:fill="auto"/>
            <w:vAlign w:val="center"/>
          </w:tcPr>
          <w:p w14:paraId="4F60376E" w14:textId="5652ABCF" w:rsidR="00E731D0" w:rsidRPr="00913C78" w:rsidRDefault="00E731D0" w:rsidP="00E731D0">
            <w:pPr>
              <w:pStyle w:val="af7"/>
            </w:pPr>
            <w:r w:rsidRPr="00913C78">
              <w:rPr>
                <w:rFonts w:hint="eastAsia"/>
              </w:rPr>
              <w:t>建筑玻璃的光热参数值、透明（透光）材料的光热参数值、常用反射膜材料的反射比、导光管系统的光热性能参数、饰面材料的反射比、窗结构的挡光折减系数、窗玻璃的污染折减系数、室内构件的挡光折减系数、井壁的挡光折减系数、采光罩的距高比参考《建筑采光设计标准》（</w:t>
            </w:r>
            <w:r w:rsidRPr="00913C78">
              <w:rPr>
                <w:rFonts w:hint="eastAsia"/>
              </w:rPr>
              <w:t>GB 50033</w:t>
            </w:r>
            <w:r w:rsidRPr="00913C78">
              <w:rPr>
                <w:rFonts w:hint="eastAsia"/>
              </w:rPr>
              <w:t>—</w:t>
            </w:r>
            <w:r w:rsidRPr="00913C78">
              <w:rPr>
                <w:rFonts w:hint="eastAsia"/>
              </w:rPr>
              <w:t>2013</w:t>
            </w:r>
            <w:r w:rsidRPr="00913C78">
              <w:rPr>
                <w:rFonts w:hint="eastAsia"/>
              </w:rPr>
              <w:t>）附录</w:t>
            </w:r>
            <w:r w:rsidRPr="00913C78">
              <w:rPr>
                <w:rFonts w:hint="eastAsia"/>
              </w:rPr>
              <w:t>D</w:t>
            </w:r>
            <w:r w:rsidRPr="00913C78">
              <w:rPr>
                <w:rFonts w:hint="eastAsia"/>
              </w:rPr>
              <w:t>表</w:t>
            </w:r>
            <w:r w:rsidRPr="00913C78">
              <w:rPr>
                <w:rFonts w:hint="eastAsia"/>
              </w:rPr>
              <w:t>D.0.1</w:t>
            </w:r>
            <w:r w:rsidRPr="00913C78">
              <w:rPr>
                <w:rFonts w:hint="eastAsia"/>
              </w:rPr>
              <w:t>～</w:t>
            </w:r>
            <w:r w:rsidRPr="00913C78">
              <w:rPr>
                <w:rFonts w:hint="eastAsia"/>
              </w:rPr>
              <w:t>D.0.10</w:t>
            </w:r>
            <w:r w:rsidRPr="00913C78">
              <w:rPr>
                <w:rFonts w:hint="eastAsia"/>
              </w:rPr>
              <w:t>选取</w:t>
            </w:r>
          </w:p>
        </w:tc>
        <w:tc>
          <w:tcPr>
            <w:tcW w:w="1076" w:type="dxa"/>
            <w:shd w:val="clear" w:color="auto" w:fill="auto"/>
            <w:vAlign w:val="center"/>
          </w:tcPr>
          <w:p w14:paraId="393B4689" w14:textId="77777777" w:rsidR="00E731D0" w:rsidRPr="00913C78" w:rsidRDefault="00E731D0" w:rsidP="00E731D0">
            <w:pPr>
              <w:pStyle w:val="af7"/>
              <w:jc w:val="center"/>
            </w:pPr>
          </w:p>
        </w:tc>
      </w:tr>
      <w:tr w:rsidR="00E731D0" w:rsidRPr="00913C78" w14:paraId="244373B8" w14:textId="77777777" w:rsidTr="00E731D0">
        <w:trPr>
          <w:jc w:val="center"/>
        </w:trPr>
        <w:tc>
          <w:tcPr>
            <w:tcW w:w="619" w:type="dxa"/>
            <w:vMerge/>
            <w:shd w:val="clear" w:color="auto" w:fill="auto"/>
            <w:vAlign w:val="center"/>
          </w:tcPr>
          <w:p w14:paraId="69D986C1" w14:textId="77777777" w:rsidR="00E731D0" w:rsidRPr="00913C78" w:rsidRDefault="00E731D0" w:rsidP="00E731D0">
            <w:pPr>
              <w:pStyle w:val="af7"/>
              <w:jc w:val="center"/>
            </w:pPr>
          </w:p>
        </w:tc>
        <w:tc>
          <w:tcPr>
            <w:tcW w:w="1145" w:type="dxa"/>
            <w:vMerge/>
            <w:shd w:val="clear" w:color="auto" w:fill="auto"/>
            <w:vAlign w:val="center"/>
          </w:tcPr>
          <w:p w14:paraId="5913931F" w14:textId="77777777" w:rsidR="00E731D0" w:rsidRPr="00913C78" w:rsidRDefault="00E731D0" w:rsidP="00E731D0">
            <w:pPr>
              <w:pStyle w:val="af7"/>
              <w:jc w:val="center"/>
            </w:pPr>
          </w:p>
        </w:tc>
        <w:tc>
          <w:tcPr>
            <w:tcW w:w="4815" w:type="dxa"/>
            <w:shd w:val="clear" w:color="auto" w:fill="auto"/>
            <w:vAlign w:val="center"/>
          </w:tcPr>
          <w:p w14:paraId="5EFFF383" w14:textId="4ABB1E67" w:rsidR="00E731D0" w:rsidRPr="00913C78" w:rsidRDefault="00E731D0" w:rsidP="00E731D0">
            <w:pPr>
              <w:pStyle w:val="af7"/>
            </w:pPr>
            <w:r w:rsidRPr="00913C78">
              <w:rPr>
                <w:rFonts w:hint="eastAsia"/>
              </w:rPr>
              <w:t>计算全部利用天然光时数满足本书附表</w:t>
            </w:r>
            <w:r w:rsidRPr="00913C78">
              <w:rPr>
                <w:rFonts w:hint="eastAsia"/>
              </w:rPr>
              <w:t>A.3.2</w:t>
            </w:r>
            <w:r w:rsidRPr="00913C78">
              <w:rPr>
                <w:rFonts w:hint="eastAsia"/>
              </w:rPr>
              <w:t>要求</w:t>
            </w:r>
          </w:p>
        </w:tc>
        <w:tc>
          <w:tcPr>
            <w:tcW w:w="1076" w:type="dxa"/>
            <w:shd w:val="clear" w:color="auto" w:fill="auto"/>
            <w:vAlign w:val="center"/>
          </w:tcPr>
          <w:p w14:paraId="1C2DCDF8" w14:textId="77777777" w:rsidR="00E731D0" w:rsidRPr="00913C78" w:rsidRDefault="00E731D0" w:rsidP="00E731D0">
            <w:pPr>
              <w:pStyle w:val="af7"/>
              <w:jc w:val="center"/>
            </w:pPr>
          </w:p>
        </w:tc>
      </w:tr>
      <w:tr w:rsidR="00E731D0" w:rsidRPr="00913C78" w14:paraId="7D24A21B" w14:textId="77777777" w:rsidTr="00E731D0">
        <w:trPr>
          <w:jc w:val="center"/>
        </w:trPr>
        <w:tc>
          <w:tcPr>
            <w:tcW w:w="619" w:type="dxa"/>
            <w:vMerge/>
            <w:shd w:val="clear" w:color="auto" w:fill="auto"/>
            <w:vAlign w:val="center"/>
          </w:tcPr>
          <w:p w14:paraId="451F1896" w14:textId="77777777" w:rsidR="00E731D0" w:rsidRPr="00913C78" w:rsidRDefault="00E731D0" w:rsidP="00E731D0">
            <w:pPr>
              <w:pStyle w:val="af7"/>
              <w:jc w:val="center"/>
            </w:pPr>
          </w:p>
        </w:tc>
        <w:tc>
          <w:tcPr>
            <w:tcW w:w="1145" w:type="dxa"/>
            <w:vMerge/>
            <w:shd w:val="clear" w:color="auto" w:fill="auto"/>
            <w:vAlign w:val="center"/>
          </w:tcPr>
          <w:p w14:paraId="54FF1878" w14:textId="77777777" w:rsidR="00E731D0" w:rsidRPr="00913C78" w:rsidRDefault="00E731D0" w:rsidP="00E731D0">
            <w:pPr>
              <w:pStyle w:val="af7"/>
              <w:jc w:val="center"/>
            </w:pPr>
          </w:p>
        </w:tc>
        <w:tc>
          <w:tcPr>
            <w:tcW w:w="4815" w:type="dxa"/>
            <w:shd w:val="clear" w:color="auto" w:fill="auto"/>
            <w:vAlign w:val="center"/>
          </w:tcPr>
          <w:p w14:paraId="595A9599" w14:textId="016BDCE0" w:rsidR="00E731D0" w:rsidRPr="00913C78" w:rsidRDefault="00E731D0" w:rsidP="00E731D0">
            <w:pPr>
              <w:pStyle w:val="af7"/>
            </w:pPr>
            <w:r w:rsidRPr="00913C78">
              <w:rPr>
                <w:rFonts w:hint="eastAsia"/>
              </w:rPr>
              <w:t>计算部分利用天然光时数满足本书附表</w:t>
            </w:r>
            <w:r w:rsidRPr="00913C78">
              <w:rPr>
                <w:rFonts w:hint="eastAsia"/>
              </w:rPr>
              <w:t>A.3.3</w:t>
            </w:r>
            <w:r w:rsidRPr="00913C78">
              <w:rPr>
                <w:rFonts w:hint="eastAsia"/>
              </w:rPr>
              <w:t>要求</w:t>
            </w:r>
          </w:p>
        </w:tc>
        <w:tc>
          <w:tcPr>
            <w:tcW w:w="1076" w:type="dxa"/>
            <w:shd w:val="clear" w:color="auto" w:fill="auto"/>
            <w:vAlign w:val="center"/>
          </w:tcPr>
          <w:p w14:paraId="0329FEE7" w14:textId="77777777" w:rsidR="00E731D0" w:rsidRPr="00913C78" w:rsidRDefault="00E731D0" w:rsidP="00E731D0">
            <w:pPr>
              <w:pStyle w:val="af7"/>
              <w:jc w:val="center"/>
            </w:pPr>
          </w:p>
        </w:tc>
      </w:tr>
      <w:tr w:rsidR="00E731D0" w:rsidRPr="00913C78" w14:paraId="118FC71C" w14:textId="77777777" w:rsidTr="00E731D0">
        <w:trPr>
          <w:jc w:val="center"/>
        </w:trPr>
        <w:tc>
          <w:tcPr>
            <w:tcW w:w="619" w:type="dxa"/>
            <w:vMerge w:val="restart"/>
            <w:shd w:val="clear" w:color="auto" w:fill="auto"/>
            <w:vAlign w:val="center"/>
          </w:tcPr>
          <w:p w14:paraId="15946BA2" w14:textId="53D63FEF" w:rsidR="00E731D0" w:rsidRPr="00913C78" w:rsidRDefault="00E731D0" w:rsidP="00E731D0">
            <w:pPr>
              <w:pStyle w:val="af7"/>
              <w:jc w:val="center"/>
            </w:pPr>
            <w:r w:rsidRPr="00913C78">
              <w:t>8</w:t>
            </w:r>
          </w:p>
        </w:tc>
        <w:tc>
          <w:tcPr>
            <w:tcW w:w="1145" w:type="dxa"/>
            <w:vMerge w:val="restart"/>
            <w:shd w:val="clear" w:color="auto" w:fill="auto"/>
            <w:vAlign w:val="center"/>
          </w:tcPr>
          <w:p w14:paraId="79F1E40A" w14:textId="5D5F8798" w:rsidR="00E731D0" w:rsidRPr="00913C78" w:rsidRDefault="00E731D0" w:rsidP="00E731D0">
            <w:pPr>
              <w:pStyle w:val="af7"/>
              <w:jc w:val="center"/>
            </w:pPr>
            <w:r w:rsidRPr="00913C78">
              <w:rPr>
                <w:rFonts w:hint="eastAsia"/>
              </w:rPr>
              <w:t>数值分析</w:t>
            </w:r>
            <w:r w:rsidRPr="00913C78">
              <w:rPr>
                <w:rFonts w:hint="eastAsia"/>
              </w:rPr>
              <w:lastRenderedPageBreak/>
              <w:t>结果</w:t>
            </w:r>
          </w:p>
        </w:tc>
        <w:tc>
          <w:tcPr>
            <w:tcW w:w="4815" w:type="dxa"/>
            <w:shd w:val="clear" w:color="auto" w:fill="auto"/>
            <w:vAlign w:val="center"/>
          </w:tcPr>
          <w:p w14:paraId="4FC64AB1" w14:textId="34E1AEE8" w:rsidR="00E731D0" w:rsidRPr="00913C78" w:rsidRDefault="00E731D0" w:rsidP="00E731D0">
            <w:pPr>
              <w:pStyle w:val="af7"/>
            </w:pPr>
            <w:r w:rsidRPr="00913C78">
              <w:rPr>
                <w:rFonts w:hint="eastAsia"/>
              </w:rPr>
              <w:lastRenderedPageBreak/>
              <w:t>有能够表达目标建筑和周边遮挡物位置关系的总平</w:t>
            </w:r>
            <w:r w:rsidRPr="00913C78">
              <w:rPr>
                <w:rFonts w:hint="eastAsia"/>
              </w:rPr>
              <w:lastRenderedPageBreak/>
              <w:t>面图</w:t>
            </w:r>
          </w:p>
        </w:tc>
        <w:tc>
          <w:tcPr>
            <w:tcW w:w="1076" w:type="dxa"/>
            <w:shd w:val="clear" w:color="auto" w:fill="auto"/>
            <w:vAlign w:val="center"/>
          </w:tcPr>
          <w:p w14:paraId="052C5A45" w14:textId="77777777" w:rsidR="00E731D0" w:rsidRPr="00913C78" w:rsidRDefault="00E731D0" w:rsidP="00E731D0">
            <w:pPr>
              <w:pStyle w:val="af7"/>
              <w:jc w:val="center"/>
            </w:pPr>
          </w:p>
        </w:tc>
      </w:tr>
      <w:tr w:rsidR="00E731D0" w:rsidRPr="00913C78" w14:paraId="28CA1FF5" w14:textId="77777777" w:rsidTr="00E731D0">
        <w:trPr>
          <w:jc w:val="center"/>
        </w:trPr>
        <w:tc>
          <w:tcPr>
            <w:tcW w:w="619" w:type="dxa"/>
            <w:vMerge/>
            <w:shd w:val="clear" w:color="auto" w:fill="auto"/>
            <w:vAlign w:val="center"/>
          </w:tcPr>
          <w:p w14:paraId="0D08F115" w14:textId="77777777" w:rsidR="00E731D0" w:rsidRPr="00913C78" w:rsidRDefault="00E731D0" w:rsidP="00E731D0">
            <w:pPr>
              <w:pStyle w:val="af7"/>
              <w:jc w:val="center"/>
            </w:pPr>
          </w:p>
        </w:tc>
        <w:tc>
          <w:tcPr>
            <w:tcW w:w="1145" w:type="dxa"/>
            <w:vMerge/>
            <w:shd w:val="clear" w:color="auto" w:fill="auto"/>
            <w:vAlign w:val="center"/>
          </w:tcPr>
          <w:p w14:paraId="2B155F5D" w14:textId="77777777" w:rsidR="00E731D0" w:rsidRPr="00913C78" w:rsidRDefault="00E731D0" w:rsidP="00E731D0">
            <w:pPr>
              <w:pStyle w:val="af7"/>
              <w:jc w:val="center"/>
            </w:pPr>
          </w:p>
        </w:tc>
        <w:tc>
          <w:tcPr>
            <w:tcW w:w="4815" w:type="dxa"/>
            <w:shd w:val="clear" w:color="auto" w:fill="auto"/>
            <w:vAlign w:val="center"/>
          </w:tcPr>
          <w:p w14:paraId="6DF8371E" w14:textId="6D38B066" w:rsidR="00E731D0" w:rsidRPr="00913C78" w:rsidRDefault="00E731D0" w:rsidP="00E731D0">
            <w:pPr>
              <w:pStyle w:val="af7"/>
            </w:pPr>
            <w:r w:rsidRPr="00913C78">
              <w:rPr>
                <w:rFonts w:hint="eastAsia"/>
              </w:rPr>
              <w:t>有目标</w:t>
            </w:r>
            <w:r w:rsidRPr="00913C78">
              <w:t>建筑</w:t>
            </w:r>
            <w:r w:rsidRPr="00913C78">
              <w:rPr>
                <w:rFonts w:hint="eastAsia"/>
              </w:rPr>
              <w:t>三维物理模型效果图</w:t>
            </w:r>
          </w:p>
        </w:tc>
        <w:tc>
          <w:tcPr>
            <w:tcW w:w="1076" w:type="dxa"/>
            <w:shd w:val="clear" w:color="auto" w:fill="auto"/>
            <w:vAlign w:val="center"/>
          </w:tcPr>
          <w:p w14:paraId="66676CE9" w14:textId="77777777" w:rsidR="00E731D0" w:rsidRPr="00913C78" w:rsidRDefault="00E731D0" w:rsidP="00E731D0">
            <w:pPr>
              <w:pStyle w:val="af7"/>
              <w:jc w:val="center"/>
            </w:pPr>
          </w:p>
        </w:tc>
      </w:tr>
      <w:tr w:rsidR="00E731D0" w:rsidRPr="00913C78" w14:paraId="5AC92480" w14:textId="77777777" w:rsidTr="00E731D0">
        <w:trPr>
          <w:jc w:val="center"/>
        </w:trPr>
        <w:tc>
          <w:tcPr>
            <w:tcW w:w="619" w:type="dxa"/>
            <w:vMerge/>
            <w:shd w:val="clear" w:color="auto" w:fill="auto"/>
            <w:vAlign w:val="center"/>
          </w:tcPr>
          <w:p w14:paraId="49B5656E" w14:textId="77777777" w:rsidR="00E731D0" w:rsidRPr="00913C78" w:rsidRDefault="00E731D0" w:rsidP="00E731D0">
            <w:pPr>
              <w:pStyle w:val="af7"/>
              <w:jc w:val="center"/>
            </w:pPr>
          </w:p>
        </w:tc>
        <w:tc>
          <w:tcPr>
            <w:tcW w:w="1145" w:type="dxa"/>
            <w:vMerge/>
            <w:shd w:val="clear" w:color="auto" w:fill="auto"/>
            <w:vAlign w:val="center"/>
          </w:tcPr>
          <w:p w14:paraId="4F011230" w14:textId="77777777" w:rsidR="00E731D0" w:rsidRPr="00913C78" w:rsidRDefault="00E731D0" w:rsidP="00E731D0">
            <w:pPr>
              <w:pStyle w:val="af7"/>
              <w:jc w:val="center"/>
            </w:pPr>
          </w:p>
        </w:tc>
        <w:tc>
          <w:tcPr>
            <w:tcW w:w="4815" w:type="dxa"/>
            <w:shd w:val="clear" w:color="auto" w:fill="auto"/>
            <w:vAlign w:val="center"/>
          </w:tcPr>
          <w:p w14:paraId="7723A47C" w14:textId="718A1704" w:rsidR="00E731D0" w:rsidRPr="00913C78" w:rsidRDefault="00E731D0" w:rsidP="00E731D0">
            <w:pPr>
              <w:pStyle w:val="af7"/>
            </w:pPr>
            <w:r w:rsidRPr="00913C78">
              <w:rPr>
                <w:rFonts w:hint="eastAsia"/>
              </w:rPr>
              <w:t>数值分析得到满足网格间距参考平面（民用建筑取距地面</w:t>
            </w:r>
            <w:r w:rsidRPr="00913C78">
              <w:rPr>
                <w:rFonts w:hint="eastAsia"/>
              </w:rPr>
              <w:t>0.75m</w:t>
            </w:r>
            <w:r w:rsidRPr="00913C78">
              <w:rPr>
                <w:rFonts w:hint="eastAsia"/>
              </w:rPr>
              <w:t>）的采光系数平均值、室内参考平面采光系数等值线图</w:t>
            </w:r>
          </w:p>
        </w:tc>
        <w:tc>
          <w:tcPr>
            <w:tcW w:w="1076" w:type="dxa"/>
            <w:shd w:val="clear" w:color="auto" w:fill="auto"/>
            <w:vAlign w:val="center"/>
          </w:tcPr>
          <w:p w14:paraId="2D6A1C37" w14:textId="77777777" w:rsidR="00E731D0" w:rsidRPr="00913C78" w:rsidRDefault="00E731D0" w:rsidP="00E731D0">
            <w:pPr>
              <w:pStyle w:val="af7"/>
              <w:jc w:val="center"/>
            </w:pPr>
          </w:p>
        </w:tc>
      </w:tr>
      <w:tr w:rsidR="00E731D0" w:rsidRPr="00913C78" w14:paraId="5719A1B1" w14:textId="77777777" w:rsidTr="00E731D0">
        <w:trPr>
          <w:jc w:val="center"/>
        </w:trPr>
        <w:tc>
          <w:tcPr>
            <w:tcW w:w="619" w:type="dxa"/>
            <w:vMerge/>
            <w:shd w:val="clear" w:color="auto" w:fill="auto"/>
            <w:vAlign w:val="center"/>
          </w:tcPr>
          <w:p w14:paraId="3019D778" w14:textId="77777777" w:rsidR="00E731D0" w:rsidRPr="00913C78" w:rsidRDefault="00E731D0" w:rsidP="00E731D0">
            <w:pPr>
              <w:pStyle w:val="af7"/>
              <w:jc w:val="center"/>
            </w:pPr>
          </w:p>
        </w:tc>
        <w:tc>
          <w:tcPr>
            <w:tcW w:w="1145" w:type="dxa"/>
            <w:vMerge/>
            <w:shd w:val="clear" w:color="auto" w:fill="auto"/>
            <w:vAlign w:val="center"/>
          </w:tcPr>
          <w:p w14:paraId="6A6BE903" w14:textId="77777777" w:rsidR="00E731D0" w:rsidRPr="00913C78" w:rsidRDefault="00E731D0" w:rsidP="00E731D0">
            <w:pPr>
              <w:pStyle w:val="af7"/>
              <w:jc w:val="center"/>
            </w:pPr>
          </w:p>
        </w:tc>
        <w:tc>
          <w:tcPr>
            <w:tcW w:w="4815" w:type="dxa"/>
            <w:shd w:val="clear" w:color="auto" w:fill="auto"/>
            <w:vAlign w:val="center"/>
          </w:tcPr>
          <w:p w14:paraId="48D710CD" w14:textId="0D5CF8DE" w:rsidR="00E731D0" w:rsidRPr="00913C78" w:rsidRDefault="00E731D0" w:rsidP="00E731D0">
            <w:pPr>
              <w:pStyle w:val="af7"/>
            </w:pPr>
            <w:r w:rsidRPr="00913C78">
              <w:rPr>
                <w:rFonts w:hint="eastAsia"/>
              </w:rPr>
              <w:t>室内参考平面天然光设计照度平均值、室内参考平面天然光设计照度等值线图</w:t>
            </w:r>
          </w:p>
        </w:tc>
        <w:tc>
          <w:tcPr>
            <w:tcW w:w="1076" w:type="dxa"/>
            <w:shd w:val="clear" w:color="auto" w:fill="auto"/>
            <w:vAlign w:val="center"/>
          </w:tcPr>
          <w:p w14:paraId="7DAC53D9" w14:textId="77777777" w:rsidR="00E731D0" w:rsidRPr="00913C78" w:rsidRDefault="00E731D0" w:rsidP="00E731D0">
            <w:pPr>
              <w:pStyle w:val="af7"/>
              <w:jc w:val="center"/>
            </w:pPr>
          </w:p>
        </w:tc>
      </w:tr>
      <w:tr w:rsidR="00E731D0" w:rsidRPr="00913C78" w14:paraId="1BC9BD0C" w14:textId="77777777" w:rsidTr="00E731D0">
        <w:trPr>
          <w:jc w:val="center"/>
        </w:trPr>
        <w:tc>
          <w:tcPr>
            <w:tcW w:w="619" w:type="dxa"/>
            <w:vMerge/>
            <w:shd w:val="clear" w:color="auto" w:fill="auto"/>
            <w:vAlign w:val="center"/>
          </w:tcPr>
          <w:p w14:paraId="05059276" w14:textId="77777777" w:rsidR="00E731D0" w:rsidRPr="00913C78" w:rsidRDefault="00E731D0" w:rsidP="00E731D0">
            <w:pPr>
              <w:pStyle w:val="af7"/>
              <w:jc w:val="center"/>
            </w:pPr>
          </w:p>
        </w:tc>
        <w:tc>
          <w:tcPr>
            <w:tcW w:w="1145" w:type="dxa"/>
            <w:vMerge/>
            <w:shd w:val="clear" w:color="auto" w:fill="auto"/>
            <w:vAlign w:val="center"/>
          </w:tcPr>
          <w:p w14:paraId="41D06DB1" w14:textId="77777777" w:rsidR="00E731D0" w:rsidRPr="00913C78" w:rsidRDefault="00E731D0" w:rsidP="00E731D0">
            <w:pPr>
              <w:pStyle w:val="af7"/>
              <w:jc w:val="center"/>
            </w:pPr>
          </w:p>
        </w:tc>
        <w:tc>
          <w:tcPr>
            <w:tcW w:w="4815" w:type="dxa"/>
            <w:shd w:val="clear" w:color="auto" w:fill="auto"/>
            <w:vAlign w:val="center"/>
          </w:tcPr>
          <w:p w14:paraId="740CFB4F" w14:textId="25662F0E" w:rsidR="00E731D0" w:rsidRPr="00913C78" w:rsidRDefault="00E731D0" w:rsidP="00E731D0">
            <w:pPr>
              <w:pStyle w:val="af7"/>
            </w:pPr>
            <w:r w:rsidRPr="00913C78">
              <w:rPr>
                <w:rFonts w:hint="eastAsia"/>
              </w:rPr>
              <w:t>不同</w:t>
            </w:r>
            <w:r w:rsidRPr="00913C78">
              <w:t>建筑类型</w:t>
            </w:r>
            <w:r w:rsidRPr="00913C78">
              <w:rPr>
                <w:rFonts w:hint="eastAsia"/>
              </w:rPr>
              <w:t>对应满足《建筑采光设计标准》（</w:t>
            </w:r>
            <w:r w:rsidRPr="00913C78">
              <w:rPr>
                <w:rFonts w:hint="eastAsia"/>
              </w:rPr>
              <w:t>GB 50033</w:t>
            </w:r>
            <w:r w:rsidRPr="00913C78">
              <w:rPr>
                <w:rFonts w:hint="eastAsia"/>
              </w:rPr>
              <w:t>—</w:t>
            </w:r>
            <w:r w:rsidRPr="00913C78">
              <w:rPr>
                <w:rFonts w:hint="eastAsia"/>
              </w:rPr>
              <w:t>2013</w:t>
            </w:r>
            <w:r w:rsidRPr="00913C78">
              <w:rPr>
                <w:rFonts w:hint="eastAsia"/>
              </w:rPr>
              <w:t>）的</w:t>
            </w:r>
            <w:r w:rsidRPr="00913C78">
              <w:t>要求</w:t>
            </w:r>
          </w:p>
        </w:tc>
        <w:tc>
          <w:tcPr>
            <w:tcW w:w="1076" w:type="dxa"/>
            <w:shd w:val="clear" w:color="auto" w:fill="auto"/>
            <w:vAlign w:val="center"/>
          </w:tcPr>
          <w:p w14:paraId="31120800" w14:textId="77777777" w:rsidR="00E731D0" w:rsidRPr="00913C78" w:rsidRDefault="00E731D0" w:rsidP="00E731D0">
            <w:pPr>
              <w:pStyle w:val="af7"/>
              <w:jc w:val="center"/>
            </w:pPr>
          </w:p>
        </w:tc>
      </w:tr>
      <w:tr w:rsidR="00E731D0" w:rsidRPr="00913C78" w14:paraId="4480F0E8" w14:textId="77777777" w:rsidTr="00E731D0">
        <w:trPr>
          <w:jc w:val="center"/>
        </w:trPr>
        <w:tc>
          <w:tcPr>
            <w:tcW w:w="619" w:type="dxa"/>
            <w:vMerge/>
            <w:shd w:val="clear" w:color="auto" w:fill="auto"/>
            <w:vAlign w:val="center"/>
          </w:tcPr>
          <w:p w14:paraId="13889C5C" w14:textId="77777777" w:rsidR="00E731D0" w:rsidRPr="00913C78" w:rsidRDefault="00E731D0" w:rsidP="00E731D0">
            <w:pPr>
              <w:pStyle w:val="af7"/>
              <w:jc w:val="center"/>
            </w:pPr>
          </w:p>
        </w:tc>
        <w:tc>
          <w:tcPr>
            <w:tcW w:w="1145" w:type="dxa"/>
            <w:vMerge/>
            <w:shd w:val="clear" w:color="auto" w:fill="auto"/>
            <w:vAlign w:val="center"/>
          </w:tcPr>
          <w:p w14:paraId="7AE33209" w14:textId="77777777" w:rsidR="00E731D0" w:rsidRPr="00913C78" w:rsidRDefault="00E731D0" w:rsidP="00E731D0">
            <w:pPr>
              <w:pStyle w:val="af7"/>
              <w:jc w:val="center"/>
            </w:pPr>
          </w:p>
        </w:tc>
        <w:tc>
          <w:tcPr>
            <w:tcW w:w="4815" w:type="dxa"/>
            <w:shd w:val="clear" w:color="auto" w:fill="auto"/>
            <w:vAlign w:val="center"/>
          </w:tcPr>
          <w:p w14:paraId="79038172" w14:textId="21A6BF5D" w:rsidR="00E731D0" w:rsidRPr="00913C78" w:rsidRDefault="00E731D0" w:rsidP="00E731D0">
            <w:pPr>
              <w:pStyle w:val="af7"/>
            </w:pPr>
            <w:r w:rsidRPr="00913C78">
              <w:rPr>
                <w:rFonts w:hint="eastAsia"/>
              </w:rPr>
              <w:t>公共建筑主要功能房间</w:t>
            </w:r>
            <w:r w:rsidRPr="00913C78">
              <w:rPr>
                <w:rFonts w:hint="eastAsia"/>
              </w:rPr>
              <w:t>60%</w:t>
            </w:r>
            <w:r w:rsidRPr="00913C78">
              <w:rPr>
                <w:rFonts w:hint="eastAsia"/>
              </w:rPr>
              <w:t>以上面积的采光系数满足现行国家标准《建筑采光设计标准》（</w:t>
            </w:r>
            <w:r w:rsidRPr="00913C78">
              <w:rPr>
                <w:rFonts w:hint="eastAsia"/>
              </w:rPr>
              <w:t>GB 50033</w:t>
            </w:r>
            <w:r w:rsidRPr="00913C78">
              <w:rPr>
                <w:rFonts w:hint="eastAsia"/>
              </w:rPr>
              <w:t>—</w:t>
            </w:r>
            <w:r w:rsidRPr="00913C78">
              <w:rPr>
                <w:rFonts w:hint="eastAsia"/>
              </w:rPr>
              <w:t>2013</w:t>
            </w:r>
            <w:r w:rsidRPr="00913C78">
              <w:rPr>
                <w:rFonts w:hint="eastAsia"/>
              </w:rPr>
              <w:t>）的要求</w:t>
            </w:r>
          </w:p>
        </w:tc>
        <w:tc>
          <w:tcPr>
            <w:tcW w:w="1076" w:type="dxa"/>
            <w:shd w:val="clear" w:color="auto" w:fill="auto"/>
            <w:vAlign w:val="center"/>
          </w:tcPr>
          <w:p w14:paraId="1689EE20" w14:textId="77777777" w:rsidR="00E731D0" w:rsidRPr="00913C78" w:rsidRDefault="00E731D0" w:rsidP="00E731D0">
            <w:pPr>
              <w:pStyle w:val="af7"/>
              <w:jc w:val="center"/>
            </w:pPr>
          </w:p>
        </w:tc>
      </w:tr>
    </w:tbl>
    <w:p w14:paraId="641330A1" w14:textId="3C3854C8" w:rsidR="00913C78" w:rsidRPr="00913C78" w:rsidRDefault="00913C78" w:rsidP="00AC08C3">
      <w:pPr>
        <w:ind w:firstLine="420"/>
        <w:jc w:val="right"/>
      </w:pPr>
      <w:r w:rsidRPr="00913C78">
        <w:br w:type="page"/>
      </w:r>
      <w:r w:rsidR="00E731D0" w:rsidRPr="00913C78">
        <w:lastRenderedPageBreak/>
        <w:t xml:space="preserve"> </w:t>
      </w:r>
    </w:p>
    <w:p w14:paraId="63797A69" w14:textId="77777777" w:rsidR="00913C78" w:rsidRPr="00913C78" w:rsidRDefault="00913C78" w:rsidP="00AC08C3">
      <w:pPr>
        <w:pStyle w:val="24"/>
      </w:pPr>
      <w:bookmarkStart w:id="295" w:name="_Toc35364783"/>
      <w:r w:rsidRPr="00913C78">
        <w:rPr>
          <w:rFonts w:hint="eastAsia"/>
        </w:rPr>
        <w:t>附录</w:t>
      </w:r>
      <w:r w:rsidRPr="00913C78">
        <w:rPr>
          <w:rFonts w:hint="eastAsia"/>
        </w:rPr>
        <w:t>A.</w:t>
      </w:r>
      <w:r w:rsidRPr="00913C78">
        <w:t>4</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——室内风环境数值分析报告提纲及要求</w:t>
      </w:r>
      <w:bookmarkEnd w:id="295"/>
    </w:p>
    <w:p w14:paraId="4659E8F5" w14:textId="77777777" w:rsidR="00913C78" w:rsidRPr="00913C78" w:rsidRDefault="00913C78" w:rsidP="00AC08C3">
      <w:pPr>
        <w:pStyle w:val="32"/>
      </w:pPr>
      <w:bookmarkStart w:id="296" w:name="_Toc475359812"/>
      <w:bookmarkStart w:id="297" w:name="_Toc35364784"/>
      <w:r w:rsidRPr="00913C78">
        <w:rPr>
          <w:rFonts w:hint="eastAsia"/>
        </w:rPr>
        <w:t xml:space="preserve">A.4.1  </w:t>
      </w:r>
      <w:r w:rsidRPr="00913C78">
        <w:t>综合概况</w:t>
      </w:r>
      <w:bookmarkEnd w:id="296"/>
      <w:bookmarkEnd w:id="297"/>
    </w:p>
    <w:p w14:paraId="024ADE8B" w14:textId="77777777" w:rsidR="00913C78" w:rsidRPr="00913C78" w:rsidRDefault="00913C78" w:rsidP="00913C78">
      <w:pPr>
        <w:ind w:firstLine="420"/>
      </w:pPr>
      <w:bookmarkStart w:id="298" w:name="_Toc475359813"/>
      <w:r w:rsidRPr="00913C78">
        <w:rPr>
          <w:rFonts w:hint="eastAsia"/>
        </w:rPr>
        <w:t>◎</w:t>
      </w:r>
      <w:r w:rsidRPr="00913C78">
        <w:t xml:space="preserve"> </w:t>
      </w:r>
      <w:r w:rsidRPr="00913C78">
        <w:rPr>
          <w:rFonts w:hint="eastAsia"/>
        </w:rPr>
        <w:t>项目基本信息</w:t>
      </w:r>
      <w:bookmarkEnd w:id="298"/>
    </w:p>
    <w:p w14:paraId="0D481E51"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中项目基本信息项目应包括但</w:t>
      </w:r>
      <w:r w:rsidRPr="00913C78">
        <w:t>不限于</w:t>
      </w:r>
      <w:r w:rsidRPr="00913C78">
        <w:rPr>
          <w:rFonts w:hint="eastAsia"/>
        </w:rPr>
        <w:t>：用地性质、项目的总平面布局、建筑面积、建筑功能、建筑朝向、窗墙比、</w:t>
      </w:r>
      <w:r w:rsidRPr="00913C78">
        <w:t>主要户型</w:t>
      </w:r>
      <w:r w:rsidRPr="00913C78">
        <w:rPr>
          <w:rFonts w:hint="eastAsia"/>
        </w:rPr>
        <w:t>等说明。</w:t>
      </w:r>
    </w:p>
    <w:p w14:paraId="22BFB62A" w14:textId="77777777" w:rsidR="00913C78" w:rsidRPr="00913C78" w:rsidRDefault="00913C78" w:rsidP="00913C78">
      <w:pPr>
        <w:ind w:firstLine="420"/>
      </w:pPr>
      <w:bookmarkStart w:id="299" w:name="_Toc475359814"/>
      <w:r w:rsidRPr="00913C78">
        <w:rPr>
          <w:rFonts w:hint="eastAsia"/>
        </w:rPr>
        <w:t>◎</w:t>
      </w:r>
      <w:r w:rsidRPr="00913C78">
        <w:t xml:space="preserve"> </w:t>
      </w:r>
      <w:r w:rsidRPr="00913C78">
        <w:rPr>
          <w:rFonts w:hint="eastAsia"/>
        </w:rPr>
        <w:t>标准要求</w:t>
      </w:r>
      <w:bookmarkEnd w:id="299"/>
    </w:p>
    <w:p w14:paraId="2FBC1E39"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中标准要求应</w:t>
      </w:r>
      <w:r w:rsidRPr="00913C78">
        <w:t>包括：</w:t>
      </w:r>
      <w:r w:rsidRPr="00913C78">
        <w:rPr>
          <w:rFonts w:hint="eastAsia"/>
        </w:rPr>
        <w:t>对应的绿色建筑标准及条款、标准规定的计算要求、评分要求及达标要求。</w:t>
      </w:r>
    </w:p>
    <w:p w14:paraId="5EE04B68" w14:textId="2678C2BA" w:rsidR="00913C78" w:rsidRPr="00913C78" w:rsidRDefault="00913C78" w:rsidP="00532D0F">
      <w:pPr>
        <w:ind w:firstLine="420"/>
      </w:pPr>
      <w:bookmarkStart w:id="300" w:name="_Toc475359815"/>
      <w:r w:rsidRPr="00913C78">
        <w:rPr>
          <w:rFonts w:hint="eastAsia"/>
        </w:rPr>
        <w:t>◎</w:t>
      </w:r>
      <w:r w:rsidRPr="00913C78">
        <w:t xml:space="preserve"> </w:t>
      </w:r>
      <w:r w:rsidRPr="00913C78">
        <w:rPr>
          <w:rFonts w:hint="eastAsia"/>
        </w:rPr>
        <w:t>数值分析依据</w:t>
      </w:r>
      <w:bookmarkEnd w:id="300"/>
    </w:p>
    <w:p w14:paraId="5DB9BD0B" w14:textId="77777777" w:rsidR="00913C78" w:rsidRPr="00913C78" w:rsidRDefault="00913C78" w:rsidP="00913C78">
      <w:pPr>
        <w:ind w:firstLine="420"/>
      </w:pPr>
      <w:r w:rsidRPr="00913C78">
        <w:rPr>
          <w:rFonts w:hint="eastAsia"/>
        </w:rPr>
        <w:t>数值分析依据应</w:t>
      </w:r>
      <w:r w:rsidRPr="00913C78">
        <w:t>包括</w:t>
      </w:r>
      <w:r w:rsidRPr="00913C78">
        <w:rPr>
          <w:rFonts w:hint="eastAsia"/>
        </w:rPr>
        <w:t>但</w:t>
      </w:r>
      <w:r w:rsidRPr="00913C78">
        <w:t>不限于：</w:t>
      </w:r>
      <w:r w:rsidRPr="00913C78">
        <w:rPr>
          <w:rFonts w:hint="eastAsia"/>
        </w:rPr>
        <w:t>应</w:t>
      </w:r>
      <w:r w:rsidRPr="00913C78">
        <w:t>写明</w:t>
      </w:r>
      <w:r w:rsidRPr="00913C78">
        <w:rPr>
          <w:rFonts w:hint="eastAsia"/>
        </w:rPr>
        <w:t>基础</w:t>
      </w:r>
      <w:r w:rsidRPr="00913C78">
        <w:t>数据</w:t>
      </w:r>
      <w:r w:rsidRPr="00913C78">
        <w:rPr>
          <w:rFonts w:hint="eastAsia"/>
        </w:rPr>
        <w:t>及</w:t>
      </w:r>
      <w:r w:rsidRPr="00913C78">
        <w:t>来源，如气象参数、</w:t>
      </w:r>
      <w:r w:rsidRPr="00913C78">
        <w:rPr>
          <w:rFonts w:hint="eastAsia"/>
        </w:rPr>
        <w:t>室外风压</w:t>
      </w:r>
      <w:r w:rsidRPr="00913C78">
        <w:t>差参数</w:t>
      </w:r>
      <w:r w:rsidRPr="00913C78">
        <w:rPr>
          <w:rFonts w:hint="eastAsia"/>
        </w:rPr>
        <w:t>、数值分析</w:t>
      </w:r>
      <w:r w:rsidRPr="00913C78">
        <w:t>建筑信息</w:t>
      </w:r>
      <w:r w:rsidRPr="00913C78">
        <w:rPr>
          <w:rFonts w:hint="eastAsia"/>
        </w:rPr>
        <w:t>等</w:t>
      </w:r>
      <w:r w:rsidRPr="00913C78">
        <w:t>。</w:t>
      </w:r>
    </w:p>
    <w:p w14:paraId="39963280" w14:textId="77777777" w:rsidR="00913C78" w:rsidRPr="00913C78" w:rsidRDefault="00913C78" w:rsidP="00913C78">
      <w:pPr>
        <w:ind w:firstLine="420"/>
      </w:pPr>
      <w:r w:rsidRPr="00913C78">
        <w:rPr>
          <w:rFonts w:hint="eastAsia"/>
        </w:rPr>
        <w:t>数据来源</w:t>
      </w:r>
      <w:r w:rsidRPr="00913C78">
        <w:t>：</w:t>
      </w:r>
    </w:p>
    <w:p w14:paraId="521C3ABB"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《民用建筑供暖通风与空气调节设计规范》（</w:t>
      </w:r>
      <w:r w:rsidRPr="00913C78">
        <w:rPr>
          <w:rFonts w:hint="eastAsia"/>
        </w:rPr>
        <w:t>GB 50736</w:t>
      </w:r>
      <w:r w:rsidRPr="00913C78">
        <w:rPr>
          <w:rFonts w:hint="eastAsia"/>
        </w:rPr>
        <w:t>—</w:t>
      </w:r>
      <w:r w:rsidRPr="00913C78">
        <w:rPr>
          <w:rFonts w:hint="eastAsia"/>
        </w:rPr>
        <w:t>2012</w:t>
      </w:r>
      <w:r w:rsidRPr="00913C78">
        <w:rPr>
          <w:rFonts w:hint="eastAsia"/>
        </w:rPr>
        <w:t>）。</w:t>
      </w:r>
    </w:p>
    <w:p w14:paraId="2005F6CC"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《中国建筑热环境分析专用气象数据集》</w:t>
      </w:r>
      <w:r w:rsidRPr="00725EEB">
        <w:rPr>
          <w:vertAlign w:val="superscript"/>
        </w:rPr>
        <w:footnoteReference w:customMarkFollows="1" w:id="2"/>
        <w:t>*</w:t>
      </w:r>
      <w:r w:rsidRPr="00913C78">
        <w:rPr>
          <w:rFonts w:hint="eastAsia"/>
        </w:rPr>
        <w:t>。</w:t>
      </w:r>
      <w:r w:rsidRPr="00913C78">
        <w:rPr>
          <w:rFonts w:hint="eastAsia"/>
        </w:rPr>
        <w:t xml:space="preserve"> </w:t>
      </w:r>
    </w:p>
    <w:p w14:paraId="1FD9A1F0" w14:textId="77777777" w:rsidR="00913C78" w:rsidRPr="00913C78" w:rsidRDefault="00913C78" w:rsidP="00913C78">
      <w:pPr>
        <w:ind w:firstLine="420"/>
      </w:pPr>
      <w:r w:rsidRPr="00913C78">
        <w:rPr>
          <w:rFonts w:hint="eastAsia"/>
        </w:rPr>
        <w:t>3</w:t>
      </w:r>
      <w:r w:rsidRPr="00913C78">
        <w:rPr>
          <w:rFonts w:hint="eastAsia"/>
        </w:rPr>
        <w:t>）</w:t>
      </w:r>
      <w:r w:rsidRPr="00913C78">
        <w:t> </w:t>
      </w:r>
      <w:r w:rsidRPr="00913C78">
        <w:rPr>
          <w:rFonts w:hint="eastAsia"/>
        </w:rPr>
        <w:t>室外风压差参数：根据室外风场模拟结果，得出建筑迎风面及背风面的前后平均风压差。</w:t>
      </w:r>
    </w:p>
    <w:p w14:paraId="7B264602" w14:textId="77777777" w:rsidR="00913C78" w:rsidRPr="00913C78" w:rsidRDefault="00913C78" w:rsidP="00913C78">
      <w:pPr>
        <w:ind w:firstLine="420"/>
      </w:pPr>
      <w:r w:rsidRPr="00913C78">
        <w:rPr>
          <w:rFonts w:hint="eastAsia"/>
        </w:rPr>
        <w:t>分析</w:t>
      </w:r>
      <w:r w:rsidRPr="00913C78">
        <w:t>过程</w:t>
      </w:r>
      <w:r w:rsidRPr="00913C78">
        <w:rPr>
          <w:rFonts w:hint="eastAsia"/>
        </w:rPr>
        <w:t>可</w:t>
      </w:r>
      <w:r w:rsidRPr="00913C78">
        <w:t>参考</w:t>
      </w:r>
      <w:r w:rsidRPr="00913C78">
        <w:rPr>
          <w:rFonts w:hint="eastAsia"/>
        </w:rPr>
        <w:t>《</w:t>
      </w:r>
      <w:r w:rsidRPr="00913C78">
        <w:t>民用</w:t>
      </w:r>
      <w:r w:rsidRPr="00913C78">
        <w:rPr>
          <w:rFonts w:hint="eastAsia"/>
        </w:rPr>
        <w:t>建筑</w:t>
      </w:r>
      <w:r w:rsidRPr="00913C78">
        <w:t>绿色</w:t>
      </w:r>
      <w:r w:rsidRPr="00913C78">
        <w:rPr>
          <w:rFonts w:hint="eastAsia"/>
        </w:rPr>
        <w:t>性能</w:t>
      </w:r>
      <w:r w:rsidRPr="00913C78">
        <w:t>计算标准》</w:t>
      </w:r>
      <w:r w:rsidRPr="00913C78">
        <w:rPr>
          <w:rFonts w:hint="eastAsia"/>
        </w:rPr>
        <w:t>（</w:t>
      </w:r>
      <w:r w:rsidRPr="00913C78">
        <w:rPr>
          <w:rFonts w:hint="eastAsia"/>
        </w:rPr>
        <w:t>JGJ/T 449</w:t>
      </w:r>
      <w:r w:rsidRPr="00913C78">
        <w:rPr>
          <w:rFonts w:hint="eastAsia"/>
        </w:rPr>
        <w:t>—</w:t>
      </w:r>
      <w:r w:rsidRPr="00913C78">
        <w:rPr>
          <w:rFonts w:hint="eastAsia"/>
        </w:rPr>
        <w:t>2018</w:t>
      </w:r>
      <w:r w:rsidRPr="00913C78">
        <w:rPr>
          <w:rFonts w:hint="eastAsia"/>
        </w:rPr>
        <w:t>）要求</w:t>
      </w:r>
      <w:r w:rsidRPr="00913C78">
        <w:t>进行。</w:t>
      </w:r>
    </w:p>
    <w:p w14:paraId="0658A20E" w14:textId="77777777" w:rsidR="00913C78" w:rsidRPr="00913C78" w:rsidRDefault="00913C78" w:rsidP="00AC08C3">
      <w:pPr>
        <w:pStyle w:val="32"/>
      </w:pPr>
      <w:bookmarkStart w:id="301" w:name="_Toc475359816"/>
      <w:bookmarkStart w:id="302" w:name="_Toc35364785"/>
      <w:r w:rsidRPr="00913C78">
        <w:rPr>
          <w:rFonts w:hint="eastAsia"/>
        </w:rPr>
        <w:t xml:space="preserve">A.4.2  </w:t>
      </w:r>
      <w:r w:rsidRPr="00913C78">
        <w:rPr>
          <w:rFonts w:hint="eastAsia"/>
        </w:rPr>
        <w:t>数值分析方法</w:t>
      </w:r>
      <w:bookmarkEnd w:id="301"/>
      <w:bookmarkEnd w:id="302"/>
    </w:p>
    <w:p w14:paraId="114DB926" w14:textId="77777777" w:rsidR="00913C78" w:rsidRPr="00913C78" w:rsidRDefault="00913C78" w:rsidP="00913C78">
      <w:pPr>
        <w:ind w:firstLine="420"/>
      </w:pPr>
      <w:bookmarkStart w:id="303" w:name="_Toc475359817"/>
      <w:r w:rsidRPr="00913C78">
        <w:rPr>
          <w:rFonts w:hint="eastAsia"/>
        </w:rPr>
        <w:t>◎</w:t>
      </w:r>
      <w:r w:rsidRPr="00913C78">
        <w:rPr>
          <w:rFonts w:hint="eastAsia"/>
        </w:rPr>
        <w:t xml:space="preserve"> </w:t>
      </w:r>
      <w:r w:rsidRPr="00913C78">
        <w:rPr>
          <w:rFonts w:hint="eastAsia"/>
        </w:rPr>
        <w:t>分析方法</w:t>
      </w:r>
      <w:bookmarkEnd w:id="303"/>
    </w:p>
    <w:p w14:paraId="6DC493E9" w14:textId="77777777" w:rsidR="00913C78" w:rsidRPr="00913C78" w:rsidRDefault="00913C78" w:rsidP="00913C78">
      <w:pPr>
        <w:ind w:firstLine="420"/>
      </w:pPr>
      <w:r w:rsidRPr="00913C78">
        <w:rPr>
          <w:rFonts w:hint="eastAsia"/>
        </w:rPr>
        <w:t>数值分析</w:t>
      </w:r>
      <w:r w:rsidRPr="00913C78">
        <w:t>报告</w:t>
      </w:r>
      <w:r w:rsidRPr="00913C78">
        <w:rPr>
          <w:rFonts w:hint="eastAsia"/>
        </w:rPr>
        <w:t>中分析方法</w:t>
      </w:r>
      <w:r w:rsidRPr="00913C78">
        <w:t>应</w:t>
      </w:r>
      <w:r w:rsidRPr="00913C78">
        <w:rPr>
          <w:rFonts w:hint="eastAsia"/>
        </w:rPr>
        <w:t>包括但</w:t>
      </w:r>
      <w:r w:rsidRPr="00913C78">
        <w:t>不限于</w:t>
      </w:r>
      <w:r w:rsidRPr="00913C78">
        <w:rPr>
          <w:rFonts w:hint="eastAsia"/>
        </w:rPr>
        <w:t>：数值分析采用</w:t>
      </w:r>
      <w:r w:rsidRPr="00913C78">
        <w:t>的分析方法和</w:t>
      </w:r>
      <w:r w:rsidRPr="00913C78">
        <w:rPr>
          <w:rFonts w:hint="eastAsia"/>
        </w:rPr>
        <w:t>基本流程。</w:t>
      </w:r>
    </w:p>
    <w:p w14:paraId="296B38D3" w14:textId="77777777" w:rsidR="00913C78" w:rsidRPr="00913C78" w:rsidRDefault="00913C78" w:rsidP="00913C78">
      <w:pPr>
        <w:ind w:firstLine="420"/>
      </w:pPr>
      <w:r w:rsidRPr="00913C78">
        <w:rPr>
          <w:rFonts w:hint="eastAsia"/>
        </w:rPr>
        <w:lastRenderedPageBreak/>
        <w:t>数值分析方法要求如下。</w:t>
      </w:r>
    </w:p>
    <w:p w14:paraId="116FAEC7"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）模型</w:t>
      </w:r>
      <w:r w:rsidRPr="00913C78">
        <w:t>选取</w:t>
      </w:r>
    </w:p>
    <w:p w14:paraId="0490BDA5"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采用</w:t>
      </w:r>
      <w:r w:rsidRPr="00913C78">
        <w:t>3D</w:t>
      </w:r>
      <w:r w:rsidRPr="00913C78">
        <w:rPr>
          <w:rFonts w:hint="eastAsia"/>
        </w:rPr>
        <w:t>模型并满足</w:t>
      </w:r>
      <w:r w:rsidRPr="00913C78">
        <w:t>N-S</w:t>
      </w:r>
      <w:r w:rsidRPr="00913C78">
        <w:rPr>
          <w:rFonts w:hint="eastAsia"/>
        </w:rPr>
        <w:t>方程。</w:t>
      </w:r>
    </w:p>
    <w:p w14:paraId="3FC82301"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湍流模型可采用标准</w:t>
      </w:r>
      <w:r w:rsidRPr="00913C78">
        <w:t>k</w:t>
      </w:r>
      <w:r w:rsidRPr="00913C78">
        <w:rPr>
          <w:rFonts w:hint="eastAsia"/>
        </w:rPr>
        <w:t>-</w:t>
      </w:r>
      <w:r w:rsidRPr="00913C78">
        <w:rPr>
          <w:rFonts w:hint="eastAsia"/>
        </w:rPr>
        <w:sym w:font="Symbol" w:char="F065"/>
      </w:r>
      <w:r w:rsidRPr="00913C78">
        <w:t> </w:t>
      </w:r>
      <w:r w:rsidRPr="00913C78">
        <w:rPr>
          <w:rFonts w:hint="eastAsia"/>
        </w:rPr>
        <w:t>模型，推荐采用各向异性湍流模型，如</w:t>
      </w:r>
      <w:r w:rsidRPr="00913C78">
        <w:rPr>
          <w:rFonts w:hint="eastAsia"/>
        </w:rPr>
        <w:t>KECHEN</w:t>
      </w:r>
      <w:r w:rsidRPr="00913C78">
        <w:rPr>
          <w:rFonts w:hint="eastAsia"/>
        </w:rPr>
        <w:t>模型进行稳态计算。</w:t>
      </w:r>
    </w:p>
    <w:p w14:paraId="7BF3C2D0"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）差分格式</w:t>
      </w:r>
    </w:p>
    <w:p w14:paraId="5185A384" w14:textId="77777777" w:rsidR="00913C78" w:rsidRPr="00913C78" w:rsidRDefault="00913C78" w:rsidP="00913C78">
      <w:pPr>
        <w:ind w:firstLine="420"/>
      </w:pPr>
      <w:r w:rsidRPr="00913C78">
        <w:rPr>
          <w:rFonts w:hint="eastAsia"/>
        </w:rPr>
        <w:t>避免采用一阶差分格式。</w:t>
      </w:r>
    </w:p>
    <w:p w14:paraId="0EDEE5D5"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w:t>
      </w:r>
      <w:r w:rsidRPr="00913C78">
        <w:t>模拟工况</w:t>
      </w:r>
    </w:p>
    <w:p w14:paraId="1823DEEB" w14:textId="77777777" w:rsidR="00913C78" w:rsidRPr="00913C78" w:rsidRDefault="00913C78" w:rsidP="00913C78">
      <w:pPr>
        <w:ind w:firstLine="420"/>
      </w:pPr>
      <w:r w:rsidRPr="00913C78">
        <w:t>重点考虑过渡季节</w:t>
      </w:r>
      <w:r w:rsidRPr="00913C78">
        <w:rPr>
          <w:rFonts w:hint="eastAsia"/>
        </w:rPr>
        <w:t>和夏季</w:t>
      </w:r>
      <w:r w:rsidRPr="00913C78">
        <w:t>情况下主要功能房间的自然通风情况</w:t>
      </w:r>
      <w:r w:rsidRPr="00913C78">
        <w:rPr>
          <w:rFonts w:hint="eastAsia"/>
        </w:rPr>
        <w:t>。</w:t>
      </w:r>
    </w:p>
    <w:p w14:paraId="332B9C3D" w14:textId="77777777" w:rsidR="00913C78" w:rsidRPr="00913C78" w:rsidRDefault="00913C78" w:rsidP="00913C78">
      <w:pPr>
        <w:ind w:firstLine="420"/>
      </w:pPr>
      <w:r w:rsidRPr="00913C78">
        <w:t>根据室外风场模拟结果，得出建筑迎风面及背风面的前后平均风压差，同时根据气象参数查询室外空气干球温度，作为室内风场模拟的边界条件。</w:t>
      </w:r>
    </w:p>
    <w:p w14:paraId="2B1592D9" w14:textId="77777777" w:rsidR="00913C78" w:rsidRPr="00913C78" w:rsidRDefault="00913C78" w:rsidP="00913C78">
      <w:pPr>
        <w:ind w:firstLine="420"/>
      </w:pPr>
      <w:r w:rsidRPr="00913C78">
        <w:rPr>
          <w:rFonts w:hint="eastAsia"/>
        </w:rPr>
        <w:t>模拟工况的条件说明可参考附表</w:t>
      </w:r>
      <w:r w:rsidRPr="00913C78">
        <w:rPr>
          <w:rFonts w:hint="eastAsia"/>
        </w:rPr>
        <w:t>A.4.1</w:t>
      </w:r>
      <w:r w:rsidRPr="00913C78">
        <w:rPr>
          <w:rFonts w:hint="eastAsia"/>
        </w:rPr>
        <w:t>。</w:t>
      </w:r>
    </w:p>
    <w:p w14:paraId="75AF5BA1" w14:textId="77777777" w:rsidR="00913C78" w:rsidRPr="00913C78" w:rsidRDefault="00913C78" w:rsidP="00AC08C3">
      <w:pPr>
        <w:pStyle w:val="ae"/>
      </w:pPr>
      <w:r w:rsidRPr="00913C78">
        <w:rPr>
          <w:rFonts w:hint="eastAsia"/>
        </w:rPr>
        <w:t>附表</w:t>
      </w:r>
      <w:r w:rsidRPr="00913C78">
        <w:rPr>
          <w:rFonts w:hint="eastAsia"/>
        </w:rPr>
        <w:t xml:space="preserve">A.4.1  </w:t>
      </w:r>
      <w:r w:rsidRPr="00913C78">
        <w:rPr>
          <w:rFonts w:hint="eastAsia"/>
        </w:rPr>
        <w:t>模拟工况示例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7" w:type="dxa"/>
        </w:tblCellMar>
        <w:tblLook w:val="04A0" w:firstRow="1" w:lastRow="0" w:firstColumn="1" w:lastColumn="0" w:noHBand="0" w:noVBand="1"/>
      </w:tblPr>
      <w:tblGrid>
        <w:gridCol w:w="2316"/>
        <w:gridCol w:w="1056"/>
        <w:gridCol w:w="1535"/>
        <w:gridCol w:w="718"/>
        <w:gridCol w:w="1325"/>
      </w:tblGrid>
      <w:tr w:rsidR="00913C78" w:rsidRPr="00AC08C3" w14:paraId="7841662A" w14:textId="77777777" w:rsidTr="00E731D0">
        <w:trPr>
          <w:jc w:val="center"/>
        </w:trPr>
        <w:tc>
          <w:tcPr>
            <w:tcW w:w="0" w:type="auto"/>
            <w:shd w:val="clear" w:color="auto" w:fill="auto"/>
            <w:vAlign w:val="center"/>
            <w:hideMark/>
          </w:tcPr>
          <w:p w14:paraId="635B36A8" w14:textId="77777777" w:rsidR="00913C78" w:rsidRPr="00AC08C3" w:rsidRDefault="00913C78" w:rsidP="00AC08C3">
            <w:pPr>
              <w:pStyle w:val="ae"/>
              <w:rPr>
                <w:b w:val="0"/>
                <w:bCs/>
              </w:rPr>
            </w:pPr>
            <w:r w:rsidRPr="00AC08C3">
              <w:rPr>
                <w:b w:val="0"/>
                <w:bCs/>
              </w:rPr>
              <w:t>通风期</w:t>
            </w:r>
          </w:p>
        </w:tc>
        <w:tc>
          <w:tcPr>
            <w:tcW w:w="0" w:type="auto"/>
            <w:shd w:val="clear" w:color="auto" w:fill="auto"/>
            <w:vAlign w:val="center"/>
            <w:hideMark/>
          </w:tcPr>
          <w:p w14:paraId="3D4CBEF2" w14:textId="77777777" w:rsidR="00913C78" w:rsidRPr="00AC08C3" w:rsidRDefault="00913C78" w:rsidP="00AC08C3">
            <w:pPr>
              <w:pStyle w:val="ae"/>
              <w:rPr>
                <w:b w:val="0"/>
                <w:bCs/>
              </w:rPr>
            </w:pPr>
            <w:r w:rsidRPr="00AC08C3">
              <w:rPr>
                <w:b w:val="0"/>
                <w:bCs/>
              </w:rPr>
              <w:t>模拟日期</w:t>
            </w:r>
          </w:p>
        </w:tc>
        <w:tc>
          <w:tcPr>
            <w:tcW w:w="0" w:type="auto"/>
            <w:shd w:val="clear" w:color="auto" w:fill="auto"/>
            <w:vAlign w:val="center"/>
            <w:hideMark/>
          </w:tcPr>
          <w:p w14:paraId="444623AE" w14:textId="77777777" w:rsidR="00913C78" w:rsidRPr="00AC08C3" w:rsidRDefault="00913C78" w:rsidP="00AC08C3">
            <w:pPr>
              <w:pStyle w:val="ae"/>
              <w:rPr>
                <w:b w:val="0"/>
                <w:bCs/>
              </w:rPr>
            </w:pPr>
            <w:r w:rsidRPr="00AC08C3">
              <w:rPr>
                <w:b w:val="0"/>
                <w:bCs/>
              </w:rPr>
              <w:t>前后风压差</w:t>
            </w:r>
            <w:r w:rsidRPr="00AC08C3">
              <w:rPr>
                <w:rFonts w:hint="eastAsia"/>
                <w:b w:val="0"/>
                <w:bCs/>
              </w:rPr>
              <w:t>/</w:t>
            </w:r>
            <w:r w:rsidRPr="00AC08C3">
              <w:rPr>
                <w:b w:val="0"/>
                <w:bCs/>
              </w:rPr>
              <w:t>Pa</w:t>
            </w:r>
          </w:p>
        </w:tc>
        <w:tc>
          <w:tcPr>
            <w:tcW w:w="0" w:type="auto"/>
            <w:shd w:val="clear" w:color="auto" w:fill="auto"/>
            <w:vAlign w:val="center"/>
            <w:hideMark/>
          </w:tcPr>
          <w:p w14:paraId="51D394EA" w14:textId="77777777" w:rsidR="00913C78" w:rsidRPr="00AC08C3" w:rsidRDefault="00913C78" w:rsidP="00AC08C3">
            <w:pPr>
              <w:pStyle w:val="ae"/>
              <w:rPr>
                <w:b w:val="0"/>
                <w:bCs/>
              </w:rPr>
            </w:pPr>
            <w:r w:rsidRPr="00AC08C3">
              <w:rPr>
                <w:b w:val="0"/>
                <w:bCs/>
              </w:rPr>
              <w:t>风向</w:t>
            </w:r>
          </w:p>
        </w:tc>
        <w:tc>
          <w:tcPr>
            <w:tcW w:w="0" w:type="auto"/>
            <w:shd w:val="clear" w:color="auto" w:fill="auto"/>
            <w:vAlign w:val="center"/>
            <w:hideMark/>
          </w:tcPr>
          <w:p w14:paraId="3D04B285" w14:textId="77777777" w:rsidR="00913C78" w:rsidRPr="00AC08C3" w:rsidRDefault="00913C78" w:rsidP="00AC08C3">
            <w:pPr>
              <w:pStyle w:val="ae"/>
              <w:rPr>
                <w:b w:val="0"/>
                <w:bCs/>
              </w:rPr>
            </w:pPr>
            <w:r w:rsidRPr="00AC08C3">
              <w:rPr>
                <w:b w:val="0"/>
                <w:bCs/>
              </w:rPr>
              <w:t>进风温度</w:t>
            </w:r>
            <w:r w:rsidRPr="00AC08C3">
              <w:rPr>
                <w:rFonts w:hint="eastAsia"/>
                <w:b w:val="0"/>
                <w:bCs/>
              </w:rPr>
              <w:t>/</w:t>
            </w:r>
            <w:r w:rsidRPr="00AC08C3">
              <w:rPr>
                <w:rFonts w:hint="eastAsia"/>
                <w:b w:val="0"/>
                <w:bCs/>
              </w:rPr>
              <w:t>℃</w:t>
            </w:r>
          </w:p>
        </w:tc>
      </w:tr>
      <w:tr w:rsidR="00913C78" w:rsidRPr="00AC08C3" w14:paraId="69559474" w14:textId="77777777" w:rsidTr="00E731D0">
        <w:trPr>
          <w:jc w:val="center"/>
        </w:trPr>
        <w:tc>
          <w:tcPr>
            <w:tcW w:w="0" w:type="auto"/>
            <w:shd w:val="clear" w:color="auto" w:fill="auto"/>
            <w:vAlign w:val="center"/>
            <w:hideMark/>
          </w:tcPr>
          <w:p w14:paraId="7FF94EE4" w14:textId="77777777" w:rsidR="00913C78" w:rsidRPr="00AC08C3" w:rsidRDefault="00913C78" w:rsidP="00AC08C3">
            <w:pPr>
              <w:pStyle w:val="ae"/>
              <w:rPr>
                <w:b w:val="0"/>
                <w:bCs/>
              </w:rPr>
            </w:pPr>
            <w:r w:rsidRPr="00AC08C3">
              <w:rPr>
                <w:b w:val="0"/>
                <w:bCs/>
              </w:rPr>
              <w:t>适宜通风期（春秋季）</w:t>
            </w:r>
          </w:p>
        </w:tc>
        <w:tc>
          <w:tcPr>
            <w:tcW w:w="0" w:type="auto"/>
            <w:shd w:val="clear" w:color="auto" w:fill="auto"/>
            <w:vAlign w:val="center"/>
            <w:hideMark/>
          </w:tcPr>
          <w:p w14:paraId="1A5487ED" w14:textId="77777777" w:rsidR="00913C78" w:rsidRPr="00AC08C3" w:rsidRDefault="00913C78" w:rsidP="00AC08C3">
            <w:pPr>
              <w:pStyle w:val="ae"/>
              <w:rPr>
                <w:b w:val="0"/>
                <w:bCs/>
              </w:rPr>
            </w:pPr>
            <w:r w:rsidRPr="00AC08C3">
              <w:rPr>
                <w:b w:val="0"/>
                <w:bCs/>
              </w:rPr>
              <w:t>5</w:t>
            </w:r>
            <w:r w:rsidRPr="00AC08C3">
              <w:rPr>
                <w:b w:val="0"/>
                <w:bCs/>
              </w:rPr>
              <w:t>月</w:t>
            </w:r>
            <w:r w:rsidRPr="00AC08C3">
              <w:rPr>
                <w:b w:val="0"/>
                <w:bCs/>
              </w:rPr>
              <w:t>3</w:t>
            </w:r>
            <w:r w:rsidRPr="00AC08C3">
              <w:rPr>
                <w:b w:val="0"/>
                <w:bCs/>
              </w:rPr>
              <w:t>日</w:t>
            </w:r>
          </w:p>
        </w:tc>
        <w:tc>
          <w:tcPr>
            <w:tcW w:w="0" w:type="auto"/>
            <w:shd w:val="clear" w:color="auto" w:fill="auto"/>
            <w:vAlign w:val="center"/>
            <w:hideMark/>
          </w:tcPr>
          <w:p w14:paraId="37EF55C1" w14:textId="77777777" w:rsidR="00913C78" w:rsidRPr="00AC08C3" w:rsidRDefault="00913C78" w:rsidP="00AC08C3">
            <w:pPr>
              <w:pStyle w:val="ae"/>
              <w:rPr>
                <w:b w:val="0"/>
                <w:bCs/>
              </w:rPr>
            </w:pPr>
            <w:r w:rsidRPr="00AC08C3">
              <w:rPr>
                <w:b w:val="0"/>
                <w:bCs/>
              </w:rPr>
              <w:t>3.5</w:t>
            </w:r>
          </w:p>
        </w:tc>
        <w:tc>
          <w:tcPr>
            <w:tcW w:w="0" w:type="auto"/>
            <w:shd w:val="clear" w:color="auto" w:fill="auto"/>
            <w:vAlign w:val="center"/>
            <w:hideMark/>
          </w:tcPr>
          <w:p w14:paraId="73B9B1F7" w14:textId="77777777" w:rsidR="00913C78" w:rsidRPr="00AC08C3" w:rsidRDefault="00913C78" w:rsidP="00AC08C3">
            <w:pPr>
              <w:pStyle w:val="ae"/>
              <w:rPr>
                <w:b w:val="0"/>
                <w:bCs/>
              </w:rPr>
            </w:pPr>
            <w:r w:rsidRPr="00AC08C3">
              <w:rPr>
                <w:b w:val="0"/>
                <w:bCs/>
              </w:rPr>
              <w:t>NNW</w:t>
            </w:r>
          </w:p>
        </w:tc>
        <w:tc>
          <w:tcPr>
            <w:tcW w:w="0" w:type="auto"/>
            <w:shd w:val="clear" w:color="auto" w:fill="auto"/>
            <w:vAlign w:val="center"/>
            <w:hideMark/>
          </w:tcPr>
          <w:p w14:paraId="35ED3D4D" w14:textId="77777777" w:rsidR="00913C78" w:rsidRPr="00AC08C3" w:rsidRDefault="00913C78" w:rsidP="00AC08C3">
            <w:pPr>
              <w:pStyle w:val="ae"/>
              <w:rPr>
                <w:b w:val="0"/>
                <w:bCs/>
              </w:rPr>
            </w:pPr>
            <w:r w:rsidRPr="00AC08C3">
              <w:rPr>
                <w:b w:val="0"/>
                <w:bCs/>
              </w:rPr>
              <w:t>26</w:t>
            </w:r>
          </w:p>
        </w:tc>
      </w:tr>
      <w:tr w:rsidR="00913C78" w:rsidRPr="00AC08C3" w14:paraId="69EB584F" w14:textId="77777777" w:rsidTr="00E731D0">
        <w:trPr>
          <w:jc w:val="center"/>
        </w:trPr>
        <w:tc>
          <w:tcPr>
            <w:tcW w:w="0" w:type="auto"/>
            <w:shd w:val="clear" w:color="auto" w:fill="auto"/>
            <w:vAlign w:val="center"/>
            <w:hideMark/>
          </w:tcPr>
          <w:p w14:paraId="132D0C0C" w14:textId="77777777" w:rsidR="00913C78" w:rsidRPr="00AC08C3" w:rsidRDefault="00913C78" w:rsidP="00AC08C3">
            <w:pPr>
              <w:pStyle w:val="ae"/>
              <w:rPr>
                <w:b w:val="0"/>
                <w:bCs/>
              </w:rPr>
            </w:pPr>
            <w:r w:rsidRPr="00AC08C3">
              <w:rPr>
                <w:b w:val="0"/>
                <w:bCs/>
              </w:rPr>
              <w:t>间歇通风期（夏季）</w:t>
            </w:r>
          </w:p>
        </w:tc>
        <w:tc>
          <w:tcPr>
            <w:tcW w:w="0" w:type="auto"/>
            <w:shd w:val="clear" w:color="auto" w:fill="auto"/>
            <w:vAlign w:val="center"/>
            <w:hideMark/>
          </w:tcPr>
          <w:p w14:paraId="4233DD09" w14:textId="77777777" w:rsidR="00913C78" w:rsidRPr="00AC08C3" w:rsidRDefault="00913C78" w:rsidP="00AC08C3">
            <w:pPr>
              <w:pStyle w:val="ae"/>
              <w:rPr>
                <w:b w:val="0"/>
                <w:bCs/>
              </w:rPr>
            </w:pPr>
            <w:r w:rsidRPr="00AC08C3">
              <w:rPr>
                <w:b w:val="0"/>
                <w:bCs/>
              </w:rPr>
              <w:t>8</w:t>
            </w:r>
            <w:r w:rsidRPr="00AC08C3">
              <w:rPr>
                <w:b w:val="0"/>
                <w:bCs/>
              </w:rPr>
              <w:t>月</w:t>
            </w:r>
            <w:r w:rsidRPr="00AC08C3">
              <w:rPr>
                <w:b w:val="0"/>
                <w:bCs/>
              </w:rPr>
              <w:t>1</w:t>
            </w:r>
            <w:r w:rsidRPr="00AC08C3">
              <w:rPr>
                <w:b w:val="0"/>
                <w:bCs/>
              </w:rPr>
              <w:t>日</w:t>
            </w:r>
          </w:p>
        </w:tc>
        <w:tc>
          <w:tcPr>
            <w:tcW w:w="0" w:type="auto"/>
            <w:shd w:val="clear" w:color="auto" w:fill="auto"/>
            <w:vAlign w:val="center"/>
            <w:hideMark/>
          </w:tcPr>
          <w:p w14:paraId="5AB37058" w14:textId="77777777" w:rsidR="00913C78" w:rsidRPr="00AC08C3" w:rsidRDefault="00913C78" w:rsidP="00AC08C3">
            <w:pPr>
              <w:pStyle w:val="ae"/>
              <w:rPr>
                <w:b w:val="0"/>
                <w:bCs/>
              </w:rPr>
            </w:pPr>
            <w:r w:rsidRPr="00AC08C3">
              <w:rPr>
                <w:b w:val="0"/>
                <w:bCs/>
              </w:rPr>
              <w:t>4.3</w:t>
            </w:r>
          </w:p>
        </w:tc>
        <w:tc>
          <w:tcPr>
            <w:tcW w:w="0" w:type="auto"/>
            <w:shd w:val="clear" w:color="auto" w:fill="auto"/>
            <w:vAlign w:val="center"/>
            <w:hideMark/>
          </w:tcPr>
          <w:p w14:paraId="30E9C426" w14:textId="77777777" w:rsidR="00913C78" w:rsidRPr="00AC08C3" w:rsidRDefault="00913C78" w:rsidP="00AC08C3">
            <w:pPr>
              <w:pStyle w:val="ae"/>
              <w:rPr>
                <w:b w:val="0"/>
                <w:bCs/>
              </w:rPr>
            </w:pPr>
            <w:r w:rsidRPr="00AC08C3">
              <w:rPr>
                <w:b w:val="0"/>
                <w:bCs/>
              </w:rPr>
              <w:t>NW</w:t>
            </w:r>
          </w:p>
        </w:tc>
        <w:tc>
          <w:tcPr>
            <w:tcW w:w="0" w:type="auto"/>
            <w:shd w:val="clear" w:color="auto" w:fill="auto"/>
            <w:vAlign w:val="center"/>
            <w:hideMark/>
          </w:tcPr>
          <w:p w14:paraId="1316BA07" w14:textId="77777777" w:rsidR="00913C78" w:rsidRPr="00AC08C3" w:rsidRDefault="00913C78" w:rsidP="00AC08C3">
            <w:pPr>
              <w:pStyle w:val="ae"/>
              <w:rPr>
                <w:b w:val="0"/>
                <w:bCs/>
              </w:rPr>
            </w:pPr>
            <w:r w:rsidRPr="00AC08C3">
              <w:rPr>
                <w:b w:val="0"/>
                <w:bCs/>
              </w:rPr>
              <w:t>32</w:t>
            </w:r>
          </w:p>
        </w:tc>
      </w:tr>
    </w:tbl>
    <w:p w14:paraId="04A7D0A1" w14:textId="77777777" w:rsidR="00913C78" w:rsidRPr="00913C78" w:rsidRDefault="00913C78" w:rsidP="00913C78">
      <w:pPr>
        <w:ind w:firstLine="420"/>
      </w:pPr>
    </w:p>
    <w:p w14:paraId="34FB629E" w14:textId="45AAB64F" w:rsidR="00913C78" w:rsidRPr="00913C78" w:rsidRDefault="00913C78" w:rsidP="00AC08C3">
      <w:pPr>
        <w:ind w:firstLine="420"/>
      </w:pPr>
      <w:r w:rsidRPr="00913C78">
        <w:rPr>
          <w:rFonts w:hint="eastAsia"/>
        </w:rPr>
        <w:t>在大区域</w:t>
      </w:r>
      <w:r w:rsidRPr="00913C78">
        <w:rPr>
          <w:rFonts w:hint="eastAsia"/>
        </w:rPr>
        <w:t>CFD</w:t>
      </w:r>
      <w:r w:rsidRPr="00913C78">
        <w:rPr>
          <w:rFonts w:hint="eastAsia"/>
        </w:rPr>
        <w:t>模拟的基础上来评估所选</w:t>
      </w:r>
      <w:r w:rsidRPr="00913C78">
        <w:rPr>
          <w:rFonts w:hint="eastAsia"/>
        </w:rPr>
        <w:t>5</w:t>
      </w:r>
      <w:r w:rsidRPr="00913C78">
        <w:rPr>
          <w:rFonts w:hint="eastAsia"/>
        </w:rPr>
        <w:t>栋户型周围的气流分布。所有的户型模型都要插入到原有的大范围模型中去。</w:t>
      </w:r>
    </w:p>
    <w:p w14:paraId="2B030EBB" w14:textId="01D30F00" w:rsidR="00913C78" w:rsidRPr="00913C78" w:rsidRDefault="00913C78" w:rsidP="00532D0F">
      <w:pPr>
        <w:ind w:firstLine="420"/>
      </w:pPr>
      <w:bookmarkStart w:id="304" w:name="_Toc475359818"/>
      <w:r w:rsidRPr="00913C78">
        <w:rPr>
          <w:rFonts w:hint="eastAsia"/>
        </w:rPr>
        <w:t>◎</w:t>
      </w:r>
      <w:r w:rsidRPr="00913C78">
        <w:rPr>
          <w:rFonts w:hint="eastAsia"/>
        </w:rPr>
        <w:t xml:space="preserve"> </w:t>
      </w:r>
      <w:r w:rsidRPr="00913C78">
        <w:t>数值分析软件</w:t>
      </w:r>
      <w:bookmarkEnd w:id="304"/>
    </w:p>
    <w:p w14:paraId="2F58F2C7" w14:textId="77777777" w:rsidR="00913C78" w:rsidRPr="00913C78" w:rsidRDefault="00913C78" w:rsidP="00913C78">
      <w:pPr>
        <w:ind w:firstLine="420"/>
      </w:pPr>
      <w:r w:rsidRPr="00913C78">
        <w:rPr>
          <w:rFonts w:hint="eastAsia"/>
        </w:rPr>
        <w:t>数值分析</w:t>
      </w:r>
      <w:r w:rsidRPr="00913C78">
        <w:t>报告应</w:t>
      </w:r>
      <w:r w:rsidRPr="00913C78">
        <w:rPr>
          <w:rFonts w:hint="eastAsia"/>
        </w:rPr>
        <w:t>包括</w:t>
      </w:r>
      <w:r w:rsidRPr="00913C78">
        <w:t>：</w:t>
      </w:r>
      <w:r w:rsidRPr="00913C78">
        <w:rPr>
          <w:rFonts w:hint="eastAsia"/>
        </w:rPr>
        <w:t>数值分析计算软件的</w:t>
      </w:r>
      <w:r w:rsidRPr="00913C78">
        <w:t>介绍。</w:t>
      </w:r>
    </w:p>
    <w:p w14:paraId="026683C7" w14:textId="77777777" w:rsidR="00913C78" w:rsidRPr="00913C78" w:rsidRDefault="00913C78" w:rsidP="00913C78">
      <w:pPr>
        <w:ind w:firstLine="420"/>
      </w:pPr>
      <w:r w:rsidRPr="00913C78">
        <w:rPr>
          <w:rFonts w:hint="eastAsia"/>
        </w:rPr>
        <w:t>常用</w:t>
      </w:r>
      <w:r w:rsidRPr="00913C78">
        <w:t>数值分析软件简介</w:t>
      </w:r>
      <w:r w:rsidRPr="00913C78">
        <w:rPr>
          <w:rFonts w:hint="eastAsia"/>
        </w:rPr>
        <w:t>同本书附录</w:t>
      </w:r>
      <w:r w:rsidRPr="00913C78">
        <w:rPr>
          <w:rFonts w:hint="eastAsia"/>
        </w:rPr>
        <w:t>A.2.1</w:t>
      </w:r>
      <w:r w:rsidRPr="00913C78">
        <w:rPr>
          <w:rFonts w:hint="eastAsia"/>
        </w:rPr>
        <w:t>。</w:t>
      </w:r>
    </w:p>
    <w:p w14:paraId="31DA27B6" w14:textId="77777777" w:rsidR="00913C78" w:rsidRPr="00913C78" w:rsidRDefault="00913C78" w:rsidP="00725EEB">
      <w:pPr>
        <w:pStyle w:val="32"/>
      </w:pPr>
      <w:bookmarkStart w:id="305" w:name="_Toc475359819"/>
      <w:bookmarkStart w:id="306" w:name="_Toc35364786"/>
      <w:r w:rsidRPr="00913C78">
        <w:rPr>
          <w:rFonts w:hint="eastAsia"/>
        </w:rPr>
        <w:t xml:space="preserve">A.4.3  </w:t>
      </w:r>
      <w:r w:rsidRPr="00913C78">
        <w:rPr>
          <w:rFonts w:hint="eastAsia"/>
        </w:rPr>
        <w:t>模型建立</w:t>
      </w:r>
      <w:bookmarkEnd w:id="305"/>
      <w:bookmarkEnd w:id="306"/>
    </w:p>
    <w:p w14:paraId="1932305D" w14:textId="77777777" w:rsidR="00913C78" w:rsidRPr="00913C78" w:rsidRDefault="00913C78" w:rsidP="00913C78">
      <w:pPr>
        <w:ind w:firstLine="420"/>
      </w:pPr>
      <w:bookmarkStart w:id="307" w:name="_Toc475359820"/>
      <w:r w:rsidRPr="00913C78">
        <w:rPr>
          <w:rFonts w:hint="eastAsia"/>
        </w:rPr>
        <w:t>◎</w:t>
      </w:r>
      <w:r w:rsidRPr="00913C78">
        <w:t xml:space="preserve"> </w:t>
      </w:r>
      <w:r w:rsidRPr="00913C78">
        <w:rPr>
          <w:rFonts w:hint="eastAsia"/>
        </w:rPr>
        <w:t>模型建立</w:t>
      </w:r>
      <w:bookmarkEnd w:id="307"/>
    </w:p>
    <w:p w14:paraId="35760F97" w14:textId="77777777" w:rsidR="00913C78" w:rsidRPr="00913C78" w:rsidRDefault="00913C78" w:rsidP="00913C78">
      <w:pPr>
        <w:ind w:firstLine="420"/>
      </w:pPr>
      <w:r w:rsidRPr="00913C78">
        <w:rPr>
          <w:rFonts w:hint="eastAsia"/>
        </w:rPr>
        <w:t>数值分析</w:t>
      </w:r>
      <w:r w:rsidRPr="00913C78">
        <w:t>报告</w:t>
      </w:r>
      <w:r w:rsidRPr="00913C78">
        <w:rPr>
          <w:rFonts w:hint="eastAsia"/>
        </w:rPr>
        <w:t>模型建立时</w:t>
      </w:r>
      <w:r w:rsidRPr="00913C78">
        <w:t>应</w:t>
      </w:r>
      <w:r w:rsidRPr="00913C78">
        <w:rPr>
          <w:rFonts w:hint="eastAsia"/>
        </w:rPr>
        <w:t>包括但</w:t>
      </w:r>
      <w:r w:rsidRPr="00913C78">
        <w:t>不限于</w:t>
      </w:r>
      <w:r w:rsidRPr="00913C78">
        <w:rPr>
          <w:rFonts w:hint="eastAsia"/>
        </w:rPr>
        <w:t>：</w:t>
      </w:r>
      <w:r w:rsidRPr="00913C78">
        <w:t>物理模型</w:t>
      </w:r>
      <w:r w:rsidRPr="00913C78">
        <w:rPr>
          <w:rFonts w:hint="eastAsia"/>
        </w:rPr>
        <w:t>、</w:t>
      </w:r>
      <w:r w:rsidRPr="00913C78">
        <w:t>计算</w:t>
      </w:r>
      <w:r w:rsidRPr="00913C78">
        <w:rPr>
          <w:rFonts w:hint="eastAsia"/>
        </w:rPr>
        <w:t>区</w:t>
      </w:r>
      <w:r w:rsidRPr="00913C78">
        <w:t>域、网格展示</w:t>
      </w:r>
      <w:r w:rsidRPr="00913C78">
        <w:rPr>
          <w:rFonts w:hint="eastAsia"/>
        </w:rPr>
        <w:t>和</w:t>
      </w:r>
      <w:r w:rsidRPr="00913C78">
        <w:t>建模</w:t>
      </w:r>
      <w:r w:rsidRPr="00913C78">
        <w:rPr>
          <w:rFonts w:hint="eastAsia"/>
        </w:rPr>
        <w:t>说明</w:t>
      </w:r>
      <w:r w:rsidRPr="00913C78">
        <w:t>。</w:t>
      </w:r>
    </w:p>
    <w:p w14:paraId="0D40E95A" w14:textId="77777777" w:rsidR="00913C78" w:rsidRPr="00913C78" w:rsidRDefault="00913C78" w:rsidP="00913C78">
      <w:pPr>
        <w:ind w:firstLine="420"/>
      </w:pPr>
      <w:r w:rsidRPr="00913C78">
        <w:rPr>
          <w:rFonts w:hint="eastAsia"/>
        </w:rPr>
        <w:t>模型建立要求。</w:t>
      </w:r>
    </w:p>
    <w:p w14:paraId="0E44DED7"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）建筑模型</w:t>
      </w:r>
    </w:p>
    <w:p w14:paraId="032599FA" w14:textId="77777777" w:rsidR="00913C78" w:rsidRPr="00913C78" w:rsidRDefault="00913C78" w:rsidP="00913C78">
      <w:pPr>
        <w:ind w:firstLine="420"/>
      </w:pPr>
      <w:r w:rsidRPr="00913C78">
        <w:t>根据项目建筑楼层平面图和门窗大样图，建立建筑室内模型和门窗实际可开启部分</w:t>
      </w:r>
      <w:r w:rsidRPr="00913C78">
        <w:rPr>
          <w:rFonts w:hint="eastAsia"/>
        </w:rPr>
        <w:t>的</w:t>
      </w:r>
      <w:r w:rsidRPr="00913C78">
        <w:t>模</w:t>
      </w:r>
      <w:r w:rsidRPr="00913C78">
        <w:lastRenderedPageBreak/>
        <w:t>型。</w:t>
      </w:r>
      <w:r w:rsidRPr="00913C78">
        <w:rPr>
          <w:rFonts w:hint="eastAsia"/>
        </w:rPr>
        <w:t>此外，物理</w:t>
      </w:r>
      <w:r w:rsidRPr="00913C78">
        <w:t>模型构建</w:t>
      </w:r>
      <w:r w:rsidRPr="00913C78">
        <w:rPr>
          <w:rFonts w:hint="eastAsia"/>
        </w:rPr>
        <w:t>还</w:t>
      </w:r>
      <w:r w:rsidRPr="00913C78">
        <w:t>应包括：</w:t>
      </w:r>
    </w:p>
    <w:p w14:paraId="5490C451"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要求选出至少</w:t>
      </w:r>
      <w:r w:rsidRPr="00913C78">
        <w:rPr>
          <w:rFonts w:hint="eastAsia"/>
        </w:rPr>
        <w:t>5</w:t>
      </w:r>
      <w:r w:rsidRPr="00913C78">
        <w:rPr>
          <w:rFonts w:hint="eastAsia"/>
        </w:rPr>
        <w:t>户典型户型，要求尽可能地代表更多的户型单元。如果建筑的户型种类少于</w:t>
      </w:r>
      <w:r w:rsidRPr="00913C78">
        <w:rPr>
          <w:rFonts w:hint="eastAsia"/>
        </w:rPr>
        <w:t>5</w:t>
      </w:r>
      <w:r w:rsidRPr="00913C78">
        <w:rPr>
          <w:rFonts w:hint="eastAsia"/>
        </w:rPr>
        <w:t>种，则要求列出所有户型。</w:t>
      </w:r>
    </w:p>
    <w:p w14:paraId="50C82F9E"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建筑门窗及</w:t>
      </w:r>
      <w:r w:rsidRPr="00913C78">
        <w:t>其他通风口均</w:t>
      </w:r>
      <w:r w:rsidRPr="00913C78">
        <w:rPr>
          <w:rFonts w:hint="eastAsia"/>
        </w:rPr>
        <w:t>应</w:t>
      </w:r>
      <w:r w:rsidRPr="00913C78">
        <w:t>根据</w:t>
      </w:r>
      <w:r w:rsidRPr="00913C78">
        <w:rPr>
          <w:rFonts w:hint="eastAsia"/>
        </w:rPr>
        <w:t>常见</w:t>
      </w:r>
      <w:r w:rsidRPr="00913C78">
        <w:t>的开闭情况进行建模</w:t>
      </w:r>
      <w:r w:rsidRPr="00913C78">
        <w:rPr>
          <w:rFonts w:hint="eastAsia"/>
        </w:rPr>
        <w:t>。</w:t>
      </w:r>
    </w:p>
    <w:p w14:paraId="2AD7A93A"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自然通风</w:t>
      </w:r>
      <w:r w:rsidRPr="00913C78">
        <w:t>的通风口开口面积应按照实际的开启面积进行设置</w:t>
      </w:r>
      <w:r w:rsidRPr="00913C78">
        <w:rPr>
          <w:rFonts w:hint="eastAsia"/>
        </w:rPr>
        <w:t>。</w:t>
      </w:r>
    </w:p>
    <w:p w14:paraId="2E83CDF8"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目标建筑</w:t>
      </w:r>
      <w:r w:rsidRPr="00913C78">
        <w:t>的室内空间的建模对象应包含</w:t>
      </w:r>
      <w:r w:rsidRPr="00913C78">
        <w:rPr>
          <w:rFonts w:hint="eastAsia"/>
        </w:rPr>
        <w:t>所有</w:t>
      </w:r>
      <w:r w:rsidRPr="00913C78">
        <w:t>室内隔断（</w:t>
      </w:r>
      <w:r w:rsidRPr="00913C78">
        <w:rPr>
          <w:rFonts w:hint="eastAsia"/>
        </w:rPr>
        <w:t>如</w:t>
      </w:r>
      <w:r w:rsidRPr="00913C78">
        <w:t>大型橱柜类家具，可不包含桌椅等不显著</w:t>
      </w:r>
      <w:r w:rsidRPr="00913C78">
        <w:rPr>
          <w:rFonts w:hint="eastAsia"/>
        </w:rPr>
        <w:t>阻隔</w:t>
      </w:r>
      <w:r w:rsidRPr="00913C78">
        <w:t>通风的家具）。</w:t>
      </w:r>
    </w:p>
    <w:p w14:paraId="118169E7"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）计算区域</w:t>
      </w:r>
    </w:p>
    <w:p w14:paraId="2CC88F59" w14:textId="77777777" w:rsidR="00913C78" w:rsidRPr="00913C78" w:rsidRDefault="00913C78" w:rsidP="00913C78">
      <w:pPr>
        <w:ind w:firstLine="420"/>
      </w:pPr>
      <w:r w:rsidRPr="00913C78">
        <w:rPr>
          <w:rFonts w:hint="eastAsia"/>
        </w:rPr>
        <w:t>室内模拟</w:t>
      </w:r>
      <w:r w:rsidRPr="00913C78">
        <w:t>计算</w:t>
      </w:r>
      <w:r w:rsidRPr="00913C78">
        <w:rPr>
          <w:rFonts w:hint="eastAsia"/>
        </w:rPr>
        <w:t>域</w:t>
      </w:r>
      <w:r w:rsidRPr="00913C78">
        <w:t>边界为目标建筑外围护结构</w:t>
      </w:r>
      <w:r w:rsidRPr="00913C78">
        <w:rPr>
          <w:rFonts w:hint="eastAsia"/>
        </w:rPr>
        <w:t>。除了附属空间或避难所，</w:t>
      </w:r>
      <w:r w:rsidRPr="00913C78">
        <w:t>其他</w:t>
      </w:r>
      <w:r w:rsidRPr="00913C78">
        <w:rPr>
          <w:rFonts w:hint="eastAsia"/>
        </w:rPr>
        <w:t>所有的住区或功能区都应当被考虑。</w:t>
      </w:r>
    </w:p>
    <w:p w14:paraId="2530074D"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）网格</w:t>
      </w:r>
      <w:r w:rsidRPr="00913C78">
        <w:t>划分</w:t>
      </w:r>
    </w:p>
    <w:p w14:paraId="3E94D0C4" w14:textId="77777777" w:rsidR="00913C78" w:rsidRPr="00913C78" w:rsidRDefault="00913C78" w:rsidP="00913C78">
      <w:pPr>
        <w:ind w:firstLine="420"/>
      </w:pPr>
      <w:r w:rsidRPr="00913C78">
        <w:t>室内的网格应能反映所有显著阻隔通风的室内设施，网格过渡比不宜大于</w:t>
      </w:r>
      <w:r w:rsidRPr="00913C78">
        <w:rPr>
          <w:rFonts w:hint="eastAsia"/>
        </w:rPr>
        <w:t>2</w:t>
      </w:r>
      <w:r w:rsidRPr="00913C78">
        <w:t>，一般</w:t>
      </w:r>
      <w:r w:rsidRPr="00913C78">
        <w:rPr>
          <w:rFonts w:hint="eastAsia"/>
        </w:rPr>
        <w:t>建议</w:t>
      </w:r>
      <w:r w:rsidRPr="00913C78">
        <w:t>为</w:t>
      </w:r>
      <w:r w:rsidRPr="00913C78">
        <w:rPr>
          <w:rFonts w:hint="eastAsia"/>
        </w:rPr>
        <w:t>1.2</w:t>
      </w:r>
      <w:r w:rsidRPr="00913C78">
        <w:t>～</w:t>
      </w:r>
      <w:r w:rsidRPr="00913C78">
        <w:t>1.5</w:t>
      </w:r>
      <w:r w:rsidRPr="00913C78">
        <w:rPr>
          <w:rFonts w:hint="eastAsia"/>
        </w:rPr>
        <w:t>，</w:t>
      </w:r>
      <w:r w:rsidRPr="00913C78">
        <w:t>此外</w:t>
      </w:r>
      <w:r w:rsidRPr="00913C78">
        <w:rPr>
          <w:rFonts w:hint="eastAsia"/>
        </w:rPr>
        <w:t>，</w:t>
      </w:r>
      <w:r w:rsidRPr="00913C78">
        <w:t>还应满足以下要求</w:t>
      </w:r>
      <w:r w:rsidRPr="00913C78">
        <w:rPr>
          <w:rFonts w:hint="eastAsia"/>
        </w:rPr>
        <w:t>：</w:t>
      </w:r>
    </w:p>
    <w:p w14:paraId="6E19C717"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水平面最小网格尺寸不大于内墙厚度，内墙内至少一个网格，网格纵横比不大于</w:t>
      </w:r>
      <w:r w:rsidRPr="00913C78">
        <w:rPr>
          <w:rFonts w:hint="eastAsia"/>
        </w:rPr>
        <w:t>3</w:t>
      </w:r>
      <w:r w:rsidRPr="00913C78">
        <w:rPr>
          <w:rFonts w:hint="eastAsia"/>
        </w:rPr>
        <w:t>且不小于</w:t>
      </w:r>
      <w:r w:rsidRPr="00913C78">
        <w:rPr>
          <w:rFonts w:hint="eastAsia"/>
        </w:rPr>
        <w:t>1/3</w:t>
      </w:r>
      <w:r w:rsidRPr="00913C78">
        <w:rPr>
          <w:rFonts w:hint="eastAsia"/>
        </w:rPr>
        <w:t>；垂直方向网格纵横比不大于</w:t>
      </w:r>
      <w:r w:rsidRPr="00913C78">
        <w:rPr>
          <w:rFonts w:hint="eastAsia"/>
        </w:rPr>
        <w:t>3</w:t>
      </w:r>
      <w:r w:rsidRPr="00913C78">
        <w:rPr>
          <w:rFonts w:hint="eastAsia"/>
        </w:rPr>
        <w:t>且不小于</w:t>
      </w:r>
      <w:r w:rsidRPr="00913C78">
        <w:rPr>
          <w:rFonts w:hint="eastAsia"/>
        </w:rPr>
        <w:t>1/3</w:t>
      </w:r>
      <w:r w:rsidRPr="00913C78">
        <w:rPr>
          <w:rFonts w:hint="eastAsia"/>
        </w:rPr>
        <w:t>，一般网格数不低于</w:t>
      </w:r>
      <w:r w:rsidRPr="00913C78">
        <w:rPr>
          <w:rFonts w:hint="eastAsia"/>
        </w:rPr>
        <w:t>10</w:t>
      </w:r>
      <w:r w:rsidRPr="00913C78">
        <w:rPr>
          <w:rFonts w:hint="eastAsia"/>
        </w:rPr>
        <w:t>。</w:t>
      </w:r>
    </w:p>
    <w:p w14:paraId="6DF7C007"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一般门窗实际可开启部分网格至少</w:t>
      </w:r>
      <w:r w:rsidRPr="00913C78">
        <w:rPr>
          <w:rFonts w:hint="eastAsia"/>
        </w:rPr>
        <w:t>4</w:t>
      </w:r>
      <w:r w:rsidRPr="00913C78">
        <w:rPr>
          <w:rFonts w:hint="eastAsia"/>
        </w:rPr>
        <w:t>个，有条件时，网格数在</w:t>
      </w:r>
      <w:r w:rsidRPr="00913C78">
        <w:rPr>
          <w:rFonts w:hint="eastAsia"/>
        </w:rPr>
        <w:t>9</w:t>
      </w:r>
      <w:r w:rsidRPr="00913C78">
        <w:rPr>
          <w:rFonts w:hint="eastAsia"/>
        </w:rPr>
        <w:t>个以上。室内网格尺寸推荐</w:t>
      </w:r>
      <w:r w:rsidRPr="00913C78">
        <w:rPr>
          <w:rFonts w:hint="eastAsia"/>
        </w:rPr>
        <w:t>0.1</w:t>
      </w:r>
      <w:r w:rsidRPr="00913C78">
        <w:t>～</w:t>
      </w:r>
      <w:r w:rsidRPr="00913C78">
        <w:rPr>
          <w:rFonts w:hint="eastAsia"/>
        </w:rPr>
        <w:t>0.2m</w:t>
      </w:r>
      <w:r w:rsidRPr="00913C78">
        <w:rPr>
          <w:rFonts w:hint="eastAsia"/>
        </w:rPr>
        <w:t>。</w:t>
      </w:r>
    </w:p>
    <w:p w14:paraId="548EC45A"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对于抽象出来的厚度为零的内墙和外墙，其内墙和外墙要能被识别。</w:t>
      </w:r>
    </w:p>
    <w:p w14:paraId="040F9B9F" w14:textId="77777777" w:rsidR="00913C78" w:rsidRPr="00913C78" w:rsidRDefault="00913C78" w:rsidP="00913C78">
      <w:pPr>
        <w:ind w:firstLine="420"/>
      </w:pPr>
      <w:r w:rsidRPr="00913C78">
        <w:t>4</w:t>
      </w:r>
      <w:r w:rsidRPr="00913C78">
        <w:rPr>
          <w:rFonts w:hint="eastAsia"/>
        </w:rPr>
        <w:t>）</w:t>
      </w:r>
      <w:r w:rsidRPr="00913C78">
        <w:t> </w:t>
      </w:r>
      <w:r w:rsidRPr="00913C78">
        <w:t>污染源</w:t>
      </w:r>
      <w:r w:rsidRPr="00913C78">
        <w:rPr>
          <w:rFonts w:hint="eastAsia"/>
        </w:rPr>
        <w:t>、</w:t>
      </w:r>
      <w:r w:rsidRPr="00913C78">
        <w:t>送风口</w:t>
      </w:r>
      <w:r w:rsidRPr="00913C78">
        <w:rPr>
          <w:rFonts w:hint="eastAsia"/>
        </w:rPr>
        <w:t>附近或</w:t>
      </w:r>
      <w:r w:rsidRPr="00913C78">
        <w:t>其他物理量梯度较大的区域应加密网格。</w:t>
      </w:r>
    </w:p>
    <w:p w14:paraId="65D1DDF4" w14:textId="77777777" w:rsidR="00913C78" w:rsidRPr="00913C78" w:rsidRDefault="00913C78" w:rsidP="00913C78">
      <w:pPr>
        <w:ind w:firstLine="420"/>
      </w:pPr>
      <w:r w:rsidRPr="00913C78">
        <w:rPr>
          <w:rFonts w:hint="eastAsia"/>
        </w:rPr>
        <w:t>模型建立建议：</w:t>
      </w:r>
    </w:p>
    <w:p w14:paraId="3F3CC683" w14:textId="77777777" w:rsidR="00913C78" w:rsidRPr="00913C78" w:rsidRDefault="00913C78" w:rsidP="00913C78">
      <w:pPr>
        <w:ind w:firstLine="420"/>
      </w:pPr>
      <w:r w:rsidRPr="00913C78">
        <w:rPr>
          <w:rFonts w:hint="eastAsia"/>
        </w:rPr>
        <w:t>采用</w:t>
      </w:r>
      <w:r w:rsidRPr="00913C78">
        <w:t>室内外联合模拟的方法时宜采用多尺度网格</w:t>
      </w:r>
      <w:r w:rsidRPr="00913C78">
        <w:rPr>
          <w:rFonts w:hint="eastAsia"/>
        </w:rPr>
        <w:t>，采用多尺度</w:t>
      </w:r>
      <w:r w:rsidRPr="00913C78">
        <w:t>网格</w:t>
      </w:r>
      <w:r w:rsidRPr="00913C78">
        <w:rPr>
          <w:rFonts w:hint="eastAsia"/>
        </w:rPr>
        <w:t>时</w:t>
      </w:r>
      <w:r w:rsidRPr="00913C78">
        <w:t>，目标建筑较远处网格疏松，目标建筑近处网格加密。应</w:t>
      </w:r>
      <w:r w:rsidRPr="00913C78">
        <w:rPr>
          <w:rFonts w:hint="eastAsia"/>
        </w:rPr>
        <w:t>在</w:t>
      </w:r>
      <w:r w:rsidRPr="00913C78">
        <w:t>网格构建完成后</w:t>
      </w:r>
      <w:r w:rsidRPr="00913C78">
        <w:rPr>
          <w:rFonts w:hint="eastAsia"/>
        </w:rPr>
        <w:t>对</w:t>
      </w:r>
      <w:r w:rsidRPr="00913C78">
        <w:t>网格独立性进行说明。</w:t>
      </w:r>
    </w:p>
    <w:p w14:paraId="19986682" w14:textId="18F313AC" w:rsidR="00913C78" w:rsidRPr="00913C78" w:rsidRDefault="00913C78" w:rsidP="00532D0F">
      <w:pPr>
        <w:ind w:firstLine="420"/>
      </w:pPr>
      <w:bookmarkStart w:id="308" w:name="_Toc475359821"/>
      <w:r w:rsidRPr="00913C78">
        <w:rPr>
          <w:rFonts w:hint="eastAsia"/>
        </w:rPr>
        <w:t>◎</w:t>
      </w:r>
      <w:r w:rsidRPr="00913C78">
        <w:t xml:space="preserve"> </w:t>
      </w:r>
      <w:r w:rsidRPr="00913C78">
        <w:rPr>
          <w:rFonts w:hint="eastAsia"/>
        </w:rPr>
        <w:t>边界条件</w:t>
      </w:r>
      <w:bookmarkEnd w:id="308"/>
    </w:p>
    <w:p w14:paraId="06A157AE" w14:textId="77777777" w:rsidR="00913C78" w:rsidRPr="00913C78" w:rsidRDefault="00913C78" w:rsidP="00913C78">
      <w:pPr>
        <w:ind w:firstLine="420"/>
      </w:pPr>
      <w:r w:rsidRPr="00913C78">
        <w:rPr>
          <w:rFonts w:hint="eastAsia"/>
        </w:rPr>
        <w:t>数值分析</w:t>
      </w:r>
      <w:r w:rsidRPr="00913C78">
        <w:t>报告</w:t>
      </w:r>
      <w:r w:rsidRPr="00913C78">
        <w:rPr>
          <w:rFonts w:hint="eastAsia"/>
        </w:rPr>
        <w:t>边界</w:t>
      </w:r>
      <w:r w:rsidRPr="00913C78">
        <w:t>条件应</w:t>
      </w:r>
      <w:r w:rsidRPr="00913C78">
        <w:rPr>
          <w:rFonts w:hint="eastAsia"/>
        </w:rPr>
        <w:t>包括但</w:t>
      </w:r>
      <w:r w:rsidRPr="00913C78">
        <w:t>不限于</w:t>
      </w:r>
      <w:r w:rsidRPr="00913C78">
        <w:rPr>
          <w:rFonts w:hint="eastAsia"/>
        </w:rPr>
        <w:t>：</w:t>
      </w:r>
      <w:r w:rsidRPr="00913C78">
        <w:t>边界条件、初始设置条件</w:t>
      </w:r>
      <w:r w:rsidRPr="00913C78">
        <w:rPr>
          <w:rFonts w:hint="eastAsia"/>
        </w:rPr>
        <w:t>、气象</w:t>
      </w:r>
      <w:r w:rsidRPr="00913C78">
        <w:t>参数</w:t>
      </w:r>
      <w:r w:rsidRPr="00913C78">
        <w:rPr>
          <w:rFonts w:hint="eastAsia"/>
        </w:rPr>
        <w:t>及</w:t>
      </w:r>
      <w:r w:rsidRPr="00913C78">
        <w:t>其他控制参数的</w:t>
      </w:r>
      <w:r w:rsidRPr="00913C78">
        <w:rPr>
          <w:rFonts w:hint="eastAsia"/>
        </w:rPr>
        <w:t>设定方法</w:t>
      </w:r>
      <w:r w:rsidRPr="00913C78">
        <w:t>和计算精度说明</w:t>
      </w:r>
      <w:r w:rsidRPr="00913C78">
        <w:rPr>
          <w:rFonts w:hint="eastAsia"/>
        </w:rPr>
        <w:t>。</w:t>
      </w:r>
    </w:p>
    <w:p w14:paraId="76AD6881" w14:textId="77777777" w:rsidR="00913C78" w:rsidRPr="00913C78" w:rsidRDefault="00913C78" w:rsidP="00913C78">
      <w:pPr>
        <w:ind w:firstLine="420"/>
      </w:pPr>
      <w:r w:rsidRPr="00913C78">
        <w:rPr>
          <w:rFonts w:hint="eastAsia"/>
        </w:rPr>
        <w:t>边界</w:t>
      </w:r>
      <w:r w:rsidRPr="00913C78">
        <w:t>条件</w:t>
      </w:r>
      <w:r w:rsidRPr="00913C78">
        <w:rPr>
          <w:rFonts w:hint="eastAsia"/>
        </w:rPr>
        <w:t>要求</w:t>
      </w:r>
      <w:r w:rsidRPr="00913C78">
        <w:t>：</w:t>
      </w:r>
    </w:p>
    <w:p w14:paraId="758F02D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模拟都应该在当地年平均气象参数的等温线条件和稳态条件下进行，并且室内风环境模型应在室外空气绝热条件下完成。</w:t>
      </w:r>
    </w:p>
    <w:p w14:paraId="0A6CD431" w14:textId="77777777" w:rsidR="00913C78" w:rsidRPr="00913C78" w:rsidRDefault="00913C78" w:rsidP="00913C78">
      <w:pPr>
        <w:ind w:firstLine="420"/>
      </w:pPr>
      <w:r w:rsidRPr="00913C78">
        <w:t>2</w:t>
      </w:r>
      <w:r w:rsidRPr="00913C78">
        <w:rPr>
          <w:rFonts w:hint="eastAsia"/>
        </w:rPr>
        <w:t>）</w:t>
      </w:r>
      <w:r w:rsidRPr="00913C78">
        <w:t> </w:t>
      </w:r>
      <w:r w:rsidRPr="00913C78">
        <w:t>基于过渡季节典型的风向和风速室外风环境模拟结果，根据建筑立面风压作为室内自然通风模拟的边界条件</w:t>
      </w:r>
      <w:r w:rsidRPr="00913C78">
        <w:rPr>
          <w:rFonts w:hint="eastAsia"/>
        </w:rPr>
        <w:t>。</w:t>
      </w:r>
    </w:p>
    <w:p w14:paraId="0C150670" w14:textId="77777777" w:rsidR="00913C78" w:rsidRPr="00913C78" w:rsidRDefault="00913C78" w:rsidP="00913C78">
      <w:pPr>
        <w:ind w:firstLine="420"/>
      </w:pPr>
      <w:r w:rsidRPr="00913C78">
        <w:lastRenderedPageBreak/>
        <w:t>3</w:t>
      </w:r>
      <w:r w:rsidRPr="00913C78">
        <w:rPr>
          <w:rFonts w:hint="eastAsia"/>
        </w:rPr>
        <w:t>）</w:t>
      </w:r>
      <w:r w:rsidRPr="00913C78">
        <w:t> </w:t>
      </w:r>
      <w:r w:rsidRPr="00913C78">
        <w:rPr>
          <w:rFonts w:hint="eastAsia"/>
        </w:rPr>
        <w:t>室内风环境模拟的入口边界条件需基于室外风环境模拟靠近室内入口处取值，地面和墙面粗糙系数设置进行单独说明（无特殊要求时墙面</w:t>
      </w:r>
      <w:r w:rsidRPr="00913C78">
        <w:rPr>
          <w:rFonts w:hint="eastAsia"/>
        </w:rPr>
        <w:t>0.5</w:t>
      </w:r>
      <w:r w:rsidRPr="00913C78">
        <w:rPr>
          <w:rFonts w:hint="eastAsia"/>
        </w:rPr>
        <w:t>，地面</w:t>
      </w:r>
      <w:r w:rsidRPr="00913C78">
        <w:rPr>
          <w:rFonts w:hint="eastAsia"/>
        </w:rPr>
        <w:t>0.8</w:t>
      </w:r>
      <w:r w:rsidRPr="00913C78">
        <w:rPr>
          <w:rFonts w:hint="eastAsia"/>
        </w:rPr>
        <w:t>）。</w:t>
      </w:r>
    </w:p>
    <w:p w14:paraId="1DA4B7BA" w14:textId="77777777" w:rsidR="00913C78" w:rsidRPr="00913C78" w:rsidRDefault="00913C78" w:rsidP="00913C78">
      <w:pPr>
        <w:ind w:firstLine="420"/>
      </w:pPr>
      <w:r w:rsidRPr="00913C78">
        <w:rPr>
          <w:rFonts w:hint="eastAsia"/>
        </w:rPr>
        <w:t>压力</w:t>
      </w:r>
      <w:r w:rsidRPr="00913C78">
        <w:t>取值要求：</w:t>
      </w:r>
    </w:p>
    <w:p w14:paraId="53292785"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依据室外</w:t>
      </w:r>
      <w:r w:rsidRPr="00913C78">
        <w:t>风环境</w:t>
      </w:r>
      <w:r w:rsidRPr="00913C78">
        <w:rPr>
          <w:rFonts w:hint="eastAsia"/>
        </w:rPr>
        <w:t>模拟结果，在各个开窗通风口距离</w:t>
      </w:r>
      <w:r w:rsidRPr="00913C78">
        <w:rPr>
          <w:rFonts w:hint="eastAsia"/>
        </w:rPr>
        <w:t>0.5m</w:t>
      </w:r>
      <w:r w:rsidRPr="00913C78">
        <w:rPr>
          <w:rFonts w:hint="eastAsia"/>
        </w:rPr>
        <w:t>处读取压力大小，并读取各个户型的前后压差。所选平面须位于建筑的中间位置，如果典型户型不在建筑的中间位置，那么必须截取距离建筑中间位置最近的建筑户型进行选取。</w:t>
      </w:r>
    </w:p>
    <w:p w14:paraId="6CDE080F"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平均风压差值取每个典型户型不同户在相应高度水平的压差平均值。</w:t>
      </w:r>
    </w:p>
    <w:p w14:paraId="1CE81320"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选择的典型户型的风压差值应不超过平均风压差值的</w:t>
      </w:r>
      <w:r w:rsidRPr="00913C78">
        <w:t>±</w:t>
      </w:r>
      <w:r w:rsidRPr="00913C78">
        <w:rPr>
          <w:rFonts w:hint="eastAsia"/>
        </w:rPr>
        <w:t>10%</w:t>
      </w:r>
      <w:r w:rsidRPr="00913C78">
        <w:rPr>
          <w:rFonts w:hint="eastAsia"/>
        </w:rPr>
        <w:t>。</w:t>
      </w:r>
    </w:p>
    <w:p w14:paraId="0E3266DA" w14:textId="77777777" w:rsidR="00913C78" w:rsidRPr="00913C78" w:rsidRDefault="00913C78" w:rsidP="00725EEB">
      <w:pPr>
        <w:pStyle w:val="32"/>
      </w:pPr>
      <w:bookmarkStart w:id="309" w:name="_Toc475359822"/>
      <w:bookmarkStart w:id="310" w:name="_Toc35364787"/>
      <w:r w:rsidRPr="00913C78">
        <w:rPr>
          <w:rFonts w:hint="eastAsia"/>
        </w:rPr>
        <w:t>A.4.</w:t>
      </w:r>
      <w:r w:rsidRPr="00913C78">
        <w:t>4</w:t>
      </w:r>
      <w:r w:rsidRPr="00913C78">
        <w:rPr>
          <w:rFonts w:hint="eastAsia"/>
        </w:rPr>
        <w:t xml:space="preserve">  </w:t>
      </w:r>
      <w:r w:rsidRPr="00913C78">
        <w:t>数值分析</w:t>
      </w:r>
      <w:r w:rsidRPr="00913C78">
        <w:rPr>
          <w:rFonts w:hint="eastAsia"/>
        </w:rPr>
        <w:t>结果与</w:t>
      </w:r>
      <w:r w:rsidRPr="00913C78">
        <w:t>结论</w:t>
      </w:r>
      <w:bookmarkEnd w:id="309"/>
      <w:bookmarkEnd w:id="310"/>
    </w:p>
    <w:p w14:paraId="3EA083D3" w14:textId="77777777" w:rsidR="00913C78" w:rsidRPr="00913C78" w:rsidRDefault="00913C78" w:rsidP="00913C78">
      <w:pPr>
        <w:ind w:firstLine="420"/>
      </w:pPr>
      <w:bookmarkStart w:id="311" w:name="_Toc475359823"/>
      <w:r w:rsidRPr="00913C78">
        <w:rPr>
          <w:rFonts w:hint="eastAsia"/>
        </w:rPr>
        <w:t>◎</w:t>
      </w:r>
      <w:r w:rsidRPr="00913C78">
        <w:t xml:space="preserve"> </w:t>
      </w:r>
      <w:r w:rsidRPr="00913C78">
        <w:rPr>
          <w:rFonts w:hint="eastAsia"/>
        </w:rPr>
        <w:t>数值分析</w:t>
      </w:r>
      <w:r w:rsidRPr="00913C78">
        <w:t>结果</w:t>
      </w:r>
      <w:bookmarkEnd w:id="311"/>
    </w:p>
    <w:p w14:paraId="2EEE0C32" w14:textId="77777777" w:rsidR="00913C78" w:rsidRPr="00913C78" w:rsidRDefault="00913C78" w:rsidP="00913C78">
      <w:pPr>
        <w:ind w:firstLine="420"/>
      </w:pPr>
      <w:r w:rsidRPr="00913C78">
        <w:rPr>
          <w:rFonts w:hint="eastAsia"/>
        </w:rPr>
        <w:t>室内风环境数值分析结果应包括：</w:t>
      </w:r>
    </w:p>
    <w:p w14:paraId="7D56AC22"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数值分析得到</w:t>
      </w:r>
      <w:r w:rsidRPr="00913C78">
        <w:rPr>
          <w:rFonts w:hint="eastAsia"/>
        </w:rPr>
        <w:t>10</w:t>
      </w:r>
      <w:r w:rsidRPr="00913C78">
        <w:rPr>
          <w:rFonts w:hint="eastAsia"/>
        </w:rPr>
        <w:t>个网格及以上、人员主要活动</w:t>
      </w:r>
      <w:r w:rsidRPr="00913C78">
        <w:t>区</w:t>
      </w:r>
      <w:r w:rsidRPr="00913C78">
        <w:rPr>
          <w:rFonts w:hint="eastAsia"/>
        </w:rPr>
        <w:t>域距地</w:t>
      </w:r>
      <w:r w:rsidRPr="00913C78">
        <w:rPr>
          <w:rFonts w:hint="eastAsia"/>
        </w:rPr>
        <w:t>1.5m</w:t>
      </w:r>
      <w:r w:rsidRPr="00913C78">
        <w:rPr>
          <w:rFonts w:hint="eastAsia"/>
        </w:rPr>
        <w:t>高度的风速分布云图、风速矢量图、</w:t>
      </w:r>
      <w:r w:rsidRPr="00913C78">
        <w:t>平均风速</w:t>
      </w:r>
      <w:r w:rsidRPr="00913C78">
        <w:rPr>
          <w:rFonts w:hint="eastAsia"/>
        </w:rPr>
        <w:t>和</w:t>
      </w:r>
      <w:r w:rsidRPr="00913C78">
        <w:t>最大风速列表</w:t>
      </w:r>
      <w:r w:rsidRPr="00913C78">
        <w:rPr>
          <w:rFonts w:hint="eastAsia"/>
        </w:rPr>
        <w:t>；</w:t>
      </w:r>
      <w:r w:rsidRPr="00913C78">
        <w:t>考虑热边界条件的自然通风模拟应包含温度分布云图</w:t>
      </w:r>
      <w:r w:rsidRPr="00913C78">
        <w:rPr>
          <w:rFonts w:hint="eastAsia"/>
        </w:rPr>
        <w:t>、</w:t>
      </w:r>
      <w:r w:rsidRPr="00913C78">
        <w:t>典型剖面的温度分布云图</w:t>
      </w:r>
      <w:r w:rsidRPr="00913C78">
        <w:rPr>
          <w:rFonts w:hint="eastAsia"/>
        </w:rPr>
        <w:t>。</w:t>
      </w:r>
    </w:p>
    <w:p w14:paraId="0116899E"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包含</w:t>
      </w:r>
      <w:r w:rsidRPr="00913C78">
        <w:rPr>
          <w:rFonts w:hint="eastAsia"/>
        </w:rPr>
        <w:t>4</w:t>
      </w:r>
      <w:r w:rsidRPr="00913C78">
        <w:rPr>
          <w:rFonts w:hint="eastAsia"/>
        </w:rPr>
        <w:t>个</w:t>
      </w:r>
      <w:r w:rsidRPr="00913C78">
        <w:t>网格以上的主要</w:t>
      </w:r>
      <w:r w:rsidRPr="00913C78">
        <w:rPr>
          <w:rFonts w:hint="eastAsia"/>
        </w:rPr>
        <w:t>通风口</w:t>
      </w:r>
      <w:r w:rsidRPr="00913C78">
        <w:t>开口截面的速度</w:t>
      </w:r>
      <w:r w:rsidRPr="00913C78">
        <w:rPr>
          <w:rFonts w:hint="eastAsia"/>
        </w:rPr>
        <w:t>、</w:t>
      </w:r>
      <w:r w:rsidRPr="00913C78">
        <w:t>压力分布云图、矢量图或温度分布图</w:t>
      </w:r>
      <w:r w:rsidRPr="00913C78">
        <w:rPr>
          <w:rFonts w:hint="eastAsia"/>
        </w:rPr>
        <w:t>。</w:t>
      </w:r>
    </w:p>
    <w:p w14:paraId="58AA3037"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室内空气龄</w:t>
      </w:r>
      <w:r w:rsidRPr="00913C78">
        <w:t>分布</w:t>
      </w:r>
      <w:r w:rsidRPr="00913C78">
        <w:rPr>
          <w:rFonts w:hint="eastAsia"/>
        </w:rPr>
        <w:t>云图。</w:t>
      </w:r>
    </w:p>
    <w:p w14:paraId="14088234"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建筑主要功能房间的</w:t>
      </w:r>
      <w:r w:rsidRPr="00913C78">
        <w:t>换气次数。</w:t>
      </w:r>
    </w:p>
    <w:p w14:paraId="2577CA20" w14:textId="77777777" w:rsidR="00913C78" w:rsidRPr="00913C78" w:rsidRDefault="00913C78" w:rsidP="00913C78">
      <w:pPr>
        <w:ind w:firstLine="420"/>
      </w:pPr>
      <w:r w:rsidRPr="00913C78">
        <w:rPr>
          <w:rFonts w:hint="eastAsia"/>
        </w:rPr>
        <w:t>数值分析结果</w:t>
      </w:r>
      <w:r w:rsidRPr="00913C78">
        <w:t>要求：</w:t>
      </w:r>
    </w:p>
    <w:p w14:paraId="7F92012B" w14:textId="77777777" w:rsidR="00913C78" w:rsidRPr="00913C78" w:rsidRDefault="00913C78" w:rsidP="00913C78">
      <w:pPr>
        <w:ind w:firstLine="420"/>
      </w:pPr>
      <w:r w:rsidRPr="00913C78">
        <w:rPr>
          <w:rFonts w:hint="eastAsia"/>
        </w:rPr>
        <w:t>1</w:t>
      </w:r>
      <w:r w:rsidRPr="00913C78">
        <w:rPr>
          <w:rFonts w:hint="eastAsia"/>
        </w:rPr>
        <w:t>）云图</w:t>
      </w:r>
      <w:r w:rsidRPr="00913C78">
        <w:t>要求：</w:t>
      </w:r>
      <w:r w:rsidRPr="00913C78">
        <w:rPr>
          <w:rFonts w:hint="eastAsia"/>
        </w:rPr>
        <w:t>应</w:t>
      </w:r>
      <w:r w:rsidRPr="00913C78">
        <w:t>对计算结果的上下限进行调整，压力云图和风速云图应体现出较明显的变化，风速矢量图</w:t>
      </w:r>
      <w:r w:rsidRPr="00913C78">
        <w:rPr>
          <w:rFonts w:hint="eastAsia"/>
        </w:rPr>
        <w:t>应</w:t>
      </w:r>
      <w:r w:rsidRPr="00913C78">
        <w:t>反映出风流场的气流，并对结果进行说明。</w:t>
      </w:r>
    </w:p>
    <w:p w14:paraId="1F43BCC5" w14:textId="77777777" w:rsidR="00913C78" w:rsidRPr="00913C78" w:rsidRDefault="00913C78" w:rsidP="00913C78">
      <w:pPr>
        <w:ind w:firstLine="420"/>
      </w:pPr>
      <w:r w:rsidRPr="00913C78">
        <w:rPr>
          <w:rFonts w:hint="eastAsia"/>
        </w:rPr>
        <w:t>2</w:t>
      </w:r>
      <w:r w:rsidRPr="00913C78">
        <w:rPr>
          <w:rFonts w:hint="eastAsia"/>
        </w:rPr>
        <w:t>）计算收敛性要求：计算应在求解充分收敛的情况下停止，即确定残差曲线下降，趋于平线，残差变化率小于</w:t>
      </w:r>
      <w:r w:rsidRPr="00913C78">
        <w:rPr>
          <w:rFonts w:hint="eastAsia"/>
        </w:rPr>
        <w:t>0.001</w:t>
      </w:r>
      <w:r w:rsidRPr="00913C78">
        <w:rPr>
          <w:rFonts w:hint="eastAsia"/>
        </w:rPr>
        <w:t>。</w:t>
      </w:r>
    </w:p>
    <w:p w14:paraId="04AD85A5" w14:textId="77777777" w:rsidR="00913C78" w:rsidRPr="00913C78" w:rsidRDefault="00913C78" w:rsidP="00913C78">
      <w:pPr>
        <w:ind w:firstLine="420"/>
      </w:pPr>
      <w:bookmarkStart w:id="312" w:name="_Toc475359824"/>
      <w:r w:rsidRPr="00913C78">
        <w:rPr>
          <w:rFonts w:hint="eastAsia"/>
        </w:rPr>
        <w:t>◎</w:t>
      </w:r>
      <w:r w:rsidRPr="00913C78">
        <w:rPr>
          <w:rFonts w:hint="eastAsia"/>
        </w:rPr>
        <w:t xml:space="preserve"> </w:t>
      </w:r>
      <w:r w:rsidRPr="00913C78">
        <w:rPr>
          <w:rFonts w:hint="eastAsia"/>
        </w:rPr>
        <w:t>对比</w:t>
      </w:r>
      <w:r w:rsidRPr="00913C78">
        <w:t>分析</w:t>
      </w:r>
      <w:bookmarkEnd w:id="312"/>
    </w:p>
    <w:p w14:paraId="0FECC7A3" w14:textId="77777777" w:rsidR="00913C78" w:rsidRPr="00913C78" w:rsidRDefault="00913C78" w:rsidP="00913C78">
      <w:pPr>
        <w:ind w:firstLine="420"/>
      </w:pPr>
      <w:r w:rsidRPr="00913C78">
        <w:rPr>
          <w:rFonts w:hint="eastAsia"/>
        </w:rPr>
        <w:t>根据数值分析结果分析项目室内风环境状态，将换气次数等结果与相关标准要求进行对比，判断达标情况。给出室内风环境的优化措施与实施过程，对比分析优化后的项目室内风环境状态。</w:t>
      </w:r>
    </w:p>
    <w:p w14:paraId="09B370A4" w14:textId="77777777" w:rsidR="00913C78" w:rsidRPr="00913C78" w:rsidRDefault="00913C78" w:rsidP="00913C78">
      <w:pPr>
        <w:ind w:firstLine="420"/>
      </w:pPr>
      <w:bookmarkStart w:id="313" w:name="_Toc475359825"/>
      <w:r w:rsidRPr="00913C78">
        <w:rPr>
          <w:rFonts w:hint="eastAsia"/>
        </w:rPr>
        <w:t>◎</w:t>
      </w:r>
      <w:r w:rsidRPr="00913C78">
        <w:t xml:space="preserve"> </w:t>
      </w:r>
      <w:r w:rsidRPr="00913C78">
        <w:rPr>
          <w:rFonts w:hint="eastAsia"/>
        </w:rPr>
        <w:t>结论</w:t>
      </w:r>
      <w:bookmarkEnd w:id="313"/>
    </w:p>
    <w:p w14:paraId="43F4EE70" w14:textId="77777777" w:rsidR="00913C78" w:rsidRPr="00913C78" w:rsidRDefault="00913C78" w:rsidP="00913C78">
      <w:pPr>
        <w:ind w:firstLine="420"/>
      </w:pPr>
      <w:r w:rsidRPr="00913C78">
        <w:rPr>
          <w:rFonts w:hint="eastAsia"/>
        </w:rPr>
        <w:lastRenderedPageBreak/>
        <w:t>进行达标判定，</w:t>
      </w:r>
      <w:r w:rsidRPr="00913C78">
        <w:t>并</w:t>
      </w:r>
      <w:r w:rsidRPr="00913C78">
        <w:rPr>
          <w:rFonts w:hint="eastAsia"/>
        </w:rPr>
        <w:t>给出结论。</w:t>
      </w:r>
    </w:p>
    <w:p w14:paraId="266C14A2" w14:textId="77777777" w:rsidR="00913C78" w:rsidRPr="00913C78" w:rsidRDefault="00913C78" w:rsidP="00725EEB">
      <w:pPr>
        <w:pStyle w:val="32"/>
      </w:pPr>
      <w:bookmarkStart w:id="314" w:name="_Toc475359826"/>
      <w:bookmarkStart w:id="315" w:name="_Toc35364788"/>
      <w:r w:rsidRPr="00913C78">
        <w:rPr>
          <w:rFonts w:hint="eastAsia"/>
        </w:rPr>
        <w:t xml:space="preserve">A.4.5  </w:t>
      </w:r>
      <w:r w:rsidRPr="00913C78">
        <w:rPr>
          <w:rFonts w:hint="eastAsia"/>
        </w:rPr>
        <w:t>审查要点</w:t>
      </w:r>
      <w:bookmarkEnd w:id="314"/>
      <w:r w:rsidRPr="00913C78">
        <w:rPr>
          <w:rFonts w:hint="eastAsia"/>
        </w:rPr>
        <w:t>（附表</w:t>
      </w:r>
      <w:r w:rsidRPr="00913C78">
        <w:rPr>
          <w:rFonts w:hint="eastAsia"/>
        </w:rPr>
        <w:t>A.4.2</w:t>
      </w:r>
      <w:r w:rsidRPr="00913C78">
        <w:rPr>
          <w:rFonts w:hint="eastAsia"/>
        </w:rPr>
        <w:t>）</w:t>
      </w:r>
      <w:bookmarkEnd w:id="315"/>
    </w:p>
    <w:p w14:paraId="1B604B71" w14:textId="77777777" w:rsidR="00913C78" w:rsidRPr="00913C78" w:rsidRDefault="00913C78" w:rsidP="00725EEB">
      <w:pPr>
        <w:pStyle w:val="ae"/>
      </w:pPr>
      <w:r w:rsidRPr="00913C78">
        <w:rPr>
          <w:rFonts w:hint="eastAsia"/>
        </w:rPr>
        <w:t>附表</w:t>
      </w:r>
      <w:r w:rsidRPr="00913C78">
        <w:rPr>
          <w:rFonts w:hint="eastAsia"/>
        </w:rPr>
        <w:t xml:space="preserve">A.4.2  </w:t>
      </w:r>
      <w:r w:rsidRPr="00913C78">
        <w:rPr>
          <w:rFonts w:hint="eastAsia"/>
        </w:rPr>
        <w:t>室内风环境数值分析报告专家判断表</w:t>
      </w:r>
    </w:p>
    <w:tbl>
      <w:tblPr>
        <w:tblW w:w="509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bottom w:w="28" w:type="dxa"/>
          <w:right w:w="57" w:type="dxa"/>
        </w:tblCellMar>
        <w:tblLook w:val="04A0" w:firstRow="1" w:lastRow="0" w:firstColumn="1" w:lastColumn="0" w:noHBand="0" w:noVBand="1"/>
      </w:tblPr>
      <w:tblGrid>
        <w:gridCol w:w="563"/>
        <w:gridCol w:w="1256"/>
        <w:gridCol w:w="5606"/>
        <w:gridCol w:w="1165"/>
      </w:tblGrid>
      <w:tr w:rsidR="00913C78" w:rsidRPr="00913C78" w14:paraId="123B1567" w14:textId="77777777" w:rsidTr="00E731D0">
        <w:trPr>
          <w:jc w:val="center"/>
        </w:trPr>
        <w:tc>
          <w:tcPr>
            <w:tcW w:w="328" w:type="pct"/>
            <w:shd w:val="clear" w:color="auto" w:fill="auto"/>
            <w:vAlign w:val="center"/>
            <w:hideMark/>
          </w:tcPr>
          <w:p w14:paraId="583AF78E" w14:textId="77777777" w:rsidR="00913C78" w:rsidRPr="00725EEB" w:rsidRDefault="00913C78" w:rsidP="00725EEB">
            <w:pPr>
              <w:pStyle w:val="ae"/>
              <w:rPr>
                <w:b w:val="0"/>
                <w:bCs/>
              </w:rPr>
            </w:pPr>
            <w:r w:rsidRPr="00725EEB">
              <w:rPr>
                <w:rFonts w:hint="eastAsia"/>
                <w:b w:val="0"/>
                <w:bCs/>
              </w:rPr>
              <w:t>编号</w:t>
            </w:r>
          </w:p>
        </w:tc>
        <w:tc>
          <w:tcPr>
            <w:tcW w:w="731" w:type="pct"/>
            <w:shd w:val="clear" w:color="auto" w:fill="auto"/>
            <w:vAlign w:val="center"/>
            <w:hideMark/>
          </w:tcPr>
          <w:p w14:paraId="6937E3B1" w14:textId="77777777" w:rsidR="00913C78" w:rsidRPr="00725EEB" w:rsidRDefault="00913C78" w:rsidP="00725EEB">
            <w:pPr>
              <w:pStyle w:val="ae"/>
              <w:rPr>
                <w:b w:val="0"/>
                <w:bCs/>
              </w:rPr>
            </w:pPr>
            <w:r w:rsidRPr="00725EEB">
              <w:rPr>
                <w:rFonts w:hint="eastAsia"/>
                <w:b w:val="0"/>
                <w:bCs/>
              </w:rPr>
              <w:t>审查要点</w:t>
            </w:r>
          </w:p>
        </w:tc>
        <w:tc>
          <w:tcPr>
            <w:tcW w:w="3263" w:type="pct"/>
            <w:shd w:val="clear" w:color="auto" w:fill="auto"/>
            <w:vAlign w:val="center"/>
            <w:hideMark/>
          </w:tcPr>
          <w:p w14:paraId="2026E6BA" w14:textId="77777777" w:rsidR="00913C78" w:rsidRPr="00725EEB" w:rsidRDefault="00913C78" w:rsidP="00725EEB">
            <w:pPr>
              <w:pStyle w:val="ae"/>
              <w:rPr>
                <w:b w:val="0"/>
                <w:bCs/>
              </w:rPr>
            </w:pPr>
            <w:r w:rsidRPr="00725EEB">
              <w:rPr>
                <w:rFonts w:hint="eastAsia"/>
                <w:b w:val="0"/>
                <w:bCs/>
              </w:rPr>
              <w:t>具体判断</w:t>
            </w:r>
          </w:p>
        </w:tc>
        <w:tc>
          <w:tcPr>
            <w:tcW w:w="678" w:type="pct"/>
            <w:shd w:val="clear" w:color="auto" w:fill="auto"/>
            <w:vAlign w:val="center"/>
            <w:hideMark/>
          </w:tcPr>
          <w:p w14:paraId="0F6E36DA" w14:textId="77777777" w:rsidR="00913C78" w:rsidRPr="00725EEB" w:rsidRDefault="00913C78" w:rsidP="00725EEB">
            <w:pPr>
              <w:pStyle w:val="ae"/>
              <w:rPr>
                <w:b w:val="0"/>
                <w:bCs/>
              </w:rPr>
            </w:pPr>
            <w:r w:rsidRPr="00725EEB">
              <w:rPr>
                <w:rFonts w:hint="eastAsia"/>
                <w:b w:val="0"/>
                <w:bCs/>
              </w:rPr>
              <w:t>是否满足</w:t>
            </w:r>
          </w:p>
        </w:tc>
      </w:tr>
      <w:tr w:rsidR="00913C78" w:rsidRPr="00913C78" w14:paraId="3A86D941" w14:textId="77777777" w:rsidTr="00E731D0">
        <w:trPr>
          <w:jc w:val="center"/>
        </w:trPr>
        <w:tc>
          <w:tcPr>
            <w:tcW w:w="328" w:type="pct"/>
            <w:shd w:val="clear" w:color="auto" w:fill="auto"/>
            <w:vAlign w:val="center"/>
            <w:hideMark/>
          </w:tcPr>
          <w:p w14:paraId="7FB0B97A" w14:textId="77777777" w:rsidR="00913C78" w:rsidRPr="00725EEB" w:rsidRDefault="00913C78" w:rsidP="00725EEB">
            <w:pPr>
              <w:pStyle w:val="ae"/>
              <w:rPr>
                <w:b w:val="0"/>
                <w:bCs/>
              </w:rPr>
            </w:pPr>
            <w:r w:rsidRPr="00725EEB">
              <w:rPr>
                <w:rFonts w:hint="eastAsia"/>
                <w:b w:val="0"/>
                <w:bCs/>
              </w:rPr>
              <w:t>1</w:t>
            </w:r>
          </w:p>
        </w:tc>
        <w:tc>
          <w:tcPr>
            <w:tcW w:w="731" w:type="pct"/>
            <w:shd w:val="clear" w:color="auto" w:fill="auto"/>
            <w:vAlign w:val="center"/>
            <w:hideMark/>
          </w:tcPr>
          <w:p w14:paraId="39C86BD7" w14:textId="77777777" w:rsidR="00913C78" w:rsidRPr="00725EEB" w:rsidRDefault="00913C78" w:rsidP="00725EEB">
            <w:pPr>
              <w:pStyle w:val="ae"/>
              <w:rPr>
                <w:b w:val="0"/>
                <w:bCs/>
              </w:rPr>
            </w:pPr>
            <w:r w:rsidRPr="00725EEB">
              <w:rPr>
                <w:rFonts w:hint="eastAsia"/>
                <w:b w:val="0"/>
                <w:bCs/>
              </w:rPr>
              <w:t>数值分析依据</w:t>
            </w:r>
          </w:p>
        </w:tc>
        <w:tc>
          <w:tcPr>
            <w:tcW w:w="3263" w:type="pct"/>
            <w:shd w:val="clear" w:color="auto" w:fill="auto"/>
            <w:vAlign w:val="center"/>
            <w:hideMark/>
          </w:tcPr>
          <w:p w14:paraId="58DDEDF2" w14:textId="77777777" w:rsidR="00913C78" w:rsidRPr="00725EEB" w:rsidRDefault="00913C78" w:rsidP="00725EEB">
            <w:pPr>
              <w:pStyle w:val="ae"/>
              <w:jc w:val="left"/>
              <w:rPr>
                <w:b w:val="0"/>
                <w:bCs/>
              </w:rPr>
            </w:pPr>
            <w:r w:rsidRPr="00725EEB">
              <w:rPr>
                <w:rFonts w:hint="eastAsia"/>
                <w:b w:val="0"/>
                <w:bCs/>
              </w:rPr>
              <w:t>数值分析基础数据有可靠来源，给出参数参考的数据资料</w:t>
            </w:r>
          </w:p>
        </w:tc>
        <w:tc>
          <w:tcPr>
            <w:tcW w:w="678" w:type="pct"/>
            <w:shd w:val="clear" w:color="auto" w:fill="auto"/>
            <w:vAlign w:val="center"/>
            <w:hideMark/>
          </w:tcPr>
          <w:p w14:paraId="54FE4AC2" w14:textId="77777777" w:rsidR="00913C78" w:rsidRPr="00725EEB" w:rsidRDefault="00913C78" w:rsidP="00725EEB">
            <w:pPr>
              <w:pStyle w:val="ae"/>
              <w:rPr>
                <w:b w:val="0"/>
                <w:bCs/>
              </w:rPr>
            </w:pPr>
          </w:p>
        </w:tc>
      </w:tr>
      <w:tr w:rsidR="00913C78" w:rsidRPr="00913C78" w14:paraId="220C9A56" w14:textId="77777777" w:rsidTr="00E731D0">
        <w:trPr>
          <w:jc w:val="center"/>
        </w:trPr>
        <w:tc>
          <w:tcPr>
            <w:tcW w:w="328" w:type="pct"/>
            <w:shd w:val="clear" w:color="auto" w:fill="auto"/>
            <w:vAlign w:val="center"/>
            <w:hideMark/>
          </w:tcPr>
          <w:p w14:paraId="62497837" w14:textId="77777777" w:rsidR="00913C78" w:rsidRPr="00725EEB" w:rsidRDefault="00913C78" w:rsidP="00725EEB">
            <w:pPr>
              <w:pStyle w:val="ae"/>
              <w:rPr>
                <w:b w:val="0"/>
                <w:bCs/>
              </w:rPr>
            </w:pPr>
            <w:r w:rsidRPr="00725EEB">
              <w:rPr>
                <w:rFonts w:hint="eastAsia"/>
                <w:b w:val="0"/>
                <w:bCs/>
              </w:rPr>
              <w:t>2</w:t>
            </w:r>
          </w:p>
        </w:tc>
        <w:tc>
          <w:tcPr>
            <w:tcW w:w="731" w:type="pct"/>
            <w:shd w:val="clear" w:color="auto" w:fill="auto"/>
            <w:vAlign w:val="center"/>
            <w:hideMark/>
          </w:tcPr>
          <w:p w14:paraId="3795BB82" w14:textId="77777777" w:rsidR="00913C78" w:rsidRPr="00725EEB" w:rsidRDefault="00913C78" w:rsidP="00725EEB">
            <w:pPr>
              <w:pStyle w:val="ae"/>
              <w:rPr>
                <w:b w:val="0"/>
                <w:bCs/>
              </w:rPr>
            </w:pPr>
            <w:r w:rsidRPr="00725EEB">
              <w:rPr>
                <w:rFonts w:hint="eastAsia"/>
                <w:b w:val="0"/>
                <w:bCs/>
              </w:rPr>
              <w:t>模型选取</w:t>
            </w:r>
          </w:p>
        </w:tc>
        <w:tc>
          <w:tcPr>
            <w:tcW w:w="3263" w:type="pct"/>
            <w:shd w:val="clear" w:color="auto" w:fill="auto"/>
            <w:vAlign w:val="center"/>
            <w:hideMark/>
          </w:tcPr>
          <w:p w14:paraId="064748CA" w14:textId="77777777" w:rsidR="00913C78" w:rsidRPr="00725EEB" w:rsidRDefault="00913C78" w:rsidP="00725EEB">
            <w:pPr>
              <w:pStyle w:val="ae"/>
              <w:jc w:val="left"/>
              <w:rPr>
                <w:b w:val="0"/>
                <w:bCs/>
              </w:rPr>
            </w:pPr>
            <w:r w:rsidRPr="00725EEB">
              <w:rPr>
                <w:rFonts w:hint="eastAsia"/>
                <w:b w:val="0"/>
                <w:bCs/>
              </w:rPr>
              <w:t>数值分析时采用</w:t>
            </w:r>
            <w:r w:rsidRPr="00725EEB">
              <w:rPr>
                <w:rFonts w:hint="eastAsia"/>
                <w:b w:val="0"/>
                <w:bCs/>
              </w:rPr>
              <w:t>k-</w:t>
            </w:r>
            <w:r w:rsidRPr="00725EEB">
              <w:rPr>
                <w:rFonts w:hint="eastAsia"/>
                <w:b w:val="0"/>
                <w:bCs/>
              </w:rPr>
              <w:sym w:font="Symbol" w:char="F065"/>
            </w:r>
            <w:r w:rsidRPr="00725EEB">
              <w:rPr>
                <w:b w:val="0"/>
                <w:bCs/>
              </w:rPr>
              <w:t> </w:t>
            </w:r>
            <w:r w:rsidRPr="00725EEB">
              <w:rPr>
                <w:rFonts w:hint="eastAsia"/>
                <w:b w:val="0"/>
                <w:bCs/>
              </w:rPr>
              <w:t>模型、</w:t>
            </w:r>
            <w:r w:rsidRPr="00725EEB">
              <w:rPr>
                <w:rFonts w:hint="eastAsia"/>
                <w:b w:val="0"/>
                <w:bCs/>
              </w:rPr>
              <w:t>KECHEN</w:t>
            </w:r>
            <w:r w:rsidRPr="00725EEB">
              <w:rPr>
                <w:rFonts w:hint="eastAsia"/>
                <w:b w:val="0"/>
                <w:bCs/>
              </w:rPr>
              <w:t>模型或其他适用于计算对象模型</w:t>
            </w:r>
          </w:p>
        </w:tc>
        <w:tc>
          <w:tcPr>
            <w:tcW w:w="678" w:type="pct"/>
            <w:shd w:val="clear" w:color="auto" w:fill="auto"/>
            <w:vAlign w:val="center"/>
            <w:hideMark/>
          </w:tcPr>
          <w:p w14:paraId="77C029B2" w14:textId="77777777" w:rsidR="00913C78" w:rsidRPr="00725EEB" w:rsidRDefault="00913C78" w:rsidP="00725EEB">
            <w:pPr>
              <w:pStyle w:val="ae"/>
              <w:rPr>
                <w:b w:val="0"/>
                <w:bCs/>
              </w:rPr>
            </w:pPr>
          </w:p>
        </w:tc>
      </w:tr>
      <w:tr w:rsidR="00913C78" w:rsidRPr="00913C78" w14:paraId="16258FF5" w14:textId="77777777" w:rsidTr="00E731D0">
        <w:trPr>
          <w:jc w:val="center"/>
        </w:trPr>
        <w:tc>
          <w:tcPr>
            <w:tcW w:w="328" w:type="pct"/>
            <w:shd w:val="clear" w:color="auto" w:fill="auto"/>
            <w:vAlign w:val="center"/>
            <w:hideMark/>
          </w:tcPr>
          <w:p w14:paraId="588994B5" w14:textId="77777777" w:rsidR="00913C78" w:rsidRPr="00725EEB" w:rsidRDefault="00913C78" w:rsidP="00725EEB">
            <w:pPr>
              <w:pStyle w:val="ae"/>
              <w:rPr>
                <w:b w:val="0"/>
                <w:bCs/>
              </w:rPr>
            </w:pPr>
            <w:r w:rsidRPr="00725EEB">
              <w:rPr>
                <w:rFonts w:hint="eastAsia"/>
                <w:b w:val="0"/>
                <w:bCs/>
              </w:rPr>
              <w:t>3</w:t>
            </w:r>
          </w:p>
        </w:tc>
        <w:tc>
          <w:tcPr>
            <w:tcW w:w="731" w:type="pct"/>
            <w:shd w:val="clear" w:color="auto" w:fill="auto"/>
            <w:vAlign w:val="center"/>
            <w:hideMark/>
          </w:tcPr>
          <w:p w14:paraId="311AB7D3" w14:textId="77777777" w:rsidR="00913C78" w:rsidRPr="00725EEB" w:rsidRDefault="00913C78" w:rsidP="00725EEB">
            <w:pPr>
              <w:pStyle w:val="ae"/>
              <w:rPr>
                <w:b w:val="0"/>
                <w:bCs/>
              </w:rPr>
            </w:pPr>
            <w:r w:rsidRPr="00725EEB">
              <w:rPr>
                <w:rFonts w:hint="eastAsia"/>
                <w:b w:val="0"/>
                <w:bCs/>
              </w:rPr>
              <w:t>差分格式</w:t>
            </w:r>
          </w:p>
        </w:tc>
        <w:tc>
          <w:tcPr>
            <w:tcW w:w="3263" w:type="pct"/>
            <w:shd w:val="clear" w:color="auto" w:fill="auto"/>
            <w:vAlign w:val="center"/>
            <w:hideMark/>
          </w:tcPr>
          <w:p w14:paraId="690AEBD9" w14:textId="77777777" w:rsidR="00913C78" w:rsidRPr="00725EEB" w:rsidRDefault="00913C78" w:rsidP="00725EEB">
            <w:pPr>
              <w:pStyle w:val="ae"/>
              <w:jc w:val="left"/>
              <w:rPr>
                <w:b w:val="0"/>
                <w:bCs/>
              </w:rPr>
            </w:pPr>
            <w:r w:rsidRPr="00725EEB">
              <w:rPr>
                <w:rFonts w:hint="eastAsia"/>
                <w:b w:val="0"/>
                <w:bCs/>
              </w:rPr>
              <w:t>未采用一阶差分格式</w:t>
            </w:r>
          </w:p>
        </w:tc>
        <w:tc>
          <w:tcPr>
            <w:tcW w:w="678" w:type="pct"/>
            <w:shd w:val="clear" w:color="auto" w:fill="auto"/>
            <w:vAlign w:val="center"/>
            <w:hideMark/>
          </w:tcPr>
          <w:p w14:paraId="6306C7A2" w14:textId="77777777" w:rsidR="00913C78" w:rsidRPr="00725EEB" w:rsidRDefault="00913C78" w:rsidP="00725EEB">
            <w:pPr>
              <w:pStyle w:val="ae"/>
              <w:rPr>
                <w:b w:val="0"/>
                <w:bCs/>
              </w:rPr>
            </w:pPr>
          </w:p>
        </w:tc>
      </w:tr>
      <w:tr w:rsidR="00913C78" w:rsidRPr="00913C78" w14:paraId="5DBB2295" w14:textId="77777777" w:rsidTr="00E731D0">
        <w:trPr>
          <w:jc w:val="center"/>
        </w:trPr>
        <w:tc>
          <w:tcPr>
            <w:tcW w:w="328" w:type="pct"/>
            <w:shd w:val="clear" w:color="auto" w:fill="auto"/>
            <w:vAlign w:val="center"/>
          </w:tcPr>
          <w:p w14:paraId="3A107861" w14:textId="77777777" w:rsidR="00913C78" w:rsidRPr="00725EEB" w:rsidRDefault="00913C78" w:rsidP="00725EEB">
            <w:pPr>
              <w:pStyle w:val="ae"/>
              <w:rPr>
                <w:b w:val="0"/>
                <w:bCs/>
              </w:rPr>
            </w:pPr>
            <w:r w:rsidRPr="00725EEB">
              <w:rPr>
                <w:rFonts w:hint="eastAsia"/>
                <w:b w:val="0"/>
                <w:bCs/>
              </w:rPr>
              <w:t>4</w:t>
            </w:r>
          </w:p>
        </w:tc>
        <w:tc>
          <w:tcPr>
            <w:tcW w:w="731" w:type="pct"/>
            <w:shd w:val="clear" w:color="auto" w:fill="auto"/>
            <w:vAlign w:val="center"/>
          </w:tcPr>
          <w:p w14:paraId="24E6FAEE" w14:textId="77777777" w:rsidR="00913C78" w:rsidRPr="00725EEB" w:rsidRDefault="00913C78" w:rsidP="00725EEB">
            <w:pPr>
              <w:pStyle w:val="ae"/>
              <w:rPr>
                <w:b w:val="0"/>
                <w:bCs/>
              </w:rPr>
            </w:pPr>
            <w:r w:rsidRPr="00725EEB">
              <w:rPr>
                <w:rFonts w:hint="eastAsia"/>
                <w:b w:val="0"/>
                <w:bCs/>
              </w:rPr>
              <w:t>模拟工况</w:t>
            </w:r>
          </w:p>
        </w:tc>
        <w:tc>
          <w:tcPr>
            <w:tcW w:w="3263" w:type="pct"/>
            <w:shd w:val="clear" w:color="auto" w:fill="auto"/>
            <w:vAlign w:val="center"/>
          </w:tcPr>
          <w:p w14:paraId="4C354032" w14:textId="77777777" w:rsidR="00913C78" w:rsidRPr="00725EEB" w:rsidRDefault="00913C78" w:rsidP="00725EEB">
            <w:pPr>
              <w:pStyle w:val="ae"/>
              <w:jc w:val="left"/>
              <w:rPr>
                <w:b w:val="0"/>
                <w:bCs/>
              </w:rPr>
            </w:pPr>
            <w:r w:rsidRPr="00725EEB">
              <w:rPr>
                <w:rFonts w:hint="eastAsia"/>
                <w:b w:val="0"/>
                <w:bCs/>
              </w:rPr>
              <w:t>有适宜通风期（春秋季）、间歇通风期（夏季）两个</w:t>
            </w:r>
            <w:r w:rsidRPr="00725EEB">
              <w:rPr>
                <w:b w:val="0"/>
                <w:bCs/>
              </w:rPr>
              <w:t>典型工况的模拟结果</w:t>
            </w:r>
          </w:p>
        </w:tc>
        <w:tc>
          <w:tcPr>
            <w:tcW w:w="678" w:type="pct"/>
            <w:shd w:val="clear" w:color="auto" w:fill="auto"/>
            <w:vAlign w:val="center"/>
          </w:tcPr>
          <w:p w14:paraId="31EC9FCC" w14:textId="77777777" w:rsidR="00913C78" w:rsidRPr="00725EEB" w:rsidRDefault="00913C78" w:rsidP="00725EEB">
            <w:pPr>
              <w:pStyle w:val="ae"/>
              <w:rPr>
                <w:b w:val="0"/>
                <w:bCs/>
              </w:rPr>
            </w:pPr>
          </w:p>
        </w:tc>
      </w:tr>
      <w:tr w:rsidR="00913C78" w:rsidRPr="00913C78" w14:paraId="0C61C069" w14:textId="77777777" w:rsidTr="00E731D0">
        <w:trPr>
          <w:jc w:val="center"/>
        </w:trPr>
        <w:tc>
          <w:tcPr>
            <w:tcW w:w="328" w:type="pct"/>
            <w:vMerge w:val="restart"/>
            <w:shd w:val="clear" w:color="auto" w:fill="auto"/>
            <w:vAlign w:val="center"/>
          </w:tcPr>
          <w:p w14:paraId="6F2AA749" w14:textId="77777777" w:rsidR="00913C78" w:rsidRPr="00725EEB" w:rsidRDefault="00913C78" w:rsidP="00725EEB">
            <w:pPr>
              <w:pStyle w:val="ae"/>
              <w:rPr>
                <w:b w:val="0"/>
                <w:bCs/>
              </w:rPr>
            </w:pPr>
            <w:r w:rsidRPr="00725EEB">
              <w:rPr>
                <w:rFonts w:hint="eastAsia"/>
                <w:b w:val="0"/>
                <w:bCs/>
              </w:rPr>
              <w:t>5</w:t>
            </w:r>
          </w:p>
        </w:tc>
        <w:tc>
          <w:tcPr>
            <w:tcW w:w="731" w:type="pct"/>
            <w:vMerge w:val="restart"/>
            <w:shd w:val="clear" w:color="auto" w:fill="auto"/>
            <w:vAlign w:val="center"/>
            <w:hideMark/>
          </w:tcPr>
          <w:p w14:paraId="526090B5" w14:textId="77777777" w:rsidR="00913C78" w:rsidRPr="00725EEB" w:rsidRDefault="00913C78" w:rsidP="00725EEB">
            <w:pPr>
              <w:pStyle w:val="ae"/>
              <w:rPr>
                <w:b w:val="0"/>
                <w:bCs/>
              </w:rPr>
            </w:pPr>
            <w:r w:rsidRPr="00725EEB">
              <w:rPr>
                <w:rFonts w:hint="eastAsia"/>
                <w:b w:val="0"/>
                <w:bCs/>
              </w:rPr>
              <w:t>建筑模型</w:t>
            </w:r>
          </w:p>
        </w:tc>
        <w:tc>
          <w:tcPr>
            <w:tcW w:w="3263" w:type="pct"/>
            <w:shd w:val="clear" w:color="auto" w:fill="auto"/>
            <w:vAlign w:val="center"/>
            <w:hideMark/>
          </w:tcPr>
          <w:p w14:paraId="5D9C4CE3" w14:textId="77777777" w:rsidR="00913C78" w:rsidRPr="00725EEB" w:rsidRDefault="00913C78" w:rsidP="00725EEB">
            <w:pPr>
              <w:pStyle w:val="ae"/>
              <w:jc w:val="left"/>
              <w:rPr>
                <w:b w:val="0"/>
                <w:bCs/>
              </w:rPr>
            </w:pPr>
            <w:r w:rsidRPr="00725EEB">
              <w:rPr>
                <w:rFonts w:hint="eastAsia"/>
                <w:b w:val="0"/>
                <w:bCs/>
              </w:rPr>
              <w:t>建模</w:t>
            </w:r>
            <w:r w:rsidRPr="00725EEB">
              <w:rPr>
                <w:b w:val="0"/>
                <w:bCs/>
              </w:rPr>
              <w:t>时</w:t>
            </w:r>
            <w:r w:rsidRPr="00725EEB">
              <w:rPr>
                <w:rFonts w:hint="eastAsia"/>
                <w:b w:val="0"/>
                <w:bCs/>
              </w:rPr>
              <w:t>选择尽可能地代表更多的户型单元且至少</w:t>
            </w:r>
            <w:r w:rsidRPr="00725EEB">
              <w:rPr>
                <w:rFonts w:hint="eastAsia"/>
                <w:b w:val="0"/>
                <w:bCs/>
              </w:rPr>
              <w:t>5</w:t>
            </w:r>
            <w:r w:rsidRPr="00725EEB">
              <w:rPr>
                <w:rFonts w:hint="eastAsia"/>
                <w:b w:val="0"/>
                <w:bCs/>
              </w:rPr>
              <w:t>户典型户型</w:t>
            </w:r>
          </w:p>
        </w:tc>
        <w:tc>
          <w:tcPr>
            <w:tcW w:w="678" w:type="pct"/>
            <w:shd w:val="clear" w:color="auto" w:fill="auto"/>
            <w:vAlign w:val="center"/>
            <w:hideMark/>
          </w:tcPr>
          <w:p w14:paraId="503E9833" w14:textId="77777777" w:rsidR="00913C78" w:rsidRPr="00725EEB" w:rsidRDefault="00913C78" w:rsidP="00725EEB">
            <w:pPr>
              <w:pStyle w:val="ae"/>
              <w:rPr>
                <w:b w:val="0"/>
                <w:bCs/>
              </w:rPr>
            </w:pPr>
          </w:p>
        </w:tc>
      </w:tr>
      <w:tr w:rsidR="00913C78" w:rsidRPr="00913C78" w14:paraId="4D29D77E" w14:textId="77777777" w:rsidTr="00E731D0">
        <w:trPr>
          <w:jc w:val="center"/>
        </w:trPr>
        <w:tc>
          <w:tcPr>
            <w:tcW w:w="328" w:type="pct"/>
            <w:vMerge/>
            <w:shd w:val="clear" w:color="auto" w:fill="auto"/>
            <w:vAlign w:val="center"/>
          </w:tcPr>
          <w:p w14:paraId="1D1F347E" w14:textId="77777777" w:rsidR="00913C78" w:rsidRPr="00725EEB" w:rsidRDefault="00913C78" w:rsidP="00725EEB">
            <w:pPr>
              <w:pStyle w:val="ae"/>
              <w:rPr>
                <w:b w:val="0"/>
                <w:bCs/>
              </w:rPr>
            </w:pPr>
          </w:p>
        </w:tc>
        <w:tc>
          <w:tcPr>
            <w:tcW w:w="731" w:type="pct"/>
            <w:vMerge/>
            <w:shd w:val="clear" w:color="auto" w:fill="auto"/>
            <w:vAlign w:val="center"/>
            <w:hideMark/>
          </w:tcPr>
          <w:p w14:paraId="512D9007" w14:textId="77777777" w:rsidR="00913C78" w:rsidRPr="00725EEB" w:rsidRDefault="00913C78" w:rsidP="00725EEB">
            <w:pPr>
              <w:pStyle w:val="ae"/>
              <w:rPr>
                <w:b w:val="0"/>
                <w:bCs/>
              </w:rPr>
            </w:pPr>
          </w:p>
        </w:tc>
        <w:tc>
          <w:tcPr>
            <w:tcW w:w="3263" w:type="pct"/>
            <w:shd w:val="clear" w:color="auto" w:fill="auto"/>
            <w:vAlign w:val="center"/>
            <w:hideMark/>
          </w:tcPr>
          <w:p w14:paraId="5BFB369B" w14:textId="77777777" w:rsidR="00913C78" w:rsidRPr="00725EEB" w:rsidRDefault="00913C78" w:rsidP="00725EEB">
            <w:pPr>
              <w:pStyle w:val="ae"/>
              <w:jc w:val="left"/>
              <w:rPr>
                <w:b w:val="0"/>
                <w:bCs/>
              </w:rPr>
            </w:pPr>
            <w:r w:rsidRPr="00725EEB">
              <w:rPr>
                <w:rFonts w:hint="eastAsia"/>
                <w:b w:val="0"/>
                <w:bCs/>
              </w:rPr>
              <w:t>门窗开口面积</w:t>
            </w:r>
            <w:r w:rsidRPr="00725EEB">
              <w:rPr>
                <w:b w:val="0"/>
                <w:bCs/>
              </w:rPr>
              <w:t>及开启情况</w:t>
            </w:r>
            <w:r w:rsidRPr="00725EEB">
              <w:rPr>
                <w:rFonts w:hint="eastAsia"/>
                <w:b w:val="0"/>
                <w:bCs/>
              </w:rPr>
              <w:t>按</w:t>
            </w:r>
            <w:r w:rsidRPr="00725EEB">
              <w:rPr>
                <w:b w:val="0"/>
                <w:bCs/>
              </w:rPr>
              <w:t>实际情况进行建模</w:t>
            </w:r>
          </w:p>
        </w:tc>
        <w:tc>
          <w:tcPr>
            <w:tcW w:w="678" w:type="pct"/>
            <w:shd w:val="clear" w:color="auto" w:fill="auto"/>
            <w:vAlign w:val="center"/>
            <w:hideMark/>
          </w:tcPr>
          <w:p w14:paraId="4F6ABEE3" w14:textId="77777777" w:rsidR="00913C78" w:rsidRPr="00725EEB" w:rsidRDefault="00913C78" w:rsidP="00725EEB">
            <w:pPr>
              <w:pStyle w:val="ae"/>
              <w:rPr>
                <w:b w:val="0"/>
                <w:bCs/>
              </w:rPr>
            </w:pPr>
          </w:p>
        </w:tc>
      </w:tr>
      <w:tr w:rsidR="00913C78" w:rsidRPr="00913C78" w14:paraId="2F82E837" w14:textId="77777777" w:rsidTr="00E731D0">
        <w:trPr>
          <w:jc w:val="center"/>
        </w:trPr>
        <w:tc>
          <w:tcPr>
            <w:tcW w:w="328" w:type="pct"/>
            <w:vMerge/>
            <w:shd w:val="clear" w:color="auto" w:fill="auto"/>
            <w:vAlign w:val="center"/>
          </w:tcPr>
          <w:p w14:paraId="593CCC1F" w14:textId="77777777" w:rsidR="00913C78" w:rsidRPr="00725EEB" w:rsidRDefault="00913C78" w:rsidP="00725EEB">
            <w:pPr>
              <w:pStyle w:val="ae"/>
              <w:rPr>
                <w:b w:val="0"/>
                <w:bCs/>
              </w:rPr>
            </w:pPr>
          </w:p>
        </w:tc>
        <w:tc>
          <w:tcPr>
            <w:tcW w:w="731" w:type="pct"/>
            <w:vMerge/>
            <w:shd w:val="clear" w:color="auto" w:fill="auto"/>
            <w:vAlign w:val="center"/>
          </w:tcPr>
          <w:p w14:paraId="0C6FA8D1" w14:textId="77777777" w:rsidR="00913C78" w:rsidRPr="00725EEB" w:rsidRDefault="00913C78" w:rsidP="00725EEB">
            <w:pPr>
              <w:pStyle w:val="ae"/>
              <w:rPr>
                <w:b w:val="0"/>
                <w:bCs/>
              </w:rPr>
            </w:pPr>
          </w:p>
        </w:tc>
        <w:tc>
          <w:tcPr>
            <w:tcW w:w="3263" w:type="pct"/>
            <w:shd w:val="clear" w:color="auto" w:fill="auto"/>
            <w:vAlign w:val="center"/>
          </w:tcPr>
          <w:p w14:paraId="32AC0E74" w14:textId="77777777" w:rsidR="00913C78" w:rsidRPr="00725EEB" w:rsidRDefault="00913C78" w:rsidP="00725EEB">
            <w:pPr>
              <w:pStyle w:val="ae"/>
              <w:jc w:val="left"/>
              <w:rPr>
                <w:b w:val="0"/>
                <w:bCs/>
              </w:rPr>
            </w:pPr>
            <w:r w:rsidRPr="00725EEB">
              <w:rPr>
                <w:rFonts w:hint="eastAsia"/>
                <w:b w:val="0"/>
                <w:bCs/>
              </w:rPr>
              <w:t>建模对象包含室内空间的所有室内隔断</w:t>
            </w:r>
          </w:p>
        </w:tc>
        <w:tc>
          <w:tcPr>
            <w:tcW w:w="678" w:type="pct"/>
            <w:shd w:val="clear" w:color="auto" w:fill="auto"/>
            <w:vAlign w:val="center"/>
          </w:tcPr>
          <w:p w14:paraId="0DB33848" w14:textId="77777777" w:rsidR="00913C78" w:rsidRPr="00725EEB" w:rsidRDefault="00913C78" w:rsidP="00725EEB">
            <w:pPr>
              <w:pStyle w:val="ae"/>
              <w:rPr>
                <w:b w:val="0"/>
                <w:bCs/>
              </w:rPr>
            </w:pPr>
          </w:p>
        </w:tc>
      </w:tr>
      <w:tr w:rsidR="00913C78" w:rsidRPr="00913C78" w14:paraId="678B84C7" w14:textId="77777777" w:rsidTr="00E731D0">
        <w:trPr>
          <w:jc w:val="center"/>
        </w:trPr>
        <w:tc>
          <w:tcPr>
            <w:tcW w:w="328" w:type="pct"/>
            <w:vMerge w:val="restart"/>
            <w:shd w:val="clear" w:color="auto" w:fill="auto"/>
            <w:vAlign w:val="center"/>
          </w:tcPr>
          <w:p w14:paraId="4C135973" w14:textId="77777777" w:rsidR="00913C78" w:rsidRPr="00725EEB" w:rsidRDefault="00913C78" w:rsidP="00725EEB">
            <w:pPr>
              <w:pStyle w:val="ae"/>
              <w:rPr>
                <w:b w:val="0"/>
                <w:bCs/>
              </w:rPr>
            </w:pPr>
            <w:r w:rsidRPr="00725EEB">
              <w:rPr>
                <w:rFonts w:hint="eastAsia"/>
                <w:b w:val="0"/>
                <w:bCs/>
              </w:rPr>
              <w:t>6</w:t>
            </w:r>
          </w:p>
        </w:tc>
        <w:tc>
          <w:tcPr>
            <w:tcW w:w="731" w:type="pct"/>
            <w:vMerge w:val="restart"/>
            <w:shd w:val="clear" w:color="auto" w:fill="auto"/>
            <w:vAlign w:val="center"/>
            <w:hideMark/>
          </w:tcPr>
          <w:p w14:paraId="1D5B77F5" w14:textId="77777777" w:rsidR="00913C78" w:rsidRPr="00725EEB" w:rsidRDefault="00913C78" w:rsidP="00725EEB">
            <w:pPr>
              <w:pStyle w:val="ae"/>
              <w:rPr>
                <w:b w:val="0"/>
                <w:bCs/>
              </w:rPr>
            </w:pPr>
            <w:r w:rsidRPr="00725EEB">
              <w:rPr>
                <w:rFonts w:hint="eastAsia"/>
                <w:b w:val="0"/>
                <w:bCs/>
              </w:rPr>
              <w:t>计算区域</w:t>
            </w:r>
          </w:p>
        </w:tc>
        <w:tc>
          <w:tcPr>
            <w:tcW w:w="3263" w:type="pct"/>
            <w:shd w:val="clear" w:color="auto" w:fill="auto"/>
            <w:vAlign w:val="center"/>
            <w:hideMark/>
          </w:tcPr>
          <w:p w14:paraId="5915AA0D" w14:textId="77777777" w:rsidR="00913C78" w:rsidRPr="00725EEB" w:rsidRDefault="00913C78" w:rsidP="00725EEB">
            <w:pPr>
              <w:pStyle w:val="ae"/>
              <w:jc w:val="left"/>
              <w:rPr>
                <w:b w:val="0"/>
                <w:bCs/>
              </w:rPr>
            </w:pPr>
            <w:r w:rsidRPr="00725EEB">
              <w:rPr>
                <w:rFonts w:hint="eastAsia"/>
                <w:b w:val="0"/>
                <w:bCs/>
              </w:rPr>
              <w:t>室内模拟计算域边界为目标建筑外围护结构</w:t>
            </w:r>
          </w:p>
        </w:tc>
        <w:tc>
          <w:tcPr>
            <w:tcW w:w="678" w:type="pct"/>
            <w:shd w:val="clear" w:color="auto" w:fill="auto"/>
            <w:vAlign w:val="center"/>
            <w:hideMark/>
          </w:tcPr>
          <w:p w14:paraId="2F298978" w14:textId="77777777" w:rsidR="00913C78" w:rsidRPr="00725EEB" w:rsidRDefault="00913C78" w:rsidP="00725EEB">
            <w:pPr>
              <w:pStyle w:val="ae"/>
              <w:rPr>
                <w:b w:val="0"/>
                <w:bCs/>
              </w:rPr>
            </w:pPr>
          </w:p>
        </w:tc>
      </w:tr>
      <w:tr w:rsidR="00913C78" w:rsidRPr="00913C78" w14:paraId="2A03E9CF" w14:textId="77777777" w:rsidTr="00E731D0">
        <w:trPr>
          <w:jc w:val="center"/>
        </w:trPr>
        <w:tc>
          <w:tcPr>
            <w:tcW w:w="328" w:type="pct"/>
            <w:vMerge/>
            <w:shd w:val="clear" w:color="auto" w:fill="auto"/>
            <w:vAlign w:val="center"/>
          </w:tcPr>
          <w:p w14:paraId="6E71AB5E" w14:textId="77777777" w:rsidR="00913C78" w:rsidRPr="00725EEB" w:rsidRDefault="00913C78" w:rsidP="00725EEB">
            <w:pPr>
              <w:pStyle w:val="ae"/>
              <w:rPr>
                <w:b w:val="0"/>
                <w:bCs/>
              </w:rPr>
            </w:pPr>
          </w:p>
        </w:tc>
        <w:tc>
          <w:tcPr>
            <w:tcW w:w="731" w:type="pct"/>
            <w:vMerge/>
            <w:shd w:val="clear" w:color="auto" w:fill="auto"/>
            <w:vAlign w:val="center"/>
            <w:hideMark/>
          </w:tcPr>
          <w:p w14:paraId="19C836A1" w14:textId="77777777" w:rsidR="00913C78" w:rsidRPr="00725EEB" w:rsidRDefault="00913C78" w:rsidP="00725EEB">
            <w:pPr>
              <w:pStyle w:val="ae"/>
              <w:rPr>
                <w:b w:val="0"/>
                <w:bCs/>
              </w:rPr>
            </w:pPr>
          </w:p>
        </w:tc>
        <w:tc>
          <w:tcPr>
            <w:tcW w:w="3263" w:type="pct"/>
            <w:shd w:val="clear" w:color="auto" w:fill="auto"/>
            <w:vAlign w:val="center"/>
            <w:hideMark/>
          </w:tcPr>
          <w:p w14:paraId="30E46D2B" w14:textId="77777777" w:rsidR="00913C78" w:rsidRPr="00725EEB" w:rsidRDefault="00913C78" w:rsidP="00725EEB">
            <w:pPr>
              <w:pStyle w:val="ae"/>
              <w:jc w:val="left"/>
              <w:rPr>
                <w:b w:val="0"/>
                <w:bCs/>
              </w:rPr>
            </w:pPr>
            <w:r w:rsidRPr="00725EEB">
              <w:rPr>
                <w:rFonts w:hint="eastAsia"/>
                <w:b w:val="0"/>
                <w:bCs/>
              </w:rPr>
              <w:t>除了附属空间或避难所，其他所有的住区或功能区都被考虑</w:t>
            </w:r>
          </w:p>
        </w:tc>
        <w:tc>
          <w:tcPr>
            <w:tcW w:w="678" w:type="pct"/>
            <w:shd w:val="clear" w:color="auto" w:fill="auto"/>
            <w:vAlign w:val="center"/>
            <w:hideMark/>
          </w:tcPr>
          <w:p w14:paraId="463CEAAE" w14:textId="77777777" w:rsidR="00913C78" w:rsidRPr="00725EEB" w:rsidRDefault="00913C78" w:rsidP="00725EEB">
            <w:pPr>
              <w:pStyle w:val="ae"/>
              <w:rPr>
                <w:b w:val="0"/>
                <w:bCs/>
              </w:rPr>
            </w:pPr>
          </w:p>
        </w:tc>
      </w:tr>
      <w:tr w:rsidR="00913C78" w:rsidRPr="00913C78" w14:paraId="10B3EEA2" w14:textId="77777777" w:rsidTr="00E731D0">
        <w:trPr>
          <w:jc w:val="center"/>
        </w:trPr>
        <w:tc>
          <w:tcPr>
            <w:tcW w:w="328" w:type="pct"/>
            <w:vMerge w:val="restart"/>
            <w:shd w:val="clear" w:color="auto" w:fill="auto"/>
            <w:vAlign w:val="center"/>
          </w:tcPr>
          <w:p w14:paraId="732D6072" w14:textId="77777777" w:rsidR="00913C78" w:rsidRPr="00725EEB" w:rsidRDefault="00913C78" w:rsidP="00725EEB">
            <w:pPr>
              <w:pStyle w:val="ae"/>
              <w:rPr>
                <w:b w:val="0"/>
                <w:bCs/>
              </w:rPr>
            </w:pPr>
            <w:r w:rsidRPr="00725EEB">
              <w:rPr>
                <w:rFonts w:hint="eastAsia"/>
                <w:b w:val="0"/>
                <w:bCs/>
              </w:rPr>
              <w:t>7</w:t>
            </w:r>
          </w:p>
        </w:tc>
        <w:tc>
          <w:tcPr>
            <w:tcW w:w="731" w:type="pct"/>
            <w:vMerge w:val="restart"/>
            <w:shd w:val="clear" w:color="auto" w:fill="auto"/>
            <w:vAlign w:val="center"/>
            <w:hideMark/>
          </w:tcPr>
          <w:p w14:paraId="2ED9E2BC" w14:textId="77777777" w:rsidR="00913C78" w:rsidRPr="00725EEB" w:rsidRDefault="00913C78" w:rsidP="00725EEB">
            <w:pPr>
              <w:pStyle w:val="ae"/>
              <w:rPr>
                <w:b w:val="0"/>
                <w:bCs/>
              </w:rPr>
            </w:pPr>
            <w:r w:rsidRPr="00725EEB">
              <w:rPr>
                <w:rFonts w:hint="eastAsia"/>
                <w:b w:val="0"/>
                <w:bCs/>
              </w:rPr>
              <w:t>网格划分</w:t>
            </w:r>
          </w:p>
        </w:tc>
        <w:tc>
          <w:tcPr>
            <w:tcW w:w="3263" w:type="pct"/>
            <w:shd w:val="clear" w:color="auto" w:fill="auto"/>
            <w:vAlign w:val="center"/>
            <w:hideMark/>
          </w:tcPr>
          <w:p w14:paraId="77DC20BB" w14:textId="77777777" w:rsidR="00913C78" w:rsidRPr="00725EEB" w:rsidRDefault="00913C78" w:rsidP="00725EEB">
            <w:pPr>
              <w:pStyle w:val="ae"/>
              <w:jc w:val="left"/>
              <w:rPr>
                <w:b w:val="0"/>
                <w:bCs/>
              </w:rPr>
            </w:pPr>
            <w:r w:rsidRPr="00725EEB">
              <w:rPr>
                <w:rFonts w:hint="eastAsia"/>
                <w:b w:val="0"/>
                <w:bCs/>
              </w:rPr>
              <w:t>室内的网格能反映所有显著阻隔通风的室内设施，网格过渡比不宜大于</w:t>
            </w:r>
            <w:r w:rsidRPr="00725EEB">
              <w:rPr>
                <w:rFonts w:hint="eastAsia"/>
                <w:b w:val="0"/>
                <w:bCs/>
              </w:rPr>
              <w:t>2</w:t>
            </w:r>
          </w:p>
        </w:tc>
        <w:tc>
          <w:tcPr>
            <w:tcW w:w="678" w:type="pct"/>
            <w:shd w:val="clear" w:color="auto" w:fill="auto"/>
            <w:vAlign w:val="center"/>
            <w:hideMark/>
          </w:tcPr>
          <w:p w14:paraId="52E0AF5A" w14:textId="77777777" w:rsidR="00913C78" w:rsidRPr="00725EEB" w:rsidRDefault="00913C78" w:rsidP="00725EEB">
            <w:pPr>
              <w:pStyle w:val="ae"/>
              <w:rPr>
                <w:b w:val="0"/>
                <w:bCs/>
              </w:rPr>
            </w:pPr>
          </w:p>
        </w:tc>
      </w:tr>
      <w:tr w:rsidR="00913C78" w:rsidRPr="00913C78" w14:paraId="32B38A7A" w14:textId="77777777" w:rsidTr="00E731D0">
        <w:trPr>
          <w:jc w:val="center"/>
        </w:trPr>
        <w:tc>
          <w:tcPr>
            <w:tcW w:w="328" w:type="pct"/>
            <w:vMerge/>
            <w:shd w:val="clear" w:color="auto" w:fill="auto"/>
            <w:vAlign w:val="center"/>
          </w:tcPr>
          <w:p w14:paraId="61D675A5" w14:textId="77777777" w:rsidR="00913C78" w:rsidRPr="00725EEB" w:rsidRDefault="00913C78" w:rsidP="00725EEB">
            <w:pPr>
              <w:pStyle w:val="ae"/>
              <w:rPr>
                <w:b w:val="0"/>
                <w:bCs/>
              </w:rPr>
            </w:pPr>
          </w:p>
        </w:tc>
        <w:tc>
          <w:tcPr>
            <w:tcW w:w="731" w:type="pct"/>
            <w:vMerge/>
            <w:shd w:val="clear" w:color="auto" w:fill="auto"/>
            <w:vAlign w:val="center"/>
            <w:hideMark/>
          </w:tcPr>
          <w:p w14:paraId="7B6C2F01" w14:textId="77777777" w:rsidR="00913C78" w:rsidRPr="00725EEB" w:rsidRDefault="00913C78" w:rsidP="00725EEB">
            <w:pPr>
              <w:pStyle w:val="ae"/>
              <w:rPr>
                <w:b w:val="0"/>
                <w:bCs/>
              </w:rPr>
            </w:pPr>
          </w:p>
        </w:tc>
        <w:tc>
          <w:tcPr>
            <w:tcW w:w="3263" w:type="pct"/>
            <w:shd w:val="clear" w:color="auto" w:fill="auto"/>
            <w:vAlign w:val="center"/>
            <w:hideMark/>
          </w:tcPr>
          <w:p w14:paraId="00542111" w14:textId="77777777" w:rsidR="00913C78" w:rsidRPr="00725EEB" w:rsidRDefault="00913C78" w:rsidP="00725EEB">
            <w:pPr>
              <w:pStyle w:val="ae"/>
              <w:jc w:val="left"/>
              <w:rPr>
                <w:b w:val="0"/>
                <w:bCs/>
              </w:rPr>
            </w:pPr>
            <w:r w:rsidRPr="00725EEB">
              <w:rPr>
                <w:rFonts w:hint="eastAsia"/>
                <w:b w:val="0"/>
                <w:bCs/>
              </w:rPr>
              <w:t>水平面最小网格尺寸不大于内墙厚度，内墙内至少一个网格，网格纵横比不大于</w:t>
            </w:r>
            <w:r w:rsidRPr="00725EEB">
              <w:rPr>
                <w:rFonts w:hint="eastAsia"/>
                <w:b w:val="0"/>
                <w:bCs/>
              </w:rPr>
              <w:t>3</w:t>
            </w:r>
            <w:r w:rsidRPr="00725EEB">
              <w:rPr>
                <w:rFonts w:hint="eastAsia"/>
                <w:b w:val="0"/>
                <w:bCs/>
              </w:rPr>
              <w:t>且不小于</w:t>
            </w:r>
            <w:r w:rsidRPr="00725EEB">
              <w:rPr>
                <w:rFonts w:hint="eastAsia"/>
                <w:b w:val="0"/>
                <w:bCs/>
              </w:rPr>
              <w:t>1/3</w:t>
            </w:r>
            <w:r w:rsidRPr="00725EEB">
              <w:rPr>
                <w:rFonts w:hint="eastAsia"/>
                <w:b w:val="0"/>
                <w:bCs/>
              </w:rPr>
              <w:t>；垂直方向网格纵横比不大于</w:t>
            </w:r>
            <w:r w:rsidRPr="00725EEB">
              <w:rPr>
                <w:rFonts w:hint="eastAsia"/>
                <w:b w:val="0"/>
                <w:bCs/>
              </w:rPr>
              <w:t>3</w:t>
            </w:r>
            <w:r w:rsidRPr="00725EEB">
              <w:rPr>
                <w:rFonts w:hint="eastAsia"/>
                <w:b w:val="0"/>
                <w:bCs/>
              </w:rPr>
              <w:t>且不小于</w:t>
            </w:r>
            <w:r w:rsidRPr="00725EEB">
              <w:rPr>
                <w:rFonts w:hint="eastAsia"/>
                <w:b w:val="0"/>
                <w:bCs/>
              </w:rPr>
              <w:t>1/3</w:t>
            </w:r>
            <w:r w:rsidRPr="00725EEB">
              <w:rPr>
                <w:rFonts w:hint="eastAsia"/>
                <w:b w:val="0"/>
                <w:bCs/>
              </w:rPr>
              <w:t>，一般网格数不低于</w:t>
            </w:r>
            <w:r w:rsidRPr="00725EEB">
              <w:rPr>
                <w:rFonts w:hint="eastAsia"/>
                <w:b w:val="0"/>
                <w:bCs/>
              </w:rPr>
              <w:t>10</w:t>
            </w:r>
          </w:p>
        </w:tc>
        <w:tc>
          <w:tcPr>
            <w:tcW w:w="678" w:type="pct"/>
            <w:shd w:val="clear" w:color="auto" w:fill="auto"/>
            <w:vAlign w:val="center"/>
            <w:hideMark/>
          </w:tcPr>
          <w:p w14:paraId="36854BA3" w14:textId="77777777" w:rsidR="00913C78" w:rsidRPr="00725EEB" w:rsidRDefault="00913C78" w:rsidP="00725EEB">
            <w:pPr>
              <w:pStyle w:val="ae"/>
              <w:rPr>
                <w:b w:val="0"/>
                <w:bCs/>
              </w:rPr>
            </w:pPr>
          </w:p>
        </w:tc>
      </w:tr>
      <w:tr w:rsidR="00913C78" w:rsidRPr="00913C78" w14:paraId="77B84A4A" w14:textId="77777777" w:rsidTr="00E731D0">
        <w:trPr>
          <w:jc w:val="center"/>
        </w:trPr>
        <w:tc>
          <w:tcPr>
            <w:tcW w:w="328" w:type="pct"/>
            <w:vMerge/>
            <w:shd w:val="clear" w:color="auto" w:fill="auto"/>
            <w:vAlign w:val="center"/>
          </w:tcPr>
          <w:p w14:paraId="2CD43F84" w14:textId="77777777" w:rsidR="00913C78" w:rsidRPr="00725EEB" w:rsidRDefault="00913C78" w:rsidP="00725EEB">
            <w:pPr>
              <w:pStyle w:val="ae"/>
              <w:rPr>
                <w:b w:val="0"/>
                <w:bCs/>
              </w:rPr>
            </w:pPr>
          </w:p>
        </w:tc>
        <w:tc>
          <w:tcPr>
            <w:tcW w:w="731" w:type="pct"/>
            <w:vMerge/>
            <w:shd w:val="clear" w:color="auto" w:fill="auto"/>
            <w:vAlign w:val="center"/>
            <w:hideMark/>
          </w:tcPr>
          <w:p w14:paraId="65957295" w14:textId="77777777" w:rsidR="00913C78" w:rsidRPr="00725EEB" w:rsidRDefault="00913C78" w:rsidP="00725EEB">
            <w:pPr>
              <w:pStyle w:val="ae"/>
              <w:rPr>
                <w:b w:val="0"/>
                <w:bCs/>
              </w:rPr>
            </w:pPr>
          </w:p>
        </w:tc>
        <w:tc>
          <w:tcPr>
            <w:tcW w:w="3263" w:type="pct"/>
            <w:shd w:val="clear" w:color="auto" w:fill="auto"/>
            <w:vAlign w:val="center"/>
            <w:hideMark/>
          </w:tcPr>
          <w:p w14:paraId="3159B0D8" w14:textId="77777777" w:rsidR="00913C78" w:rsidRPr="00725EEB" w:rsidRDefault="00913C78" w:rsidP="00725EEB">
            <w:pPr>
              <w:pStyle w:val="ae"/>
              <w:jc w:val="left"/>
              <w:rPr>
                <w:b w:val="0"/>
                <w:bCs/>
              </w:rPr>
            </w:pPr>
            <w:r w:rsidRPr="00725EEB">
              <w:rPr>
                <w:rFonts w:hint="eastAsia"/>
                <w:b w:val="0"/>
                <w:bCs/>
              </w:rPr>
              <w:t>一般门窗实际可开启部分网格至少</w:t>
            </w:r>
            <w:r w:rsidRPr="00725EEB">
              <w:rPr>
                <w:rFonts w:hint="eastAsia"/>
                <w:b w:val="0"/>
                <w:bCs/>
              </w:rPr>
              <w:t>4</w:t>
            </w:r>
            <w:r w:rsidRPr="00725EEB">
              <w:rPr>
                <w:rFonts w:hint="eastAsia"/>
                <w:b w:val="0"/>
                <w:bCs/>
              </w:rPr>
              <w:t>个</w:t>
            </w:r>
          </w:p>
        </w:tc>
        <w:tc>
          <w:tcPr>
            <w:tcW w:w="678" w:type="pct"/>
            <w:shd w:val="clear" w:color="auto" w:fill="auto"/>
            <w:vAlign w:val="center"/>
            <w:hideMark/>
          </w:tcPr>
          <w:p w14:paraId="58E22BD4" w14:textId="77777777" w:rsidR="00913C78" w:rsidRPr="00725EEB" w:rsidRDefault="00913C78" w:rsidP="00725EEB">
            <w:pPr>
              <w:pStyle w:val="ae"/>
              <w:rPr>
                <w:b w:val="0"/>
                <w:bCs/>
              </w:rPr>
            </w:pPr>
          </w:p>
        </w:tc>
      </w:tr>
      <w:tr w:rsidR="00913C78" w:rsidRPr="00913C78" w14:paraId="06C9D91E" w14:textId="77777777" w:rsidTr="00E731D0">
        <w:trPr>
          <w:jc w:val="center"/>
        </w:trPr>
        <w:tc>
          <w:tcPr>
            <w:tcW w:w="328" w:type="pct"/>
            <w:vMerge/>
            <w:shd w:val="clear" w:color="auto" w:fill="auto"/>
            <w:vAlign w:val="center"/>
          </w:tcPr>
          <w:p w14:paraId="7406F6C2" w14:textId="77777777" w:rsidR="00913C78" w:rsidRPr="00725EEB" w:rsidRDefault="00913C78" w:rsidP="00725EEB">
            <w:pPr>
              <w:pStyle w:val="ae"/>
              <w:rPr>
                <w:b w:val="0"/>
                <w:bCs/>
              </w:rPr>
            </w:pPr>
          </w:p>
        </w:tc>
        <w:tc>
          <w:tcPr>
            <w:tcW w:w="731" w:type="pct"/>
            <w:vMerge/>
            <w:shd w:val="clear" w:color="auto" w:fill="auto"/>
            <w:vAlign w:val="center"/>
          </w:tcPr>
          <w:p w14:paraId="4A3576AC" w14:textId="77777777" w:rsidR="00913C78" w:rsidRPr="00725EEB" w:rsidRDefault="00913C78" w:rsidP="00725EEB">
            <w:pPr>
              <w:pStyle w:val="ae"/>
              <w:rPr>
                <w:b w:val="0"/>
                <w:bCs/>
              </w:rPr>
            </w:pPr>
          </w:p>
        </w:tc>
        <w:tc>
          <w:tcPr>
            <w:tcW w:w="3263" w:type="pct"/>
            <w:shd w:val="clear" w:color="auto" w:fill="auto"/>
            <w:vAlign w:val="center"/>
          </w:tcPr>
          <w:p w14:paraId="00168A9E" w14:textId="77777777" w:rsidR="00913C78" w:rsidRPr="00725EEB" w:rsidRDefault="00913C78" w:rsidP="00725EEB">
            <w:pPr>
              <w:pStyle w:val="ae"/>
              <w:jc w:val="left"/>
              <w:rPr>
                <w:b w:val="0"/>
                <w:bCs/>
              </w:rPr>
            </w:pPr>
            <w:r w:rsidRPr="00725EEB">
              <w:rPr>
                <w:rFonts w:hint="eastAsia"/>
                <w:b w:val="0"/>
                <w:bCs/>
              </w:rPr>
              <w:t>对于抽象出来的厚度为零的内墙和外墙，其内墙和外墙能被识别</w:t>
            </w:r>
          </w:p>
        </w:tc>
        <w:tc>
          <w:tcPr>
            <w:tcW w:w="678" w:type="pct"/>
            <w:shd w:val="clear" w:color="auto" w:fill="auto"/>
            <w:vAlign w:val="center"/>
          </w:tcPr>
          <w:p w14:paraId="7BD0729D" w14:textId="77777777" w:rsidR="00913C78" w:rsidRPr="00725EEB" w:rsidRDefault="00913C78" w:rsidP="00725EEB">
            <w:pPr>
              <w:pStyle w:val="ae"/>
              <w:rPr>
                <w:b w:val="0"/>
                <w:bCs/>
              </w:rPr>
            </w:pPr>
          </w:p>
        </w:tc>
      </w:tr>
      <w:tr w:rsidR="00913C78" w:rsidRPr="00913C78" w14:paraId="1448E322" w14:textId="77777777" w:rsidTr="00E731D0">
        <w:trPr>
          <w:jc w:val="center"/>
        </w:trPr>
        <w:tc>
          <w:tcPr>
            <w:tcW w:w="328" w:type="pct"/>
            <w:vMerge w:val="restart"/>
            <w:shd w:val="clear" w:color="auto" w:fill="auto"/>
            <w:vAlign w:val="center"/>
          </w:tcPr>
          <w:p w14:paraId="089AFA31" w14:textId="77777777" w:rsidR="00913C78" w:rsidRPr="00725EEB" w:rsidRDefault="00913C78" w:rsidP="00725EEB">
            <w:pPr>
              <w:pStyle w:val="ae"/>
              <w:rPr>
                <w:b w:val="0"/>
                <w:bCs/>
              </w:rPr>
            </w:pPr>
            <w:r w:rsidRPr="00725EEB">
              <w:rPr>
                <w:rFonts w:hint="eastAsia"/>
                <w:b w:val="0"/>
                <w:bCs/>
              </w:rPr>
              <w:t>8</w:t>
            </w:r>
          </w:p>
        </w:tc>
        <w:tc>
          <w:tcPr>
            <w:tcW w:w="731" w:type="pct"/>
            <w:vMerge w:val="restart"/>
            <w:shd w:val="clear" w:color="auto" w:fill="auto"/>
            <w:vAlign w:val="center"/>
            <w:hideMark/>
          </w:tcPr>
          <w:p w14:paraId="3C7CD64F" w14:textId="77777777" w:rsidR="00913C78" w:rsidRPr="00725EEB" w:rsidRDefault="00913C78" w:rsidP="00725EEB">
            <w:pPr>
              <w:pStyle w:val="ae"/>
              <w:rPr>
                <w:b w:val="0"/>
                <w:bCs/>
              </w:rPr>
            </w:pPr>
            <w:r w:rsidRPr="00725EEB">
              <w:rPr>
                <w:rFonts w:hint="eastAsia"/>
                <w:b w:val="0"/>
                <w:bCs/>
              </w:rPr>
              <w:t>边界条件</w:t>
            </w:r>
          </w:p>
        </w:tc>
        <w:tc>
          <w:tcPr>
            <w:tcW w:w="3263" w:type="pct"/>
            <w:shd w:val="clear" w:color="auto" w:fill="auto"/>
            <w:vAlign w:val="center"/>
          </w:tcPr>
          <w:p w14:paraId="1C366A7F" w14:textId="77777777" w:rsidR="00913C78" w:rsidRPr="00725EEB" w:rsidRDefault="00913C78" w:rsidP="00725EEB">
            <w:pPr>
              <w:pStyle w:val="ae"/>
              <w:jc w:val="left"/>
              <w:rPr>
                <w:b w:val="0"/>
                <w:bCs/>
              </w:rPr>
            </w:pPr>
            <w:r w:rsidRPr="00725EEB">
              <w:rPr>
                <w:rFonts w:hint="eastAsia"/>
                <w:b w:val="0"/>
                <w:bCs/>
              </w:rPr>
              <w:t>数值分析在当地年平均气象参数的等温线条件和稳态条件下</w:t>
            </w:r>
            <w:r w:rsidRPr="00725EEB">
              <w:rPr>
                <w:rFonts w:hint="eastAsia"/>
                <w:b w:val="0"/>
                <w:bCs/>
              </w:rPr>
              <w:lastRenderedPageBreak/>
              <w:t>进行</w:t>
            </w:r>
          </w:p>
        </w:tc>
        <w:tc>
          <w:tcPr>
            <w:tcW w:w="678" w:type="pct"/>
            <w:shd w:val="clear" w:color="auto" w:fill="auto"/>
            <w:vAlign w:val="center"/>
            <w:hideMark/>
          </w:tcPr>
          <w:p w14:paraId="6EA03CC9" w14:textId="77777777" w:rsidR="00913C78" w:rsidRPr="00725EEB" w:rsidRDefault="00913C78" w:rsidP="00725EEB">
            <w:pPr>
              <w:pStyle w:val="ae"/>
              <w:rPr>
                <w:b w:val="0"/>
                <w:bCs/>
              </w:rPr>
            </w:pPr>
          </w:p>
        </w:tc>
      </w:tr>
      <w:tr w:rsidR="00913C78" w:rsidRPr="00913C78" w14:paraId="06D63240" w14:textId="77777777" w:rsidTr="00E731D0">
        <w:trPr>
          <w:jc w:val="center"/>
        </w:trPr>
        <w:tc>
          <w:tcPr>
            <w:tcW w:w="328" w:type="pct"/>
            <w:vMerge/>
            <w:shd w:val="clear" w:color="auto" w:fill="auto"/>
            <w:vAlign w:val="center"/>
          </w:tcPr>
          <w:p w14:paraId="4B3E496C" w14:textId="77777777" w:rsidR="00913C78" w:rsidRPr="00725EEB" w:rsidRDefault="00913C78" w:rsidP="00725EEB">
            <w:pPr>
              <w:pStyle w:val="ae"/>
              <w:rPr>
                <w:b w:val="0"/>
                <w:bCs/>
              </w:rPr>
            </w:pPr>
          </w:p>
        </w:tc>
        <w:tc>
          <w:tcPr>
            <w:tcW w:w="731" w:type="pct"/>
            <w:vMerge/>
            <w:shd w:val="clear" w:color="auto" w:fill="auto"/>
            <w:vAlign w:val="center"/>
            <w:hideMark/>
          </w:tcPr>
          <w:p w14:paraId="2F93854F" w14:textId="77777777" w:rsidR="00913C78" w:rsidRPr="00725EEB" w:rsidRDefault="00913C78" w:rsidP="00725EEB">
            <w:pPr>
              <w:pStyle w:val="ae"/>
              <w:rPr>
                <w:b w:val="0"/>
                <w:bCs/>
              </w:rPr>
            </w:pPr>
          </w:p>
        </w:tc>
        <w:tc>
          <w:tcPr>
            <w:tcW w:w="3263" w:type="pct"/>
            <w:shd w:val="clear" w:color="auto" w:fill="auto"/>
            <w:vAlign w:val="center"/>
          </w:tcPr>
          <w:p w14:paraId="496DEFB4" w14:textId="77777777" w:rsidR="00913C78" w:rsidRPr="00725EEB" w:rsidRDefault="00913C78" w:rsidP="00725EEB">
            <w:pPr>
              <w:pStyle w:val="ae"/>
              <w:jc w:val="left"/>
              <w:rPr>
                <w:b w:val="0"/>
                <w:bCs/>
              </w:rPr>
            </w:pPr>
            <w:r w:rsidRPr="00725EEB">
              <w:rPr>
                <w:rFonts w:hint="eastAsia"/>
                <w:b w:val="0"/>
                <w:bCs/>
              </w:rPr>
              <w:t>室内风环境模型应在室外空气绝热条件下完成</w:t>
            </w:r>
          </w:p>
        </w:tc>
        <w:tc>
          <w:tcPr>
            <w:tcW w:w="678" w:type="pct"/>
            <w:shd w:val="clear" w:color="auto" w:fill="auto"/>
            <w:vAlign w:val="center"/>
            <w:hideMark/>
          </w:tcPr>
          <w:p w14:paraId="1991BB96" w14:textId="77777777" w:rsidR="00913C78" w:rsidRPr="00725EEB" w:rsidRDefault="00913C78" w:rsidP="00725EEB">
            <w:pPr>
              <w:pStyle w:val="ae"/>
              <w:rPr>
                <w:b w:val="0"/>
                <w:bCs/>
              </w:rPr>
            </w:pPr>
          </w:p>
        </w:tc>
      </w:tr>
      <w:tr w:rsidR="00913C78" w:rsidRPr="00913C78" w14:paraId="68DD2006" w14:textId="77777777" w:rsidTr="00E731D0">
        <w:trPr>
          <w:jc w:val="center"/>
        </w:trPr>
        <w:tc>
          <w:tcPr>
            <w:tcW w:w="328" w:type="pct"/>
            <w:vMerge/>
            <w:shd w:val="clear" w:color="auto" w:fill="auto"/>
            <w:vAlign w:val="center"/>
          </w:tcPr>
          <w:p w14:paraId="62528309" w14:textId="77777777" w:rsidR="00913C78" w:rsidRPr="00725EEB" w:rsidRDefault="00913C78" w:rsidP="00725EEB">
            <w:pPr>
              <w:pStyle w:val="ae"/>
              <w:rPr>
                <w:b w:val="0"/>
                <w:bCs/>
              </w:rPr>
            </w:pPr>
          </w:p>
        </w:tc>
        <w:tc>
          <w:tcPr>
            <w:tcW w:w="731" w:type="pct"/>
            <w:vMerge/>
            <w:shd w:val="clear" w:color="auto" w:fill="auto"/>
            <w:vAlign w:val="center"/>
            <w:hideMark/>
          </w:tcPr>
          <w:p w14:paraId="1279DC8B" w14:textId="77777777" w:rsidR="00913C78" w:rsidRPr="00725EEB" w:rsidRDefault="00913C78" w:rsidP="00725EEB">
            <w:pPr>
              <w:pStyle w:val="ae"/>
              <w:rPr>
                <w:b w:val="0"/>
                <w:bCs/>
              </w:rPr>
            </w:pPr>
          </w:p>
        </w:tc>
        <w:tc>
          <w:tcPr>
            <w:tcW w:w="3263" w:type="pct"/>
            <w:shd w:val="clear" w:color="auto" w:fill="auto"/>
            <w:vAlign w:val="center"/>
          </w:tcPr>
          <w:p w14:paraId="680E8607" w14:textId="77777777" w:rsidR="00913C78" w:rsidRPr="00725EEB" w:rsidRDefault="00913C78" w:rsidP="00725EEB">
            <w:pPr>
              <w:pStyle w:val="ae"/>
              <w:jc w:val="left"/>
              <w:rPr>
                <w:b w:val="0"/>
                <w:bCs/>
              </w:rPr>
            </w:pPr>
            <w:r w:rsidRPr="00725EEB">
              <w:rPr>
                <w:rFonts w:hint="eastAsia"/>
                <w:b w:val="0"/>
                <w:bCs/>
              </w:rPr>
              <w:t>基于过渡季节典型的风向和风速室外风环境模拟结果，根据建筑立面风压作为室内自然通风模拟的边界条件</w:t>
            </w:r>
          </w:p>
        </w:tc>
        <w:tc>
          <w:tcPr>
            <w:tcW w:w="678" w:type="pct"/>
            <w:shd w:val="clear" w:color="auto" w:fill="auto"/>
            <w:vAlign w:val="center"/>
            <w:hideMark/>
          </w:tcPr>
          <w:p w14:paraId="1038A9F7" w14:textId="77777777" w:rsidR="00913C78" w:rsidRPr="00725EEB" w:rsidRDefault="00913C78" w:rsidP="00725EEB">
            <w:pPr>
              <w:pStyle w:val="ae"/>
              <w:rPr>
                <w:b w:val="0"/>
                <w:bCs/>
              </w:rPr>
            </w:pPr>
          </w:p>
        </w:tc>
      </w:tr>
      <w:tr w:rsidR="00913C78" w:rsidRPr="00913C78" w14:paraId="602E322B" w14:textId="77777777" w:rsidTr="00E731D0">
        <w:trPr>
          <w:jc w:val="center"/>
        </w:trPr>
        <w:tc>
          <w:tcPr>
            <w:tcW w:w="328" w:type="pct"/>
            <w:vMerge/>
            <w:shd w:val="clear" w:color="auto" w:fill="auto"/>
            <w:vAlign w:val="center"/>
          </w:tcPr>
          <w:p w14:paraId="06228855" w14:textId="77777777" w:rsidR="00913C78" w:rsidRPr="00725EEB" w:rsidRDefault="00913C78" w:rsidP="00725EEB">
            <w:pPr>
              <w:pStyle w:val="ae"/>
              <w:rPr>
                <w:b w:val="0"/>
                <w:bCs/>
              </w:rPr>
            </w:pPr>
          </w:p>
        </w:tc>
        <w:tc>
          <w:tcPr>
            <w:tcW w:w="731" w:type="pct"/>
            <w:vMerge/>
            <w:shd w:val="clear" w:color="auto" w:fill="auto"/>
            <w:vAlign w:val="center"/>
            <w:hideMark/>
          </w:tcPr>
          <w:p w14:paraId="75D4EBE8" w14:textId="77777777" w:rsidR="00913C78" w:rsidRPr="00725EEB" w:rsidRDefault="00913C78" w:rsidP="00725EEB">
            <w:pPr>
              <w:pStyle w:val="ae"/>
              <w:rPr>
                <w:b w:val="0"/>
                <w:bCs/>
              </w:rPr>
            </w:pPr>
          </w:p>
        </w:tc>
        <w:tc>
          <w:tcPr>
            <w:tcW w:w="3263" w:type="pct"/>
            <w:shd w:val="clear" w:color="auto" w:fill="auto"/>
            <w:vAlign w:val="center"/>
            <w:hideMark/>
          </w:tcPr>
          <w:p w14:paraId="046B2AFB" w14:textId="77777777" w:rsidR="00913C78" w:rsidRPr="00725EEB" w:rsidRDefault="00913C78" w:rsidP="00725EEB">
            <w:pPr>
              <w:pStyle w:val="ae"/>
              <w:jc w:val="left"/>
              <w:rPr>
                <w:b w:val="0"/>
                <w:bCs/>
              </w:rPr>
            </w:pPr>
            <w:r w:rsidRPr="00725EEB">
              <w:rPr>
                <w:rFonts w:hint="eastAsia"/>
                <w:b w:val="0"/>
                <w:bCs/>
              </w:rPr>
              <w:t>地面和墙面粗糙系数设置进行单独说明（无特殊要求时墙面</w:t>
            </w:r>
            <w:r w:rsidRPr="00725EEB">
              <w:rPr>
                <w:rFonts w:hint="eastAsia"/>
                <w:b w:val="0"/>
                <w:bCs/>
              </w:rPr>
              <w:t>0.5</w:t>
            </w:r>
            <w:r w:rsidRPr="00725EEB">
              <w:rPr>
                <w:rFonts w:hint="eastAsia"/>
                <w:b w:val="0"/>
                <w:bCs/>
              </w:rPr>
              <w:t>，地面</w:t>
            </w:r>
            <w:r w:rsidRPr="00725EEB">
              <w:rPr>
                <w:rFonts w:hint="eastAsia"/>
                <w:b w:val="0"/>
                <w:bCs/>
              </w:rPr>
              <w:t>0.8</w:t>
            </w:r>
            <w:r w:rsidRPr="00725EEB">
              <w:rPr>
                <w:rFonts w:hint="eastAsia"/>
                <w:b w:val="0"/>
                <w:bCs/>
              </w:rPr>
              <w:t>）</w:t>
            </w:r>
          </w:p>
        </w:tc>
        <w:tc>
          <w:tcPr>
            <w:tcW w:w="678" w:type="pct"/>
            <w:shd w:val="clear" w:color="auto" w:fill="auto"/>
            <w:vAlign w:val="center"/>
            <w:hideMark/>
          </w:tcPr>
          <w:p w14:paraId="1E5C90DD" w14:textId="77777777" w:rsidR="00913C78" w:rsidRPr="00725EEB" w:rsidRDefault="00913C78" w:rsidP="00725EEB">
            <w:pPr>
              <w:pStyle w:val="ae"/>
              <w:rPr>
                <w:b w:val="0"/>
                <w:bCs/>
              </w:rPr>
            </w:pPr>
          </w:p>
        </w:tc>
      </w:tr>
      <w:tr w:rsidR="00913C78" w:rsidRPr="00913C78" w14:paraId="2DE1A70B" w14:textId="77777777" w:rsidTr="00E731D0">
        <w:trPr>
          <w:jc w:val="center"/>
        </w:trPr>
        <w:tc>
          <w:tcPr>
            <w:tcW w:w="328" w:type="pct"/>
            <w:vMerge/>
            <w:shd w:val="clear" w:color="auto" w:fill="auto"/>
            <w:vAlign w:val="center"/>
          </w:tcPr>
          <w:p w14:paraId="67478B30" w14:textId="77777777" w:rsidR="00913C78" w:rsidRPr="00725EEB" w:rsidRDefault="00913C78" w:rsidP="00725EEB">
            <w:pPr>
              <w:pStyle w:val="ae"/>
              <w:rPr>
                <w:b w:val="0"/>
                <w:bCs/>
              </w:rPr>
            </w:pPr>
          </w:p>
        </w:tc>
        <w:tc>
          <w:tcPr>
            <w:tcW w:w="731" w:type="pct"/>
            <w:vMerge/>
            <w:shd w:val="clear" w:color="auto" w:fill="auto"/>
            <w:vAlign w:val="center"/>
            <w:hideMark/>
          </w:tcPr>
          <w:p w14:paraId="3EB39C09" w14:textId="77777777" w:rsidR="00913C78" w:rsidRPr="00725EEB" w:rsidRDefault="00913C78" w:rsidP="00725EEB">
            <w:pPr>
              <w:pStyle w:val="ae"/>
              <w:rPr>
                <w:b w:val="0"/>
                <w:bCs/>
              </w:rPr>
            </w:pPr>
          </w:p>
        </w:tc>
        <w:tc>
          <w:tcPr>
            <w:tcW w:w="3263" w:type="pct"/>
            <w:shd w:val="clear" w:color="auto" w:fill="auto"/>
            <w:vAlign w:val="center"/>
            <w:hideMark/>
          </w:tcPr>
          <w:p w14:paraId="0B75D8D1" w14:textId="77777777" w:rsidR="00913C78" w:rsidRPr="00725EEB" w:rsidRDefault="00913C78" w:rsidP="00725EEB">
            <w:pPr>
              <w:pStyle w:val="ae"/>
              <w:jc w:val="left"/>
              <w:rPr>
                <w:b w:val="0"/>
                <w:bCs/>
              </w:rPr>
            </w:pPr>
            <w:r w:rsidRPr="00725EEB">
              <w:rPr>
                <w:rFonts w:hint="eastAsia"/>
                <w:b w:val="0"/>
                <w:bCs/>
              </w:rPr>
              <w:t>依据室外风环境模拟结果，在各个开窗通风口距离</w:t>
            </w:r>
            <w:r w:rsidRPr="00725EEB">
              <w:rPr>
                <w:rFonts w:hint="eastAsia"/>
                <w:b w:val="0"/>
                <w:bCs/>
              </w:rPr>
              <w:t>0.5m</w:t>
            </w:r>
            <w:r w:rsidRPr="00725EEB">
              <w:rPr>
                <w:rFonts w:hint="eastAsia"/>
                <w:b w:val="0"/>
                <w:bCs/>
              </w:rPr>
              <w:t>处读取压力大小，并读取各个户型的前后压差</w:t>
            </w:r>
          </w:p>
        </w:tc>
        <w:tc>
          <w:tcPr>
            <w:tcW w:w="678" w:type="pct"/>
            <w:shd w:val="clear" w:color="auto" w:fill="auto"/>
            <w:vAlign w:val="center"/>
            <w:hideMark/>
          </w:tcPr>
          <w:p w14:paraId="430B91B5" w14:textId="77777777" w:rsidR="00913C78" w:rsidRPr="00725EEB" w:rsidRDefault="00913C78" w:rsidP="00725EEB">
            <w:pPr>
              <w:pStyle w:val="ae"/>
              <w:rPr>
                <w:b w:val="0"/>
                <w:bCs/>
              </w:rPr>
            </w:pPr>
          </w:p>
        </w:tc>
      </w:tr>
      <w:tr w:rsidR="00913C78" w:rsidRPr="00913C78" w14:paraId="1350612A" w14:textId="77777777" w:rsidTr="00E731D0">
        <w:trPr>
          <w:jc w:val="center"/>
        </w:trPr>
        <w:tc>
          <w:tcPr>
            <w:tcW w:w="328" w:type="pct"/>
            <w:vMerge/>
            <w:shd w:val="clear" w:color="auto" w:fill="auto"/>
            <w:vAlign w:val="center"/>
          </w:tcPr>
          <w:p w14:paraId="44D2261D" w14:textId="77777777" w:rsidR="00913C78" w:rsidRPr="00725EEB" w:rsidRDefault="00913C78" w:rsidP="00725EEB">
            <w:pPr>
              <w:pStyle w:val="ae"/>
              <w:rPr>
                <w:b w:val="0"/>
                <w:bCs/>
              </w:rPr>
            </w:pPr>
          </w:p>
        </w:tc>
        <w:tc>
          <w:tcPr>
            <w:tcW w:w="731" w:type="pct"/>
            <w:vMerge/>
            <w:shd w:val="clear" w:color="auto" w:fill="auto"/>
            <w:vAlign w:val="center"/>
          </w:tcPr>
          <w:p w14:paraId="4D0D0D90" w14:textId="77777777" w:rsidR="00913C78" w:rsidRPr="00725EEB" w:rsidRDefault="00913C78" w:rsidP="00725EEB">
            <w:pPr>
              <w:pStyle w:val="ae"/>
              <w:rPr>
                <w:b w:val="0"/>
                <w:bCs/>
              </w:rPr>
            </w:pPr>
          </w:p>
        </w:tc>
        <w:tc>
          <w:tcPr>
            <w:tcW w:w="3263" w:type="pct"/>
            <w:shd w:val="clear" w:color="auto" w:fill="auto"/>
            <w:vAlign w:val="center"/>
          </w:tcPr>
          <w:p w14:paraId="08CE1DCA" w14:textId="77777777" w:rsidR="00913C78" w:rsidRPr="00725EEB" w:rsidRDefault="00913C78" w:rsidP="00725EEB">
            <w:pPr>
              <w:pStyle w:val="ae"/>
              <w:jc w:val="left"/>
              <w:rPr>
                <w:b w:val="0"/>
                <w:bCs/>
              </w:rPr>
            </w:pPr>
            <w:r w:rsidRPr="00725EEB">
              <w:rPr>
                <w:rFonts w:hint="eastAsia"/>
                <w:b w:val="0"/>
                <w:bCs/>
              </w:rPr>
              <w:t>平均风压差值取每个典型户型不同户在相应高度水平的压差平均值</w:t>
            </w:r>
          </w:p>
        </w:tc>
        <w:tc>
          <w:tcPr>
            <w:tcW w:w="678" w:type="pct"/>
            <w:shd w:val="clear" w:color="auto" w:fill="auto"/>
            <w:vAlign w:val="center"/>
          </w:tcPr>
          <w:p w14:paraId="66598501" w14:textId="77777777" w:rsidR="00913C78" w:rsidRPr="00725EEB" w:rsidRDefault="00913C78" w:rsidP="00725EEB">
            <w:pPr>
              <w:pStyle w:val="ae"/>
              <w:rPr>
                <w:b w:val="0"/>
                <w:bCs/>
              </w:rPr>
            </w:pPr>
          </w:p>
        </w:tc>
      </w:tr>
      <w:tr w:rsidR="00913C78" w:rsidRPr="00913C78" w14:paraId="5CC6FD37" w14:textId="77777777" w:rsidTr="00E731D0">
        <w:trPr>
          <w:jc w:val="center"/>
        </w:trPr>
        <w:tc>
          <w:tcPr>
            <w:tcW w:w="328" w:type="pct"/>
            <w:vMerge/>
            <w:shd w:val="clear" w:color="auto" w:fill="auto"/>
            <w:vAlign w:val="center"/>
          </w:tcPr>
          <w:p w14:paraId="0DAC4E05" w14:textId="77777777" w:rsidR="00913C78" w:rsidRPr="00725EEB" w:rsidRDefault="00913C78" w:rsidP="00725EEB">
            <w:pPr>
              <w:pStyle w:val="ae"/>
              <w:rPr>
                <w:b w:val="0"/>
                <w:bCs/>
              </w:rPr>
            </w:pPr>
          </w:p>
        </w:tc>
        <w:tc>
          <w:tcPr>
            <w:tcW w:w="731" w:type="pct"/>
            <w:vMerge/>
            <w:shd w:val="clear" w:color="auto" w:fill="auto"/>
            <w:vAlign w:val="center"/>
          </w:tcPr>
          <w:p w14:paraId="2639CD6A" w14:textId="77777777" w:rsidR="00913C78" w:rsidRPr="00725EEB" w:rsidRDefault="00913C78" w:rsidP="00725EEB">
            <w:pPr>
              <w:pStyle w:val="ae"/>
              <w:rPr>
                <w:b w:val="0"/>
                <w:bCs/>
              </w:rPr>
            </w:pPr>
          </w:p>
        </w:tc>
        <w:tc>
          <w:tcPr>
            <w:tcW w:w="3263" w:type="pct"/>
            <w:shd w:val="clear" w:color="auto" w:fill="auto"/>
            <w:vAlign w:val="center"/>
          </w:tcPr>
          <w:p w14:paraId="128A2CCF" w14:textId="77777777" w:rsidR="00913C78" w:rsidRPr="00725EEB" w:rsidRDefault="00913C78" w:rsidP="00725EEB">
            <w:pPr>
              <w:pStyle w:val="ae"/>
              <w:jc w:val="left"/>
              <w:rPr>
                <w:b w:val="0"/>
                <w:bCs/>
              </w:rPr>
            </w:pPr>
            <w:r w:rsidRPr="00725EEB">
              <w:rPr>
                <w:rFonts w:hint="eastAsia"/>
                <w:b w:val="0"/>
                <w:bCs/>
              </w:rPr>
              <w:t>选择的典型户型的风压差值应不超过平均风压差值的±</w:t>
            </w:r>
            <w:r w:rsidRPr="00725EEB">
              <w:rPr>
                <w:rFonts w:hint="eastAsia"/>
                <w:b w:val="0"/>
                <w:bCs/>
              </w:rPr>
              <w:t>10%</w:t>
            </w:r>
          </w:p>
        </w:tc>
        <w:tc>
          <w:tcPr>
            <w:tcW w:w="678" w:type="pct"/>
            <w:shd w:val="clear" w:color="auto" w:fill="auto"/>
            <w:vAlign w:val="center"/>
          </w:tcPr>
          <w:p w14:paraId="59E5B7BF" w14:textId="77777777" w:rsidR="00913C78" w:rsidRPr="00725EEB" w:rsidRDefault="00913C78" w:rsidP="00725EEB">
            <w:pPr>
              <w:pStyle w:val="ae"/>
              <w:rPr>
                <w:b w:val="0"/>
                <w:bCs/>
              </w:rPr>
            </w:pPr>
          </w:p>
        </w:tc>
      </w:tr>
      <w:tr w:rsidR="00913C78" w:rsidRPr="00913C78" w14:paraId="0642037A" w14:textId="77777777" w:rsidTr="00E731D0">
        <w:trPr>
          <w:jc w:val="center"/>
        </w:trPr>
        <w:tc>
          <w:tcPr>
            <w:tcW w:w="328" w:type="pct"/>
            <w:vMerge w:val="restart"/>
            <w:shd w:val="clear" w:color="auto" w:fill="auto"/>
            <w:vAlign w:val="center"/>
          </w:tcPr>
          <w:p w14:paraId="58ED1739" w14:textId="77777777" w:rsidR="00913C78" w:rsidRPr="00725EEB" w:rsidRDefault="00913C78" w:rsidP="00725EEB">
            <w:pPr>
              <w:pStyle w:val="ae"/>
              <w:rPr>
                <w:b w:val="0"/>
                <w:bCs/>
              </w:rPr>
            </w:pPr>
            <w:r w:rsidRPr="00725EEB">
              <w:rPr>
                <w:rFonts w:hint="eastAsia"/>
                <w:b w:val="0"/>
                <w:bCs/>
              </w:rPr>
              <w:t>9</w:t>
            </w:r>
          </w:p>
        </w:tc>
        <w:tc>
          <w:tcPr>
            <w:tcW w:w="731" w:type="pct"/>
            <w:vMerge w:val="restart"/>
            <w:shd w:val="clear" w:color="auto" w:fill="auto"/>
            <w:vAlign w:val="center"/>
            <w:hideMark/>
          </w:tcPr>
          <w:p w14:paraId="1AA0C34C" w14:textId="77777777" w:rsidR="00913C78" w:rsidRPr="00725EEB" w:rsidRDefault="00913C78" w:rsidP="00725EEB">
            <w:pPr>
              <w:pStyle w:val="ae"/>
              <w:rPr>
                <w:b w:val="0"/>
                <w:bCs/>
              </w:rPr>
            </w:pPr>
            <w:r w:rsidRPr="00725EEB">
              <w:rPr>
                <w:rFonts w:hint="eastAsia"/>
                <w:b w:val="0"/>
                <w:bCs/>
              </w:rPr>
              <w:t>数值分析结果</w:t>
            </w:r>
          </w:p>
        </w:tc>
        <w:tc>
          <w:tcPr>
            <w:tcW w:w="3263" w:type="pct"/>
            <w:shd w:val="clear" w:color="auto" w:fill="auto"/>
            <w:vAlign w:val="center"/>
            <w:hideMark/>
          </w:tcPr>
          <w:p w14:paraId="2470E911" w14:textId="77777777" w:rsidR="00913C78" w:rsidRPr="00725EEB" w:rsidRDefault="00913C78" w:rsidP="00725EEB">
            <w:pPr>
              <w:pStyle w:val="ae"/>
              <w:jc w:val="left"/>
              <w:rPr>
                <w:b w:val="0"/>
                <w:bCs/>
              </w:rPr>
            </w:pPr>
            <w:r w:rsidRPr="00725EEB">
              <w:rPr>
                <w:rFonts w:hint="eastAsia"/>
                <w:b w:val="0"/>
                <w:bCs/>
              </w:rPr>
              <w:t>数值分析得到</w:t>
            </w:r>
            <w:r w:rsidRPr="00725EEB">
              <w:rPr>
                <w:rFonts w:hint="eastAsia"/>
                <w:b w:val="0"/>
                <w:bCs/>
              </w:rPr>
              <w:t>10</w:t>
            </w:r>
            <w:r w:rsidRPr="00725EEB">
              <w:rPr>
                <w:rFonts w:hint="eastAsia"/>
                <w:b w:val="0"/>
                <w:bCs/>
              </w:rPr>
              <w:t>个网格及以上人员主要活动区域距地</w:t>
            </w:r>
            <w:r w:rsidRPr="00725EEB">
              <w:rPr>
                <w:rFonts w:hint="eastAsia"/>
                <w:b w:val="0"/>
                <w:bCs/>
              </w:rPr>
              <w:t xml:space="preserve">1.5m </w:t>
            </w:r>
            <w:r w:rsidRPr="00725EEB">
              <w:rPr>
                <w:rFonts w:hint="eastAsia"/>
                <w:b w:val="0"/>
                <w:bCs/>
              </w:rPr>
              <w:t>高度风速分布云图、风速矢量图、平均风速和最大风速列表；考虑热边界条件的自然通风模拟应包含温度分布云图，典型剖面的温度分布云图</w:t>
            </w:r>
          </w:p>
        </w:tc>
        <w:tc>
          <w:tcPr>
            <w:tcW w:w="678" w:type="pct"/>
            <w:shd w:val="clear" w:color="auto" w:fill="auto"/>
            <w:vAlign w:val="center"/>
            <w:hideMark/>
          </w:tcPr>
          <w:p w14:paraId="1AA9FC55" w14:textId="77777777" w:rsidR="00913C78" w:rsidRPr="00725EEB" w:rsidRDefault="00913C78" w:rsidP="00725EEB">
            <w:pPr>
              <w:pStyle w:val="ae"/>
              <w:rPr>
                <w:b w:val="0"/>
                <w:bCs/>
              </w:rPr>
            </w:pPr>
          </w:p>
        </w:tc>
      </w:tr>
      <w:tr w:rsidR="00913C78" w:rsidRPr="00913C78" w14:paraId="1C951D50" w14:textId="77777777" w:rsidTr="00E731D0">
        <w:trPr>
          <w:jc w:val="center"/>
        </w:trPr>
        <w:tc>
          <w:tcPr>
            <w:tcW w:w="328" w:type="pct"/>
            <w:vMerge/>
            <w:shd w:val="clear" w:color="auto" w:fill="auto"/>
            <w:vAlign w:val="center"/>
          </w:tcPr>
          <w:p w14:paraId="2D8C1472" w14:textId="77777777" w:rsidR="00913C78" w:rsidRPr="00725EEB" w:rsidRDefault="00913C78" w:rsidP="00725EEB">
            <w:pPr>
              <w:pStyle w:val="ae"/>
              <w:rPr>
                <w:b w:val="0"/>
                <w:bCs/>
              </w:rPr>
            </w:pPr>
          </w:p>
        </w:tc>
        <w:tc>
          <w:tcPr>
            <w:tcW w:w="731" w:type="pct"/>
            <w:vMerge/>
            <w:shd w:val="clear" w:color="auto" w:fill="auto"/>
            <w:vAlign w:val="center"/>
          </w:tcPr>
          <w:p w14:paraId="71F92AEF" w14:textId="77777777" w:rsidR="00913C78" w:rsidRPr="00725EEB" w:rsidRDefault="00913C78" w:rsidP="00725EEB">
            <w:pPr>
              <w:pStyle w:val="ae"/>
              <w:rPr>
                <w:b w:val="0"/>
                <w:bCs/>
              </w:rPr>
            </w:pPr>
          </w:p>
        </w:tc>
        <w:tc>
          <w:tcPr>
            <w:tcW w:w="3263" w:type="pct"/>
            <w:shd w:val="clear" w:color="auto" w:fill="auto"/>
            <w:vAlign w:val="center"/>
          </w:tcPr>
          <w:p w14:paraId="7EF104A3" w14:textId="77777777" w:rsidR="00913C78" w:rsidRPr="00725EEB" w:rsidRDefault="00913C78" w:rsidP="00725EEB">
            <w:pPr>
              <w:pStyle w:val="ae"/>
              <w:jc w:val="left"/>
              <w:rPr>
                <w:b w:val="0"/>
                <w:bCs/>
              </w:rPr>
            </w:pPr>
            <w:r w:rsidRPr="00725EEB">
              <w:rPr>
                <w:rFonts w:hint="eastAsia"/>
                <w:b w:val="0"/>
                <w:bCs/>
              </w:rPr>
              <w:t>包含</w:t>
            </w:r>
            <w:r w:rsidRPr="00725EEB">
              <w:rPr>
                <w:rFonts w:hint="eastAsia"/>
                <w:b w:val="0"/>
                <w:bCs/>
              </w:rPr>
              <w:t>4</w:t>
            </w:r>
            <w:r w:rsidRPr="00725EEB">
              <w:rPr>
                <w:rFonts w:hint="eastAsia"/>
                <w:b w:val="0"/>
                <w:bCs/>
              </w:rPr>
              <w:t>个网格以上的主要通风口开口截面的速度、压力分布云图、矢量图，或温度分布图</w:t>
            </w:r>
          </w:p>
        </w:tc>
        <w:tc>
          <w:tcPr>
            <w:tcW w:w="678" w:type="pct"/>
            <w:shd w:val="clear" w:color="auto" w:fill="auto"/>
            <w:vAlign w:val="center"/>
          </w:tcPr>
          <w:p w14:paraId="7F4BDE1E" w14:textId="77777777" w:rsidR="00913C78" w:rsidRPr="00725EEB" w:rsidRDefault="00913C78" w:rsidP="00725EEB">
            <w:pPr>
              <w:pStyle w:val="ae"/>
              <w:rPr>
                <w:b w:val="0"/>
                <w:bCs/>
              </w:rPr>
            </w:pPr>
          </w:p>
        </w:tc>
      </w:tr>
      <w:tr w:rsidR="00913C78" w:rsidRPr="00913C78" w14:paraId="49700F2D" w14:textId="77777777" w:rsidTr="00E731D0">
        <w:trPr>
          <w:jc w:val="center"/>
        </w:trPr>
        <w:tc>
          <w:tcPr>
            <w:tcW w:w="328" w:type="pct"/>
            <w:vMerge/>
            <w:shd w:val="clear" w:color="auto" w:fill="auto"/>
            <w:vAlign w:val="center"/>
          </w:tcPr>
          <w:p w14:paraId="1F9235A5" w14:textId="77777777" w:rsidR="00913C78" w:rsidRPr="00725EEB" w:rsidRDefault="00913C78" w:rsidP="00725EEB">
            <w:pPr>
              <w:pStyle w:val="ae"/>
              <w:rPr>
                <w:b w:val="0"/>
                <w:bCs/>
              </w:rPr>
            </w:pPr>
          </w:p>
        </w:tc>
        <w:tc>
          <w:tcPr>
            <w:tcW w:w="731" w:type="pct"/>
            <w:vMerge/>
            <w:shd w:val="clear" w:color="auto" w:fill="auto"/>
            <w:vAlign w:val="center"/>
            <w:hideMark/>
          </w:tcPr>
          <w:p w14:paraId="4720BB88" w14:textId="77777777" w:rsidR="00913C78" w:rsidRPr="00725EEB" w:rsidRDefault="00913C78" w:rsidP="00725EEB">
            <w:pPr>
              <w:pStyle w:val="ae"/>
              <w:rPr>
                <w:b w:val="0"/>
                <w:bCs/>
              </w:rPr>
            </w:pPr>
          </w:p>
        </w:tc>
        <w:tc>
          <w:tcPr>
            <w:tcW w:w="3263" w:type="pct"/>
            <w:shd w:val="clear" w:color="auto" w:fill="auto"/>
            <w:vAlign w:val="center"/>
          </w:tcPr>
          <w:p w14:paraId="4DC719E9" w14:textId="77777777" w:rsidR="00913C78" w:rsidRPr="00725EEB" w:rsidRDefault="00913C78" w:rsidP="00725EEB">
            <w:pPr>
              <w:pStyle w:val="ae"/>
              <w:jc w:val="left"/>
              <w:rPr>
                <w:b w:val="0"/>
                <w:bCs/>
              </w:rPr>
            </w:pPr>
            <w:r w:rsidRPr="00725EEB">
              <w:rPr>
                <w:rFonts w:hint="eastAsia"/>
                <w:b w:val="0"/>
                <w:bCs/>
              </w:rPr>
              <w:t>室内空气龄分布云图</w:t>
            </w:r>
          </w:p>
        </w:tc>
        <w:tc>
          <w:tcPr>
            <w:tcW w:w="678" w:type="pct"/>
            <w:shd w:val="clear" w:color="auto" w:fill="auto"/>
            <w:vAlign w:val="center"/>
            <w:hideMark/>
          </w:tcPr>
          <w:p w14:paraId="6A39E0C0" w14:textId="77777777" w:rsidR="00913C78" w:rsidRPr="00725EEB" w:rsidRDefault="00913C78" w:rsidP="00725EEB">
            <w:pPr>
              <w:pStyle w:val="ae"/>
              <w:rPr>
                <w:b w:val="0"/>
                <w:bCs/>
              </w:rPr>
            </w:pPr>
          </w:p>
        </w:tc>
      </w:tr>
      <w:tr w:rsidR="00913C78" w:rsidRPr="00913C78" w14:paraId="6AC01E19" w14:textId="77777777" w:rsidTr="00E731D0">
        <w:trPr>
          <w:jc w:val="center"/>
        </w:trPr>
        <w:tc>
          <w:tcPr>
            <w:tcW w:w="328" w:type="pct"/>
            <w:vMerge/>
            <w:shd w:val="clear" w:color="auto" w:fill="auto"/>
            <w:vAlign w:val="center"/>
          </w:tcPr>
          <w:p w14:paraId="6B02FAA0" w14:textId="77777777" w:rsidR="00913C78" w:rsidRPr="00725EEB" w:rsidRDefault="00913C78" w:rsidP="00725EEB">
            <w:pPr>
              <w:pStyle w:val="ae"/>
              <w:rPr>
                <w:b w:val="0"/>
                <w:bCs/>
              </w:rPr>
            </w:pPr>
          </w:p>
        </w:tc>
        <w:tc>
          <w:tcPr>
            <w:tcW w:w="731" w:type="pct"/>
            <w:vMerge/>
            <w:shd w:val="clear" w:color="auto" w:fill="auto"/>
            <w:vAlign w:val="center"/>
          </w:tcPr>
          <w:p w14:paraId="6C55BEB0" w14:textId="77777777" w:rsidR="00913C78" w:rsidRPr="00725EEB" w:rsidRDefault="00913C78" w:rsidP="00725EEB">
            <w:pPr>
              <w:pStyle w:val="ae"/>
              <w:rPr>
                <w:b w:val="0"/>
                <w:bCs/>
              </w:rPr>
            </w:pPr>
          </w:p>
        </w:tc>
        <w:tc>
          <w:tcPr>
            <w:tcW w:w="3263" w:type="pct"/>
            <w:shd w:val="clear" w:color="auto" w:fill="auto"/>
            <w:vAlign w:val="center"/>
          </w:tcPr>
          <w:p w14:paraId="30815BCD" w14:textId="77777777" w:rsidR="00913C78" w:rsidRPr="00725EEB" w:rsidRDefault="00913C78" w:rsidP="00725EEB">
            <w:pPr>
              <w:pStyle w:val="ae"/>
              <w:jc w:val="left"/>
              <w:rPr>
                <w:b w:val="0"/>
                <w:bCs/>
              </w:rPr>
            </w:pPr>
            <w:r w:rsidRPr="00725EEB">
              <w:rPr>
                <w:rFonts w:hint="eastAsia"/>
                <w:b w:val="0"/>
                <w:bCs/>
              </w:rPr>
              <w:t>建筑主要功能房间的换气次数</w:t>
            </w:r>
          </w:p>
        </w:tc>
        <w:tc>
          <w:tcPr>
            <w:tcW w:w="678" w:type="pct"/>
            <w:shd w:val="clear" w:color="auto" w:fill="auto"/>
            <w:vAlign w:val="center"/>
          </w:tcPr>
          <w:p w14:paraId="6DAB96AB" w14:textId="77777777" w:rsidR="00913C78" w:rsidRPr="00725EEB" w:rsidRDefault="00913C78" w:rsidP="00725EEB">
            <w:pPr>
              <w:pStyle w:val="ae"/>
              <w:rPr>
                <w:b w:val="0"/>
                <w:bCs/>
              </w:rPr>
            </w:pPr>
          </w:p>
        </w:tc>
      </w:tr>
    </w:tbl>
    <w:p w14:paraId="674F8836" w14:textId="77777777" w:rsidR="00913C78" w:rsidRPr="00913C78" w:rsidRDefault="00913C78" w:rsidP="00725EEB">
      <w:pPr>
        <w:pStyle w:val="24"/>
      </w:pPr>
      <w:r w:rsidRPr="00913C78">
        <w:br w:type="page"/>
      </w:r>
      <w:bookmarkStart w:id="316" w:name="_Toc35364789"/>
      <w:r w:rsidRPr="00913C78">
        <w:rPr>
          <w:rFonts w:hint="eastAsia"/>
        </w:rPr>
        <w:lastRenderedPageBreak/>
        <w:t>附录</w:t>
      </w:r>
      <w:r w:rsidRPr="00913C78">
        <w:rPr>
          <w:rFonts w:hint="eastAsia"/>
        </w:rPr>
        <w:t>A.</w:t>
      </w:r>
      <w:r w:rsidRPr="00913C78">
        <w:t>5</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——供暖空调系统能耗模拟分析报告提纲及</w:t>
      </w:r>
      <w:r w:rsidRPr="00913C78">
        <w:t>要求</w:t>
      </w:r>
      <w:bookmarkEnd w:id="316"/>
    </w:p>
    <w:p w14:paraId="7129655E" w14:textId="77777777" w:rsidR="00913C78" w:rsidRPr="00913C78" w:rsidRDefault="00913C78" w:rsidP="00725EEB">
      <w:pPr>
        <w:pStyle w:val="32"/>
      </w:pPr>
      <w:bookmarkStart w:id="317" w:name="_Toc475720422"/>
      <w:bookmarkStart w:id="318" w:name="_Toc35364790"/>
      <w:r w:rsidRPr="00913C78">
        <w:rPr>
          <w:rFonts w:hint="eastAsia"/>
        </w:rPr>
        <w:t xml:space="preserve">A.5.1  </w:t>
      </w:r>
      <w:r w:rsidRPr="00913C78">
        <w:t>综合概况</w:t>
      </w:r>
      <w:bookmarkEnd w:id="317"/>
      <w:bookmarkEnd w:id="318"/>
    </w:p>
    <w:p w14:paraId="5C22BA9D" w14:textId="77777777" w:rsidR="00913C78" w:rsidRPr="00913C78" w:rsidRDefault="00913C78" w:rsidP="00913C78">
      <w:pPr>
        <w:ind w:firstLine="420"/>
      </w:pPr>
      <w:bookmarkStart w:id="319" w:name="_Toc475720423"/>
      <w:r w:rsidRPr="00913C78">
        <w:rPr>
          <w:rFonts w:hint="eastAsia"/>
        </w:rPr>
        <w:t>◎</w:t>
      </w:r>
      <w:r w:rsidRPr="00913C78">
        <w:t xml:space="preserve"> </w:t>
      </w:r>
      <w:r w:rsidRPr="00913C78">
        <w:rPr>
          <w:rFonts w:hint="eastAsia"/>
        </w:rPr>
        <w:t>项目基本信息</w:t>
      </w:r>
      <w:bookmarkEnd w:id="319"/>
    </w:p>
    <w:p w14:paraId="3B5DEF6E" w14:textId="77777777" w:rsidR="00913C78" w:rsidRPr="00913C78" w:rsidRDefault="00913C78" w:rsidP="00913C78">
      <w:pPr>
        <w:ind w:firstLine="420"/>
      </w:pPr>
      <w:r w:rsidRPr="00913C78">
        <w:rPr>
          <w:rFonts w:hint="eastAsia"/>
        </w:rPr>
        <w:t>能耗模拟报告中项目基本信息项目应包括但不限于：建筑的形状、大小、朝向，内部的空间划分和使用功能、建筑构造尺寸，建筑围护结构传热系数、做法，外窗（包括透光幕墙）太阳得热系数，窗墙面积比和屋面开窗面积。</w:t>
      </w:r>
    </w:p>
    <w:p w14:paraId="1DB71300" w14:textId="77777777" w:rsidR="00913C78" w:rsidRPr="00913C78" w:rsidRDefault="00913C78" w:rsidP="00913C78">
      <w:pPr>
        <w:ind w:firstLine="420"/>
      </w:pPr>
      <w:bookmarkStart w:id="320" w:name="_Toc475359887"/>
      <w:bookmarkStart w:id="321" w:name="_Toc475720424"/>
      <w:r w:rsidRPr="00913C78">
        <w:rPr>
          <w:rFonts w:hint="eastAsia"/>
        </w:rPr>
        <w:t>◎</w:t>
      </w:r>
      <w:r w:rsidRPr="00913C78">
        <w:t xml:space="preserve"> </w:t>
      </w:r>
      <w:r w:rsidRPr="00913C78">
        <w:rPr>
          <w:rFonts w:hint="eastAsia"/>
        </w:rPr>
        <w:t>标准要求</w:t>
      </w:r>
      <w:bookmarkEnd w:id="320"/>
      <w:bookmarkEnd w:id="321"/>
    </w:p>
    <w:p w14:paraId="136097C8" w14:textId="77777777" w:rsidR="00913C78" w:rsidRPr="00913C78" w:rsidRDefault="00913C78" w:rsidP="00913C78">
      <w:pPr>
        <w:ind w:firstLine="420"/>
      </w:pPr>
      <w:r w:rsidRPr="00913C78">
        <w:rPr>
          <w:rFonts w:hint="eastAsia"/>
        </w:rPr>
        <w:t>能耗模拟</w:t>
      </w:r>
      <w:r w:rsidRPr="00913C78">
        <w:t>报告</w:t>
      </w:r>
      <w:r w:rsidRPr="00913C78">
        <w:rPr>
          <w:rFonts w:hint="eastAsia"/>
        </w:rPr>
        <w:t>中标准要求应</w:t>
      </w:r>
      <w:r w:rsidRPr="00913C78">
        <w:t>包括：</w:t>
      </w:r>
      <w:r w:rsidRPr="00913C78">
        <w:rPr>
          <w:rFonts w:hint="eastAsia"/>
        </w:rPr>
        <w:t>对应的绿色建筑标准及条款、标准规定的计算要求、评分要求和达标要求。</w:t>
      </w:r>
    </w:p>
    <w:p w14:paraId="7BAB90A5" w14:textId="77777777" w:rsidR="00913C78" w:rsidRPr="00913C78" w:rsidRDefault="00913C78" w:rsidP="00913C78">
      <w:pPr>
        <w:ind w:firstLine="420"/>
      </w:pPr>
      <w:bookmarkStart w:id="322" w:name="_Toc475720425"/>
      <w:r w:rsidRPr="00913C78">
        <w:rPr>
          <w:rFonts w:hint="eastAsia"/>
        </w:rPr>
        <w:t>◎</w:t>
      </w:r>
      <w:r w:rsidRPr="00913C78">
        <w:t xml:space="preserve"> </w:t>
      </w:r>
      <w:r w:rsidRPr="00913C78">
        <w:rPr>
          <w:rFonts w:hint="eastAsia"/>
        </w:rPr>
        <w:t>能耗模拟依据</w:t>
      </w:r>
      <w:bookmarkEnd w:id="322"/>
    </w:p>
    <w:p w14:paraId="7FD90498" w14:textId="77777777" w:rsidR="00913C78" w:rsidRPr="00913C78" w:rsidRDefault="00913C78" w:rsidP="00913C78">
      <w:pPr>
        <w:ind w:firstLine="420"/>
      </w:pPr>
      <w:r w:rsidRPr="00913C78">
        <w:rPr>
          <w:rFonts w:hint="eastAsia"/>
        </w:rPr>
        <w:t>能耗模拟依据应</w:t>
      </w:r>
      <w:r w:rsidRPr="00913C78">
        <w:t>明确其来源，包括</w:t>
      </w:r>
      <w:r w:rsidRPr="00913C78">
        <w:rPr>
          <w:rFonts w:hint="eastAsia"/>
        </w:rPr>
        <w:t>但</w:t>
      </w:r>
      <w:r w:rsidRPr="00913C78">
        <w:t>不限于：</w:t>
      </w:r>
      <w:r w:rsidRPr="00913C78">
        <w:rPr>
          <w:rFonts w:hint="eastAsia"/>
        </w:rPr>
        <w:t>应</w:t>
      </w:r>
      <w:r w:rsidRPr="00913C78">
        <w:t>写明</w:t>
      </w:r>
      <w:r w:rsidRPr="00913C78">
        <w:rPr>
          <w:rFonts w:hint="eastAsia"/>
        </w:rPr>
        <w:t>基础</w:t>
      </w:r>
      <w:r w:rsidRPr="00913C78">
        <w:t>数据</w:t>
      </w:r>
      <w:r w:rsidRPr="00913C78">
        <w:rPr>
          <w:rFonts w:hint="eastAsia"/>
        </w:rPr>
        <w:t>及</w:t>
      </w:r>
      <w:r w:rsidRPr="00913C78">
        <w:t>来源，例如</w:t>
      </w:r>
      <w:r w:rsidRPr="00913C78">
        <w:rPr>
          <w:rFonts w:hint="eastAsia"/>
        </w:rPr>
        <w:t>气象参数来源、建筑室内人员数量、照明功率、设备功率、室内温度、供暖和空调系统运行时间等</w:t>
      </w:r>
      <w:r w:rsidRPr="00913C78">
        <w:t>。</w:t>
      </w:r>
    </w:p>
    <w:p w14:paraId="439248C2" w14:textId="77777777" w:rsidR="00913C78" w:rsidRPr="00913C78" w:rsidRDefault="00913C78" w:rsidP="00913C78">
      <w:pPr>
        <w:ind w:firstLine="420"/>
      </w:pPr>
      <w:r w:rsidRPr="00913C78">
        <w:rPr>
          <w:rFonts w:hint="eastAsia"/>
        </w:rPr>
        <w:t>数据来源</w:t>
      </w:r>
      <w:r w:rsidRPr="00913C78">
        <w:t>：</w:t>
      </w:r>
    </w:p>
    <w:p w14:paraId="5DFE18F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《民用建筑供暖通风与空气调节设计规范》（</w:t>
      </w:r>
      <w:r w:rsidRPr="00913C78">
        <w:rPr>
          <w:rFonts w:hint="eastAsia"/>
        </w:rPr>
        <w:t>GB 50736</w:t>
      </w:r>
      <w:r w:rsidRPr="00913C78">
        <w:rPr>
          <w:rFonts w:hint="eastAsia"/>
        </w:rPr>
        <w:t>—</w:t>
      </w:r>
      <w:r w:rsidRPr="00913C78">
        <w:rPr>
          <w:rFonts w:hint="eastAsia"/>
        </w:rPr>
        <w:t>2012</w:t>
      </w:r>
      <w:r w:rsidRPr="00913C78">
        <w:rPr>
          <w:rFonts w:hint="eastAsia"/>
        </w:rPr>
        <w:t>）。</w:t>
      </w:r>
    </w:p>
    <w:p w14:paraId="78107114"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《公共建筑节能设计标准》（</w:t>
      </w:r>
      <w:r w:rsidRPr="00913C78">
        <w:t>GB 50189</w:t>
      </w:r>
      <w:r w:rsidRPr="00913C78">
        <w:rPr>
          <w:rFonts w:hint="eastAsia"/>
        </w:rPr>
        <w:t>—</w:t>
      </w:r>
      <w:r w:rsidRPr="00913C78">
        <w:rPr>
          <w:rFonts w:hint="eastAsia"/>
        </w:rPr>
        <w:t>2015</w:t>
      </w:r>
      <w:r w:rsidRPr="00913C78">
        <w:rPr>
          <w:rFonts w:hint="eastAsia"/>
        </w:rPr>
        <w:t>）。</w:t>
      </w:r>
    </w:p>
    <w:p w14:paraId="29CEF2B2" w14:textId="77777777" w:rsidR="00913C78" w:rsidRPr="00913C78" w:rsidRDefault="00913C78" w:rsidP="00913C78">
      <w:pPr>
        <w:ind w:firstLine="420"/>
      </w:pPr>
      <w:r w:rsidRPr="00913C78">
        <w:rPr>
          <w:rFonts w:hint="eastAsia"/>
        </w:rPr>
        <w:t>分析</w:t>
      </w:r>
      <w:r w:rsidRPr="00913C78">
        <w:t>过程</w:t>
      </w:r>
      <w:r w:rsidRPr="00913C78">
        <w:rPr>
          <w:rFonts w:hint="eastAsia"/>
        </w:rPr>
        <w:t>可</w:t>
      </w:r>
      <w:r w:rsidRPr="00913C78">
        <w:t>参考</w:t>
      </w:r>
      <w:r w:rsidRPr="00913C78">
        <w:rPr>
          <w:rFonts w:hint="eastAsia"/>
        </w:rPr>
        <w:t>《</w:t>
      </w:r>
      <w:r w:rsidRPr="00913C78">
        <w:t>民用</w:t>
      </w:r>
      <w:r w:rsidRPr="00913C78">
        <w:rPr>
          <w:rFonts w:hint="eastAsia"/>
        </w:rPr>
        <w:t>建筑</w:t>
      </w:r>
      <w:r w:rsidRPr="00913C78">
        <w:t>绿色</w:t>
      </w:r>
      <w:r w:rsidRPr="00913C78">
        <w:rPr>
          <w:rFonts w:hint="eastAsia"/>
        </w:rPr>
        <w:t>性能</w:t>
      </w:r>
      <w:r w:rsidRPr="00913C78">
        <w:t>计算标准》</w:t>
      </w:r>
      <w:r w:rsidRPr="00913C78">
        <w:rPr>
          <w:rFonts w:hint="eastAsia"/>
        </w:rPr>
        <w:t>（</w:t>
      </w:r>
      <w:r w:rsidRPr="00913C78">
        <w:rPr>
          <w:rFonts w:hint="eastAsia"/>
        </w:rPr>
        <w:t>JGJ/T 449</w:t>
      </w:r>
      <w:r w:rsidRPr="00913C78">
        <w:rPr>
          <w:rFonts w:hint="eastAsia"/>
        </w:rPr>
        <w:t>—</w:t>
      </w:r>
      <w:r w:rsidRPr="00913C78">
        <w:rPr>
          <w:rFonts w:hint="eastAsia"/>
        </w:rPr>
        <w:t>2018</w:t>
      </w:r>
      <w:r w:rsidRPr="00913C78">
        <w:rPr>
          <w:rFonts w:hint="eastAsia"/>
        </w:rPr>
        <w:t>）要求</w:t>
      </w:r>
      <w:r w:rsidRPr="00913C78">
        <w:t>进行。</w:t>
      </w:r>
    </w:p>
    <w:p w14:paraId="034155D5" w14:textId="77777777" w:rsidR="00913C78" w:rsidRPr="00913C78" w:rsidRDefault="00913C78" w:rsidP="00725EEB">
      <w:pPr>
        <w:pStyle w:val="32"/>
      </w:pPr>
      <w:bookmarkStart w:id="323" w:name="_Toc475720426"/>
      <w:bookmarkStart w:id="324" w:name="_Toc35364791"/>
      <w:r w:rsidRPr="00913C78">
        <w:rPr>
          <w:rFonts w:hint="eastAsia"/>
        </w:rPr>
        <w:t xml:space="preserve">A.5.2  </w:t>
      </w:r>
      <w:r w:rsidRPr="00913C78">
        <w:rPr>
          <w:rFonts w:hint="eastAsia"/>
        </w:rPr>
        <w:t>能耗模拟方法</w:t>
      </w:r>
      <w:bookmarkEnd w:id="323"/>
      <w:bookmarkEnd w:id="324"/>
    </w:p>
    <w:p w14:paraId="7C868492" w14:textId="77777777" w:rsidR="00913C78" w:rsidRPr="00913C78" w:rsidRDefault="00913C78" w:rsidP="00913C78">
      <w:pPr>
        <w:ind w:firstLine="420"/>
      </w:pPr>
      <w:bookmarkStart w:id="325" w:name="_Toc475720427"/>
      <w:r w:rsidRPr="00913C78">
        <w:rPr>
          <w:rFonts w:hint="eastAsia"/>
        </w:rPr>
        <w:t>◎</w:t>
      </w:r>
      <w:r w:rsidRPr="00913C78">
        <w:rPr>
          <w:rFonts w:hint="eastAsia"/>
        </w:rPr>
        <w:t xml:space="preserve"> </w:t>
      </w:r>
      <w:r w:rsidRPr="00913C78">
        <w:rPr>
          <w:rFonts w:hint="eastAsia"/>
        </w:rPr>
        <w:t>计算方法</w:t>
      </w:r>
      <w:bookmarkEnd w:id="325"/>
    </w:p>
    <w:p w14:paraId="4F98DE16" w14:textId="77777777" w:rsidR="00913C78" w:rsidRPr="00913C78" w:rsidRDefault="00913C78" w:rsidP="00913C78">
      <w:pPr>
        <w:ind w:firstLine="420"/>
      </w:pPr>
      <w:r w:rsidRPr="00913C78">
        <w:rPr>
          <w:rFonts w:hint="eastAsia"/>
        </w:rPr>
        <w:t>能耗模拟</w:t>
      </w:r>
      <w:r w:rsidRPr="00913C78">
        <w:t>报告</w:t>
      </w:r>
      <w:r w:rsidRPr="00913C78">
        <w:rPr>
          <w:rFonts w:hint="eastAsia"/>
        </w:rPr>
        <w:t>中计算方法</w:t>
      </w:r>
      <w:r w:rsidRPr="00913C78">
        <w:t>应</w:t>
      </w:r>
      <w:r w:rsidRPr="00913C78">
        <w:rPr>
          <w:rFonts w:hint="eastAsia"/>
        </w:rPr>
        <w:t>包括但</w:t>
      </w:r>
      <w:r w:rsidRPr="00913C78">
        <w:t>不限于</w:t>
      </w:r>
      <w:r w:rsidRPr="00913C78">
        <w:rPr>
          <w:rFonts w:hint="eastAsia"/>
        </w:rPr>
        <w:t>：能耗模拟采用</w:t>
      </w:r>
      <w:r w:rsidRPr="00913C78">
        <w:t>的</w:t>
      </w:r>
      <w:r w:rsidRPr="00913C78">
        <w:rPr>
          <w:rFonts w:hint="eastAsia"/>
        </w:rPr>
        <w:t>计算</w:t>
      </w:r>
      <w:r w:rsidRPr="00913C78">
        <w:t>方法</w:t>
      </w:r>
      <w:r w:rsidRPr="00913C78">
        <w:rPr>
          <w:rFonts w:hint="eastAsia"/>
        </w:rPr>
        <w:t>、计算</w:t>
      </w:r>
      <w:r w:rsidRPr="00913C78">
        <w:t>参数选取和</w:t>
      </w:r>
      <w:r w:rsidRPr="00913C78">
        <w:rPr>
          <w:rFonts w:hint="eastAsia"/>
        </w:rPr>
        <w:t>基本流程。</w:t>
      </w:r>
    </w:p>
    <w:p w14:paraId="368CC4F0"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）基本</w:t>
      </w:r>
      <w:r w:rsidRPr="00913C78">
        <w:t>要求</w:t>
      </w:r>
    </w:p>
    <w:p w14:paraId="516C07F3"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空调区的冬季热负荷和夏季冷负荷</w:t>
      </w:r>
      <w:r w:rsidRPr="00913C78">
        <w:t>应</w:t>
      </w:r>
      <w:r w:rsidRPr="00913C78">
        <w:rPr>
          <w:rFonts w:hint="eastAsia"/>
        </w:rPr>
        <w:t>进行逐时计算。</w:t>
      </w:r>
    </w:p>
    <w:p w14:paraId="3879CA2C"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空调区的夏季冷负荷，应根据各项得热量的种类、性质以及空调区的蓄热特性，分别进行计算。</w:t>
      </w:r>
    </w:p>
    <w:p w14:paraId="334DCC1B" w14:textId="77777777" w:rsidR="00913C78" w:rsidRPr="00913C78" w:rsidRDefault="00913C78" w:rsidP="00913C78">
      <w:pPr>
        <w:ind w:firstLine="420"/>
      </w:pPr>
      <w:r w:rsidRPr="00913C78">
        <w:lastRenderedPageBreak/>
        <w:t>3</w:t>
      </w:r>
      <w:r w:rsidRPr="00913C78">
        <w:rPr>
          <w:rFonts w:hint="eastAsia"/>
        </w:rPr>
        <w:t>）</w:t>
      </w:r>
      <w:r w:rsidRPr="00913C78">
        <w:t> </w:t>
      </w:r>
      <w:r w:rsidRPr="00913C78">
        <w:rPr>
          <w:rFonts w:hint="eastAsia"/>
        </w:rPr>
        <w:t>空调系统的夏季冷负荷，应按下列规定确定：</w:t>
      </w:r>
    </w:p>
    <w:p w14:paraId="4A9C04A5" w14:textId="77777777" w:rsidR="00913C78" w:rsidRPr="00913C78" w:rsidRDefault="00913C78" w:rsidP="00913C78">
      <w:pPr>
        <w:ind w:firstLine="420"/>
      </w:pPr>
      <w:r w:rsidRPr="00913C78">
        <w:rPr>
          <w:rFonts w:hint="eastAsia"/>
        </w:rPr>
        <w:t>①</w:t>
      </w:r>
      <w:r w:rsidRPr="00913C78">
        <w:rPr>
          <w:rFonts w:hint="eastAsia"/>
        </w:rPr>
        <w:t xml:space="preserve"> </w:t>
      </w:r>
      <w:r w:rsidRPr="00913C78">
        <w:rPr>
          <w:rFonts w:hint="eastAsia"/>
        </w:rPr>
        <w:t>末端设备设有温度自动控制装置时，空调系统的夏季冷负荷按所服务各空调区逐时冷负荷的综合最大值确定。</w:t>
      </w:r>
    </w:p>
    <w:p w14:paraId="5E6B09CD" w14:textId="77777777" w:rsidR="00913C78" w:rsidRPr="00913C78" w:rsidRDefault="00913C78" w:rsidP="00913C78">
      <w:pPr>
        <w:ind w:firstLine="420"/>
      </w:pPr>
      <w:r w:rsidRPr="00913C78">
        <w:rPr>
          <w:rFonts w:hint="eastAsia"/>
        </w:rPr>
        <w:t>②</w:t>
      </w:r>
      <w:r w:rsidRPr="00913C78">
        <w:rPr>
          <w:rFonts w:hint="eastAsia"/>
        </w:rPr>
        <w:t xml:space="preserve"> </w:t>
      </w:r>
      <w:r w:rsidRPr="00913C78">
        <w:rPr>
          <w:rFonts w:hint="eastAsia"/>
        </w:rPr>
        <w:t>末端设备无温度自动控制装置时，空调系统的夏季冷负荷按所服务各空调区冷负荷的累计值确定。</w:t>
      </w:r>
    </w:p>
    <w:p w14:paraId="4B63F1D6" w14:textId="77777777" w:rsidR="00913C78" w:rsidRPr="00913C78" w:rsidRDefault="00913C78" w:rsidP="00913C78">
      <w:pPr>
        <w:ind w:firstLine="420"/>
      </w:pPr>
      <w:r w:rsidRPr="00913C78">
        <w:rPr>
          <w:rFonts w:hint="eastAsia"/>
        </w:rPr>
        <w:t>③</w:t>
      </w:r>
      <w:r w:rsidRPr="00913C78">
        <w:rPr>
          <w:rFonts w:hint="eastAsia"/>
        </w:rPr>
        <w:t xml:space="preserve"> </w:t>
      </w:r>
      <w:r w:rsidRPr="00913C78">
        <w:rPr>
          <w:rFonts w:hint="eastAsia"/>
        </w:rPr>
        <w:t>应计入新风冷负荷、再热负荷以及各项有关的附加冷负荷。</w:t>
      </w:r>
    </w:p>
    <w:p w14:paraId="54417BF4" w14:textId="77777777" w:rsidR="00913C78" w:rsidRPr="00913C78" w:rsidRDefault="00913C78" w:rsidP="00913C78">
      <w:pPr>
        <w:ind w:firstLine="420"/>
      </w:pPr>
      <w:r w:rsidRPr="00913C78">
        <w:rPr>
          <w:rFonts w:hint="eastAsia"/>
        </w:rPr>
        <w:t>④</w:t>
      </w:r>
      <w:r w:rsidRPr="00913C78">
        <w:rPr>
          <w:rFonts w:hint="eastAsia"/>
        </w:rPr>
        <w:t xml:space="preserve"> </w:t>
      </w:r>
      <w:r w:rsidRPr="00913C78">
        <w:rPr>
          <w:rFonts w:hint="eastAsia"/>
        </w:rPr>
        <w:t>应考虑所服务各空调区的同时使用系数。</w:t>
      </w:r>
    </w:p>
    <w:p w14:paraId="6F3D17FB"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空调区的下列各项得热量，应按非稳态方法计算其形成的夏季冷负荷，不应将其逐时值直接作为各对应时刻的逐时冷负荷值：</w:t>
      </w:r>
    </w:p>
    <w:p w14:paraId="15CDD7F2" w14:textId="77777777" w:rsidR="00913C78" w:rsidRPr="00913C78" w:rsidRDefault="00913C78" w:rsidP="00913C78">
      <w:pPr>
        <w:ind w:firstLine="420"/>
      </w:pPr>
      <w:r w:rsidRPr="00913C78">
        <w:rPr>
          <w:rFonts w:hint="eastAsia"/>
        </w:rPr>
        <w:t>①</w:t>
      </w:r>
      <w:r w:rsidRPr="00913C78">
        <w:rPr>
          <w:rFonts w:hint="eastAsia"/>
        </w:rPr>
        <w:t xml:space="preserve"> </w:t>
      </w:r>
      <w:r w:rsidRPr="00913C78">
        <w:rPr>
          <w:rFonts w:hint="eastAsia"/>
        </w:rPr>
        <w:t>通过围护结构传入的非稳态传热量。</w:t>
      </w:r>
    </w:p>
    <w:p w14:paraId="14E217CA" w14:textId="77777777" w:rsidR="00913C78" w:rsidRPr="00913C78" w:rsidRDefault="00913C78" w:rsidP="00913C78">
      <w:pPr>
        <w:ind w:firstLine="420"/>
      </w:pPr>
      <w:r w:rsidRPr="00913C78">
        <w:rPr>
          <w:rFonts w:hint="eastAsia"/>
        </w:rPr>
        <w:t>②</w:t>
      </w:r>
      <w:r w:rsidRPr="00913C78">
        <w:rPr>
          <w:rFonts w:hint="eastAsia"/>
        </w:rPr>
        <w:t xml:space="preserve"> </w:t>
      </w:r>
      <w:r w:rsidRPr="00913C78">
        <w:rPr>
          <w:rFonts w:hint="eastAsia"/>
        </w:rPr>
        <w:t>通过透明围护结构进入的太阳辐射热量。</w:t>
      </w:r>
    </w:p>
    <w:p w14:paraId="40B74EB0" w14:textId="77777777" w:rsidR="00913C78" w:rsidRPr="00913C78" w:rsidRDefault="00913C78" w:rsidP="00913C78">
      <w:pPr>
        <w:ind w:firstLine="420"/>
      </w:pPr>
      <w:r w:rsidRPr="00913C78">
        <w:rPr>
          <w:rFonts w:hint="eastAsia"/>
        </w:rPr>
        <w:t>③</w:t>
      </w:r>
      <w:r w:rsidRPr="00913C78">
        <w:rPr>
          <w:rFonts w:hint="eastAsia"/>
        </w:rPr>
        <w:t xml:space="preserve"> </w:t>
      </w:r>
      <w:r w:rsidRPr="00913C78">
        <w:rPr>
          <w:rFonts w:hint="eastAsia"/>
        </w:rPr>
        <w:t>人体散热量。</w:t>
      </w:r>
    </w:p>
    <w:p w14:paraId="53529984" w14:textId="77777777" w:rsidR="00913C78" w:rsidRPr="00913C78" w:rsidRDefault="00913C78" w:rsidP="00913C78">
      <w:pPr>
        <w:ind w:firstLine="420"/>
      </w:pPr>
      <w:r w:rsidRPr="00913C78">
        <w:rPr>
          <w:rFonts w:hint="eastAsia"/>
        </w:rPr>
        <w:t>④</w:t>
      </w:r>
      <w:r w:rsidRPr="00913C78">
        <w:rPr>
          <w:rFonts w:hint="eastAsia"/>
        </w:rPr>
        <w:t xml:space="preserve"> </w:t>
      </w:r>
      <w:r w:rsidRPr="00913C78">
        <w:rPr>
          <w:rFonts w:hint="eastAsia"/>
        </w:rPr>
        <w:t>非全天使用的设备、照明灯具散热量等。</w:t>
      </w:r>
    </w:p>
    <w:p w14:paraId="22D84628" w14:textId="77777777" w:rsidR="00913C78" w:rsidRPr="00913C78" w:rsidRDefault="00913C78" w:rsidP="00913C78">
      <w:pPr>
        <w:ind w:firstLine="420"/>
      </w:pPr>
      <w:r w:rsidRPr="00913C78">
        <w:t>5</w:t>
      </w:r>
      <w:r w:rsidRPr="00913C78">
        <w:rPr>
          <w:rFonts w:hint="eastAsia"/>
        </w:rPr>
        <w:t>）</w:t>
      </w:r>
      <w:r w:rsidRPr="00913C78">
        <w:t> </w:t>
      </w:r>
      <w:r w:rsidRPr="00913C78">
        <w:rPr>
          <w:rFonts w:hint="eastAsia"/>
        </w:rPr>
        <w:t>空调区的下列各项得热量，可按稳态方法计算其形成的夏季冷负荷：</w:t>
      </w:r>
    </w:p>
    <w:p w14:paraId="5E0820E8" w14:textId="77777777" w:rsidR="00913C78" w:rsidRPr="00913C78" w:rsidRDefault="00913C78" w:rsidP="00913C78">
      <w:pPr>
        <w:ind w:firstLine="420"/>
      </w:pPr>
      <w:r w:rsidRPr="00913C78">
        <w:rPr>
          <w:rFonts w:hint="eastAsia"/>
        </w:rPr>
        <w:t>①</w:t>
      </w:r>
      <w:r w:rsidRPr="00913C78">
        <w:rPr>
          <w:rFonts w:hint="eastAsia"/>
        </w:rPr>
        <w:t xml:space="preserve"> </w:t>
      </w:r>
      <w:r w:rsidRPr="00913C78">
        <w:rPr>
          <w:rFonts w:hint="eastAsia"/>
        </w:rPr>
        <w:t>室温允许波动范围大于或等于±</w:t>
      </w:r>
      <w:r w:rsidRPr="00913C78">
        <w:rPr>
          <w:rFonts w:hint="eastAsia"/>
        </w:rPr>
        <w:t>1</w:t>
      </w:r>
      <w:r w:rsidRPr="00913C78">
        <w:rPr>
          <w:rFonts w:hint="eastAsia"/>
        </w:rPr>
        <w:t>℃的空调区，通过非轻型外墙传入的传热量。</w:t>
      </w:r>
    </w:p>
    <w:p w14:paraId="78E33CD8" w14:textId="77777777" w:rsidR="00913C78" w:rsidRPr="00913C78" w:rsidRDefault="00913C78" w:rsidP="00913C78">
      <w:pPr>
        <w:ind w:firstLine="420"/>
      </w:pPr>
      <w:r w:rsidRPr="00913C78">
        <w:rPr>
          <w:rFonts w:hint="eastAsia"/>
        </w:rPr>
        <w:t>②</w:t>
      </w:r>
      <w:r w:rsidRPr="00913C78">
        <w:rPr>
          <w:rFonts w:hint="eastAsia"/>
        </w:rPr>
        <w:t xml:space="preserve"> </w:t>
      </w:r>
      <w:r w:rsidRPr="00913C78">
        <w:rPr>
          <w:rFonts w:hint="eastAsia"/>
        </w:rPr>
        <w:t>空调区与邻室的夏季温差大于</w:t>
      </w:r>
      <w:r w:rsidRPr="00913C78">
        <w:rPr>
          <w:rFonts w:hint="eastAsia"/>
        </w:rPr>
        <w:t>3</w:t>
      </w:r>
      <w:r w:rsidRPr="00913C78">
        <w:rPr>
          <w:rFonts w:hint="eastAsia"/>
        </w:rPr>
        <w:t>℃时，通过隔墙、楼板等内围护结构传入的传热量。</w:t>
      </w:r>
    </w:p>
    <w:p w14:paraId="40A21F22" w14:textId="77777777" w:rsidR="00913C78" w:rsidRPr="00913C78" w:rsidRDefault="00913C78" w:rsidP="00913C78">
      <w:pPr>
        <w:ind w:firstLine="420"/>
      </w:pPr>
      <w:r w:rsidRPr="00913C78">
        <w:rPr>
          <w:rFonts w:hint="eastAsia"/>
        </w:rPr>
        <w:t>③</w:t>
      </w:r>
      <w:r w:rsidRPr="00913C78">
        <w:rPr>
          <w:rFonts w:hint="eastAsia"/>
        </w:rPr>
        <w:t xml:space="preserve"> </w:t>
      </w:r>
      <w:r w:rsidRPr="00913C78">
        <w:rPr>
          <w:rFonts w:hint="eastAsia"/>
        </w:rPr>
        <w:t>人员密集空调区的人体散热量。</w:t>
      </w:r>
    </w:p>
    <w:p w14:paraId="26912E26" w14:textId="77777777" w:rsidR="00913C78" w:rsidRPr="00913C78" w:rsidRDefault="00913C78" w:rsidP="00913C78">
      <w:pPr>
        <w:ind w:firstLine="420"/>
      </w:pPr>
      <w:r w:rsidRPr="00913C78">
        <w:rPr>
          <w:rFonts w:hint="eastAsia"/>
        </w:rPr>
        <w:t>④</w:t>
      </w:r>
      <w:r w:rsidRPr="00913C78">
        <w:rPr>
          <w:rFonts w:hint="eastAsia"/>
        </w:rPr>
        <w:t xml:space="preserve"> </w:t>
      </w:r>
      <w:r w:rsidRPr="00913C78">
        <w:rPr>
          <w:rFonts w:hint="eastAsia"/>
        </w:rPr>
        <w:t>全天使用的设备、照明灯具散热量等。</w:t>
      </w:r>
    </w:p>
    <w:p w14:paraId="2AA436A2"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空调区的夏季冷负荷计算，应符合下列规定：</w:t>
      </w:r>
    </w:p>
    <w:p w14:paraId="78D09B9F" w14:textId="77777777" w:rsidR="00913C78" w:rsidRPr="00913C78" w:rsidRDefault="00913C78" w:rsidP="00913C78">
      <w:pPr>
        <w:ind w:firstLine="420"/>
      </w:pPr>
      <w:r w:rsidRPr="00913C78">
        <w:rPr>
          <w:rFonts w:hint="eastAsia"/>
        </w:rPr>
        <w:t>①</w:t>
      </w:r>
      <w:r w:rsidRPr="00913C78">
        <w:rPr>
          <w:rFonts w:hint="eastAsia"/>
        </w:rPr>
        <w:t xml:space="preserve"> </w:t>
      </w:r>
      <w:r w:rsidRPr="00913C78">
        <w:rPr>
          <w:rFonts w:hint="eastAsia"/>
        </w:rPr>
        <w:t>舒适性空调可不计算地面传热形成的冷负荷；工艺性空调有外墙时，宜计算距外墙</w:t>
      </w:r>
      <w:r w:rsidRPr="00913C78">
        <w:rPr>
          <w:rFonts w:hint="eastAsia"/>
        </w:rPr>
        <w:t>2m</w:t>
      </w:r>
      <w:r w:rsidRPr="00913C78">
        <w:rPr>
          <w:rFonts w:hint="eastAsia"/>
        </w:rPr>
        <w:t>范围内的地面传热形成的冷负荷。</w:t>
      </w:r>
    </w:p>
    <w:p w14:paraId="75EF1A7F" w14:textId="77777777" w:rsidR="00913C78" w:rsidRPr="00913C78" w:rsidRDefault="00913C78" w:rsidP="00913C78">
      <w:pPr>
        <w:ind w:firstLine="420"/>
      </w:pPr>
      <w:r w:rsidRPr="00913C78">
        <w:rPr>
          <w:rFonts w:hint="eastAsia"/>
        </w:rPr>
        <w:t>②</w:t>
      </w:r>
      <w:r w:rsidRPr="00913C78">
        <w:rPr>
          <w:rFonts w:hint="eastAsia"/>
        </w:rPr>
        <w:t xml:space="preserve"> </w:t>
      </w:r>
      <w:r w:rsidRPr="00913C78">
        <w:rPr>
          <w:rFonts w:hint="eastAsia"/>
        </w:rPr>
        <w:t>计算人体、照明和设备等散热形成的冷负荷时，应考虑人员群集系数、同时使用系数、设备功率系数和通风保温系数等。</w:t>
      </w:r>
    </w:p>
    <w:p w14:paraId="70D85E2A" w14:textId="77777777" w:rsidR="00913C78" w:rsidRPr="00913C78" w:rsidRDefault="00913C78" w:rsidP="00913C78">
      <w:pPr>
        <w:ind w:firstLine="420"/>
      </w:pPr>
      <w:r w:rsidRPr="00913C78">
        <w:rPr>
          <w:rFonts w:hint="eastAsia"/>
        </w:rPr>
        <w:t>③</w:t>
      </w:r>
      <w:r w:rsidRPr="00913C78">
        <w:rPr>
          <w:rFonts w:hint="eastAsia"/>
        </w:rPr>
        <w:t xml:space="preserve"> </w:t>
      </w:r>
      <w:r w:rsidRPr="00913C78">
        <w:rPr>
          <w:rFonts w:hint="eastAsia"/>
        </w:rPr>
        <w:t>屋顶处于空调区之外时，只计算屋顶进入空调区的辐射部分形成的冷负荷；高大空间采用分层空调时，空调区的逐时冷负荷可按全室性空调计算的逐时冷负荷乘以小于</w:t>
      </w:r>
      <w:r w:rsidRPr="00913C78">
        <w:rPr>
          <w:rFonts w:hint="eastAsia"/>
        </w:rPr>
        <w:t>1</w:t>
      </w:r>
      <w:r w:rsidRPr="00913C78">
        <w:rPr>
          <w:rFonts w:hint="eastAsia"/>
        </w:rPr>
        <w:t>的系数确定。</w:t>
      </w:r>
    </w:p>
    <w:p w14:paraId="37A15DFB" w14:textId="77777777" w:rsidR="00913C78" w:rsidRPr="00913C78" w:rsidRDefault="00913C78" w:rsidP="00913C78">
      <w:pPr>
        <w:ind w:firstLine="420"/>
      </w:pPr>
      <w:r w:rsidRPr="00913C78">
        <w:rPr>
          <w:rFonts w:hint="eastAsia"/>
        </w:rPr>
        <w:t>（</w:t>
      </w:r>
      <w:r w:rsidRPr="00913C78">
        <w:t>2</w:t>
      </w:r>
      <w:r w:rsidRPr="00913C78">
        <w:rPr>
          <w:rFonts w:hint="eastAsia"/>
        </w:rPr>
        <w:t>）能耗模拟计算方法要求</w:t>
      </w:r>
    </w:p>
    <w:p w14:paraId="29E414D2" w14:textId="143D2C85" w:rsidR="00913C78" w:rsidRDefault="00913C78" w:rsidP="00AC2900">
      <w:pPr>
        <w:ind w:firstLine="420"/>
      </w:pPr>
      <w:r w:rsidRPr="00913C78">
        <w:t>1</w:t>
      </w:r>
      <w:r w:rsidRPr="00913C78">
        <w:rPr>
          <w:rFonts w:hint="eastAsia"/>
        </w:rPr>
        <w:t>）</w:t>
      </w:r>
      <w:r w:rsidRPr="00913C78">
        <w:t> </w:t>
      </w:r>
      <w:r w:rsidRPr="00913C78">
        <w:t>以建筑供暖空调系统节能率为评价指标，可参照</w:t>
      </w:r>
      <w:r w:rsidRPr="00913C78">
        <w:rPr>
          <w:rFonts w:hint="eastAsia"/>
        </w:rPr>
        <w:t>下式</w:t>
      </w:r>
      <w:r w:rsidRPr="00913C78">
        <w:t>计算：</w:t>
      </w:r>
    </w:p>
    <w:p w14:paraId="6EFB8D79" w14:textId="2F59DF81" w:rsidR="006A3413" w:rsidRPr="00913C78" w:rsidRDefault="00D20A1F" w:rsidP="00AC2900">
      <w:pPr>
        <w:ind w:firstLine="420"/>
        <w:jc w:val="center"/>
      </w:pPr>
      <m:oMathPara>
        <m:oMath>
          <m:sSub>
            <m:sSubPr>
              <m:ctrlPr>
                <w:rPr>
                  <w:rFonts w:ascii="Cambria Math" w:hAnsi="Cambria Math"/>
                  <w:i/>
                </w:rPr>
              </m:ctrlPr>
            </m:sSubPr>
            <m:e>
              <m:r>
                <w:rPr>
                  <w:rFonts w:ascii="Cambria Math"/>
                </w:rPr>
                <m:t>φ</m:t>
              </m:r>
            </m:e>
            <m:sub>
              <m:r>
                <m:rPr>
                  <m:nor/>
                </m:rPr>
                <w:rPr>
                  <w:rFonts w:ascii="Cambria Math"/>
                </w:rPr>
                <m:t>HVAC</m:t>
              </m:r>
              <m:ctrlPr>
                <w:rPr>
                  <w:rFonts w:ascii="Cambria Math" w:hAnsi="Cambria Math"/>
                </w:rPr>
              </m:ctrlPr>
            </m:sub>
          </m:sSub>
          <m:r>
            <w:rPr>
              <w:rFonts w:ascii="Cambria Math"/>
            </w:rPr>
            <m:t>=</m:t>
          </m:r>
          <m:d>
            <m:dPr>
              <m:ctrlPr>
                <w:rPr>
                  <w:rFonts w:ascii="Cambria Math" w:hAnsi="Cambria Math"/>
                  <w:i/>
                </w:rPr>
              </m:ctrlPr>
            </m:dPr>
            <m:e>
              <m:r>
                <w:rPr>
                  <w:rFonts w:ascii="Cambria Math"/>
                </w:rPr>
                <m:t>1</m:t>
              </m:r>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Q</m:t>
                      </m:r>
                    </m:e>
                    <m:sub>
                      <m:r>
                        <m:rPr>
                          <m:nor/>
                        </m:rPr>
                        <w:rPr>
                          <w:rFonts w:ascii="Cambria Math"/>
                        </w:rPr>
                        <m:t>HVAC</m:t>
                      </m:r>
                      <m:ctrlPr>
                        <w:rPr>
                          <w:rFonts w:ascii="Cambria Math" w:hAnsi="Cambria Math"/>
                        </w:rPr>
                      </m:ctrlPr>
                    </m:sub>
                  </m:sSub>
                </m:num>
                <m:den>
                  <m:sSub>
                    <m:sSubPr>
                      <m:ctrlPr>
                        <w:rPr>
                          <w:rFonts w:ascii="Cambria Math" w:hAnsi="Cambria Math"/>
                          <w:i/>
                        </w:rPr>
                      </m:ctrlPr>
                    </m:sSubPr>
                    <m:e>
                      <m:r>
                        <w:rPr>
                          <w:rFonts w:ascii="Cambria Math"/>
                        </w:rPr>
                        <m:t>Q</m:t>
                      </m:r>
                    </m:e>
                    <m:sub>
                      <m:r>
                        <m:rPr>
                          <m:nor/>
                        </m:rPr>
                        <w:rPr>
                          <w:rFonts w:ascii="Cambria Math"/>
                        </w:rPr>
                        <m:t>HVAC</m:t>
                      </m:r>
                      <m:r>
                        <m:rPr>
                          <m:sty m:val="p"/>
                        </m:rPr>
                        <w:rPr>
                          <w:rFonts w:ascii="Cambria Math"/>
                        </w:rPr>
                        <m:t>,</m:t>
                      </m:r>
                      <m:r>
                        <m:rPr>
                          <m:nor/>
                        </m:rPr>
                        <w:rPr>
                          <w:rFonts w:ascii="Cambria Math"/>
                        </w:rPr>
                        <m:t>ref</m:t>
                      </m:r>
                      <m:ctrlPr>
                        <w:rPr>
                          <w:rFonts w:ascii="Cambria Math" w:hAnsi="Cambria Math"/>
                        </w:rPr>
                      </m:ctrlPr>
                    </m:sub>
                  </m:sSub>
                </m:den>
              </m:f>
            </m:e>
          </m:d>
          <m:r>
            <w:rPr>
              <w:rFonts w:ascii="Cambria Math"/>
            </w:rPr>
            <m:t>×</m:t>
          </m:r>
          <m:r>
            <w:rPr>
              <w:rFonts w:ascii="Cambria Math"/>
            </w:rPr>
            <m:t>100%</m:t>
          </m:r>
        </m:oMath>
      </m:oMathPara>
    </w:p>
    <w:p w14:paraId="2DFF9814" w14:textId="04962BA7" w:rsidR="00913C78" w:rsidRPr="00913C78" w:rsidRDefault="00913C78" w:rsidP="00AC2900">
      <w:pPr>
        <w:ind w:firstLine="420"/>
      </w:pPr>
      <w:r w:rsidRPr="00913C78">
        <w:lastRenderedPageBreak/>
        <w:t>式中</w:t>
      </w:r>
      <w:r w:rsidRPr="00913C78">
        <w:rPr>
          <w:rFonts w:hint="eastAsia"/>
        </w:rPr>
        <w:t>，</w:t>
      </w:r>
      <m:oMath>
        <m:sSub>
          <m:sSubPr>
            <m:ctrlPr>
              <w:rPr>
                <w:rFonts w:ascii="Cambria Math" w:hAnsi="Cambria Math"/>
                <w:i/>
                <w:noProof/>
              </w:rPr>
            </m:ctrlPr>
          </m:sSubPr>
          <m:e>
            <m:r>
              <w:rPr>
                <w:rFonts w:ascii="Cambria Math"/>
                <w:noProof/>
              </w:rPr>
              <m:t>Q</m:t>
            </m:r>
          </m:e>
          <m:sub>
            <m:r>
              <m:rPr>
                <m:nor/>
              </m:rPr>
              <w:rPr>
                <w:rFonts w:ascii="Cambria Math"/>
                <w:noProof/>
              </w:rPr>
              <m:t>HVAC</m:t>
            </m:r>
            <m:ctrlPr>
              <w:rPr>
                <w:rFonts w:ascii="Cambria Math" w:hAnsi="Cambria Math"/>
                <w:noProof/>
              </w:rPr>
            </m:ctrlPr>
          </m:sub>
        </m:sSub>
      </m:oMath>
      <w:r w:rsidRPr="00913C78">
        <w:rPr>
          <w:rFonts w:hint="eastAsia"/>
        </w:rPr>
        <w:t>——设计建筑</w:t>
      </w:r>
      <w:r w:rsidRPr="00913C78">
        <w:t>空调采暖系统全年能耗，</w:t>
      </w:r>
      <w:r w:rsidRPr="00913C78">
        <w:t>GJ</w:t>
      </w:r>
      <w:r w:rsidRPr="00913C78">
        <w:t>；</w:t>
      </w:r>
    </w:p>
    <w:p w14:paraId="4179FE4C" w14:textId="410E921B" w:rsidR="00913C78" w:rsidRPr="00913C78" w:rsidRDefault="00D20A1F" w:rsidP="00AC2900">
      <w:pPr>
        <w:ind w:firstLineChars="500" w:firstLine="1050"/>
      </w:pPr>
      <m:oMath>
        <m:sSub>
          <m:sSubPr>
            <m:ctrlPr>
              <w:rPr>
                <w:rFonts w:ascii="Cambria Math" w:hAnsi="Cambria Math"/>
                <w:i/>
                <w:noProof/>
              </w:rPr>
            </m:ctrlPr>
          </m:sSubPr>
          <m:e>
            <m:r>
              <w:rPr>
                <w:rFonts w:ascii="Cambria Math"/>
                <w:noProof/>
              </w:rPr>
              <m:t>Q</m:t>
            </m:r>
          </m:e>
          <m:sub>
            <m:r>
              <m:rPr>
                <m:nor/>
              </m:rPr>
              <w:rPr>
                <w:rFonts w:ascii="Cambria Math"/>
                <w:noProof/>
              </w:rPr>
              <m:t>HVAC,ref</m:t>
            </m:r>
            <m:ctrlPr>
              <w:rPr>
                <w:rFonts w:ascii="Cambria Math" w:hAnsi="Cambria Math"/>
                <w:noProof/>
              </w:rPr>
            </m:ctrlPr>
          </m:sub>
        </m:sSub>
      </m:oMath>
      <w:r w:rsidR="00913C78" w:rsidRPr="00913C78">
        <w:rPr>
          <w:rFonts w:hint="eastAsia"/>
        </w:rPr>
        <w:t>——</w:t>
      </w:r>
      <w:r w:rsidR="00913C78" w:rsidRPr="00913C78">
        <w:t>参照</w:t>
      </w:r>
      <w:r w:rsidR="00913C78" w:rsidRPr="00913C78">
        <w:rPr>
          <w:rFonts w:hint="eastAsia"/>
        </w:rPr>
        <w:t>建筑</w:t>
      </w:r>
      <w:r w:rsidR="00913C78" w:rsidRPr="00913C78">
        <w:t>空调采暖系统全年能耗，</w:t>
      </w:r>
      <w:r w:rsidR="00913C78" w:rsidRPr="00913C78">
        <w:t>GJ</w:t>
      </w:r>
      <w:r w:rsidR="00913C78" w:rsidRPr="00913C78">
        <w:t>。</w:t>
      </w:r>
    </w:p>
    <w:p w14:paraId="001D8AF2"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全年空调和供暖总耗电量应按下式计算：</w:t>
      </w:r>
    </w:p>
    <w:p w14:paraId="08681785" w14:textId="539A5A58" w:rsidR="00913C78" w:rsidRPr="00913C78" w:rsidRDefault="00AC2900" w:rsidP="00AC2900">
      <w:pPr>
        <w:ind w:firstLine="420"/>
        <w:jc w:val="center"/>
      </w:pPr>
      <m:oMathPara>
        <m:oMath>
          <m:r>
            <w:rPr>
              <w:rFonts w:ascii="Cambria Math"/>
              <w:noProof/>
            </w:rPr>
            <m:t>E=</m:t>
          </m:r>
          <m:sSub>
            <m:sSubPr>
              <m:ctrlPr>
                <w:rPr>
                  <w:rFonts w:ascii="Cambria Math" w:hAnsi="Cambria Math"/>
                  <w:i/>
                  <w:noProof/>
                </w:rPr>
              </m:ctrlPr>
            </m:sSubPr>
            <m:e>
              <m:r>
                <w:rPr>
                  <w:rFonts w:ascii="Cambria Math"/>
                  <w:noProof/>
                </w:rPr>
                <m:t>E</m:t>
              </m:r>
            </m:e>
            <m:sub>
              <m:r>
                <w:rPr>
                  <w:rFonts w:ascii="Cambria Math"/>
                  <w:noProof/>
                </w:rPr>
                <m:t>C</m:t>
              </m:r>
            </m:sub>
          </m:sSub>
          <m:r>
            <w:rPr>
              <w:rFonts w:ascii="Cambria Math"/>
              <w:noProof/>
            </w:rPr>
            <m:t>+</m:t>
          </m:r>
          <m:sSub>
            <m:sSubPr>
              <m:ctrlPr>
                <w:rPr>
                  <w:rFonts w:ascii="Cambria Math" w:hAnsi="Cambria Math"/>
                  <w:i/>
                  <w:noProof/>
                </w:rPr>
              </m:ctrlPr>
            </m:sSubPr>
            <m:e>
              <m:r>
                <w:rPr>
                  <w:rFonts w:ascii="Cambria Math"/>
                  <w:noProof/>
                </w:rPr>
                <m:t>E</m:t>
              </m:r>
            </m:e>
            <m:sub>
              <m:r>
                <w:rPr>
                  <w:rFonts w:ascii="Cambria Math"/>
                  <w:noProof/>
                </w:rPr>
                <m:t>H</m:t>
              </m:r>
            </m:sub>
          </m:sSub>
        </m:oMath>
      </m:oMathPara>
    </w:p>
    <w:p w14:paraId="1C5B063D" w14:textId="259F4A89" w:rsidR="00913C78" w:rsidRPr="00913C78" w:rsidRDefault="00913C78" w:rsidP="00AC2900">
      <w:pPr>
        <w:ind w:firstLine="420"/>
      </w:pPr>
      <w:r w:rsidRPr="00913C78">
        <w:rPr>
          <w:rFonts w:hint="eastAsia"/>
        </w:rPr>
        <w:t>式中，</w:t>
      </w:r>
      <m:oMath>
        <m:r>
          <w:rPr>
            <w:rFonts w:ascii="Cambria Math"/>
            <w:noProof/>
          </w:rPr>
          <m:t>E</m:t>
        </m:r>
      </m:oMath>
      <w:r w:rsidRPr="00913C78">
        <w:rPr>
          <w:rFonts w:hint="eastAsia"/>
        </w:rPr>
        <w:t>——全年供暖和空调总耗电量，</w:t>
      </w:r>
      <m:oMath>
        <m:r>
          <m:rPr>
            <m:nor/>
          </m:rPr>
          <w:rPr>
            <w:rFonts w:ascii="Cambria Math"/>
            <w:noProof/>
          </w:rPr>
          <m:t>kW</m:t>
        </m:r>
        <m:r>
          <m:rPr>
            <m:sty m:val="p"/>
          </m:rPr>
          <w:rPr>
            <w:rFonts w:ascii="Cambria Math"/>
            <w:noProof/>
          </w:rPr>
          <m:t> · </m:t>
        </m:r>
        <m:r>
          <w:rPr>
            <w:rFonts w:ascii="Cambria Math"/>
            <w:noProof/>
          </w:rPr>
          <m:t>h</m:t>
        </m:r>
        <m:r>
          <w:rPr>
            <w:rFonts w:ascii="Cambria Math"/>
            <w:noProof/>
          </w:rPr>
          <m:t>/</m:t>
        </m:r>
        <m:sSup>
          <m:sSupPr>
            <m:ctrlPr>
              <w:rPr>
                <w:rFonts w:ascii="Cambria Math" w:hAnsi="Cambria Math"/>
                <w:i/>
                <w:noProof/>
              </w:rPr>
            </m:ctrlPr>
          </m:sSupPr>
          <m:e>
            <m:r>
              <w:rPr>
                <w:rFonts w:ascii="Cambria Math"/>
                <w:noProof/>
              </w:rPr>
              <m:t>m</m:t>
            </m:r>
          </m:e>
          <m:sup>
            <m:r>
              <w:rPr>
                <w:rFonts w:ascii="Cambria Math"/>
                <w:noProof/>
              </w:rPr>
              <m:t>2</m:t>
            </m:r>
          </m:sup>
        </m:sSup>
      </m:oMath>
      <w:r w:rsidRPr="00913C78">
        <w:rPr>
          <w:rFonts w:hint="eastAsia"/>
        </w:rPr>
        <w:t>；</w:t>
      </w:r>
    </w:p>
    <w:p w14:paraId="6B0B077F" w14:textId="23FA4FAE"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C</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E</m:t>
            </m:r>
          </m:e>
          <m:sub>
            <m:r>
              <m:rPr>
                <m:sty m:val="p"/>
              </m:rPr>
              <w:rPr>
                <w:rFonts w:ascii="Cambria Math"/>
                <w:noProof/>
              </w:rPr>
              <m:t>C</m:t>
            </m:r>
          </m:sub>
        </m:sSub>
      </m:oMath>
      <w:r w:rsidRPr="00913C78">
        <w:fldChar w:fldCharType="end"/>
      </w:r>
      <w:r w:rsidRPr="00913C78">
        <w:rPr>
          <w:rFonts w:hint="eastAsia"/>
        </w:rPr>
        <w:t>——全年空调耗电量，</w:t>
      </w:r>
      <m:oMath>
        <m:r>
          <m:rPr>
            <m:nor/>
          </m:rPr>
          <w:rPr>
            <w:rFonts w:ascii="Cambria Math"/>
            <w:noProof/>
          </w:rPr>
          <m:t>kW</m:t>
        </m:r>
        <m:r>
          <m:rPr>
            <m:sty m:val="p"/>
          </m:rPr>
          <w:rPr>
            <w:rFonts w:ascii="Cambria Math"/>
            <w:noProof/>
          </w:rPr>
          <m:t> · </m:t>
        </m:r>
        <m:r>
          <w:rPr>
            <w:rFonts w:ascii="Cambria Math"/>
            <w:noProof/>
          </w:rPr>
          <m:t>h</m:t>
        </m:r>
        <m:r>
          <w:rPr>
            <w:rFonts w:ascii="Cambria Math"/>
            <w:noProof/>
          </w:rPr>
          <m:t>/</m:t>
        </m:r>
        <m:sSup>
          <m:sSupPr>
            <m:ctrlPr>
              <w:rPr>
                <w:rFonts w:ascii="Cambria Math" w:hAnsi="Cambria Math"/>
                <w:i/>
                <w:noProof/>
              </w:rPr>
            </m:ctrlPr>
          </m:sSupPr>
          <m:e>
            <m:r>
              <w:rPr>
                <w:rFonts w:ascii="Cambria Math"/>
                <w:noProof/>
              </w:rPr>
              <m:t>m</m:t>
            </m:r>
          </m:e>
          <m:sup>
            <m:r>
              <w:rPr>
                <w:rFonts w:ascii="Cambria Math"/>
                <w:noProof/>
              </w:rPr>
              <m:t>2</m:t>
            </m:r>
          </m:sup>
        </m:sSup>
      </m:oMath>
      <w:r w:rsidRPr="00913C78">
        <w:rPr>
          <w:rFonts w:hint="eastAsia"/>
        </w:rPr>
        <w:t>；</w:t>
      </w:r>
    </w:p>
    <w:p w14:paraId="212B90AE" w14:textId="6DA728D6"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E</m:t>
            </m:r>
          </m:e>
          <m:sub>
            <m:r>
              <m:rPr>
                <m:sty m:val="p"/>
              </m:rPr>
              <w:rPr>
                <w:rFonts w:ascii="Cambria Math" w:hAnsi="Cambria Math"/>
              </w:rPr>
              <m:t>H</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E</m:t>
            </m:r>
          </m:e>
          <m:sub>
            <m:r>
              <m:rPr>
                <m:sty m:val="p"/>
              </m:rPr>
              <w:rPr>
                <w:rFonts w:ascii="Cambria Math"/>
                <w:noProof/>
              </w:rPr>
              <m:t>H</m:t>
            </m:r>
          </m:sub>
        </m:sSub>
      </m:oMath>
      <w:r w:rsidRPr="00913C78">
        <w:fldChar w:fldCharType="end"/>
      </w:r>
      <w:r w:rsidRPr="00913C78">
        <w:rPr>
          <w:rFonts w:hint="eastAsia"/>
        </w:rPr>
        <w:t>——全年供暖耗电量，</w:t>
      </w:r>
      <m:oMath>
        <m:r>
          <m:rPr>
            <m:nor/>
          </m:rPr>
          <w:rPr>
            <w:rFonts w:ascii="Cambria Math"/>
            <w:noProof/>
          </w:rPr>
          <m:t>kW</m:t>
        </m:r>
        <m:r>
          <m:rPr>
            <m:sty m:val="p"/>
          </m:rPr>
          <w:rPr>
            <w:rFonts w:ascii="Cambria Math"/>
            <w:noProof/>
          </w:rPr>
          <m:t> · </m:t>
        </m:r>
        <m:r>
          <w:rPr>
            <w:rFonts w:ascii="Cambria Math"/>
            <w:noProof/>
          </w:rPr>
          <m:t>h</m:t>
        </m:r>
        <m:r>
          <w:rPr>
            <w:rFonts w:ascii="Cambria Math"/>
            <w:noProof/>
          </w:rPr>
          <m:t>/</m:t>
        </m:r>
        <m:sSup>
          <m:sSupPr>
            <m:ctrlPr>
              <w:rPr>
                <w:rFonts w:ascii="Cambria Math" w:hAnsi="Cambria Math"/>
                <w:i/>
                <w:noProof/>
              </w:rPr>
            </m:ctrlPr>
          </m:sSupPr>
          <m:e>
            <m:r>
              <w:rPr>
                <w:rFonts w:ascii="Cambria Math"/>
                <w:noProof/>
              </w:rPr>
              <m:t>m</m:t>
            </m:r>
          </m:e>
          <m:sup>
            <m:r>
              <w:rPr>
                <w:rFonts w:ascii="Cambria Math"/>
                <w:noProof/>
              </w:rPr>
              <m:t>2</m:t>
            </m:r>
          </m:sup>
        </m:sSup>
      </m:oMath>
      <w:r w:rsidRPr="00913C78">
        <w:rPr>
          <w:rFonts w:hint="eastAsia"/>
        </w:rPr>
        <w:t>。</w:t>
      </w:r>
    </w:p>
    <w:p w14:paraId="1F5A36E8"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全年空调耗电量应按下式计算：</w:t>
      </w:r>
    </w:p>
    <w:p w14:paraId="62F937FF" w14:textId="231D19C7"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E</m:t>
              </m:r>
            </m:e>
            <m:sub>
              <m:r>
                <w:rPr>
                  <w:rFonts w:ascii="Cambria Math"/>
                  <w:noProof/>
                </w:rPr>
                <m:t>C</m:t>
              </m:r>
            </m:sub>
          </m:sSub>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Q</m:t>
                  </m:r>
                </m:e>
                <m:sub>
                  <m:r>
                    <w:rPr>
                      <w:rFonts w:ascii="Cambria Math"/>
                      <w:noProof/>
                    </w:rPr>
                    <m:t>C</m:t>
                  </m:r>
                </m:sub>
              </m:sSub>
            </m:num>
            <m:den>
              <m:r>
                <w:rPr>
                  <w:rFonts w:ascii="Cambria Math"/>
                  <w:noProof/>
                </w:rPr>
                <m:t>A</m:t>
              </m:r>
              <m:r>
                <w:rPr>
                  <w:rFonts w:ascii="Cambria Math"/>
                  <w:noProof/>
                </w:rPr>
                <m:t>×</m:t>
              </m:r>
              <m:r>
                <m:rPr>
                  <m:nor/>
                </m:rPr>
                <w:rPr>
                  <w:rFonts w:ascii="Cambria Math"/>
                  <w:noProof/>
                </w:rPr>
                <m:t>SCO</m:t>
              </m:r>
              <m:sSub>
                <m:sSubPr>
                  <m:ctrlPr>
                    <w:rPr>
                      <w:rFonts w:ascii="Cambria Math" w:hAnsi="Cambria Math"/>
                      <w:noProof/>
                    </w:rPr>
                  </m:ctrlPr>
                </m:sSubPr>
                <m:e>
                  <m:r>
                    <m:rPr>
                      <m:nor/>
                    </m:rPr>
                    <w:rPr>
                      <w:rFonts w:ascii="Cambria Math"/>
                      <w:noProof/>
                    </w:rPr>
                    <m:t>P</m:t>
                  </m:r>
                </m:e>
                <m:sub>
                  <m:r>
                    <w:rPr>
                      <w:rFonts w:ascii="Cambria Math"/>
                      <w:noProof/>
                    </w:rPr>
                    <m:t>T</m:t>
                  </m:r>
                  <m:ctrlPr>
                    <w:rPr>
                      <w:rFonts w:ascii="Cambria Math" w:hAnsi="Cambria Math"/>
                      <w:i/>
                      <w:noProof/>
                    </w:rPr>
                  </m:ctrlPr>
                </m:sub>
              </m:sSub>
            </m:den>
          </m:f>
        </m:oMath>
      </m:oMathPara>
    </w:p>
    <w:p w14:paraId="0DE62A0D" w14:textId="49B223A9" w:rsidR="00913C78" w:rsidRPr="00913C78" w:rsidRDefault="00913C78" w:rsidP="00AC2900">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C</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C</m:t>
            </m:r>
          </m:sub>
        </m:sSub>
      </m:oMath>
      <w:r w:rsidRPr="00913C78">
        <w:fldChar w:fldCharType="end"/>
      </w:r>
      <w:r w:rsidRPr="00913C78">
        <w:rPr>
          <w:rFonts w:hint="eastAsia"/>
        </w:rPr>
        <w:t>——全年累计耗冷量（通过动态模拟软件计算得到），</w:t>
      </w:r>
      <m:oMath>
        <m:r>
          <m:rPr>
            <m:nor/>
          </m:rPr>
          <w:rPr>
            <w:rFonts w:ascii="Cambria Math"/>
            <w:noProof/>
          </w:rPr>
          <m:t>kW</m:t>
        </m:r>
        <m:r>
          <m:rPr>
            <m:sty m:val="p"/>
          </m:rPr>
          <w:rPr>
            <w:rFonts w:ascii="Cambria Math"/>
            <w:noProof/>
          </w:rPr>
          <m:t> · </m:t>
        </m:r>
        <m:r>
          <w:rPr>
            <w:rFonts w:ascii="Cambria Math"/>
            <w:noProof/>
          </w:rPr>
          <m:t>h</m:t>
        </m:r>
      </m:oMath>
      <w:r w:rsidRPr="00913C78">
        <w:rPr>
          <w:rFonts w:hint="eastAsia"/>
        </w:rPr>
        <w:t>；</w:t>
      </w:r>
    </w:p>
    <w:p w14:paraId="51E7E43A" w14:textId="306A871F" w:rsidR="00913C78" w:rsidRPr="00913C78" w:rsidRDefault="00913C78" w:rsidP="00AC2900">
      <w:pPr>
        <w:ind w:firstLineChars="500" w:firstLine="1050"/>
      </w:pPr>
      <w:r w:rsidRPr="00913C78">
        <w:fldChar w:fldCharType="begin"/>
      </w:r>
      <w:r w:rsidRPr="00913C78">
        <w:instrText xml:space="preserve"> QUOTE </w:instrText>
      </w:r>
      <m:oMath>
        <m:r>
          <m:rPr>
            <m:sty m:val="p"/>
          </m:rPr>
          <w:rPr>
            <w:rFonts w:ascii="Cambria Math" w:hAnsi="Cambria Math"/>
          </w:rPr>
          <m:t>A</m:t>
        </m:r>
      </m:oMath>
      <w:r w:rsidRPr="00913C78">
        <w:instrText xml:space="preserve"> </w:instrText>
      </w:r>
      <w:r w:rsidRPr="00913C78">
        <w:fldChar w:fldCharType="separate"/>
      </w:r>
      <m:oMath>
        <m:r>
          <m:rPr>
            <m:sty m:val="p"/>
          </m:rPr>
          <w:rPr>
            <w:rFonts w:ascii="Cambria Math"/>
            <w:noProof/>
          </w:rPr>
          <m:t>A</m:t>
        </m:r>
      </m:oMath>
      <w:r w:rsidRPr="00913C78">
        <w:fldChar w:fldCharType="end"/>
      </w:r>
      <w:r w:rsidRPr="00913C78">
        <w:rPr>
          <w:rFonts w:hint="eastAsia"/>
        </w:rPr>
        <w:t>——总建筑面积，</w:t>
      </w:r>
      <w:r w:rsidRPr="00913C78">
        <w:rPr>
          <w:rFonts w:hint="eastAsia"/>
        </w:rPr>
        <w:t>m2</w:t>
      </w:r>
      <w:r w:rsidRPr="00913C78">
        <w:rPr>
          <w:rFonts w:hint="eastAsia"/>
        </w:rPr>
        <w:t>；</w:t>
      </w:r>
    </w:p>
    <w:p w14:paraId="482B650E" w14:textId="5F5CE709"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SCOP</m:t>
            </m:r>
          </m:e>
          <m:sub>
            <m:r>
              <m:rPr>
                <m:sty m:val="p"/>
              </m:rPr>
              <w:rPr>
                <w:rFonts w:ascii="Cambria Math" w:hAnsi="Cambria Math"/>
              </w:rPr>
              <m:t>T</m:t>
            </m:r>
          </m:sub>
        </m:sSub>
      </m:oMath>
      <w:r w:rsidRPr="00913C78">
        <w:instrText xml:space="preserve"> </w:instrText>
      </w:r>
      <w:r w:rsidRPr="00913C78">
        <w:fldChar w:fldCharType="separate"/>
      </w:r>
      <m:oMath>
        <m:r>
          <m:rPr>
            <m:nor/>
          </m:rPr>
          <w:rPr>
            <w:rFonts w:ascii="Cambria Math"/>
            <w:noProof/>
          </w:rPr>
          <m:t>SCO</m:t>
        </m:r>
        <m:sSub>
          <m:sSubPr>
            <m:ctrlPr>
              <w:rPr>
                <w:rFonts w:ascii="Cambria Math" w:hAnsi="Cambria Math"/>
                <w:noProof/>
              </w:rPr>
            </m:ctrlPr>
          </m:sSubPr>
          <m:e>
            <m:r>
              <m:rPr>
                <m:nor/>
              </m:rPr>
              <w:rPr>
                <w:rFonts w:ascii="Cambria Math"/>
                <w:noProof/>
              </w:rPr>
              <m:t>P</m:t>
            </m:r>
          </m:e>
          <m:sub>
            <m:r>
              <m:rPr>
                <m:sty m:val="p"/>
              </m:rPr>
              <w:rPr>
                <w:rFonts w:ascii="Cambria Math"/>
                <w:noProof/>
              </w:rPr>
              <m:t>T</m:t>
            </m:r>
            <m:ctrlPr>
              <w:rPr>
                <w:rFonts w:ascii="Cambria Math" w:hAnsi="Cambria Math"/>
                <w:i/>
                <w:noProof/>
              </w:rPr>
            </m:ctrlPr>
          </m:sub>
        </m:sSub>
      </m:oMath>
      <w:r w:rsidRPr="00913C78">
        <w:fldChar w:fldCharType="end"/>
      </w:r>
      <w:r w:rsidRPr="00913C78">
        <w:rPr>
          <w:rFonts w:hint="eastAsia"/>
        </w:rPr>
        <w:t>——供冷系统综合性能系数，取</w:t>
      </w:r>
      <w:r w:rsidRPr="00913C78">
        <w:rPr>
          <w:rFonts w:hint="eastAsia"/>
        </w:rPr>
        <w:t>2</w:t>
      </w:r>
      <w:r w:rsidRPr="00913C78">
        <w:t>.</w:t>
      </w:r>
      <w:r w:rsidRPr="00913C78">
        <w:rPr>
          <w:rFonts w:hint="eastAsia"/>
        </w:rPr>
        <w:t>50</w:t>
      </w:r>
      <w:r w:rsidRPr="00913C78">
        <w:rPr>
          <w:rFonts w:hint="eastAsia"/>
        </w:rPr>
        <w:t>。</w:t>
      </w:r>
    </w:p>
    <w:p w14:paraId="43D097B6" w14:textId="77777777" w:rsidR="00913C78" w:rsidRPr="00913C78" w:rsidRDefault="00913C78" w:rsidP="00913C78">
      <w:pPr>
        <w:ind w:firstLine="420"/>
      </w:pPr>
      <w:r w:rsidRPr="00913C78">
        <w:rPr>
          <w:rFonts w:hint="eastAsia"/>
        </w:rPr>
        <w:t>4</w:t>
      </w:r>
      <w:r w:rsidRPr="00913C78">
        <w:rPr>
          <w:rFonts w:hint="eastAsia"/>
        </w:rPr>
        <w:t>）重庆地区全年供暖耗电量应按下式计算：</w:t>
      </w:r>
    </w:p>
    <w:p w14:paraId="345901DA" w14:textId="2BB25ABC"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E</m:t>
              </m:r>
            </m:e>
            <m:sub>
              <m:r>
                <w:rPr>
                  <w:rFonts w:ascii="Cambria Math"/>
                  <w:noProof/>
                </w:rPr>
                <m:t>H</m:t>
              </m:r>
            </m:sub>
          </m:sSub>
          <m:r>
            <w:rPr>
              <w:rFonts w:ascii="Cambria Math"/>
              <w:noProof/>
            </w:rPr>
            <m:t>=</m:t>
          </m:r>
          <m:f>
            <m:fPr>
              <m:ctrlPr>
                <w:rPr>
                  <w:rFonts w:ascii="Cambria Math" w:hAnsi="Cambria Math"/>
                  <w:i/>
                  <w:noProof/>
                </w:rPr>
              </m:ctrlPr>
            </m:fPr>
            <m:num>
              <m:sSub>
                <m:sSubPr>
                  <m:ctrlPr>
                    <w:rPr>
                      <w:rFonts w:ascii="Cambria Math" w:hAnsi="Cambria Math"/>
                      <w:i/>
                      <w:noProof/>
                    </w:rPr>
                  </m:ctrlPr>
                </m:sSubPr>
                <m:e>
                  <m:r>
                    <w:rPr>
                      <w:rFonts w:ascii="Cambria Math"/>
                      <w:noProof/>
                    </w:rPr>
                    <m:t>Q</m:t>
                  </m:r>
                </m:e>
                <m:sub>
                  <m:r>
                    <w:rPr>
                      <w:rFonts w:ascii="Cambria Math"/>
                      <w:noProof/>
                    </w:rPr>
                    <m:t>H</m:t>
                  </m:r>
                </m:sub>
              </m:sSub>
            </m:num>
            <m:den>
              <m:r>
                <w:rPr>
                  <w:rFonts w:ascii="Cambria Math"/>
                  <w:noProof/>
                </w:rPr>
                <m:t>A</m:t>
              </m:r>
              <m:sSub>
                <m:sSubPr>
                  <m:ctrlPr>
                    <w:rPr>
                      <w:rFonts w:ascii="Cambria Math" w:hAnsi="Cambria Math"/>
                      <w:i/>
                      <w:noProof/>
                    </w:rPr>
                  </m:ctrlPr>
                </m:sSubPr>
                <m:e>
                  <m:r>
                    <w:rPr>
                      <w:rFonts w:ascii="Cambria Math"/>
                      <w:noProof/>
                    </w:rPr>
                    <m:t>η</m:t>
                  </m:r>
                </m:e>
                <m:sub>
                  <m:r>
                    <w:rPr>
                      <w:rFonts w:ascii="Cambria Math"/>
                      <w:noProof/>
                    </w:rPr>
                    <m:t>1</m:t>
                  </m:r>
                </m:sub>
              </m:sSub>
              <m:sSub>
                <m:sSubPr>
                  <m:ctrlPr>
                    <w:rPr>
                      <w:rFonts w:ascii="Cambria Math" w:hAnsi="Cambria Math"/>
                      <w:i/>
                      <w:noProof/>
                    </w:rPr>
                  </m:ctrlPr>
                </m:sSubPr>
                <m:e>
                  <m:r>
                    <w:rPr>
                      <w:rFonts w:ascii="Cambria Math"/>
                      <w:noProof/>
                    </w:rPr>
                    <m:t>q</m:t>
                  </m:r>
                </m:e>
                <m:sub>
                  <m:r>
                    <w:rPr>
                      <w:rFonts w:ascii="Cambria Math"/>
                      <w:noProof/>
                    </w:rPr>
                    <m:t>1</m:t>
                  </m:r>
                </m:sub>
              </m:sSub>
              <m:sSub>
                <m:sSubPr>
                  <m:ctrlPr>
                    <w:rPr>
                      <w:rFonts w:ascii="Cambria Math" w:hAnsi="Cambria Math"/>
                      <w:i/>
                      <w:noProof/>
                    </w:rPr>
                  </m:ctrlPr>
                </m:sSubPr>
                <m:e>
                  <m:r>
                    <w:rPr>
                      <w:rFonts w:ascii="Cambria Math"/>
                      <w:noProof/>
                    </w:rPr>
                    <m:t>q</m:t>
                  </m:r>
                </m:e>
                <m:sub>
                  <m:r>
                    <w:rPr>
                      <w:rFonts w:ascii="Cambria Math"/>
                      <w:noProof/>
                    </w:rPr>
                    <m:t>2</m:t>
                  </m:r>
                </m:sub>
              </m:sSub>
            </m:den>
          </m:f>
          <m:r>
            <w:rPr>
              <w:rFonts w:ascii="Cambria Math"/>
              <w:noProof/>
            </w:rPr>
            <m:t>φ</m:t>
          </m:r>
        </m:oMath>
      </m:oMathPara>
    </w:p>
    <w:p w14:paraId="55A8CEC7" w14:textId="29189D15" w:rsidR="00913C78" w:rsidRPr="00913C78" w:rsidRDefault="00913C78" w:rsidP="00AC2900">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η</m:t>
            </m:r>
          </m:e>
          <m:sub>
            <m:r>
              <m:rPr>
                <m:sty m:val="p"/>
              </m:rPr>
              <w:rPr>
                <w:rFonts w:ascii="Cambria Math" w:hAnsi="Cambria Math"/>
              </w:rPr>
              <m:t>1</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η</m:t>
            </m:r>
          </m:e>
          <m:sub>
            <m:r>
              <m:rPr>
                <m:sty m:val="p"/>
              </m:rPr>
              <w:rPr>
                <w:rFonts w:ascii="Cambria Math"/>
                <w:noProof/>
              </w:rPr>
              <m:t>1</m:t>
            </m:r>
          </m:sub>
        </m:sSub>
      </m:oMath>
      <w:r w:rsidRPr="00913C78">
        <w:fldChar w:fldCharType="end"/>
      </w:r>
      <w:r w:rsidRPr="00913C78">
        <w:rPr>
          <w:rFonts w:hint="eastAsia"/>
        </w:rPr>
        <w:t>——热源为燃气锅炉的供暖系统综合效率，取</w:t>
      </w:r>
      <w:r w:rsidRPr="00913C78">
        <w:rPr>
          <w:rFonts w:hint="eastAsia"/>
        </w:rPr>
        <w:t>0.75</w:t>
      </w:r>
      <w:r w:rsidRPr="00913C78">
        <w:rPr>
          <w:rFonts w:hint="eastAsia"/>
        </w:rPr>
        <w:t>；</w:t>
      </w:r>
    </w:p>
    <w:p w14:paraId="4811862E" w14:textId="3397A681"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1</m:t>
            </m:r>
          </m:sub>
        </m:sSub>
      </m:oMath>
      <w:r w:rsidRPr="00913C78">
        <w:fldChar w:fldCharType="end"/>
      </w:r>
      <w:r w:rsidRPr="00913C78">
        <w:rPr>
          <w:rFonts w:hint="eastAsia"/>
        </w:rPr>
        <w:t>——标准天然气热值，取</w:t>
      </w:r>
      <w:r w:rsidRPr="00913C78">
        <w:rPr>
          <w:rFonts w:hint="eastAsia"/>
        </w:rPr>
        <w:t>9.87kW</w:t>
      </w:r>
      <w:r w:rsidRPr="00913C78">
        <w:rPr>
          <w:rFonts w:hint="eastAsia"/>
        </w:rPr>
        <w:t>·</w:t>
      </w:r>
      <w:r w:rsidRPr="00913C78">
        <w:rPr>
          <w:rFonts w:hint="eastAsia"/>
        </w:rPr>
        <w:t>h/m3</w:t>
      </w:r>
      <w:r w:rsidRPr="00913C78">
        <w:rPr>
          <w:rFonts w:hint="eastAsia"/>
        </w:rPr>
        <w:t>；</w:t>
      </w:r>
    </w:p>
    <w:p w14:paraId="63555D0A" w14:textId="6F7D647A"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2</m:t>
            </m:r>
          </m:sub>
        </m:sSub>
      </m:oMath>
      <w:r w:rsidRPr="00913C78">
        <w:fldChar w:fldCharType="end"/>
      </w:r>
      <w:r w:rsidRPr="00913C78">
        <w:rPr>
          <w:rFonts w:hint="eastAsia"/>
        </w:rPr>
        <w:t>——发电煤耗（</w:t>
      </w:r>
      <w:r w:rsidRPr="00913C78">
        <w:rPr>
          <w:rFonts w:hint="eastAsia"/>
        </w:rPr>
        <w:t>kgce/kW</w:t>
      </w:r>
      <w:r w:rsidRPr="00913C78">
        <w:rPr>
          <w:rFonts w:hint="eastAsia"/>
        </w:rPr>
        <w:t>·</w:t>
      </w:r>
      <w:r w:rsidRPr="00913C78">
        <w:rPr>
          <w:rFonts w:hint="eastAsia"/>
        </w:rPr>
        <w:t>h</w:t>
      </w:r>
      <w:r w:rsidRPr="00913C78">
        <w:rPr>
          <w:rFonts w:hint="eastAsia"/>
        </w:rPr>
        <w:t>）取</w:t>
      </w:r>
      <w:r w:rsidRPr="00913C78">
        <w:rPr>
          <w:rFonts w:hint="eastAsia"/>
        </w:rPr>
        <w:t>0</w:t>
      </w:r>
      <w:r w:rsidRPr="00913C78">
        <w:t>.36</w:t>
      </w:r>
      <w:r w:rsidRPr="00913C78">
        <w:rPr>
          <w:rFonts w:hint="eastAsia"/>
        </w:rPr>
        <w:t>0kgce/kW</w:t>
      </w:r>
      <w:r w:rsidRPr="00913C78">
        <w:rPr>
          <w:rFonts w:hint="eastAsia"/>
        </w:rPr>
        <w:t>·</w:t>
      </w:r>
      <w:r w:rsidRPr="00913C78">
        <w:rPr>
          <w:rFonts w:hint="eastAsia"/>
        </w:rPr>
        <w:t>h</w:t>
      </w:r>
      <w:r w:rsidRPr="00913C78">
        <w:rPr>
          <w:rFonts w:hint="eastAsia"/>
        </w:rPr>
        <w:t>（</w:t>
      </w:r>
      <w:r w:rsidRPr="00913C78">
        <w:rPr>
          <w:rFonts w:hint="eastAsia"/>
        </w:rPr>
        <w:t>1kgce=29.3MJ</w:t>
      </w:r>
      <w:r w:rsidRPr="00913C78">
        <w:rPr>
          <w:rFonts w:hint="eastAsia"/>
        </w:rPr>
        <w:t>）；</w:t>
      </w:r>
    </w:p>
    <w:p w14:paraId="5CDF29AA" w14:textId="78C8DC71" w:rsidR="00913C78" w:rsidRPr="00913C78" w:rsidRDefault="00AC2900" w:rsidP="00AC2900">
      <w:pPr>
        <w:ind w:firstLineChars="500" w:firstLine="1050"/>
      </w:pPr>
      <m:oMath>
        <m:r>
          <w:rPr>
            <w:rFonts w:ascii="Cambria Math"/>
            <w:noProof/>
          </w:rPr>
          <m:t>φ</m:t>
        </m:r>
      </m:oMath>
      <w:r w:rsidRPr="00913C78">
        <w:t xml:space="preserve"> </w:t>
      </w:r>
      <w:r w:rsidR="00913C78" w:rsidRPr="00913C78">
        <w:fldChar w:fldCharType="begin"/>
      </w:r>
      <w:r w:rsidR="00913C78" w:rsidRPr="00913C78">
        <w:instrText xml:space="preserve"> QUOTE </w:instrText>
      </w:r>
      <m:oMath>
        <m:r>
          <m:rPr>
            <m:sty m:val="p"/>
          </m:rPr>
          <w:rPr>
            <w:rFonts w:ascii="Cambria Math" w:hAnsi="Cambria Math"/>
          </w:rPr>
          <m:t>φ</m:t>
        </m:r>
      </m:oMath>
      <w:r w:rsidR="00913C78" w:rsidRPr="00913C78">
        <w:instrText xml:space="preserve"> </w:instrText>
      </w:r>
      <w:r w:rsidR="00913C78" w:rsidRPr="00913C78">
        <w:fldChar w:fldCharType="end"/>
      </w:r>
      <w:r w:rsidR="00913C78" w:rsidRPr="00913C78">
        <w:rPr>
          <w:rFonts w:hint="eastAsia"/>
        </w:rPr>
        <w:t>——天然气与标煤折算系数，取</w:t>
      </w:r>
      <w:r w:rsidR="00913C78" w:rsidRPr="00913C78">
        <w:rPr>
          <w:rFonts w:hint="eastAsia"/>
        </w:rPr>
        <w:t>1</w:t>
      </w:r>
      <w:r w:rsidR="00913C78" w:rsidRPr="00913C78">
        <w:t>.</w:t>
      </w:r>
      <w:r w:rsidR="00913C78" w:rsidRPr="00913C78">
        <w:rPr>
          <w:rFonts w:hint="eastAsia"/>
        </w:rPr>
        <w:t>21kgce/m3</w:t>
      </w:r>
      <w:r w:rsidR="00913C78" w:rsidRPr="00913C78">
        <w:rPr>
          <w:rFonts w:hint="eastAsia"/>
        </w:rPr>
        <w:t>。</w:t>
      </w:r>
    </w:p>
    <w:p w14:paraId="784E4136" w14:textId="77777777" w:rsidR="00913C78" w:rsidRPr="00913C78" w:rsidRDefault="00913C78" w:rsidP="00913C78">
      <w:pPr>
        <w:ind w:firstLine="420"/>
      </w:pPr>
      <w:bookmarkStart w:id="326" w:name="_Toc475720428"/>
      <w:r w:rsidRPr="00913C78">
        <w:rPr>
          <w:rFonts w:hint="eastAsia"/>
        </w:rPr>
        <w:t>◎</w:t>
      </w:r>
      <w:r w:rsidRPr="00913C78">
        <w:rPr>
          <w:rFonts w:hint="eastAsia"/>
        </w:rPr>
        <w:t xml:space="preserve"> </w:t>
      </w:r>
      <w:r w:rsidRPr="00913C78">
        <w:t>能耗模拟软件</w:t>
      </w:r>
      <w:bookmarkEnd w:id="326"/>
    </w:p>
    <w:p w14:paraId="6D28A861" w14:textId="77777777" w:rsidR="00913C78" w:rsidRPr="00913C78" w:rsidRDefault="00913C78" w:rsidP="00913C78">
      <w:pPr>
        <w:ind w:firstLine="420"/>
      </w:pPr>
      <w:r w:rsidRPr="00913C78">
        <w:rPr>
          <w:rFonts w:hint="eastAsia"/>
        </w:rPr>
        <w:t>能耗模拟</w:t>
      </w:r>
      <w:r w:rsidRPr="00913C78">
        <w:t>报告应</w:t>
      </w:r>
      <w:r w:rsidRPr="00913C78">
        <w:rPr>
          <w:rFonts w:hint="eastAsia"/>
        </w:rPr>
        <w:t>包括</w:t>
      </w:r>
      <w:r w:rsidRPr="00913C78">
        <w:t>：</w:t>
      </w:r>
      <w:r w:rsidRPr="00913C78">
        <w:rPr>
          <w:rFonts w:hint="eastAsia"/>
        </w:rPr>
        <w:t>能耗模拟计算软件的</w:t>
      </w:r>
      <w:r w:rsidRPr="00913C78">
        <w:t>介绍</w:t>
      </w:r>
      <w:r w:rsidRPr="00913C78">
        <w:rPr>
          <w:rFonts w:hint="eastAsia"/>
        </w:rPr>
        <w:t>，</w:t>
      </w:r>
      <w:r w:rsidRPr="00913C78">
        <w:t>由于不同软件</w:t>
      </w:r>
      <w:r w:rsidRPr="00913C78">
        <w:rPr>
          <w:rFonts w:hint="eastAsia"/>
        </w:rPr>
        <w:t>的</w:t>
      </w:r>
      <w:r w:rsidRPr="00913C78">
        <w:t>负荷计算方法可能不同</w:t>
      </w:r>
      <w:r w:rsidRPr="00913C78">
        <w:rPr>
          <w:rFonts w:hint="eastAsia"/>
        </w:rPr>
        <w:t>，</w:t>
      </w:r>
      <w:r w:rsidRPr="00913C78">
        <w:t>所以</w:t>
      </w:r>
      <w:r w:rsidRPr="00913C78">
        <w:rPr>
          <w:rFonts w:hint="eastAsia"/>
        </w:rPr>
        <w:t>其分析</w:t>
      </w:r>
      <w:r w:rsidRPr="00913C78">
        <w:t>方法应与软件相对应。</w:t>
      </w:r>
    </w:p>
    <w:p w14:paraId="4BD08381" w14:textId="77777777" w:rsidR="00913C78" w:rsidRPr="00913C78" w:rsidRDefault="00913C78" w:rsidP="00913C78">
      <w:pPr>
        <w:ind w:firstLine="420"/>
      </w:pPr>
      <w:r w:rsidRPr="00913C78">
        <w:rPr>
          <w:rFonts w:hint="eastAsia"/>
        </w:rPr>
        <w:t>常用</w:t>
      </w:r>
      <w:r w:rsidRPr="00913C78">
        <w:t>能耗模拟软件简介</w:t>
      </w:r>
      <w:r w:rsidRPr="00913C78">
        <w:rPr>
          <w:rFonts w:hint="eastAsia"/>
        </w:rPr>
        <w:t>如下。</w:t>
      </w:r>
    </w:p>
    <w:p w14:paraId="1951C5DB"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w:t>
      </w:r>
      <w:r w:rsidRPr="00913C78">
        <w:t>DeST</w:t>
      </w:r>
    </w:p>
    <w:p w14:paraId="71201BCD" w14:textId="77777777" w:rsidR="00913C78" w:rsidRPr="00913C78" w:rsidRDefault="00913C78" w:rsidP="00913C78">
      <w:pPr>
        <w:ind w:firstLine="420"/>
      </w:pPr>
      <w:r w:rsidRPr="00913C78">
        <w:rPr>
          <w:rFonts w:hint="eastAsia"/>
        </w:rPr>
        <w:t>DeST-h</w:t>
      </w:r>
      <w:r w:rsidRPr="00913C78">
        <w:rPr>
          <w:rFonts w:hint="eastAsia"/>
        </w:rPr>
        <w:t>主要用于住宅建筑热特性的影响因素分析、住宅建筑热特性指标的计算、住宅建筑的全年动态负荷计算、住宅室温计算、末端设备系统经济性分析等领域。</w:t>
      </w:r>
      <w:r w:rsidRPr="00913C78">
        <w:rPr>
          <w:rFonts w:hint="eastAsia"/>
        </w:rPr>
        <w:t>DeST-c</w:t>
      </w:r>
      <w:r w:rsidRPr="00913C78">
        <w:rPr>
          <w:rFonts w:hint="eastAsia"/>
        </w:rPr>
        <w:t>是</w:t>
      </w:r>
      <w:r w:rsidRPr="00913C78">
        <w:rPr>
          <w:rFonts w:hint="eastAsia"/>
        </w:rPr>
        <w:t>DeST</w:t>
      </w:r>
      <w:r w:rsidRPr="00913C78">
        <w:rPr>
          <w:rFonts w:hint="eastAsia"/>
        </w:rPr>
        <w:t>开发组针对公共建筑特点推出的专用于公共建筑辅助设计的版本，根据建筑及其空调方案设计的阶段性，</w:t>
      </w:r>
      <w:r w:rsidRPr="00913C78">
        <w:rPr>
          <w:rFonts w:hint="eastAsia"/>
        </w:rPr>
        <w:t>DeST-c</w:t>
      </w:r>
      <w:r w:rsidRPr="00913C78">
        <w:rPr>
          <w:rFonts w:hint="eastAsia"/>
        </w:rPr>
        <w:t>对公共建筑的模拟分成建筑室内热环境模拟、空调方案模拟、输配系统模拟、冷热源经济性分析几个阶段，对应的服务于建筑设计的初步设计（研究建筑物本身的特性）、方案设计（研究系统方案）、详细设计（设备选型、管路布置、控制设计等）几</w:t>
      </w:r>
      <w:r w:rsidRPr="00913C78">
        <w:rPr>
          <w:rFonts w:hint="eastAsia"/>
        </w:rPr>
        <w:lastRenderedPageBreak/>
        <w:t>个阶段，很好的根据各个阶段设计模拟分析反馈以指导各阶段的设计。</w:t>
      </w:r>
    </w:p>
    <w:p w14:paraId="77D77EFB"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w:t>
      </w:r>
      <w:r w:rsidRPr="00913C78">
        <w:rPr>
          <w:rFonts w:hint="eastAsia"/>
        </w:rPr>
        <w:t>DOE-2</w:t>
      </w:r>
    </w:p>
    <w:p w14:paraId="212F5899" w14:textId="77777777" w:rsidR="00913C78" w:rsidRPr="00913C78" w:rsidRDefault="00913C78" w:rsidP="00913C78">
      <w:pPr>
        <w:ind w:firstLine="420"/>
      </w:pPr>
      <w:r w:rsidRPr="00913C78">
        <w:rPr>
          <w:rFonts w:hint="eastAsia"/>
        </w:rPr>
        <w:t>DOE-2</w:t>
      </w:r>
      <w:r w:rsidRPr="00913C78">
        <w:rPr>
          <w:rFonts w:hint="eastAsia"/>
        </w:rPr>
        <w:t>，是一个按小时对建筑物能耗分析的软件，可计算建筑物能量性能和设备运行的寿命周期成本（</w:t>
      </w:r>
      <w:r w:rsidRPr="00913C78">
        <w:rPr>
          <w:rFonts w:hint="eastAsia"/>
        </w:rPr>
        <w:t>LCC</w:t>
      </w:r>
      <w:r w:rsidRPr="00913C78">
        <w:rPr>
          <w:rFonts w:hint="eastAsia"/>
        </w:rPr>
        <w:t>），当前版本是</w:t>
      </w:r>
      <w:r w:rsidRPr="00913C78">
        <w:rPr>
          <w:rFonts w:hint="eastAsia"/>
        </w:rPr>
        <w:t>DOE-2.1E</w:t>
      </w:r>
      <w:r w:rsidRPr="00913C78">
        <w:rPr>
          <w:rFonts w:hint="eastAsia"/>
        </w:rPr>
        <w:t>。</w:t>
      </w:r>
      <w:r w:rsidRPr="00913C78">
        <w:rPr>
          <w:rFonts w:hint="eastAsia"/>
        </w:rPr>
        <w:t>DOE-2</w:t>
      </w:r>
      <w:r w:rsidRPr="00913C78">
        <w:rPr>
          <w:rFonts w:hint="eastAsia"/>
        </w:rPr>
        <w:t>有四个输入模块（气象数据文件、用户数据文件、建筑材料数据库、围护结构构造数据库），五个处理模块（建筑描述语言预处理程序、负荷模拟、系统模拟、机组模拟、经济分析），四个输出模块（负荷报告、系统报告、机组报告和经济分析报告）。</w:t>
      </w:r>
    </w:p>
    <w:p w14:paraId="3066B156"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w:t>
      </w:r>
      <w:r w:rsidRPr="00913C78">
        <w:t xml:space="preserve">EnergyPlus </w:t>
      </w:r>
    </w:p>
    <w:p w14:paraId="6EADFC38" w14:textId="77777777" w:rsidR="00913C78" w:rsidRPr="00913C78" w:rsidRDefault="00913C78" w:rsidP="00913C78">
      <w:pPr>
        <w:ind w:firstLine="420"/>
      </w:pPr>
      <w:r w:rsidRPr="00913C78">
        <w:rPr>
          <w:rFonts w:hint="eastAsia"/>
        </w:rPr>
        <w:t>EnergyPlus</w:t>
      </w:r>
      <w:r w:rsidRPr="00913C78">
        <w:rPr>
          <w:rFonts w:hint="eastAsia"/>
        </w:rPr>
        <w:t>是在软件</w:t>
      </w:r>
      <w:r w:rsidRPr="00913C78">
        <w:rPr>
          <w:rFonts w:hint="eastAsia"/>
        </w:rPr>
        <w:t>BLAST</w:t>
      </w:r>
      <w:r w:rsidRPr="00913C78">
        <w:rPr>
          <w:rFonts w:hint="eastAsia"/>
        </w:rPr>
        <w:t>和</w:t>
      </w:r>
      <w:r w:rsidRPr="00913C78">
        <w:rPr>
          <w:rFonts w:hint="eastAsia"/>
        </w:rPr>
        <w:t>DOE-2</w:t>
      </w:r>
      <w:r w:rsidRPr="00913C78">
        <w:rPr>
          <w:rFonts w:hint="eastAsia"/>
        </w:rPr>
        <w:t>基础上进行开发的，具有</w:t>
      </w:r>
      <w:r w:rsidRPr="00913C78">
        <w:rPr>
          <w:rFonts w:hint="eastAsia"/>
        </w:rPr>
        <w:t>BLAST</w:t>
      </w:r>
      <w:r w:rsidRPr="00913C78">
        <w:rPr>
          <w:rFonts w:hint="eastAsia"/>
        </w:rPr>
        <w:t>和</w:t>
      </w:r>
      <w:r w:rsidRPr="00913C78">
        <w:rPr>
          <w:rFonts w:hint="eastAsia"/>
        </w:rPr>
        <w:t>DOE-2</w:t>
      </w:r>
      <w:r w:rsidRPr="00913C78">
        <w:rPr>
          <w:rFonts w:hint="eastAsia"/>
        </w:rPr>
        <w:t>的优点。</w:t>
      </w:r>
      <w:r w:rsidRPr="00913C78">
        <w:rPr>
          <w:rFonts w:hint="eastAsia"/>
        </w:rPr>
        <w:t>EnergyPlus</w:t>
      </w:r>
      <w:r w:rsidRPr="00913C78">
        <w:rPr>
          <w:rFonts w:hint="eastAsia"/>
        </w:rPr>
        <w:t>能够根据建筑的物理组成和机械系统（暖通空调系统）计算建筑的冷热负荷，这是通过暖通空调系统维持室内设定温度。</w:t>
      </w:r>
      <w:r w:rsidRPr="00913C78">
        <w:rPr>
          <w:rFonts w:hint="eastAsia"/>
        </w:rPr>
        <w:t>EnergyPlus</w:t>
      </w:r>
      <w:r w:rsidRPr="00913C78">
        <w:rPr>
          <w:rFonts w:hint="eastAsia"/>
        </w:rPr>
        <w:t>还能够输出非常详细的各项数据，如通过窗户的太阳辐射得热等，来和真实的数据进行验证。</w:t>
      </w:r>
      <w:r w:rsidRPr="00913C78">
        <w:rPr>
          <w:rFonts w:hint="eastAsia"/>
        </w:rPr>
        <w:t>EnergyPlus</w:t>
      </w:r>
      <w:r w:rsidRPr="00913C78">
        <w:rPr>
          <w:rFonts w:hint="eastAsia"/>
        </w:rPr>
        <w:t>既能够进行建筑冷热负荷计算，也能进行建筑全年动态能耗计算。</w:t>
      </w:r>
      <w:r w:rsidRPr="00913C78">
        <w:rPr>
          <w:rFonts w:hint="eastAsia"/>
        </w:rPr>
        <w:t>EnergyPlus</w:t>
      </w:r>
      <w:r w:rsidRPr="00913C78">
        <w:rPr>
          <w:rFonts w:hint="eastAsia"/>
        </w:rPr>
        <w:t>采用集成同步的负荷</w:t>
      </w:r>
      <w:r w:rsidRPr="00913C78">
        <w:rPr>
          <w:rFonts w:hint="eastAsia"/>
        </w:rPr>
        <w:t>/</w:t>
      </w:r>
      <w:r w:rsidRPr="00913C78">
        <w:rPr>
          <w:rFonts w:hint="eastAsia"/>
        </w:rPr>
        <w:t>系统</w:t>
      </w:r>
      <w:r w:rsidRPr="00913C78">
        <w:rPr>
          <w:rFonts w:hint="eastAsia"/>
        </w:rPr>
        <w:t>/</w:t>
      </w:r>
      <w:r w:rsidRPr="00913C78">
        <w:rPr>
          <w:rFonts w:hint="eastAsia"/>
        </w:rPr>
        <w:t>设备的模拟方法。在计算负荷时，时间步长可由用户选择，一般为</w:t>
      </w:r>
      <w:r w:rsidRPr="00913C78">
        <w:rPr>
          <w:rFonts w:hint="eastAsia"/>
        </w:rPr>
        <w:t>10</w:t>
      </w:r>
      <w:r w:rsidRPr="00913C78">
        <w:rPr>
          <w:rFonts w:hint="eastAsia"/>
        </w:rPr>
        <w:t>～</w:t>
      </w:r>
      <w:r w:rsidRPr="00913C78">
        <w:rPr>
          <w:rFonts w:hint="eastAsia"/>
        </w:rPr>
        <w:t>15min</w:t>
      </w:r>
      <w:r w:rsidRPr="00913C78">
        <w:rPr>
          <w:rFonts w:hint="eastAsia"/>
        </w:rPr>
        <w:t>。在系统的模拟中，软件会自动设定更短的步长（小至数秒，大至</w:t>
      </w:r>
      <w:r w:rsidRPr="00913C78">
        <w:rPr>
          <w:rFonts w:hint="eastAsia"/>
        </w:rPr>
        <w:t>1h</w:t>
      </w:r>
      <w:r w:rsidRPr="00913C78">
        <w:rPr>
          <w:rFonts w:hint="eastAsia"/>
        </w:rPr>
        <w:t>）以便于更快地收敛。</w:t>
      </w:r>
      <w:r w:rsidRPr="00913C78">
        <w:rPr>
          <w:rFonts w:hint="eastAsia"/>
        </w:rPr>
        <w:t>EnergyPlus</w:t>
      </w:r>
      <w:r w:rsidRPr="00913C78">
        <w:rPr>
          <w:rFonts w:hint="eastAsia"/>
        </w:rPr>
        <w:t>采用</w:t>
      </w:r>
      <w:r w:rsidRPr="00913C78">
        <w:rPr>
          <w:rFonts w:hint="eastAsia"/>
        </w:rPr>
        <w:t>CTF</w:t>
      </w:r>
      <w:r w:rsidRPr="00913C78">
        <w:rPr>
          <w:rFonts w:hint="eastAsia"/>
        </w:rPr>
        <w:t>来计算墙体传热，采用热平衡法计算负荷。</w:t>
      </w:r>
    </w:p>
    <w:p w14:paraId="23B1D13A" w14:textId="77777777" w:rsidR="00913C78" w:rsidRPr="00913C78" w:rsidRDefault="00913C78" w:rsidP="00725EEB">
      <w:pPr>
        <w:pStyle w:val="32"/>
      </w:pPr>
      <w:bookmarkStart w:id="327" w:name="_Toc475720429"/>
      <w:bookmarkStart w:id="328" w:name="_Toc35364792"/>
      <w:r w:rsidRPr="00913C78">
        <w:rPr>
          <w:rFonts w:hint="eastAsia"/>
        </w:rPr>
        <w:t xml:space="preserve">A.5.3  </w:t>
      </w:r>
      <w:r w:rsidRPr="00913C78">
        <w:rPr>
          <w:rFonts w:hint="eastAsia"/>
        </w:rPr>
        <w:t>模型建立</w:t>
      </w:r>
      <w:bookmarkEnd w:id="327"/>
      <w:bookmarkEnd w:id="328"/>
    </w:p>
    <w:p w14:paraId="77B472A9" w14:textId="77777777" w:rsidR="00913C78" w:rsidRPr="00913C78" w:rsidRDefault="00913C78" w:rsidP="00913C78">
      <w:pPr>
        <w:ind w:firstLine="420"/>
      </w:pPr>
      <w:bookmarkStart w:id="329" w:name="_Toc475720430"/>
      <w:r w:rsidRPr="00913C78">
        <w:rPr>
          <w:rFonts w:hint="eastAsia"/>
        </w:rPr>
        <w:t>◎</w:t>
      </w:r>
      <w:r w:rsidRPr="00913C78">
        <w:t xml:space="preserve"> </w:t>
      </w:r>
      <w:r w:rsidRPr="00913C78">
        <w:rPr>
          <w:rFonts w:hint="eastAsia"/>
        </w:rPr>
        <w:t>模型建立</w:t>
      </w:r>
      <w:bookmarkEnd w:id="329"/>
    </w:p>
    <w:p w14:paraId="609FC05E" w14:textId="77777777" w:rsidR="00913C78" w:rsidRPr="00913C78" w:rsidRDefault="00913C78" w:rsidP="00913C78">
      <w:pPr>
        <w:ind w:firstLine="420"/>
      </w:pPr>
      <w:r w:rsidRPr="00913C78">
        <w:rPr>
          <w:rFonts w:hint="eastAsia"/>
        </w:rPr>
        <w:t>能耗模拟</w:t>
      </w:r>
      <w:r w:rsidRPr="00913C78">
        <w:t>报告</w:t>
      </w:r>
      <w:r w:rsidRPr="00913C78">
        <w:rPr>
          <w:rFonts w:hint="eastAsia"/>
        </w:rPr>
        <w:t>模型建立时</w:t>
      </w:r>
      <w:r w:rsidRPr="00913C78">
        <w:t>应</w:t>
      </w:r>
      <w:r w:rsidRPr="00913C78">
        <w:rPr>
          <w:rFonts w:hint="eastAsia"/>
        </w:rPr>
        <w:t>包括但</w:t>
      </w:r>
      <w:r w:rsidRPr="00913C78">
        <w:t>不限于</w:t>
      </w:r>
      <w:r w:rsidRPr="00913C78">
        <w:rPr>
          <w:rFonts w:hint="eastAsia"/>
        </w:rPr>
        <w:t>：能够表达目标建筑和周边遮挡物位置关系的总平面图；通过模拟形成的目标建筑三维物理模型效果图；设计</w:t>
      </w:r>
      <w:r w:rsidRPr="00913C78">
        <w:t>建筑和参照建筑的</w:t>
      </w:r>
      <w:r w:rsidRPr="00913C78">
        <w:rPr>
          <w:rFonts w:hint="eastAsia"/>
        </w:rPr>
        <w:t>供暖</w:t>
      </w:r>
      <w:r w:rsidRPr="00913C78">
        <w:t>空调</w:t>
      </w:r>
      <w:r w:rsidRPr="00913C78">
        <w:rPr>
          <w:rFonts w:hint="eastAsia"/>
        </w:rPr>
        <w:t>系统选取及</w:t>
      </w:r>
      <w:r w:rsidRPr="00913C78">
        <w:t>建模</w:t>
      </w:r>
      <w:r w:rsidRPr="00913C78">
        <w:rPr>
          <w:rFonts w:hint="eastAsia"/>
        </w:rPr>
        <w:t>说明</w:t>
      </w:r>
      <w:r w:rsidRPr="00913C78">
        <w:t>。</w:t>
      </w:r>
    </w:p>
    <w:p w14:paraId="6BA3C377"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）物理</w:t>
      </w:r>
      <w:r w:rsidRPr="00913C78">
        <w:t>模型</w:t>
      </w:r>
      <w:r w:rsidRPr="00913C78">
        <w:rPr>
          <w:rFonts w:hint="eastAsia"/>
        </w:rPr>
        <w:t>建立</w:t>
      </w:r>
      <w:r w:rsidRPr="00913C78">
        <w:t>及简化</w:t>
      </w:r>
      <w:r w:rsidRPr="00913C78">
        <w:rPr>
          <w:rFonts w:hint="eastAsia"/>
        </w:rPr>
        <w:t>基本原则</w:t>
      </w:r>
    </w:p>
    <w:p w14:paraId="048EACF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物理模型的</w:t>
      </w:r>
      <w:r w:rsidRPr="00913C78">
        <w:t>几何尺寸应按照实际建筑尺寸</w:t>
      </w:r>
      <w:r w:rsidRPr="00913C78">
        <w:rPr>
          <w:rFonts w:hint="eastAsia"/>
        </w:rPr>
        <w:t>1</w:t>
      </w:r>
      <w:r w:rsidRPr="00913C78">
        <w:rPr>
          <w:rFonts w:hint="eastAsia"/>
        </w:rPr>
        <w:t>∶</w:t>
      </w:r>
      <w:r w:rsidRPr="00913C78">
        <w:rPr>
          <w:rFonts w:hint="eastAsia"/>
        </w:rPr>
        <w:t>1</w:t>
      </w:r>
      <w:r w:rsidRPr="00913C78">
        <w:rPr>
          <w:rFonts w:hint="eastAsia"/>
        </w:rPr>
        <w:t>构建</w:t>
      </w:r>
      <w:r w:rsidRPr="00913C78">
        <w:t>，应包含主要功能空间</w:t>
      </w:r>
      <w:r w:rsidRPr="00913C78">
        <w:rPr>
          <w:rFonts w:hint="eastAsia"/>
        </w:rPr>
        <w:t>，</w:t>
      </w:r>
      <w:r w:rsidRPr="00913C78">
        <w:t>并且区分建筑内外分区。</w:t>
      </w:r>
    </w:p>
    <w:p w14:paraId="708E0F3D"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非空调</w:t>
      </w:r>
      <w:r w:rsidRPr="00913C78">
        <w:t>空间可以合理合并，同方向同功能的相邻空间可以按需</w:t>
      </w:r>
      <w:r w:rsidRPr="00913C78">
        <w:rPr>
          <w:rFonts w:hint="eastAsia"/>
        </w:rPr>
        <w:t>要</w:t>
      </w:r>
      <w:r w:rsidRPr="00913C78">
        <w:t>合并</w:t>
      </w:r>
      <w:r w:rsidRPr="00913C78">
        <w:rPr>
          <w:rFonts w:hint="eastAsia"/>
        </w:rPr>
        <w:t>。</w:t>
      </w:r>
    </w:p>
    <w:p w14:paraId="14EB8801"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对于</w:t>
      </w:r>
      <w:r w:rsidRPr="00913C78">
        <w:t>中庭空间，应合理区分竖向温度分区</w:t>
      </w:r>
      <w:r w:rsidRPr="00913C78">
        <w:rPr>
          <w:rFonts w:hint="eastAsia"/>
        </w:rPr>
        <w:t>；</w:t>
      </w:r>
      <w:r w:rsidRPr="00913C78">
        <w:t>对于无竖向温度差异的标准层建筑，建模时可以用</w:t>
      </w:r>
      <w:r w:rsidRPr="00913C78">
        <w:rPr>
          <w:rFonts w:hint="eastAsia"/>
        </w:rPr>
        <w:t>“典型</w:t>
      </w:r>
      <w:r w:rsidRPr="00913C78">
        <w:t>层</w:t>
      </w:r>
      <w:r w:rsidRPr="00913C78">
        <w:rPr>
          <w:rFonts w:hint="eastAsia"/>
        </w:rPr>
        <w:t>”简化</w:t>
      </w:r>
      <w:r w:rsidRPr="00913C78">
        <w:t>。</w:t>
      </w:r>
    </w:p>
    <w:p w14:paraId="2ACD571F"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不应</w:t>
      </w:r>
      <w:r w:rsidRPr="00913C78">
        <w:t>忽略周边建筑的遮挡以及建筑的自遮挡。</w:t>
      </w:r>
    </w:p>
    <w:p w14:paraId="2294020D" w14:textId="77777777" w:rsidR="00913C78" w:rsidRPr="00913C78" w:rsidRDefault="00913C78" w:rsidP="00913C78">
      <w:pPr>
        <w:ind w:firstLine="420"/>
      </w:pPr>
      <w:r w:rsidRPr="00913C78">
        <w:lastRenderedPageBreak/>
        <w:t>5</w:t>
      </w:r>
      <w:r w:rsidRPr="00913C78">
        <w:rPr>
          <w:rFonts w:hint="eastAsia"/>
        </w:rPr>
        <w:t>）</w:t>
      </w:r>
      <w:r w:rsidRPr="00913C78">
        <w:t> </w:t>
      </w:r>
      <w:r w:rsidRPr="00913C78">
        <w:rPr>
          <w:rFonts w:hint="eastAsia"/>
        </w:rPr>
        <w:t>不透光</w:t>
      </w:r>
      <w:r w:rsidRPr="00913C78">
        <w:t>围护结构</w:t>
      </w:r>
      <w:r w:rsidRPr="00913C78">
        <w:rPr>
          <w:rFonts w:hint="eastAsia"/>
        </w:rPr>
        <w:t>应</w:t>
      </w:r>
      <w:r w:rsidRPr="00913C78">
        <w:t>根据输入的建筑各立面和屋面的非透光部位</w:t>
      </w:r>
      <w:r w:rsidRPr="00913C78">
        <w:rPr>
          <w:rFonts w:hint="eastAsia"/>
        </w:rPr>
        <w:t>主体</w:t>
      </w:r>
      <w:r w:rsidRPr="00913C78">
        <w:t>结构层、保温层、找坡层等</w:t>
      </w:r>
      <w:r w:rsidRPr="00913C78">
        <w:rPr>
          <w:rFonts w:hint="eastAsia"/>
        </w:rPr>
        <w:t>材料</w:t>
      </w:r>
      <w:r w:rsidRPr="00913C78">
        <w:t>和厚度，考虑建筑围护结构的蓄热性能。</w:t>
      </w:r>
    </w:p>
    <w:p w14:paraId="231F72A2"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透光</w:t>
      </w:r>
      <w:r w:rsidRPr="00913C78">
        <w:t>围护结构</w:t>
      </w:r>
      <w:r w:rsidRPr="00913C78">
        <w:rPr>
          <w:rFonts w:hint="eastAsia"/>
        </w:rPr>
        <w:t>要求</w:t>
      </w:r>
      <w:r w:rsidRPr="00913C78">
        <w:t>根据</w:t>
      </w:r>
      <w:r w:rsidRPr="00913C78">
        <w:rPr>
          <w:rFonts w:hint="eastAsia"/>
        </w:rPr>
        <w:t>模拟软件</w:t>
      </w:r>
      <w:r w:rsidRPr="00913C78">
        <w:t>建立的建筑模型和外遮阳设施，按现行国家标准《</w:t>
      </w:r>
      <w:r w:rsidRPr="00913C78">
        <w:rPr>
          <w:rFonts w:hint="eastAsia"/>
        </w:rPr>
        <w:t>民用建筑热工设计规范</w:t>
      </w:r>
      <w:r w:rsidRPr="00913C78">
        <w:t>》</w:t>
      </w:r>
      <w:r w:rsidRPr="00913C78">
        <w:rPr>
          <w:rFonts w:hint="eastAsia"/>
        </w:rPr>
        <w:t>（</w:t>
      </w:r>
      <w:r w:rsidRPr="00913C78">
        <w:rPr>
          <w:rFonts w:hint="eastAsia"/>
        </w:rPr>
        <w:t>GB</w:t>
      </w:r>
      <w:r w:rsidRPr="00913C78">
        <w:t> </w:t>
      </w:r>
      <w:r w:rsidRPr="00913C78">
        <w:rPr>
          <w:rFonts w:hint="eastAsia"/>
        </w:rPr>
        <w:t>50176</w:t>
      </w:r>
      <w:r w:rsidRPr="00913C78">
        <w:rPr>
          <w:rFonts w:hint="eastAsia"/>
        </w:rPr>
        <w:t>—</w:t>
      </w:r>
      <w:r w:rsidRPr="00913C78">
        <w:rPr>
          <w:rFonts w:hint="eastAsia"/>
        </w:rPr>
        <w:t>2016</w:t>
      </w:r>
      <w:r w:rsidRPr="00913C78">
        <w:rPr>
          <w:rFonts w:hint="eastAsia"/>
        </w:rPr>
        <w:t>）的</w:t>
      </w:r>
      <w:r w:rsidRPr="00913C78">
        <w:t>计算方法计算透光部位的</w:t>
      </w:r>
      <w:r w:rsidRPr="00913C78">
        <w:rPr>
          <w:rFonts w:hint="eastAsia"/>
        </w:rPr>
        <w:t>太阳得热系数</w:t>
      </w:r>
      <w:r w:rsidRPr="00913C78">
        <w:t>（</w:t>
      </w:r>
      <w:r w:rsidRPr="00913C78">
        <w:rPr>
          <w:rFonts w:hint="eastAsia"/>
        </w:rPr>
        <w:t>SH</w:t>
      </w:r>
      <w:r w:rsidRPr="00913C78">
        <w:t>GC</w:t>
      </w:r>
      <w:r w:rsidRPr="00913C78">
        <w:t>）</w:t>
      </w:r>
      <w:r w:rsidRPr="00913C78">
        <w:rPr>
          <w:rFonts w:hint="eastAsia"/>
        </w:rPr>
        <w:t>。</w:t>
      </w:r>
    </w:p>
    <w:p w14:paraId="087D7664" w14:textId="77777777" w:rsidR="00913C78" w:rsidRPr="00913C78" w:rsidRDefault="00913C78" w:rsidP="00913C78">
      <w:pPr>
        <w:ind w:firstLine="420"/>
      </w:pPr>
      <w:r w:rsidRPr="00913C78">
        <w:rPr>
          <w:rFonts w:hint="eastAsia"/>
        </w:rPr>
        <w:t>（</w:t>
      </w:r>
      <w:r w:rsidRPr="00913C78">
        <w:t>2</w:t>
      </w:r>
      <w:r w:rsidRPr="00913C78">
        <w:rPr>
          <w:rFonts w:hint="eastAsia"/>
        </w:rPr>
        <w:t>）设计建筑</w:t>
      </w:r>
      <w:r w:rsidRPr="00913C78">
        <w:t>及</w:t>
      </w:r>
      <w:r w:rsidRPr="00913C78">
        <w:rPr>
          <w:rFonts w:hint="eastAsia"/>
        </w:rPr>
        <w:t>参照建筑建模</w:t>
      </w:r>
      <w:r w:rsidRPr="00913C78">
        <w:t>原则</w:t>
      </w:r>
    </w:p>
    <w:p w14:paraId="50337D05"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设计建筑的形状、大小、朝向、内部的空间划分和使用功能、建筑构造尺寸、建筑围护结构传热系数、做法、外窗（包括透光幕墙）太阳得热系数、窗墙面积比、屋面开窗面积应与建筑设计文件一致。</w:t>
      </w:r>
    </w:p>
    <w:p w14:paraId="6250067A"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参照</w:t>
      </w:r>
      <w:r w:rsidRPr="00913C78">
        <w:t>建筑的形状、大小、朝向、内部的空间划分和使用功能、建筑构造尺寸应与设计建筑一致；</w:t>
      </w:r>
      <w:r w:rsidRPr="00913C78">
        <w:rPr>
          <w:rFonts w:hint="eastAsia"/>
        </w:rPr>
        <w:t>当设计建筑的屋顶透光部分的面积大于《公共建筑节能设计标准》（</w:t>
      </w:r>
      <w:r w:rsidRPr="00913C78">
        <w:rPr>
          <w:rFonts w:hint="eastAsia"/>
        </w:rPr>
        <w:t>GB 50189</w:t>
      </w:r>
      <w:r w:rsidRPr="00913C78">
        <w:rPr>
          <w:rFonts w:hint="eastAsia"/>
        </w:rPr>
        <w:t>—</w:t>
      </w:r>
      <w:r w:rsidRPr="00913C78">
        <w:rPr>
          <w:rFonts w:hint="eastAsia"/>
        </w:rPr>
        <w:t>2015</w:t>
      </w:r>
      <w:r w:rsidRPr="00913C78">
        <w:rPr>
          <w:rFonts w:hint="eastAsia"/>
        </w:rPr>
        <w:t>）第</w:t>
      </w:r>
      <w:r w:rsidRPr="00913C78">
        <w:rPr>
          <w:rFonts w:hint="eastAsia"/>
        </w:rPr>
        <w:t>3</w:t>
      </w:r>
      <w:r w:rsidRPr="00913C78">
        <w:t>.</w:t>
      </w:r>
      <w:r w:rsidRPr="00913C78">
        <w:rPr>
          <w:rFonts w:hint="eastAsia"/>
        </w:rPr>
        <w:t>2</w:t>
      </w:r>
      <w:r w:rsidRPr="00913C78">
        <w:t>.</w:t>
      </w:r>
      <w:r w:rsidRPr="00913C78">
        <w:rPr>
          <w:rFonts w:hint="eastAsia"/>
        </w:rPr>
        <w:t>7</w:t>
      </w:r>
      <w:r w:rsidRPr="00913C78">
        <w:rPr>
          <w:rFonts w:hint="eastAsia"/>
        </w:rPr>
        <w:t>条的规定时，参照建筑的屋顶透光部分的面积应按比例缩小，使参照建筑的屋顶透光部分的面积符合《公共建筑节能设计标准》（</w:t>
      </w:r>
      <w:r w:rsidRPr="00913C78">
        <w:rPr>
          <w:rFonts w:hint="eastAsia"/>
        </w:rPr>
        <w:t>GB</w:t>
      </w:r>
      <w:r w:rsidRPr="00913C78">
        <w:t> </w:t>
      </w:r>
      <w:r w:rsidRPr="00913C78">
        <w:rPr>
          <w:rFonts w:hint="eastAsia"/>
        </w:rPr>
        <w:t>50189</w:t>
      </w:r>
      <w:r w:rsidRPr="00913C78">
        <w:rPr>
          <w:rFonts w:hint="eastAsia"/>
        </w:rPr>
        <w:t>—</w:t>
      </w:r>
      <w:r w:rsidRPr="00913C78">
        <w:rPr>
          <w:rFonts w:hint="eastAsia"/>
        </w:rPr>
        <w:t>2015</w:t>
      </w:r>
      <w:r w:rsidRPr="00913C78">
        <w:rPr>
          <w:rFonts w:hint="eastAsia"/>
        </w:rPr>
        <w:t>）第</w:t>
      </w:r>
      <w:r w:rsidRPr="00913C78">
        <w:rPr>
          <w:rFonts w:hint="eastAsia"/>
        </w:rPr>
        <w:t>3</w:t>
      </w:r>
      <w:r w:rsidRPr="00913C78">
        <w:t>.</w:t>
      </w:r>
      <w:r w:rsidRPr="00913C78">
        <w:rPr>
          <w:rFonts w:hint="eastAsia"/>
        </w:rPr>
        <w:t>2</w:t>
      </w:r>
      <w:r w:rsidRPr="00913C78">
        <w:t>.</w:t>
      </w:r>
      <w:r w:rsidRPr="00913C78">
        <w:rPr>
          <w:rFonts w:hint="eastAsia"/>
        </w:rPr>
        <w:t>7</w:t>
      </w:r>
      <w:r w:rsidRPr="00913C78">
        <w:rPr>
          <w:rFonts w:hint="eastAsia"/>
        </w:rPr>
        <w:t>条的规定。</w:t>
      </w:r>
    </w:p>
    <w:p w14:paraId="3315521C"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参照</w:t>
      </w:r>
      <w:r w:rsidRPr="00913C78">
        <w:t>建筑围护结构做法应与建筑设计文件一致，围护结构热工性能参数取值应符合</w:t>
      </w:r>
      <w:r w:rsidRPr="00913C78">
        <w:rPr>
          <w:rFonts w:hint="eastAsia"/>
        </w:rPr>
        <w:t>《公共建筑节能设计标准》（</w:t>
      </w:r>
      <w:r w:rsidRPr="00913C78">
        <w:t>GB 50189</w:t>
      </w:r>
      <w:r w:rsidRPr="00913C78">
        <w:rPr>
          <w:rFonts w:hint="eastAsia"/>
        </w:rPr>
        <w:t>—</w:t>
      </w:r>
      <w:r w:rsidRPr="00913C78">
        <w:rPr>
          <w:rFonts w:hint="eastAsia"/>
        </w:rPr>
        <w:t>2015</w:t>
      </w:r>
      <w:r w:rsidRPr="00913C78">
        <w:rPr>
          <w:rFonts w:hint="eastAsia"/>
        </w:rPr>
        <w:t>）</w:t>
      </w:r>
      <w:r w:rsidRPr="00913C78">
        <w:t>第</w:t>
      </w:r>
      <w:r w:rsidRPr="00913C78">
        <w:t>3.3</w:t>
      </w:r>
      <w:r w:rsidRPr="00913C78">
        <w:t>节的规定</w:t>
      </w:r>
      <w:r w:rsidRPr="00913C78">
        <w:rPr>
          <w:rFonts w:hint="eastAsia"/>
        </w:rPr>
        <w:t>。</w:t>
      </w:r>
    </w:p>
    <w:p w14:paraId="53FBC334" w14:textId="77777777" w:rsidR="00913C78" w:rsidRPr="00913C78" w:rsidRDefault="00913C78" w:rsidP="00913C78">
      <w:pPr>
        <w:ind w:firstLine="420"/>
      </w:pPr>
      <w:r w:rsidRPr="00913C78">
        <w:rPr>
          <w:rFonts w:hint="eastAsia"/>
        </w:rPr>
        <w:t>（</w:t>
      </w:r>
      <w:r w:rsidRPr="00913C78">
        <w:t>3</w:t>
      </w:r>
      <w:r w:rsidRPr="00913C78">
        <w:rPr>
          <w:rFonts w:hint="eastAsia"/>
        </w:rPr>
        <w:t>）设计</w:t>
      </w:r>
      <w:r w:rsidRPr="00913C78">
        <w:t>系统及</w:t>
      </w:r>
      <w:r w:rsidRPr="00913C78">
        <w:rPr>
          <w:rFonts w:hint="eastAsia"/>
        </w:rPr>
        <w:t>参照</w:t>
      </w:r>
      <w:r w:rsidRPr="00913C78">
        <w:t>系统</w:t>
      </w:r>
      <w:r w:rsidRPr="00913C78">
        <w:rPr>
          <w:rFonts w:hint="eastAsia"/>
        </w:rPr>
        <w:t>选取</w:t>
      </w:r>
      <w:r w:rsidRPr="00913C78">
        <w:t>原则</w:t>
      </w:r>
    </w:p>
    <w:p w14:paraId="7C7C8338" w14:textId="77777777" w:rsidR="00913C78" w:rsidRPr="00913C78" w:rsidRDefault="00913C78" w:rsidP="00913C78">
      <w:pPr>
        <w:ind w:firstLine="420"/>
      </w:pPr>
      <w:r w:rsidRPr="00913C78">
        <w:rPr>
          <w:rFonts w:hint="eastAsia"/>
        </w:rPr>
        <w:t>设计</w:t>
      </w:r>
      <w:r w:rsidRPr="00913C78">
        <w:t>系统及</w:t>
      </w:r>
      <w:r w:rsidRPr="00913C78">
        <w:rPr>
          <w:rFonts w:hint="eastAsia"/>
        </w:rPr>
        <w:t>参照</w:t>
      </w:r>
      <w:r w:rsidRPr="00913C78">
        <w:t>系统</w:t>
      </w:r>
      <w:r w:rsidRPr="00913C78">
        <w:rPr>
          <w:rFonts w:hint="eastAsia"/>
        </w:rPr>
        <w:t>的选取应</w:t>
      </w:r>
      <w:r w:rsidRPr="00913C78">
        <w:t>满足</w:t>
      </w:r>
      <w:r w:rsidRPr="00913C78">
        <w:rPr>
          <w:rFonts w:hint="eastAsia"/>
        </w:rPr>
        <w:t>附</w:t>
      </w:r>
      <w:r w:rsidRPr="00532D0F">
        <w:rPr>
          <w:rFonts w:hint="eastAsia"/>
        </w:rPr>
        <w:t>表</w:t>
      </w:r>
      <w:r w:rsidRPr="00532D0F">
        <w:t>5</w:t>
      </w:r>
      <w:r w:rsidRPr="00913C78">
        <w:t>.1</w:t>
      </w:r>
      <w:r w:rsidRPr="00913C78">
        <w:rPr>
          <w:rFonts w:hint="eastAsia"/>
        </w:rPr>
        <w:t>要求。</w:t>
      </w:r>
    </w:p>
    <w:p w14:paraId="05F11EEB" w14:textId="77777777" w:rsidR="00913C78" w:rsidRPr="00913C78" w:rsidRDefault="00913C78" w:rsidP="00725EEB">
      <w:pPr>
        <w:pStyle w:val="ae"/>
      </w:pPr>
      <w:r w:rsidRPr="00913C78">
        <w:rPr>
          <w:rFonts w:hint="eastAsia"/>
        </w:rPr>
        <w:t>表</w:t>
      </w:r>
      <w:r w:rsidRPr="00913C78">
        <w:rPr>
          <w:rFonts w:hint="eastAsia"/>
        </w:rPr>
        <w:t>5</w:t>
      </w:r>
      <w:r w:rsidRPr="00913C78">
        <w:t xml:space="preserve">.1 </w:t>
      </w:r>
      <w:r w:rsidRPr="00913C78">
        <w:t>参</w:t>
      </w:r>
      <w:r w:rsidRPr="00913C78">
        <w:rPr>
          <w:rFonts w:hint="eastAsia"/>
        </w:rPr>
        <w:t>照</w:t>
      </w:r>
      <w:r w:rsidRPr="00913C78">
        <w:t>系统的选取</w:t>
      </w:r>
      <w:r w:rsidRPr="00913C78">
        <w:rPr>
          <w:rFonts w:hint="eastAsia"/>
        </w:rPr>
        <w:t>原则</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4"/>
        <w:gridCol w:w="1282"/>
        <w:gridCol w:w="2352"/>
        <w:gridCol w:w="3002"/>
      </w:tblGrid>
      <w:tr w:rsidR="00913C78" w:rsidRPr="00532D0F" w14:paraId="6606CBB0" w14:textId="77777777" w:rsidTr="00E731D0">
        <w:trPr>
          <w:tblHeader/>
          <w:jc w:val="center"/>
        </w:trPr>
        <w:tc>
          <w:tcPr>
            <w:tcW w:w="2016" w:type="dxa"/>
            <w:gridSpan w:val="2"/>
            <w:shd w:val="clear" w:color="auto" w:fill="auto"/>
            <w:vAlign w:val="center"/>
          </w:tcPr>
          <w:p w14:paraId="0E3BD246" w14:textId="77777777" w:rsidR="00913C78" w:rsidRPr="00532D0F" w:rsidRDefault="00913C78" w:rsidP="00532D0F">
            <w:pPr>
              <w:pStyle w:val="ae"/>
              <w:rPr>
                <w:b w:val="0"/>
                <w:bCs/>
              </w:rPr>
            </w:pPr>
            <w:r w:rsidRPr="00532D0F">
              <w:rPr>
                <w:b w:val="0"/>
                <w:bCs/>
              </w:rPr>
              <w:t>设定内容</w:t>
            </w:r>
          </w:p>
        </w:tc>
        <w:tc>
          <w:tcPr>
            <w:tcW w:w="2352" w:type="dxa"/>
            <w:shd w:val="clear" w:color="auto" w:fill="auto"/>
            <w:vAlign w:val="center"/>
          </w:tcPr>
          <w:p w14:paraId="27FE840C" w14:textId="77777777" w:rsidR="00913C78" w:rsidRPr="00532D0F" w:rsidRDefault="00913C78" w:rsidP="00532D0F">
            <w:pPr>
              <w:pStyle w:val="ae"/>
              <w:rPr>
                <w:b w:val="0"/>
                <w:bCs/>
              </w:rPr>
            </w:pPr>
            <w:r w:rsidRPr="00532D0F">
              <w:rPr>
                <w:b w:val="0"/>
                <w:bCs/>
              </w:rPr>
              <w:t>设计系统</w:t>
            </w:r>
          </w:p>
        </w:tc>
        <w:tc>
          <w:tcPr>
            <w:tcW w:w="3002" w:type="dxa"/>
            <w:shd w:val="clear" w:color="auto" w:fill="auto"/>
            <w:vAlign w:val="center"/>
          </w:tcPr>
          <w:p w14:paraId="6A1C982C" w14:textId="77777777" w:rsidR="00913C78" w:rsidRPr="00532D0F" w:rsidRDefault="00913C78" w:rsidP="00532D0F">
            <w:pPr>
              <w:pStyle w:val="ae"/>
              <w:rPr>
                <w:b w:val="0"/>
                <w:bCs/>
              </w:rPr>
            </w:pPr>
            <w:r w:rsidRPr="00532D0F">
              <w:rPr>
                <w:b w:val="0"/>
                <w:bCs/>
              </w:rPr>
              <w:t>参照系统</w:t>
            </w:r>
          </w:p>
        </w:tc>
      </w:tr>
      <w:tr w:rsidR="00913C78" w:rsidRPr="00532D0F" w14:paraId="38A2005F" w14:textId="77777777" w:rsidTr="00E731D0">
        <w:trPr>
          <w:cantSplit/>
          <w:tblHeader/>
          <w:jc w:val="center"/>
        </w:trPr>
        <w:tc>
          <w:tcPr>
            <w:tcW w:w="2016" w:type="dxa"/>
            <w:gridSpan w:val="2"/>
            <w:shd w:val="clear" w:color="auto" w:fill="auto"/>
            <w:vAlign w:val="center"/>
          </w:tcPr>
          <w:p w14:paraId="2DC11ADF" w14:textId="77777777" w:rsidR="00913C78" w:rsidRPr="00532D0F" w:rsidRDefault="00913C78" w:rsidP="00532D0F">
            <w:pPr>
              <w:pStyle w:val="ae"/>
              <w:rPr>
                <w:b w:val="0"/>
                <w:bCs/>
              </w:rPr>
            </w:pPr>
            <w:r w:rsidRPr="00532D0F">
              <w:rPr>
                <w:b w:val="0"/>
                <w:bCs/>
              </w:rPr>
              <w:t>采暖、空调负荷</w:t>
            </w:r>
          </w:p>
        </w:tc>
        <w:tc>
          <w:tcPr>
            <w:tcW w:w="5354" w:type="dxa"/>
            <w:gridSpan w:val="2"/>
            <w:shd w:val="clear" w:color="auto" w:fill="auto"/>
            <w:vAlign w:val="center"/>
          </w:tcPr>
          <w:p w14:paraId="6430A11F" w14:textId="77777777" w:rsidR="00913C78" w:rsidRPr="00532D0F" w:rsidRDefault="00913C78" w:rsidP="00532D0F">
            <w:pPr>
              <w:pStyle w:val="ae"/>
              <w:rPr>
                <w:b w:val="0"/>
                <w:bCs/>
              </w:rPr>
            </w:pPr>
            <w:r w:rsidRPr="00532D0F">
              <w:rPr>
                <w:b w:val="0"/>
                <w:bCs/>
              </w:rPr>
              <w:t>相同</w:t>
            </w:r>
          </w:p>
        </w:tc>
      </w:tr>
      <w:tr w:rsidR="00913C78" w:rsidRPr="00532D0F" w14:paraId="52E656BE" w14:textId="77777777" w:rsidTr="00E731D0">
        <w:trPr>
          <w:jc w:val="center"/>
        </w:trPr>
        <w:tc>
          <w:tcPr>
            <w:tcW w:w="734" w:type="dxa"/>
            <w:vMerge w:val="restart"/>
            <w:shd w:val="clear" w:color="auto" w:fill="auto"/>
            <w:vAlign w:val="center"/>
          </w:tcPr>
          <w:p w14:paraId="39F51BBF" w14:textId="77777777" w:rsidR="00913C78" w:rsidRPr="00532D0F" w:rsidRDefault="00913C78" w:rsidP="00532D0F">
            <w:pPr>
              <w:pStyle w:val="ae"/>
              <w:rPr>
                <w:b w:val="0"/>
                <w:bCs/>
              </w:rPr>
            </w:pPr>
            <w:r w:rsidRPr="00532D0F">
              <w:rPr>
                <w:b w:val="0"/>
                <w:bCs/>
              </w:rPr>
              <w:t>暖通空调系统设定</w:t>
            </w:r>
          </w:p>
        </w:tc>
        <w:tc>
          <w:tcPr>
            <w:tcW w:w="1282" w:type="dxa"/>
            <w:vMerge w:val="restart"/>
            <w:shd w:val="clear" w:color="auto" w:fill="auto"/>
            <w:vAlign w:val="center"/>
          </w:tcPr>
          <w:p w14:paraId="0B36430F" w14:textId="77777777" w:rsidR="00913C78" w:rsidRPr="00532D0F" w:rsidRDefault="00913C78" w:rsidP="00532D0F">
            <w:pPr>
              <w:pStyle w:val="ae"/>
              <w:rPr>
                <w:b w:val="0"/>
                <w:bCs/>
              </w:rPr>
            </w:pPr>
            <w:r w:rsidRPr="00532D0F">
              <w:rPr>
                <w:b w:val="0"/>
                <w:bCs/>
              </w:rPr>
              <w:t>冷源系统</w:t>
            </w:r>
          </w:p>
        </w:tc>
        <w:tc>
          <w:tcPr>
            <w:tcW w:w="2352" w:type="dxa"/>
            <w:shd w:val="clear" w:color="auto" w:fill="auto"/>
            <w:vAlign w:val="center"/>
          </w:tcPr>
          <w:p w14:paraId="3BB753AB" w14:textId="77777777" w:rsidR="00913C78" w:rsidRPr="00532D0F" w:rsidRDefault="00913C78" w:rsidP="00532D0F">
            <w:pPr>
              <w:pStyle w:val="ae"/>
              <w:rPr>
                <w:b w:val="0"/>
                <w:bCs/>
              </w:rPr>
            </w:pPr>
            <w:r w:rsidRPr="00532D0F">
              <w:rPr>
                <w:b w:val="0"/>
                <w:bCs/>
              </w:rPr>
              <w:t>实际设计方案（设计采用水冷冷水机组系统，或水源或地源热泵系统，或蓄能系统）</w:t>
            </w:r>
            <w:r w:rsidRPr="00532D0F">
              <w:rPr>
                <w:b w:val="0"/>
                <w:bCs/>
              </w:rPr>
              <w:t>IPLV</w:t>
            </w:r>
            <w:r w:rsidRPr="00532D0F">
              <w:rPr>
                <w:b w:val="0"/>
                <w:bCs/>
              </w:rPr>
              <w:t>值</w:t>
            </w:r>
          </w:p>
        </w:tc>
        <w:tc>
          <w:tcPr>
            <w:tcW w:w="3002" w:type="dxa"/>
            <w:shd w:val="clear" w:color="auto" w:fill="auto"/>
            <w:vAlign w:val="center"/>
          </w:tcPr>
          <w:p w14:paraId="031189F6" w14:textId="77777777" w:rsidR="00913C78" w:rsidRPr="00532D0F" w:rsidRDefault="00913C78" w:rsidP="00532D0F">
            <w:pPr>
              <w:pStyle w:val="ae"/>
              <w:rPr>
                <w:b w:val="0"/>
                <w:bCs/>
              </w:rPr>
            </w:pPr>
            <w:r w:rsidRPr="00532D0F">
              <w:rPr>
                <w:b w:val="0"/>
                <w:bCs/>
              </w:rPr>
              <w:t>采用电制冷的离心机或螺杆机，其能效值（或</w:t>
            </w:r>
            <w:r w:rsidRPr="00532D0F">
              <w:rPr>
                <w:b w:val="0"/>
                <w:bCs/>
              </w:rPr>
              <w:t>IPLV</w:t>
            </w:r>
            <w:r w:rsidRPr="00532D0F">
              <w:rPr>
                <w:b w:val="0"/>
                <w:bCs/>
              </w:rPr>
              <w:t>值）应按照国家《公共建筑节能设计标准》（</w:t>
            </w:r>
            <w:r w:rsidRPr="00532D0F">
              <w:rPr>
                <w:b w:val="0"/>
                <w:bCs/>
              </w:rPr>
              <w:t>GB 50189</w:t>
            </w:r>
            <w:r w:rsidRPr="00532D0F">
              <w:rPr>
                <w:rFonts w:hint="eastAsia"/>
                <w:b w:val="0"/>
                <w:bCs/>
              </w:rPr>
              <w:t>—</w:t>
            </w:r>
            <w:r w:rsidRPr="00532D0F">
              <w:rPr>
                <w:rFonts w:hint="eastAsia"/>
                <w:b w:val="0"/>
                <w:bCs/>
              </w:rPr>
              <w:t>2015</w:t>
            </w:r>
            <w:r w:rsidRPr="00532D0F">
              <w:rPr>
                <w:b w:val="0"/>
                <w:bCs/>
              </w:rPr>
              <w:t>）规定取值。若地标能效规定高于国标，仍应采用国标作为参照值</w:t>
            </w:r>
          </w:p>
        </w:tc>
      </w:tr>
      <w:tr w:rsidR="00913C78" w:rsidRPr="00532D0F" w14:paraId="4DC35F40" w14:textId="77777777" w:rsidTr="00E731D0">
        <w:trPr>
          <w:jc w:val="center"/>
        </w:trPr>
        <w:tc>
          <w:tcPr>
            <w:tcW w:w="734" w:type="dxa"/>
            <w:vMerge/>
            <w:shd w:val="clear" w:color="auto" w:fill="auto"/>
            <w:vAlign w:val="center"/>
          </w:tcPr>
          <w:p w14:paraId="699A8F97" w14:textId="77777777" w:rsidR="00913C78" w:rsidRPr="00532D0F" w:rsidRDefault="00913C78" w:rsidP="00532D0F">
            <w:pPr>
              <w:pStyle w:val="ae"/>
              <w:rPr>
                <w:b w:val="0"/>
                <w:bCs/>
              </w:rPr>
            </w:pPr>
          </w:p>
        </w:tc>
        <w:tc>
          <w:tcPr>
            <w:tcW w:w="1282" w:type="dxa"/>
            <w:vMerge/>
            <w:shd w:val="clear" w:color="auto" w:fill="auto"/>
            <w:vAlign w:val="center"/>
          </w:tcPr>
          <w:p w14:paraId="69837928" w14:textId="77777777" w:rsidR="00913C78" w:rsidRPr="00532D0F" w:rsidRDefault="00913C78" w:rsidP="00532D0F">
            <w:pPr>
              <w:pStyle w:val="ae"/>
              <w:rPr>
                <w:b w:val="0"/>
                <w:bCs/>
              </w:rPr>
            </w:pPr>
          </w:p>
        </w:tc>
        <w:tc>
          <w:tcPr>
            <w:tcW w:w="2352" w:type="dxa"/>
            <w:shd w:val="clear" w:color="auto" w:fill="auto"/>
            <w:vAlign w:val="center"/>
          </w:tcPr>
          <w:p w14:paraId="73CBE38C" w14:textId="77777777" w:rsidR="00913C78" w:rsidRPr="00532D0F" w:rsidRDefault="00913C78" w:rsidP="00532D0F">
            <w:pPr>
              <w:pStyle w:val="ae"/>
              <w:rPr>
                <w:b w:val="0"/>
                <w:bCs/>
              </w:rPr>
            </w:pPr>
            <w:r w:rsidRPr="00532D0F">
              <w:rPr>
                <w:b w:val="0"/>
                <w:bCs/>
              </w:rPr>
              <w:t>实际设计方案（设计采用风冷、蒸发冷却冷水</w:t>
            </w:r>
            <w:r w:rsidRPr="00532D0F">
              <w:rPr>
                <w:b w:val="0"/>
                <w:bCs/>
              </w:rPr>
              <w:lastRenderedPageBreak/>
              <w:t>机组或吸收制冷机组或系统）</w:t>
            </w:r>
          </w:p>
        </w:tc>
        <w:tc>
          <w:tcPr>
            <w:tcW w:w="3002" w:type="dxa"/>
            <w:shd w:val="clear" w:color="auto" w:fill="auto"/>
            <w:vAlign w:val="center"/>
          </w:tcPr>
          <w:p w14:paraId="6FE560E7" w14:textId="77777777" w:rsidR="00913C78" w:rsidRPr="00532D0F" w:rsidRDefault="00913C78" w:rsidP="00532D0F">
            <w:pPr>
              <w:pStyle w:val="ae"/>
              <w:rPr>
                <w:b w:val="0"/>
                <w:bCs/>
              </w:rPr>
            </w:pPr>
            <w:r w:rsidRPr="00532D0F">
              <w:rPr>
                <w:b w:val="0"/>
                <w:bCs/>
              </w:rPr>
              <w:lastRenderedPageBreak/>
              <w:t>采用风冷、蒸发冷却螺杆机或吸收式制冷机组，其能效值参</w:t>
            </w:r>
            <w:r w:rsidRPr="00532D0F">
              <w:rPr>
                <w:b w:val="0"/>
                <w:bCs/>
              </w:rPr>
              <w:lastRenderedPageBreak/>
              <w:t>考《公共建筑节能设计标</w:t>
            </w:r>
            <w:r w:rsidRPr="00532D0F">
              <w:rPr>
                <w:rFonts w:hint="eastAsia"/>
                <w:b w:val="0"/>
                <w:bCs/>
              </w:rPr>
              <w:t>准</w:t>
            </w:r>
            <w:r w:rsidRPr="00532D0F">
              <w:rPr>
                <w:b w:val="0"/>
                <w:bCs/>
              </w:rPr>
              <w:t>》（</w:t>
            </w:r>
            <w:r w:rsidRPr="00532D0F">
              <w:rPr>
                <w:b w:val="0"/>
                <w:bCs/>
              </w:rPr>
              <w:t>GB</w:t>
            </w:r>
            <w:r w:rsidRPr="00532D0F">
              <w:rPr>
                <w:rFonts w:hint="eastAsia"/>
                <w:b w:val="0"/>
                <w:bCs/>
              </w:rPr>
              <w:t xml:space="preserve"> </w:t>
            </w:r>
            <w:r w:rsidRPr="00532D0F">
              <w:rPr>
                <w:b w:val="0"/>
                <w:bCs/>
              </w:rPr>
              <w:t>50189</w:t>
            </w:r>
            <w:r w:rsidRPr="00532D0F">
              <w:rPr>
                <w:rFonts w:hint="eastAsia"/>
                <w:b w:val="0"/>
                <w:bCs/>
              </w:rPr>
              <w:t>—</w:t>
            </w:r>
            <w:r w:rsidRPr="00532D0F">
              <w:rPr>
                <w:rFonts w:hint="eastAsia"/>
                <w:b w:val="0"/>
                <w:bCs/>
              </w:rPr>
              <w:t>2015</w:t>
            </w:r>
            <w:r w:rsidRPr="00532D0F">
              <w:rPr>
                <w:b w:val="0"/>
                <w:bCs/>
              </w:rPr>
              <w:t>）规定取值</w:t>
            </w:r>
          </w:p>
        </w:tc>
      </w:tr>
      <w:tr w:rsidR="00913C78" w:rsidRPr="00532D0F" w14:paraId="0618857E" w14:textId="77777777" w:rsidTr="00E731D0">
        <w:trPr>
          <w:jc w:val="center"/>
        </w:trPr>
        <w:tc>
          <w:tcPr>
            <w:tcW w:w="734" w:type="dxa"/>
            <w:vMerge/>
            <w:shd w:val="clear" w:color="auto" w:fill="auto"/>
            <w:vAlign w:val="center"/>
          </w:tcPr>
          <w:p w14:paraId="5B29F24A" w14:textId="77777777" w:rsidR="00913C78" w:rsidRPr="00532D0F" w:rsidRDefault="00913C78" w:rsidP="00532D0F">
            <w:pPr>
              <w:pStyle w:val="ae"/>
              <w:rPr>
                <w:b w:val="0"/>
                <w:bCs/>
              </w:rPr>
            </w:pPr>
          </w:p>
        </w:tc>
        <w:tc>
          <w:tcPr>
            <w:tcW w:w="1282" w:type="dxa"/>
            <w:vMerge/>
            <w:shd w:val="clear" w:color="auto" w:fill="auto"/>
            <w:vAlign w:val="center"/>
          </w:tcPr>
          <w:p w14:paraId="7340EB21" w14:textId="77777777" w:rsidR="00913C78" w:rsidRPr="00532D0F" w:rsidRDefault="00913C78" w:rsidP="00532D0F">
            <w:pPr>
              <w:pStyle w:val="ae"/>
              <w:rPr>
                <w:b w:val="0"/>
                <w:bCs/>
              </w:rPr>
            </w:pPr>
          </w:p>
        </w:tc>
        <w:tc>
          <w:tcPr>
            <w:tcW w:w="2352" w:type="dxa"/>
            <w:shd w:val="clear" w:color="auto" w:fill="auto"/>
            <w:vAlign w:val="center"/>
          </w:tcPr>
          <w:p w14:paraId="1C89408F" w14:textId="77777777" w:rsidR="00913C78" w:rsidRPr="00532D0F" w:rsidRDefault="00913C78" w:rsidP="00532D0F">
            <w:pPr>
              <w:pStyle w:val="ae"/>
              <w:rPr>
                <w:b w:val="0"/>
                <w:bCs/>
              </w:rPr>
            </w:pPr>
            <w:r w:rsidRPr="00532D0F">
              <w:rPr>
                <w:b w:val="0"/>
                <w:bCs/>
              </w:rPr>
              <w:t>实际设计方案（设计采用直接膨胀式系统）</w:t>
            </w:r>
          </w:p>
        </w:tc>
        <w:tc>
          <w:tcPr>
            <w:tcW w:w="3002" w:type="dxa"/>
            <w:shd w:val="clear" w:color="auto" w:fill="auto"/>
            <w:vAlign w:val="center"/>
          </w:tcPr>
          <w:p w14:paraId="587E7342" w14:textId="77777777" w:rsidR="00913C78" w:rsidRPr="00532D0F" w:rsidRDefault="00913C78" w:rsidP="00532D0F">
            <w:pPr>
              <w:pStyle w:val="ae"/>
              <w:rPr>
                <w:b w:val="0"/>
                <w:bCs/>
              </w:rPr>
            </w:pPr>
            <w:r w:rsidRPr="00532D0F">
              <w:rPr>
                <w:b w:val="0"/>
                <w:bCs/>
              </w:rPr>
              <w:t>系统与实际设计系统相同，其效率满足相应国家和行业标准的单元式空调机组、多联式空调（热泵）机组或风管送风式空调（热泵）机组的空调系统的要求</w:t>
            </w:r>
          </w:p>
        </w:tc>
      </w:tr>
      <w:tr w:rsidR="00913C78" w:rsidRPr="00532D0F" w14:paraId="42CB9495" w14:textId="77777777" w:rsidTr="00E731D0">
        <w:trPr>
          <w:jc w:val="center"/>
        </w:trPr>
        <w:tc>
          <w:tcPr>
            <w:tcW w:w="734" w:type="dxa"/>
            <w:vMerge/>
            <w:shd w:val="clear" w:color="auto" w:fill="auto"/>
            <w:vAlign w:val="center"/>
          </w:tcPr>
          <w:p w14:paraId="75C5F66E" w14:textId="77777777" w:rsidR="00913C78" w:rsidRPr="00532D0F" w:rsidRDefault="00913C78" w:rsidP="00532D0F">
            <w:pPr>
              <w:pStyle w:val="ae"/>
              <w:rPr>
                <w:b w:val="0"/>
                <w:bCs/>
              </w:rPr>
            </w:pPr>
          </w:p>
        </w:tc>
        <w:tc>
          <w:tcPr>
            <w:tcW w:w="1282" w:type="dxa"/>
            <w:shd w:val="clear" w:color="auto" w:fill="auto"/>
            <w:vAlign w:val="center"/>
          </w:tcPr>
          <w:p w14:paraId="468BDAFD" w14:textId="77777777" w:rsidR="00913C78" w:rsidRPr="00532D0F" w:rsidRDefault="00913C78" w:rsidP="00532D0F">
            <w:pPr>
              <w:pStyle w:val="ae"/>
              <w:rPr>
                <w:b w:val="0"/>
                <w:bCs/>
              </w:rPr>
            </w:pPr>
            <w:r w:rsidRPr="00532D0F">
              <w:rPr>
                <w:b w:val="0"/>
                <w:bCs/>
              </w:rPr>
              <w:t>热源系统</w:t>
            </w:r>
          </w:p>
        </w:tc>
        <w:tc>
          <w:tcPr>
            <w:tcW w:w="2352" w:type="dxa"/>
            <w:shd w:val="clear" w:color="auto" w:fill="auto"/>
            <w:vAlign w:val="center"/>
          </w:tcPr>
          <w:p w14:paraId="7E5CEDA7" w14:textId="77777777" w:rsidR="00913C78" w:rsidRPr="00532D0F" w:rsidRDefault="00913C78" w:rsidP="00532D0F">
            <w:pPr>
              <w:pStyle w:val="ae"/>
              <w:rPr>
                <w:b w:val="0"/>
                <w:bCs/>
              </w:rPr>
            </w:pPr>
            <w:r w:rsidRPr="00532D0F">
              <w:rPr>
                <w:b w:val="0"/>
                <w:bCs/>
              </w:rPr>
              <w:t>实际设计方案，包括采用地源热泵系统</w:t>
            </w:r>
          </w:p>
        </w:tc>
        <w:tc>
          <w:tcPr>
            <w:tcW w:w="3002" w:type="dxa"/>
            <w:shd w:val="clear" w:color="auto" w:fill="auto"/>
            <w:vAlign w:val="center"/>
          </w:tcPr>
          <w:p w14:paraId="4E162663" w14:textId="77777777" w:rsidR="00913C78" w:rsidRPr="00532D0F" w:rsidRDefault="00913C78" w:rsidP="00532D0F">
            <w:pPr>
              <w:pStyle w:val="ae"/>
              <w:rPr>
                <w:b w:val="0"/>
                <w:bCs/>
              </w:rPr>
            </w:pPr>
            <w:r w:rsidRPr="00532D0F">
              <w:rPr>
                <w:b w:val="0"/>
                <w:bCs/>
              </w:rPr>
              <w:t>热源采用燃气锅炉，锅炉效率满足相应的标准的要求</w:t>
            </w:r>
          </w:p>
        </w:tc>
      </w:tr>
      <w:tr w:rsidR="00913C78" w:rsidRPr="00532D0F" w14:paraId="6D962845" w14:textId="77777777" w:rsidTr="00E731D0">
        <w:trPr>
          <w:jc w:val="center"/>
        </w:trPr>
        <w:tc>
          <w:tcPr>
            <w:tcW w:w="734" w:type="dxa"/>
            <w:vMerge/>
            <w:shd w:val="clear" w:color="auto" w:fill="auto"/>
            <w:vAlign w:val="center"/>
          </w:tcPr>
          <w:p w14:paraId="170FF232" w14:textId="77777777" w:rsidR="00913C78" w:rsidRPr="00532D0F" w:rsidRDefault="00913C78" w:rsidP="00532D0F">
            <w:pPr>
              <w:pStyle w:val="ae"/>
              <w:rPr>
                <w:b w:val="0"/>
                <w:bCs/>
              </w:rPr>
            </w:pPr>
          </w:p>
        </w:tc>
        <w:tc>
          <w:tcPr>
            <w:tcW w:w="1282" w:type="dxa"/>
            <w:shd w:val="clear" w:color="auto" w:fill="auto"/>
            <w:vAlign w:val="center"/>
          </w:tcPr>
          <w:p w14:paraId="59CB2860" w14:textId="77777777" w:rsidR="00913C78" w:rsidRPr="00532D0F" w:rsidRDefault="00913C78" w:rsidP="00532D0F">
            <w:pPr>
              <w:pStyle w:val="ae"/>
              <w:rPr>
                <w:b w:val="0"/>
                <w:bCs/>
              </w:rPr>
            </w:pPr>
            <w:r w:rsidRPr="00532D0F">
              <w:rPr>
                <w:b w:val="0"/>
                <w:bCs/>
              </w:rPr>
              <w:t>输配系统</w:t>
            </w:r>
          </w:p>
        </w:tc>
        <w:tc>
          <w:tcPr>
            <w:tcW w:w="2352" w:type="dxa"/>
            <w:shd w:val="clear" w:color="auto" w:fill="auto"/>
            <w:vAlign w:val="center"/>
          </w:tcPr>
          <w:p w14:paraId="61D8DE43" w14:textId="77777777" w:rsidR="00913C78" w:rsidRPr="00532D0F" w:rsidRDefault="00913C78" w:rsidP="00532D0F">
            <w:pPr>
              <w:pStyle w:val="ae"/>
              <w:rPr>
                <w:b w:val="0"/>
                <w:bCs/>
              </w:rPr>
            </w:pPr>
            <w:r w:rsidRPr="00532D0F">
              <w:rPr>
                <w:b w:val="0"/>
                <w:bCs/>
              </w:rPr>
              <w:t>实际设计方案</w:t>
            </w:r>
          </w:p>
        </w:tc>
        <w:tc>
          <w:tcPr>
            <w:tcW w:w="3002" w:type="dxa"/>
            <w:shd w:val="clear" w:color="auto" w:fill="auto"/>
            <w:vAlign w:val="center"/>
          </w:tcPr>
          <w:p w14:paraId="57D3A60D" w14:textId="77777777" w:rsidR="00913C78" w:rsidRPr="00532D0F" w:rsidRDefault="00913C78" w:rsidP="00532D0F">
            <w:pPr>
              <w:pStyle w:val="ae"/>
              <w:rPr>
                <w:b w:val="0"/>
                <w:bCs/>
              </w:rPr>
            </w:pPr>
            <w:r w:rsidRPr="00532D0F">
              <w:rPr>
                <w:rFonts w:hint="eastAsia"/>
                <w:b w:val="0"/>
                <w:bCs/>
              </w:rPr>
              <w:t>供暖</w:t>
            </w:r>
            <w:r w:rsidRPr="00532D0F">
              <w:rPr>
                <w:b w:val="0"/>
                <w:bCs/>
              </w:rPr>
              <w:t>输配系统能效比</w:t>
            </w:r>
            <w:r w:rsidRPr="00532D0F">
              <w:rPr>
                <w:rFonts w:hint="eastAsia"/>
                <w:b w:val="0"/>
                <w:bCs/>
              </w:rPr>
              <w:t>参照</w:t>
            </w:r>
            <w:r w:rsidRPr="00532D0F">
              <w:rPr>
                <w:b w:val="0"/>
                <w:bCs/>
              </w:rPr>
              <w:t>《严寒寒冷地区居住建筑节能设计标准》的要求；冷冻水输送系数和冷却水输送系数的应满足《空气调节系统经济运行》</w:t>
            </w:r>
            <w:r w:rsidRPr="00532D0F">
              <w:rPr>
                <w:rFonts w:hint="eastAsia"/>
                <w:b w:val="0"/>
                <w:bCs/>
              </w:rPr>
              <w:t>（</w:t>
            </w:r>
            <w:r w:rsidRPr="00532D0F">
              <w:rPr>
                <w:b w:val="0"/>
                <w:bCs/>
              </w:rPr>
              <w:t>GBT</w:t>
            </w:r>
            <w:r w:rsidRPr="00532D0F">
              <w:rPr>
                <w:rFonts w:hint="eastAsia"/>
                <w:b w:val="0"/>
                <w:bCs/>
              </w:rPr>
              <w:t xml:space="preserve"> </w:t>
            </w:r>
            <w:r w:rsidRPr="00532D0F">
              <w:rPr>
                <w:b w:val="0"/>
                <w:bCs/>
              </w:rPr>
              <w:t>17981</w:t>
            </w:r>
            <w:r w:rsidRPr="00532D0F">
              <w:rPr>
                <w:rFonts w:hint="eastAsia"/>
                <w:b w:val="0"/>
                <w:bCs/>
              </w:rPr>
              <w:t>—</w:t>
            </w:r>
            <w:r w:rsidRPr="00532D0F">
              <w:rPr>
                <w:rFonts w:hint="eastAsia"/>
                <w:b w:val="0"/>
                <w:bCs/>
              </w:rPr>
              <w:t>2007</w:t>
            </w:r>
            <w:r w:rsidRPr="00532D0F">
              <w:rPr>
                <w:rFonts w:hint="eastAsia"/>
                <w:b w:val="0"/>
                <w:bCs/>
              </w:rPr>
              <w:t>）</w:t>
            </w:r>
            <w:r w:rsidRPr="00532D0F">
              <w:rPr>
                <w:b w:val="0"/>
                <w:bCs/>
              </w:rPr>
              <w:t>的要求</w:t>
            </w:r>
          </w:p>
        </w:tc>
      </w:tr>
      <w:tr w:rsidR="00913C78" w:rsidRPr="00532D0F" w14:paraId="6F1A7065" w14:textId="77777777" w:rsidTr="00E731D0">
        <w:trPr>
          <w:jc w:val="center"/>
        </w:trPr>
        <w:tc>
          <w:tcPr>
            <w:tcW w:w="734" w:type="dxa"/>
            <w:vMerge/>
            <w:shd w:val="clear" w:color="auto" w:fill="auto"/>
            <w:vAlign w:val="center"/>
          </w:tcPr>
          <w:p w14:paraId="3493E052" w14:textId="77777777" w:rsidR="00913C78" w:rsidRPr="00532D0F" w:rsidRDefault="00913C78" w:rsidP="00532D0F">
            <w:pPr>
              <w:pStyle w:val="ae"/>
              <w:rPr>
                <w:b w:val="0"/>
                <w:bCs/>
              </w:rPr>
            </w:pPr>
          </w:p>
        </w:tc>
        <w:tc>
          <w:tcPr>
            <w:tcW w:w="1282" w:type="dxa"/>
            <w:shd w:val="clear" w:color="auto" w:fill="auto"/>
            <w:vAlign w:val="center"/>
          </w:tcPr>
          <w:p w14:paraId="28116A01" w14:textId="77777777" w:rsidR="00913C78" w:rsidRPr="00532D0F" w:rsidRDefault="00913C78" w:rsidP="00532D0F">
            <w:pPr>
              <w:pStyle w:val="ae"/>
              <w:rPr>
                <w:b w:val="0"/>
                <w:bCs/>
              </w:rPr>
            </w:pPr>
            <w:r w:rsidRPr="00532D0F">
              <w:rPr>
                <w:b w:val="0"/>
                <w:bCs/>
              </w:rPr>
              <w:t>末端</w:t>
            </w:r>
          </w:p>
        </w:tc>
        <w:tc>
          <w:tcPr>
            <w:tcW w:w="2352" w:type="dxa"/>
            <w:shd w:val="clear" w:color="auto" w:fill="auto"/>
            <w:vAlign w:val="center"/>
          </w:tcPr>
          <w:p w14:paraId="3F1C7564" w14:textId="77777777" w:rsidR="00913C78" w:rsidRPr="00532D0F" w:rsidRDefault="00913C78" w:rsidP="00532D0F">
            <w:pPr>
              <w:pStyle w:val="ae"/>
              <w:rPr>
                <w:b w:val="0"/>
                <w:bCs/>
              </w:rPr>
            </w:pPr>
            <w:r w:rsidRPr="00532D0F">
              <w:rPr>
                <w:b w:val="0"/>
                <w:bCs/>
              </w:rPr>
              <w:t>实际设计方案</w:t>
            </w:r>
          </w:p>
        </w:tc>
        <w:tc>
          <w:tcPr>
            <w:tcW w:w="3002" w:type="dxa"/>
            <w:shd w:val="clear" w:color="auto" w:fill="auto"/>
            <w:vAlign w:val="center"/>
          </w:tcPr>
          <w:p w14:paraId="41D04CAD" w14:textId="77777777" w:rsidR="00913C78" w:rsidRPr="00532D0F" w:rsidRDefault="00913C78" w:rsidP="00532D0F">
            <w:pPr>
              <w:pStyle w:val="ae"/>
              <w:rPr>
                <w:b w:val="0"/>
                <w:bCs/>
              </w:rPr>
            </w:pPr>
            <w:r w:rsidRPr="00532D0F">
              <w:rPr>
                <w:b w:val="0"/>
                <w:bCs/>
              </w:rPr>
              <w:t>末端与实际设计方案相同</w:t>
            </w:r>
          </w:p>
        </w:tc>
      </w:tr>
    </w:tbl>
    <w:p w14:paraId="6456D3F1" w14:textId="77777777" w:rsidR="00913C78" w:rsidRPr="00913C78" w:rsidRDefault="00913C78" w:rsidP="00913C78">
      <w:pPr>
        <w:ind w:firstLine="420"/>
      </w:pPr>
      <w:r w:rsidRPr="00913C78">
        <w:t>参</w:t>
      </w:r>
      <w:r w:rsidRPr="00913C78">
        <w:rPr>
          <w:rFonts w:hint="eastAsia"/>
        </w:rPr>
        <w:t>照</w:t>
      </w:r>
      <w:r w:rsidRPr="00913C78">
        <w:t>系统选取</w:t>
      </w:r>
      <w:r w:rsidRPr="00913C78">
        <w:rPr>
          <w:rFonts w:hint="eastAsia"/>
        </w:rPr>
        <w:t>原则如下。</w:t>
      </w:r>
    </w:p>
    <w:p w14:paraId="720DAB20" w14:textId="77777777" w:rsidR="00913C78" w:rsidRPr="00913C78" w:rsidRDefault="00913C78" w:rsidP="00913C78">
      <w:pPr>
        <w:ind w:firstLine="420"/>
      </w:pPr>
      <w:r w:rsidRPr="00913C78">
        <w:t>1</w:t>
      </w:r>
      <w:r w:rsidRPr="00913C78">
        <w:rPr>
          <w:rFonts w:hint="eastAsia"/>
        </w:rPr>
        <w:t>）</w:t>
      </w:r>
      <w:r w:rsidRPr="00913C78">
        <w:t> </w:t>
      </w:r>
      <w:r w:rsidRPr="00913C78">
        <w:t>集中空调系统：参照系统的设计新风量、冷热源、输配系统设备能效比等均应严格按照节能标准选取，不应盲目提高新风量设计标准，不考虑风机、水泵变频、新风热回收、冷却塔免费供冷等节能措施。对于集中式空调采暖系统，计算采暖空调系统能耗时，需考虑部分负荷下的设备效率。计算空调冷热源的能耗时，要计入冷却侧的水泵和风机的能耗，即冷却泵及冷却塔风机电耗</w:t>
      </w:r>
      <w:r w:rsidRPr="00913C78">
        <w:rPr>
          <w:rFonts w:hint="eastAsia"/>
        </w:rPr>
        <w:t>。</w:t>
      </w:r>
      <w:r w:rsidRPr="00913C78">
        <w:t>此外，水源热泵、土壤源热泵系统要同时计算地下水取水及回灌用水泵电耗；利用冷却塔自由冷却的风机电耗要计入此项；水环路热泵系统各热泵分别计算后并累加后统一计算。</w:t>
      </w:r>
    </w:p>
    <w:p w14:paraId="116ADE05" w14:textId="77777777" w:rsidR="00913C78" w:rsidRPr="00913C78" w:rsidRDefault="00913C78" w:rsidP="00913C78">
      <w:pPr>
        <w:ind w:firstLine="420"/>
      </w:pPr>
      <w:r w:rsidRPr="00913C78">
        <w:t>2</w:t>
      </w:r>
      <w:r w:rsidRPr="00913C78">
        <w:rPr>
          <w:rFonts w:hint="eastAsia"/>
        </w:rPr>
        <w:t>）</w:t>
      </w:r>
      <w:r w:rsidRPr="00913C78">
        <w:t> </w:t>
      </w:r>
      <w:r w:rsidRPr="00913C78">
        <w:t>对于单元式机组，参考系统为相对应的国家标准的单元式机组本身。采用分散式房间空调器进行空调和采暖时，选用符合《房间空气调节器能效限定值及能效等级》</w:t>
      </w:r>
      <w:r w:rsidRPr="00913C78">
        <w:rPr>
          <w:rFonts w:hint="eastAsia"/>
        </w:rPr>
        <w:lastRenderedPageBreak/>
        <w:t>（</w:t>
      </w:r>
      <w:r w:rsidRPr="00913C78">
        <w:t>GB 12021.3</w:t>
      </w:r>
      <w:r w:rsidRPr="00913C78">
        <w:rPr>
          <w:rFonts w:hint="eastAsia"/>
        </w:rPr>
        <w:t>—</w:t>
      </w:r>
      <w:r w:rsidRPr="00913C78">
        <w:rPr>
          <w:rFonts w:hint="eastAsia"/>
        </w:rPr>
        <w:t>2010</w:t>
      </w:r>
      <w:r w:rsidRPr="00913C78">
        <w:rPr>
          <w:rFonts w:hint="eastAsia"/>
        </w:rPr>
        <w:t>）</w:t>
      </w:r>
      <w:r w:rsidRPr="00913C78">
        <w:t>和《转速可控型房间空气调节器能效限定值及能效等级》</w:t>
      </w:r>
      <w:r w:rsidRPr="00913C78">
        <w:rPr>
          <w:rFonts w:hint="eastAsia"/>
        </w:rPr>
        <w:t>（</w:t>
      </w:r>
      <w:r w:rsidRPr="00913C78">
        <w:t>GB 21455</w:t>
      </w:r>
      <w:r w:rsidRPr="00913C78">
        <w:rPr>
          <w:rFonts w:hint="eastAsia"/>
        </w:rPr>
        <w:t>—</w:t>
      </w:r>
      <w:r w:rsidRPr="00913C78">
        <w:rPr>
          <w:rFonts w:hint="eastAsia"/>
        </w:rPr>
        <w:t>2013</w:t>
      </w:r>
      <w:r w:rsidRPr="00913C78">
        <w:rPr>
          <w:rFonts w:hint="eastAsia"/>
        </w:rPr>
        <w:t>）</w:t>
      </w:r>
      <w:r w:rsidRPr="00913C78">
        <w:t>中规定的第三级产品；采用多联式空调（热泵）机组作为户式集中空调（采暖）机组时，选用国家标准《多联式空调（热泵）机组能效限定值机能源效率等级》</w:t>
      </w:r>
      <w:r w:rsidRPr="00913C78">
        <w:rPr>
          <w:rFonts w:hint="eastAsia"/>
        </w:rPr>
        <w:t>（</w:t>
      </w:r>
      <w:r w:rsidRPr="00913C78">
        <w:t>GB 21454</w:t>
      </w:r>
      <w:r w:rsidRPr="00913C78">
        <w:rPr>
          <w:rFonts w:hint="eastAsia"/>
        </w:rPr>
        <w:t>—</w:t>
      </w:r>
      <w:r w:rsidRPr="00913C78">
        <w:rPr>
          <w:rFonts w:hint="eastAsia"/>
        </w:rPr>
        <w:t>2008</w:t>
      </w:r>
      <w:r w:rsidRPr="00913C78">
        <w:rPr>
          <w:rFonts w:hint="eastAsia"/>
        </w:rPr>
        <w:t>）</w:t>
      </w:r>
      <w:r w:rsidRPr="00913C78">
        <w:t>中规定的第三级产品。</w:t>
      </w:r>
    </w:p>
    <w:p w14:paraId="4BD40ECD" w14:textId="77777777" w:rsidR="00913C78" w:rsidRPr="00913C78" w:rsidRDefault="00913C78" w:rsidP="00913C78">
      <w:pPr>
        <w:ind w:firstLine="420"/>
      </w:pPr>
      <w:r w:rsidRPr="00913C78">
        <w:t>3</w:t>
      </w:r>
      <w:r w:rsidRPr="00913C78">
        <w:rPr>
          <w:rFonts w:hint="eastAsia"/>
        </w:rPr>
        <w:t>）</w:t>
      </w:r>
      <w:r w:rsidRPr="00913C78">
        <w:t> </w:t>
      </w:r>
      <w:r w:rsidRPr="00913C78">
        <w:t>对于新风热回收系统，热回收装置机组名义测试工况下的热回收效率，全热焓交换效率制冷不低于</w:t>
      </w:r>
      <w:r w:rsidRPr="00913C78">
        <w:t>50%</w:t>
      </w:r>
      <w:r w:rsidRPr="00913C78">
        <w:t>，制热不低于</w:t>
      </w:r>
      <w:r w:rsidRPr="00913C78">
        <w:t>55%</w:t>
      </w:r>
      <w:r w:rsidRPr="00913C78">
        <w:t>，显热温度交换效率制冷不低于</w:t>
      </w:r>
      <w:r w:rsidRPr="00913C78">
        <w:t>60%</w:t>
      </w:r>
      <w:r w:rsidRPr="00913C78">
        <w:t>，制热不低于</w:t>
      </w:r>
      <w:r w:rsidRPr="00913C78">
        <w:t>65%</w:t>
      </w:r>
      <w:r w:rsidRPr="00913C78">
        <w:t>。需要考虑新风热回收耗电，热回收装置的性能系数（</w:t>
      </w:r>
      <w:r w:rsidRPr="00913C78">
        <w:t>COP</w:t>
      </w:r>
      <w:r w:rsidRPr="00913C78">
        <w:t>值）大于</w:t>
      </w:r>
      <w:r w:rsidRPr="00913C78">
        <w:t>5</w:t>
      </w:r>
      <w:r w:rsidRPr="00913C78">
        <w:t>（</w:t>
      </w:r>
      <w:r w:rsidRPr="00913C78">
        <w:t>COP</w:t>
      </w:r>
      <w:r w:rsidRPr="00913C78">
        <w:t>值为回收的热量与附加的风机耗电量比值），超过</w:t>
      </w:r>
      <w:r w:rsidRPr="00913C78">
        <w:t>5</w:t>
      </w:r>
      <w:r w:rsidRPr="00913C78">
        <w:t>以上的部分为热回收系统的节能值。</w:t>
      </w:r>
    </w:p>
    <w:p w14:paraId="2148B607" w14:textId="77777777" w:rsidR="00913C78" w:rsidRPr="00913C78" w:rsidRDefault="00913C78" w:rsidP="00913C78">
      <w:pPr>
        <w:ind w:firstLine="420"/>
      </w:pPr>
      <w:r w:rsidRPr="00913C78">
        <w:t>4</w:t>
      </w:r>
      <w:r w:rsidRPr="00913C78">
        <w:rPr>
          <w:rFonts w:hint="eastAsia"/>
        </w:rPr>
        <w:t>）</w:t>
      </w:r>
      <w:r w:rsidRPr="00913C78">
        <w:t> </w:t>
      </w:r>
      <w:r w:rsidRPr="00913C78">
        <w:t>对于水泵的一次泵、二次泵系统，参考系统为对应一、二次泵定频系统。考虑变频的措施，水泵节能率可计入。</w:t>
      </w:r>
    </w:p>
    <w:p w14:paraId="7D7BDF10" w14:textId="77777777" w:rsidR="00913C78" w:rsidRPr="00913C78" w:rsidRDefault="00913C78" w:rsidP="00913C78">
      <w:pPr>
        <w:ind w:firstLine="420"/>
      </w:pPr>
      <w:r w:rsidRPr="00913C78">
        <w:t>5</w:t>
      </w:r>
      <w:r w:rsidRPr="00913C78">
        <w:rPr>
          <w:rFonts w:hint="eastAsia"/>
        </w:rPr>
        <w:t>）</w:t>
      </w:r>
      <w:r w:rsidRPr="00913C78">
        <w:t> </w:t>
      </w:r>
      <w:r w:rsidRPr="00913C78">
        <w:t>对于不宜采用风机盘管的空间，选用全空气定风量系统。本条针对</w:t>
      </w:r>
      <w:r w:rsidRPr="00913C78">
        <w:t>VAV</w:t>
      </w:r>
      <w:r w:rsidRPr="00913C78">
        <w:t>空调系统，有两种比较形式：</w:t>
      </w:r>
      <w:r w:rsidRPr="00913C78">
        <w:rPr>
          <w:rFonts w:hint="eastAsia"/>
        </w:rPr>
        <w:t>一种是</w:t>
      </w:r>
      <w:r w:rsidRPr="00913C78">
        <w:t>与风机盘管比较</w:t>
      </w:r>
      <w:r w:rsidRPr="00913C78">
        <w:rPr>
          <w:rFonts w:hint="eastAsia"/>
        </w:rPr>
        <w:t>。另一种是针</w:t>
      </w:r>
      <w:r w:rsidRPr="00913C78">
        <w:t>对冷水不宜进室或室内噪</w:t>
      </w:r>
      <w:r w:rsidRPr="00913C78">
        <w:rPr>
          <w:rFonts w:hint="eastAsia"/>
        </w:rPr>
        <w:t>声</w:t>
      </w:r>
      <w:r w:rsidRPr="00913C78">
        <w:t>有严格要求的房间，应该与全空气定风量系统比较。</w:t>
      </w:r>
    </w:p>
    <w:p w14:paraId="142975AE"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对于有多种能源形式的空调采暖系统，其能耗应折算为一次能源进行计算。</w:t>
      </w:r>
    </w:p>
    <w:p w14:paraId="7757DC89" w14:textId="77777777" w:rsidR="00913C78" w:rsidRPr="00913C78" w:rsidRDefault="00913C78" w:rsidP="00913C78">
      <w:pPr>
        <w:ind w:firstLine="420"/>
      </w:pPr>
      <w:bookmarkStart w:id="330" w:name="_Toc475720431"/>
      <w:r w:rsidRPr="00913C78">
        <w:rPr>
          <w:rFonts w:hint="eastAsia"/>
        </w:rPr>
        <w:t>◎</w:t>
      </w:r>
      <w:r w:rsidRPr="00913C78">
        <w:t xml:space="preserve"> </w:t>
      </w:r>
      <w:r w:rsidRPr="00913C78">
        <w:rPr>
          <w:rFonts w:hint="eastAsia"/>
        </w:rPr>
        <w:t>计算条件</w:t>
      </w:r>
      <w:bookmarkEnd w:id="330"/>
    </w:p>
    <w:p w14:paraId="00B45AF3" w14:textId="77777777" w:rsidR="00913C78" w:rsidRPr="00913C78" w:rsidRDefault="00913C78" w:rsidP="00913C78">
      <w:pPr>
        <w:ind w:firstLine="420"/>
      </w:pPr>
      <w:r w:rsidRPr="00913C78">
        <w:rPr>
          <w:rFonts w:hint="eastAsia"/>
        </w:rPr>
        <w:t>能耗模拟</w:t>
      </w:r>
      <w:r w:rsidRPr="00913C78">
        <w:t>报告</w:t>
      </w:r>
      <w:r w:rsidRPr="00913C78">
        <w:rPr>
          <w:rFonts w:hint="eastAsia"/>
        </w:rPr>
        <w:t>计算</w:t>
      </w:r>
      <w:r w:rsidRPr="00913C78">
        <w:t>条件应</w:t>
      </w:r>
      <w:r w:rsidRPr="00913C78">
        <w:rPr>
          <w:rFonts w:hint="eastAsia"/>
        </w:rPr>
        <w:t>包括但</w:t>
      </w:r>
      <w:r w:rsidRPr="00913C78">
        <w:t>不限于</w:t>
      </w:r>
      <w:r w:rsidRPr="00913C78">
        <w:rPr>
          <w:rFonts w:hint="eastAsia"/>
        </w:rPr>
        <w:t>：设计建筑和</w:t>
      </w:r>
      <w:r w:rsidRPr="00913C78">
        <w:t>参照建筑</w:t>
      </w:r>
      <w:r w:rsidRPr="00913C78">
        <w:rPr>
          <w:rFonts w:hint="eastAsia"/>
        </w:rPr>
        <w:t>的空气调节和供暖系统运行时间、室内温度、照明功率密度值及开关时间、房间人均占有的使用面积及在室率、人员新风量及新风机组运行时间表、电气设备功率密度及使用率、室内热源散热量辐射和对流的比例、人员散热量和散湿量</w:t>
      </w:r>
      <w:r w:rsidRPr="00913C78">
        <w:t>的</w:t>
      </w:r>
      <w:r w:rsidRPr="00913C78">
        <w:rPr>
          <w:rFonts w:hint="eastAsia"/>
        </w:rPr>
        <w:t>设定方法。</w:t>
      </w:r>
    </w:p>
    <w:p w14:paraId="2211D467"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计算设计建筑全年累计耗冷量和累计耗热量时，应符合下列规定</w:t>
      </w:r>
      <w:r w:rsidRPr="00913C78">
        <w:t>：</w:t>
      </w:r>
    </w:p>
    <w:p w14:paraId="210E28C5" w14:textId="793A44D8" w:rsidR="00913C78" w:rsidRPr="00913C78" w:rsidRDefault="00913C78" w:rsidP="00913C78">
      <w:pPr>
        <w:ind w:firstLine="420"/>
      </w:pPr>
      <w:r w:rsidRPr="00913C78">
        <w:rPr>
          <w:rFonts w:hint="eastAsia"/>
        </w:rPr>
        <w:t>建筑的空气调节和供暖系统运行时间、室内温度、照明功率密度值及开关时间、房间人均占有的使用面积及在室率、人员新风量及新风机组运行时间表、电气设备功率密度及使用率、室内热源散热量辐射和对流的比例、人员散热量和散湿量应按附表</w:t>
      </w:r>
      <w:r w:rsidRPr="00913C78">
        <w:rPr>
          <w:rFonts w:hint="eastAsia"/>
        </w:rPr>
        <w:t>A.5.</w:t>
      </w:r>
      <w:r w:rsidR="00532D0F">
        <w:t>2</w:t>
      </w:r>
      <w:r w:rsidRPr="00913C78">
        <w:rPr>
          <w:rFonts w:hint="eastAsia"/>
        </w:rPr>
        <w:t>～附表</w:t>
      </w:r>
      <w:r w:rsidRPr="00913C78">
        <w:rPr>
          <w:rFonts w:hint="eastAsia"/>
        </w:rPr>
        <w:t>A.5.1</w:t>
      </w:r>
      <w:r w:rsidR="00532D0F">
        <w:t>7</w:t>
      </w:r>
      <w:r w:rsidRPr="00913C78">
        <w:rPr>
          <w:rFonts w:hint="eastAsia"/>
        </w:rPr>
        <w:t>设置。</w:t>
      </w:r>
    </w:p>
    <w:p w14:paraId="373ED922" w14:textId="2321FDE9" w:rsidR="00913C78" w:rsidRPr="00913C78" w:rsidRDefault="00913C78" w:rsidP="00725EEB">
      <w:pPr>
        <w:pStyle w:val="ae"/>
      </w:pPr>
      <w:r w:rsidRPr="00913C78">
        <w:rPr>
          <w:rFonts w:hint="eastAsia"/>
        </w:rPr>
        <w:t>附表</w:t>
      </w:r>
      <w:r w:rsidRPr="00913C78">
        <w:rPr>
          <w:rFonts w:hint="eastAsia"/>
        </w:rPr>
        <w:t>A.5.</w:t>
      </w:r>
      <w:r w:rsidR="00532D0F">
        <w:t>2</w:t>
      </w:r>
      <w:r w:rsidRPr="00913C78">
        <w:rPr>
          <w:rFonts w:hint="eastAsia"/>
        </w:rPr>
        <w:t xml:space="preserve"> </w:t>
      </w:r>
      <w:r w:rsidRPr="00913C78">
        <w:t xml:space="preserve"> </w:t>
      </w:r>
      <w:r w:rsidRPr="00913C78">
        <w:rPr>
          <w:rFonts w:hint="eastAsia"/>
        </w:rPr>
        <w:t>空气调节和供暖系统的日运行时间</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62"/>
        <w:gridCol w:w="1658"/>
        <w:gridCol w:w="2150"/>
      </w:tblGrid>
      <w:tr w:rsidR="00913C78" w:rsidRPr="00725EEB" w14:paraId="759DE211" w14:textId="77777777" w:rsidTr="00E731D0">
        <w:trPr>
          <w:jc w:val="center"/>
        </w:trPr>
        <w:tc>
          <w:tcPr>
            <w:tcW w:w="3562" w:type="dxa"/>
            <w:shd w:val="clear" w:color="auto" w:fill="auto"/>
            <w:vAlign w:val="center"/>
            <w:hideMark/>
          </w:tcPr>
          <w:p w14:paraId="011CBB18" w14:textId="77777777" w:rsidR="00913C78" w:rsidRPr="00725EEB" w:rsidRDefault="00913C78" w:rsidP="00725EEB">
            <w:pPr>
              <w:pStyle w:val="ae"/>
              <w:rPr>
                <w:b w:val="0"/>
                <w:bCs/>
              </w:rPr>
            </w:pPr>
            <w:r w:rsidRPr="00725EEB">
              <w:rPr>
                <w:rFonts w:hint="eastAsia"/>
                <w:b w:val="0"/>
                <w:bCs/>
              </w:rPr>
              <w:t>建筑类别</w:t>
            </w:r>
          </w:p>
        </w:tc>
        <w:tc>
          <w:tcPr>
            <w:tcW w:w="3808" w:type="dxa"/>
            <w:gridSpan w:val="2"/>
            <w:shd w:val="clear" w:color="auto" w:fill="auto"/>
            <w:vAlign w:val="center"/>
            <w:hideMark/>
          </w:tcPr>
          <w:p w14:paraId="46423952" w14:textId="77777777" w:rsidR="00913C78" w:rsidRPr="00725EEB" w:rsidRDefault="00913C78" w:rsidP="00725EEB">
            <w:pPr>
              <w:pStyle w:val="ae"/>
              <w:rPr>
                <w:b w:val="0"/>
                <w:bCs/>
              </w:rPr>
            </w:pPr>
            <w:r w:rsidRPr="00725EEB">
              <w:rPr>
                <w:rFonts w:hint="eastAsia"/>
                <w:b w:val="0"/>
                <w:bCs/>
              </w:rPr>
              <w:t>系统工作时间</w:t>
            </w:r>
          </w:p>
        </w:tc>
      </w:tr>
      <w:tr w:rsidR="00913C78" w:rsidRPr="00725EEB" w14:paraId="4F074A8C" w14:textId="77777777" w:rsidTr="00E731D0">
        <w:trPr>
          <w:jc w:val="center"/>
        </w:trPr>
        <w:tc>
          <w:tcPr>
            <w:tcW w:w="3562" w:type="dxa"/>
            <w:vMerge w:val="restart"/>
            <w:shd w:val="clear" w:color="auto" w:fill="auto"/>
            <w:vAlign w:val="center"/>
            <w:hideMark/>
          </w:tcPr>
          <w:p w14:paraId="44F6A554" w14:textId="77777777" w:rsidR="00913C78" w:rsidRPr="00725EEB" w:rsidRDefault="00913C78" w:rsidP="00725EEB">
            <w:pPr>
              <w:pStyle w:val="ae"/>
              <w:rPr>
                <w:b w:val="0"/>
                <w:bCs/>
              </w:rPr>
            </w:pPr>
            <w:r w:rsidRPr="00725EEB">
              <w:rPr>
                <w:rFonts w:hint="eastAsia"/>
                <w:b w:val="0"/>
                <w:bCs/>
              </w:rPr>
              <w:t>办公建筑</w:t>
            </w:r>
          </w:p>
        </w:tc>
        <w:tc>
          <w:tcPr>
            <w:tcW w:w="1658" w:type="dxa"/>
            <w:shd w:val="clear" w:color="auto" w:fill="auto"/>
            <w:vAlign w:val="center"/>
            <w:hideMark/>
          </w:tcPr>
          <w:p w14:paraId="45316ACC" w14:textId="77777777" w:rsidR="00913C78" w:rsidRPr="00725EEB" w:rsidRDefault="00913C78" w:rsidP="00725EEB">
            <w:pPr>
              <w:pStyle w:val="ae"/>
              <w:rPr>
                <w:b w:val="0"/>
                <w:bCs/>
              </w:rPr>
            </w:pPr>
            <w:r w:rsidRPr="00725EEB">
              <w:rPr>
                <w:rFonts w:hint="eastAsia"/>
                <w:b w:val="0"/>
                <w:bCs/>
              </w:rPr>
              <w:t>工作日</w:t>
            </w:r>
          </w:p>
        </w:tc>
        <w:tc>
          <w:tcPr>
            <w:tcW w:w="2150" w:type="dxa"/>
            <w:shd w:val="clear" w:color="auto" w:fill="auto"/>
            <w:vAlign w:val="center"/>
            <w:hideMark/>
          </w:tcPr>
          <w:p w14:paraId="13DAE170" w14:textId="77777777" w:rsidR="00913C78" w:rsidRPr="00725EEB" w:rsidRDefault="00913C78" w:rsidP="00725EEB">
            <w:pPr>
              <w:pStyle w:val="ae"/>
              <w:rPr>
                <w:b w:val="0"/>
                <w:bCs/>
              </w:rPr>
            </w:pPr>
            <w:r w:rsidRPr="00725EEB">
              <w:rPr>
                <w:rFonts w:hint="eastAsia"/>
                <w:b w:val="0"/>
                <w:bCs/>
              </w:rPr>
              <w:t>7:00</w:t>
            </w:r>
            <w:r w:rsidRPr="00725EEB">
              <w:rPr>
                <w:rFonts w:hint="eastAsia"/>
                <w:b w:val="0"/>
                <w:bCs/>
              </w:rPr>
              <w:t>～</w:t>
            </w:r>
            <w:r w:rsidRPr="00725EEB">
              <w:rPr>
                <w:rFonts w:hint="eastAsia"/>
                <w:b w:val="0"/>
                <w:bCs/>
              </w:rPr>
              <w:t>18:00</w:t>
            </w:r>
          </w:p>
        </w:tc>
      </w:tr>
      <w:tr w:rsidR="00913C78" w:rsidRPr="00725EEB" w14:paraId="393D0D98" w14:textId="77777777" w:rsidTr="00E731D0">
        <w:trPr>
          <w:jc w:val="center"/>
        </w:trPr>
        <w:tc>
          <w:tcPr>
            <w:tcW w:w="3562" w:type="dxa"/>
            <w:vMerge/>
            <w:shd w:val="clear" w:color="auto" w:fill="auto"/>
            <w:vAlign w:val="center"/>
            <w:hideMark/>
          </w:tcPr>
          <w:p w14:paraId="65C3B3ED" w14:textId="77777777" w:rsidR="00913C78" w:rsidRPr="00725EEB" w:rsidRDefault="00913C78" w:rsidP="00725EEB">
            <w:pPr>
              <w:pStyle w:val="ae"/>
              <w:rPr>
                <w:b w:val="0"/>
                <w:bCs/>
              </w:rPr>
            </w:pPr>
          </w:p>
        </w:tc>
        <w:tc>
          <w:tcPr>
            <w:tcW w:w="1658" w:type="dxa"/>
            <w:shd w:val="clear" w:color="auto" w:fill="auto"/>
            <w:vAlign w:val="center"/>
            <w:hideMark/>
          </w:tcPr>
          <w:p w14:paraId="1FDA677D" w14:textId="77777777" w:rsidR="00913C78" w:rsidRPr="00725EEB" w:rsidRDefault="00913C78" w:rsidP="00725EEB">
            <w:pPr>
              <w:pStyle w:val="ae"/>
              <w:rPr>
                <w:b w:val="0"/>
                <w:bCs/>
              </w:rPr>
            </w:pPr>
            <w:r w:rsidRPr="00725EEB">
              <w:rPr>
                <w:rFonts w:hint="eastAsia"/>
                <w:b w:val="0"/>
                <w:bCs/>
              </w:rPr>
              <w:t>节假日</w:t>
            </w:r>
          </w:p>
        </w:tc>
        <w:tc>
          <w:tcPr>
            <w:tcW w:w="2150" w:type="dxa"/>
            <w:shd w:val="clear" w:color="auto" w:fill="auto"/>
            <w:vAlign w:val="center"/>
            <w:hideMark/>
          </w:tcPr>
          <w:p w14:paraId="18C0D877" w14:textId="77777777" w:rsidR="00913C78" w:rsidRPr="00725EEB" w:rsidRDefault="00913C78" w:rsidP="00725EEB">
            <w:pPr>
              <w:pStyle w:val="ae"/>
              <w:rPr>
                <w:b w:val="0"/>
                <w:bCs/>
              </w:rPr>
            </w:pPr>
            <w:r w:rsidRPr="00725EEB">
              <w:rPr>
                <w:rFonts w:hint="eastAsia"/>
                <w:b w:val="0"/>
                <w:bCs/>
              </w:rPr>
              <w:t>—</w:t>
            </w:r>
          </w:p>
        </w:tc>
      </w:tr>
      <w:tr w:rsidR="00913C78" w:rsidRPr="00725EEB" w14:paraId="439E48E1" w14:textId="77777777" w:rsidTr="00E731D0">
        <w:trPr>
          <w:jc w:val="center"/>
        </w:trPr>
        <w:tc>
          <w:tcPr>
            <w:tcW w:w="3562" w:type="dxa"/>
            <w:vMerge w:val="restart"/>
            <w:shd w:val="clear" w:color="auto" w:fill="auto"/>
            <w:vAlign w:val="center"/>
            <w:hideMark/>
          </w:tcPr>
          <w:p w14:paraId="763F5B2E" w14:textId="77777777" w:rsidR="00913C78" w:rsidRPr="00725EEB" w:rsidRDefault="00913C78" w:rsidP="00725EEB">
            <w:pPr>
              <w:pStyle w:val="ae"/>
              <w:rPr>
                <w:b w:val="0"/>
                <w:bCs/>
              </w:rPr>
            </w:pPr>
            <w:r w:rsidRPr="00725EEB">
              <w:rPr>
                <w:rFonts w:hint="eastAsia"/>
                <w:b w:val="0"/>
                <w:bCs/>
              </w:rPr>
              <w:t>校园建筑——教学楼</w:t>
            </w:r>
          </w:p>
        </w:tc>
        <w:tc>
          <w:tcPr>
            <w:tcW w:w="1658" w:type="dxa"/>
            <w:shd w:val="clear" w:color="auto" w:fill="auto"/>
            <w:vAlign w:val="center"/>
            <w:hideMark/>
          </w:tcPr>
          <w:p w14:paraId="7799E12E" w14:textId="77777777" w:rsidR="00913C78" w:rsidRPr="00725EEB" w:rsidRDefault="00913C78" w:rsidP="00725EEB">
            <w:pPr>
              <w:pStyle w:val="ae"/>
              <w:rPr>
                <w:b w:val="0"/>
                <w:bCs/>
              </w:rPr>
            </w:pPr>
            <w:r w:rsidRPr="00725EEB">
              <w:rPr>
                <w:rFonts w:hint="eastAsia"/>
                <w:b w:val="0"/>
                <w:bCs/>
              </w:rPr>
              <w:t>工作日</w:t>
            </w:r>
          </w:p>
        </w:tc>
        <w:tc>
          <w:tcPr>
            <w:tcW w:w="2150" w:type="dxa"/>
            <w:shd w:val="clear" w:color="auto" w:fill="auto"/>
            <w:vAlign w:val="center"/>
            <w:hideMark/>
          </w:tcPr>
          <w:p w14:paraId="65608A16" w14:textId="77777777" w:rsidR="00913C78" w:rsidRPr="00725EEB" w:rsidRDefault="00913C78" w:rsidP="00725EEB">
            <w:pPr>
              <w:pStyle w:val="ae"/>
              <w:rPr>
                <w:b w:val="0"/>
                <w:bCs/>
              </w:rPr>
            </w:pPr>
            <w:r w:rsidRPr="00725EEB">
              <w:rPr>
                <w:rFonts w:hint="eastAsia"/>
                <w:b w:val="0"/>
                <w:bCs/>
              </w:rPr>
              <w:t>7:00</w:t>
            </w:r>
            <w:r w:rsidRPr="00725EEB">
              <w:rPr>
                <w:rFonts w:hint="eastAsia"/>
                <w:b w:val="0"/>
                <w:bCs/>
              </w:rPr>
              <w:t>～</w:t>
            </w:r>
            <w:r w:rsidRPr="00725EEB">
              <w:rPr>
                <w:rFonts w:hint="eastAsia"/>
                <w:b w:val="0"/>
                <w:bCs/>
              </w:rPr>
              <w:t>18:00</w:t>
            </w:r>
          </w:p>
        </w:tc>
      </w:tr>
      <w:tr w:rsidR="00913C78" w:rsidRPr="00725EEB" w14:paraId="3D5F6DC2" w14:textId="77777777" w:rsidTr="00E731D0">
        <w:trPr>
          <w:jc w:val="center"/>
        </w:trPr>
        <w:tc>
          <w:tcPr>
            <w:tcW w:w="3562" w:type="dxa"/>
            <w:vMerge/>
            <w:shd w:val="clear" w:color="auto" w:fill="auto"/>
            <w:vAlign w:val="center"/>
            <w:hideMark/>
          </w:tcPr>
          <w:p w14:paraId="2A5EC63E" w14:textId="77777777" w:rsidR="00913C78" w:rsidRPr="00725EEB" w:rsidRDefault="00913C78" w:rsidP="00725EEB">
            <w:pPr>
              <w:pStyle w:val="ae"/>
              <w:rPr>
                <w:b w:val="0"/>
                <w:bCs/>
              </w:rPr>
            </w:pPr>
          </w:p>
        </w:tc>
        <w:tc>
          <w:tcPr>
            <w:tcW w:w="1658" w:type="dxa"/>
            <w:shd w:val="clear" w:color="auto" w:fill="auto"/>
            <w:vAlign w:val="center"/>
            <w:hideMark/>
          </w:tcPr>
          <w:p w14:paraId="10E7FE96" w14:textId="77777777" w:rsidR="00913C78" w:rsidRPr="00725EEB" w:rsidRDefault="00913C78" w:rsidP="00725EEB">
            <w:pPr>
              <w:pStyle w:val="ae"/>
              <w:rPr>
                <w:b w:val="0"/>
                <w:bCs/>
              </w:rPr>
            </w:pPr>
            <w:r w:rsidRPr="00725EEB">
              <w:rPr>
                <w:rFonts w:hint="eastAsia"/>
                <w:b w:val="0"/>
                <w:bCs/>
              </w:rPr>
              <w:t>节假日</w:t>
            </w:r>
          </w:p>
        </w:tc>
        <w:tc>
          <w:tcPr>
            <w:tcW w:w="2150" w:type="dxa"/>
            <w:shd w:val="clear" w:color="auto" w:fill="auto"/>
            <w:vAlign w:val="center"/>
            <w:hideMark/>
          </w:tcPr>
          <w:p w14:paraId="2F1E6D9A" w14:textId="77777777" w:rsidR="00913C78" w:rsidRPr="00725EEB" w:rsidRDefault="00913C78" w:rsidP="00725EEB">
            <w:pPr>
              <w:pStyle w:val="ae"/>
              <w:rPr>
                <w:b w:val="0"/>
                <w:bCs/>
              </w:rPr>
            </w:pPr>
            <w:r w:rsidRPr="00725EEB">
              <w:rPr>
                <w:rFonts w:hint="eastAsia"/>
                <w:b w:val="0"/>
                <w:bCs/>
              </w:rPr>
              <w:t>—</w:t>
            </w:r>
          </w:p>
        </w:tc>
      </w:tr>
      <w:tr w:rsidR="00913C78" w:rsidRPr="00725EEB" w14:paraId="1A533A8E" w14:textId="77777777" w:rsidTr="00E731D0">
        <w:trPr>
          <w:jc w:val="center"/>
        </w:trPr>
        <w:tc>
          <w:tcPr>
            <w:tcW w:w="3562" w:type="dxa"/>
            <w:shd w:val="clear" w:color="auto" w:fill="auto"/>
            <w:vAlign w:val="center"/>
            <w:hideMark/>
          </w:tcPr>
          <w:p w14:paraId="110289E4" w14:textId="77777777" w:rsidR="00913C78" w:rsidRPr="00725EEB" w:rsidRDefault="00913C78" w:rsidP="00725EEB">
            <w:pPr>
              <w:pStyle w:val="ae"/>
              <w:rPr>
                <w:b w:val="0"/>
                <w:bCs/>
              </w:rPr>
            </w:pPr>
            <w:r w:rsidRPr="00725EEB">
              <w:rPr>
                <w:rFonts w:hint="eastAsia"/>
                <w:b w:val="0"/>
                <w:bCs/>
              </w:rPr>
              <w:t>商店建筑</w:t>
            </w:r>
          </w:p>
        </w:tc>
        <w:tc>
          <w:tcPr>
            <w:tcW w:w="1658" w:type="dxa"/>
            <w:shd w:val="clear" w:color="auto" w:fill="auto"/>
            <w:vAlign w:val="center"/>
            <w:hideMark/>
          </w:tcPr>
          <w:p w14:paraId="29709E36"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607241CD" w14:textId="77777777" w:rsidR="00913C78" w:rsidRPr="00725EEB" w:rsidRDefault="00913C78" w:rsidP="00725EEB">
            <w:pPr>
              <w:pStyle w:val="ae"/>
              <w:rPr>
                <w:b w:val="0"/>
                <w:bCs/>
              </w:rPr>
            </w:pPr>
            <w:r w:rsidRPr="00725EEB">
              <w:rPr>
                <w:rFonts w:hint="eastAsia"/>
                <w:b w:val="0"/>
                <w:bCs/>
              </w:rPr>
              <w:t>8:00</w:t>
            </w:r>
            <w:r w:rsidRPr="00725EEB">
              <w:rPr>
                <w:rFonts w:hint="eastAsia"/>
                <w:b w:val="0"/>
                <w:bCs/>
              </w:rPr>
              <w:t>～</w:t>
            </w:r>
            <w:r w:rsidRPr="00725EEB">
              <w:rPr>
                <w:rFonts w:hint="eastAsia"/>
                <w:b w:val="0"/>
                <w:bCs/>
              </w:rPr>
              <w:t>21:00</w:t>
            </w:r>
          </w:p>
        </w:tc>
      </w:tr>
      <w:tr w:rsidR="00913C78" w:rsidRPr="00725EEB" w14:paraId="0A85505D" w14:textId="77777777" w:rsidTr="00E731D0">
        <w:trPr>
          <w:jc w:val="center"/>
        </w:trPr>
        <w:tc>
          <w:tcPr>
            <w:tcW w:w="3562" w:type="dxa"/>
            <w:shd w:val="clear" w:color="auto" w:fill="auto"/>
            <w:vAlign w:val="center"/>
            <w:hideMark/>
          </w:tcPr>
          <w:p w14:paraId="05FA0E57" w14:textId="77777777" w:rsidR="00913C78" w:rsidRPr="00725EEB" w:rsidRDefault="00913C78" w:rsidP="00725EEB">
            <w:pPr>
              <w:pStyle w:val="ae"/>
              <w:rPr>
                <w:b w:val="0"/>
                <w:bCs/>
              </w:rPr>
            </w:pPr>
            <w:r w:rsidRPr="00725EEB">
              <w:rPr>
                <w:rFonts w:hint="eastAsia"/>
                <w:b w:val="0"/>
                <w:bCs/>
              </w:rPr>
              <w:t>医疗建筑——门诊楼</w:t>
            </w:r>
          </w:p>
        </w:tc>
        <w:tc>
          <w:tcPr>
            <w:tcW w:w="1658" w:type="dxa"/>
            <w:shd w:val="clear" w:color="auto" w:fill="auto"/>
            <w:vAlign w:val="center"/>
            <w:hideMark/>
          </w:tcPr>
          <w:p w14:paraId="6504CE49"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046AA695" w14:textId="77777777" w:rsidR="00913C78" w:rsidRPr="00725EEB" w:rsidRDefault="00913C78" w:rsidP="00725EEB">
            <w:pPr>
              <w:pStyle w:val="ae"/>
              <w:rPr>
                <w:b w:val="0"/>
                <w:bCs/>
              </w:rPr>
            </w:pPr>
            <w:r w:rsidRPr="00725EEB">
              <w:rPr>
                <w:rFonts w:hint="eastAsia"/>
                <w:b w:val="0"/>
                <w:bCs/>
              </w:rPr>
              <w:t>8:00</w:t>
            </w:r>
            <w:r w:rsidRPr="00725EEB">
              <w:rPr>
                <w:rFonts w:hint="eastAsia"/>
                <w:b w:val="0"/>
                <w:bCs/>
              </w:rPr>
              <w:t>～</w:t>
            </w:r>
            <w:r w:rsidRPr="00725EEB">
              <w:rPr>
                <w:rFonts w:hint="eastAsia"/>
                <w:b w:val="0"/>
                <w:bCs/>
              </w:rPr>
              <w:t>21:00</w:t>
            </w:r>
          </w:p>
        </w:tc>
      </w:tr>
      <w:tr w:rsidR="00913C78" w:rsidRPr="00725EEB" w14:paraId="1585AB6A" w14:textId="77777777" w:rsidTr="00E731D0">
        <w:trPr>
          <w:jc w:val="center"/>
        </w:trPr>
        <w:tc>
          <w:tcPr>
            <w:tcW w:w="3562" w:type="dxa"/>
            <w:shd w:val="clear" w:color="auto" w:fill="auto"/>
            <w:vAlign w:val="center"/>
            <w:hideMark/>
          </w:tcPr>
          <w:p w14:paraId="3768B609" w14:textId="77777777" w:rsidR="00913C78" w:rsidRPr="00725EEB" w:rsidRDefault="00913C78" w:rsidP="00725EEB">
            <w:pPr>
              <w:pStyle w:val="ae"/>
              <w:rPr>
                <w:b w:val="0"/>
                <w:bCs/>
              </w:rPr>
            </w:pPr>
            <w:r w:rsidRPr="00725EEB">
              <w:rPr>
                <w:rFonts w:hint="eastAsia"/>
                <w:b w:val="0"/>
                <w:bCs/>
              </w:rPr>
              <w:t>宾馆建筑</w:t>
            </w:r>
          </w:p>
        </w:tc>
        <w:tc>
          <w:tcPr>
            <w:tcW w:w="1658" w:type="dxa"/>
            <w:shd w:val="clear" w:color="auto" w:fill="auto"/>
            <w:vAlign w:val="center"/>
            <w:hideMark/>
          </w:tcPr>
          <w:p w14:paraId="471C3E3A"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218C1170" w14:textId="77777777" w:rsidR="00913C78" w:rsidRPr="00725EEB" w:rsidRDefault="00913C78" w:rsidP="00725EEB">
            <w:pPr>
              <w:pStyle w:val="ae"/>
              <w:rPr>
                <w:b w:val="0"/>
                <w:bCs/>
              </w:rPr>
            </w:pPr>
            <w:r w:rsidRPr="00725EEB">
              <w:rPr>
                <w:rFonts w:hint="eastAsia"/>
                <w:b w:val="0"/>
                <w:bCs/>
              </w:rPr>
              <w:t>1:00</w:t>
            </w:r>
            <w:r w:rsidRPr="00725EEB">
              <w:rPr>
                <w:rFonts w:hint="eastAsia"/>
                <w:b w:val="0"/>
                <w:bCs/>
              </w:rPr>
              <w:t>～</w:t>
            </w:r>
            <w:r w:rsidRPr="00725EEB">
              <w:rPr>
                <w:rFonts w:hint="eastAsia"/>
                <w:b w:val="0"/>
                <w:bCs/>
              </w:rPr>
              <w:t>24:00</w:t>
            </w:r>
          </w:p>
        </w:tc>
      </w:tr>
      <w:tr w:rsidR="00913C78" w:rsidRPr="00725EEB" w14:paraId="6A9C8D0E" w14:textId="77777777" w:rsidTr="00E731D0">
        <w:trPr>
          <w:jc w:val="center"/>
        </w:trPr>
        <w:tc>
          <w:tcPr>
            <w:tcW w:w="3562" w:type="dxa"/>
            <w:shd w:val="clear" w:color="auto" w:fill="auto"/>
            <w:vAlign w:val="center"/>
            <w:hideMark/>
          </w:tcPr>
          <w:p w14:paraId="440DBE0D" w14:textId="77777777" w:rsidR="00913C78" w:rsidRPr="00725EEB" w:rsidRDefault="00913C78" w:rsidP="00725EEB">
            <w:pPr>
              <w:pStyle w:val="ae"/>
              <w:rPr>
                <w:b w:val="0"/>
                <w:bCs/>
              </w:rPr>
            </w:pPr>
            <w:r w:rsidRPr="00725EEB">
              <w:rPr>
                <w:rFonts w:hint="eastAsia"/>
                <w:b w:val="0"/>
                <w:bCs/>
              </w:rPr>
              <w:t>公路客运站</w:t>
            </w:r>
          </w:p>
        </w:tc>
        <w:tc>
          <w:tcPr>
            <w:tcW w:w="1658" w:type="dxa"/>
            <w:shd w:val="clear" w:color="auto" w:fill="auto"/>
            <w:vAlign w:val="center"/>
            <w:hideMark/>
          </w:tcPr>
          <w:p w14:paraId="5E40C992"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7681BF80" w14:textId="77777777" w:rsidR="00913C78" w:rsidRPr="00725EEB" w:rsidRDefault="00913C78" w:rsidP="00725EEB">
            <w:pPr>
              <w:pStyle w:val="ae"/>
              <w:rPr>
                <w:b w:val="0"/>
                <w:bCs/>
              </w:rPr>
            </w:pPr>
            <w:r w:rsidRPr="00725EEB">
              <w:rPr>
                <w:rFonts w:hint="eastAsia"/>
                <w:b w:val="0"/>
                <w:bCs/>
              </w:rPr>
              <w:t>8:00</w:t>
            </w:r>
            <w:r w:rsidRPr="00725EEB">
              <w:rPr>
                <w:rFonts w:hint="eastAsia"/>
                <w:b w:val="0"/>
                <w:bCs/>
              </w:rPr>
              <w:t>～</w:t>
            </w:r>
            <w:r w:rsidRPr="00725EEB">
              <w:rPr>
                <w:rFonts w:hint="eastAsia"/>
                <w:b w:val="0"/>
                <w:bCs/>
              </w:rPr>
              <w:t>22:00</w:t>
            </w:r>
          </w:p>
        </w:tc>
      </w:tr>
      <w:tr w:rsidR="00913C78" w:rsidRPr="00725EEB" w14:paraId="019ED5FB" w14:textId="77777777" w:rsidTr="00E731D0">
        <w:trPr>
          <w:jc w:val="center"/>
        </w:trPr>
        <w:tc>
          <w:tcPr>
            <w:tcW w:w="3562" w:type="dxa"/>
            <w:shd w:val="clear" w:color="auto" w:fill="auto"/>
            <w:vAlign w:val="center"/>
            <w:hideMark/>
          </w:tcPr>
          <w:p w14:paraId="12DC4029" w14:textId="77777777" w:rsidR="00913C78" w:rsidRPr="00725EEB" w:rsidRDefault="00913C78" w:rsidP="00725EEB">
            <w:pPr>
              <w:pStyle w:val="ae"/>
              <w:rPr>
                <w:b w:val="0"/>
                <w:bCs/>
              </w:rPr>
            </w:pPr>
            <w:r w:rsidRPr="00725EEB">
              <w:rPr>
                <w:rFonts w:hint="eastAsia"/>
                <w:b w:val="0"/>
                <w:bCs/>
              </w:rPr>
              <w:t>铁路客运站</w:t>
            </w:r>
          </w:p>
        </w:tc>
        <w:tc>
          <w:tcPr>
            <w:tcW w:w="1658" w:type="dxa"/>
            <w:shd w:val="clear" w:color="auto" w:fill="auto"/>
            <w:vAlign w:val="center"/>
            <w:hideMark/>
          </w:tcPr>
          <w:p w14:paraId="269611DA"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6637B16F" w14:textId="77777777" w:rsidR="00913C78" w:rsidRPr="00725EEB" w:rsidRDefault="00913C78" w:rsidP="00725EEB">
            <w:pPr>
              <w:pStyle w:val="ae"/>
              <w:rPr>
                <w:b w:val="0"/>
                <w:bCs/>
              </w:rPr>
            </w:pPr>
            <w:r w:rsidRPr="00725EEB">
              <w:rPr>
                <w:rFonts w:hint="eastAsia"/>
                <w:b w:val="0"/>
                <w:bCs/>
              </w:rPr>
              <w:t>7:00</w:t>
            </w:r>
            <w:r w:rsidRPr="00725EEB">
              <w:rPr>
                <w:rFonts w:hint="eastAsia"/>
                <w:b w:val="0"/>
                <w:bCs/>
              </w:rPr>
              <w:t>～</w:t>
            </w:r>
            <w:r w:rsidRPr="00725EEB">
              <w:rPr>
                <w:rFonts w:hint="eastAsia"/>
                <w:b w:val="0"/>
                <w:bCs/>
              </w:rPr>
              <w:t>24:00</w:t>
            </w:r>
          </w:p>
        </w:tc>
      </w:tr>
      <w:tr w:rsidR="00913C78" w:rsidRPr="00725EEB" w14:paraId="6F4E184C" w14:textId="77777777" w:rsidTr="00E731D0">
        <w:trPr>
          <w:jc w:val="center"/>
        </w:trPr>
        <w:tc>
          <w:tcPr>
            <w:tcW w:w="3562" w:type="dxa"/>
            <w:shd w:val="clear" w:color="auto" w:fill="auto"/>
            <w:vAlign w:val="center"/>
            <w:hideMark/>
          </w:tcPr>
          <w:p w14:paraId="4583ABD1" w14:textId="77777777" w:rsidR="00913C78" w:rsidRPr="00725EEB" w:rsidRDefault="00913C78" w:rsidP="00725EEB">
            <w:pPr>
              <w:pStyle w:val="ae"/>
              <w:rPr>
                <w:b w:val="0"/>
                <w:bCs/>
              </w:rPr>
            </w:pPr>
            <w:r w:rsidRPr="00725EEB">
              <w:rPr>
                <w:rFonts w:hint="eastAsia"/>
                <w:b w:val="0"/>
                <w:bCs/>
              </w:rPr>
              <w:t>航空港——旅客公共区</w:t>
            </w:r>
          </w:p>
        </w:tc>
        <w:tc>
          <w:tcPr>
            <w:tcW w:w="1658" w:type="dxa"/>
            <w:shd w:val="clear" w:color="auto" w:fill="auto"/>
            <w:vAlign w:val="center"/>
            <w:hideMark/>
          </w:tcPr>
          <w:p w14:paraId="67633C27"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6507978E" w14:textId="77777777" w:rsidR="00913C78" w:rsidRPr="00725EEB" w:rsidRDefault="00913C78" w:rsidP="00725EEB">
            <w:pPr>
              <w:pStyle w:val="ae"/>
              <w:rPr>
                <w:b w:val="0"/>
                <w:bCs/>
              </w:rPr>
            </w:pPr>
            <w:r w:rsidRPr="00725EEB">
              <w:rPr>
                <w:rFonts w:hint="eastAsia"/>
                <w:b w:val="0"/>
                <w:bCs/>
              </w:rPr>
              <w:t>0:00</w:t>
            </w:r>
            <w:r w:rsidRPr="00725EEB">
              <w:rPr>
                <w:rFonts w:hint="eastAsia"/>
                <w:b w:val="0"/>
                <w:bCs/>
              </w:rPr>
              <w:t>～</w:t>
            </w:r>
            <w:r w:rsidRPr="00725EEB">
              <w:rPr>
                <w:rFonts w:hint="eastAsia"/>
                <w:b w:val="0"/>
                <w:bCs/>
              </w:rPr>
              <w:t>24:00</w:t>
            </w:r>
          </w:p>
        </w:tc>
      </w:tr>
      <w:tr w:rsidR="00913C78" w:rsidRPr="00725EEB" w14:paraId="59F507BC" w14:textId="77777777" w:rsidTr="00E731D0">
        <w:trPr>
          <w:jc w:val="center"/>
        </w:trPr>
        <w:tc>
          <w:tcPr>
            <w:tcW w:w="3562" w:type="dxa"/>
            <w:shd w:val="clear" w:color="auto" w:fill="auto"/>
            <w:vAlign w:val="center"/>
            <w:hideMark/>
          </w:tcPr>
          <w:p w14:paraId="2207032A" w14:textId="77777777" w:rsidR="00913C78" w:rsidRPr="00725EEB" w:rsidRDefault="00913C78" w:rsidP="00725EEB">
            <w:pPr>
              <w:pStyle w:val="ae"/>
              <w:rPr>
                <w:b w:val="0"/>
                <w:bCs/>
              </w:rPr>
            </w:pPr>
            <w:r w:rsidRPr="00725EEB">
              <w:rPr>
                <w:rFonts w:hint="eastAsia"/>
                <w:b w:val="0"/>
                <w:bCs/>
              </w:rPr>
              <w:t>体育建筑</w:t>
            </w:r>
          </w:p>
        </w:tc>
        <w:tc>
          <w:tcPr>
            <w:tcW w:w="1658" w:type="dxa"/>
            <w:shd w:val="clear" w:color="auto" w:fill="auto"/>
            <w:vAlign w:val="center"/>
            <w:hideMark/>
          </w:tcPr>
          <w:p w14:paraId="021116F0"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64A99CE6" w14:textId="77777777" w:rsidR="00913C78" w:rsidRPr="00725EEB" w:rsidRDefault="00913C78" w:rsidP="00725EEB">
            <w:pPr>
              <w:pStyle w:val="ae"/>
              <w:rPr>
                <w:b w:val="0"/>
                <w:bCs/>
              </w:rPr>
            </w:pPr>
            <w:r w:rsidRPr="00725EEB">
              <w:rPr>
                <w:rFonts w:hint="eastAsia"/>
                <w:b w:val="0"/>
                <w:bCs/>
              </w:rPr>
              <w:t>9:00</w:t>
            </w:r>
            <w:r w:rsidRPr="00725EEB">
              <w:rPr>
                <w:rFonts w:hint="eastAsia"/>
                <w:b w:val="0"/>
                <w:bCs/>
              </w:rPr>
              <w:t>～</w:t>
            </w:r>
            <w:r w:rsidRPr="00725EEB">
              <w:rPr>
                <w:rFonts w:hint="eastAsia"/>
                <w:b w:val="0"/>
                <w:bCs/>
              </w:rPr>
              <w:t>21:00</w:t>
            </w:r>
          </w:p>
        </w:tc>
      </w:tr>
      <w:tr w:rsidR="00913C78" w:rsidRPr="00725EEB" w14:paraId="01A31854" w14:textId="77777777" w:rsidTr="00E731D0">
        <w:trPr>
          <w:jc w:val="center"/>
        </w:trPr>
        <w:tc>
          <w:tcPr>
            <w:tcW w:w="3562" w:type="dxa"/>
            <w:shd w:val="clear" w:color="auto" w:fill="auto"/>
            <w:vAlign w:val="center"/>
            <w:hideMark/>
          </w:tcPr>
          <w:p w14:paraId="2836A285" w14:textId="77777777" w:rsidR="00913C78" w:rsidRPr="00725EEB" w:rsidRDefault="00913C78" w:rsidP="00725EEB">
            <w:pPr>
              <w:pStyle w:val="ae"/>
              <w:rPr>
                <w:b w:val="0"/>
                <w:bCs/>
              </w:rPr>
            </w:pPr>
            <w:r w:rsidRPr="00725EEB">
              <w:rPr>
                <w:rFonts w:hint="eastAsia"/>
                <w:b w:val="0"/>
                <w:bCs/>
              </w:rPr>
              <w:t>观演建筑</w:t>
            </w:r>
          </w:p>
        </w:tc>
        <w:tc>
          <w:tcPr>
            <w:tcW w:w="1658" w:type="dxa"/>
            <w:shd w:val="clear" w:color="auto" w:fill="auto"/>
            <w:vAlign w:val="center"/>
            <w:hideMark/>
          </w:tcPr>
          <w:p w14:paraId="53059F62"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19C04EFE" w14:textId="77777777" w:rsidR="00913C78" w:rsidRPr="00725EEB" w:rsidRDefault="00913C78" w:rsidP="00725EEB">
            <w:pPr>
              <w:pStyle w:val="ae"/>
              <w:rPr>
                <w:b w:val="0"/>
                <w:bCs/>
              </w:rPr>
            </w:pPr>
            <w:r w:rsidRPr="00725EEB">
              <w:rPr>
                <w:rFonts w:hint="eastAsia"/>
                <w:b w:val="0"/>
                <w:bCs/>
              </w:rPr>
              <w:t>10:00</w:t>
            </w:r>
            <w:r w:rsidRPr="00725EEB">
              <w:rPr>
                <w:rFonts w:hint="eastAsia"/>
                <w:b w:val="0"/>
                <w:bCs/>
              </w:rPr>
              <w:t>～</w:t>
            </w:r>
            <w:r w:rsidRPr="00725EEB">
              <w:rPr>
                <w:rFonts w:hint="eastAsia"/>
                <w:b w:val="0"/>
                <w:bCs/>
              </w:rPr>
              <w:t>22:00</w:t>
            </w:r>
          </w:p>
        </w:tc>
      </w:tr>
      <w:tr w:rsidR="00913C78" w:rsidRPr="00725EEB" w14:paraId="31A064A7" w14:textId="77777777" w:rsidTr="00E731D0">
        <w:trPr>
          <w:jc w:val="center"/>
        </w:trPr>
        <w:tc>
          <w:tcPr>
            <w:tcW w:w="3562" w:type="dxa"/>
            <w:shd w:val="clear" w:color="auto" w:fill="auto"/>
            <w:vAlign w:val="center"/>
            <w:hideMark/>
          </w:tcPr>
          <w:p w14:paraId="68E90EE0" w14:textId="77777777" w:rsidR="00913C78" w:rsidRPr="00725EEB" w:rsidRDefault="00913C78" w:rsidP="00725EEB">
            <w:pPr>
              <w:pStyle w:val="ae"/>
              <w:rPr>
                <w:b w:val="0"/>
                <w:bCs/>
              </w:rPr>
            </w:pPr>
            <w:r w:rsidRPr="00725EEB">
              <w:rPr>
                <w:rFonts w:hint="eastAsia"/>
                <w:b w:val="0"/>
                <w:bCs/>
              </w:rPr>
              <w:t>展览建筑</w:t>
            </w:r>
          </w:p>
        </w:tc>
        <w:tc>
          <w:tcPr>
            <w:tcW w:w="1658" w:type="dxa"/>
            <w:shd w:val="clear" w:color="auto" w:fill="auto"/>
            <w:vAlign w:val="center"/>
            <w:hideMark/>
          </w:tcPr>
          <w:p w14:paraId="4FECA8B4" w14:textId="77777777" w:rsidR="00913C78" w:rsidRPr="00725EEB" w:rsidRDefault="00913C78" w:rsidP="00725EEB">
            <w:pPr>
              <w:pStyle w:val="ae"/>
              <w:rPr>
                <w:b w:val="0"/>
                <w:bCs/>
              </w:rPr>
            </w:pPr>
            <w:r w:rsidRPr="00725EEB">
              <w:rPr>
                <w:rFonts w:hint="eastAsia"/>
                <w:b w:val="0"/>
                <w:bCs/>
              </w:rPr>
              <w:t>全年</w:t>
            </w:r>
          </w:p>
        </w:tc>
        <w:tc>
          <w:tcPr>
            <w:tcW w:w="2150" w:type="dxa"/>
            <w:shd w:val="clear" w:color="auto" w:fill="auto"/>
            <w:vAlign w:val="center"/>
            <w:hideMark/>
          </w:tcPr>
          <w:p w14:paraId="4510D3F6" w14:textId="77777777" w:rsidR="00913C78" w:rsidRPr="00725EEB" w:rsidRDefault="00913C78" w:rsidP="00725EEB">
            <w:pPr>
              <w:pStyle w:val="ae"/>
              <w:rPr>
                <w:b w:val="0"/>
                <w:bCs/>
              </w:rPr>
            </w:pPr>
            <w:r w:rsidRPr="00725EEB">
              <w:rPr>
                <w:rFonts w:hint="eastAsia"/>
                <w:b w:val="0"/>
                <w:bCs/>
              </w:rPr>
              <w:t>10:00</w:t>
            </w:r>
            <w:r w:rsidRPr="00725EEB">
              <w:rPr>
                <w:rFonts w:hint="eastAsia"/>
                <w:b w:val="0"/>
                <w:bCs/>
              </w:rPr>
              <w:t>～</w:t>
            </w:r>
            <w:r w:rsidRPr="00725EEB">
              <w:rPr>
                <w:rFonts w:hint="eastAsia"/>
                <w:b w:val="0"/>
                <w:bCs/>
              </w:rPr>
              <w:t>21:00</w:t>
            </w:r>
          </w:p>
        </w:tc>
      </w:tr>
    </w:tbl>
    <w:p w14:paraId="71421DCD" w14:textId="77777777" w:rsidR="00913C78" w:rsidRPr="00913C78" w:rsidRDefault="00913C78" w:rsidP="00913C78">
      <w:pPr>
        <w:ind w:firstLine="420"/>
      </w:pPr>
    </w:p>
    <w:p w14:paraId="107E3816" w14:textId="7E335774" w:rsidR="00913C78" w:rsidRPr="00913C78" w:rsidRDefault="00913C78" w:rsidP="00725EEB">
      <w:pPr>
        <w:pStyle w:val="ae"/>
      </w:pPr>
      <w:r w:rsidRPr="00913C78">
        <w:rPr>
          <w:rFonts w:hint="eastAsia"/>
        </w:rPr>
        <w:t>附表</w:t>
      </w:r>
      <w:r w:rsidRPr="00913C78">
        <w:rPr>
          <w:rFonts w:hint="eastAsia"/>
        </w:rPr>
        <w:t>A.5.</w:t>
      </w:r>
      <w:r w:rsidR="00532D0F">
        <w:t>3</w:t>
      </w:r>
      <w:r w:rsidRPr="00913C78">
        <w:t xml:space="preserve"> </w:t>
      </w:r>
      <w:r w:rsidRPr="00913C78">
        <w:rPr>
          <w:rFonts w:hint="eastAsia"/>
        </w:rPr>
        <w:t xml:space="preserve"> </w:t>
      </w:r>
      <w:r w:rsidRPr="00913C78">
        <w:rPr>
          <w:rFonts w:hint="eastAsia"/>
        </w:rPr>
        <w:t>办公建筑</w:t>
      </w:r>
      <w:r w:rsidRPr="00913C78">
        <w:t>、教学楼、</w:t>
      </w:r>
      <w:r w:rsidRPr="00913C78">
        <w:rPr>
          <w:rFonts w:hint="eastAsia"/>
        </w:rPr>
        <w:t>宾馆</w:t>
      </w:r>
      <w:r w:rsidRPr="00913C78">
        <w:t>建筑、住院部、商店建筑、</w:t>
      </w:r>
      <w:r w:rsidRPr="00913C78">
        <w:rPr>
          <w:rFonts w:hint="eastAsia"/>
        </w:rPr>
        <w:t>门诊楼供暖空调区室内温度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firstRow="1" w:lastRow="0" w:firstColumn="1" w:lastColumn="0" w:noHBand="0" w:noVBand="1"/>
      </w:tblPr>
      <w:tblGrid>
        <w:gridCol w:w="1164"/>
        <w:gridCol w:w="954"/>
        <w:gridCol w:w="954"/>
        <w:gridCol w:w="348"/>
        <w:gridCol w:w="348"/>
        <w:gridCol w:w="348"/>
        <w:gridCol w:w="348"/>
        <w:gridCol w:w="348"/>
        <w:gridCol w:w="347"/>
        <w:gridCol w:w="347"/>
        <w:gridCol w:w="347"/>
        <w:gridCol w:w="347"/>
        <w:gridCol w:w="347"/>
        <w:gridCol w:w="347"/>
        <w:gridCol w:w="347"/>
      </w:tblGrid>
      <w:tr w:rsidR="00913C78" w:rsidRPr="00725EEB" w14:paraId="3E8F3183" w14:textId="77777777" w:rsidTr="00E731D0">
        <w:trPr>
          <w:jc w:val="center"/>
        </w:trPr>
        <w:tc>
          <w:tcPr>
            <w:tcW w:w="0" w:type="auto"/>
            <w:vMerge w:val="restart"/>
            <w:shd w:val="clear" w:color="auto" w:fill="auto"/>
            <w:vAlign w:val="center"/>
            <w:hideMark/>
          </w:tcPr>
          <w:p w14:paraId="553A6C26" w14:textId="77777777" w:rsidR="00913C78" w:rsidRPr="00725EEB" w:rsidRDefault="00913C78" w:rsidP="00725EEB">
            <w:pPr>
              <w:pStyle w:val="ae"/>
              <w:rPr>
                <w:b w:val="0"/>
                <w:bCs/>
              </w:rPr>
            </w:pPr>
            <w:r w:rsidRPr="00725EEB">
              <w:rPr>
                <w:rFonts w:hint="eastAsia"/>
                <w:b w:val="0"/>
                <w:bCs/>
              </w:rPr>
              <w:t>建筑类别</w:t>
            </w:r>
          </w:p>
        </w:tc>
        <w:tc>
          <w:tcPr>
            <w:tcW w:w="0" w:type="auto"/>
            <w:vMerge w:val="restart"/>
            <w:shd w:val="clear" w:color="auto" w:fill="auto"/>
            <w:vAlign w:val="center"/>
            <w:hideMark/>
          </w:tcPr>
          <w:p w14:paraId="3D53C492" w14:textId="77777777" w:rsidR="00913C78" w:rsidRPr="00725EEB" w:rsidRDefault="00913C78" w:rsidP="00725EEB">
            <w:pPr>
              <w:pStyle w:val="ae"/>
              <w:rPr>
                <w:b w:val="0"/>
                <w:bCs/>
              </w:rPr>
            </w:pPr>
            <w:r w:rsidRPr="00725EEB">
              <w:rPr>
                <w:rFonts w:hint="eastAsia"/>
                <w:b w:val="0"/>
                <w:bCs/>
              </w:rPr>
              <w:t>运行时段</w:t>
            </w:r>
          </w:p>
        </w:tc>
        <w:tc>
          <w:tcPr>
            <w:tcW w:w="0" w:type="auto"/>
            <w:vMerge w:val="restart"/>
            <w:shd w:val="clear" w:color="auto" w:fill="auto"/>
            <w:vAlign w:val="center"/>
            <w:hideMark/>
          </w:tcPr>
          <w:p w14:paraId="51A8FBEA" w14:textId="77777777" w:rsidR="00913C78" w:rsidRPr="00725EEB" w:rsidRDefault="00913C78" w:rsidP="00725EEB">
            <w:pPr>
              <w:pStyle w:val="ae"/>
              <w:rPr>
                <w:b w:val="0"/>
                <w:bCs/>
              </w:rPr>
            </w:pPr>
            <w:r w:rsidRPr="00725EEB">
              <w:rPr>
                <w:rFonts w:hint="eastAsia"/>
                <w:b w:val="0"/>
                <w:bCs/>
              </w:rPr>
              <w:t>运行模式</w:t>
            </w:r>
          </w:p>
        </w:tc>
        <w:tc>
          <w:tcPr>
            <w:tcW w:w="0" w:type="auto"/>
            <w:gridSpan w:val="12"/>
            <w:shd w:val="clear" w:color="auto" w:fill="auto"/>
            <w:vAlign w:val="center"/>
            <w:hideMark/>
          </w:tcPr>
          <w:p w14:paraId="5AD528E8" w14:textId="77777777" w:rsidR="00913C78" w:rsidRPr="00725EEB" w:rsidRDefault="00913C78" w:rsidP="00725EEB">
            <w:pPr>
              <w:pStyle w:val="ae"/>
              <w:rPr>
                <w:b w:val="0"/>
                <w:bCs/>
              </w:rPr>
            </w:pPr>
            <w:r w:rsidRPr="00725EEB">
              <w:rPr>
                <w:rFonts w:hint="eastAsia"/>
                <w:b w:val="0"/>
                <w:bCs/>
              </w:rPr>
              <w:t>下列计算时刻</w:t>
            </w:r>
            <w:r w:rsidRPr="00725EEB">
              <w:rPr>
                <w:rFonts w:hint="eastAsia"/>
                <w:b w:val="0"/>
                <w:bCs/>
              </w:rPr>
              <w:t>/h</w:t>
            </w:r>
            <w:r w:rsidRPr="00725EEB">
              <w:rPr>
                <w:rFonts w:hint="eastAsia"/>
                <w:b w:val="0"/>
                <w:bCs/>
              </w:rPr>
              <w:t>供暖空调区室内设定温度</w:t>
            </w:r>
            <w:r w:rsidRPr="00725EEB">
              <w:rPr>
                <w:rFonts w:hint="eastAsia"/>
                <w:b w:val="0"/>
                <w:bCs/>
              </w:rPr>
              <w:t>/</w:t>
            </w:r>
            <w:r w:rsidRPr="00725EEB">
              <w:rPr>
                <w:rFonts w:hint="eastAsia"/>
                <w:b w:val="0"/>
                <w:bCs/>
              </w:rPr>
              <w:t>℃</w:t>
            </w:r>
          </w:p>
        </w:tc>
      </w:tr>
      <w:tr w:rsidR="00913C78" w:rsidRPr="00725EEB" w14:paraId="2D5806B7" w14:textId="77777777" w:rsidTr="00E731D0">
        <w:trPr>
          <w:jc w:val="center"/>
        </w:trPr>
        <w:tc>
          <w:tcPr>
            <w:tcW w:w="0" w:type="auto"/>
            <w:vMerge/>
            <w:shd w:val="clear" w:color="auto" w:fill="auto"/>
            <w:vAlign w:val="center"/>
            <w:hideMark/>
          </w:tcPr>
          <w:p w14:paraId="166B3147" w14:textId="77777777" w:rsidR="00913C78" w:rsidRPr="00725EEB" w:rsidRDefault="00913C78" w:rsidP="00725EEB">
            <w:pPr>
              <w:pStyle w:val="ae"/>
              <w:rPr>
                <w:b w:val="0"/>
                <w:bCs/>
              </w:rPr>
            </w:pPr>
          </w:p>
        </w:tc>
        <w:tc>
          <w:tcPr>
            <w:tcW w:w="0" w:type="auto"/>
            <w:vMerge/>
            <w:shd w:val="clear" w:color="auto" w:fill="auto"/>
            <w:vAlign w:val="center"/>
            <w:hideMark/>
          </w:tcPr>
          <w:p w14:paraId="294E3D99" w14:textId="77777777" w:rsidR="00913C78" w:rsidRPr="00725EEB" w:rsidRDefault="00913C78" w:rsidP="00725EEB">
            <w:pPr>
              <w:pStyle w:val="ae"/>
              <w:rPr>
                <w:b w:val="0"/>
                <w:bCs/>
              </w:rPr>
            </w:pPr>
          </w:p>
        </w:tc>
        <w:tc>
          <w:tcPr>
            <w:tcW w:w="0" w:type="auto"/>
            <w:vMerge/>
            <w:shd w:val="clear" w:color="auto" w:fill="auto"/>
            <w:vAlign w:val="center"/>
            <w:hideMark/>
          </w:tcPr>
          <w:p w14:paraId="399DD107" w14:textId="77777777" w:rsidR="00913C78" w:rsidRPr="00725EEB" w:rsidRDefault="00913C78" w:rsidP="00725EEB">
            <w:pPr>
              <w:pStyle w:val="ae"/>
              <w:rPr>
                <w:b w:val="0"/>
                <w:bCs/>
              </w:rPr>
            </w:pPr>
          </w:p>
        </w:tc>
        <w:tc>
          <w:tcPr>
            <w:tcW w:w="0" w:type="auto"/>
            <w:shd w:val="clear" w:color="auto" w:fill="auto"/>
            <w:vAlign w:val="center"/>
            <w:hideMark/>
          </w:tcPr>
          <w:p w14:paraId="7668C717" w14:textId="77777777" w:rsidR="00913C78" w:rsidRPr="00725EEB" w:rsidRDefault="00913C78" w:rsidP="00725EEB">
            <w:pPr>
              <w:pStyle w:val="ae"/>
              <w:rPr>
                <w:b w:val="0"/>
                <w:bCs/>
              </w:rPr>
            </w:pPr>
            <w:r w:rsidRPr="00725EEB">
              <w:rPr>
                <w:rFonts w:hint="eastAsia"/>
                <w:b w:val="0"/>
                <w:bCs/>
              </w:rPr>
              <w:t>1</w:t>
            </w:r>
          </w:p>
        </w:tc>
        <w:tc>
          <w:tcPr>
            <w:tcW w:w="0" w:type="auto"/>
            <w:shd w:val="clear" w:color="auto" w:fill="auto"/>
            <w:vAlign w:val="center"/>
            <w:hideMark/>
          </w:tcPr>
          <w:p w14:paraId="2CAABD7C" w14:textId="77777777" w:rsidR="00913C78" w:rsidRPr="00725EEB" w:rsidRDefault="00913C78" w:rsidP="00725EEB">
            <w:pPr>
              <w:pStyle w:val="ae"/>
              <w:rPr>
                <w:b w:val="0"/>
                <w:bCs/>
              </w:rPr>
            </w:pPr>
            <w:r w:rsidRPr="00725EEB">
              <w:rPr>
                <w:rFonts w:hint="eastAsia"/>
                <w:b w:val="0"/>
                <w:bCs/>
              </w:rPr>
              <w:t>2</w:t>
            </w:r>
          </w:p>
        </w:tc>
        <w:tc>
          <w:tcPr>
            <w:tcW w:w="0" w:type="auto"/>
            <w:shd w:val="clear" w:color="auto" w:fill="auto"/>
            <w:vAlign w:val="center"/>
            <w:hideMark/>
          </w:tcPr>
          <w:p w14:paraId="2D3408E7" w14:textId="77777777" w:rsidR="00913C78" w:rsidRPr="00725EEB" w:rsidRDefault="00913C78" w:rsidP="00725EEB">
            <w:pPr>
              <w:pStyle w:val="ae"/>
              <w:rPr>
                <w:b w:val="0"/>
                <w:bCs/>
              </w:rPr>
            </w:pPr>
            <w:r w:rsidRPr="00725EEB">
              <w:rPr>
                <w:rFonts w:hint="eastAsia"/>
                <w:b w:val="0"/>
                <w:bCs/>
              </w:rPr>
              <w:t>3</w:t>
            </w:r>
          </w:p>
        </w:tc>
        <w:tc>
          <w:tcPr>
            <w:tcW w:w="0" w:type="auto"/>
            <w:shd w:val="clear" w:color="auto" w:fill="auto"/>
            <w:vAlign w:val="center"/>
            <w:hideMark/>
          </w:tcPr>
          <w:p w14:paraId="40464B01" w14:textId="77777777" w:rsidR="00913C78" w:rsidRPr="00725EEB" w:rsidRDefault="00913C78" w:rsidP="00725EEB">
            <w:pPr>
              <w:pStyle w:val="ae"/>
              <w:rPr>
                <w:b w:val="0"/>
                <w:bCs/>
              </w:rPr>
            </w:pPr>
            <w:r w:rsidRPr="00725EEB">
              <w:rPr>
                <w:rFonts w:hint="eastAsia"/>
                <w:b w:val="0"/>
                <w:bCs/>
              </w:rPr>
              <w:t>4</w:t>
            </w:r>
          </w:p>
        </w:tc>
        <w:tc>
          <w:tcPr>
            <w:tcW w:w="0" w:type="auto"/>
            <w:shd w:val="clear" w:color="auto" w:fill="auto"/>
            <w:vAlign w:val="center"/>
            <w:hideMark/>
          </w:tcPr>
          <w:p w14:paraId="63B82AF8"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2B55627B" w14:textId="77777777" w:rsidR="00913C78" w:rsidRPr="00725EEB" w:rsidRDefault="00913C78" w:rsidP="00725EEB">
            <w:pPr>
              <w:pStyle w:val="ae"/>
              <w:rPr>
                <w:b w:val="0"/>
                <w:bCs/>
              </w:rPr>
            </w:pPr>
            <w:r w:rsidRPr="00725EEB">
              <w:rPr>
                <w:rFonts w:hint="eastAsia"/>
                <w:b w:val="0"/>
                <w:bCs/>
              </w:rPr>
              <w:t>6</w:t>
            </w:r>
          </w:p>
        </w:tc>
        <w:tc>
          <w:tcPr>
            <w:tcW w:w="0" w:type="auto"/>
            <w:shd w:val="clear" w:color="auto" w:fill="auto"/>
            <w:vAlign w:val="center"/>
            <w:hideMark/>
          </w:tcPr>
          <w:p w14:paraId="05AFE23A" w14:textId="77777777" w:rsidR="00913C78" w:rsidRPr="00725EEB" w:rsidRDefault="00913C78" w:rsidP="00725EEB">
            <w:pPr>
              <w:pStyle w:val="ae"/>
              <w:rPr>
                <w:b w:val="0"/>
                <w:bCs/>
              </w:rPr>
            </w:pPr>
            <w:r w:rsidRPr="00725EEB">
              <w:rPr>
                <w:rFonts w:hint="eastAsia"/>
                <w:b w:val="0"/>
                <w:bCs/>
              </w:rPr>
              <w:t>7</w:t>
            </w:r>
          </w:p>
        </w:tc>
        <w:tc>
          <w:tcPr>
            <w:tcW w:w="0" w:type="auto"/>
            <w:shd w:val="clear" w:color="auto" w:fill="auto"/>
            <w:vAlign w:val="center"/>
            <w:hideMark/>
          </w:tcPr>
          <w:p w14:paraId="478680DE" w14:textId="77777777" w:rsidR="00913C78" w:rsidRPr="00725EEB" w:rsidRDefault="00913C78" w:rsidP="00725EEB">
            <w:pPr>
              <w:pStyle w:val="ae"/>
              <w:rPr>
                <w:b w:val="0"/>
                <w:bCs/>
              </w:rPr>
            </w:pPr>
            <w:r w:rsidRPr="00725EEB">
              <w:rPr>
                <w:rFonts w:hint="eastAsia"/>
                <w:b w:val="0"/>
                <w:bCs/>
              </w:rPr>
              <w:t>8</w:t>
            </w:r>
          </w:p>
        </w:tc>
        <w:tc>
          <w:tcPr>
            <w:tcW w:w="0" w:type="auto"/>
            <w:shd w:val="clear" w:color="auto" w:fill="auto"/>
            <w:vAlign w:val="center"/>
            <w:hideMark/>
          </w:tcPr>
          <w:p w14:paraId="0E0AAE87" w14:textId="77777777" w:rsidR="00913C78" w:rsidRPr="00725EEB" w:rsidRDefault="00913C78" w:rsidP="00725EEB">
            <w:pPr>
              <w:pStyle w:val="ae"/>
              <w:rPr>
                <w:b w:val="0"/>
                <w:bCs/>
              </w:rPr>
            </w:pPr>
            <w:r w:rsidRPr="00725EEB">
              <w:rPr>
                <w:rFonts w:hint="eastAsia"/>
                <w:b w:val="0"/>
                <w:bCs/>
              </w:rPr>
              <w:t>9</w:t>
            </w:r>
          </w:p>
        </w:tc>
        <w:tc>
          <w:tcPr>
            <w:tcW w:w="0" w:type="auto"/>
            <w:shd w:val="clear" w:color="auto" w:fill="auto"/>
            <w:vAlign w:val="center"/>
            <w:hideMark/>
          </w:tcPr>
          <w:p w14:paraId="4AD61768" w14:textId="77777777" w:rsidR="00913C78" w:rsidRPr="00725EEB" w:rsidRDefault="00913C78" w:rsidP="00725EEB">
            <w:pPr>
              <w:pStyle w:val="ae"/>
              <w:rPr>
                <w:b w:val="0"/>
                <w:bCs/>
              </w:rPr>
            </w:pPr>
            <w:r w:rsidRPr="00725EEB">
              <w:rPr>
                <w:rFonts w:hint="eastAsia"/>
                <w:b w:val="0"/>
                <w:bCs/>
              </w:rPr>
              <w:t>10</w:t>
            </w:r>
          </w:p>
        </w:tc>
        <w:tc>
          <w:tcPr>
            <w:tcW w:w="0" w:type="auto"/>
            <w:shd w:val="clear" w:color="auto" w:fill="auto"/>
            <w:vAlign w:val="center"/>
            <w:hideMark/>
          </w:tcPr>
          <w:p w14:paraId="124CCAA0" w14:textId="77777777" w:rsidR="00913C78" w:rsidRPr="00725EEB" w:rsidRDefault="00913C78" w:rsidP="00725EEB">
            <w:pPr>
              <w:pStyle w:val="ae"/>
              <w:rPr>
                <w:b w:val="0"/>
                <w:bCs/>
              </w:rPr>
            </w:pPr>
            <w:r w:rsidRPr="00725EEB">
              <w:rPr>
                <w:rFonts w:hint="eastAsia"/>
                <w:b w:val="0"/>
                <w:bCs/>
              </w:rPr>
              <w:t>11</w:t>
            </w:r>
          </w:p>
        </w:tc>
        <w:tc>
          <w:tcPr>
            <w:tcW w:w="0" w:type="auto"/>
            <w:shd w:val="clear" w:color="auto" w:fill="auto"/>
            <w:vAlign w:val="center"/>
            <w:hideMark/>
          </w:tcPr>
          <w:p w14:paraId="2706076F" w14:textId="77777777" w:rsidR="00913C78" w:rsidRPr="00725EEB" w:rsidRDefault="00913C78" w:rsidP="00725EEB">
            <w:pPr>
              <w:pStyle w:val="ae"/>
              <w:rPr>
                <w:b w:val="0"/>
                <w:bCs/>
              </w:rPr>
            </w:pPr>
            <w:r w:rsidRPr="00725EEB">
              <w:rPr>
                <w:rFonts w:hint="eastAsia"/>
                <w:b w:val="0"/>
                <w:bCs/>
              </w:rPr>
              <w:t>12</w:t>
            </w:r>
          </w:p>
        </w:tc>
      </w:tr>
      <w:tr w:rsidR="00913C78" w:rsidRPr="00725EEB" w14:paraId="1796EF3F" w14:textId="77777777" w:rsidTr="00E731D0">
        <w:trPr>
          <w:jc w:val="center"/>
        </w:trPr>
        <w:tc>
          <w:tcPr>
            <w:tcW w:w="0" w:type="auto"/>
            <w:vMerge w:val="restart"/>
            <w:shd w:val="clear" w:color="auto" w:fill="auto"/>
            <w:vAlign w:val="center"/>
            <w:hideMark/>
          </w:tcPr>
          <w:p w14:paraId="250668B5" w14:textId="77777777" w:rsidR="00913C78" w:rsidRPr="00725EEB" w:rsidRDefault="00913C78" w:rsidP="00725EEB">
            <w:pPr>
              <w:pStyle w:val="ae"/>
              <w:rPr>
                <w:b w:val="0"/>
                <w:bCs/>
              </w:rPr>
            </w:pPr>
            <w:r w:rsidRPr="00725EEB">
              <w:rPr>
                <w:rFonts w:hint="eastAsia"/>
                <w:b w:val="0"/>
                <w:bCs/>
              </w:rPr>
              <w:t>办公建筑、</w:t>
            </w:r>
          </w:p>
          <w:p w14:paraId="01EBB383" w14:textId="77777777" w:rsidR="00913C78" w:rsidRPr="00725EEB" w:rsidRDefault="00913C78" w:rsidP="00725EEB">
            <w:pPr>
              <w:pStyle w:val="ae"/>
              <w:rPr>
                <w:b w:val="0"/>
                <w:bCs/>
              </w:rPr>
            </w:pPr>
            <w:r w:rsidRPr="00725EEB">
              <w:rPr>
                <w:rFonts w:hint="eastAsia"/>
                <w:b w:val="0"/>
                <w:bCs/>
              </w:rPr>
              <w:t>教学楼</w:t>
            </w:r>
          </w:p>
        </w:tc>
        <w:tc>
          <w:tcPr>
            <w:tcW w:w="0" w:type="auto"/>
            <w:vMerge w:val="restart"/>
            <w:shd w:val="clear" w:color="auto" w:fill="auto"/>
            <w:vAlign w:val="center"/>
            <w:hideMark/>
          </w:tcPr>
          <w:p w14:paraId="4A524E34" w14:textId="77777777" w:rsidR="00913C78" w:rsidRPr="00725EEB" w:rsidRDefault="00913C78" w:rsidP="00725EEB">
            <w:pPr>
              <w:pStyle w:val="ae"/>
              <w:rPr>
                <w:b w:val="0"/>
                <w:bCs/>
              </w:rPr>
            </w:pPr>
            <w:r w:rsidRPr="00725EEB">
              <w:rPr>
                <w:rFonts w:hint="eastAsia"/>
                <w:b w:val="0"/>
                <w:bCs/>
              </w:rPr>
              <w:t>工作日</w:t>
            </w:r>
          </w:p>
        </w:tc>
        <w:tc>
          <w:tcPr>
            <w:tcW w:w="0" w:type="auto"/>
            <w:shd w:val="clear" w:color="auto" w:fill="auto"/>
            <w:vAlign w:val="center"/>
            <w:hideMark/>
          </w:tcPr>
          <w:p w14:paraId="528F01C6" w14:textId="77777777" w:rsidR="00913C78" w:rsidRPr="00725EEB" w:rsidRDefault="00913C78" w:rsidP="00725EEB">
            <w:pPr>
              <w:pStyle w:val="ae"/>
              <w:rPr>
                <w:b w:val="0"/>
                <w:bCs/>
              </w:rPr>
            </w:pPr>
            <w:r w:rsidRPr="00725EEB">
              <w:rPr>
                <w:rFonts w:hint="eastAsia"/>
                <w:b w:val="0"/>
                <w:bCs/>
              </w:rPr>
              <w:t>空调</w:t>
            </w:r>
          </w:p>
        </w:tc>
        <w:tc>
          <w:tcPr>
            <w:tcW w:w="0" w:type="auto"/>
            <w:shd w:val="clear" w:color="auto" w:fill="auto"/>
            <w:vAlign w:val="center"/>
            <w:hideMark/>
          </w:tcPr>
          <w:p w14:paraId="5343F473"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7105D2B7"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0771A8C0"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2E638161"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3A671F7C"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212FA932"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3C7AB224" w14:textId="77777777" w:rsidR="00913C78" w:rsidRPr="00725EEB" w:rsidRDefault="00913C78" w:rsidP="00725EEB">
            <w:pPr>
              <w:pStyle w:val="ae"/>
              <w:rPr>
                <w:b w:val="0"/>
                <w:bCs/>
              </w:rPr>
            </w:pPr>
            <w:r w:rsidRPr="00725EEB">
              <w:rPr>
                <w:rFonts w:hint="eastAsia"/>
                <w:b w:val="0"/>
                <w:bCs/>
              </w:rPr>
              <w:t>28</w:t>
            </w:r>
          </w:p>
        </w:tc>
        <w:tc>
          <w:tcPr>
            <w:tcW w:w="0" w:type="auto"/>
            <w:shd w:val="clear" w:color="auto" w:fill="auto"/>
            <w:vAlign w:val="center"/>
            <w:hideMark/>
          </w:tcPr>
          <w:p w14:paraId="4A10D3C9" w14:textId="77777777" w:rsidR="00913C78" w:rsidRPr="00725EEB" w:rsidRDefault="00913C78" w:rsidP="00725EEB">
            <w:pPr>
              <w:pStyle w:val="ae"/>
              <w:rPr>
                <w:b w:val="0"/>
                <w:bCs/>
              </w:rPr>
            </w:pPr>
            <w:r w:rsidRPr="00725EEB">
              <w:rPr>
                <w:rFonts w:hint="eastAsia"/>
                <w:b w:val="0"/>
                <w:bCs/>
              </w:rPr>
              <w:t>26</w:t>
            </w:r>
          </w:p>
        </w:tc>
        <w:tc>
          <w:tcPr>
            <w:tcW w:w="0" w:type="auto"/>
            <w:shd w:val="clear" w:color="auto" w:fill="auto"/>
            <w:vAlign w:val="center"/>
            <w:hideMark/>
          </w:tcPr>
          <w:p w14:paraId="0299B584" w14:textId="77777777" w:rsidR="00913C78" w:rsidRPr="00725EEB" w:rsidRDefault="00913C78" w:rsidP="00725EEB">
            <w:pPr>
              <w:pStyle w:val="ae"/>
              <w:rPr>
                <w:b w:val="0"/>
                <w:bCs/>
              </w:rPr>
            </w:pPr>
            <w:r w:rsidRPr="00725EEB">
              <w:rPr>
                <w:rFonts w:hint="eastAsia"/>
                <w:b w:val="0"/>
                <w:bCs/>
              </w:rPr>
              <w:t>26</w:t>
            </w:r>
          </w:p>
        </w:tc>
        <w:tc>
          <w:tcPr>
            <w:tcW w:w="0" w:type="auto"/>
            <w:shd w:val="clear" w:color="auto" w:fill="auto"/>
            <w:vAlign w:val="center"/>
            <w:hideMark/>
          </w:tcPr>
          <w:p w14:paraId="5DD54738" w14:textId="77777777" w:rsidR="00913C78" w:rsidRPr="00725EEB" w:rsidRDefault="00913C78" w:rsidP="00725EEB">
            <w:pPr>
              <w:pStyle w:val="ae"/>
              <w:rPr>
                <w:b w:val="0"/>
                <w:bCs/>
              </w:rPr>
            </w:pPr>
            <w:r w:rsidRPr="00725EEB">
              <w:rPr>
                <w:rFonts w:hint="eastAsia"/>
                <w:b w:val="0"/>
                <w:bCs/>
              </w:rPr>
              <w:t>26</w:t>
            </w:r>
          </w:p>
        </w:tc>
        <w:tc>
          <w:tcPr>
            <w:tcW w:w="0" w:type="auto"/>
            <w:shd w:val="clear" w:color="auto" w:fill="auto"/>
            <w:vAlign w:val="center"/>
            <w:hideMark/>
          </w:tcPr>
          <w:p w14:paraId="5A1A0703" w14:textId="77777777" w:rsidR="00913C78" w:rsidRPr="00725EEB" w:rsidRDefault="00913C78" w:rsidP="00725EEB">
            <w:pPr>
              <w:pStyle w:val="ae"/>
              <w:rPr>
                <w:b w:val="0"/>
                <w:bCs/>
              </w:rPr>
            </w:pPr>
            <w:r w:rsidRPr="00725EEB">
              <w:rPr>
                <w:rFonts w:hint="eastAsia"/>
                <w:b w:val="0"/>
                <w:bCs/>
              </w:rPr>
              <w:t>26</w:t>
            </w:r>
          </w:p>
        </w:tc>
        <w:tc>
          <w:tcPr>
            <w:tcW w:w="0" w:type="auto"/>
            <w:shd w:val="clear" w:color="auto" w:fill="auto"/>
            <w:vAlign w:val="center"/>
            <w:hideMark/>
          </w:tcPr>
          <w:p w14:paraId="338BDC80" w14:textId="77777777" w:rsidR="00913C78" w:rsidRPr="00725EEB" w:rsidRDefault="00913C78" w:rsidP="00725EEB">
            <w:pPr>
              <w:pStyle w:val="ae"/>
              <w:rPr>
                <w:b w:val="0"/>
                <w:bCs/>
              </w:rPr>
            </w:pPr>
            <w:r w:rsidRPr="00725EEB">
              <w:rPr>
                <w:rFonts w:hint="eastAsia"/>
                <w:b w:val="0"/>
                <w:bCs/>
              </w:rPr>
              <w:t>26</w:t>
            </w:r>
          </w:p>
        </w:tc>
      </w:tr>
      <w:tr w:rsidR="00913C78" w:rsidRPr="00725EEB" w14:paraId="3C3E4DBA" w14:textId="77777777" w:rsidTr="00E731D0">
        <w:trPr>
          <w:jc w:val="center"/>
        </w:trPr>
        <w:tc>
          <w:tcPr>
            <w:tcW w:w="0" w:type="auto"/>
            <w:vMerge/>
            <w:shd w:val="clear" w:color="auto" w:fill="auto"/>
            <w:vAlign w:val="center"/>
            <w:hideMark/>
          </w:tcPr>
          <w:p w14:paraId="14650813" w14:textId="77777777" w:rsidR="00913C78" w:rsidRPr="00725EEB" w:rsidRDefault="00913C78" w:rsidP="00725EEB">
            <w:pPr>
              <w:pStyle w:val="ae"/>
              <w:rPr>
                <w:b w:val="0"/>
                <w:bCs/>
              </w:rPr>
            </w:pPr>
          </w:p>
        </w:tc>
        <w:tc>
          <w:tcPr>
            <w:tcW w:w="0" w:type="auto"/>
            <w:vMerge/>
            <w:shd w:val="clear" w:color="auto" w:fill="auto"/>
            <w:vAlign w:val="center"/>
            <w:hideMark/>
          </w:tcPr>
          <w:p w14:paraId="02F37F9F" w14:textId="77777777" w:rsidR="00913C78" w:rsidRPr="00725EEB" w:rsidRDefault="00913C78" w:rsidP="00725EEB">
            <w:pPr>
              <w:pStyle w:val="ae"/>
              <w:rPr>
                <w:b w:val="0"/>
                <w:bCs/>
              </w:rPr>
            </w:pPr>
          </w:p>
        </w:tc>
        <w:tc>
          <w:tcPr>
            <w:tcW w:w="0" w:type="auto"/>
            <w:shd w:val="clear" w:color="auto" w:fill="auto"/>
            <w:vAlign w:val="center"/>
            <w:hideMark/>
          </w:tcPr>
          <w:p w14:paraId="5273AB83" w14:textId="77777777" w:rsidR="00913C78" w:rsidRPr="00725EEB" w:rsidRDefault="00913C78" w:rsidP="00725EEB">
            <w:pPr>
              <w:pStyle w:val="ae"/>
              <w:rPr>
                <w:b w:val="0"/>
                <w:bCs/>
              </w:rPr>
            </w:pPr>
            <w:r w:rsidRPr="00725EEB">
              <w:rPr>
                <w:rFonts w:hint="eastAsia"/>
                <w:b w:val="0"/>
                <w:bCs/>
              </w:rPr>
              <w:t>供暖</w:t>
            </w:r>
          </w:p>
        </w:tc>
        <w:tc>
          <w:tcPr>
            <w:tcW w:w="0" w:type="auto"/>
            <w:shd w:val="clear" w:color="auto" w:fill="auto"/>
            <w:vAlign w:val="center"/>
            <w:hideMark/>
          </w:tcPr>
          <w:p w14:paraId="3A8795A3"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7E845EE9"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373A0289"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47801F34"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1939FB24"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6064411C" w14:textId="77777777" w:rsidR="00913C78" w:rsidRPr="00725EEB" w:rsidRDefault="00913C78" w:rsidP="00725EEB">
            <w:pPr>
              <w:pStyle w:val="ae"/>
              <w:rPr>
                <w:b w:val="0"/>
                <w:bCs/>
              </w:rPr>
            </w:pPr>
            <w:r w:rsidRPr="00725EEB">
              <w:rPr>
                <w:rFonts w:hint="eastAsia"/>
                <w:b w:val="0"/>
                <w:bCs/>
              </w:rPr>
              <w:t>12</w:t>
            </w:r>
          </w:p>
        </w:tc>
        <w:tc>
          <w:tcPr>
            <w:tcW w:w="0" w:type="auto"/>
            <w:shd w:val="clear" w:color="auto" w:fill="auto"/>
            <w:vAlign w:val="center"/>
            <w:hideMark/>
          </w:tcPr>
          <w:p w14:paraId="0122AF62" w14:textId="77777777" w:rsidR="00913C78" w:rsidRPr="00725EEB" w:rsidRDefault="00913C78" w:rsidP="00725EEB">
            <w:pPr>
              <w:pStyle w:val="ae"/>
              <w:rPr>
                <w:b w:val="0"/>
                <w:bCs/>
              </w:rPr>
            </w:pPr>
            <w:r w:rsidRPr="00725EEB">
              <w:rPr>
                <w:rFonts w:hint="eastAsia"/>
                <w:b w:val="0"/>
                <w:bCs/>
              </w:rPr>
              <w:t>18</w:t>
            </w:r>
          </w:p>
        </w:tc>
        <w:tc>
          <w:tcPr>
            <w:tcW w:w="0" w:type="auto"/>
            <w:shd w:val="clear" w:color="auto" w:fill="auto"/>
            <w:vAlign w:val="center"/>
            <w:hideMark/>
          </w:tcPr>
          <w:p w14:paraId="2AAEFEC5" w14:textId="77777777" w:rsidR="00913C78" w:rsidRPr="00725EEB" w:rsidRDefault="00913C78" w:rsidP="00725EEB">
            <w:pPr>
              <w:pStyle w:val="ae"/>
              <w:rPr>
                <w:b w:val="0"/>
                <w:bCs/>
              </w:rPr>
            </w:pPr>
            <w:r w:rsidRPr="00725EEB">
              <w:rPr>
                <w:rFonts w:hint="eastAsia"/>
                <w:b w:val="0"/>
                <w:bCs/>
              </w:rPr>
              <w:t>20</w:t>
            </w:r>
          </w:p>
        </w:tc>
        <w:tc>
          <w:tcPr>
            <w:tcW w:w="0" w:type="auto"/>
            <w:shd w:val="clear" w:color="auto" w:fill="auto"/>
            <w:vAlign w:val="center"/>
            <w:hideMark/>
          </w:tcPr>
          <w:p w14:paraId="16709FF1" w14:textId="77777777" w:rsidR="00913C78" w:rsidRPr="00725EEB" w:rsidRDefault="00913C78" w:rsidP="00725EEB">
            <w:pPr>
              <w:pStyle w:val="ae"/>
              <w:rPr>
                <w:b w:val="0"/>
                <w:bCs/>
              </w:rPr>
            </w:pPr>
            <w:r w:rsidRPr="00725EEB">
              <w:rPr>
                <w:rFonts w:hint="eastAsia"/>
                <w:b w:val="0"/>
                <w:bCs/>
              </w:rPr>
              <w:t>20</w:t>
            </w:r>
          </w:p>
        </w:tc>
        <w:tc>
          <w:tcPr>
            <w:tcW w:w="0" w:type="auto"/>
            <w:shd w:val="clear" w:color="auto" w:fill="auto"/>
            <w:vAlign w:val="center"/>
            <w:hideMark/>
          </w:tcPr>
          <w:p w14:paraId="79B48D64" w14:textId="77777777" w:rsidR="00913C78" w:rsidRPr="00725EEB" w:rsidRDefault="00913C78" w:rsidP="00725EEB">
            <w:pPr>
              <w:pStyle w:val="ae"/>
              <w:rPr>
                <w:b w:val="0"/>
                <w:bCs/>
              </w:rPr>
            </w:pPr>
            <w:r w:rsidRPr="00725EEB">
              <w:rPr>
                <w:rFonts w:hint="eastAsia"/>
                <w:b w:val="0"/>
                <w:bCs/>
              </w:rPr>
              <w:t>20</w:t>
            </w:r>
          </w:p>
        </w:tc>
        <w:tc>
          <w:tcPr>
            <w:tcW w:w="0" w:type="auto"/>
            <w:shd w:val="clear" w:color="auto" w:fill="auto"/>
            <w:vAlign w:val="center"/>
            <w:hideMark/>
          </w:tcPr>
          <w:p w14:paraId="1EA13DAA" w14:textId="77777777" w:rsidR="00913C78" w:rsidRPr="00725EEB" w:rsidRDefault="00913C78" w:rsidP="00725EEB">
            <w:pPr>
              <w:pStyle w:val="ae"/>
              <w:rPr>
                <w:b w:val="0"/>
                <w:bCs/>
              </w:rPr>
            </w:pPr>
            <w:r w:rsidRPr="00725EEB">
              <w:rPr>
                <w:rFonts w:hint="eastAsia"/>
                <w:b w:val="0"/>
                <w:bCs/>
              </w:rPr>
              <w:t>20</w:t>
            </w:r>
          </w:p>
        </w:tc>
        <w:tc>
          <w:tcPr>
            <w:tcW w:w="0" w:type="auto"/>
            <w:shd w:val="clear" w:color="auto" w:fill="auto"/>
            <w:vAlign w:val="center"/>
            <w:hideMark/>
          </w:tcPr>
          <w:p w14:paraId="2AC75616" w14:textId="77777777" w:rsidR="00913C78" w:rsidRPr="00725EEB" w:rsidRDefault="00913C78" w:rsidP="00725EEB">
            <w:pPr>
              <w:pStyle w:val="ae"/>
              <w:rPr>
                <w:b w:val="0"/>
                <w:bCs/>
              </w:rPr>
            </w:pPr>
            <w:r w:rsidRPr="00725EEB">
              <w:rPr>
                <w:rFonts w:hint="eastAsia"/>
                <w:b w:val="0"/>
                <w:bCs/>
              </w:rPr>
              <w:t>20</w:t>
            </w:r>
          </w:p>
        </w:tc>
      </w:tr>
      <w:tr w:rsidR="00913C78" w:rsidRPr="00725EEB" w14:paraId="2AE368C3" w14:textId="77777777" w:rsidTr="00E731D0">
        <w:trPr>
          <w:jc w:val="center"/>
        </w:trPr>
        <w:tc>
          <w:tcPr>
            <w:tcW w:w="0" w:type="auto"/>
            <w:vMerge/>
            <w:shd w:val="clear" w:color="auto" w:fill="auto"/>
            <w:vAlign w:val="center"/>
            <w:hideMark/>
          </w:tcPr>
          <w:p w14:paraId="3D38BA34" w14:textId="77777777" w:rsidR="00913C78" w:rsidRPr="00725EEB" w:rsidRDefault="00913C78" w:rsidP="00725EEB">
            <w:pPr>
              <w:pStyle w:val="ae"/>
              <w:rPr>
                <w:b w:val="0"/>
                <w:bCs/>
              </w:rPr>
            </w:pPr>
          </w:p>
        </w:tc>
        <w:tc>
          <w:tcPr>
            <w:tcW w:w="0" w:type="auto"/>
            <w:vMerge w:val="restart"/>
            <w:shd w:val="clear" w:color="auto" w:fill="auto"/>
            <w:vAlign w:val="center"/>
            <w:hideMark/>
          </w:tcPr>
          <w:p w14:paraId="444C2A5E" w14:textId="77777777" w:rsidR="00913C78" w:rsidRPr="00725EEB" w:rsidRDefault="00913C78" w:rsidP="00725EEB">
            <w:pPr>
              <w:pStyle w:val="ae"/>
              <w:rPr>
                <w:b w:val="0"/>
                <w:bCs/>
              </w:rPr>
            </w:pPr>
            <w:r w:rsidRPr="00725EEB">
              <w:rPr>
                <w:rFonts w:hint="eastAsia"/>
                <w:b w:val="0"/>
                <w:bCs/>
              </w:rPr>
              <w:t>节假日</w:t>
            </w:r>
          </w:p>
        </w:tc>
        <w:tc>
          <w:tcPr>
            <w:tcW w:w="0" w:type="auto"/>
            <w:shd w:val="clear" w:color="auto" w:fill="auto"/>
            <w:vAlign w:val="center"/>
            <w:hideMark/>
          </w:tcPr>
          <w:p w14:paraId="39022AF2" w14:textId="77777777" w:rsidR="00913C78" w:rsidRPr="00725EEB" w:rsidRDefault="00913C78" w:rsidP="00725EEB">
            <w:pPr>
              <w:pStyle w:val="ae"/>
              <w:rPr>
                <w:b w:val="0"/>
                <w:bCs/>
              </w:rPr>
            </w:pPr>
            <w:r w:rsidRPr="00725EEB">
              <w:rPr>
                <w:rFonts w:hint="eastAsia"/>
                <w:b w:val="0"/>
                <w:bCs/>
              </w:rPr>
              <w:t>空调</w:t>
            </w:r>
          </w:p>
        </w:tc>
        <w:tc>
          <w:tcPr>
            <w:tcW w:w="0" w:type="auto"/>
            <w:shd w:val="clear" w:color="auto" w:fill="auto"/>
            <w:vAlign w:val="center"/>
            <w:hideMark/>
          </w:tcPr>
          <w:p w14:paraId="233654BE"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765DB3CB"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03C76A7C"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144CD4B7"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628936C3"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4506BF37"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2EE27BCC"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41B3FA48"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30956656"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6E83C456"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501001F0" w14:textId="77777777" w:rsidR="00913C78" w:rsidRPr="00725EEB" w:rsidRDefault="00913C78" w:rsidP="00725EEB">
            <w:pPr>
              <w:pStyle w:val="ae"/>
              <w:rPr>
                <w:b w:val="0"/>
                <w:bCs/>
              </w:rPr>
            </w:pPr>
            <w:r w:rsidRPr="00725EEB">
              <w:rPr>
                <w:rFonts w:hint="eastAsia"/>
                <w:b w:val="0"/>
                <w:bCs/>
              </w:rPr>
              <w:t>37</w:t>
            </w:r>
          </w:p>
        </w:tc>
        <w:tc>
          <w:tcPr>
            <w:tcW w:w="0" w:type="auto"/>
            <w:shd w:val="clear" w:color="auto" w:fill="auto"/>
            <w:vAlign w:val="center"/>
            <w:hideMark/>
          </w:tcPr>
          <w:p w14:paraId="11274735" w14:textId="77777777" w:rsidR="00913C78" w:rsidRPr="00725EEB" w:rsidRDefault="00913C78" w:rsidP="00725EEB">
            <w:pPr>
              <w:pStyle w:val="ae"/>
              <w:rPr>
                <w:b w:val="0"/>
                <w:bCs/>
              </w:rPr>
            </w:pPr>
            <w:r w:rsidRPr="00725EEB">
              <w:rPr>
                <w:rFonts w:hint="eastAsia"/>
                <w:b w:val="0"/>
                <w:bCs/>
              </w:rPr>
              <w:t>37</w:t>
            </w:r>
          </w:p>
        </w:tc>
      </w:tr>
      <w:tr w:rsidR="00913C78" w:rsidRPr="00725EEB" w14:paraId="1A296569" w14:textId="77777777" w:rsidTr="00E731D0">
        <w:trPr>
          <w:jc w:val="center"/>
        </w:trPr>
        <w:tc>
          <w:tcPr>
            <w:tcW w:w="0" w:type="auto"/>
            <w:vMerge/>
            <w:shd w:val="clear" w:color="auto" w:fill="auto"/>
            <w:vAlign w:val="center"/>
            <w:hideMark/>
          </w:tcPr>
          <w:p w14:paraId="7136D6A1" w14:textId="77777777" w:rsidR="00913C78" w:rsidRPr="00725EEB" w:rsidRDefault="00913C78" w:rsidP="00725EEB">
            <w:pPr>
              <w:pStyle w:val="ae"/>
              <w:rPr>
                <w:b w:val="0"/>
                <w:bCs/>
              </w:rPr>
            </w:pPr>
          </w:p>
        </w:tc>
        <w:tc>
          <w:tcPr>
            <w:tcW w:w="0" w:type="auto"/>
            <w:vMerge/>
            <w:shd w:val="clear" w:color="auto" w:fill="auto"/>
            <w:vAlign w:val="center"/>
            <w:hideMark/>
          </w:tcPr>
          <w:p w14:paraId="5FD4DDDD" w14:textId="77777777" w:rsidR="00913C78" w:rsidRPr="00725EEB" w:rsidRDefault="00913C78" w:rsidP="00725EEB">
            <w:pPr>
              <w:pStyle w:val="ae"/>
              <w:rPr>
                <w:b w:val="0"/>
                <w:bCs/>
              </w:rPr>
            </w:pPr>
          </w:p>
        </w:tc>
        <w:tc>
          <w:tcPr>
            <w:tcW w:w="0" w:type="auto"/>
            <w:shd w:val="clear" w:color="auto" w:fill="auto"/>
            <w:vAlign w:val="center"/>
            <w:hideMark/>
          </w:tcPr>
          <w:p w14:paraId="04505F66" w14:textId="77777777" w:rsidR="00913C78" w:rsidRPr="00725EEB" w:rsidRDefault="00913C78" w:rsidP="00725EEB">
            <w:pPr>
              <w:pStyle w:val="ae"/>
              <w:rPr>
                <w:b w:val="0"/>
                <w:bCs/>
              </w:rPr>
            </w:pPr>
            <w:r w:rsidRPr="00725EEB">
              <w:rPr>
                <w:rFonts w:hint="eastAsia"/>
                <w:b w:val="0"/>
                <w:bCs/>
              </w:rPr>
              <w:t>供暖</w:t>
            </w:r>
          </w:p>
        </w:tc>
        <w:tc>
          <w:tcPr>
            <w:tcW w:w="0" w:type="auto"/>
            <w:shd w:val="clear" w:color="auto" w:fill="auto"/>
            <w:vAlign w:val="center"/>
            <w:hideMark/>
          </w:tcPr>
          <w:p w14:paraId="1A68860D"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36EB6AD4"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006E1326"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19E13AE6"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709D55D5"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5EF2AE45"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1F14863A"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716E2DE4"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2AE38754"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75CB72F6"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19063238" w14:textId="77777777" w:rsidR="00913C78" w:rsidRPr="00725EEB" w:rsidRDefault="00913C78" w:rsidP="00725EEB">
            <w:pPr>
              <w:pStyle w:val="ae"/>
              <w:rPr>
                <w:b w:val="0"/>
                <w:bCs/>
              </w:rPr>
            </w:pPr>
            <w:r w:rsidRPr="00725EEB">
              <w:rPr>
                <w:rFonts w:hint="eastAsia"/>
                <w:b w:val="0"/>
                <w:bCs/>
              </w:rPr>
              <w:t>5</w:t>
            </w:r>
          </w:p>
        </w:tc>
        <w:tc>
          <w:tcPr>
            <w:tcW w:w="0" w:type="auto"/>
            <w:shd w:val="clear" w:color="auto" w:fill="auto"/>
            <w:vAlign w:val="center"/>
            <w:hideMark/>
          </w:tcPr>
          <w:p w14:paraId="1DC142B9" w14:textId="77777777" w:rsidR="00913C78" w:rsidRPr="00725EEB" w:rsidRDefault="00913C78" w:rsidP="00725EEB">
            <w:pPr>
              <w:pStyle w:val="ae"/>
              <w:rPr>
                <w:b w:val="0"/>
                <w:bCs/>
              </w:rPr>
            </w:pPr>
            <w:r w:rsidRPr="00725EEB">
              <w:rPr>
                <w:rFonts w:hint="eastAsia"/>
                <w:b w:val="0"/>
                <w:bCs/>
              </w:rPr>
              <w:t>5</w:t>
            </w:r>
          </w:p>
        </w:tc>
      </w:tr>
    </w:tbl>
    <w:p w14:paraId="44EA25CC" w14:textId="408FEDA1" w:rsidR="00913C78" w:rsidRDefault="00725EEB" w:rsidP="00725EEB">
      <w:pPr>
        <w:ind w:firstLine="420"/>
        <w:jc w:val="right"/>
      </w:pPr>
      <w:r w:rsidRPr="00725EEB">
        <w:rPr>
          <w:rFonts w:hint="eastAsia"/>
        </w:rPr>
        <w:t>续表</w:t>
      </w:r>
    </w:p>
    <w:tbl>
      <w:tblPr>
        <w:tblW w:w="7370" w:type="dxa"/>
        <w:jc w:val="center"/>
        <w:tblBorders>
          <w:top w:val="single" w:sz="8" w:space="0" w:color="000000"/>
          <w:bottom w:val="single" w:sz="8" w:space="0" w:color="000000"/>
          <w:insideH w:val="single" w:sz="4" w:space="0" w:color="000000"/>
          <w:insideV w:val="single" w:sz="4" w:space="0" w:color="000000"/>
        </w:tblBorders>
        <w:tblLayout w:type="fixed"/>
        <w:tblCellMar>
          <w:left w:w="57" w:type="dxa"/>
          <w:right w:w="57" w:type="dxa"/>
        </w:tblCellMar>
        <w:tblLook w:val="04A0" w:firstRow="1" w:lastRow="0" w:firstColumn="1" w:lastColumn="0" w:noHBand="0" w:noVBand="1"/>
      </w:tblPr>
      <w:tblGrid>
        <w:gridCol w:w="873"/>
        <w:gridCol w:w="834"/>
        <w:gridCol w:w="837"/>
        <w:gridCol w:w="403"/>
        <w:gridCol w:w="403"/>
        <w:gridCol w:w="402"/>
        <w:gridCol w:w="402"/>
        <w:gridCol w:w="402"/>
        <w:gridCol w:w="402"/>
        <w:gridCol w:w="402"/>
        <w:gridCol w:w="402"/>
        <w:gridCol w:w="402"/>
        <w:gridCol w:w="402"/>
        <w:gridCol w:w="402"/>
        <w:gridCol w:w="402"/>
      </w:tblGrid>
      <w:tr w:rsidR="00F22172" w:rsidRPr="00F22172" w14:paraId="44953EB7" w14:textId="77777777" w:rsidTr="00E731D0">
        <w:trPr>
          <w:jc w:val="center"/>
        </w:trPr>
        <w:tc>
          <w:tcPr>
            <w:tcW w:w="873" w:type="dxa"/>
            <w:vMerge w:val="restart"/>
            <w:tcBorders>
              <w:top w:val="single" w:sz="4" w:space="0" w:color="auto"/>
              <w:left w:val="single" w:sz="4" w:space="0" w:color="auto"/>
            </w:tcBorders>
            <w:shd w:val="clear" w:color="auto" w:fill="auto"/>
            <w:vAlign w:val="center"/>
            <w:hideMark/>
          </w:tcPr>
          <w:p w14:paraId="79EEC531" w14:textId="77777777" w:rsidR="00F22172" w:rsidRPr="00F22172" w:rsidRDefault="00F22172" w:rsidP="00F22172">
            <w:pPr>
              <w:pStyle w:val="ae"/>
              <w:rPr>
                <w:b w:val="0"/>
                <w:bCs/>
              </w:rPr>
            </w:pPr>
            <w:r w:rsidRPr="00F22172">
              <w:rPr>
                <w:rFonts w:hint="eastAsia"/>
                <w:b w:val="0"/>
                <w:bCs/>
              </w:rPr>
              <w:t>建筑类别</w:t>
            </w:r>
          </w:p>
        </w:tc>
        <w:tc>
          <w:tcPr>
            <w:tcW w:w="834" w:type="dxa"/>
            <w:vMerge w:val="restart"/>
            <w:tcBorders>
              <w:top w:val="single" w:sz="4" w:space="0" w:color="auto"/>
            </w:tcBorders>
            <w:shd w:val="clear" w:color="auto" w:fill="auto"/>
            <w:vAlign w:val="center"/>
            <w:hideMark/>
          </w:tcPr>
          <w:p w14:paraId="580FEA80" w14:textId="77777777" w:rsidR="00F22172" w:rsidRPr="00F22172" w:rsidRDefault="00F22172" w:rsidP="00F22172">
            <w:pPr>
              <w:pStyle w:val="ae"/>
              <w:rPr>
                <w:b w:val="0"/>
                <w:bCs/>
              </w:rPr>
            </w:pPr>
            <w:r w:rsidRPr="00F22172">
              <w:rPr>
                <w:rFonts w:hint="eastAsia"/>
                <w:b w:val="0"/>
                <w:bCs/>
              </w:rPr>
              <w:t>运行时段</w:t>
            </w:r>
          </w:p>
        </w:tc>
        <w:tc>
          <w:tcPr>
            <w:tcW w:w="837" w:type="dxa"/>
            <w:vMerge w:val="restart"/>
            <w:tcBorders>
              <w:top w:val="single" w:sz="4" w:space="0" w:color="auto"/>
            </w:tcBorders>
            <w:shd w:val="clear" w:color="auto" w:fill="auto"/>
            <w:vAlign w:val="center"/>
            <w:hideMark/>
          </w:tcPr>
          <w:p w14:paraId="75A41A85" w14:textId="77777777" w:rsidR="00F22172" w:rsidRPr="00F22172" w:rsidRDefault="00F22172" w:rsidP="00F22172">
            <w:pPr>
              <w:pStyle w:val="ae"/>
              <w:rPr>
                <w:b w:val="0"/>
                <w:bCs/>
              </w:rPr>
            </w:pPr>
            <w:r w:rsidRPr="00F22172">
              <w:rPr>
                <w:rFonts w:hint="eastAsia"/>
                <w:b w:val="0"/>
                <w:bCs/>
              </w:rPr>
              <w:t>运行模式</w:t>
            </w:r>
          </w:p>
        </w:tc>
        <w:tc>
          <w:tcPr>
            <w:tcW w:w="4826" w:type="dxa"/>
            <w:gridSpan w:val="12"/>
            <w:tcBorders>
              <w:top w:val="single" w:sz="4" w:space="0" w:color="auto"/>
              <w:right w:val="single" w:sz="4" w:space="0" w:color="auto"/>
            </w:tcBorders>
            <w:shd w:val="clear" w:color="auto" w:fill="auto"/>
            <w:vAlign w:val="center"/>
            <w:hideMark/>
          </w:tcPr>
          <w:p w14:paraId="339A6158" w14:textId="77777777" w:rsidR="00F22172" w:rsidRPr="00F22172" w:rsidRDefault="00F22172"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供暖空调区室内设定温度</w:t>
            </w:r>
            <w:r w:rsidRPr="00F22172">
              <w:rPr>
                <w:rFonts w:hint="eastAsia"/>
                <w:b w:val="0"/>
                <w:bCs/>
              </w:rPr>
              <w:t>/</w:t>
            </w:r>
            <w:r w:rsidRPr="00F22172">
              <w:rPr>
                <w:rFonts w:hint="eastAsia"/>
                <w:b w:val="0"/>
                <w:bCs/>
              </w:rPr>
              <w:t>℃</w:t>
            </w:r>
          </w:p>
        </w:tc>
      </w:tr>
      <w:tr w:rsidR="00F22172" w:rsidRPr="00F22172" w14:paraId="5289C95D" w14:textId="77777777" w:rsidTr="00E731D0">
        <w:trPr>
          <w:jc w:val="center"/>
        </w:trPr>
        <w:tc>
          <w:tcPr>
            <w:tcW w:w="873" w:type="dxa"/>
            <w:vMerge/>
            <w:tcBorders>
              <w:left w:val="single" w:sz="4" w:space="0" w:color="auto"/>
            </w:tcBorders>
            <w:shd w:val="clear" w:color="auto" w:fill="auto"/>
            <w:vAlign w:val="center"/>
            <w:hideMark/>
          </w:tcPr>
          <w:p w14:paraId="2C93D2D7" w14:textId="77777777" w:rsidR="00F22172" w:rsidRPr="00F22172" w:rsidRDefault="00F22172" w:rsidP="00F22172">
            <w:pPr>
              <w:pStyle w:val="ae"/>
              <w:rPr>
                <w:b w:val="0"/>
                <w:bCs/>
              </w:rPr>
            </w:pPr>
          </w:p>
        </w:tc>
        <w:tc>
          <w:tcPr>
            <w:tcW w:w="834" w:type="dxa"/>
            <w:vMerge/>
            <w:shd w:val="clear" w:color="auto" w:fill="auto"/>
            <w:vAlign w:val="center"/>
            <w:hideMark/>
          </w:tcPr>
          <w:p w14:paraId="3E0C4C36" w14:textId="77777777" w:rsidR="00F22172" w:rsidRPr="00F22172" w:rsidRDefault="00F22172" w:rsidP="00F22172">
            <w:pPr>
              <w:pStyle w:val="ae"/>
              <w:rPr>
                <w:b w:val="0"/>
                <w:bCs/>
              </w:rPr>
            </w:pPr>
          </w:p>
        </w:tc>
        <w:tc>
          <w:tcPr>
            <w:tcW w:w="837" w:type="dxa"/>
            <w:vMerge/>
            <w:shd w:val="clear" w:color="auto" w:fill="auto"/>
            <w:vAlign w:val="center"/>
            <w:hideMark/>
          </w:tcPr>
          <w:p w14:paraId="78D47FBE" w14:textId="77777777" w:rsidR="00F22172" w:rsidRPr="00F22172" w:rsidRDefault="00F22172" w:rsidP="00F22172">
            <w:pPr>
              <w:pStyle w:val="ae"/>
              <w:rPr>
                <w:b w:val="0"/>
                <w:bCs/>
              </w:rPr>
            </w:pPr>
          </w:p>
        </w:tc>
        <w:tc>
          <w:tcPr>
            <w:tcW w:w="403" w:type="dxa"/>
            <w:shd w:val="clear" w:color="auto" w:fill="auto"/>
            <w:vAlign w:val="center"/>
            <w:hideMark/>
          </w:tcPr>
          <w:p w14:paraId="0B358AD9" w14:textId="77777777" w:rsidR="00F22172" w:rsidRPr="00F22172" w:rsidRDefault="00F22172" w:rsidP="00F22172">
            <w:pPr>
              <w:pStyle w:val="ae"/>
              <w:rPr>
                <w:b w:val="0"/>
                <w:bCs/>
              </w:rPr>
            </w:pPr>
            <w:r w:rsidRPr="00F22172">
              <w:rPr>
                <w:rFonts w:hint="eastAsia"/>
                <w:b w:val="0"/>
                <w:bCs/>
              </w:rPr>
              <w:t>1</w:t>
            </w:r>
          </w:p>
        </w:tc>
        <w:tc>
          <w:tcPr>
            <w:tcW w:w="403" w:type="dxa"/>
            <w:shd w:val="clear" w:color="auto" w:fill="auto"/>
            <w:vAlign w:val="center"/>
            <w:hideMark/>
          </w:tcPr>
          <w:p w14:paraId="201C4CD3" w14:textId="77777777" w:rsidR="00F22172" w:rsidRPr="00F22172" w:rsidRDefault="00F22172" w:rsidP="00F22172">
            <w:pPr>
              <w:pStyle w:val="ae"/>
              <w:rPr>
                <w:b w:val="0"/>
                <w:bCs/>
              </w:rPr>
            </w:pPr>
            <w:r w:rsidRPr="00F22172">
              <w:rPr>
                <w:rFonts w:hint="eastAsia"/>
                <w:b w:val="0"/>
                <w:bCs/>
              </w:rPr>
              <w:t>2</w:t>
            </w:r>
          </w:p>
        </w:tc>
        <w:tc>
          <w:tcPr>
            <w:tcW w:w="402" w:type="dxa"/>
            <w:shd w:val="clear" w:color="auto" w:fill="auto"/>
            <w:vAlign w:val="center"/>
            <w:hideMark/>
          </w:tcPr>
          <w:p w14:paraId="78BBF1A6" w14:textId="77777777" w:rsidR="00F22172" w:rsidRPr="00F22172" w:rsidRDefault="00F22172" w:rsidP="00F22172">
            <w:pPr>
              <w:pStyle w:val="ae"/>
              <w:rPr>
                <w:b w:val="0"/>
                <w:bCs/>
              </w:rPr>
            </w:pPr>
            <w:r w:rsidRPr="00F22172">
              <w:rPr>
                <w:rFonts w:hint="eastAsia"/>
                <w:b w:val="0"/>
                <w:bCs/>
              </w:rPr>
              <w:t>3</w:t>
            </w:r>
          </w:p>
        </w:tc>
        <w:tc>
          <w:tcPr>
            <w:tcW w:w="402" w:type="dxa"/>
            <w:shd w:val="clear" w:color="auto" w:fill="auto"/>
            <w:vAlign w:val="center"/>
            <w:hideMark/>
          </w:tcPr>
          <w:p w14:paraId="5D325395" w14:textId="77777777" w:rsidR="00F22172" w:rsidRPr="00F22172" w:rsidRDefault="00F22172" w:rsidP="00F22172">
            <w:pPr>
              <w:pStyle w:val="ae"/>
              <w:rPr>
                <w:b w:val="0"/>
                <w:bCs/>
              </w:rPr>
            </w:pPr>
            <w:r w:rsidRPr="00F22172">
              <w:rPr>
                <w:rFonts w:hint="eastAsia"/>
                <w:b w:val="0"/>
                <w:bCs/>
              </w:rPr>
              <w:t>4</w:t>
            </w:r>
          </w:p>
        </w:tc>
        <w:tc>
          <w:tcPr>
            <w:tcW w:w="402" w:type="dxa"/>
            <w:shd w:val="clear" w:color="auto" w:fill="auto"/>
            <w:vAlign w:val="center"/>
            <w:hideMark/>
          </w:tcPr>
          <w:p w14:paraId="6EBD52B8"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701B43A5" w14:textId="77777777" w:rsidR="00F22172" w:rsidRPr="00F22172" w:rsidRDefault="00F22172" w:rsidP="00F22172">
            <w:pPr>
              <w:pStyle w:val="ae"/>
              <w:rPr>
                <w:b w:val="0"/>
                <w:bCs/>
              </w:rPr>
            </w:pPr>
            <w:r w:rsidRPr="00F22172">
              <w:rPr>
                <w:rFonts w:hint="eastAsia"/>
                <w:b w:val="0"/>
                <w:bCs/>
              </w:rPr>
              <w:t>6</w:t>
            </w:r>
          </w:p>
        </w:tc>
        <w:tc>
          <w:tcPr>
            <w:tcW w:w="402" w:type="dxa"/>
            <w:shd w:val="clear" w:color="auto" w:fill="auto"/>
            <w:vAlign w:val="center"/>
            <w:hideMark/>
          </w:tcPr>
          <w:p w14:paraId="60FEF2DF" w14:textId="77777777" w:rsidR="00F22172" w:rsidRPr="00F22172" w:rsidRDefault="00F22172" w:rsidP="00F22172">
            <w:pPr>
              <w:pStyle w:val="ae"/>
              <w:rPr>
                <w:b w:val="0"/>
                <w:bCs/>
              </w:rPr>
            </w:pPr>
            <w:r w:rsidRPr="00F22172">
              <w:rPr>
                <w:rFonts w:hint="eastAsia"/>
                <w:b w:val="0"/>
                <w:bCs/>
              </w:rPr>
              <w:t>7</w:t>
            </w:r>
          </w:p>
        </w:tc>
        <w:tc>
          <w:tcPr>
            <w:tcW w:w="402" w:type="dxa"/>
            <w:shd w:val="clear" w:color="auto" w:fill="auto"/>
            <w:vAlign w:val="center"/>
            <w:hideMark/>
          </w:tcPr>
          <w:p w14:paraId="2FB83E70" w14:textId="77777777" w:rsidR="00F22172" w:rsidRPr="00F22172" w:rsidRDefault="00F22172" w:rsidP="00F22172">
            <w:pPr>
              <w:pStyle w:val="ae"/>
              <w:rPr>
                <w:b w:val="0"/>
                <w:bCs/>
              </w:rPr>
            </w:pPr>
            <w:r w:rsidRPr="00F22172">
              <w:rPr>
                <w:rFonts w:hint="eastAsia"/>
                <w:b w:val="0"/>
                <w:bCs/>
              </w:rPr>
              <w:t>8</w:t>
            </w:r>
          </w:p>
        </w:tc>
        <w:tc>
          <w:tcPr>
            <w:tcW w:w="402" w:type="dxa"/>
            <w:shd w:val="clear" w:color="auto" w:fill="auto"/>
            <w:vAlign w:val="center"/>
            <w:hideMark/>
          </w:tcPr>
          <w:p w14:paraId="4A4017F8" w14:textId="77777777" w:rsidR="00F22172" w:rsidRPr="00F22172" w:rsidRDefault="00F22172" w:rsidP="00F22172">
            <w:pPr>
              <w:pStyle w:val="ae"/>
              <w:rPr>
                <w:b w:val="0"/>
                <w:bCs/>
              </w:rPr>
            </w:pPr>
            <w:r w:rsidRPr="00F22172">
              <w:rPr>
                <w:rFonts w:hint="eastAsia"/>
                <w:b w:val="0"/>
                <w:bCs/>
              </w:rPr>
              <w:t>9</w:t>
            </w:r>
          </w:p>
        </w:tc>
        <w:tc>
          <w:tcPr>
            <w:tcW w:w="402" w:type="dxa"/>
            <w:shd w:val="clear" w:color="auto" w:fill="auto"/>
            <w:vAlign w:val="center"/>
            <w:hideMark/>
          </w:tcPr>
          <w:p w14:paraId="17E4514C" w14:textId="77777777" w:rsidR="00F22172" w:rsidRPr="00F22172" w:rsidRDefault="00F22172" w:rsidP="00F22172">
            <w:pPr>
              <w:pStyle w:val="ae"/>
              <w:rPr>
                <w:b w:val="0"/>
                <w:bCs/>
              </w:rPr>
            </w:pPr>
            <w:r w:rsidRPr="00F22172">
              <w:rPr>
                <w:rFonts w:hint="eastAsia"/>
                <w:b w:val="0"/>
                <w:bCs/>
              </w:rPr>
              <w:t>10</w:t>
            </w:r>
          </w:p>
        </w:tc>
        <w:tc>
          <w:tcPr>
            <w:tcW w:w="402" w:type="dxa"/>
            <w:shd w:val="clear" w:color="auto" w:fill="auto"/>
            <w:vAlign w:val="center"/>
            <w:hideMark/>
          </w:tcPr>
          <w:p w14:paraId="2D0FA009" w14:textId="77777777" w:rsidR="00F22172" w:rsidRPr="00F22172" w:rsidRDefault="00F22172" w:rsidP="00F22172">
            <w:pPr>
              <w:pStyle w:val="ae"/>
              <w:rPr>
                <w:b w:val="0"/>
                <w:bCs/>
              </w:rPr>
            </w:pPr>
            <w:r w:rsidRPr="00F22172">
              <w:rPr>
                <w:rFonts w:hint="eastAsia"/>
                <w:b w:val="0"/>
                <w:bCs/>
              </w:rPr>
              <w:t>11</w:t>
            </w:r>
          </w:p>
        </w:tc>
        <w:tc>
          <w:tcPr>
            <w:tcW w:w="402" w:type="dxa"/>
            <w:tcBorders>
              <w:right w:val="single" w:sz="4" w:space="0" w:color="auto"/>
            </w:tcBorders>
            <w:shd w:val="clear" w:color="auto" w:fill="auto"/>
            <w:vAlign w:val="center"/>
            <w:hideMark/>
          </w:tcPr>
          <w:p w14:paraId="4B7B416D" w14:textId="77777777" w:rsidR="00F22172" w:rsidRPr="00F22172" w:rsidRDefault="00F22172" w:rsidP="00F22172">
            <w:pPr>
              <w:pStyle w:val="ae"/>
              <w:rPr>
                <w:b w:val="0"/>
                <w:bCs/>
              </w:rPr>
            </w:pPr>
            <w:r w:rsidRPr="00F22172">
              <w:rPr>
                <w:rFonts w:hint="eastAsia"/>
                <w:b w:val="0"/>
                <w:bCs/>
              </w:rPr>
              <w:t>12</w:t>
            </w:r>
          </w:p>
        </w:tc>
      </w:tr>
      <w:tr w:rsidR="00F22172" w:rsidRPr="00F22172" w14:paraId="493B54DE" w14:textId="77777777" w:rsidTr="00E731D0">
        <w:trPr>
          <w:jc w:val="center"/>
        </w:trPr>
        <w:tc>
          <w:tcPr>
            <w:tcW w:w="873" w:type="dxa"/>
            <w:vMerge w:val="restart"/>
            <w:tcBorders>
              <w:left w:val="single" w:sz="4" w:space="0" w:color="auto"/>
            </w:tcBorders>
            <w:shd w:val="clear" w:color="auto" w:fill="auto"/>
            <w:vAlign w:val="center"/>
            <w:hideMark/>
          </w:tcPr>
          <w:p w14:paraId="0AFEDBAA" w14:textId="77777777" w:rsidR="00F22172" w:rsidRPr="00F22172" w:rsidRDefault="00F22172" w:rsidP="00F22172">
            <w:pPr>
              <w:pStyle w:val="ae"/>
              <w:rPr>
                <w:b w:val="0"/>
                <w:bCs/>
              </w:rPr>
            </w:pPr>
            <w:r w:rsidRPr="00F22172">
              <w:rPr>
                <w:rFonts w:hint="eastAsia"/>
                <w:b w:val="0"/>
                <w:bCs/>
              </w:rPr>
              <w:t>宾馆建筑、住院部</w:t>
            </w:r>
          </w:p>
        </w:tc>
        <w:tc>
          <w:tcPr>
            <w:tcW w:w="834" w:type="dxa"/>
            <w:vMerge w:val="restart"/>
            <w:shd w:val="clear" w:color="auto" w:fill="auto"/>
            <w:vAlign w:val="center"/>
            <w:hideMark/>
          </w:tcPr>
          <w:p w14:paraId="6E3DCB4B" w14:textId="77777777" w:rsidR="00F22172" w:rsidRPr="00F22172" w:rsidRDefault="00F22172" w:rsidP="00F22172">
            <w:pPr>
              <w:pStyle w:val="ae"/>
              <w:rPr>
                <w:b w:val="0"/>
                <w:bCs/>
              </w:rPr>
            </w:pPr>
            <w:r w:rsidRPr="00F22172">
              <w:rPr>
                <w:rFonts w:hint="eastAsia"/>
                <w:b w:val="0"/>
                <w:bCs/>
              </w:rPr>
              <w:t>全年</w:t>
            </w:r>
          </w:p>
        </w:tc>
        <w:tc>
          <w:tcPr>
            <w:tcW w:w="837" w:type="dxa"/>
            <w:shd w:val="clear" w:color="auto" w:fill="auto"/>
            <w:vAlign w:val="center"/>
            <w:hideMark/>
          </w:tcPr>
          <w:p w14:paraId="53ACE179" w14:textId="77777777" w:rsidR="00F22172" w:rsidRPr="00F22172" w:rsidRDefault="00F22172" w:rsidP="00F22172">
            <w:pPr>
              <w:pStyle w:val="ae"/>
              <w:rPr>
                <w:b w:val="0"/>
                <w:bCs/>
              </w:rPr>
            </w:pPr>
            <w:r w:rsidRPr="00F22172">
              <w:rPr>
                <w:rFonts w:hint="eastAsia"/>
                <w:b w:val="0"/>
                <w:bCs/>
              </w:rPr>
              <w:t>空调</w:t>
            </w:r>
          </w:p>
        </w:tc>
        <w:tc>
          <w:tcPr>
            <w:tcW w:w="403" w:type="dxa"/>
            <w:shd w:val="clear" w:color="auto" w:fill="auto"/>
            <w:vAlign w:val="center"/>
            <w:hideMark/>
          </w:tcPr>
          <w:p w14:paraId="2A52C815" w14:textId="77777777" w:rsidR="00F22172" w:rsidRPr="00F22172" w:rsidRDefault="00F22172" w:rsidP="00F22172">
            <w:pPr>
              <w:pStyle w:val="ae"/>
              <w:rPr>
                <w:b w:val="0"/>
                <w:bCs/>
              </w:rPr>
            </w:pPr>
            <w:r w:rsidRPr="00F22172">
              <w:rPr>
                <w:rFonts w:hint="eastAsia"/>
                <w:b w:val="0"/>
                <w:bCs/>
              </w:rPr>
              <w:t>25</w:t>
            </w:r>
          </w:p>
        </w:tc>
        <w:tc>
          <w:tcPr>
            <w:tcW w:w="403" w:type="dxa"/>
            <w:shd w:val="clear" w:color="auto" w:fill="auto"/>
            <w:vAlign w:val="center"/>
            <w:hideMark/>
          </w:tcPr>
          <w:p w14:paraId="44D2A166"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5F86A2BD"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4B1E20F3"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5DE2E085"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63CC2AC7"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2A91F3AE"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3C3E1674"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34F03B7B"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7F26A144"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0805A7C4" w14:textId="77777777" w:rsidR="00F22172" w:rsidRPr="00F22172" w:rsidRDefault="00F22172" w:rsidP="00F22172">
            <w:pPr>
              <w:pStyle w:val="ae"/>
              <w:rPr>
                <w:b w:val="0"/>
                <w:bCs/>
              </w:rPr>
            </w:pPr>
            <w:r w:rsidRPr="00F22172">
              <w:rPr>
                <w:rFonts w:hint="eastAsia"/>
                <w:b w:val="0"/>
                <w:bCs/>
              </w:rPr>
              <w:t>25</w:t>
            </w:r>
          </w:p>
        </w:tc>
        <w:tc>
          <w:tcPr>
            <w:tcW w:w="402" w:type="dxa"/>
            <w:tcBorders>
              <w:right w:val="single" w:sz="4" w:space="0" w:color="auto"/>
            </w:tcBorders>
            <w:shd w:val="clear" w:color="auto" w:fill="auto"/>
            <w:vAlign w:val="center"/>
            <w:hideMark/>
          </w:tcPr>
          <w:p w14:paraId="5C01B9A2" w14:textId="77777777" w:rsidR="00F22172" w:rsidRPr="00F22172" w:rsidRDefault="00F22172" w:rsidP="00F22172">
            <w:pPr>
              <w:pStyle w:val="ae"/>
              <w:rPr>
                <w:b w:val="0"/>
                <w:bCs/>
              </w:rPr>
            </w:pPr>
            <w:r w:rsidRPr="00F22172">
              <w:rPr>
                <w:rFonts w:hint="eastAsia"/>
                <w:b w:val="0"/>
                <w:bCs/>
              </w:rPr>
              <w:t>25</w:t>
            </w:r>
          </w:p>
        </w:tc>
      </w:tr>
      <w:tr w:rsidR="00F22172" w:rsidRPr="00F22172" w14:paraId="62689455" w14:textId="77777777" w:rsidTr="00E731D0">
        <w:trPr>
          <w:jc w:val="center"/>
        </w:trPr>
        <w:tc>
          <w:tcPr>
            <w:tcW w:w="873" w:type="dxa"/>
            <w:vMerge/>
            <w:tcBorders>
              <w:left w:val="single" w:sz="4" w:space="0" w:color="auto"/>
              <w:bottom w:val="single" w:sz="4" w:space="0" w:color="000000"/>
            </w:tcBorders>
            <w:shd w:val="clear" w:color="auto" w:fill="auto"/>
            <w:vAlign w:val="center"/>
            <w:hideMark/>
          </w:tcPr>
          <w:p w14:paraId="04339A66" w14:textId="77777777" w:rsidR="00F22172" w:rsidRPr="00F22172" w:rsidRDefault="00F22172" w:rsidP="00F22172">
            <w:pPr>
              <w:pStyle w:val="ae"/>
              <w:rPr>
                <w:b w:val="0"/>
                <w:bCs/>
              </w:rPr>
            </w:pPr>
          </w:p>
        </w:tc>
        <w:tc>
          <w:tcPr>
            <w:tcW w:w="834" w:type="dxa"/>
            <w:vMerge/>
            <w:tcBorders>
              <w:bottom w:val="single" w:sz="4" w:space="0" w:color="000000"/>
            </w:tcBorders>
            <w:shd w:val="clear" w:color="auto" w:fill="auto"/>
            <w:vAlign w:val="center"/>
            <w:hideMark/>
          </w:tcPr>
          <w:p w14:paraId="4AB6F50D" w14:textId="77777777" w:rsidR="00F22172" w:rsidRPr="00F22172" w:rsidRDefault="00F22172" w:rsidP="00F22172">
            <w:pPr>
              <w:pStyle w:val="ae"/>
              <w:rPr>
                <w:b w:val="0"/>
                <w:bCs/>
              </w:rPr>
            </w:pPr>
          </w:p>
        </w:tc>
        <w:tc>
          <w:tcPr>
            <w:tcW w:w="837" w:type="dxa"/>
            <w:tcBorders>
              <w:bottom w:val="single" w:sz="4" w:space="0" w:color="000000"/>
            </w:tcBorders>
            <w:shd w:val="clear" w:color="auto" w:fill="auto"/>
            <w:vAlign w:val="center"/>
            <w:hideMark/>
          </w:tcPr>
          <w:p w14:paraId="67E3BDD3" w14:textId="77777777" w:rsidR="00F22172" w:rsidRPr="00F22172" w:rsidRDefault="00F22172" w:rsidP="00F22172">
            <w:pPr>
              <w:pStyle w:val="ae"/>
              <w:rPr>
                <w:b w:val="0"/>
                <w:bCs/>
              </w:rPr>
            </w:pPr>
            <w:r w:rsidRPr="00F22172">
              <w:rPr>
                <w:rFonts w:hint="eastAsia"/>
                <w:b w:val="0"/>
                <w:bCs/>
              </w:rPr>
              <w:t>供暖</w:t>
            </w:r>
          </w:p>
        </w:tc>
        <w:tc>
          <w:tcPr>
            <w:tcW w:w="403" w:type="dxa"/>
            <w:tcBorders>
              <w:bottom w:val="single" w:sz="4" w:space="0" w:color="000000"/>
            </w:tcBorders>
            <w:shd w:val="clear" w:color="auto" w:fill="auto"/>
            <w:vAlign w:val="center"/>
            <w:hideMark/>
          </w:tcPr>
          <w:p w14:paraId="26F63A25" w14:textId="77777777" w:rsidR="00F22172" w:rsidRPr="00F22172" w:rsidRDefault="00F22172" w:rsidP="00F22172">
            <w:pPr>
              <w:pStyle w:val="ae"/>
              <w:rPr>
                <w:b w:val="0"/>
                <w:bCs/>
              </w:rPr>
            </w:pPr>
            <w:r w:rsidRPr="00F22172">
              <w:rPr>
                <w:rFonts w:hint="eastAsia"/>
                <w:b w:val="0"/>
                <w:bCs/>
              </w:rPr>
              <w:t>22</w:t>
            </w:r>
          </w:p>
        </w:tc>
        <w:tc>
          <w:tcPr>
            <w:tcW w:w="403" w:type="dxa"/>
            <w:tcBorders>
              <w:bottom w:val="single" w:sz="4" w:space="0" w:color="000000"/>
            </w:tcBorders>
            <w:shd w:val="clear" w:color="auto" w:fill="auto"/>
            <w:vAlign w:val="center"/>
            <w:hideMark/>
          </w:tcPr>
          <w:p w14:paraId="4F2165E5"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4F4EF4D5"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231365C6"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3A3420F7"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7CE17ADE"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7133A05D"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649C0A97"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514F37F8"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6722FB42"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tcBorders>
            <w:shd w:val="clear" w:color="auto" w:fill="auto"/>
            <w:vAlign w:val="center"/>
            <w:hideMark/>
          </w:tcPr>
          <w:p w14:paraId="440E0ED5" w14:textId="77777777" w:rsidR="00F22172" w:rsidRPr="00F22172" w:rsidRDefault="00F22172" w:rsidP="00F22172">
            <w:pPr>
              <w:pStyle w:val="ae"/>
              <w:rPr>
                <w:b w:val="0"/>
                <w:bCs/>
              </w:rPr>
            </w:pPr>
            <w:r w:rsidRPr="00F22172">
              <w:rPr>
                <w:rFonts w:hint="eastAsia"/>
                <w:b w:val="0"/>
                <w:bCs/>
              </w:rPr>
              <w:t>22</w:t>
            </w:r>
          </w:p>
        </w:tc>
        <w:tc>
          <w:tcPr>
            <w:tcW w:w="402" w:type="dxa"/>
            <w:tcBorders>
              <w:bottom w:val="single" w:sz="4" w:space="0" w:color="000000"/>
              <w:right w:val="single" w:sz="4" w:space="0" w:color="auto"/>
            </w:tcBorders>
            <w:shd w:val="clear" w:color="auto" w:fill="auto"/>
            <w:vAlign w:val="center"/>
            <w:hideMark/>
          </w:tcPr>
          <w:p w14:paraId="6A5BE4E2" w14:textId="77777777" w:rsidR="00F22172" w:rsidRPr="00F22172" w:rsidRDefault="00F22172" w:rsidP="00F22172">
            <w:pPr>
              <w:pStyle w:val="ae"/>
              <w:rPr>
                <w:b w:val="0"/>
                <w:bCs/>
              </w:rPr>
            </w:pPr>
            <w:r w:rsidRPr="00F22172">
              <w:rPr>
                <w:rFonts w:hint="eastAsia"/>
                <w:b w:val="0"/>
                <w:bCs/>
              </w:rPr>
              <w:t>22</w:t>
            </w:r>
          </w:p>
        </w:tc>
      </w:tr>
      <w:tr w:rsidR="00F22172" w:rsidRPr="00F22172" w14:paraId="26B22FD9" w14:textId="77777777" w:rsidTr="00E731D0">
        <w:trPr>
          <w:jc w:val="center"/>
        </w:trPr>
        <w:tc>
          <w:tcPr>
            <w:tcW w:w="873"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610F5FBD" w14:textId="77777777" w:rsidR="00F22172" w:rsidRPr="00F22172" w:rsidRDefault="00F22172" w:rsidP="00F22172">
            <w:pPr>
              <w:pStyle w:val="ae"/>
              <w:rPr>
                <w:b w:val="0"/>
                <w:bCs/>
              </w:rPr>
            </w:pPr>
            <w:r w:rsidRPr="00F22172">
              <w:rPr>
                <w:rFonts w:hint="eastAsia"/>
                <w:b w:val="0"/>
                <w:bCs/>
              </w:rPr>
              <w:t>商店建筑、门诊楼</w:t>
            </w:r>
          </w:p>
        </w:tc>
        <w:tc>
          <w:tcPr>
            <w:tcW w:w="834" w:type="dxa"/>
            <w:vMerge w:val="restart"/>
            <w:tcBorders>
              <w:top w:val="single" w:sz="4" w:space="0" w:color="000000"/>
              <w:left w:val="single" w:sz="4" w:space="0" w:color="auto"/>
              <w:bottom w:val="single" w:sz="4" w:space="0" w:color="000000"/>
              <w:right w:val="single" w:sz="4" w:space="0" w:color="auto"/>
            </w:tcBorders>
            <w:shd w:val="clear" w:color="auto" w:fill="auto"/>
            <w:vAlign w:val="center"/>
            <w:hideMark/>
          </w:tcPr>
          <w:p w14:paraId="25D8ADDA" w14:textId="77777777" w:rsidR="00F22172" w:rsidRPr="00F22172" w:rsidRDefault="00F22172" w:rsidP="00F22172">
            <w:pPr>
              <w:pStyle w:val="ae"/>
              <w:rPr>
                <w:b w:val="0"/>
                <w:bCs/>
              </w:rPr>
            </w:pPr>
            <w:r w:rsidRPr="00F22172">
              <w:rPr>
                <w:rFonts w:hint="eastAsia"/>
                <w:b w:val="0"/>
                <w:bCs/>
              </w:rPr>
              <w:t>全年</w:t>
            </w:r>
          </w:p>
        </w:tc>
        <w:tc>
          <w:tcPr>
            <w:tcW w:w="837" w:type="dxa"/>
            <w:tcBorders>
              <w:top w:val="single" w:sz="4" w:space="0" w:color="000000"/>
              <w:left w:val="single" w:sz="4" w:space="0" w:color="auto"/>
              <w:bottom w:val="single" w:sz="4" w:space="0" w:color="000000"/>
            </w:tcBorders>
            <w:shd w:val="clear" w:color="auto" w:fill="auto"/>
            <w:vAlign w:val="center"/>
            <w:hideMark/>
          </w:tcPr>
          <w:p w14:paraId="04925605" w14:textId="77777777" w:rsidR="00F22172" w:rsidRPr="00F22172" w:rsidRDefault="00F22172" w:rsidP="00F22172">
            <w:pPr>
              <w:pStyle w:val="ae"/>
              <w:rPr>
                <w:b w:val="0"/>
                <w:bCs/>
              </w:rPr>
            </w:pPr>
            <w:r w:rsidRPr="00F22172">
              <w:rPr>
                <w:rFonts w:hint="eastAsia"/>
                <w:b w:val="0"/>
                <w:bCs/>
              </w:rPr>
              <w:t>空调</w:t>
            </w:r>
          </w:p>
        </w:tc>
        <w:tc>
          <w:tcPr>
            <w:tcW w:w="403" w:type="dxa"/>
            <w:tcBorders>
              <w:top w:val="single" w:sz="4" w:space="0" w:color="000000"/>
              <w:bottom w:val="single" w:sz="4" w:space="0" w:color="000000"/>
            </w:tcBorders>
            <w:shd w:val="clear" w:color="auto" w:fill="auto"/>
            <w:vAlign w:val="center"/>
            <w:hideMark/>
          </w:tcPr>
          <w:p w14:paraId="7CFABEC7" w14:textId="77777777" w:rsidR="00F22172" w:rsidRPr="00F22172" w:rsidRDefault="00F22172" w:rsidP="00F22172">
            <w:pPr>
              <w:pStyle w:val="ae"/>
              <w:rPr>
                <w:b w:val="0"/>
                <w:bCs/>
              </w:rPr>
            </w:pPr>
            <w:r w:rsidRPr="00F22172">
              <w:rPr>
                <w:rFonts w:hint="eastAsia"/>
                <w:b w:val="0"/>
                <w:bCs/>
              </w:rPr>
              <w:t>37</w:t>
            </w:r>
          </w:p>
        </w:tc>
        <w:tc>
          <w:tcPr>
            <w:tcW w:w="403" w:type="dxa"/>
            <w:tcBorders>
              <w:top w:val="single" w:sz="4" w:space="0" w:color="000000"/>
              <w:bottom w:val="single" w:sz="4" w:space="0" w:color="000000"/>
            </w:tcBorders>
            <w:shd w:val="clear" w:color="auto" w:fill="auto"/>
            <w:vAlign w:val="center"/>
            <w:hideMark/>
          </w:tcPr>
          <w:p w14:paraId="3A75C4A4" w14:textId="77777777" w:rsidR="00F22172" w:rsidRPr="00F22172" w:rsidRDefault="00F22172" w:rsidP="00F22172">
            <w:pPr>
              <w:pStyle w:val="ae"/>
              <w:rPr>
                <w:b w:val="0"/>
                <w:bCs/>
              </w:rPr>
            </w:pPr>
            <w:r w:rsidRPr="00F22172">
              <w:rPr>
                <w:rFonts w:hint="eastAsia"/>
                <w:b w:val="0"/>
                <w:bCs/>
              </w:rPr>
              <w:t>37</w:t>
            </w:r>
          </w:p>
        </w:tc>
        <w:tc>
          <w:tcPr>
            <w:tcW w:w="402" w:type="dxa"/>
            <w:tcBorders>
              <w:top w:val="single" w:sz="4" w:space="0" w:color="000000"/>
              <w:bottom w:val="single" w:sz="4" w:space="0" w:color="000000"/>
            </w:tcBorders>
            <w:shd w:val="clear" w:color="auto" w:fill="auto"/>
            <w:vAlign w:val="center"/>
            <w:hideMark/>
          </w:tcPr>
          <w:p w14:paraId="5305943B" w14:textId="77777777" w:rsidR="00F22172" w:rsidRPr="00F22172" w:rsidRDefault="00F22172" w:rsidP="00F22172">
            <w:pPr>
              <w:pStyle w:val="ae"/>
              <w:rPr>
                <w:b w:val="0"/>
                <w:bCs/>
              </w:rPr>
            </w:pPr>
            <w:r w:rsidRPr="00F22172">
              <w:rPr>
                <w:rFonts w:hint="eastAsia"/>
                <w:b w:val="0"/>
                <w:bCs/>
              </w:rPr>
              <w:t>37</w:t>
            </w:r>
          </w:p>
        </w:tc>
        <w:tc>
          <w:tcPr>
            <w:tcW w:w="402" w:type="dxa"/>
            <w:tcBorders>
              <w:top w:val="single" w:sz="4" w:space="0" w:color="000000"/>
              <w:bottom w:val="single" w:sz="4" w:space="0" w:color="000000"/>
            </w:tcBorders>
            <w:shd w:val="clear" w:color="auto" w:fill="auto"/>
            <w:vAlign w:val="center"/>
            <w:hideMark/>
          </w:tcPr>
          <w:p w14:paraId="18146E4F" w14:textId="77777777" w:rsidR="00F22172" w:rsidRPr="00F22172" w:rsidRDefault="00F22172" w:rsidP="00F22172">
            <w:pPr>
              <w:pStyle w:val="ae"/>
              <w:rPr>
                <w:b w:val="0"/>
                <w:bCs/>
              </w:rPr>
            </w:pPr>
            <w:r w:rsidRPr="00F22172">
              <w:rPr>
                <w:rFonts w:hint="eastAsia"/>
                <w:b w:val="0"/>
                <w:bCs/>
              </w:rPr>
              <w:t>37</w:t>
            </w:r>
          </w:p>
        </w:tc>
        <w:tc>
          <w:tcPr>
            <w:tcW w:w="402" w:type="dxa"/>
            <w:tcBorders>
              <w:top w:val="single" w:sz="4" w:space="0" w:color="000000"/>
              <w:bottom w:val="single" w:sz="4" w:space="0" w:color="000000"/>
            </w:tcBorders>
            <w:shd w:val="clear" w:color="auto" w:fill="auto"/>
            <w:vAlign w:val="center"/>
            <w:hideMark/>
          </w:tcPr>
          <w:p w14:paraId="62D87C21" w14:textId="77777777" w:rsidR="00F22172" w:rsidRPr="00F22172" w:rsidRDefault="00F22172" w:rsidP="00F22172">
            <w:pPr>
              <w:pStyle w:val="ae"/>
              <w:rPr>
                <w:b w:val="0"/>
                <w:bCs/>
              </w:rPr>
            </w:pPr>
            <w:r w:rsidRPr="00F22172">
              <w:rPr>
                <w:rFonts w:hint="eastAsia"/>
                <w:b w:val="0"/>
                <w:bCs/>
              </w:rPr>
              <w:t>37</w:t>
            </w:r>
          </w:p>
        </w:tc>
        <w:tc>
          <w:tcPr>
            <w:tcW w:w="402" w:type="dxa"/>
            <w:tcBorders>
              <w:top w:val="single" w:sz="4" w:space="0" w:color="000000"/>
              <w:bottom w:val="single" w:sz="4" w:space="0" w:color="000000"/>
            </w:tcBorders>
            <w:shd w:val="clear" w:color="auto" w:fill="auto"/>
            <w:vAlign w:val="center"/>
            <w:hideMark/>
          </w:tcPr>
          <w:p w14:paraId="261ED701" w14:textId="77777777" w:rsidR="00F22172" w:rsidRPr="00F22172" w:rsidRDefault="00F22172" w:rsidP="00F22172">
            <w:pPr>
              <w:pStyle w:val="ae"/>
              <w:rPr>
                <w:b w:val="0"/>
                <w:bCs/>
              </w:rPr>
            </w:pPr>
            <w:r w:rsidRPr="00F22172">
              <w:rPr>
                <w:rFonts w:hint="eastAsia"/>
                <w:b w:val="0"/>
                <w:bCs/>
              </w:rPr>
              <w:t>37</w:t>
            </w:r>
          </w:p>
        </w:tc>
        <w:tc>
          <w:tcPr>
            <w:tcW w:w="402" w:type="dxa"/>
            <w:tcBorders>
              <w:top w:val="single" w:sz="4" w:space="0" w:color="000000"/>
              <w:bottom w:val="single" w:sz="4" w:space="0" w:color="000000"/>
            </w:tcBorders>
            <w:shd w:val="clear" w:color="auto" w:fill="auto"/>
            <w:vAlign w:val="center"/>
            <w:hideMark/>
          </w:tcPr>
          <w:p w14:paraId="082B131D" w14:textId="77777777" w:rsidR="00F22172" w:rsidRPr="00F22172" w:rsidRDefault="00F22172" w:rsidP="00F22172">
            <w:pPr>
              <w:pStyle w:val="ae"/>
              <w:rPr>
                <w:b w:val="0"/>
                <w:bCs/>
              </w:rPr>
            </w:pPr>
            <w:r w:rsidRPr="00F22172">
              <w:rPr>
                <w:rFonts w:hint="eastAsia"/>
                <w:b w:val="0"/>
                <w:bCs/>
              </w:rPr>
              <w:t>37</w:t>
            </w:r>
          </w:p>
        </w:tc>
        <w:tc>
          <w:tcPr>
            <w:tcW w:w="402" w:type="dxa"/>
            <w:tcBorders>
              <w:top w:val="single" w:sz="4" w:space="0" w:color="000000"/>
              <w:bottom w:val="single" w:sz="4" w:space="0" w:color="000000"/>
            </w:tcBorders>
            <w:shd w:val="clear" w:color="auto" w:fill="auto"/>
            <w:vAlign w:val="center"/>
            <w:hideMark/>
          </w:tcPr>
          <w:p w14:paraId="7788F987" w14:textId="77777777" w:rsidR="00F22172" w:rsidRPr="00F22172" w:rsidRDefault="00F22172" w:rsidP="00F22172">
            <w:pPr>
              <w:pStyle w:val="ae"/>
              <w:rPr>
                <w:b w:val="0"/>
                <w:bCs/>
              </w:rPr>
            </w:pPr>
            <w:r w:rsidRPr="00F22172">
              <w:rPr>
                <w:rFonts w:hint="eastAsia"/>
                <w:b w:val="0"/>
                <w:bCs/>
              </w:rPr>
              <w:t>28</w:t>
            </w:r>
          </w:p>
        </w:tc>
        <w:tc>
          <w:tcPr>
            <w:tcW w:w="402" w:type="dxa"/>
            <w:tcBorders>
              <w:top w:val="single" w:sz="4" w:space="0" w:color="000000"/>
              <w:bottom w:val="single" w:sz="4" w:space="0" w:color="000000"/>
            </w:tcBorders>
            <w:shd w:val="clear" w:color="auto" w:fill="auto"/>
            <w:vAlign w:val="center"/>
            <w:hideMark/>
          </w:tcPr>
          <w:p w14:paraId="5CD9A082" w14:textId="77777777" w:rsidR="00F22172" w:rsidRPr="00F22172" w:rsidRDefault="00F22172" w:rsidP="00F22172">
            <w:pPr>
              <w:pStyle w:val="ae"/>
              <w:rPr>
                <w:b w:val="0"/>
                <w:bCs/>
              </w:rPr>
            </w:pPr>
            <w:r w:rsidRPr="00F22172">
              <w:rPr>
                <w:rFonts w:hint="eastAsia"/>
                <w:b w:val="0"/>
                <w:bCs/>
              </w:rPr>
              <w:t>25</w:t>
            </w:r>
          </w:p>
        </w:tc>
        <w:tc>
          <w:tcPr>
            <w:tcW w:w="402" w:type="dxa"/>
            <w:tcBorders>
              <w:top w:val="single" w:sz="4" w:space="0" w:color="000000"/>
              <w:bottom w:val="single" w:sz="4" w:space="0" w:color="000000"/>
            </w:tcBorders>
            <w:shd w:val="clear" w:color="auto" w:fill="auto"/>
            <w:vAlign w:val="center"/>
            <w:hideMark/>
          </w:tcPr>
          <w:p w14:paraId="23EF8DCB" w14:textId="77777777" w:rsidR="00F22172" w:rsidRPr="00F22172" w:rsidRDefault="00F22172" w:rsidP="00F22172">
            <w:pPr>
              <w:pStyle w:val="ae"/>
              <w:rPr>
                <w:b w:val="0"/>
                <w:bCs/>
              </w:rPr>
            </w:pPr>
            <w:r w:rsidRPr="00F22172">
              <w:rPr>
                <w:rFonts w:hint="eastAsia"/>
                <w:b w:val="0"/>
                <w:bCs/>
              </w:rPr>
              <w:t>25</w:t>
            </w:r>
          </w:p>
        </w:tc>
        <w:tc>
          <w:tcPr>
            <w:tcW w:w="402" w:type="dxa"/>
            <w:tcBorders>
              <w:top w:val="single" w:sz="4" w:space="0" w:color="000000"/>
              <w:bottom w:val="single" w:sz="4" w:space="0" w:color="000000"/>
            </w:tcBorders>
            <w:shd w:val="clear" w:color="auto" w:fill="auto"/>
            <w:vAlign w:val="center"/>
            <w:hideMark/>
          </w:tcPr>
          <w:p w14:paraId="381F742C" w14:textId="77777777" w:rsidR="00F22172" w:rsidRPr="00F22172" w:rsidRDefault="00F22172" w:rsidP="00F22172">
            <w:pPr>
              <w:pStyle w:val="ae"/>
              <w:rPr>
                <w:b w:val="0"/>
                <w:bCs/>
              </w:rPr>
            </w:pPr>
            <w:r w:rsidRPr="00F22172">
              <w:rPr>
                <w:rFonts w:hint="eastAsia"/>
                <w:b w:val="0"/>
                <w:bCs/>
              </w:rPr>
              <w:t>25</w:t>
            </w:r>
          </w:p>
        </w:tc>
        <w:tc>
          <w:tcPr>
            <w:tcW w:w="402" w:type="dxa"/>
            <w:tcBorders>
              <w:top w:val="single" w:sz="4" w:space="0" w:color="000000"/>
              <w:bottom w:val="single" w:sz="4" w:space="0" w:color="000000"/>
              <w:right w:val="single" w:sz="4" w:space="0" w:color="auto"/>
            </w:tcBorders>
            <w:shd w:val="clear" w:color="auto" w:fill="auto"/>
            <w:vAlign w:val="center"/>
            <w:hideMark/>
          </w:tcPr>
          <w:p w14:paraId="29B88424" w14:textId="77777777" w:rsidR="00F22172" w:rsidRPr="00F22172" w:rsidRDefault="00F22172" w:rsidP="00F22172">
            <w:pPr>
              <w:pStyle w:val="ae"/>
              <w:rPr>
                <w:b w:val="0"/>
                <w:bCs/>
              </w:rPr>
            </w:pPr>
            <w:r w:rsidRPr="00F22172">
              <w:rPr>
                <w:rFonts w:hint="eastAsia"/>
                <w:b w:val="0"/>
                <w:bCs/>
              </w:rPr>
              <w:t>25</w:t>
            </w:r>
          </w:p>
        </w:tc>
      </w:tr>
      <w:tr w:rsidR="00F22172" w:rsidRPr="00F22172" w14:paraId="1A88B856" w14:textId="77777777" w:rsidTr="00E731D0">
        <w:trPr>
          <w:jc w:val="center"/>
        </w:trPr>
        <w:tc>
          <w:tcPr>
            <w:tcW w:w="873" w:type="dxa"/>
            <w:vMerge/>
            <w:tcBorders>
              <w:top w:val="single" w:sz="4" w:space="0" w:color="000000"/>
              <w:left w:val="single" w:sz="4" w:space="0" w:color="auto"/>
              <w:bottom w:val="double" w:sz="4" w:space="0" w:color="auto"/>
              <w:right w:val="single" w:sz="4" w:space="0" w:color="auto"/>
            </w:tcBorders>
            <w:shd w:val="clear" w:color="auto" w:fill="auto"/>
            <w:vAlign w:val="center"/>
            <w:hideMark/>
          </w:tcPr>
          <w:p w14:paraId="1CE25859" w14:textId="77777777" w:rsidR="00F22172" w:rsidRPr="00F22172" w:rsidRDefault="00F22172" w:rsidP="00F22172">
            <w:pPr>
              <w:pStyle w:val="ae"/>
              <w:rPr>
                <w:b w:val="0"/>
                <w:bCs/>
              </w:rPr>
            </w:pPr>
          </w:p>
        </w:tc>
        <w:tc>
          <w:tcPr>
            <w:tcW w:w="834" w:type="dxa"/>
            <w:vMerge/>
            <w:tcBorders>
              <w:top w:val="single" w:sz="4" w:space="0" w:color="000000"/>
              <w:left w:val="single" w:sz="4" w:space="0" w:color="auto"/>
              <w:bottom w:val="double" w:sz="4" w:space="0" w:color="auto"/>
              <w:right w:val="single" w:sz="4" w:space="0" w:color="auto"/>
            </w:tcBorders>
            <w:shd w:val="clear" w:color="auto" w:fill="auto"/>
            <w:vAlign w:val="center"/>
            <w:hideMark/>
          </w:tcPr>
          <w:p w14:paraId="326410DF" w14:textId="77777777" w:rsidR="00F22172" w:rsidRPr="00F22172" w:rsidRDefault="00F22172" w:rsidP="00F22172">
            <w:pPr>
              <w:pStyle w:val="ae"/>
              <w:rPr>
                <w:b w:val="0"/>
                <w:bCs/>
              </w:rPr>
            </w:pPr>
          </w:p>
        </w:tc>
        <w:tc>
          <w:tcPr>
            <w:tcW w:w="837" w:type="dxa"/>
            <w:tcBorders>
              <w:top w:val="single" w:sz="4" w:space="0" w:color="000000"/>
              <w:left w:val="single" w:sz="4" w:space="0" w:color="auto"/>
              <w:bottom w:val="double" w:sz="4" w:space="0" w:color="auto"/>
            </w:tcBorders>
            <w:shd w:val="clear" w:color="auto" w:fill="auto"/>
            <w:vAlign w:val="center"/>
            <w:hideMark/>
          </w:tcPr>
          <w:p w14:paraId="43E7F9E0" w14:textId="77777777" w:rsidR="00F22172" w:rsidRPr="00F22172" w:rsidRDefault="00F22172" w:rsidP="00F22172">
            <w:pPr>
              <w:pStyle w:val="ae"/>
              <w:rPr>
                <w:b w:val="0"/>
                <w:bCs/>
              </w:rPr>
            </w:pPr>
            <w:r w:rsidRPr="00F22172">
              <w:rPr>
                <w:rFonts w:hint="eastAsia"/>
                <w:b w:val="0"/>
                <w:bCs/>
              </w:rPr>
              <w:t>供暖</w:t>
            </w:r>
          </w:p>
        </w:tc>
        <w:tc>
          <w:tcPr>
            <w:tcW w:w="403" w:type="dxa"/>
            <w:tcBorders>
              <w:top w:val="single" w:sz="4" w:space="0" w:color="000000"/>
              <w:bottom w:val="double" w:sz="4" w:space="0" w:color="auto"/>
            </w:tcBorders>
            <w:shd w:val="clear" w:color="auto" w:fill="auto"/>
            <w:vAlign w:val="center"/>
            <w:hideMark/>
          </w:tcPr>
          <w:p w14:paraId="3569EF6D" w14:textId="77777777" w:rsidR="00F22172" w:rsidRPr="00F22172" w:rsidRDefault="00F22172" w:rsidP="00F22172">
            <w:pPr>
              <w:pStyle w:val="ae"/>
              <w:rPr>
                <w:b w:val="0"/>
                <w:bCs/>
              </w:rPr>
            </w:pPr>
            <w:r w:rsidRPr="00F22172">
              <w:rPr>
                <w:rFonts w:hint="eastAsia"/>
                <w:b w:val="0"/>
                <w:bCs/>
              </w:rPr>
              <w:t>5</w:t>
            </w:r>
          </w:p>
        </w:tc>
        <w:tc>
          <w:tcPr>
            <w:tcW w:w="403" w:type="dxa"/>
            <w:tcBorders>
              <w:top w:val="single" w:sz="4" w:space="0" w:color="000000"/>
              <w:bottom w:val="double" w:sz="4" w:space="0" w:color="auto"/>
            </w:tcBorders>
            <w:shd w:val="clear" w:color="auto" w:fill="auto"/>
            <w:vAlign w:val="center"/>
            <w:hideMark/>
          </w:tcPr>
          <w:p w14:paraId="3C12F566" w14:textId="77777777" w:rsidR="00F22172" w:rsidRPr="00F22172" w:rsidRDefault="00F22172" w:rsidP="00F22172">
            <w:pPr>
              <w:pStyle w:val="ae"/>
              <w:rPr>
                <w:b w:val="0"/>
                <w:bCs/>
              </w:rPr>
            </w:pPr>
            <w:r w:rsidRPr="00F22172">
              <w:rPr>
                <w:rFonts w:hint="eastAsia"/>
                <w:b w:val="0"/>
                <w:bCs/>
              </w:rPr>
              <w:t>5</w:t>
            </w:r>
          </w:p>
        </w:tc>
        <w:tc>
          <w:tcPr>
            <w:tcW w:w="402" w:type="dxa"/>
            <w:tcBorders>
              <w:top w:val="single" w:sz="4" w:space="0" w:color="000000"/>
              <w:bottom w:val="double" w:sz="4" w:space="0" w:color="auto"/>
            </w:tcBorders>
            <w:shd w:val="clear" w:color="auto" w:fill="auto"/>
            <w:vAlign w:val="center"/>
            <w:hideMark/>
          </w:tcPr>
          <w:p w14:paraId="3E5D2ADD" w14:textId="77777777" w:rsidR="00F22172" w:rsidRPr="00F22172" w:rsidRDefault="00F22172" w:rsidP="00F22172">
            <w:pPr>
              <w:pStyle w:val="ae"/>
              <w:rPr>
                <w:b w:val="0"/>
                <w:bCs/>
              </w:rPr>
            </w:pPr>
            <w:r w:rsidRPr="00F22172">
              <w:rPr>
                <w:rFonts w:hint="eastAsia"/>
                <w:b w:val="0"/>
                <w:bCs/>
              </w:rPr>
              <w:t>5</w:t>
            </w:r>
          </w:p>
        </w:tc>
        <w:tc>
          <w:tcPr>
            <w:tcW w:w="402" w:type="dxa"/>
            <w:tcBorders>
              <w:top w:val="single" w:sz="4" w:space="0" w:color="000000"/>
              <w:bottom w:val="double" w:sz="4" w:space="0" w:color="auto"/>
            </w:tcBorders>
            <w:shd w:val="clear" w:color="auto" w:fill="auto"/>
            <w:vAlign w:val="center"/>
            <w:hideMark/>
          </w:tcPr>
          <w:p w14:paraId="17422DD7" w14:textId="77777777" w:rsidR="00F22172" w:rsidRPr="00F22172" w:rsidRDefault="00F22172" w:rsidP="00F22172">
            <w:pPr>
              <w:pStyle w:val="ae"/>
              <w:rPr>
                <w:b w:val="0"/>
                <w:bCs/>
              </w:rPr>
            </w:pPr>
            <w:r w:rsidRPr="00F22172">
              <w:rPr>
                <w:rFonts w:hint="eastAsia"/>
                <w:b w:val="0"/>
                <w:bCs/>
              </w:rPr>
              <w:t>5</w:t>
            </w:r>
          </w:p>
        </w:tc>
        <w:tc>
          <w:tcPr>
            <w:tcW w:w="402" w:type="dxa"/>
            <w:tcBorders>
              <w:top w:val="single" w:sz="4" w:space="0" w:color="000000"/>
              <w:bottom w:val="double" w:sz="4" w:space="0" w:color="auto"/>
            </w:tcBorders>
            <w:shd w:val="clear" w:color="auto" w:fill="auto"/>
            <w:vAlign w:val="center"/>
            <w:hideMark/>
          </w:tcPr>
          <w:p w14:paraId="60E54481" w14:textId="77777777" w:rsidR="00F22172" w:rsidRPr="00F22172" w:rsidRDefault="00F22172" w:rsidP="00F22172">
            <w:pPr>
              <w:pStyle w:val="ae"/>
              <w:rPr>
                <w:b w:val="0"/>
                <w:bCs/>
              </w:rPr>
            </w:pPr>
            <w:r w:rsidRPr="00F22172">
              <w:rPr>
                <w:rFonts w:hint="eastAsia"/>
                <w:b w:val="0"/>
                <w:bCs/>
              </w:rPr>
              <w:t>5</w:t>
            </w:r>
          </w:p>
        </w:tc>
        <w:tc>
          <w:tcPr>
            <w:tcW w:w="402" w:type="dxa"/>
            <w:tcBorders>
              <w:top w:val="single" w:sz="4" w:space="0" w:color="000000"/>
              <w:bottom w:val="double" w:sz="4" w:space="0" w:color="auto"/>
            </w:tcBorders>
            <w:shd w:val="clear" w:color="auto" w:fill="auto"/>
            <w:vAlign w:val="center"/>
            <w:hideMark/>
          </w:tcPr>
          <w:p w14:paraId="5681F9EE" w14:textId="77777777" w:rsidR="00F22172" w:rsidRPr="00F22172" w:rsidRDefault="00F22172" w:rsidP="00F22172">
            <w:pPr>
              <w:pStyle w:val="ae"/>
              <w:rPr>
                <w:b w:val="0"/>
                <w:bCs/>
              </w:rPr>
            </w:pPr>
            <w:r w:rsidRPr="00F22172">
              <w:rPr>
                <w:rFonts w:hint="eastAsia"/>
                <w:b w:val="0"/>
                <w:bCs/>
              </w:rPr>
              <w:t>5</w:t>
            </w:r>
          </w:p>
        </w:tc>
        <w:tc>
          <w:tcPr>
            <w:tcW w:w="402" w:type="dxa"/>
            <w:tcBorders>
              <w:top w:val="single" w:sz="4" w:space="0" w:color="000000"/>
              <w:bottom w:val="double" w:sz="4" w:space="0" w:color="auto"/>
            </w:tcBorders>
            <w:shd w:val="clear" w:color="auto" w:fill="auto"/>
            <w:vAlign w:val="center"/>
            <w:hideMark/>
          </w:tcPr>
          <w:p w14:paraId="535DFCF8" w14:textId="77777777" w:rsidR="00F22172" w:rsidRPr="00F22172" w:rsidRDefault="00F22172" w:rsidP="00F22172">
            <w:pPr>
              <w:pStyle w:val="ae"/>
              <w:rPr>
                <w:b w:val="0"/>
                <w:bCs/>
              </w:rPr>
            </w:pPr>
            <w:r w:rsidRPr="00F22172">
              <w:rPr>
                <w:rFonts w:hint="eastAsia"/>
                <w:b w:val="0"/>
                <w:bCs/>
              </w:rPr>
              <w:t>12</w:t>
            </w:r>
          </w:p>
        </w:tc>
        <w:tc>
          <w:tcPr>
            <w:tcW w:w="402" w:type="dxa"/>
            <w:tcBorders>
              <w:top w:val="single" w:sz="4" w:space="0" w:color="000000"/>
              <w:bottom w:val="double" w:sz="4" w:space="0" w:color="auto"/>
            </w:tcBorders>
            <w:shd w:val="clear" w:color="auto" w:fill="auto"/>
            <w:vAlign w:val="center"/>
            <w:hideMark/>
          </w:tcPr>
          <w:p w14:paraId="57BEAA4E" w14:textId="77777777" w:rsidR="00F22172" w:rsidRPr="00F22172" w:rsidRDefault="00F22172" w:rsidP="00F22172">
            <w:pPr>
              <w:pStyle w:val="ae"/>
              <w:rPr>
                <w:b w:val="0"/>
                <w:bCs/>
              </w:rPr>
            </w:pPr>
            <w:r w:rsidRPr="00F22172">
              <w:rPr>
                <w:rFonts w:hint="eastAsia"/>
                <w:b w:val="0"/>
                <w:bCs/>
              </w:rPr>
              <w:t>16</w:t>
            </w:r>
          </w:p>
        </w:tc>
        <w:tc>
          <w:tcPr>
            <w:tcW w:w="402" w:type="dxa"/>
            <w:tcBorders>
              <w:top w:val="single" w:sz="4" w:space="0" w:color="000000"/>
              <w:bottom w:val="double" w:sz="4" w:space="0" w:color="auto"/>
            </w:tcBorders>
            <w:shd w:val="clear" w:color="auto" w:fill="auto"/>
            <w:vAlign w:val="center"/>
            <w:hideMark/>
          </w:tcPr>
          <w:p w14:paraId="489867F9" w14:textId="77777777" w:rsidR="00F22172" w:rsidRPr="00F22172" w:rsidRDefault="00F22172" w:rsidP="00F22172">
            <w:pPr>
              <w:pStyle w:val="ae"/>
              <w:rPr>
                <w:b w:val="0"/>
                <w:bCs/>
              </w:rPr>
            </w:pPr>
            <w:r w:rsidRPr="00F22172">
              <w:rPr>
                <w:rFonts w:hint="eastAsia"/>
                <w:b w:val="0"/>
                <w:bCs/>
              </w:rPr>
              <w:t>18</w:t>
            </w:r>
          </w:p>
        </w:tc>
        <w:tc>
          <w:tcPr>
            <w:tcW w:w="402" w:type="dxa"/>
            <w:tcBorders>
              <w:top w:val="single" w:sz="4" w:space="0" w:color="000000"/>
              <w:bottom w:val="double" w:sz="4" w:space="0" w:color="auto"/>
            </w:tcBorders>
            <w:shd w:val="clear" w:color="auto" w:fill="auto"/>
            <w:vAlign w:val="center"/>
            <w:hideMark/>
          </w:tcPr>
          <w:p w14:paraId="19D99C0B" w14:textId="77777777" w:rsidR="00F22172" w:rsidRPr="00F22172" w:rsidRDefault="00F22172" w:rsidP="00F22172">
            <w:pPr>
              <w:pStyle w:val="ae"/>
              <w:rPr>
                <w:b w:val="0"/>
                <w:bCs/>
              </w:rPr>
            </w:pPr>
            <w:r w:rsidRPr="00F22172">
              <w:rPr>
                <w:rFonts w:hint="eastAsia"/>
                <w:b w:val="0"/>
                <w:bCs/>
              </w:rPr>
              <w:t>18</w:t>
            </w:r>
          </w:p>
        </w:tc>
        <w:tc>
          <w:tcPr>
            <w:tcW w:w="402" w:type="dxa"/>
            <w:tcBorders>
              <w:top w:val="single" w:sz="4" w:space="0" w:color="000000"/>
              <w:bottom w:val="double" w:sz="4" w:space="0" w:color="auto"/>
            </w:tcBorders>
            <w:shd w:val="clear" w:color="auto" w:fill="auto"/>
            <w:vAlign w:val="center"/>
            <w:hideMark/>
          </w:tcPr>
          <w:p w14:paraId="4C440AA4" w14:textId="77777777" w:rsidR="00F22172" w:rsidRPr="00F22172" w:rsidRDefault="00F22172" w:rsidP="00F22172">
            <w:pPr>
              <w:pStyle w:val="ae"/>
              <w:rPr>
                <w:b w:val="0"/>
                <w:bCs/>
              </w:rPr>
            </w:pPr>
            <w:r w:rsidRPr="00F22172">
              <w:rPr>
                <w:rFonts w:hint="eastAsia"/>
                <w:b w:val="0"/>
                <w:bCs/>
              </w:rPr>
              <w:t>18</w:t>
            </w:r>
          </w:p>
        </w:tc>
        <w:tc>
          <w:tcPr>
            <w:tcW w:w="402" w:type="dxa"/>
            <w:tcBorders>
              <w:top w:val="single" w:sz="4" w:space="0" w:color="000000"/>
              <w:bottom w:val="double" w:sz="4" w:space="0" w:color="auto"/>
              <w:right w:val="single" w:sz="4" w:space="0" w:color="auto"/>
            </w:tcBorders>
            <w:shd w:val="clear" w:color="auto" w:fill="auto"/>
            <w:vAlign w:val="center"/>
            <w:hideMark/>
          </w:tcPr>
          <w:p w14:paraId="69591BB4" w14:textId="77777777" w:rsidR="00F22172" w:rsidRPr="00F22172" w:rsidRDefault="00F22172" w:rsidP="00F22172">
            <w:pPr>
              <w:pStyle w:val="ae"/>
              <w:rPr>
                <w:b w:val="0"/>
                <w:bCs/>
              </w:rPr>
            </w:pPr>
            <w:r w:rsidRPr="00F22172">
              <w:rPr>
                <w:rFonts w:hint="eastAsia"/>
                <w:b w:val="0"/>
                <w:bCs/>
              </w:rPr>
              <w:t>18</w:t>
            </w:r>
          </w:p>
        </w:tc>
      </w:tr>
      <w:tr w:rsidR="00F22172" w:rsidRPr="00F22172" w14:paraId="71EE9306" w14:textId="77777777" w:rsidTr="00E731D0">
        <w:trPr>
          <w:jc w:val="center"/>
        </w:trPr>
        <w:tc>
          <w:tcPr>
            <w:tcW w:w="873" w:type="dxa"/>
            <w:vMerge w:val="restart"/>
            <w:tcBorders>
              <w:top w:val="double" w:sz="4" w:space="0" w:color="auto"/>
              <w:left w:val="single" w:sz="4" w:space="0" w:color="auto"/>
              <w:right w:val="single" w:sz="4" w:space="0" w:color="auto"/>
            </w:tcBorders>
            <w:shd w:val="clear" w:color="auto" w:fill="auto"/>
            <w:vAlign w:val="center"/>
            <w:hideMark/>
          </w:tcPr>
          <w:p w14:paraId="0A147CF5" w14:textId="77777777" w:rsidR="00F22172" w:rsidRPr="00F22172" w:rsidRDefault="00F22172" w:rsidP="00F22172">
            <w:pPr>
              <w:pStyle w:val="ae"/>
              <w:rPr>
                <w:b w:val="0"/>
                <w:bCs/>
              </w:rPr>
            </w:pPr>
            <w:r w:rsidRPr="00F22172">
              <w:rPr>
                <w:rFonts w:hint="eastAsia"/>
                <w:b w:val="0"/>
                <w:bCs/>
              </w:rPr>
              <w:t>建筑类</w:t>
            </w:r>
            <w:r w:rsidRPr="00F22172">
              <w:rPr>
                <w:rFonts w:hint="eastAsia"/>
                <w:b w:val="0"/>
                <w:bCs/>
              </w:rPr>
              <w:lastRenderedPageBreak/>
              <w:t>别</w:t>
            </w:r>
          </w:p>
        </w:tc>
        <w:tc>
          <w:tcPr>
            <w:tcW w:w="834" w:type="dxa"/>
            <w:vMerge w:val="restart"/>
            <w:tcBorders>
              <w:top w:val="double" w:sz="4" w:space="0" w:color="auto"/>
              <w:right w:val="single" w:sz="4" w:space="0" w:color="auto"/>
            </w:tcBorders>
            <w:shd w:val="clear" w:color="auto" w:fill="auto"/>
            <w:vAlign w:val="center"/>
          </w:tcPr>
          <w:p w14:paraId="4F0A81F1" w14:textId="77777777" w:rsidR="00F22172" w:rsidRPr="00F22172" w:rsidRDefault="00F22172" w:rsidP="00F22172">
            <w:pPr>
              <w:pStyle w:val="ae"/>
              <w:rPr>
                <w:b w:val="0"/>
                <w:bCs/>
              </w:rPr>
            </w:pPr>
            <w:r w:rsidRPr="00F22172">
              <w:rPr>
                <w:rFonts w:hint="eastAsia"/>
                <w:b w:val="0"/>
                <w:bCs/>
              </w:rPr>
              <w:lastRenderedPageBreak/>
              <w:t>运行时</w:t>
            </w:r>
            <w:r w:rsidRPr="00F22172">
              <w:rPr>
                <w:rFonts w:hint="eastAsia"/>
                <w:b w:val="0"/>
                <w:bCs/>
              </w:rPr>
              <w:lastRenderedPageBreak/>
              <w:t>段</w:t>
            </w:r>
          </w:p>
        </w:tc>
        <w:tc>
          <w:tcPr>
            <w:tcW w:w="837" w:type="dxa"/>
            <w:vMerge w:val="restart"/>
            <w:tcBorders>
              <w:top w:val="double" w:sz="4" w:space="0" w:color="auto"/>
              <w:left w:val="single" w:sz="4" w:space="0" w:color="auto"/>
            </w:tcBorders>
            <w:shd w:val="clear" w:color="auto" w:fill="auto"/>
            <w:vAlign w:val="center"/>
          </w:tcPr>
          <w:p w14:paraId="6127EA91" w14:textId="77777777" w:rsidR="00F22172" w:rsidRPr="00F22172" w:rsidRDefault="00F22172" w:rsidP="00F22172">
            <w:pPr>
              <w:pStyle w:val="ae"/>
              <w:rPr>
                <w:b w:val="0"/>
                <w:bCs/>
              </w:rPr>
            </w:pPr>
            <w:r w:rsidRPr="00F22172">
              <w:rPr>
                <w:rFonts w:hint="eastAsia"/>
                <w:b w:val="0"/>
                <w:bCs/>
              </w:rPr>
              <w:lastRenderedPageBreak/>
              <w:t>运行模</w:t>
            </w:r>
            <w:r w:rsidRPr="00F22172">
              <w:rPr>
                <w:rFonts w:hint="eastAsia"/>
                <w:b w:val="0"/>
                <w:bCs/>
              </w:rPr>
              <w:lastRenderedPageBreak/>
              <w:t>式</w:t>
            </w:r>
          </w:p>
        </w:tc>
        <w:tc>
          <w:tcPr>
            <w:tcW w:w="4826" w:type="dxa"/>
            <w:gridSpan w:val="12"/>
            <w:tcBorders>
              <w:top w:val="double" w:sz="4" w:space="0" w:color="auto"/>
              <w:right w:val="single" w:sz="4" w:space="0" w:color="auto"/>
            </w:tcBorders>
            <w:shd w:val="clear" w:color="auto" w:fill="auto"/>
            <w:vAlign w:val="center"/>
            <w:hideMark/>
          </w:tcPr>
          <w:p w14:paraId="535EABB8" w14:textId="77777777" w:rsidR="00F22172" w:rsidRPr="00F22172" w:rsidRDefault="00F22172" w:rsidP="00F22172">
            <w:pPr>
              <w:pStyle w:val="ae"/>
              <w:rPr>
                <w:b w:val="0"/>
                <w:bCs/>
              </w:rPr>
            </w:pPr>
            <w:r w:rsidRPr="00F22172">
              <w:rPr>
                <w:rFonts w:hint="eastAsia"/>
                <w:b w:val="0"/>
                <w:bCs/>
              </w:rPr>
              <w:lastRenderedPageBreak/>
              <w:t>下列计算时刻</w:t>
            </w:r>
            <w:r w:rsidRPr="00F22172">
              <w:rPr>
                <w:rFonts w:hint="eastAsia"/>
                <w:b w:val="0"/>
                <w:bCs/>
              </w:rPr>
              <w:t>/h</w:t>
            </w:r>
            <w:r w:rsidRPr="00F22172">
              <w:rPr>
                <w:rFonts w:hint="eastAsia"/>
                <w:b w:val="0"/>
                <w:bCs/>
              </w:rPr>
              <w:t>供暖空调区室内设定温度</w:t>
            </w:r>
            <w:r w:rsidRPr="00F22172">
              <w:rPr>
                <w:rFonts w:hint="eastAsia"/>
                <w:b w:val="0"/>
                <w:bCs/>
              </w:rPr>
              <w:t>/</w:t>
            </w:r>
            <w:r w:rsidRPr="00F22172">
              <w:rPr>
                <w:rFonts w:hint="eastAsia"/>
                <w:b w:val="0"/>
                <w:bCs/>
              </w:rPr>
              <w:t>℃</w:t>
            </w:r>
          </w:p>
        </w:tc>
      </w:tr>
      <w:tr w:rsidR="00F22172" w:rsidRPr="00F22172" w14:paraId="0082914A" w14:textId="77777777" w:rsidTr="00E731D0">
        <w:trPr>
          <w:jc w:val="center"/>
        </w:trPr>
        <w:tc>
          <w:tcPr>
            <w:tcW w:w="873" w:type="dxa"/>
            <w:vMerge/>
            <w:tcBorders>
              <w:left w:val="single" w:sz="4" w:space="0" w:color="auto"/>
              <w:right w:val="single" w:sz="4" w:space="0" w:color="auto"/>
            </w:tcBorders>
            <w:shd w:val="clear" w:color="auto" w:fill="auto"/>
            <w:vAlign w:val="center"/>
            <w:hideMark/>
          </w:tcPr>
          <w:p w14:paraId="688B3D92" w14:textId="77777777" w:rsidR="00F22172" w:rsidRPr="00F22172" w:rsidRDefault="00F22172" w:rsidP="00F22172">
            <w:pPr>
              <w:pStyle w:val="ae"/>
              <w:rPr>
                <w:b w:val="0"/>
                <w:bCs/>
              </w:rPr>
            </w:pPr>
          </w:p>
        </w:tc>
        <w:tc>
          <w:tcPr>
            <w:tcW w:w="834" w:type="dxa"/>
            <w:vMerge/>
            <w:tcBorders>
              <w:right w:val="single" w:sz="4" w:space="0" w:color="auto"/>
            </w:tcBorders>
            <w:shd w:val="clear" w:color="auto" w:fill="auto"/>
            <w:vAlign w:val="center"/>
          </w:tcPr>
          <w:p w14:paraId="40C5F590" w14:textId="77777777" w:rsidR="00F22172" w:rsidRPr="00F22172" w:rsidRDefault="00F22172" w:rsidP="00F22172">
            <w:pPr>
              <w:pStyle w:val="ae"/>
              <w:rPr>
                <w:b w:val="0"/>
                <w:bCs/>
              </w:rPr>
            </w:pPr>
          </w:p>
        </w:tc>
        <w:tc>
          <w:tcPr>
            <w:tcW w:w="837" w:type="dxa"/>
            <w:vMerge/>
            <w:tcBorders>
              <w:left w:val="single" w:sz="4" w:space="0" w:color="auto"/>
            </w:tcBorders>
            <w:shd w:val="clear" w:color="auto" w:fill="auto"/>
            <w:vAlign w:val="center"/>
          </w:tcPr>
          <w:p w14:paraId="056A61E5" w14:textId="77777777" w:rsidR="00F22172" w:rsidRPr="00F22172" w:rsidRDefault="00F22172" w:rsidP="00F22172">
            <w:pPr>
              <w:pStyle w:val="ae"/>
              <w:rPr>
                <w:b w:val="0"/>
                <w:bCs/>
              </w:rPr>
            </w:pPr>
          </w:p>
        </w:tc>
        <w:tc>
          <w:tcPr>
            <w:tcW w:w="403" w:type="dxa"/>
            <w:shd w:val="clear" w:color="auto" w:fill="auto"/>
            <w:vAlign w:val="center"/>
            <w:hideMark/>
          </w:tcPr>
          <w:p w14:paraId="5D3A33BB" w14:textId="77777777" w:rsidR="00F22172" w:rsidRPr="00F22172" w:rsidRDefault="00F22172" w:rsidP="00F22172">
            <w:pPr>
              <w:pStyle w:val="ae"/>
              <w:rPr>
                <w:b w:val="0"/>
                <w:bCs/>
              </w:rPr>
            </w:pPr>
            <w:r w:rsidRPr="00F22172">
              <w:rPr>
                <w:rFonts w:hint="eastAsia"/>
                <w:b w:val="0"/>
                <w:bCs/>
              </w:rPr>
              <w:t>13</w:t>
            </w:r>
          </w:p>
        </w:tc>
        <w:tc>
          <w:tcPr>
            <w:tcW w:w="403" w:type="dxa"/>
            <w:shd w:val="clear" w:color="auto" w:fill="auto"/>
            <w:vAlign w:val="center"/>
            <w:hideMark/>
          </w:tcPr>
          <w:p w14:paraId="1CDF66DA" w14:textId="77777777" w:rsidR="00F22172" w:rsidRPr="00F22172" w:rsidRDefault="00F22172" w:rsidP="00F22172">
            <w:pPr>
              <w:pStyle w:val="ae"/>
              <w:rPr>
                <w:b w:val="0"/>
                <w:bCs/>
              </w:rPr>
            </w:pPr>
            <w:r w:rsidRPr="00F22172">
              <w:rPr>
                <w:rFonts w:hint="eastAsia"/>
                <w:b w:val="0"/>
                <w:bCs/>
              </w:rPr>
              <w:t>14</w:t>
            </w:r>
          </w:p>
        </w:tc>
        <w:tc>
          <w:tcPr>
            <w:tcW w:w="402" w:type="dxa"/>
            <w:shd w:val="clear" w:color="auto" w:fill="auto"/>
            <w:vAlign w:val="center"/>
            <w:hideMark/>
          </w:tcPr>
          <w:p w14:paraId="41796B79" w14:textId="77777777" w:rsidR="00F22172" w:rsidRPr="00F22172" w:rsidRDefault="00F22172" w:rsidP="00F22172">
            <w:pPr>
              <w:pStyle w:val="ae"/>
              <w:rPr>
                <w:b w:val="0"/>
                <w:bCs/>
              </w:rPr>
            </w:pPr>
            <w:r w:rsidRPr="00F22172">
              <w:rPr>
                <w:rFonts w:hint="eastAsia"/>
                <w:b w:val="0"/>
                <w:bCs/>
              </w:rPr>
              <w:t>15</w:t>
            </w:r>
          </w:p>
        </w:tc>
        <w:tc>
          <w:tcPr>
            <w:tcW w:w="402" w:type="dxa"/>
            <w:shd w:val="clear" w:color="auto" w:fill="auto"/>
            <w:vAlign w:val="center"/>
            <w:hideMark/>
          </w:tcPr>
          <w:p w14:paraId="6A1CD639" w14:textId="77777777" w:rsidR="00F22172" w:rsidRPr="00F22172" w:rsidRDefault="00F22172" w:rsidP="00F22172">
            <w:pPr>
              <w:pStyle w:val="ae"/>
              <w:rPr>
                <w:b w:val="0"/>
                <w:bCs/>
              </w:rPr>
            </w:pPr>
            <w:r w:rsidRPr="00F22172">
              <w:rPr>
                <w:rFonts w:hint="eastAsia"/>
                <w:b w:val="0"/>
                <w:bCs/>
              </w:rPr>
              <w:t>16</w:t>
            </w:r>
          </w:p>
        </w:tc>
        <w:tc>
          <w:tcPr>
            <w:tcW w:w="402" w:type="dxa"/>
            <w:shd w:val="clear" w:color="auto" w:fill="auto"/>
            <w:vAlign w:val="center"/>
            <w:hideMark/>
          </w:tcPr>
          <w:p w14:paraId="6F533DAB" w14:textId="77777777" w:rsidR="00F22172" w:rsidRPr="00F22172" w:rsidRDefault="00F22172" w:rsidP="00F22172">
            <w:pPr>
              <w:pStyle w:val="ae"/>
              <w:rPr>
                <w:b w:val="0"/>
                <w:bCs/>
              </w:rPr>
            </w:pPr>
            <w:r w:rsidRPr="00F22172">
              <w:rPr>
                <w:rFonts w:hint="eastAsia"/>
                <w:b w:val="0"/>
                <w:bCs/>
              </w:rPr>
              <w:t>17</w:t>
            </w:r>
          </w:p>
        </w:tc>
        <w:tc>
          <w:tcPr>
            <w:tcW w:w="402" w:type="dxa"/>
            <w:shd w:val="clear" w:color="auto" w:fill="auto"/>
            <w:vAlign w:val="center"/>
            <w:hideMark/>
          </w:tcPr>
          <w:p w14:paraId="6771B7B7" w14:textId="77777777" w:rsidR="00F22172" w:rsidRPr="00F22172" w:rsidRDefault="00F22172" w:rsidP="00F22172">
            <w:pPr>
              <w:pStyle w:val="ae"/>
              <w:rPr>
                <w:b w:val="0"/>
                <w:bCs/>
              </w:rPr>
            </w:pPr>
            <w:r w:rsidRPr="00F22172">
              <w:rPr>
                <w:rFonts w:hint="eastAsia"/>
                <w:b w:val="0"/>
                <w:bCs/>
              </w:rPr>
              <w:t>18</w:t>
            </w:r>
          </w:p>
        </w:tc>
        <w:tc>
          <w:tcPr>
            <w:tcW w:w="402" w:type="dxa"/>
            <w:shd w:val="clear" w:color="auto" w:fill="auto"/>
            <w:vAlign w:val="center"/>
            <w:hideMark/>
          </w:tcPr>
          <w:p w14:paraId="10A1C538" w14:textId="77777777" w:rsidR="00F22172" w:rsidRPr="00F22172" w:rsidRDefault="00F22172" w:rsidP="00F22172">
            <w:pPr>
              <w:pStyle w:val="ae"/>
              <w:rPr>
                <w:b w:val="0"/>
                <w:bCs/>
              </w:rPr>
            </w:pPr>
            <w:r w:rsidRPr="00F22172">
              <w:rPr>
                <w:rFonts w:hint="eastAsia"/>
                <w:b w:val="0"/>
                <w:bCs/>
              </w:rPr>
              <w:t>19</w:t>
            </w:r>
          </w:p>
        </w:tc>
        <w:tc>
          <w:tcPr>
            <w:tcW w:w="402" w:type="dxa"/>
            <w:shd w:val="clear" w:color="auto" w:fill="auto"/>
            <w:vAlign w:val="center"/>
            <w:hideMark/>
          </w:tcPr>
          <w:p w14:paraId="2917B1BD" w14:textId="77777777" w:rsidR="00F22172" w:rsidRPr="00F22172" w:rsidRDefault="00F22172" w:rsidP="00F22172">
            <w:pPr>
              <w:pStyle w:val="ae"/>
              <w:rPr>
                <w:b w:val="0"/>
                <w:bCs/>
              </w:rPr>
            </w:pPr>
            <w:r w:rsidRPr="00F22172">
              <w:rPr>
                <w:rFonts w:hint="eastAsia"/>
                <w:b w:val="0"/>
                <w:bCs/>
              </w:rPr>
              <w:t>20</w:t>
            </w:r>
          </w:p>
        </w:tc>
        <w:tc>
          <w:tcPr>
            <w:tcW w:w="402" w:type="dxa"/>
            <w:shd w:val="clear" w:color="auto" w:fill="auto"/>
            <w:vAlign w:val="center"/>
            <w:hideMark/>
          </w:tcPr>
          <w:p w14:paraId="0D0A6293" w14:textId="77777777" w:rsidR="00F22172" w:rsidRPr="00F22172" w:rsidRDefault="00F22172" w:rsidP="00F22172">
            <w:pPr>
              <w:pStyle w:val="ae"/>
              <w:rPr>
                <w:b w:val="0"/>
                <w:bCs/>
              </w:rPr>
            </w:pPr>
            <w:r w:rsidRPr="00F22172">
              <w:rPr>
                <w:rFonts w:hint="eastAsia"/>
                <w:b w:val="0"/>
                <w:bCs/>
              </w:rPr>
              <w:t>21</w:t>
            </w:r>
          </w:p>
        </w:tc>
        <w:tc>
          <w:tcPr>
            <w:tcW w:w="402" w:type="dxa"/>
            <w:shd w:val="clear" w:color="auto" w:fill="auto"/>
            <w:vAlign w:val="center"/>
            <w:hideMark/>
          </w:tcPr>
          <w:p w14:paraId="62745CBE"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2516DFD5" w14:textId="77777777" w:rsidR="00F22172" w:rsidRPr="00F22172" w:rsidRDefault="00F22172" w:rsidP="00F22172">
            <w:pPr>
              <w:pStyle w:val="ae"/>
              <w:rPr>
                <w:b w:val="0"/>
                <w:bCs/>
              </w:rPr>
            </w:pPr>
            <w:r w:rsidRPr="00F22172">
              <w:rPr>
                <w:rFonts w:hint="eastAsia"/>
                <w:b w:val="0"/>
                <w:bCs/>
              </w:rPr>
              <w:t>23</w:t>
            </w:r>
          </w:p>
        </w:tc>
        <w:tc>
          <w:tcPr>
            <w:tcW w:w="402" w:type="dxa"/>
            <w:tcBorders>
              <w:right w:val="single" w:sz="4" w:space="0" w:color="auto"/>
            </w:tcBorders>
            <w:shd w:val="clear" w:color="auto" w:fill="auto"/>
            <w:vAlign w:val="center"/>
            <w:hideMark/>
          </w:tcPr>
          <w:p w14:paraId="7995BD0D" w14:textId="77777777" w:rsidR="00F22172" w:rsidRPr="00F22172" w:rsidRDefault="00F22172" w:rsidP="00F22172">
            <w:pPr>
              <w:pStyle w:val="ae"/>
              <w:rPr>
                <w:b w:val="0"/>
                <w:bCs/>
              </w:rPr>
            </w:pPr>
            <w:r w:rsidRPr="00F22172">
              <w:rPr>
                <w:rFonts w:hint="eastAsia"/>
                <w:b w:val="0"/>
                <w:bCs/>
              </w:rPr>
              <w:t>24</w:t>
            </w:r>
          </w:p>
        </w:tc>
      </w:tr>
      <w:tr w:rsidR="00F22172" w:rsidRPr="00F22172" w14:paraId="67FD0113" w14:textId="77777777" w:rsidTr="00E731D0">
        <w:trPr>
          <w:jc w:val="center"/>
        </w:trPr>
        <w:tc>
          <w:tcPr>
            <w:tcW w:w="873" w:type="dxa"/>
            <w:vMerge w:val="restart"/>
            <w:tcBorders>
              <w:left w:val="single" w:sz="4" w:space="0" w:color="auto"/>
            </w:tcBorders>
            <w:shd w:val="clear" w:color="auto" w:fill="auto"/>
            <w:vAlign w:val="center"/>
            <w:hideMark/>
          </w:tcPr>
          <w:p w14:paraId="2C0C7736" w14:textId="77777777" w:rsidR="00F22172" w:rsidRPr="00F22172" w:rsidRDefault="00F22172" w:rsidP="00F22172">
            <w:pPr>
              <w:pStyle w:val="ae"/>
              <w:rPr>
                <w:b w:val="0"/>
                <w:bCs/>
              </w:rPr>
            </w:pPr>
            <w:r w:rsidRPr="00F22172">
              <w:rPr>
                <w:rFonts w:hint="eastAsia"/>
                <w:b w:val="0"/>
                <w:bCs/>
              </w:rPr>
              <w:lastRenderedPageBreak/>
              <w:t>办公建筑、教学楼</w:t>
            </w:r>
          </w:p>
        </w:tc>
        <w:tc>
          <w:tcPr>
            <w:tcW w:w="834" w:type="dxa"/>
            <w:vMerge w:val="restart"/>
            <w:tcBorders>
              <w:right w:val="single" w:sz="4" w:space="0" w:color="auto"/>
            </w:tcBorders>
            <w:shd w:val="clear" w:color="auto" w:fill="auto"/>
            <w:vAlign w:val="center"/>
            <w:hideMark/>
          </w:tcPr>
          <w:p w14:paraId="7546165A" w14:textId="77777777" w:rsidR="00F22172" w:rsidRPr="00F22172" w:rsidRDefault="00F22172" w:rsidP="00F22172">
            <w:pPr>
              <w:pStyle w:val="ae"/>
              <w:rPr>
                <w:b w:val="0"/>
                <w:bCs/>
              </w:rPr>
            </w:pPr>
            <w:r w:rsidRPr="00F22172">
              <w:rPr>
                <w:rFonts w:hint="eastAsia"/>
                <w:b w:val="0"/>
                <w:bCs/>
              </w:rPr>
              <w:t>工作日</w:t>
            </w:r>
          </w:p>
        </w:tc>
        <w:tc>
          <w:tcPr>
            <w:tcW w:w="837" w:type="dxa"/>
            <w:tcBorders>
              <w:left w:val="single" w:sz="4" w:space="0" w:color="auto"/>
            </w:tcBorders>
            <w:shd w:val="clear" w:color="auto" w:fill="auto"/>
            <w:vAlign w:val="center"/>
            <w:hideMark/>
          </w:tcPr>
          <w:p w14:paraId="1CD467D5" w14:textId="77777777" w:rsidR="00F22172" w:rsidRPr="00F22172" w:rsidRDefault="00F22172" w:rsidP="00F22172">
            <w:pPr>
              <w:pStyle w:val="ae"/>
              <w:rPr>
                <w:b w:val="0"/>
                <w:bCs/>
              </w:rPr>
            </w:pPr>
            <w:r w:rsidRPr="00F22172">
              <w:rPr>
                <w:rFonts w:hint="eastAsia"/>
                <w:b w:val="0"/>
                <w:bCs/>
              </w:rPr>
              <w:t>空调</w:t>
            </w:r>
          </w:p>
        </w:tc>
        <w:tc>
          <w:tcPr>
            <w:tcW w:w="403" w:type="dxa"/>
            <w:shd w:val="clear" w:color="auto" w:fill="auto"/>
            <w:vAlign w:val="center"/>
            <w:hideMark/>
          </w:tcPr>
          <w:p w14:paraId="1BA00C41" w14:textId="77777777" w:rsidR="00F22172" w:rsidRPr="00F22172" w:rsidRDefault="00F22172" w:rsidP="00F22172">
            <w:pPr>
              <w:pStyle w:val="ae"/>
              <w:rPr>
                <w:b w:val="0"/>
                <w:bCs/>
              </w:rPr>
            </w:pPr>
            <w:r w:rsidRPr="00F22172">
              <w:rPr>
                <w:rFonts w:hint="eastAsia"/>
                <w:b w:val="0"/>
                <w:bCs/>
              </w:rPr>
              <w:t>26</w:t>
            </w:r>
          </w:p>
        </w:tc>
        <w:tc>
          <w:tcPr>
            <w:tcW w:w="403" w:type="dxa"/>
            <w:shd w:val="clear" w:color="auto" w:fill="auto"/>
            <w:vAlign w:val="center"/>
            <w:hideMark/>
          </w:tcPr>
          <w:p w14:paraId="6602E417" w14:textId="77777777" w:rsidR="00F22172" w:rsidRPr="00F22172" w:rsidRDefault="00F22172" w:rsidP="00F22172">
            <w:pPr>
              <w:pStyle w:val="ae"/>
              <w:rPr>
                <w:b w:val="0"/>
                <w:bCs/>
              </w:rPr>
            </w:pPr>
            <w:r w:rsidRPr="00F22172">
              <w:rPr>
                <w:rFonts w:hint="eastAsia"/>
                <w:b w:val="0"/>
                <w:bCs/>
              </w:rPr>
              <w:t>26</w:t>
            </w:r>
          </w:p>
        </w:tc>
        <w:tc>
          <w:tcPr>
            <w:tcW w:w="402" w:type="dxa"/>
            <w:shd w:val="clear" w:color="auto" w:fill="auto"/>
            <w:vAlign w:val="center"/>
            <w:hideMark/>
          </w:tcPr>
          <w:p w14:paraId="17F53554" w14:textId="77777777" w:rsidR="00F22172" w:rsidRPr="00F22172" w:rsidRDefault="00F22172" w:rsidP="00F22172">
            <w:pPr>
              <w:pStyle w:val="ae"/>
              <w:rPr>
                <w:b w:val="0"/>
                <w:bCs/>
              </w:rPr>
            </w:pPr>
            <w:r w:rsidRPr="00F22172">
              <w:rPr>
                <w:rFonts w:hint="eastAsia"/>
                <w:b w:val="0"/>
                <w:bCs/>
              </w:rPr>
              <w:t>26</w:t>
            </w:r>
          </w:p>
        </w:tc>
        <w:tc>
          <w:tcPr>
            <w:tcW w:w="402" w:type="dxa"/>
            <w:shd w:val="clear" w:color="auto" w:fill="auto"/>
            <w:vAlign w:val="center"/>
            <w:hideMark/>
          </w:tcPr>
          <w:p w14:paraId="350B8B5E" w14:textId="77777777" w:rsidR="00F22172" w:rsidRPr="00F22172" w:rsidRDefault="00F22172" w:rsidP="00F22172">
            <w:pPr>
              <w:pStyle w:val="ae"/>
              <w:rPr>
                <w:b w:val="0"/>
                <w:bCs/>
              </w:rPr>
            </w:pPr>
            <w:r w:rsidRPr="00F22172">
              <w:rPr>
                <w:rFonts w:hint="eastAsia"/>
                <w:b w:val="0"/>
                <w:bCs/>
              </w:rPr>
              <w:t>26</w:t>
            </w:r>
          </w:p>
        </w:tc>
        <w:tc>
          <w:tcPr>
            <w:tcW w:w="402" w:type="dxa"/>
            <w:shd w:val="clear" w:color="auto" w:fill="auto"/>
            <w:vAlign w:val="center"/>
            <w:hideMark/>
          </w:tcPr>
          <w:p w14:paraId="16EE634D" w14:textId="77777777" w:rsidR="00F22172" w:rsidRPr="00F22172" w:rsidRDefault="00F22172" w:rsidP="00F22172">
            <w:pPr>
              <w:pStyle w:val="ae"/>
              <w:rPr>
                <w:b w:val="0"/>
                <w:bCs/>
              </w:rPr>
            </w:pPr>
            <w:r w:rsidRPr="00F22172">
              <w:rPr>
                <w:rFonts w:hint="eastAsia"/>
                <w:b w:val="0"/>
                <w:bCs/>
              </w:rPr>
              <w:t>26</w:t>
            </w:r>
          </w:p>
        </w:tc>
        <w:tc>
          <w:tcPr>
            <w:tcW w:w="402" w:type="dxa"/>
            <w:shd w:val="clear" w:color="auto" w:fill="auto"/>
            <w:vAlign w:val="center"/>
            <w:hideMark/>
          </w:tcPr>
          <w:p w14:paraId="526445C2" w14:textId="77777777" w:rsidR="00F22172" w:rsidRPr="00F22172" w:rsidRDefault="00F22172" w:rsidP="00F22172">
            <w:pPr>
              <w:pStyle w:val="ae"/>
              <w:rPr>
                <w:b w:val="0"/>
                <w:bCs/>
              </w:rPr>
            </w:pPr>
            <w:r w:rsidRPr="00F22172">
              <w:rPr>
                <w:rFonts w:hint="eastAsia"/>
                <w:b w:val="0"/>
                <w:bCs/>
              </w:rPr>
              <w:t>26</w:t>
            </w:r>
          </w:p>
        </w:tc>
        <w:tc>
          <w:tcPr>
            <w:tcW w:w="402" w:type="dxa"/>
            <w:shd w:val="clear" w:color="auto" w:fill="auto"/>
            <w:vAlign w:val="center"/>
            <w:hideMark/>
          </w:tcPr>
          <w:p w14:paraId="6BD4F393"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63912EE8"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53C178AF"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403FBBD3"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681556DB" w14:textId="77777777" w:rsidR="00F22172" w:rsidRPr="00F22172" w:rsidRDefault="00F22172" w:rsidP="00F22172">
            <w:pPr>
              <w:pStyle w:val="ae"/>
              <w:rPr>
                <w:b w:val="0"/>
                <w:bCs/>
              </w:rPr>
            </w:pPr>
            <w:r w:rsidRPr="00F22172">
              <w:rPr>
                <w:rFonts w:hint="eastAsia"/>
                <w:b w:val="0"/>
                <w:bCs/>
              </w:rPr>
              <w:t>37</w:t>
            </w:r>
          </w:p>
        </w:tc>
        <w:tc>
          <w:tcPr>
            <w:tcW w:w="402" w:type="dxa"/>
            <w:tcBorders>
              <w:right w:val="single" w:sz="4" w:space="0" w:color="auto"/>
            </w:tcBorders>
            <w:shd w:val="clear" w:color="auto" w:fill="auto"/>
            <w:vAlign w:val="center"/>
            <w:hideMark/>
          </w:tcPr>
          <w:p w14:paraId="15B1FB29" w14:textId="77777777" w:rsidR="00F22172" w:rsidRPr="00F22172" w:rsidRDefault="00F22172" w:rsidP="00F22172">
            <w:pPr>
              <w:pStyle w:val="ae"/>
              <w:rPr>
                <w:b w:val="0"/>
                <w:bCs/>
              </w:rPr>
            </w:pPr>
            <w:r w:rsidRPr="00F22172">
              <w:rPr>
                <w:rFonts w:hint="eastAsia"/>
                <w:b w:val="0"/>
                <w:bCs/>
              </w:rPr>
              <w:t>37</w:t>
            </w:r>
          </w:p>
        </w:tc>
      </w:tr>
      <w:tr w:rsidR="00F22172" w:rsidRPr="00F22172" w14:paraId="40BF6F9B" w14:textId="77777777" w:rsidTr="00E731D0">
        <w:trPr>
          <w:jc w:val="center"/>
        </w:trPr>
        <w:tc>
          <w:tcPr>
            <w:tcW w:w="873" w:type="dxa"/>
            <w:vMerge/>
            <w:tcBorders>
              <w:left w:val="single" w:sz="4" w:space="0" w:color="auto"/>
            </w:tcBorders>
            <w:shd w:val="clear" w:color="auto" w:fill="auto"/>
            <w:vAlign w:val="center"/>
            <w:hideMark/>
          </w:tcPr>
          <w:p w14:paraId="701F240B" w14:textId="77777777" w:rsidR="00F22172" w:rsidRPr="00F22172" w:rsidRDefault="00F22172" w:rsidP="00F22172">
            <w:pPr>
              <w:pStyle w:val="ae"/>
              <w:rPr>
                <w:b w:val="0"/>
                <w:bCs/>
              </w:rPr>
            </w:pPr>
          </w:p>
        </w:tc>
        <w:tc>
          <w:tcPr>
            <w:tcW w:w="834" w:type="dxa"/>
            <w:vMerge/>
            <w:tcBorders>
              <w:right w:val="single" w:sz="4" w:space="0" w:color="auto"/>
            </w:tcBorders>
            <w:shd w:val="clear" w:color="auto" w:fill="auto"/>
            <w:vAlign w:val="center"/>
            <w:hideMark/>
          </w:tcPr>
          <w:p w14:paraId="75B6BAA5" w14:textId="77777777" w:rsidR="00F22172" w:rsidRPr="00F22172" w:rsidRDefault="00F22172" w:rsidP="00F22172">
            <w:pPr>
              <w:pStyle w:val="ae"/>
              <w:rPr>
                <w:b w:val="0"/>
                <w:bCs/>
              </w:rPr>
            </w:pPr>
          </w:p>
        </w:tc>
        <w:tc>
          <w:tcPr>
            <w:tcW w:w="837" w:type="dxa"/>
            <w:tcBorders>
              <w:left w:val="single" w:sz="4" w:space="0" w:color="auto"/>
            </w:tcBorders>
            <w:shd w:val="clear" w:color="auto" w:fill="auto"/>
            <w:vAlign w:val="center"/>
            <w:hideMark/>
          </w:tcPr>
          <w:p w14:paraId="7E23477F" w14:textId="77777777" w:rsidR="00F22172" w:rsidRPr="00F22172" w:rsidRDefault="00F22172" w:rsidP="00F22172">
            <w:pPr>
              <w:pStyle w:val="ae"/>
              <w:rPr>
                <w:b w:val="0"/>
                <w:bCs/>
              </w:rPr>
            </w:pPr>
            <w:r w:rsidRPr="00F22172">
              <w:rPr>
                <w:rFonts w:hint="eastAsia"/>
                <w:b w:val="0"/>
                <w:bCs/>
              </w:rPr>
              <w:t>供暖</w:t>
            </w:r>
          </w:p>
        </w:tc>
        <w:tc>
          <w:tcPr>
            <w:tcW w:w="403" w:type="dxa"/>
            <w:shd w:val="clear" w:color="auto" w:fill="auto"/>
            <w:vAlign w:val="center"/>
            <w:hideMark/>
          </w:tcPr>
          <w:p w14:paraId="2A7AC135" w14:textId="77777777" w:rsidR="00F22172" w:rsidRPr="00F22172" w:rsidRDefault="00F22172" w:rsidP="00F22172">
            <w:pPr>
              <w:pStyle w:val="ae"/>
              <w:rPr>
                <w:b w:val="0"/>
                <w:bCs/>
              </w:rPr>
            </w:pPr>
            <w:r w:rsidRPr="00F22172">
              <w:rPr>
                <w:rFonts w:hint="eastAsia"/>
                <w:b w:val="0"/>
                <w:bCs/>
              </w:rPr>
              <w:t>20</w:t>
            </w:r>
          </w:p>
        </w:tc>
        <w:tc>
          <w:tcPr>
            <w:tcW w:w="403" w:type="dxa"/>
            <w:shd w:val="clear" w:color="auto" w:fill="auto"/>
            <w:vAlign w:val="center"/>
            <w:hideMark/>
          </w:tcPr>
          <w:p w14:paraId="4252E1A6" w14:textId="77777777" w:rsidR="00F22172" w:rsidRPr="00F22172" w:rsidRDefault="00F22172" w:rsidP="00F22172">
            <w:pPr>
              <w:pStyle w:val="ae"/>
              <w:rPr>
                <w:b w:val="0"/>
                <w:bCs/>
              </w:rPr>
            </w:pPr>
            <w:r w:rsidRPr="00F22172">
              <w:rPr>
                <w:rFonts w:hint="eastAsia"/>
                <w:b w:val="0"/>
                <w:bCs/>
              </w:rPr>
              <w:t>20</w:t>
            </w:r>
          </w:p>
        </w:tc>
        <w:tc>
          <w:tcPr>
            <w:tcW w:w="402" w:type="dxa"/>
            <w:shd w:val="clear" w:color="auto" w:fill="auto"/>
            <w:vAlign w:val="center"/>
            <w:hideMark/>
          </w:tcPr>
          <w:p w14:paraId="00A77D84" w14:textId="77777777" w:rsidR="00F22172" w:rsidRPr="00F22172" w:rsidRDefault="00F22172" w:rsidP="00F22172">
            <w:pPr>
              <w:pStyle w:val="ae"/>
              <w:rPr>
                <w:b w:val="0"/>
                <w:bCs/>
              </w:rPr>
            </w:pPr>
            <w:r w:rsidRPr="00F22172">
              <w:rPr>
                <w:rFonts w:hint="eastAsia"/>
                <w:b w:val="0"/>
                <w:bCs/>
              </w:rPr>
              <w:t>20</w:t>
            </w:r>
          </w:p>
        </w:tc>
        <w:tc>
          <w:tcPr>
            <w:tcW w:w="402" w:type="dxa"/>
            <w:shd w:val="clear" w:color="auto" w:fill="auto"/>
            <w:vAlign w:val="center"/>
            <w:hideMark/>
          </w:tcPr>
          <w:p w14:paraId="3486ED1F" w14:textId="77777777" w:rsidR="00F22172" w:rsidRPr="00F22172" w:rsidRDefault="00F22172" w:rsidP="00F22172">
            <w:pPr>
              <w:pStyle w:val="ae"/>
              <w:rPr>
                <w:b w:val="0"/>
                <w:bCs/>
              </w:rPr>
            </w:pPr>
            <w:r w:rsidRPr="00F22172">
              <w:rPr>
                <w:rFonts w:hint="eastAsia"/>
                <w:b w:val="0"/>
                <w:bCs/>
              </w:rPr>
              <w:t>20</w:t>
            </w:r>
          </w:p>
        </w:tc>
        <w:tc>
          <w:tcPr>
            <w:tcW w:w="402" w:type="dxa"/>
            <w:shd w:val="clear" w:color="auto" w:fill="auto"/>
            <w:vAlign w:val="center"/>
            <w:hideMark/>
          </w:tcPr>
          <w:p w14:paraId="374392A2" w14:textId="77777777" w:rsidR="00F22172" w:rsidRPr="00F22172" w:rsidRDefault="00F22172" w:rsidP="00F22172">
            <w:pPr>
              <w:pStyle w:val="ae"/>
              <w:rPr>
                <w:b w:val="0"/>
                <w:bCs/>
              </w:rPr>
            </w:pPr>
            <w:r w:rsidRPr="00F22172">
              <w:rPr>
                <w:rFonts w:hint="eastAsia"/>
                <w:b w:val="0"/>
                <w:bCs/>
              </w:rPr>
              <w:t>20</w:t>
            </w:r>
          </w:p>
        </w:tc>
        <w:tc>
          <w:tcPr>
            <w:tcW w:w="402" w:type="dxa"/>
            <w:shd w:val="clear" w:color="auto" w:fill="auto"/>
            <w:vAlign w:val="center"/>
            <w:hideMark/>
          </w:tcPr>
          <w:p w14:paraId="365D240F" w14:textId="77777777" w:rsidR="00F22172" w:rsidRPr="00F22172" w:rsidRDefault="00F22172" w:rsidP="00F22172">
            <w:pPr>
              <w:pStyle w:val="ae"/>
              <w:rPr>
                <w:b w:val="0"/>
                <w:bCs/>
              </w:rPr>
            </w:pPr>
            <w:r w:rsidRPr="00F22172">
              <w:rPr>
                <w:rFonts w:hint="eastAsia"/>
                <w:b w:val="0"/>
                <w:bCs/>
              </w:rPr>
              <w:t>20</w:t>
            </w:r>
          </w:p>
        </w:tc>
        <w:tc>
          <w:tcPr>
            <w:tcW w:w="402" w:type="dxa"/>
            <w:shd w:val="clear" w:color="auto" w:fill="auto"/>
            <w:vAlign w:val="center"/>
            <w:hideMark/>
          </w:tcPr>
          <w:p w14:paraId="2E3D3575" w14:textId="77777777" w:rsidR="00F22172" w:rsidRPr="00F22172" w:rsidRDefault="00F22172" w:rsidP="00F22172">
            <w:pPr>
              <w:pStyle w:val="ae"/>
              <w:rPr>
                <w:b w:val="0"/>
                <w:bCs/>
              </w:rPr>
            </w:pPr>
            <w:r w:rsidRPr="00F22172">
              <w:rPr>
                <w:rFonts w:hint="eastAsia"/>
                <w:b w:val="0"/>
                <w:bCs/>
              </w:rPr>
              <w:t>18</w:t>
            </w:r>
          </w:p>
        </w:tc>
        <w:tc>
          <w:tcPr>
            <w:tcW w:w="402" w:type="dxa"/>
            <w:shd w:val="clear" w:color="auto" w:fill="auto"/>
            <w:vAlign w:val="center"/>
            <w:hideMark/>
          </w:tcPr>
          <w:p w14:paraId="7D389374" w14:textId="77777777" w:rsidR="00F22172" w:rsidRPr="00F22172" w:rsidRDefault="00F22172" w:rsidP="00F22172">
            <w:pPr>
              <w:pStyle w:val="ae"/>
              <w:rPr>
                <w:b w:val="0"/>
                <w:bCs/>
              </w:rPr>
            </w:pPr>
            <w:r w:rsidRPr="00F22172">
              <w:rPr>
                <w:rFonts w:hint="eastAsia"/>
                <w:b w:val="0"/>
                <w:bCs/>
              </w:rPr>
              <w:t>12</w:t>
            </w:r>
          </w:p>
        </w:tc>
        <w:tc>
          <w:tcPr>
            <w:tcW w:w="402" w:type="dxa"/>
            <w:shd w:val="clear" w:color="auto" w:fill="auto"/>
            <w:vAlign w:val="center"/>
            <w:hideMark/>
          </w:tcPr>
          <w:p w14:paraId="7E7DD40E"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3C3D144C"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0E408127" w14:textId="77777777" w:rsidR="00F22172" w:rsidRPr="00F22172" w:rsidRDefault="00F22172" w:rsidP="00F22172">
            <w:pPr>
              <w:pStyle w:val="ae"/>
              <w:rPr>
                <w:b w:val="0"/>
                <w:bCs/>
              </w:rPr>
            </w:pPr>
            <w:r w:rsidRPr="00F22172">
              <w:rPr>
                <w:rFonts w:hint="eastAsia"/>
                <w:b w:val="0"/>
                <w:bCs/>
              </w:rPr>
              <w:t>5</w:t>
            </w:r>
          </w:p>
        </w:tc>
        <w:tc>
          <w:tcPr>
            <w:tcW w:w="402" w:type="dxa"/>
            <w:tcBorders>
              <w:right w:val="single" w:sz="4" w:space="0" w:color="auto"/>
            </w:tcBorders>
            <w:shd w:val="clear" w:color="auto" w:fill="auto"/>
            <w:vAlign w:val="center"/>
            <w:hideMark/>
          </w:tcPr>
          <w:p w14:paraId="5BA76AF7" w14:textId="77777777" w:rsidR="00F22172" w:rsidRPr="00F22172" w:rsidRDefault="00F22172" w:rsidP="00F22172">
            <w:pPr>
              <w:pStyle w:val="ae"/>
              <w:rPr>
                <w:b w:val="0"/>
                <w:bCs/>
              </w:rPr>
            </w:pPr>
            <w:r w:rsidRPr="00F22172">
              <w:rPr>
                <w:rFonts w:hint="eastAsia"/>
                <w:b w:val="0"/>
                <w:bCs/>
              </w:rPr>
              <w:t>5</w:t>
            </w:r>
          </w:p>
        </w:tc>
      </w:tr>
      <w:tr w:rsidR="00F22172" w:rsidRPr="00F22172" w14:paraId="37DA46AF" w14:textId="77777777" w:rsidTr="00E731D0">
        <w:trPr>
          <w:jc w:val="center"/>
        </w:trPr>
        <w:tc>
          <w:tcPr>
            <w:tcW w:w="873" w:type="dxa"/>
            <w:vMerge/>
            <w:tcBorders>
              <w:left w:val="single" w:sz="4" w:space="0" w:color="auto"/>
            </w:tcBorders>
            <w:shd w:val="clear" w:color="auto" w:fill="auto"/>
            <w:vAlign w:val="center"/>
            <w:hideMark/>
          </w:tcPr>
          <w:p w14:paraId="0B295A0A" w14:textId="77777777" w:rsidR="00F22172" w:rsidRPr="00F22172" w:rsidRDefault="00F22172" w:rsidP="00F22172">
            <w:pPr>
              <w:pStyle w:val="ae"/>
              <w:rPr>
                <w:b w:val="0"/>
                <w:bCs/>
              </w:rPr>
            </w:pPr>
          </w:p>
        </w:tc>
        <w:tc>
          <w:tcPr>
            <w:tcW w:w="834" w:type="dxa"/>
            <w:vMerge w:val="restart"/>
            <w:shd w:val="clear" w:color="auto" w:fill="auto"/>
            <w:vAlign w:val="center"/>
            <w:hideMark/>
          </w:tcPr>
          <w:p w14:paraId="4C6FE51C" w14:textId="77777777" w:rsidR="00F22172" w:rsidRPr="00F22172" w:rsidRDefault="00F22172" w:rsidP="00F22172">
            <w:pPr>
              <w:pStyle w:val="ae"/>
              <w:rPr>
                <w:b w:val="0"/>
                <w:bCs/>
              </w:rPr>
            </w:pPr>
            <w:r w:rsidRPr="00F22172">
              <w:rPr>
                <w:rFonts w:hint="eastAsia"/>
                <w:b w:val="0"/>
                <w:bCs/>
              </w:rPr>
              <w:t>节假日</w:t>
            </w:r>
          </w:p>
        </w:tc>
        <w:tc>
          <w:tcPr>
            <w:tcW w:w="837" w:type="dxa"/>
            <w:shd w:val="clear" w:color="auto" w:fill="auto"/>
            <w:vAlign w:val="center"/>
            <w:hideMark/>
          </w:tcPr>
          <w:p w14:paraId="7BB534D7" w14:textId="77777777" w:rsidR="00F22172" w:rsidRPr="00F22172" w:rsidRDefault="00F22172" w:rsidP="00F22172">
            <w:pPr>
              <w:pStyle w:val="ae"/>
              <w:rPr>
                <w:b w:val="0"/>
                <w:bCs/>
              </w:rPr>
            </w:pPr>
            <w:r w:rsidRPr="00F22172">
              <w:rPr>
                <w:rFonts w:hint="eastAsia"/>
                <w:b w:val="0"/>
                <w:bCs/>
              </w:rPr>
              <w:t>空调</w:t>
            </w:r>
          </w:p>
        </w:tc>
        <w:tc>
          <w:tcPr>
            <w:tcW w:w="403" w:type="dxa"/>
            <w:shd w:val="clear" w:color="auto" w:fill="auto"/>
            <w:vAlign w:val="center"/>
            <w:hideMark/>
          </w:tcPr>
          <w:p w14:paraId="71B91BDB" w14:textId="77777777" w:rsidR="00F22172" w:rsidRPr="00F22172" w:rsidRDefault="00F22172" w:rsidP="00F22172">
            <w:pPr>
              <w:pStyle w:val="ae"/>
              <w:rPr>
                <w:b w:val="0"/>
                <w:bCs/>
              </w:rPr>
            </w:pPr>
            <w:r w:rsidRPr="00F22172">
              <w:rPr>
                <w:rFonts w:hint="eastAsia"/>
                <w:b w:val="0"/>
                <w:bCs/>
              </w:rPr>
              <w:t>37</w:t>
            </w:r>
          </w:p>
        </w:tc>
        <w:tc>
          <w:tcPr>
            <w:tcW w:w="403" w:type="dxa"/>
            <w:shd w:val="clear" w:color="auto" w:fill="auto"/>
            <w:vAlign w:val="center"/>
            <w:hideMark/>
          </w:tcPr>
          <w:p w14:paraId="656E9538"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5E5F7E80"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1084E9B1"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5605E213"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3ABEC446"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437C954F"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1D78D669"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3FC64466"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343AD71F"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505B8079" w14:textId="77777777" w:rsidR="00F22172" w:rsidRPr="00F22172" w:rsidRDefault="00F22172" w:rsidP="00F22172">
            <w:pPr>
              <w:pStyle w:val="ae"/>
              <w:rPr>
                <w:b w:val="0"/>
                <w:bCs/>
              </w:rPr>
            </w:pPr>
            <w:r w:rsidRPr="00F22172">
              <w:rPr>
                <w:rFonts w:hint="eastAsia"/>
                <w:b w:val="0"/>
                <w:bCs/>
              </w:rPr>
              <w:t>37</w:t>
            </w:r>
          </w:p>
        </w:tc>
        <w:tc>
          <w:tcPr>
            <w:tcW w:w="402" w:type="dxa"/>
            <w:tcBorders>
              <w:right w:val="single" w:sz="4" w:space="0" w:color="auto"/>
            </w:tcBorders>
            <w:shd w:val="clear" w:color="auto" w:fill="auto"/>
            <w:vAlign w:val="center"/>
            <w:hideMark/>
          </w:tcPr>
          <w:p w14:paraId="615C9558" w14:textId="77777777" w:rsidR="00F22172" w:rsidRPr="00F22172" w:rsidRDefault="00F22172" w:rsidP="00F22172">
            <w:pPr>
              <w:pStyle w:val="ae"/>
              <w:rPr>
                <w:b w:val="0"/>
                <w:bCs/>
              </w:rPr>
            </w:pPr>
            <w:r w:rsidRPr="00F22172">
              <w:rPr>
                <w:rFonts w:hint="eastAsia"/>
                <w:b w:val="0"/>
                <w:bCs/>
              </w:rPr>
              <w:t>37</w:t>
            </w:r>
          </w:p>
        </w:tc>
      </w:tr>
      <w:tr w:rsidR="00F22172" w:rsidRPr="00F22172" w14:paraId="29EB3C5B" w14:textId="77777777" w:rsidTr="00E731D0">
        <w:trPr>
          <w:jc w:val="center"/>
        </w:trPr>
        <w:tc>
          <w:tcPr>
            <w:tcW w:w="873" w:type="dxa"/>
            <w:vMerge/>
            <w:tcBorders>
              <w:left w:val="single" w:sz="4" w:space="0" w:color="auto"/>
            </w:tcBorders>
            <w:shd w:val="clear" w:color="auto" w:fill="auto"/>
            <w:vAlign w:val="center"/>
            <w:hideMark/>
          </w:tcPr>
          <w:p w14:paraId="4BD668C3" w14:textId="77777777" w:rsidR="00F22172" w:rsidRPr="00F22172" w:rsidRDefault="00F22172" w:rsidP="00F22172">
            <w:pPr>
              <w:pStyle w:val="ae"/>
              <w:rPr>
                <w:b w:val="0"/>
                <w:bCs/>
              </w:rPr>
            </w:pPr>
          </w:p>
        </w:tc>
        <w:tc>
          <w:tcPr>
            <w:tcW w:w="834" w:type="dxa"/>
            <w:vMerge/>
            <w:shd w:val="clear" w:color="auto" w:fill="auto"/>
            <w:vAlign w:val="center"/>
            <w:hideMark/>
          </w:tcPr>
          <w:p w14:paraId="7B7DDBB9" w14:textId="77777777" w:rsidR="00F22172" w:rsidRPr="00F22172" w:rsidRDefault="00F22172" w:rsidP="00F22172">
            <w:pPr>
              <w:pStyle w:val="ae"/>
              <w:rPr>
                <w:b w:val="0"/>
                <w:bCs/>
              </w:rPr>
            </w:pPr>
          </w:p>
        </w:tc>
        <w:tc>
          <w:tcPr>
            <w:tcW w:w="837" w:type="dxa"/>
            <w:shd w:val="clear" w:color="auto" w:fill="auto"/>
            <w:vAlign w:val="center"/>
            <w:hideMark/>
          </w:tcPr>
          <w:p w14:paraId="26635513" w14:textId="77777777" w:rsidR="00F22172" w:rsidRPr="00F22172" w:rsidRDefault="00F22172" w:rsidP="00F22172">
            <w:pPr>
              <w:pStyle w:val="ae"/>
              <w:rPr>
                <w:b w:val="0"/>
                <w:bCs/>
              </w:rPr>
            </w:pPr>
            <w:r w:rsidRPr="00F22172">
              <w:rPr>
                <w:rFonts w:hint="eastAsia"/>
                <w:b w:val="0"/>
                <w:bCs/>
              </w:rPr>
              <w:t>供暖</w:t>
            </w:r>
          </w:p>
        </w:tc>
        <w:tc>
          <w:tcPr>
            <w:tcW w:w="403" w:type="dxa"/>
            <w:shd w:val="clear" w:color="auto" w:fill="auto"/>
            <w:vAlign w:val="center"/>
            <w:hideMark/>
          </w:tcPr>
          <w:p w14:paraId="4BC37FF6" w14:textId="77777777" w:rsidR="00F22172" w:rsidRPr="00F22172" w:rsidRDefault="00F22172" w:rsidP="00F22172">
            <w:pPr>
              <w:pStyle w:val="ae"/>
              <w:rPr>
                <w:b w:val="0"/>
                <w:bCs/>
              </w:rPr>
            </w:pPr>
            <w:r w:rsidRPr="00F22172">
              <w:rPr>
                <w:rFonts w:hint="eastAsia"/>
                <w:b w:val="0"/>
                <w:bCs/>
              </w:rPr>
              <w:t>5</w:t>
            </w:r>
          </w:p>
        </w:tc>
        <w:tc>
          <w:tcPr>
            <w:tcW w:w="403" w:type="dxa"/>
            <w:shd w:val="clear" w:color="auto" w:fill="auto"/>
            <w:vAlign w:val="center"/>
            <w:hideMark/>
          </w:tcPr>
          <w:p w14:paraId="2610D3D7"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6E9B9FEA"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6352D8C7"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7C534566"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219A449B"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3646AD2D"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506E5A08"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3480D812"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4DEE0B59" w14:textId="77777777" w:rsidR="00F22172" w:rsidRPr="00F22172" w:rsidRDefault="00F22172" w:rsidP="00F22172">
            <w:pPr>
              <w:pStyle w:val="ae"/>
              <w:rPr>
                <w:b w:val="0"/>
                <w:bCs/>
              </w:rPr>
            </w:pPr>
            <w:r w:rsidRPr="00F22172">
              <w:rPr>
                <w:rFonts w:hint="eastAsia"/>
                <w:b w:val="0"/>
                <w:bCs/>
              </w:rPr>
              <w:t>5</w:t>
            </w:r>
          </w:p>
        </w:tc>
        <w:tc>
          <w:tcPr>
            <w:tcW w:w="402" w:type="dxa"/>
            <w:shd w:val="clear" w:color="auto" w:fill="auto"/>
            <w:vAlign w:val="center"/>
            <w:hideMark/>
          </w:tcPr>
          <w:p w14:paraId="403622E2" w14:textId="77777777" w:rsidR="00F22172" w:rsidRPr="00F22172" w:rsidRDefault="00F22172" w:rsidP="00F22172">
            <w:pPr>
              <w:pStyle w:val="ae"/>
              <w:rPr>
                <w:b w:val="0"/>
                <w:bCs/>
              </w:rPr>
            </w:pPr>
            <w:r w:rsidRPr="00F22172">
              <w:rPr>
                <w:rFonts w:hint="eastAsia"/>
                <w:b w:val="0"/>
                <w:bCs/>
              </w:rPr>
              <w:t>5</w:t>
            </w:r>
          </w:p>
        </w:tc>
        <w:tc>
          <w:tcPr>
            <w:tcW w:w="402" w:type="dxa"/>
            <w:tcBorders>
              <w:right w:val="single" w:sz="4" w:space="0" w:color="auto"/>
            </w:tcBorders>
            <w:shd w:val="clear" w:color="auto" w:fill="auto"/>
            <w:vAlign w:val="center"/>
            <w:hideMark/>
          </w:tcPr>
          <w:p w14:paraId="77E511DD" w14:textId="77777777" w:rsidR="00F22172" w:rsidRPr="00F22172" w:rsidRDefault="00F22172" w:rsidP="00F22172">
            <w:pPr>
              <w:pStyle w:val="ae"/>
              <w:rPr>
                <w:b w:val="0"/>
                <w:bCs/>
              </w:rPr>
            </w:pPr>
            <w:r w:rsidRPr="00F22172">
              <w:rPr>
                <w:rFonts w:hint="eastAsia"/>
                <w:b w:val="0"/>
                <w:bCs/>
              </w:rPr>
              <w:t>5</w:t>
            </w:r>
          </w:p>
        </w:tc>
      </w:tr>
      <w:tr w:rsidR="00F22172" w:rsidRPr="00F22172" w14:paraId="08D92E17" w14:textId="77777777" w:rsidTr="00E731D0">
        <w:trPr>
          <w:jc w:val="center"/>
        </w:trPr>
        <w:tc>
          <w:tcPr>
            <w:tcW w:w="873" w:type="dxa"/>
            <w:vMerge w:val="restart"/>
            <w:tcBorders>
              <w:left w:val="single" w:sz="4" w:space="0" w:color="auto"/>
            </w:tcBorders>
            <w:shd w:val="clear" w:color="auto" w:fill="auto"/>
            <w:vAlign w:val="center"/>
            <w:hideMark/>
          </w:tcPr>
          <w:p w14:paraId="40772648" w14:textId="77777777" w:rsidR="00F22172" w:rsidRPr="00F22172" w:rsidRDefault="00F22172" w:rsidP="00F22172">
            <w:pPr>
              <w:pStyle w:val="ae"/>
              <w:rPr>
                <w:b w:val="0"/>
                <w:bCs/>
              </w:rPr>
            </w:pPr>
            <w:r w:rsidRPr="00F22172">
              <w:rPr>
                <w:rFonts w:hint="eastAsia"/>
                <w:b w:val="0"/>
                <w:bCs/>
              </w:rPr>
              <w:t>宾馆建筑、住院部</w:t>
            </w:r>
          </w:p>
        </w:tc>
        <w:tc>
          <w:tcPr>
            <w:tcW w:w="834" w:type="dxa"/>
            <w:vMerge w:val="restart"/>
            <w:shd w:val="clear" w:color="auto" w:fill="auto"/>
            <w:vAlign w:val="center"/>
            <w:hideMark/>
          </w:tcPr>
          <w:p w14:paraId="36046CFA" w14:textId="77777777" w:rsidR="00F22172" w:rsidRPr="00F22172" w:rsidRDefault="00F22172" w:rsidP="00F22172">
            <w:pPr>
              <w:pStyle w:val="ae"/>
              <w:rPr>
                <w:b w:val="0"/>
                <w:bCs/>
              </w:rPr>
            </w:pPr>
            <w:r w:rsidRPr="00F22172">
              <w:rPr>
                <w:rFonts w:hint="eastAsia"/>
                <w:b w:val="0"/>
                <w:bCs/>
              </w:rPr>
              <w:t>全年</w:t>
            </w:r>
          </w:p>
        </w:tc>
        <w:tc>
          <w:tcPr>
            <w:tcW w:w="837" w:type="dxa"/>
            <w:shd w:val="clear" w:color="auto" w:fill="auto"/>
            <w:vAlign w:val="center"/>
            <w:hideMark/>
          </w:tcPr>
          <w:p w14:paraId="62D57DF9" w14:textId="77777777" w:rsidR="00F22172" w:rsidRPr="00F22172" w:rsidRDefault="00F22172" w:rsidP="00F22172">
            <w:pPr>
              <w:pStyle w:val="ae"/>
              <w:rPr>
                <w:b w:val="0"/>
                <w:bCs/>
              </w:rPr>
            </w:pPr>
            <w:r w:rsidRPr="00F22172">
              <w:rPr>
                <w:rFonts w:hint="eastAsia"/>
                <w:b w:val="0"/>
                <w:bCs/>
              </w:rPr>
              <w:t>空调</w:t>
            </w:r>
          </w:p>
        </w:tc>
        <w:tc>
          <w:tcPr>
            <w:tcW w:w="403" w:type="dxa"/>
            <w:shd w:val="clear" w:color="auto" w:fill="auto"/>
            <w:vAlign w:val="center"/>
            <w:hideMark/>
          </w:tcPr>
          <w:p w14:paraId="334E9A6A" w14:textId="77777777" w:rsidR="00F22172" w:rsidRPr="00F22172" w:rsidRDefault="00F22172" w:rsidP="00F22172">
            <w:pPr>
              <w:pStyle w:val="ae"/>
              <w:rPr>
                <w:b w:val="0"/>
                <w:bCs/>
              </w:rPr>
            </w:pPr>
            <w:r w:rsidRPr="00F22172">
              <w:rPr>
                <w:rFonts w:hint="eastAsia"/>
                <w:b w:val="0"/>
                <w:bCs/>
              </w:rPr>
              <w:t>25</w:t>
            </w:r>
          </w:p>
        </w:tc>
        <w:tc>
          <w:tcPr>
            <w:tcW w:w="403" w:type="dxa"/>
            <w:shd w:val="clear" w:color="auto" w:fill="auto"/>
            <w:vAlign w:val="center"/>
            <w:hideMark/>
          </w:tcPr>
          <w:p w14:paraId="6986AFFE"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6F1A9B28"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6ABF3F58"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45EE0FE0"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58E3D658"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37A2E33B"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7EF43289"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7943A561"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332C84EF"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4DF480B1" w14:textId="77777777" w:rsidR="00F22172" w:rsidRPr="00F22172" w:rsidRDefault="00F22172" w:rsidP="00F22172">
            <w:pPr>
              <w:pStyle w:val="ae"/>
              <w:rPr>
                <w:b w:val="0"/>
                <w:bCs/>
              </w:rPr>
            </w:pPr>
            <w:r w:rsidRPr="00F22172">
              <w:rPr>
                <w:rFonts w:hint="eastAsia"/>
                <w:b w:val="0"/>
                <w:bCs/>
              </w:rPr>
              <w:t>25</w:t>
            </w:r>
          </w:p>
        </w:tc>
        <w:tc>
          <w:tcPr>
            <w:tcW w:w="402" w:type="dxa"/>
            <w:tcBorders>
              <w:right w:val="single" w:sz="4" w:space="0" w:color="auto"/>
            </w:tcBorders>
            <w:shd w:val="clear" w:color="auto" w:fill="auto"/>
            <w:vAlign w:val="center"/>
            <w:hideMark/>
          </w:tcPr>
          <w:p w14:paraId="37F9E529" w14:textId="77777777" w:rsidR="00F22172" w:rsidRPr="00F22172" w:rsidRDefault="00F22172" w:rsidP="00F22172">
            <w:pPr>
              <w:pStyle w:val="ae"/>
              <w:rPr>
                <w:b w:val="0"/>
                <w:bCs/>
              </w:rPr>
            </w:pPr>
            <w:r w:rsidRPr="00F22172">
              <w:rPr>
                <w:rFonts w:hint="eastAsia"/>
                <w:b w:val="0"/>
                <w:bCs/>
              </w:rPr>
              <w:t>25</w:t>
            </w:r>
          </w:p>
        </w:tc>
      </w:tr>
      <w:tr w:rsidR="00F22172" w:rsidRPr="00F22172" w14:paraId="511B7D89" w14:textId="77777777" w:rsidTr="00E731D0">
        <w:trPr>
          <w:jc w:val="center"/>
        </w:trPr>
        <w:tc>
          <w:tcPr>
            <w:tcW w:w="873" w:type="dxa"/>
            <w:vMerge/>
            <w:tcBorders>
              <w:left w:val="single" w:sz="4" w:space="0" w:color="auto"/>
            </w:tcBorders>
            <w:shd w:val="clear" w:color="auto" w:fill="auto"/>
            <w:vAlign w:val="center"/>
            <w:hideMark/>
          </w:tcPr>
          <w:p w14:paraId="0EC9D3D1" w14:textId="77777777" w:rsidR="00F22172" w:rsidRPr="00F22172" w:rsidRDefault="00F22172" w:rsidP="00F22172">
            <w:pPr>
              <w:pStyle w:val="ae"/>
              <w:rPr>
                <w:b w:val="0"/>
                <w:bCs/>
              </w:rPr>
            </w:pPr>
          </w:p>
        </w:tc>
        <w:tc>
          <w:tcPr>
            <w:tcW w:w="834" w:type="dxa"/>
            <w:vMerge/>
            <w:shd w:val="clear" w:color="auto" w:fill="auto"/>
            <w:vAlign w:val="center"/>
            <w:hideMark/>
          </w:tcPr>
          <w:p w14:paraId="6FCFB9E3" w14:textId="77777777" w:rsidR="00F22172" w:rsidRPr="00F22172" w:rsidRDefault="00F22172" w:rsidP="00F22172">
            <w:pPr>
              <w:pStyle w:val="ae"/>
              <w:rPr>
                <w:b w:val="0"/>
                <w:bCs/>
              </w:rPr>
            </w:pPr>
          </w:p>
        </w:tc>
        <w:tc>
          <w:tcPr>
            <w:tcW w:w="837" w:type="dxa"/>
            <w:shd w:val="clear" w:color="auto" w:fill="auto"/>
            <w:vAlign w:val="center"/>
            <w:hideMark/>
          </w:tcPr>
          <w:p w14:paraId="0F1B25D1" w14:textId="77777777" w:rsidR="00F22172" w:rsidRPr="00F22172" w:rsidRDefault="00F22172" w:rsidP="00F22172">
            <w:pPr>
              <w:pStyle w:val="ae"/>
              <w:rPr>
                <w:b w:val="0"/>
                <w:bCs/>
              </w:rPr>
            </w:pPr>
            <w:r w:rsidRPr="00F22172">
              <w:rPr>
                <w:rFonts w:hint="eastAsia"/>
                <w:b w:val="0"/>
                <w:bCs/>
              </w:rPr>
              <w:t>供暖</w:t>
            </w:r>
          </w:p>
        </w:tc>
        <w:tc>
          <w:tcPr>
            <w:tcW w:w="403" w:type="dxa"/>
            <w:shd w:val="clear" w:color="auto" w:fill="auto"/>
            <w:vAlign w:val="center"/>
            <w:hideMark/>
          </w:tcPr>
          <w:p w14:paraId="1F866937" w14:textId="77777777" w:rsidR="00F22172" w:rsidRPr="00F22172" w:rsidRDefault="00F22172" w:rsidP="00F22172">
            <w:pPr>
              <w:pStyle w:val="ae"/>
              <w:rPr>
                <w:b w:val="0"/>
                <w:bCs/>
              </w:rPr>
            </w:pPr>
            <w:r w:rsidRPr="00F22172">
              <w:rPr>
                <w:rFonts w:hint="eastAsia"/>
                <w:b w:val="0"/>
                <w:bCs/>
              </w:rPr>
              <w:t>22</w:t>
            </w:r>
          </w:p>
        </w:tc>
        <w:tc>
          <w:tcPr>
            <w:tcW w:w="403" w:type="dxa"/>
            <w:shd w:val="clear" w:color="auto" w:fill="auto"/>
            <w:vAlign w:val="center"/>
            <w:hideMark/>
          </w:tcPr>
          <w:p w14:paraId="027F35DB"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6541C1FC"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26BBDFEE"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108A6FDA"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29F1AF20"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37D8298E"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7ABEF8A3"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0B556D12"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6745F5B9" w14:textId="77777777" w:rsidR="00F22172" w:rsidRPr="00F22172" w:rsidRDefault="00F22172" w:rsidP="00F22172">
            <w:pPr>
              <w:pStyle w:val="ae"/>
              <w:rPr>
                <w:b w:val="0"/>
                <w:bCs/>
              </w:rPr>
            </w:pPr>
            <w:r w:rsidRPr="00F22172">
              <w:rPr>
                <w:rFonts w:hint="eastAsia"/>
                <w:b w:val="0"/>
                <w:bCs/>
              </w:rPr>
              <w:t>22</w:t>
            </w:r>
          </w:p>
        </w:tc>
        <w:tc>
          <w:tcPr>
            <w:tcW w:w="402" w:type="dxa"/>
            <w:shd w:val="clear" w:color="auto" w:fill="auto"/>
            <w:vAlign w:val="center"/>
            <w:hideMark/>
          </w:tcPr>
          <w:p w14:paraId="01F09E2A" w14:textId="77777777" w:rsidR="00F22172" w:rsidRPr="00F22172" w:rsidRDefault="00F22172" w:rsidP="00F22172">
            <w:pPr>
              <w:pStyle w:val="ae"/>
              <w:rPr>
                <w:b w:val="0"/>
                <w:bCs/>
              </w:rPr>
            </w:pPr>
            <w:r w:rsidRPr="00F22172">
              <w:rPr>
                <w:rFonts w:hint="eastAsia"/>
                <w:b w:val="0"/>
                <w:bCs/>
              </w:rPr>
              <w:t>22</w:t>
            </w:r>
          </w:p>
        </w:tc>
        <w:tc>
          <w:tcPr>
            <w:tcW w:w="402" w:type="dxa"/>
            <w:tcBorders>
              <w:right w:val="single" w:sz="4" w:space="0" w:color="auto"/>
            </w:tcBorders>
            <w:shd w:val="clear" w:color="auto" w:fill="auto"/>
            <w:vAlign w:val="center"/>
            <w:hideMark/>
          </w:tcPr>
          <w:p w14:paraId="06F07093" w14:textId="77777777" w:rsidR="00F22172" w:rsidRPr="00F22172" w:rsidRDefault="00F22172" w:rsidP="00F22172">
            <w:pPr>
              <w:pStyle w:val="ae"/>
              <w:rPr>
                <w:b w:val="0"/>
                <w:bCs/>
              </w:rPr>
            </w:pPr>
            <w:r w:rsidRPr="00F22172">
              <w:rPr>
                <w:rFonts w:hint="eastAsia"/>
                <w:b w:val="0"/>
                <w:bCs/>
              </w:rPr>
              <w:t>22</w:t>
            </w:r>
          </w:p>
        </w:tc>
      </w:tr>
      <w:tr w:rsidR="00F22172" w:rsidRPr="00F22172" w14:paraId="0CAF8653" w14:textId="77777777" w:rsidTr="00E731D0">
        <w:trPr>
          <w:jc w:val="center"/>
        </w:trPr>
        <w:tc>
          <w:tcPr>
            <w:tcW w:w="873" w:type="dxa"/>
            <w:vMerge w:val="restart"/>
            <w:tcBorders>
              <w:left w:val="single" w:sz="4" w:space="0" w:color="auto"/>
            </w:tcBorders>
            <w:shd w:val="clear" w:color="auto" w:fill="auto"/>
            <w:vAlign w:val="center"/>
            <w:hideMark/>
          </w:tcPr>
          <w:p w14:paraId="26ABE234" w14:textId="77777777" w:rsidR="00F22172" w:rsidRPr="00F22172" w:rsidRDefault="00F22172" w:rsidP="00F22172">
            <w:pPr>
              <w:pStyle w:val="ae"/>
              <w:rPr>
                <w:b w:val="0"/>
                <w:bCs/>
              </w:rPr>
            </w:pPr>
            <w:r w:rsidRPr="00F22172">
              <w:rPr>
                <w:rFonts w:hint="eastAsia"/>
                <w:b w:val="0"/>
                <w:bCs/>
              </w:rPr>
              <w:t>商店建筑、门诊楼</w:t>
            </w:r>
          </w:p>
        </w:tc>
        <w:tc>
          <w:tcPr>
            <w:tcW w:w="834" w:type="dxa"/>
            <w:vMerge w:val="restart"/>
            <w:shd w:val="clear" w:color="auto" w:fill="auto"/>
            <w:vAlign w:val="center"/>
            <w:hideMark/>
          </w:tcPr>
          <w:p w14:paraId="2B11AF99" w14:textId="77777777" w:rsidR="00F22172" w:rsidRPr="00F22172" w:rsidRDefault="00F22172" w:rsidP="00F22172">
            <w:pPr>
              <w:pStyle w:val="ae"/>
              <w:rPr>
                <w:b w:val="0"/>
                <w:bCs/>
              </w:rPr>
            </w:pPr>
            <w:r w:rsidRPr="00F22172">
              <w:rPr>
                <w:rFonts w:hint="eastAsia"/>
                <w:b w:val="0"/>
                <w:bCs/>
              </w:rPr>
              <w:t>全年</w:t>
            </w:r>
          </w:p>
        </w:tc>
        <w:tc>
          <w:tcPr>
            <w:tcW w:w="837" w:type="dxa"/>
            <w:shd w:val="clear" w:color="auto" w:fill="auto"/>
            <w:vAlign w:val="center"/>
            <w:hideMark/>
          </w:tcPr>
          <w:p w14:paraId="608A37BA" w14:textId="77777777" w:rsidR="00F22172" w:rsidRPr="00F22172" w:rsidRDefault="00F22172" w:rsidP="00F22172">
            <w:pPr>
              <w:pStyle w:val="ae"/>
              <w:rPr>
                <w:b w:val="0"/>
                <w:bCs/>
              </w:rPr>
            </w:pPr>
            <w:r w:rsidRPr="00F22172">
              <w:rPr>
                <w:rFonts w:hint="eastAsia"/>
                <w:b w:val="0"/>
                <w:bCs/>
              </w:rPr>
              <w:t>空调</w:t>
            </w:r>
          </w:p>
        </w:tc>
        <w:tc>
          <w:tcPr>
            <w:tcW w:w="403" w:type="dxa"/>
            <w:shd w:val="clear" w:color="auto" w:fill="auto"/>
            <w:vAlign w:val="center"/>
            <w:hideMark/>
          </w:tcPr>
          <w:p w14:paraId="3188CEC9" w14:textId="77777777" w:rsidR="00F22172" w:rsidRPr="00F22172" w:rsidRDefault="00F22172" w:rsidP="00F22172">
            <w:pPr>
              <w:pStyle w:val="ae"/>
              <w:rPr>
                <w:b w:val="0"/>
                <w:bCs/>
              </w:rPr>
            </w:pPr>
            <w:r w:rsidRPr="00F22172">
              <w:rPr>
                <w:rFonts w:hint="eastAsia"/>
                <w:b w:val="0"/>
                <w:bCs/>
              </w:rPr>
              <w:t>25</w:t>
            </w:r>
          </w:p>
        </w:tc>
        <w:tc>
          <w:tcPr>
            <w:tcW w:w="403" w:type="dxa"/>
            <w:shd w:val="clear" w:color="auto" w:fill="auto"/>
            <w:vAlign w:val="center"/>
            <w:hideMark/>
          </w:tcPr>
          <w:p w14:paraId="6871C44B"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6F8451D3"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42441106"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484DF94F"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72621547"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37D72CDF"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54E12607" w14:textId="77777777" w:rsidR="00F22172" w:rsidRPr="00F22172" w:rsidRDefault="00F22172" w:rsidP="00F22172">
            <w:pPr>
              <w:pStyle w:val="ae"/>
              <w:rPr>
                <w:b w:val="0"/>
                <w:bCs/>
              </w:rPr>
            </w:pPr>
            <w:r w:rsidRPr="00F22172">
              <w:rPr>
                <w:rFonts w:hint="eastAsia"/>
                <w:b w:val="0"/>
                <w:bCs/>
              </w:rPr>
              <w:t>25</w:t>
            </w:r>
          </w:p>
        </w:tc>
        <w:tc>
          <w:tcPr>
            <w:tcW w:w="402" w:type="dxa"/>
            <w:shd w:val="clear" w:color="auto" w:fill="auto"/>
            <w:vAlign w:val="center"/>
            <w:hideMark/>
          </w:tcPr>
          <w:p w14:paraId="5C7CAB2A"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35BF552E" w14:textId="77777777" w:rsidR="00F22172" w:rsidRPr="00F22172" w:rsidRDefault="00F22172" w:rsidP="00F22172">
            <w:pPr>
              <w:pStyle w:val="ae"/>
              <w:rPr>
                <w:b w:val="0"/>
                <w:bCs/>
              </w:rPr>
            </w:pPr>
            <w:r w:rsidRPr="00F22172">
              <w:rPr>
                <w:rFonts w:hint="eastAsia"/>
                <w:b w:val="0"/>
                <w:bCs/>
              </w:rPr>
              <w:t>37</w:t>
            </w:r>
          </w:p>
        </w:tc>
        <w:tc>
          <w:tcPr>
            <w:tcW w:w="402" w:type="dxa"/>
            <w:shd w:val="clear" w:color="auto" w:fill="auto"/>
            <w:vAlign w:val="center"/>
            <w:hideMark/>
          </w:tcPr>
          <w:p w14:paraId="0833A745" w14:textId="77777777" w:rsidR="00F22172" w:rsidRPr="00F22172" w:rsidRDefault="00F22172" w:rsidP="00F22172">
            <w:pPr>
              <w:pStyle w:val="ae"/>
              <w:rPr>
                <w:b w:val="0"/>
                <w:bCs/>
              </w:rPr>
            </w:pPr>
            <w:r w:rsidRPr="00F22172">
              <w:rPr>
                <w:rFonts w:hint="eastAsia"/>
                <w:b w:val="0"/>
                <w:bCs/>
              </w:rPr>
              <w:t>37</w:t>
            </w:r>
          </w:p>
        </w:tc>
        <w:tc>
          <w:tcPr>
            <w:tcW w:w="402" w:type="dxa"/>
            <w:tcBorders>
              <w:right w:val="single" w:sz="4" w:space="0" w:color="auto"/>
            </w:tcBorders>
            <w:shd w:val="clear" w:color="auto" w:fill="auto"/>
            <w:vAlign w:val="center"/>
            <w:hideMark/>
          </w:tcPr>
          <w:p w14:paraId="40A4C893" w14:textId="77777777" w:rsidR="00F22172" w:rsidRPr="00F22172" w:rsidRDefault="00F22172" w:rsidP="00F22172">
            <w:pPr>
              <w:pStyle w:val="ae"/>
              <w:rPr>
                <w:b w:val="0"/>
                <w:bCs/>
              </w:rPr>
            </w:pPr>
            <w:r w:rsidRPr="00F22172">
              <w:rPr>
                <w:rFonts w:hint="eastAsia"/>
                <w:b w:val="0"/>
                <w:bCs/>
              </w:rPr>
              <w:t>37</w:t>
            </w:r>
          </w:p>
        </w:tc>
      </w:tr>
      <w:tr w:rsidR="00F22172" w:rsidRPr="00F22172" w14:paraId="35862FB7" w14:textId="77777777" w:rsidTr="00E731D0">
        <w:trPr>
          <w:jc w:val="center"/>
        </w:trPr>
        <w:tc>
          <w:tcPr>
            <w:tcW w:w="873" w:type="dxa"/>
            <w:vMerge/>
            <w:tcBorders>
              <w:left w:val="single" w:sz="4" w:space="0" w:color="auto"/>
              <w:bottom w:val="single" w:sz="4" w:space="0" w:color="auto"/>
            </w:tcBorders>
            <w:shd w:val="clear" w:color="auto" w:fill="auto"/>
            <w:vAlign w:val="center"/>
            <w:hideMark/>
          </w:tcPr>
          <w:p w14:paraId="44C0C63D" w14:textId="77777777" w:rsidR="00F22172" w:rsidRPr="00F22172" w:rsidRDefault="00F22172" w:rsidP="00F22172">
            <w:pPr>
              <w:pStyle w:val="ae"/>
              <w:rPr>
                <w:b w:val="0"/>
                <w:bCs/>
              </w:rPr>
            </w:pPr>
          </w:p>
        </w:tc>
        <w:tc>
          <w:tcPr>
            <w:tcW w:w="834" w:type="dxa"/>
            <w:vMerge/>
            <w:tcBorders>
              <w:bottom w:val="single" w:sz="4" w:space="0" w:color="auto"/>
            </w:tcBorders>
            <w:shd w:val="clear" w:color="auto" w:fill="auto"/>
            <w:vAlign w:val="center"/>
            <w:hideMark/>
          </w:tcPr>
          <w:p w14:paraId="3281F2D2" w14:textId="77777777" w:rsidR="00F22172" w:rsidRPr="00F22172" w:rsidRDefault="00F22172" w:rsidP="00F22172">
            <w:pPr>
              <w:pStyle w:val="ae"/>
              <w:rPr>
                <w:b w:val="0"/>
                <w:bCs/>
              </w:rPr>
            </w:pPr>
          </w:p>
        </w:tc>
        <w:tc>
          <w:tcPr>
            <w:tcW w:w="837" w:type="dxa"/>
            <w:tcBorders>
              <w:bottom w:val="single" w:sz="4" w:space="0" w:color="auto"/>
            </w:tcBorders>
            <w:shd w:val="clear" w:color="auto" w:fill="auto"/>
            <w:vAlign w:val="center"/>
            <w:hideMark/>
          </w:tcPr>
          <w:p w14:paraId="3E4D21E7" w14:textId="77777777" w:rsidR="00F22172" w:rsidRPr="00F22172" w:rsidRDefault="00F22172" w:rsidP="00F22172">
            <w:pPr>
              <w:pStyle w:val="ae"/>
              <w:rPr>
                <w:b w:val="0"/>
                <w:bCs/>
              </w:rPr>
            </w:pPr>
            <w:r w:rsidRPr="00F22172">
              <w:rPr>
                <w:rFonts w:hint="eastAsia"/>
                <w:b w:val="0"/>
                <w:bCs/>
              </w:rPr>
              <w:t>供暖</w:t>
            </w:r>
          </w:p>
        </w:tc>
        <w:tc>
          <w:tcPr>
            <w:tcW w:w="403" w:type="dxa"/>
            <w:tcBorders>
              <w:bottom w:val="single" w:sz="4" w:space="0" w:color="auto"/>
            </w:tcBorders>
            <w:shd w:val="clear" w:color="auto" w:fill="auto"/>
            <w:vAlign w:val="center"/>
            <w:hideMark/>
          </w:tcPr>
          <w:p w14:paraId="301A7CED" w14:textId="77777777" w:rsidR="00F22172" w:rsidRPr="00F22172" w:rsidRDefault="00F22172" w:rsidP="00F22172">
            <w:pPr>
              <w:pStyle w:val="ae"/>
              <w:rPr>
                <w:b w:val="0"/>
                <w:bCs/>
              </w:rPr>
            </w:pPr>
            <w:r w:rsidRPr="00F22172">
              <w:rPr>
                <w:rFonts w:hint="eastAsia"/>
                <w:b w:val="0"/>
                <w:bCs/>
              </w:rPr>
              <w:t>18</w:t>
            </w:r>
          </w:p>
        </w:tc>
        <w:tc>
          <w:tcPr>
            <w:tcW w:w="403" w:type="dxa"/>
            <w:tcBorders>
              <w:bottom w:val="single" w:sz="4" w:space="0" w:color="auto"/>
            </w:tcBorders>
            <w:shd w:val="clear" w:color="auto" w:fill="auto"/>
            <w:vAlign w:val="center"/>
            <w:hideMark/>
          </w:tcPr>
          <w:p w14:paraId="03375A0E"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7D868946"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2D4D397F"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06A3794F"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487179B4"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4456DC76"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53546E30" w14:textId="77777777" w:rsidR="00F22172" w:rsidRPr="00F22172" w:rsidRDefault="00F22172" w:rsidP="00F22172">
            <w:pPr>
              <w:pStyle w:val="ae"/>
              <w:rPr>
                <w:b w:val="0"/>
                <w:bCs/>
              </w:rPr>
            </w:pPr>
            <w:r w:rsidRPr="00F22172">
              <w:rPr>
                <w:rFonts w:hint="eastAsia"/>
                <w:b w:val="0"/>
                <w:bCs/>
              </w:rPr>
              <w:t>18</w:t>
            </w:r>
          </w:p>
        </w:tc>
        <w:tc>
          <w:tcPr>
            <w:tcW w:w="402" w:type="dxa"/>
            <w:tcBorders>
              <w:bottom w:val="single" w:sz="4" w:space="0" w:color="auto"/>
            </w:tcBorders>
            <w:shd w:val="clear" w:color="auto" w:fill="auto"/>
            <w:vAlign w:val="center"/>
            <w:hideMark/>
          </w:tcPr>
          <w:p w14:paraId="691400AD" w14:textId="77777777" w:rsidR="00F22172" w:rsidRPr="00F22172" w:rsidRDefault="00F22172" w:rsidP="00F22172">
            <w:pPr>
              <w:pStyle w:val="ae"/>
              <w:rPr>
                <w:b w:val="0"/>
                <w:bCs/>
              </w:rPr>
            </w:pPr>
            <w:r w:rsidRPr="00F22172">
              <w:rPr>
                <w:rFonts w:hint="eastAsia"/>
                <w:b w:val="0"/>
                <w:bCs/>
              </w:rPr>
              <w:t>12</w:t>
            </w:r>
          </w:p>
        </w:tc>
        <w:tc>
          <w:tcPr>
            <w:tcW w:w="402" w:type="dxa"/>
            <w:tcBorders>
              <w:bottom w:val="single" w:sz="4" w:space="0" w:color="auto"/>
            </w:tcBorders>
            <w:shd w:val="clear" w:color="auto" w:fill="auto"/>
            <w:vAlign w:val="center"/>
            <w:hideMark/>
          </w:tcPr>
          <w:p w14:paraId="3F6AD380" w14:textId="77777777" w:rsidR="00F22172" w:rsidRPr="00F22172" w:rsidRDefault="00F22172" w:rsidP="00F22172">
            <w:pPr>
              <w:pStyle w:val="ae"/>
              <w:rPr>
                <w:b w:val="0"/>
                <w:bCs/>
              </w:rPr>
            </w:pPr>
            <w:r w:rsidRPr="00F22172">
              <w:rPr>
                <w:rFonts w:hint="eastAsia"/>
                <w:b w:val="0"/>
                <w:bCs/>
              </w:rPr>
              <w:t>5</w:t>
            </w:r>
          </w:p>
        </w:tc>
        <w:tc>
          <w:tcPr>
            <w:tcW w:w="402" w:type="dxa"/>
            <w:tcBorders>
              <w:bottom w:val="single" w:sz="4" w:space="0" w:color="auto"/>
            </w:tcBorders>
            <w:shd w:val="clear" w:color="auto" w:fill="auto"/>
            <w:vAlign w:val="center"/>
            <w:hideMark/>
          </w:tcPr>
          <w:p w14:paraId="0040A980" w14:textId="77777777" w:rsidR="00F22172" w:rsidRPr="00F22172" w:rsidRDefault="00F22172" w:rsidP="00F22172">
            <w:pPr>
              <w:pStyle w:val="ae"/>
              <w:rPr>
                <w:b w:val="0"/>
                <w:bCs/>
              </w:rPr>
            </w:pPr>
            <w:r w:rsidRPr="00F22172">
              <w:rPr>
                <w:rFonts w:hint="eastAsia"/>
                <w:b w:val="0"/>
                <w:bCs/>
              </w:rPr>
              <w:t>5</w:t>
            </w:r>
          </w:p>
        </w:tc>
        <w:tc>
          <w:tcPr>
            <w:tcW w:w="402" w:type="dxa"/>
            <w:tcBorders>
              <w:bottom w:val="single" w:sz="4" w:space="0" w:color="auto"/>
              <w:right w:val="single" w:sz="4" w:space="0" w:color="auto"/>
            </w:tcBorders>
            <w:shd w:val="clear" w:color="auto" w:fill="auto"/>
            <w:vAlign w:val="center"/>
            <w:hideMark/>
          </w:tcPr>
          <w:p w14:paraId="4BB3385D" w14:textId="77777777" w:rsidR="00F22172" w:rsidRPr="00F22172" w:rsidRDefault="00F22172" w:rsidP="00F22172">
            <w:pPr>
              <w:pStyle w:val="ae"/>
              <w:rPr>
                <w:b w:val="0"/>
                <w:bCs/>
              </w:rPr>
            </w:pPr>
            <w:r w:rsidRPr="00F22172">
              <w:rPr>
                <w:rFonts w:hint="eastAsia"/>
                <w:b w:val="0"/>
                <w:bCs/>
              </w:rPr>
              <w:t>5</w:t>
            </w:r>
          </w:p>
        </w:tc>
      </w:tr>
    </w:tbl>
    <w:p w14:paraId="6C9C21DC" w14:textId="77777777" w:rsidR="00725EEB" w:rsidRPr="00913C78" w:rsidRDefault="00725EEB" w:rsidP="00725EEB">
      <w:pPr>
        <w:ind w:firstLine="420"/>
        <w:jc w:val="right"/>
      </w:pPr>
    </w:p>
    <w:p w14:paraId="466A26E7" w14:textId="77777777" w:rsidR="00725EEB" w:rsidRDefault="00725EEB" w:rsidP="00913C78">
      <w:pPr>
        <w:ind w:firstLine="420"/>
      </w:pPr>
    </w:p>
    <w:p w14:paraId="65B8E411" w14:textId="5FE077C7" w:rsidR="00913C78" w:rsidRPr="00913C78" w:rsidRDefault="00913C78" w:rsidP="00F22172">
      <w:pPr>
        <w:pStyle w:val="ae"/>
      </w:pPr>
      <w:r w:rsidRPr="00913C78">
        <w:rPr>
          <w:rFonts w:hint="eastAsia"/>
        </w:rPr>
        <w:t>附表</w:t>
      </w:r>
      <w:r w:rsidRPr="00913C78">
        <w:rPr>
          <w:rFonts w:hint="eastAsia"/>
        </w:rPr>
        <w:t>A.5.</w:t>
      </w:r>
      <w:r w:rsidR="00532D0F">
        <w:t>4</w:t>
      </w:r>
      <w:r w:rsidRPr="00913C78">
        <w:t xml:space="preserve"> </w:t>
      </w:r>
      <w:r w:rsidRPr="00913C78">
        <w:rPr>
          <w:rFonts w:hint="eastAsia"/>
        </w:rPr>
        <w:t xml:space="preserve"> </w:t>
      </w:r>
      <w:r w:rsidRPr="00913C78">
        <w:rPr>
          <w:rFonts w:hint="eastAsia"/>
        </w:rPr>
        <w:t>其他类型</w:t>
      </w:r>
      <w:r w:rsidRPr="00913C78">
        <w:t>建筑</w:t>
      </w:r>
      <w:r w:rsidRPr="00913C78">
        <w:rPr>
          <w:rFonts w:hint="eastAsia"/>
        </w:rPr>
        <w:t>供暖空调区室内温度</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96"/>
        <w:gridCol w:w="3385"/>
        <w:gridCol w:w="2689"/>
      </w:tblGrid>
      <w:tr w:rsidR="00913C78" w:rsidRPr="00F22172" w14:paraId="62B66DA4" w14:textId="77777777" w:rsidTr="00E731D0">
        <w:trPr>
          <w:jc w:val="center"/>
        </w:trPr>
        <w:tc>
          <w:tcPr>
            <w:tcW w:w="1182" w:type="dxa"/>
            <w:shd w:val="clear" w:color="auto" w:fill="auto"/>
            <w:vAlign w:val="center"/>
            <w:hideMark/>
          </w:tcPr>
          <w:p w14:paraId="01123BAB" w14:textId="77777777" w:rsidR="00913C78" w:rsidRPr="00F22172" w:rsidRDefault="00913C78" w:rsidP="00F22172">
            <w:pPr>
              <w:pStyle w:val="ae"/>
              <w:rPr>
                <w:b w:val="0"/>
                <w:bCs/>
              </w:rPr>
            </w:pPr>
            <w:r w:rsidRPr="00F22172">
              <w:rPr>
                <w:rFonts w:hint="eastAsia"/>
                <w:b w:val="0"/>
                <w:bCs/>
              </w:rPr>
              <w:t>运行模式</w:t>
            </w:r>
          </w:p>
        </w:tc>
        <w:tc>
          <w:tcPr>
            <w:tcW w:w="3088" w:type="dxa"/>
            <w:shd w:val="clear" w:color="auto" w:fill="auto"/>
            <w:vAlign w:val="center"/>
            <w:hideMark/>
          </w:tcPr>
          <w:p w14:paraId="3387BA48" w14:textId="77777777" w:rsidR="00913C78" w:rsidRPr="00F22172" w:rsidRDefault="00913C78" w:rsidP="00F22172">
            <w:pPr>
              <w:pStyle w:val="ae"/>
              <w:rPr>
                <w:b w:val="0"/>
                <w:bCs/>
              </w:rPr>
            </w:pPr>
            <w:r w:rsidRPr="00F22172">
              <w:rPr>
                <w:rFonts w:hint="eastAsia"/>
                <w:b w:val="0"/>
                <w:bCs/>
              </w:rPr>
              <w:t>时间</w:t>
            </w:r>
          </w:p>
        </w:tc>
        <w:tc>
          <w:tcPr>
            <w:tcW w:w="2453" w:type="dxa"/>
            <w:shd w:val="clear" w:color="auto" w:fill="auto"/>
            <w:vAlign w:val="center"/>
            <w:hideMark/>
          </w:tcPr>
          <w:p w14:paraId="7902279B" w14:textId="77777777" w:rsidR="00913C78" w:rsidRPr="00F22172" w:rsidRDefault="00913C78" w:rsidP="00F22172">
            <w:pPr>
              <w:pStyle w:val="ae"/>
              <w:rPr>
                <w:b w:val="0"/>
                <w:bCs/>
              </w:rPr>
            </w:pPr>
            <w:r w:rsidRPr="00F22172">
              <w:rPr>
                <w:rFonts w:hint="eastAsia"/>
                <w:b w:val="0"/>
                <w:bCs/>
              </w:rPr>
              <w:t>室内空气温度</w:t>
            </w:r>
            <w:r w:rsidRPr="00F22172">
              <w:rPr>
                <w:rFonts w:hint="eastAsia"/>
                <w:b w:val="0"/>
                <w:bCs/>
              </w:rPr>
              <w:t>/</w:t>
            </w:r>
            <w:r w:rsidRPr="00F22172">
              <w:rPr>
                <w:rFonts w:hint="eastAsia"/>
                <w:b w:val="0"/>
                <w:bCs/>
              </w:rPr>
              <w:t>℃</w:t>
            </w:r>
          </w:p>
        </w:tc>
      </w:tr>
      <w:tr w:rsidR="00913C78" w:rsidRPr="00F22172" w14:paraId="64C65348" w14:textId="77777777" w:rsidTr="00E731D0">
        <w:trPr>
          <w:jc w:val="center"/>
        </w:trPr>
        <w:tc>
          <w:tcPr>
            <w:tcW w:w="1182" w:type="dxa"/>
            <w:vMerge w:val="restart"/>
            <w:shd w:val="clear" w:color="auto" w:fill="auto"/>
            <w:vAlign w:val="center"/>
            <w:hideMark/>
          </w:tcPr>
          <w:p w14:paraId="0B990645" w14:textId="77777777" w:rsidR="00913C78" w:rsidRPr="00F22172" w:rsidRDefault="00913C78" w:rsidP="00F22172">
            <w:pPr>
              <w:pStyle w:val="ae"/>
              <w:rPr>
                <w:b w:val="0"/>
                <w:bCs/>
              </w:rPr>
            </w:pPr>
            <w:r w:rsidRPr="00F22172">
              <w:rPr>
                <w:rFonts w:hint="eastAsia"/>
                <w:b w:val="0"/>
                <w:bCs/>
              </w:rPr>
              <w:t>空调</w:t>
            </w:r>
          </w:p>
        </w:tc>
        <w:tc>
          <w:tcPr>
            <w:tcW w:w="3088" w:type="dxa"/>
            <w:shd w:val="clear" w:color="auto" w:fill="auto"/>
            <w:vAlign w:val="center"/>
            <w:hideMark/>
          </w:tcPr>
          <w:p w14:paraId="089248CE" w14:textId="77777777" w:rsidR="00913C78" w:rsidRPr="00F22172" w:rsidRDefault="00913C78" w:rsidP="00F22172">
            <w:pPr>
              <w:pStyle w:val="ae"/>
              <w:rPr>
                <w:b w:val="0"/>
                <w:bCs/>
              </w:rPr>
            </w:pPr>
            <w:r w:rsidRPr="00F22172">
              <w:rPr>
                <w:rFonts w:hint="eastAsia"/>
                <w:b w:val="0"/>
                <w:bCs/>
              </w:rPr>
              <w:t>正常工作</w:t>
            </w:r>
          </w:p>
        </w:tc>
        <w:tc>
          <w:tcPr>
            <w:tcW w:w="2453" w:type="dxa"/>
            <w:shd w:val="clear" w:color="auto" w:fill="auto"/>
            <w:vAlign w:val="center"/>
            <w:hideMark/>
          </w:tcPr>
          <w:p w14:paraId="6EFFC21A" w14:textId="77777777" w:rsidR="00913C78" w:rsidRPr="00F22172" w:rsidRDefault="00913C78" w:rsidP="00F22172">
            <w:pPr>
              <w:pStyle w:val="ae"/>
              <w:rPr>
                <w:b w:val="0"/>
                <w:bCs/>
              </w:rPr>
            </w:pPr>
            <w:r w:rsidRPr="00F22172">
              <w:rPr>
                <w:rFonts w:hint="eastAsia"/>
                <w:b w:val="0"/>
                <w:bCs/>
              </w:rPr>
              <w:t>26</w:t>
            </w:r>
          </w:p>
        </w:tc>
      </w:tr>
      <w:tr w:rsidR="00913C78" w:rsidRPr="00F22172" w14:paraId="4F71FFD1" w14:textId="77777777" w:rsidTr="00E731D0">
        <w:trPr>
          <w:jc w:val="center"/>
        </w:trPr>
        <w:tc>
          <w:tcPr>
            <w:tcW w:w="1182" w:type="dxa"/>
            <w:vMerge/>
            <w:shd w:val="clear" w:color="auto" w:fill="auto"/>
            <w:vAlign w:val="center"/>
            <w:hideMark/>
          </w:tcPr>
          <w:p w14:paraId="2775EA78" w14:textId="77777777" w:rsidR="00913C78" w:rsidRPr="00F22172" w:rsidRDefault="00913C78" w:rsidP="00F22172">
            <w:pPr>
              <w:pStyle w:val="ae"/>
              <w:rPr>
                <w:b w:val="0"/>
                <w:bCs/>
              </w:rPr>
            </w:pPr>
          </w:p>
        </w:tc>
        <w:tc>
          <w:tcPr>
            <w:tcW w:w="3088" w:type="dxa"/>
            <w:shd w:val="clear" w:color="auto" w:fill="auto"/>
            <w:vAlign w:val="center"/>
            <w:hideMark/>
          </w:tcPr>
          <w:p w14:paraId="71B0B3FD" w14:textId="77777777" w:rsidR="00913C78" w:rsidRPr="00F22172" w:rsidRDefault="00913C78" w:rsidP="00F22172">
            <w:pPr>
              <w:pStyle w:val="ae"/>
              <w:rPr>
                <w:b w:val="0"/>
                <w:bCs/>
              </w:rPr>
            </w:pPr>
            <w:r w:rsidRPr="00F22172">
              <w:rPr>
                <w:rFonts w:hint="eastAsia"/>
                <w:b w:val="0"/>
                <w:bCs/>
              </w:rPr>
              <w:t>正常工作时间的前</w:t>
            </w:r>
            <w:r w:rsidRPr="00F22172">
              <w:rPr>
                <w:rFonts w:hint="eastAsia"/>
                <w:b w:val="0"/>
                <w:bCs/>
              </w:rPr>
              <w:t>1h</w:t>
            </w:r>
          </w:p>
        </w:tc>
        <w:tc>
          <w:tcPr>
            <w:tcW w:w="2453" w:type="dxa"/>
            <w:shd w:val="clear" w:color="auto" w:fill="auto"/>
            <w:vAlign w:val="center"/>
            <w:hideMark/>
          </w:tcPr>
          <w:p w14:paraId="22F5EC2B" w14:textId="77777777" w:rsidR="00913C78" w:rsidRPr="00F22172" w:rsidRDefault="00913C78" w:rsidP="00F22172">
            <w:pPr>
              <w:pStyle w:val="ae"/>
              <w:rPr>
                <w:b w:val="0"/>
                <w:bCs/>
              </w:rPr>
            </w:pPr>
            <w:r w:rsidRPr="00F22172">
              <w:rPr>
                <w:rFonts w:hint="eastAsia"/>
                <w:b w:val="0"/>
                <w:bCs/>
              </w:rPr>
              <w:t>28</w:t>
            </w:r>
          </w:p>
        </w:tc>
      </w:tr>
      <w:tr w:rsidR="00913C78" w:rsidRPr="00F22172" w14:paraId="73171065" w14:textId="77777777" w:rsidTr="00E731D0">
        <w:trPr>
          <w:jc w:val="center"/>
        </w:trPr>
        <w:tc>
          <w:tcPr>
            <w:tcW w:w="1182" w:type="dxa"/>
            <w:vMerge/>
            <w:shd w:val="clear" w:color="auto" w:fill="auto"/>
            <w:vAlign w:val="center"/>
            <w:hideMark/>
          </w:tcPr>
          <w:p w14:paraId="636FD8BA" w14:textId="77777777" w:rsidR="00913C78" w:rsidRPr="00F22172" w:rsidRDefault="00913C78" w:rsidP="00F22172">
            <w:pPr>
              <w:pStyle w:val="ae"/>
              <w:rPr>
                <w:b w:val="0"/>
                <w:bCs/>
              </w:rPr>
            </w:pPr>
          </w:p>
        </w:tc>
        <w:tc>
          <w:tcPr>
            <w:tcW w:w="3088" w:type="dxa"/>
            <w:shd w:val="clear" w:color="auto" w:fill="auto"/>
            <w:vAlign w:val="center"/>
            <w:hideMark/>
          </w:tcPr>
          <w:p w14:paraId="54DA55AC" w14:textId="77777777" w:rsidR="00913C78" w:rsidRPr="00F22172" w:rsidRDefault="00913C78" w:rsidP="00F22172">
            <w:pPr>
              <w:pStyle w:val="ae"/>
              <w:rPr>
                <w:b w:val="0"/>
                <w:bCs/>
              </w:rPr>
            </w:pPr>
            <w:r w:rsidRPr="00F22172">
              <w:rPr>
                <w:rFonts w:hint="eastAsia"/>
                <w:b w:val="0"/>
                <w:bCs/>
              </w:rPr>
              <w:t>其他</w:t>
            </w:r>
          </w:p>
        </w:tc>
        <w:tc>
          <w:tcPr>
            <w:tcW w:w="2453" w:type="dxa"/>
            <w:shd w:val="clear" w:color="auto" w:fill="auto"/>
            <w:vAlign w:val="center"/>
            <w:hideMark/>
          </w:tcPr>
          <w:p w14:paraId="57159C39" w14:textId="77777777" w:rsidR="00913C78" w:rsidRPr="00F22172" w:rsidRDefault="00913C78" w:rsidP="00F22172">
            <w:pPr>
              <w:pStyle w:val="ae"/>
              <w:rPr>
                <w:b w:val="0"/>
                <w:bCs/>
              </w:rPr>
            </w:pPr>
            <w:r w:rsidRPr="00F22172">
              <w:rPr>
                <w:rFonts w:hint="eastAsia"/>
                <w:b w:val="0"/>
                <w:bCs/>
              </w:rPr>
              <w:t>37</w:t>
            </w:r>
          </w:p>
        </w:tc>
      </w:tr>
      <w:tr w:rsidR="00913C78" w:rsidRPr="00F22172" w14:paraId="480F7668" w14:textId="77777777" w:rsidTr="00E731D0">
        <w:trPr>
          <w:jc w:val="center"/>
        </w:trPr>
        <w:tc>
          <w:tcPr>
            <w:tcW w:w="1182" w:type="dxa"/>
            <w:vMerge w:val="restart"/>
            <w:shd w:val="clear" w:color="auto" w:fill="auto"/>
            <w:vAlign w:val="center"/>
            <w:hideMark/>
          </w:tcPr>
          <w:p w14:paraId="56DCDCCA" w14:textId="77777777" w:rsidR="00913C78" w:rsidRPr="00F22172" w:rsidRDefault="00913C78" w:rsidP="00F22172">
            <w:pPr>
              <w:pStyle w:val="ae"/>
              <w:rPr>
                <w:b w:val="0"/>
                <w:bCs/>
              </w:rPr>
            </w:pPr>
            <w:r w:rsidRPr="00F22172">
              <w:rPr>
                <w:rFonts w:hint="eastAsia"/>
                <w:b w:val="0"/>
                <w:bCs/>
              </w:rPr>
              <w:t>供暖</w:t>
            </w:r>
          </w:p>
        </w:tc>
        <w:tc>
          <w:tcPr>
            <w:tcW w:w="3088" w:type="dxa"/>
            <w:shd w:val="clear" w:color="auto" w:fill="auto"/>
            <w:vAlign w:val="center"/>
            <w:hideMark/>
          </w:tcPr>
          <w:p w14:paraId="720F1303" w14:textId="77777777" w:rsidR="00913C78" w:rsidRPr="00F22172" w:rsidRDefault="00913C78" w:rsidP="00F22172">
            <w:pPr>
              <w:pStyle w:val="ae"/>
              <w:rPr>
                <w:b w:val="0"/>
                <w:bCs/>
              </w:rPr>
            </w:pPr>
            <w:r w:rsidRPr="00F22172">
              <w:rPr>
                <w:rFonts w:hint="eastAsia"/>
                <w:b w:val="0"/>
                <w:bCs/>
              </w:rPr>
              <w:t>正常工作</w:t>
            </w:r>
          </w:p>
        </w:tc>
        <w:tc>
          <w:tcPr>
            <w:tcW w:w="2453" w:type="dxa"/>
            <w:shd w:val="clear" w:color="auto" w:fill="auto"/>
            <w:vAlign w:val="center"/>
            <w:hideMark/>
          </w:tcPr>
          <w:p w14:paraId="47594DEE" w14:textId="77777777" w:rsidR="00913C78" w:rsidRPr="00F22172" w:rsidRDefault="00913C78" w:rsidP="00F22172">
            <w:pPr>
              <w:pStyle w:val="ae"/>
              <w:rPr>
                <w:b w:val="0"/>
                <w:bCs/>
              </w:rPr>
            </w:pPr>
            <w:r w:rsidRPr="00F22172">
              <w:rPr>
                <w:rFonts w:hint="eastAsia"/>
                <w:b w:val="0"/>
                <w:bCs/>
              </w:rPr>
              <w:t>18</w:t>
            </w:r>
          </w:p>
        </w:tc>
      </w:tr>
      <w:tr w:rsidR="00913C78" w:rsidRPr="00F22172" w14:paraId="56B62F9D" w14:textId="77777777" w:rsidTr="00E731D0">
        <w:trPr>
          <w:jc w:val="center"/>
        </w:trPr>
        <w:tc>
          <w:tcPr>
            <w:tcW w:w="1182" w:type="dxa"/>
            <w:vMerge/>
            <w:shd w:val="clear" w:color="auto" w:fill="auto"/>
            <w:vAlign w:val="center"/>
            <w:hideMark/>
          </w:tcPr>
          <w:p w14:paraId="143E508C" w14:textId="77777777" w:rsidR="00913C78" w:rsidRPr="00F22172" w:rsidRDefault="00913C78" w:rsidP="00F22172">
            <w:pPr>
              <w:pStyle w:val="ae"/>
              <w:rPr>
                <w:b w:val="0"/>
                <w:bCs/>
              </w:rPr>
            </w:pPr>
          </w:p>
        </w:tc>
        <w:tc>
          <w:tcPr>
            <w:tcW w:w="3088" w:type="dxa"/>
            <w:shd w:val="clear" w:color="auto" w:fill="auto"/>
            <w:vAlign w:val="center"/>
            <w:hideMark/>
          </w:tcPr>
          <w:p w14:paraId="35A4B964" w14:textId="77777777" w:rsidR="00913C78" w:rsidRPr="00F22172" w:rsidRDefault="00913C78" w:rsidP="00F22172">
            <w:pPr>
              <w:pStyle w:val="ae"/>
              <w:rPr>
                <w:b w:val="0"/>
                <w:bCs/>
              </w:rPr>
            </w:pPr>
            <w:r w:rsidRPr="00F22172">
              <w:rPr>
                <w:rFonts w:hint="eastAsia"/>
                <w:b w:val="0"/>
                <w:bCs/>
              </w:rPr>
              <w:t>正常工作时间的前</w:t>
            </w:r>
            <w:r w:rsidRPr="00F22172">
              <w:rPr>
                <w:rFonts w:hint="eastAsia"/>
                <w:b w:val="0"/>
                <w:bCs/>
              </w:rPr>
              <w:t>1h</w:t>
            </w:r>
          </w:p>
        </w:tc>
        <w:tc>
          <w:tcPr>
            <w:tcW w:w="2453" w:type="dxa"/>
            <w:shd w:val="clear" w:color="auto" w:fill="auto"/>
            <w:vAlign w:val="center"/>
            <w:hideMark/>
          </w:tcPr>
          <w:p w14:paraId="0B690374" w14:textId="77777777" w:rsidR="00913C78" w:rsidRPr="00F22172" w:rsidRDefault="00913C78" w:rsidP="00F22172">
            <w:pPr>
              <w:pStyle w:val="ae"/>
              <w:rPr>
                <w:b w:val="0"/>
                <w:bCs/>
              </w:rPr>
            </w:pPr>
            <w:r w:rsidRPr="00F22172">
              <w:rPr>
                <w:rFonts w:hint="eastAsia"/>
                <w:b w:val="0"/>
                <w:bCs/>
              </w:rPr>
              <w:t>15</w:t>
            </w:r>
          </w:p>
        </w:tc>
      </w:tr>
      <w:tr w:rsidR="00913C78" w:rsidRPr="00F22172" w14:paraId="72E3F472" w14:textId="77777777" w:rsidTr="00E731D0">
        <w:trPr>
          <w:jc w:val="center"/>
        </w:trPr>
        <w:tc>
          <w:tcPr>
            <w:tcW w:w="1182" w:type="dxa"/>
            <w:vMerge/>
            <w:shd w:val="clear" w:color="auto" w:fill="auto"/>
            <w:vAlign w:val="center"/>
            <w:hideMark/>
          </w:tcPr>
          <w:p w14:paraId="264D75E6" w14:textId="77777777" w:rsidR="00913C78" w:rsidRPr="00F22172" w:rsidRDefault="00913C78" w:rsidP="00F22172">
            <w:pPr>
              <w:pStyle w:val="ae"/>
              <w:rPr>
                <w:b w:val="0"/>
                <w:bCs/>
              </w:rPr>
            </w:pPr>
          </w:p>
        </w:tc>
        <w:tc>
          <w:tcPr>
            <w:tcW w:w="3088" w:type="dxa"/>
            <w:shd w:val="clear" w:color="auto" w:fill="auto"/>
            <w:vAlign w:val="center"/>
            <w:hideMark/>
          </w:tcPr>
          <w:p w14:paraId="04B0C68F" w14:textId="77777777" w:rsidR="00913C78" w:rsidRPr="00F22172" w:rsidRDefault="00913C78" w:rsidP="00F22172">
            <w:pPr>
              <w:pStyle w:val="ae"/>
              <w:rPr>
                <w:b w:val="0"/>
                <w:bCs/>
              </w:rPr>
            </w:pPr>
            <w:r w:rsidRPr="00F22172">
              <w:rPr>
                <w:rFonts w:hint="eastAsia"/>
                <w:b w:val="0"/>
                <w:bCs/>
              </w:rPr>
              <w:t>其他</w:t>
            </w:r>
          </w:p>
        </w:tc>
        <w:tc>
          <w:tcPr>
            <w:tcW w:w="2453" w:type="dxa"/>
            <w:shd w:val="clear" w:color="auto" w:fill="auto"/>
            <w:vAlign w:val="center"/>
            <w:hideMark/>
          </w:tcPr>
          <w:p w14:paraId="0CBE12CD" w14:textId="77777777" w:rsidR="00913C78" w:rsidRPr="00F22172" w:rsidRDefault="00913C78" w:rsidP="00F22172">
            <w:pPr>
              <w:pStyle w:val="ae"/>
              <w:rPr>
                <w:b w:val="0"/>
                <w:bCs/>
              </w:rPr>
            </w:pPr>
            <w:r w:rsidRPr="00F22172">
              <w:rPr>
                <w:rFonts w:hint="eastAsia"/>
                <w:b w:val="0"/>
                <w:bCs/>
              </w:rPr>
              <w:t>5</w:t>
            </w:r>
          </w:p>
        </w:tc>
      </w:tr>
    </w:tbl>
    <w:p w14:paraId="2E25BF8A" w14:textId="1A6BCFE9" w:rsidR="00913C78" w:rsidRPr="00913C78" w:rsidRDefault="00913C78" w:rsidP="00F22172">
      <w:pPr>
        <w:pStyle w:val="ae"/>
      </w:pPr>
      <w:r w:rsidRPr="00913C78">
        <w:rPr>
          <w:rFonts w:hint="eastAsia"/>
        </w:rPr>
        <w:t>附表</w:t>
      </w:r>
      <w:r w:rsidRPr="00913C78">
        <w:rPr>
          <w:rFonts w:hint="eastAsia"/>
        </w:rPr>
        <w:t>A.5.</w:t>
      </w:r>
      <w:r w:rsidR="00532D0F">
        <w:t>5</w:t>
      </w:r>
      <w:r w:rsidRPr="00913C78">
        <w:t xml:space="preserve"> </w:t>
      </w:r>
      <w:r w:rsidRPr="00913C78">
        <w:rPr>
          <w:rFonts w:hint="eastAsia"/>
        </w:rPr>
        <w:t xml:space="preserve"> </w:t>
      </w:r>
      <w:r w:rsidRPr="00913C78">
        <w:rPr>
          <w:rFonts w:hint="eastAsia"/>
        </w:rPr>
        <w:t>照明功率密度值</w:t>
      </w:r>
    </w:p>
    <w:tbl>
      <w:tblPr>
        <w:tblStyle w:val="af9"/>
        <w:tblW w:w="7370" w:type="dxa"/>
        <w:tblLook w:val="04A0" w:firstRow="1" w:lastRow="0" w:firstColumn="1" w:lastColumn="0" w:noHBand="0" w:noVBand="1"/>
      </w:tblPr>
      <w:tblGrid>
        <w:gridCol w:w="2139"/>
        <w:gridCol w:w="2140"/>
        <w:gridCol w:w="3091"/>
      </w:tblGrid>
      <w:tr w:rsidR="00913C78" w:rsidRPr="00F22172" w14:paraId="7C40DFA2" w14:textId="77777777" w:rsidTr="00E221F6">
        <w:tc>
          <w:tcPr>
            <w:tcW w:w="3247" w:type="dxa"/>
            <w:gridSpan w:val="2"/>
            <w:noWrap/>
            <w:vAlign w:val="center"/>
            <w:hideMark/>
          </w:tcPr>
          <w:p w14:paraId="7931CA00" w14:textId="77777777" w:rsidR="00913C78" w:rsidRPr="00F22172" w:rsidRDefault="00913C78" w:rsidP="00E221F6">
            <w:pPr>
              <w:pStyle w:val="ae"/>
              <w:rPr>
                <w:b w:val="0"/>
                <w:bCs/>
              </w:rPr>
            </w:pPr>
            <w:r w:rsidRPr="00F22172">
              <w:rPr>
                <w:rFonts w:hint="eastAsia"/>
                <w:b w:val="0"/>
                <w:bCs/>
              </w:rPr>
              <w:t>建筑类别</w:t>
            </w:r>
          </w:p>
        </w:tc>
        <w:tc>
          <w:tcPr>
            <w:tcW w:w="2345" w:type="dxa"/>
            <w:noWrap/>
            <w:vAlign w:val="center"/>
            <w:hideMark/>
          </w:tcPr>
          <w:p w14:paraId="061F5D09" w14:textId="77777777" w:rsidR="00913C78" w:rsidRPr="00F22172" w:rsidRDefault="00913C78" w:rsidP="00E221F6">
            <w:pPr>
              <w:pStyle w:val="ae"/>
              <w:rPr>
                <w:b w:val="0"/>
                <w:bCs/>
              </w:rPr>
            </w:pPr>
            <w:r w:rsidRPr="00F22172">
              <w:rPr>
                <w:rFonts w:hint="eastAsia"/>
                <w:b w:val="0"/>
                <w:bCs/>
              </w:rPr>
              <w:t>照明功率密度</w:t>
            </w:r>
            <w:r w:rsidRPr="00F22172">
              <w:rPr>
                <w:rFonts w:hint="eastAsia"/>
                <w:b w:val="0"/>
                <w:bCs/>
              </w:rPr>
              <w:t>/</w:t>
            </w:r>
            <w:r w:rsidRPr="00F22172">
              <w:rPr>
                <w:rFonts w:hint="eastAsia"/>
                <w:b w:val="0"/>
                <w:bCs/>
              </w:rPr>
              <w:t>（</w:t>
            </w:r>
            <w:r w:rsidRPr="00F22172">
              <w:rPr>
                <w:rFonts w:hint="eastAsia"/>
                <w:b w:val="0"/>
                <w:bCs/>
              </w:rPr>
              <w:t>W/m</w:t>
            </w:r>
            <w:r w:rsidRPr="00F83296">
              <w:rPr>
                <w:b w:val="0"/>
                <w:bCs/>
                <w:vertAlign w:val="superscript"/>
              </w:rPr>
              <w:t>2</w:t>
            </w:r>
            <w:r w:rsidRPr="00F22172">
              <w:rPr>
                <w:rFonts w:hint="eastAsia"/>
                <w:b w:val="0"/>
                <w:bCs/>
              </w:rPr>
              <w:t>）</w:t>
            </w:r>
          </w:p>
        </w:tc>
      </w:tr>
      <w:tr w:rsidR="00913C78" w:rsidRPr="00F22172" w14:paraId="3E3ABAD6" w14:textId="77777777" w:rsidTr="00E221F6">
        <w:tc>
          <w:tcPr>
            <w:tcW w:w="3247" w:type="dxa"/>
            <w:gridSpan w:val="2"/>
            <w:vAlign w:val="center"/>
            <w:hideMark/>
          </w:tcPr>
          <w:p w14:paraId="5FD040FC" w14:textId="77777777" w:rsidR="00913C78" w:rsidRPr="00F22172" w:rsidRDefault="00913C78" w:rsidP="00E221F6">
            <w:pPr>
              <w:pStyle w:val="ae"/>
              <w:rPr>
                <w:b w:val="0"/>
                <w:bCs/>
              </w:rPr>
            </w:pPr>
            <w:r w:rsidRPr="00F22172">
              <w:rPr>
                <w:rFonts w:hint="eastAsia"/>
                <w:b w:val="0"/>
                <w:bCs/>
              </w:rPr>
              <w:t>办公建筑</w:t>
            </w:r>
          </w:p>
        </w:tc>
        <w:tc>
          <w:tcPr>
            <w:tcW w:w="2345" w:type="dxa"/>
            <w:noWrap/>
            <w:vAlign w:val="center"/>
            <w:hideMark/>
          </w:tcPr>
          <w:p w14:paraId="5359FC8E" w14:textId="77777777" w:rsidR="00913C78" w:rsidRPr="00F22172" w:rsidRDefault="00913C78" w:rsidP="00E221F6">
            <w:pPr>
              <w:pStyle w:val="ae"/>
              <w:rPr>
                <w:b w:val="0"/>
                <w:bCs/>
              </w:rPr>
            </w:pPr>
            <w:r w:rsidRPr="00F22172">
              <w:rPr>
                <w:rFonts w:hint="eastAsia"/>
                <w:b w:val="0"/>
                <w:bCs/>
              </w:rPr>
              <w:t>9.0</w:t>
            </w:r>
          </w:p>
        </w:tc>
      </w:tr>
      <w:tr w:rsidR="00913C78" w:rsidRPr="00F22172" w14:paraId="4002DB06" w14:textId="77777777" w:rsidTr="00E221F6">
        <w:tc>
          <w:tcPr>
            <w:tcW w:w="3247" w:type="dxa"/>
            <w:gridSpan w:val="2"/>
            <w:vAlign w:val="center"/>
            <w:hideMark/>
          </w:tcPr>
          <w:p w14:paraId="6E1E891E" w14:textId="77777777" w:rsidR="00913C78" w:rsidRPr="00F22172" w:rsidRDefault="00913C78" w:rsidP="00E221F6">
            <w:pPr>
              <w:pStyle w:val="ae"/>
              <w:rPr>
                <w:b w:val="0"/>
                <w:bCs/>
              </w:rPr>
            </w:pPr>
            <w:r w:rsidRPr="00F22172">
              <w:rPr>
                <w:rFonts w:hint="eastAsia"/>
                <w:b w:val="0"/>
                <w:bCs/>
              </w:rPr>
              <w:t>校园建筑——教学楼</w:t>
            </w:r>
          </w:p>
        </w:tc>
        <w:tc>
          <w:tcPr>
            <w:tcW w:w="2345" w:type="dxa"/>
            <w:noWrap/>
            <w:vAlign w:val="center"/>
            <w:hideMark/>
          </w:tcPr>
          <w:p w14:paraId="247F3AE3" w14:textId="77777777" w:rsidR="00913C78" w:rsidRPr="00F22172" w:rsidRDefault="00913C78" w:rsidP="00E221F6">
            <w:pPr>
              <w:pStyle w:val="ae"/>
              <w:rPr>
                <w:b w:val="0"/>
                <w:bCs/>
              </w:rPr>
            </w:pPr>
            <w:r w:rsidRPr="00F22172">
              <w:rPr>
                <w:rFonts w:hint="eastAsia"/>
                <w:b w:val="0"/>
                <w:bCs/>
              </w:rPr>
              <w:t>9.0</w:t>
            </w:r>
          </w:p>
        </w:tc>
      </w:tr>
      <w:tr w:rsidR="00913C78" w:rsidRPr="00F22172" w14:paraId="37BAF395" w14:textId="77777777" w:rsidTr="00E221F6">
        <w:tc>
          <w:tcPr>
            <w:tcW w:w="1623" w:type="dxa"/>
            <w:vMerge w:val="restart"/>
            <w:vAlign w:val="center"/>
            <w:hideMark/>
          </w:tcPr>
          <w:p w14:paraId="489956BC" w14:textId="77777777" w:rsidR="00913C78" w:rsidRPr="00F22172" w:rsidRDefault="00913C78" w:rsidP="00E221F6">
            <w:pPr>
              <w:pStyle w:val="ae"/>
              <w:rPr>
                <w:b w:val="0"/>
                <w:bCs/>
              </w:rPr>
            </w:pPr>
            <w:r w:rsidRPr="00F22172">
              <w:rPr>
                <w:rFonts w:hint="eastAsia"/>
                <w:b w:val="0"/>
                <w:bCs/>
              </w:rPr>
              <w:t>商店建筑</w:t>
            </w:r>
          </w:p>
        </w:tc>
        <w:tc>
          <w:tcPr>
            <w:tcW w:w="1624" w:type="dxa"/>
            <w:noWrap/>
            <w:vAlign w:val="center"/>
            <w:hideMark/>
          </w:tcPr>
          <w:p w14:paraId="3DA1572B" w14:textId="77777777" w:rsidR="00913C78" w:rsidRPr="00F22172" w:rsidRDefault="00913C78" w:rsidP="00E221F6">
            <w:pPr>
              <w:pStyle w:val="ae"/>
              <w:rPr>
                <w:b w:val="0"/>
                <w:bCs/>
              </w:rPr>
            </w:pPr>
            <w:r w:rsidRPr="00F22172">
              <w:rPr>
                <w:rFonts w:hint="eastAsia"/>
                <w:b w:val="0"/>
                <w:bCs/>
              </w:rPr>
              <w:t>一般商场</w:t>
            </w:r>
          </w:p>
        </w:tc>
        <w:tc>
          <w:tcPr>
            <w:tcW w:w="2345" w:type="dxa"/>
            <w:noWrap/>
            <w:vAlign w:val="center"/>
            <w:hideMark/>
          </w:tcPr>
          <w:p w14:paraId="7199E389" w14:textId="77777777" w:rsidR="00913C78" w:rsidRPr="00F22172" w:rsidRDefault="00913C78" w:rsidP="00E221F6">
            <w:pPr>
              <w:pStyle w:val="ae"/>
              <w:rPr>
                <w:b w:val="0"/>
                <w:bCs/>
              </w:rPr>
            </w:pPr>
            <w:r w:rsidRPr="00F22172">
              <w:rPr>
                <w:rFonts w:hint="eastAsia"/>
                <w:b w:val="0"/>
                <w:bCs/>
              </w:rPr>
              <w:t>10.0</w:t>
            </w:r>
          </w:p>
        </w:tc>
      </w:tr>
      <w:tr w:rsidR="00913C78" w:rsidRPr="00F22172" w14:paraId="2401171A" w14:textId="77777777" w:rsidTr="00E221F6">
        <w:tc>
          <w:tcPr>
            <w:tcW w:w="1623" w:type="dxa"/>
            <w:vMerge/>
            <w:vAlign w:val="center"/>
            <w:hideMark/>
          </w:tcPr>
          <w:p w14:paraId="1A1F7BDD" w14:textId="77777777" w:rsidR="00913C78" w:rsidRPr="00F22172" w:rsidRDefault="00913C78" w:rsidP="00E221F6">
            <w:pPr>
              <w:pStyle w:val="ae"/>
              <w:rPr>
                <w:b w:val="0"/>
                <w:bCs/>
              </w:rPr>
            </w:pPr>
          </w:p>
        </w:tc>
        <w:tc>
          <w:tcPr>
            <w:tcW w:w="1624" w:type="dxa"/>
            <w:noWrap/>
            <w:vAlign w:val="center"/>
            <w:hideMark/>
          </w:tcPr>
          <w:p w14:paraId="44DF93DE" w14:textId="77777777" w:rsidR="00913C78" w:rsidRPr="00F22172" w:rsidRDefault="00913C78" w:rsidP="00E221F6">
            <w:pPr>
              <w:pStyle w:val="ae"/>
              <w:rPr>
                <w:b w:val="0"/>
                <w:bCs/>
              </w:rPr>
            </w:pPr>
            <w:r w:rsidRPr="00F22172">
              <w:rPr>
                <w:rFonts w:hint="eastAsia"/>
                <w:b w:val="0"/>
                <w:bCs/>
              </w:rPr>
              <w:t>高档商场</w:t>
            </w:r>
          </w:p>
        </w:tc>
        <w:tc>
          <w:tcPr>
            <w:tcW w:w="2345" w:type="dxa"/>
            <w:noWrap/>
            <w:vAlign w:val="center"/>
            <w:hideMark/>
          </w:tcPr>
          <w:p w14:paraId="50388988" w14:textId="77777777" w:rsidR="00913C78" w:rsidRPr="00F22172" w:rsidRDefault="00913C78" w:rsidP="00E221F6">
            <w:pPr>
              <w:pStyle w:val="ae"/>
              <w:rPr>
                <w:b w:val="0"/>
                <w:bCs/>
              </w:rPr>
            </w:pPr>
            <w:r w:rsidRPr="00F22172">
              <w:rPr>
                <w:rFonts w:hint="eastAsia"/>
                <w:b w:val="0"/>
                <w:bCs/>
              </w:rPr>
              <w:t>16.0</w:t>
            </w:r>
          </w:p>
        </w:tc>
      </w:tr>
      <w:tr w:rsidR="00913C78" w:rsidRPr="00F22172" w14:paraId="683C02AC" w14:textId="77777777" w:rsidTr="00E221F6">
        <w:tc>
          <w:tcPr>
            <w:tcW w:w="3247" w:type="dxa"/>
            <w:gridSpan w:val="2"/>
            <w:vAlign w:val="center"/>
            <w:hideMark/>
          </w:tcPr>
          <w:p w14:paraId="58DFFB1D" w14:textId="77777777" w:rsidR="00913C78" w:rsidRPr="00F22172" w:rsidRDefault="00913C78" w:rsidP="00E221F6">
            <w:pPr>
              <w:pStyle w:val="ae"/>
              <w:rPr>
                <w:b w:val="0"/>
                <w:bCs/>
              </w:rPr>
            </w:pPr>
            <w:r w:rsidRPr="00F22172">
              <w:rPr>
                <w:rFonts w:hint="eastAsia"/>
                <w:b w:val="0"/>
                <w:bCs/>
              </w:rPr>
              <w:t>医疗建筑——门诊楼</w:t>
            </w:r>
          </w:p>
        </w:tc>
        <w:tc>
          <w:tcPr>
            <w:tcW w:w="2345" w:type="dxa"/>
            <w:noWrap/>
            <w:vAlign w:val="center"/>
            <w:hideMark/>
          </w:tcPr>
          <w:p w14:paraId="23B169FE" w14:textId="77777777" w:rsidR="00913C78" w:rsidRPr="00F22172" w:rsidRDefault="00913C78" w:rsidP="00E221F6">
            <w:pPr>
              <w:pStyle w:val="ae"/>
              <w:rPr>
                <w:b w:val="0"/>
                <w:bCs/>
              </w:rPr>
            </w:pPr>
            <w:r w:rsidRPr="00F22172">
              <w:rPr>
                <w:rFonts w:hint="eastAsia"/>
                <w:b w:val="0"/>
                <w:bCs/>
              </w:rPr>
              <w:t>9.0</w:t>
            </w:r>
          </w:p>
        </w:tc>
      </w:tr>
      <w:tr w:rsidR="00913C78" w:rsidRPr="00F22172" w14:paraId="78932D81" w14:textId="77777777" w:rsidTr="00E221F6">
        <w:tc>
          <w:tcPr>
            <w:tcW w:w="3247" w:type="dxa"/>
            <w:gridSpan w:val="2"/>
            <w:vAlign w:val="center"/>
            <w:hideMark/>
          </w:tcPr>
          <w:p w14:paraId="613F72AC" w14:textId="77777777" w:rsidR="00913C78" w:rsidRPr="00F22172" w:rsidRDefault="00913C78" w:rsidP="00E221F6">
            <w:pPr>
              <w:pStyle w:val="ae"/>
              <w:rPr>
                <w:b w:val="0"/>
                <w:bCs/>
              </w:rPr>
            </w:pPr>
            <w:r w:rsidRPr="00F22172">
              <w:rPr>
                <w:rFonts w:hint="eastAsia"/>
                <w:b w:val="0"/>
                <w:bCs/>
              </w:rPr>
              <w:t>宾馆建筑</w:t>
            </w:r>
          </w:p>
        </w:tc>
        <w:tc>
          <w:tcPr>
            <w:tcW w:w="2345" w:type="dxa"/>
            <w:noWrap/>
            <w:vAlign w:val="center"/>
            <w:hideMark/>
          </w:tcPr>
          <w:p w14:paraId="5A1F29CB" w14:textId="77777777" w:rsidR="00913C78" w:rsidRPr="00F22172" w:rsidRDefault="00913C78" w:rsidP="00E221F6">
            <w:pPr>
              <w:pStyle w:val="ae"/>
              <w:rPr>
                <w:b w:val="0"/>
                <w:bCs/>
              </w:rPr>
            </w:pPr>
            <w:r w:rsidRPr="00F22172">
              <w:rPr>
                <w:rFonts w:hint="eastAsia"/>
                <w:b w:val="0"/>
                <w:bCs/>
              </w:rPr>
              <w:t>7.0</w:t>
            </w:r>
          </w:p>
        </w:tc>
      </w:tr>
      <w:tr w:rsidR="00913C78" w:rsidRPr="00F22172" w14:paraId="4C97584F" w14:textId="77777777" w:rsidTr="00E221F6">
        <w:tc>
          <w:tcPr>
            <w:tcW w:w="3247" w:type="dxa"/>
            <w:gridSpan w:val="2"/>
            <w:vAlign w:val="center"/>
            <w:hideMark/>
          </w:tcPr>
          <w:p w14:paraId="4145A91F" w14:textId="77777777" w:rsidR="00913C78" w:rsidRPr="00F22172" w:rsidRDefault="00913C78" w:rsidP="00E221F6">
            <w:pPr>
              <w:pStyle w:val="ae"/>
              <w:rPr>
                <w:b w:val="0"/>
                <w:bCs/>
              </w:rPr>
            </w:pPr>
            <w:r w:rsidRPr="00F22172">
              <w:rPr>
                <w:rFonts w:hint="eastAsia"/>
                <w:b w:val="0"/>
                <w:bCs/>
              </w:rPr>
              <w:lastRenderedPageBreak/>
              <w:t>交通建筑——候车（机）、售票、出发大厅</w:t>
            </w:r>
          </w:p>
        </w:tc>
        <w:tc>
          <w:tcPr>
            <w:tcW w:w="2345" w:type="dxa"/>
            <w:noWrap/>
            <w:vAlign w:val="center"/>
            <w:hideMark/>
          </w:tcPr>
          <w:p w14:paraId="2875DC76" w14:textId="77777777" w:rsidR="00913C78" w:rsidRPr="00F22172" w:rsidRDefault="00913C78" w:rsidP="00E221F6">
            <w:pPr>
              <w:pStyle w:val="ae"/>
              <w:rPr>
                <w:b w:val="0"/>
                <w:bCs/>
              </w:rPr>
            </w:pPr>
            <w:r w:rsidRPr="00F22172">
              <w:rPr>
                <w:rFonts w:hint="eastAsia"/>
                <w:b w:val="0"/>
                <w:bCs/>
              </w:rPr>
              <w:t>9.0</w:t>
            </w:r>
          </w:p>
        </w:tc>
      </w:tr>
      <w:tr w:rsidR="00913C78" w:rsidRPr="00F22172" w14:paraId="73842E49" w14:textId="77777777" w:rsidTr="00E221F6">
        <w:tc>
          <w:tcPr>
            <w:tcW w:w="3247" w:type="dxa"/>
            <w:gridSpan w:val="2"/>
            <w:vAlign w:val="center"/>
            <w:hideMark/>
          </w:tcPr>
          <w:p w14:paraId="6523A670" w14:textId="77777777" w:rsidR="00913C78" w:rsidRPr="00F22172" w:rsidRDefault="00913C78" w:rsidP="00E221F6">
            <w:pPr>
              <w:pStyle w:val="ae"/>
              <w:rPr>
                <w:b w:val="0"/>
                <w:bCs/>
              </w:rPr>
            </w:pPr>
            <w:r w:rsidRPr="00F22172">
              <w:rPr>
                <w:rFonts w:hint="eastAsia"/>
                <w:b w:val="0"/>
                <w:bCs/>
              </w:rPr>
              <w:t>体育建筑</w:t>
            </w:r>
          </w:p>
        </w:tc>
        <w:tc>
          <w:tcPr>
            <w:tcW w:w="2345" w:type="dxa"/>
            <w:noWrap/>
            <w:vAlign w:val="center"/>
            <w:hideMark/>
          </w:tcPr>
          <w:p w14:paraId="23B50B6E" w14:textId="77777777" w:rsidR="00913C78" w:rsidRPr="00F22172" w:rsidRDefault="00913C78" w:rsidP="00E221F6">
            <w:pPr>
              <w:pStyle w:val="ae"/>
              <w:rPr>
                <w:b w:val="0"/>
                <w:bCs/>
              </w:rPr>
            </w:pPr>
            <w:r w:rsidRPr="00F22172">
              <w:rPr>
                <w:rFonts w:hint="eastAsia"/>
                <w:b w:val="0"/>
                <w:bCs/>
              </w:rPr>
              <w:t>7.0</w:t>
            </w:r>
          </w:p>
        </w:tc>
      </w:tr>
      <w:tr w:rsidR="00913C78" w:rsidRPr="00F22172" w14:paraId="5BC10361" w14:textId="77777777" w:rsidTr="00E221F6">
        <w:tc>
          <w:tcPr>
            <w:tcW w:w="3247" w:type="dxa"/>
            <w:gridSpan w:val="2"/>
            <w:vAlign w:val="center"/>
            <w:hideMark/>
          </w:tcPr>
          <w:p w14:paraId="30F0909F" w14:textId="77777777" w:rsidR="00913C78" w:rsidRPr="00F22172" w:rsidRDefault="00913C78" w:rsidP="00E221F6">
            <w:pPr>
              <w:pStyle w:val="ae"/>
              <w:rPr>
                <w:b w:val="0"/>
                <w:bCs/>
              </w:rPr>
            </w:pPr>
            <w:r w:rsidRPr="00F22172">
              <w:rPr>
                <w:rFonts w:hint="eastAsia"/>
                <w:b w:val="0"/>
                <w:bCs/>
              </w:rPr>
              <w:t>观演建筑</w:t>
            </w:r>
          </w:p>
        </w:tc>
        <w:tc>
          <w:tcPr>
            <w:tcW w:w="2345" w:type="dxa"/>
            <w:noWrap/>
            <w:vAlign w:val="center"/>
            <w:hideMark/>
          </w:tcPr>
          <w:p w14:paraId="17E8DF08" w14:textId="77777777" w:rsidR="00913C78" w:rsidRPr="00F22172" w:rsidRDefault="00913C78" w:rsidP="00E221F6">
            <w:pPr>
              <w:pStyle w:val="ae"/>
              <w:rPr>
                <w:b w:val="0"/>
                <w:bCs/>
              </w:rPr>
            </w:pPr>
            <w:r w:rsidRPr="00F22172">
              <w:rPr>
                <w:rFonts w:hint="eastAsia"/>
                <w:b w:val="0"/>
                <w:bCs/>
              </w:rPr>
              <w:t>9.0</w:t>
            </w:r>
          </w:p>
        </w:tc>
      </w:tr>
      <w:tr w:rsidR="00913C78" w:rsidRPr="00F22172" w14:paraId="437D10E0" w14:textId="77777777" w:rsidTr="00E221F6">
        <w:tc>
          <w:tcPr>
            <w:tcW w:w="3247" w:type="dxa"/>
            <w:gridSpan w:val="2"/>
            <w:vAlign w:val="center"/>
            <w:hideMark/>
          </w:tcPr>
          <w:p w14:paraId="16AB9966" w14:textId="77777777" w:rsidR="00913C78" w:rsidRPr="00F22172" w:rsidRDefault="00913C78" w:rsidP="00E221F6">
            <w:pPr>
              <w:pStyle w:val="ae"/>
              <w:rPr>
                <w:b w:val="0"/>
                <w:bCs/>
              </w:rPr>
            </w:pPr>
            <w:r w:rsidRPr="00F22172">
              <w:rPr>
                <w:rFonts w:hint="eastAsia"/>
                <w:b w:val="0"/>
                <w:bCs/>
              </w:rPr>
              <w:t>展览建筑</w:t>
            </w:r>
          </w:p>
        </w:tc>
        <w:tc>
          <w:tcPr>
            <w:tcW w:w="2345" w:type="dxa"/>
            <w:noWrap/>
            <w:vAlign w:val="center"/>
            <w:hideMark/>
          </w:tcPr>
          <w:p w14:paraId="5028ACE1" w14:textId="77777777" w:rsidR="00913C78" w:rsidRPr="00F22172" w:rsidRDefault="00913C78" w:rsidP="00E221F6">
            <w:pPr>
              <w:pStyle w:val="ae"/>
              <w:rPr>
                <w:b w:val="0"/>
                <w:bCs/>
              </w:rPr>
            </w:pPr>
            <w:r w:rsidRPr="00F22172">
              <w:rPr>
                <w:rFonts w:hint="eastAsia"/>
                <w:b w:val="0"/>
                <w:bCs/>
              </w:rPr>
              <w:t>10.0</w:t>
            </w:r>
          </w:p>
        </w:tc>
      </w:tr>
    </w:tbl>
    <w:p w14:paraId="2FFD32C0" w14:textId="55333975" w:rsidR="00913C78" w:rsidRPr="00913C78" w:rsidRDefault="00913C78" w:rsidP="00F22172">
      <w:pPr>
        <w:pStyle w:val="ae"/>
      </w:pPr>
      <w:r w:rsidRPr="00913C78">
        <w:rPr>
          <w:rFonts w:hint="eastAsia"/>
        </w:rPr>
        <w:t>附表</w:t>
      </w:r>
      <w:r w:rsidRPr="00913C78">
        <w:rPr>
          <w:rFonts w:hint="eastAsia"/>
        </w:rPr>
        <w:t>A.5.</w:t>
      </w:r>
      <w:r w:rsidR="00532D0F">
        <w:t>6</w:t>
      </w:r>
      <w:r w:rsidRPr="00913C78">
        <w:t xml:space="preserve"> </w:t>
      </w:r>
      <w:r w:rsidRPr="00913C78">
        <w:rPr>
          <w:rFonts w:hint="eastAsia"/>
        </w:rPr>
        <w:t xml:space="preserve"> </w:t>
      </w:r>
      <w:r w:rsidRPr="00913C78">
        <w:rPr>
          <w:rFonts w:hint="eastAsia"/>
        </w:rPr>
        <w:t>办公建筑</w:t>
      </w:r>
      <w:r w:rsidRPr="00913C78">
        <w:t>、教学楼、</w:t>
      </w:r>
      <w:r w:rsidRPr="00913C78">
        <w:rPr>
          <w:rFonts w:hint="eastAsia"/>
        </w:rPr>
        <w:t>宾馆</w:t>
      </w:r>
      <w:r w:rsidRPr="00913C78">
        <w:t>建筑、住院部、商店建筑、</w:t>
      </w:r>
      <w:r w:rsidRPr="00913C78">
        <w:rPr>
          <w:rFonts w:hint="eastAsia"/>
        </w:rPr>
        <w:t>门诊楼照明开启率时间</w:t>
      </w:r>
      <w:r w:rsidRPr="00913C78">
        <w:t>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1"/>
        <w:gridCol w:w="657"/>
        <w:gridCol w:w="453"/>
        <w:gridCol w:w="454"/>
        <w:gridCol w:w="454"/>
        <w:gridCol w:w="453"/>
        <w:gridCol w:w="454"/>
        <w:gridCol w:w="454"/>
        <w:gridCol w:w="453"/>
        <w:gridCol w:w="454"/>
        <w:gridCol w:w="454"/>
        <w:gridCol w:w="453"/>
        <w:gridCol w:w="454"/>
        <w:gridCol w:w="454"/>
        <w:gridCol w:w="8"/>
      </w:tblGrid>
      <w:tr w:rsidR="00913C78" w:rsidRPr="00F22172" w14:paraId="6E45B6E7" w14:textId="77777777" w:rsidTr="00E221F6">
        <w:trPr>
          <w:jc w:val="center"/>
        </w:trPr>
        <w:tc>
          <w:tcPr>
            <w:tcW w:w="1261" w:type="dxa"/>
            <w:vMerge w:val="restart"/>
            <w:shd w:val="clear" w:color="auto" w:fill="auto"/>
            <w:vAlign w:val="center"/>
            <w:hideMark/>
          </w:tcPr>
          <w:p w14:paraId="1F90AD45" w14:textId="77777777" w:rsidR="00913C78" w:rsidRPr="00F22172" w:rsidRDefault="00913C78" w:rsidP="00F22172">
            <w:pPr>
              <w:pStyle w:val="ae"/>
              <w:rPr>
                <w:b w:val="0"/>
                <w:bCs/>
              </w:rPr>
            </w:pPr>
            <w:r w:rsidRPr="00F22172">
              <w:rPr>
                <w:rFonts w:hint="eastAsia"/>
                <w:b w:val="0"/>
                <w:bCs/>
              </w:rPr>
              <w:t>建筑类别</w:t>
            </w:r>
          </w:p>
        </w:tc>
        <w:tc>
          <w:tcPr>
            <w:tcW w:w="657" w:type="dxa"/>
            <w:vMerge w:val="restart"/>
            <w:shd w:val="clear" w:color="auto" w:fill="auto"/>
            <w:vAlign w:val="center"/>
            <w:hideMark/>
          </w:tcPr>
          <w:p w14:paraId="0C53E86A" w14:textId="77777777" w:rsidR="00913C78" w:rsidRPr="00F22172" w:rsidRDefault="00913C78" w:rsidP="00F22172">
            <w:pPr>
              <w:pStyle w:val="ae"/>
              <w:rPr>
                <w:b w:val="0"/>
                <w:bCs/>
              </w:rPr>
            </w:pPr>
            <w:r w:rsidRPr="00F22172">
              <w:rPr>
                <w:rFonts w:hint="eastAsia"/>
                <w:b w:val="0"/>
                <w:bCs/>
              </w:rPr>
              <w:t>运行时段</w:t>
            </w:r>
          </w:p>
        </w:tc>
        <w:tc>
          <w:tcPr>
            <w:tcW w:w="5452" w:type="dxa"/>
            <w:gridSpan w:val="13"/>
            <w:shd w:val="clear" w:color="auto" w:fill="auto"/>
            <w:vAlign w:val="center"/>
            <w:hideMark/>
          </w:tcPr>
          <w:p w14:paraId="0A07F4C4"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照明开启率</w:t>
            </w:r>
            <w:r w:rsidRPr="00F22172">
              <w:rPr>
                <w:rFonts w:hint="eastAsia"/>
                <w:b w:val="0"/>
                <w:bCs/>
              </w:rPr>
              <w:t>/%</w:t>
            </w:r>
          </w:p>
        </w:tc>
      </w:tr>
      <w:tr w:rsidR="00913C78" w:rsidRPr="00F22172" w14:paraId="7FD3A9B2" w14:textId="77777777" w:rsidTr="00E221F6">
        <w:trPr>
          <w:gridAfter w:val="1"/>
          <w:wAfter w:w="8" w:type="dxa"/>
          <w:jc w:val="center"/>
        </w:trPr>
        <w:tc>
          <w:tcPr>
            <w:tcW w:w="1261" w:type="dxa"/>
            <w:vMerge/>
            <w:shd w:val="clear" w:color="auto" w:fill="auto"/>
            <w:vAlign w:val="center"/>
            <w:hideMark/>
          </w:tcPr>
          <w:p w14:paraId="0386A280" w14:textId="77777777" w:rsidR="00913C78" w:rsidRPr="00F22172" w:rsidRDefault="00913C78" w:rsidP="00F22172">
            <w:pPr>
              <w:pStyle w:val="ae"/>
              <w:rPr>
                <w:b w:val="0"/>
                <w:bCs/>
              </w:rPr>
            </w:pPr>
          </w:p>
        </w:tc>
        <w:tc>
          <w:tcPr>
            <w:tcW w:w="657" w:type="dxa"/>
            <w:vMerge/>
            <w:shd w:val="clear" w:color="auto" w:fill="auto"/>
            <w:vAlign w:val="center"/>
            <w:hideMark/>
          </w:tcPr>
          <w:p w14:paraId="5F14AF3D" w14:textId="77777777" w:rsidR="00913C78" w:rsidRPr="00F22172" w:rsidRDefault="00913C78" w:rsidP="00F22172">
            <w:pPr>
              <w:pStyle w:val="ae"/>
              <w:rPr>
                <w:b w:val="0"/>
                <w:bCs/>
              </w:rPr>
            </w:pPr>
          </w:p>
        </w:tc>
        <w:tc>
          <w:tcPr>
            <w:tcW w:w="453" w:type="dxa"/>
            <w:shd w:val="clear" w:color="auto" w:fill="auto"/>
            <w:vAlign w:val="center"/>
            <w:hideMark/>
          </w:tcPr>
          <w:p w14:paraId="37938D7A" w14:textId="77777777" w:rsidR="00913C78" w:rsidRPr="00F22172" w:rsidRDefault="00913C78" w:rsidP="00F22172">
            <w:pPr>
              <w:pStyle w:val="ae"/>
              <w:rPr>
                <w:b w:val="0"/>
                <w:bCs/>
              </w:rPr>
            </w:pPr>
            <w:r w:rsidRPr="00F22172">
              <w:rPr>
                <w:rFonts w:hint="eastAsia"/>
                <w:b w:val="0"/>
                <w:bCs/>
              </w:rPr>
              <w:t>1</w:t>
            </w:r>
          </w:p>
        </w:tc>
        <w:tc>
          <w:tcPr>
            <w:tcW w:w="454" w:type="dxa"/>
            <w:shd w:val="clear" w:color="auto" w:fill="auto"/>
            <w:vAlign w:val="center"/>
            <w:hideMark/>
          </w:tcPr>
          <w:p w14:paraId="32A764C0" w14:textId="77777777" w:rsidR="00913C78" w:rsidRPr="00F22172" w:rsidRDefault="00913C78" w:rsidP="00F22172">
            <w:pPr>
              <w:pStyle w:val="ae"/>
              <w:rPr>
                <w:b w:val="0"/>
                <w:bCs/>
              </w:rPr>
            </w:pPr>
            <w:r w:rsidRPr="00F22172">
              <w:rPr>
                <w:rFonts w:hint="eastAsia"/>
                <w:b w:val="0"/>
                <w:bCs/>
              </w:rPr>
              <w:t>2</w:t>
            </w:r>
          </w:p>
        </w:tc>
        <w:tc>
          <w:tcPr>
            <w:tcW w:w="454" w:type="dxa"/>
            <w:shd w:val="clear" w:color="auto" w:fill="auto"/>
            <w:vAlign w:val="center"/>
            <w:hideMark/>
          </w:tcPr>
          <w:p w14:paraId="5AD0F503" w14:textId="77777777" w:rsidR="00913C78" w:rsidRPr="00F22172" w:rsidRDefault="00913C78" w:rsidP="00F22172">
            <w:pPr>
              <w:pStyle w:val="ae"/>
              <w:rPr>
                <w:b w:val="0"/>
                <w:bCs/>
              </w:rPr>
            </w:pPr>
            <w:r w:rsidRPr="00F22172">
              <w:rPr>
                <w:rFonts w:hint="eastAsia"/>
                <w:b w:val="0"/>
                <w:bCs/>
              </w:rPr>
              <w:t>3</w:t>
            </w:r>
          </w:p>
        </w:tc>
        <w:tc>
          <w:tcPr>
            <w:tcW w:w="453" w:type="dxa"/>
            <w:shd w:val="clear" w:color="auto" w:fill="auto"/>
            <w:vAlign w:val="center"/>
            <w:hideMark/>
          </w:tcPr>
          <w:p w14:paraId="1D545713" w14:textId="77777777" w:rsidR="00913C78" w:rsidRPr="00F22172" w:rsidRDefault="00913C78" w:rsidP="00F22172">
            <w:pPr>
              <w:pStyle w:val="ae"/>
              <w:rPr>
                <w:b w:val="0"/>
                <w:bCs/>
              </w:rPr>
            </w:pPr>
            <w:r w:rsidRPr="00F22172">
              <w:rPr>
                <w:rFonts w:hint="eastAsia"/>
                <w:b w:val="0"/>
                <w:bCs/>
              </w:rPr>
              <w:t>4</w:t>
            </w:r>
          </w:p>
        </w:tc>
        <w:tc>
          <w:tcPr>
            <w:tcW w:w="454" w:type="dxa"/>
            <w:shd w:val="clear" w:color="auto" w:fill="auto"/>
            <w:vAlign w:val="center"/>
            <w:hideMark/>
          </w:tcPr>
          <w:p w14:paraId="479D255B" w14:textId="77777777" w:rsidR="00913C78" w:rsidRPr="00F22172" w:rsidRDefault="00913C78" w:rsidP="00F22172">
            <w:pPr>
              <w:pStyle w:val="ae"/>
              <w:rPr>
                <w:b w:val="0"/>
                <w:bCs/>
              </w:rPr>
            </w:pPr>
            <w:r w:rsidRPr="00F22172">
              <w:rPr>
                <w:rFonts w:hint="eastAsia"/>
                <w:b w:val="0"/>
                <w:bCs/>
              </w:rPr>
              <w:t>5</w:t>
            </w:r>
          </w:p>
        </w:tc>
        <w:tc>
          <w:tcPr>
            <w:tcW w:w="454" w:type="dxa"/>
            <w:shd w:val="clear" w:color="auto" w:fill="auto"/>
            <w:vAlign w:val="center"/>
            <w:hideMark/>
          </w:tcPr>
          <w:p w14:paraId="72AEE966" w14:textId="77777777" w:rsidR="00913C78" w:rsidRPr="00F22172" w:rsidRDefault="00913C78" w:rsidP="00F22172">
            <w:pPr>
              <w:pStyle w:val="ae"/>
              <w:rPr>
                <w:b w:val="0"/>
                <w:bCs/>
              </w:rPr>
            </w:pPr>
            <w:r w:rsidRPr="00F22172">
              <w:rPr>
                <w:rFonts w:hint="eastAsia"/>
                <w:b w:val="0"/>
                <w:bCs/>
              </w:rPr>
              <w:t>6</w:t>
            </w:r>
          </w:p>
        </w:tc>
        <w:tc>
          <w:tcPr>
            <w:tcW w:w="453" w:type="dxa"/>
            <w:shd w:val="clear" w:color="auto" w:fill="auto"/>
            <w:vAlign w:val="center"/>
            <w:hideMark/>
          </w:tcPr>
          <w:p w14:paraId="3B3CE9FD" w14:textId="77777777" w:rsidR="00913C78" w:rsidRPr="00F22172" w:rsidRDefault="00913C78" w:rsidP="00F22172">
            <w:pPr>
              <w:pStyle w:val="ae"/>
              <w:rPr>
                <w:b w:val="0"/>
                <w:bCs/>
              </w:rPr>
            </w:pPr>
            <w:r w:rsidRPr="00F22172">
              <w:rPr>
                <w:rFonts w:hint="eastAsia"/>
                <w:b w:val="0"/>
                <w:bCs/>
              </w:rPr>
              <w:t>7</w:t>
            </w:r>
          </w:p>
        </w:tc>
        <w:tc>
          <w:tcPr>
            <w:tcW w:w="454" w:type="dxa"/>
            <w:shd w:val="clear" w:color="auto" w:fill="auto"/>
            <w:vAlign w:val="center"/>
            <w:hideMark/>
          </w:tcPr>
          <w:p w14:paraId="2AE9532C" w14:textId="77777777" w:rsidR="00913C78" w:rsidRPr="00F22172" w:rsidRDefault="00913C78" w:rsidP="00F22172">
            <w:pPr>
              <w:pStyle w:val="ae"/>
              <w:rPr>
                <w:b w:val="0"/>
                <w:bCs/>
              </w:rPr>
            </w:pPr>
            <w:r w:rsidRPr="00F22172">
              <w:rPr>
                <w:rFonts w:hint="eastAsia"/>
                <w:b w:val="0"/>
                <w:bCs/>
              </w:rPr>
              <w:t>8</w:t>
            </w:r>
          </w:p>
        </w:tc>
        <w:tc>
          <w:tcPr>
            <w:tcW w:w="454" w:type="dxa"/>
            <w:shd w:val="clear" w:color="auto" w:fill="auto"/>
            <w:vAlign w:val="center"/>
            <w:hideMark/>
          </w:tcPr>
          <w:p w14:paraId="542884AB" w14:textId="77777777" w:rsidR="00913C78" w:rsidRPr="00F22172" w:rsidRDefault="00913C78" w:rsidP="00F22172">
            <w:pPr>
              <w:pStyle w:val="ae"/>
              <w:rPr>
                <w:b w:val="0"/>
                <w:bCs/>
              </w:rPr>
            </w:pPr>
            <w:r w:rsidRPr="00F22172">
              <w:rPr>
                <w:rFonts w:hint="eastAsia"/>
                <w:b w:val="0"/>
                <w:bCs/>
              </w:rPr>
              <w:t>9</w:t>
            </w:r>
          </w:p>
        </w:tc>
        <w:tc>
          <w:tcPr>
            <w:tcW w:w="453" w:type="dxa"/>
            <w:shd w:val="clear" w:color="auto" w:fill="auto"/>
            <w:vAlign w:val="center"/>
            <w:hideMark/>
          </w:tcPr>
          <w:p w14:paraId="31766B1D"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26F80CF5" w14:textId="77777777" w:rsidR="00913C78" w:rsidRPr="00F22172" w:rsidRDefault="00913C78" w:rsidP="00F22172">
            <w:pPr>
              <w:pStyle w:val="ae"/>
              <w:rPr>
                <w:b w:val="0"/>
                <w:bCs/>
              </w:rPr>
            </w:pPr>
            <w:r w:rsidRPr="00F22172">
              <w:rPr>
                <w:rFonts w:hint="eastAsia"/>
                <w:b w:val="0"/>
                <w:bCs/>
              </w:rPr>
              <w:t>11</w:t>
            </w:r>
          </w:p>
        </w:tc>
        <w:tc>
          <w:tcPr>
            <w:tcW w:w="454" w:type="dxa"/>
            <w:shd w:val="clear" w:color="auto" w:fill="auto"/>
            <w:vAlign w:val="center"/>
            <w:hideMark/>
          </w:tcPr>
          <w:p w14:paraId="1515C92E" w14:textId="77777777" w:rsidR="00913C78" w:rsidRPr="00F22172" w:rsidRDefault="00913C78" w:rsidP="00F22172">
            <w:pPr>
              <w:pStyle w:val="ae"/>
              <w:rPr>
                <w:b w:val="0"/>
                <w:bCs/>
              </w:rPr>
            </w:pPr>
            <w:r w:rsidRPr="00F22172">
              <w:rPr>
                <w:rFonts w:hint="eastAsia"/>
                <w:b w:val="0"/>
                <w:bCs/>
              </w:rPr>
              <w:t>12</w:t>
            </w:r>
          </w:p>
        </w:tc>
      </w:tr>
      <w:tr w:rsidR="00913C78" w:rsidRPr="00F22172" w14:paraId="1F100B69" w14:textId="77777777" w:rsidTr="00E221F6">
        <w:trPr>
          <w:gridAfter w:val="1"/>
          <w:wAfter w:w="8" w:type="dxa"/>
          <w:jc w:val="center"/>
        </w:trPr>
        <w:tc>
          <w:tcPr>
            <w:tcW w:w="1261" w:type="dxa"/>
            <w:vMerge w:val="restart"/>
            <w:shd w:val="clear" w:color="auto" w:fill="auto"/>
            <w:vAlign w:val="center"/>
            <w:hideMark/>
          </w:tcPr>
          <w:p w14:paraId="76221682" w14:textId="77777777" w:rsidR="00913C78" w:rsidRPr="00F22172" w:rsidRDefault="00913C78" w:rsidP="00F22172">
            <w:pPr>
              <w:pStyle w:val="ae"/>
              <w:rPr>
                <w:b w:val="0"/>
                <w:bCs/>
              </w:rPr>
            </w:pPr>
            <w:r w:rsidRPr="00F22172">
              <w:rPr>
                <w:rFonts w:hint="eastAsia"/>
                <w:b w:val="0"/>
                <w:bCs/>
              </w:rPr>
              <w:t>办公建筑、教学楼</w:t>
            </w:r>
          </w:p>
        </w:tc>
        <w:tc>
          <w:tcPr>
            <w:tcW w:w="657" w:type="dxa"/>
            <w:shd w:val="clear" w:color="auto" w:fill="auto"/>
            <w:vAlign w:val="center"/>
            <w:hideMark/>
          </w:tcPr>
          <w:p w14:paraId="14C67B61" w14:textId="77777777" w:rsidR="00913C78" w:rsidRPr="00F22172" w:rsidRDefault="00913C78" w:rsidP="00F22172">
            <w:pPr>
              <w:pStyle w:val="ae"/>
              <w:rPr>
                <w:b w:val="0"/>
                <w:bCs/>
              </w:rPr>
            </w:pPr>
            <w:r w:rsidRPr="00F22172">
              <w:rPr>
                <w:rFonts w:hint="eastAsia"/>
                <w:b w:val="0"/>
                <w:bCs/>
              </w:rPr>
              <w:t>工作日</w:t>
            </w:r>
          </w:p>
        </w:tc>
        <w:tc>
          <w:tcPr>
            <w:tcW w:w="453" w:type="dxa"/>
            <w:shd w:val="clear" w:color="auto" w:fill="auto"/>
            <w:vAlign w:val="center"/>
            <w:hideMark/>
          </w:tcPr>
          <w:p w14:paraId="1D77FF59"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1F8BBB45"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4E9C19E9"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559AE34C"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320ECAC7"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7C860AE8"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3D5D6596"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430EF658" w14:textId="77777777" w:rsidR="00913C78" w:rsidRPr="00F22172" w:rsidRDefault="00913C78" w:rsidP="00F22172">
            <w:pPr>
              <w:pStyle w:val="ae"/>
              <w:rPr>
                <w:b w:val="0"/>
                <w:bCs/>
              </w:rPr>
            </w:pPr>
            <w:r w:rsidRPr="00F22172">
              <w:rPr>
                <w:rFonts w:hint="eastAsia"/>
                <w:b w:val="0"/>
                <w:bCs/>
              </w:rPr>
              <w:t>50</w:t>
            </w:r>
          </w:p>
        </w:tc>
        <w:tc>
          <w:tcPr>
            <w:tcW w:w="454" w:type="dxa"/>
            <w:shd w:val="clear" w:color="auto" w:fill="auto"/>
            <w:vAlign w:val="center"/>
            <w:hideMark/>
          </w:tcPr>
          <w:p w14:paraId="300D796B" w14:textId="77777777" w:rsidR="00913C78" w:rsidRPr="00F22172" w:rsidRDefault="00913C78" w:rsidP="00F22172">
            <w:pPr>
              <w:pStyle w:val="ae"/>
              <w:rPr>
                <w:b w:val="0"/>
                <w:bCs/>
              </w:rPr>
            </w:pPr>
            <w:r w:rsidRPr="00F22172">
              <w:rPr>
                <w:rFonts w:hint="eastAsia"/>
                <w:b w:val="0"/>
                <w:bCs/>
              </w:rPr>
              <w:t>95</w:t>
            </w:r>
          </w:p>
        </w:tc>
        <w:tc>
          <w:tcPr>
            <w:tcW w:w="453" w:type="dxa"/>
            <w:shd w:val="clear" w:color="auto" w:fill="auto"/>
            <w:vAlign w:val="center"/>
            <w:hideMark/>
          </w:tcPr>
          <w:p w14:paraId="0FF7C37C" w14:textId="77777777" w:rsidR="00913C78" w:rsidRPr="00F22172" w:rsidRDefault="00913C78" w:rsidP="00F22172">
            <w:pPr>
              <w:pStyle w:val="ae"/>
              <w:rPr>
                <w:b w:val="0"/>
                <w:bCs/>
              </w:rPr>
            </w:pPr>
            <w:r w:rsidRPr="00F22172">
              <w:rPr>
                <w:rFonts w:hint="eastAsia"/>
                <w:b w:val="0"/>
                <w:bCs/>
              </w:rPr>
              <w:t>95</w:t>
            </w:r>
          </w:p>
        </w:tc>
        <w:tc>
          <w:tcPr>
            <w:tcW w:w="454" w:type="dxa"/>
            <w:shd w:val="clear" w:color="auto" w:fill="auto"/>
            <w:vAlign w:val="center"/>
            <w:hideMark/>
          </w:tcPr>
          <w:p w14:paraId="2F1315B5" w14:textId="77777777" w:rsidR="00913C78" w:rsidRPr="00F22172" w:rsidRDefault="00913C78" w:rsidP="00F22172">
            <w:pPr>
              <w:pStyle w:val="ae"/>
              <w:rPr>
                <w:b w:val="0"/>
                <w:bCs/>
              </w:rPr>
            </w:pPr>
            <w:r w:rsidRPr="00F22172">
              <w:rPr>
                <w:rFonts w:hint="eastAsia"/>
                <w:b w:val="0"/>
                <w:bCs/>
              </w:rPr>
              <w:t>95</w:t>
            </w:r>
          </w:p>
        </w:tc>
        <w:tc>
          <w:tcPr>
            <w:tcW w:w="454" w:type="dxa"/>
            <w:shd w:val="clear" w:color="auto" w:fill="auto"/>
            <w:vAlign w:val="center"/>
            <w:hideMark/>
          </w:tcPr>
          <w:p w14:paraId="0A349A4C" w14:textId="77777777" w:rsidR="00913C78" w:rsidRPr="00F22172" w:rsidRDefault="00913C78" w:rsidP="00F22172">
            <w:pPr>
              <w:pStyle w:val="ae"/>
              <w:rPr>
                <w:b w:val="0"/>
                <w:bCs/>
              </w:rPr>
            </w:pPr>
            <w:r w:rsidRPr="00F22172">
              <w:rPr>
                <w:rFonts w:hint="eastAsia"/>
                <w:b w:val="0"/>
                <w:bCs/>
              </w:rPr>
              <w:t>80</w:t>
            </w:r>
          </w:p>
        </w:tc>
      </w:tr>
      <w:tr w:rsidR="00913C78" w:rsidRPr="00F22172" w14:paraId="79F09E65" w14:textId="77777777" w:rsidTr="00E221F6">
        <w:trPr>
          <w:gridAfter w:val="1"/>
          <w:wAfter w:w="8" w:type="dxa"/>
          <w:jc w:val="center"/>
        </w:trPr>
        <w:tc>
          <w:tcPr>
            <w:tcW w:w="1261" w:type="dxa"/>
            <w:vMerge/>
            <w:shd w:val="clear" w:color="auto" w:fill="auto"/>
            <w:vAlign w:val="center"/>
            <w:hideMark/>
          </w:tcPr>
          <w:p w14:paraId="45927EA8" w14:textId="77777777" w:rsidR="00913C78" w:rsidRPr="00F22172" w:rsidRDefault="00913C78" w:rsidP="00F22172">
            <w:pPr>
              <w:pStyle w:val="ae"/>
              <w:rPr>
                <w:b w:val="0"/>
                <w:bCs/>
              </w:rPr>
            </w:pPr>
          </w:p>
        </w:tc>
        <w:tc>
          <w:tcPr>
            <w:tcW w:w="657" w:type="dxa"/>
            <w:shd w:val="clear" w:color="auto" w:fill="auto"/>
            <w:vAlign w:val="center"/>
            <w:hideMark/>
          </w:tcPr>
          <w:p w14:paraId="2011BFC3" w14:textId="77777777" w:rsidR="00913C78" w:rsidRPr="00F22172" w:rsidRDefault="00913C78" w:rsidP="00F22172">
            <w:pPr>
              <w:pStyle w:val="ae"/>
              <w:rPr>
                <w:b w:val="0"/>
                <w:bCs/>
              </w:rPr>
            </w:pPr>
            <w:r w:rsidRPr="00F22172">
              <w:rPr>
                <w:rFonts w:hint="eastAsia"/>
                <w:b w:val="0"/>
                <w:bCs/>
              </w:rPr>
              <w:t>节假日</w:t>
            </w:r>
          </w:p>
        </w:tc>
        <w:tc>
          <w:tcPr>
            <w:tcW w:w="453" w:type="dxa"/>
            <w:shd w:val="clear" w:color="auto" w:fill="auto"/>
            <w:vAlign w:val="center"/>
            <w:hideMark/>
          </w:tcPr>
          <w:p w14:paraId="63F64F50"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7B4DA818"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6D36A078"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63B71041"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00F786C7"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32FA28C1"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41FA5140"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3B0BE120"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51C854C0"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0D683893"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724F0550"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5C8BCAD1" w14:textId="77777777" w:rsidR="00913C78" w:rsidRPr="00F22172" w:rsidRDefault="00913C78" w:rsidP="00F22172">
            <w:pPr>
              <w:pStyle w:val="ae"/>
              <w:rPr>
                <w:b w:val="0"/>
                <w:bCs/>
              </w:rPr>
            </w:pPr>
            <w:r w:rsidRPr="00F22172">
              <w:rPr>
                <w:rFonts w:hint="eastAsia"/>
                <w:b w:val="0"/>
                <w:bCs/>
              </w:rPr>
              <w:t>0</w:t>
            </w:r>
          </w:p>
        </w:tc>
      </w:tr>
    </w:tbl>
    <w:p w14:paraId="1EF98D2B" w14:textId="77777777" w:rsidR="00913C78" w:rsidRPr="00913C78" w:rsidRDefault="00913C78" w:rsidP="00F22172">
      <w:pPr>
        <w:ind w:firstLine="420"/>
        <w:jc w:val="right"/>
      </w:pPr>
      <w:r w:rsidRPr="00913C78">
        <w:rPr>
          <w:rFonts w:hint="eastAsia"/>
        </w:rPr>
        <w:t>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1261"/>
        <w:gridCol w:w="657"/>
        <w:gridCol w:w="453"/>
        <w:gridCol w:w="454"/>
        <w:gridCol w:w="454"/>
        <w:gridCol w:w="453"/>
        <w:gridCol w:w="454"/>
        <w:gridCol w:w="454"/>
        <w:gridCol w:w="453"/>
        <w:gridCol w:w="454"/>
        <w:gridCol w:w="454"/>
        <w:gridCol w:w="453"/>
        <w:gridCol w:w="454"/>
        <w:gridCol w:w="454"/>
        <w:gridCol w:w="8"/>
      </w:tblGrid>
      <w:tr w:rsidR="00913C78" w:rsidRPr="00F22172" w14:paraId="511128B0" w14:textId="77777777" w:rsidTr="00E221F6">
        <w:trPr>
          <w:jc w:val="center"/>
        </w:trPr>
        <w:tc>
          <w:tcPr>
            <w:tcW w:w="1261" w:type="dxa"/>
            <w:vMerge w:val="restart"/>
            <w:shd w:val="clear" w:color="auto" w:fill="auto"/>
            <w:vAlign w:val="center"/>
            <w:hideMark/>
          </w:tcPr>
          <w:p w14:paraId="66A9637D" w14:textId="77777777" w:rsidR="00913C78" w:rsidRPr="00F22172" w:rsidRDefault="00913C78" w:rsidP="00F22172">
            <w:pPr>
              <w:pStyle w:val="ae"/>
              <w:rPr>
                <w:b w:val="0"/>
                <w:bCs/>
              </w:rPr>
            </w:pPr>
            <w:r w:rsidRPr="00F22172">
              <w:rPr>
                <w:rFonts w:hint="eastAsia"/>
                <w:b w:val="0"/>
                <w:bCs/>
              </w:rPr>
              <w:t>建筑类别</w:t>
            </w:r>
          </w:p>
        </w:tc>
        <w:tc>
          <w:tcPr>
            <w:tcW w:w="657" w:type="dxa"/>
            <w:vMerge w:val="restart"/>
            <w:shd w:val="clear" w:color="auto" w:fill="auto"/>
            <w:vAlign w:val="center"/>
            <w:hideMark/>
          </w:tcPr>
          <w:p w14:paraId="0B5AAD72" w14:textId="77777777" w:rsidR="00913C78" w:rsidRPr="00F22172" w:rsidRDefault="00913C78" w:rsidP="00F22172">
            <w:pPr>
              <w:pStyle w:val="ae"/>
              <w:rPr>
                <w:b w:val="0"/>
                <w:bCs/>
              </w:rPr>
            </w:pPr>
            <w:r w:rsidRPr="00F22172">
              <w:rPr>
                <w:rFonts w:hint="eastAsia"/>
                <w:b w:val="0"/>
                <w:bCs/>
              </w:rPr>
              <w:t>运行时段</w:t>
            </w:r>
          </w:p>
        </w:tc>
        <w:tc>
          <w:tcPr>
            <w:tcW w:w="5452" w:type="dxa"/>
            <w:gridSpan w:val="13"/>
            <w:shd w:val="clear" w:color="auto" w:fill="auto"/>
            <w:vAlign w:val="center"/>
            <w:hideMark/>
          </w:tcPr>
          <w:p w14:paraId="30BCABA2"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照明开启率</w:t>
            </w:r>
            <w:r w:rsidRPr="00F22172">
              <w:rPr>
                <w:rFonts w:hint="eastAsia"/>
                <w:b w:val="0"/>
                <w:bCs/>
              </w:rPr>
              <w:t>/%</w:t>
            </w:r>
          </w:p>
        </w:tc>
      </w:tr>
      <w:tr w:rsidR="00913C78" w:rsidRPr="00F22172" w14:paraId="7F0F9AC4" w14:textId="77777777" w:rsidTr="00E221F6">
        <w:trPr>
          <w:gridAfter w:val="1"/>
          <w:wAfter w:w="8" w:type="dxa"/>
          <w:jc w:val="center"/>
        </w:trPr>
        <w:tc>
          <w:tcPr>
            <w:tcW w:w="1261" w:type="dxa"/>
            <w:vMerge/>
            <w:shd w:val="clear" w:color="auto" w:fill="auto"/>
            <w:vAlign w:val="center"/>
            <w:hideMark/>
          </w:tcPr>
          <w:p w14:paraId="1A52C2AE" w14:textId="77777777" w:rsidR="00913C78" w:rsidRPr="00F22172" w:rsidRDefault="00913C78" w:rsidP="00F22172">
            <w:pPr>
              <w:pStyle w:val="ae"/>
              <w:rPr>
                <w:b w:val="0"/>
                <w:bCs/>
              </w:rPr>
            </w:pPr>
          </w:p>
        </w:tc>
        <w:tc>
          <w:tcPr>
            <w:tcW w:w="657" w:type="dxa"/>
            <w:vMerge/>
            <w:shd w:val="clear" w:color="auto" w:fill="auto"/>
            <w:vAlign w:val="center"/>
            <w:hideMark/>
          </w:tcPr>
          <w:p w14:paraId="74033F69" w14:textId="77777777" w:rsidR="00913C78" w:rsidRPr="00F22172" w:rsidRDefault="00913C78" w:rsidP="00F22172">
            <w:pPr>
              <w:pStyle w:val="ae"/>
              <w:rPr>
                <w:b w:val="0"/>
                <w:bCs/>
              </w:rPr>
            </w:pPr>
          </w:p>
        </w:tc>
        <w:tc>
          <w:tcPr>
            <w:tcW w:w="453" w:type="dxa"/>
            <w:shd w:val="clear" w:color="auto" w:fill="auto"/>
            <w:vAlign w:val="center"/>
            <w:hideMark/>
          </w:tcPr>
          <w:p w14:paraId="3BA493CF" w14:textId="77777777" w:rsidR="00913C78" w:rsidRPr="00F22172" w:rsidRDefault="00913C78" w:rsidP="00F22172">
            <w:pPr>
              <w:pStyle w:val="ae"/>
              <w:rPr>
                <w:b w:val="0"/>
                <w:bCs/>
              </w:rPr>
            </w:pPr>
            <w:r w:rsidRPr="00F22172">
              <w:rPr>
                <w:rFonts w:hint="eastAsia"/>
                <w:b w:val="0"/>
                <w:bCs/>
              </w:rPr>
              <w:t>1</w:t>
            </w:r>
          </w:p>
        </w:tc>
        <w:tc>
          <w:tcPr>
            <w:tcW w:w="454" w:type="dxa"/>
            <w:shd w:val="clear" w:color="auto" w:fill="auto"/>
            <w:vAlign w:val="center"/>
            <w:hideMark/>
          </w:tcPr>
          <w:p w14:paraId="33C73EFF" w14:textId="77777777" w:rsidR="00913C78" w:rsidRPr="00F22172" w:rsidRDefault="00913C78" w:rsidP="00F22172">
            <w:pPr>
              <w:pStyle w:val="ae"/>
              <w:rPr>
                <w:b w:val="0"/>
                <w:bCs/>
              </w:rPr>
            </w:pPr>
            <w:r w:rsidRPr="00F22172">
              <w:rPr>
                <w:rFonts w:hint="eastAsia"/>
                <w:b w:val="0"/>
                <w:bCs/>
              </w:rPr>
              <w:t>2</w:t>
            </w:r>
          </w:p>
        </w:tc>
        <w:tc>
          <w:tcPr>
            <w:tcW w:w="454" w:type="dxa"/>
            <w:shd w:val="clear" w:color="auto" w:fill="auto"/>
            <w:vAlign w:val="center"/>
            <w:hideMark/>
          </w:tcPr>
          <w:p w14:paraId="7DC88B75" w14:textId="77777777" w:rsidR="00913C78" w:rsidRPr="00F22172" w:rsidRDefault="00913C78" w:rsidP="00F22172">
            <w:pPr>
              <w:pStyle w:val="ae"/>
              <w:rPr>
                <w:b w:val="0"/>
                <w:bCs/>
              </w:rPr>
            </w:pPr>
            <w:r w:rsidRPr="00F22172">
              <w:rPr>
                <w:rFonts w:hint="eastAsia"/>
                <w:b w:val="0"/>
                <w:bCs/>
              </w:rPr>
              <w:t>3</w:t>
            </w:r>
          </w:p>
        </w:tc>
        <w:tc>
          <w:tcPr>
            <w:tcW w:w="453" w:type="dxa"/>
            <w:shd w:val="clear" w:color="auto" w:fill="auto"/>
            <w:vAlign w:val="center"/>
            <w:hideMark/>
          </w:tcPr>
          <w:p w14:paraId="119B0B02" w14:textId="77777777" w:rsidR="00913C78" w:rsidRPr="00F22172" w:rsidRDefault="00913C78" w:rsidP="00F22172">
            <w:pPr>
              <w:pStyle w:val="ae"/>
              <w:rPr>
                <w:b w:val="0"/>
                <w:bCs/>
              </w:rPr>
            </w:pPr>
            <w:r w:rsidRPr="00F22172">
              <w:rPr>
                <w:rFonts w:hint="eastAsia"/>
                <w:b w:val="0"/>
                <w:bCs/>
              </w:rPr>
              <w:t>4</w:t>
            </w:r>
          </w:p>
        </w:tc>
        <w:tc>
          <w:tcPr>
            <w:tcW w:w="454" w:type="dxa"/>
            <w:shd w:val="clear" w:color="auto" w:fill="auto"/>
            <w:vAlign w:val="center"/>
            <w:hideMark/>
          </w:tcPr>
          <w:p w14:paraId="0401F6D0" w14:textId="77777777" w:rsidR="00913C78" w:rsidRPr="00F22172" w:rsidRDefault="00913C78" w:rsidP="00F22172">
            <w:pPr>
              <w:pStyle w:val="ae"/>
              <w:rPr>
                <w:b w:val="0"/>
                <w:bCs/>
              </w:rPr>
            </w:pPr>
            <w:r w:rsidRPr="00F22172">
              <w:rPr>
                <w:rFonts w:hint="eastAsia"/>
                <w:b w:val="0"/>
                <w:bCs/>
              </w:rPr>
              <w:t>5</w:t>
            </w:r>
          </w:p>
        </w:tc>
        <w:tc>
          <w:tcPr>
            <w:tcW w:w="454" w:type="dxa"/>
            <w:shd w:val="clear" w:color="auto" w:fill="auto"/>
            <w:vAlign w:val="center"/>
            <w:hideMark/>
          </w:tcPr>
          <w:p w14:paraId="5A664E0C" w14:textId="77777777" w:rsidR="00913C78" w:rsidRPr="00F22172" w:rsidRDefault="00913C78" w:rsidP="00F22172">
            <w:pPr>
              <w:pStyle w:val="ae"/>
              <w:rPr>
                <w:b w:val="0"/>
                <w:bCs/>
              </w:rPr>
            </w:pPr>
            <w:r w:rsidRPr="00F22172">
              <w:rPr>
                <w:rFonts w:hint="eastAsia"/>
                <w:b w:val="0"/>
                <w:bCs/>
              </w:rPr>
              <w:t>6</w:t>
            </w:r>
          </w:p>
        </w:tc>
        <w:tc>
          <w:tcPr>
            <w:tcW w:w="453" w:type="dxa"/>
            <w:shd w:val="clear" w:color="auto" w:fill="auto"/>
            <w:vAlign w:val="center"/>
            <w:hideMark/>
          </w:tcPr>
          <w:p w14:paraId="21CCFCF3" w14:textId="77777777" w:rsidR="00913C78" w:rsidRPr="00F22172" w:rsidRDefault="00913C78" w:rsidP="00F22172">
            <w:pPr>
              <w:pStyle w:val="ae"/>
              <w:rPr>
                <w:b w:val="0"/>
                <w:bCs/>
              </w:rPr>
            </w:pPr>
            <w:r w:rsidRPr="00F22172">
              <w:rPr>
                <w:rFonts w:hint="eastAsia"/>
                <w:b w:val="0"/>
                <w:bCs/>
              </w:rPr>
              <w:t>7</w:t>
            </w:r>
          </w:p>
        </w:tc>
        <w:tc>
          <w:tcPr>
            <w:tcW w:w="454" w:type="dxa"/>
            <w:shd w:val="clear" w:color="auto" w:fill="auto"/>
            <w:vAlign w:val="center"/>
            <w:hideMark/>
          </w:tcPr>
          <w:p w14:paraId="5010C0E8" w14:textId="77777777" w:rsidR="00913C78" w:rsidRPr="00F22172" w:rsidRDefault="00913C78" w:rsidP="00F22172">
            <w:pPr>
              <w:pStyle w:val="ae"/>
              <w:rPr>
                <w:b w:val="0"/>
                <w:bCs/>
              </w:rPr>
            </w:pPr>
            <w:r w:rsidRPr="00F22172">
              <w:rPr>
                <w:rFonts w:hint="eastAsia"/>
                <w:b w:val="0"/>
                <w:bCs/>
              </w:rPr>
              <w:t>8</w:t>
            </w:r>
          </w:p>
        </w:tc>
        <w:tc>
          <w:tcPr>
            <w:tcW w:w="454" w:type="dxa"/>
            <w:shd w:val="clear" w:color="auto" w:fill="auto"/>
            <w:vAlign w:val="center"/>
            <w:hideMark/>
          </w:tcPr>
          <w:p w14:paraId="2DC55AD3" w14:textId="77777777" w:rsidR="00913C78" w:rsidRPr="00F22172" w:rsidRDefault="00913C78" w:rsidP="00F22172">
            <w:pPr>
              <w:pStyle w:val="ae"/>
              <w:rPr>
                <w:b w:val="0"/>
                <w:bCs/>
              </w:rPr>
            </w:pPr>
            <w:r w:rsidRPr="00F22172">
              <w:rPr>
                <w:rFonts w:hint="eastAsia"/>
                <w:b w:val="0"/>
                <w:bCs/>
              </w:rPr>
              <w:t>9</w:t>
            </w:r>
          </w:p>
        </w:tc>
        <w:tc>
          <w:tcPr>
            <w:tcW w:w="453" w:type="dxa"/>
            <w:shd w:val="clear" w:color="auto" w:fill="auto"/>
            <w:vAlign w:val="center"/>
            <w:hideMark/>
          </w:tcPr>
          <w:p w14:paraId="073A22A1"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5C4F2306" w14:textId="77777777" w:rsidR="00913C78" w:rsidRPr="00F22172" w:rsidRDefault="00913C78" w:rsidP="00F22172">
            <w:pPr>
              <w:pStyle w:val="ae"/>
              <w:rPr>
                <w:b w:val="0"/>
                <w:bCs/>
              </w:rPr>
            </w:pPr>
            <w:r w:rsidRPr="00F22172">
              <w:rPr>
                <w:rFonts w:hint="eastAsia"/>
                <w:b w:val="0"/>
                <w:bCs/>
              </w:rPr>
              <w:t>11</w:t>
            </w:r>
          </w:p>
        </w:tc>
        <w:tc>
          <w:tcPr>
            <w:tcW w:w="454" w:type="dxa"/>
            <w:shd w:val="clear" w:color="auto" w:fill="auto"/>
            <w:vAlign w:val="center"/>
            <w:hideMark/>
          </w:tcPr>
          <w:p w14:paraId="62FF8148" w14:textId="77777777" w:rsidR="00913C78" w:rsidRPr="00F22172" w:rsidRDefault="00913C78" w:rsidP="00F22172">
            <w:pPr>
              <w:pStyle w:val="ae"/>
              <w:rPr>
                <w:b w:val="0"/>
                <w:bCs/>
              </w:rPr>
            </w:pPr>
            <w:r w:rsidRPr="00F22172">
              <w:rPr>
                <w:rFonts w:hint="eastAsia"/>
                <w:b w:val="0"/>
                <w:bCs/>
              </w:rPr>
              <w:t>12</w:t>
            </w:r>
          </w:p>
        </w:tc>
      </w:tr>
      <w:tr w:rsidR="00913C78" w:rsidRPr="00F22172" w14:paraId="7BF08151" w14:textId="77777777" w:rsidTr="00E221F6">
        <w:trPr>
          <w:gridAfter w:val="1"/>
          <w:wAfter w:w="8" w:type="dxa"/>
          <w:jc w:val="center"/>
        </w:trPr>
        <w:tc>
          <w:tcPr>
            <w:tcW w:w="1261" w:type="dxa"/>
            <w:shd w:val="clear" w:color="auto" w:fill="auto"/>
            <w:vAlign w:val="center"/>
            <w:hideMark/>
          </w:tcPr>
          <w:p w14:paraId="14B15BD3" w14:textId="77777777" w:rsidR="00913C78" w:rsidRPr="00F22172" w:rsidRDefault="00913C78" w:rsidP="00F22172">
            <w:pPr>
              <w:pStyle w:val="ae"/>
              <w:rPr>
                <w:b w:val="0"/>
                <w:bCs/>
              </w:rPr>
            </w:pPr>
            <w:r w:rsidRPr="00F22172">
              <w:rPr>
                <w:rFonts w:hint="eastAsia"/>
                <w:b w:val="0"/>
                <w:bCs/>
              </w:rPr>
              <w:t>宾馆建筑、住院部</w:t>
            </w:r>
          </w:p>
        </w:tc>
        <w:tc>
          <w:tcPr>
            <w:tcW w:w="657" w:type="dxa"/>
            <w:shd w:val="clear" w:color="auto" w:fill="auto"/>
            <w:vAlign w:val="center"/>
            <w:hideMark/>
          </w:tcPr>
          <w:p w14:paraId="731C62A0" w14:textId="77777777" w:rsidR="00913C78" w:rsidRPr="00F22172" w:rsidRDefault="00913C78" w:rsidP="00F22172">
            <w:pPr>
              <w:pStyle w:val="ae"/>
              <w:rPr>
                <w:b w:val="0"/>
                <w:bCs/>
              </w:rPr>
            </w:pPr>
            <w:r w:rsidRPr="00F22172">
              <w:rPr>
                <w:rFonts w:hint="eastAsia"/>
                <w:b w:val="0"/>
                <w:bCs/>
              </w:rPr>
              <w:t>全年</w:t>
            </w:r>
          </w:p>
        </w:tc>
        <w:tc>
          <w:tcPr>
            <w:tcW w:w="453" w:type="dxa"/>
            <w:shd w:val="clear" w:color="auto" w:fill="auto"/>
            <w:vAlign w:val="center"/>
            <w:hideMark/>
          </w:tcPr>
          <w:p w14:paraId="23007E13"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64F172BF"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1DCBED0B" w14:textId="77777777" w:rsidR="00913C78" w:rsidRPr="00F22172" w:rsidRDefault="00913C78" w:rsidP="00F22172">
            <w:pPr>
              <w:pStyle w:val="ae"/>
              <w:rPr>
                <w:b w:val="0"/>
                <w:bCs/>
              </w:rPr>
            </w:pPr>
            <w:r w:rsidRPr="00F22172">
              <w:rPr>
                <w:rFonts w:hint="eastAsia"/>
                <w:b w:val="0"/>
                <w:bCs/>
              </w:rPr>
              <w:t>10</w:t>
            </w:r>
          </w:p>
        </w:tc>
        <w:tc>
          <w:tcPr>
            <w:tcW w:w="453" w:type="dxa"/>
            <w:shd w:val="clear" w:color="auto" w:fill="auto"/>
            <w:vAlign w:val="center"/>
            <w:hideMark/>
          </w:tcPr>
          <w:p w14:paraId="335188CD"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59F9F717"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6589064B" w14:textId="77777777" w:rsidR="00913C78" w:rsidRPr="00F22172" w:rsidRDefault="00913C78" w:rsidP="00F22172">
            <w:pPr>
              <w:pStyle w:val="ae"/>
              <w:rPr>
                <w:b w:val="0"/>
                <w:bCs/>
              </w:rPr>
            </w:pPr>
            <w:r w:rsidRPr="00F22172">
              <w:rPr>
                <w:rFonts w:hint="eastAsia"/>
                <w:b w:val="0"/>
                <w:bCs/>
              </w:rPr>
              <w:t>10</w:t>
            </w:r>
          </w:p>
        </w:tc>
        <w:tc>
          <w:tcPr>
            <w:tcW w:w="453" w:type="dxa"/>
            <w:shd w:val="clear" w:color="auto" w:fill="auto"/>
            <w:vAlign w:val="center"/>
            <w:hideMark/>
          </w:tcPr>
          <w:p w14:paraId="54C35C63"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65BC2671"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7E1BAD24" w14:textId="77777777" w:rsidR="00913C78" w:rsidRPr="00F22172" w:rsidRDefault="00913C78" w:rsidP="00F22172">
            <w:pPr>
              <w:pStyle w:val="ae"/>
              <w:rPr>
                <w:b w:val="0"/>
                <w:bCs/>
              </w:rPr>
            </w:pPr>
            <w:r w:rsidRPr="00F22172">
              <w:rPr>
                <w:rFonts w:hint="eastAsia"/>
                <w:b w:val="0"/>
                <w:bCs/>
              </w:rPr>
              <w:t>30</w:t>
            </w:r>
          </w:p>
        </w:tc>
        <w:tc>
          <w:tcPr>
            <w:tcW w:w="453" w:type="dxa"/>
            <w:shd w:val="clear" w:color="auto" w:fill="auto"/>
            <w:vAlign w:val="center"/>
            <w:hideMark/>
          </w:tcPr>
          <w:p w14:paraId="06CE3418"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2FB1337E"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3C113A25" w14:textId="77777777" w:rsidR="00913C78" w:rsidRPr="00F22172" w:rsidRDefault="00913C78" w:rsidP="00F22172">
            <w:pPr>
              <w:pStyle w:val="ae"/>
              <w:rPr>
                <w:b w:val="0"/>
                <w:bCs/>
              </w:rPr>
            </w:pPr>
            <w:r w:rsidRPr="00F22172">
              <w:rPr>
                <w:rFonts w:hint="eastAsia"/>
                <w:b w:val="0"/>
                <w:bCs/>
              </w:rPr>
              <w:t>30</w:t>
            </w:r>
          </w:p>
        </w:tc>
      </w:tr>
      <w:tr w:rsidR="00913C78" w:rsidRPr="00F22172" w14:paraId="0ED94C19" w14:textId="77777777" w:rsidTr="00E221F6">
        <w:trPr>
          <w:gridAfter w:val="1"/>
          <w:wAfter w:w="8" w:type="dxa"/>
          <w:jc w:val="center"/>
        </w:trPr>
        <w:tc>
          <w:tcPr>
            <w:tcW w:w="1261" w:type="dxa"/>
            <w:shd w:val="clear" w:color="auto" w:fill="auto"/>
            <w:vAlign w:val="center"/>
            <w:hideMark/>
          </w:tcPr>
          <w:p w14:paraId="549E057F" w14:textId="77777777" w:rsidR="00913C78" w:rsidRPr="00F22172" w:rsidRDefault="00913C78" w:rsidP="00F22172">
            <w:pPr>
              <w:pStyle w:val="ae"/>
              <w:rPr>
                <w:b w:val="0"/>
                <w:bCs/>
              </w:rPr>
            </w:pPr>
            <w:r w:rsidRPr="00F22172">
              <w:rPr>
                <w:rFonts w:hint="eastAsia"/>
                <w:b w:val="0"/>
                <w:bCs/>
              </w:rPr>
              <w:t>商店建筑、门诊楼</w:t>
            </w:r>
          </w:p>
        </w:tc>
        <w:tc>
          <w:tcPr>
            <w:tcW w:w="657" w:type="dxa"/>
            <w:shd w:val="clear" w:color="auto" w:fill="auto"/>
            <w:vAlign w:val="center"/>
            <w:hideMark/>
          </w:tcPr>
          <w:p w14:paraId="4D45C9C1" w14:textId="77777777" w:rsidR="00913C78" w:rsidRPr="00F22172" w:rsidRDefault="00913C78" w:rsidP="00F22172">
            <w:pPr>
              <w:pStyle w:val="ae"/>
              <w:rPr>
                <w:b w:val="0"/>
                <w:bCs/>
              </w:rPr>
            </w:pPr>
            <w:r w:rsidRPr="00F22172">
              <w:rPr>
                <w:rFonts w:hint="eastAsia"/>
                <w:b w:val="0"/>
                <w:bCs/>
              </w:rPr>
              <w:t>全年</w:t>
            </w:r>
          </w:p>
        </w:tc>
        <w:tc>
          <w:tcPr>
            <w:tcW w:w="453" w:type="dxa"/>
            <w:shd w:val="clear" w:color="auto" w:fill="auto"/>
            <w:vAlign w:val="center"/>
            <w:hideMark/>
          </w:tcPr>
          <w:p w14:paraId="0959CB2E"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54D463EC"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730A481F" w14:textId="77777777" w:rsidR="00913C78" w:rsidRPr="00F22172" w:rsidRDefault="00913C78" w:rsidP="00F22172">
            <w:pPr>
              <w:pStyle w:val="ae"/>
              <w:rPr>
                <w:b w:val="0"/>
                <w:bCs/>
              </w:rPr>
            </w:pPr>
            <w:r w:rsidRPr="00F22172">
              <w:rPr>
                <w:rFonts w:hint="eastAsia"/>
                <w:b w:val="0"/>
                <w:bCs/>
              </w:rPr>
              <w:t>10</w:t>
            </w:r>
          </w:p>
        </w:tc>
        <w:tc>
          <w:tcPr>
            <w:tcW w:w="453" w:type="dxa"/>
            <w:shd w:val="clear" w:color="auto" w:fill="auto"/>
            <w:vAlign w:val="center"/>
            <w:hideMark/>
          </w:tcPr>
          <w:p w14:paraId="6C7DC2F9"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2FADB216"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3595B190" w14:textId="77777777" w:rsidR="00913C78" w:rsidRPr="00F22172" w:rsidRDefault="00913C78" w:rsidP="00F22172">
            <w:pPr>
              <w:pStyle w:val="ae"/>
              <w:rPr>
                <w:b w:val="0"/>
                <w:bCs/>
              </w:rPr>
            </w:pPr>
            <w:r w:rsidRPr="00F22172">
              <w:rPr>
                <w:rFonts w:hint="eastAsia"/>
                <w:b w:val="0"/>
                <w:bCs/>
              </w:rPr>
              <w:t>10</w:t>
            </w:r>
          </w:p>
        </w:tc>
        <w:tc>
          <w:tcPr>
            <w:tcW w:w="453" w:type="dxa"/>
            <w:shd w:val="clear" w:color="auto" w:fill="auto"/>
            <w:vAlign w:val="center"/>
            <w:hideMark/>
          </w:tcPr>
          <w:p w14:paraId="4AC9A44C"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34B0E049"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009920D9" w14:textId="77777777" w:rsidR="00913C78" w:rsidRPr="00F22172" w:rsidRDefault="00913C78" w:rsidP="00F22172">
            <w:pPr>
              <w:pStyle w:val="ae"/>
              <w:rPr>
                <w:b w:val="0"/>
                <w:bCs/>
              </w:rPr>
            </w:pPr>
            <w:r w:rsidRPr="00F22172">
              <w:rPr>
                <w:rFonts w:hint="eastAsia"/>
                <w:b w:val="0"/>
                <w:bCs/>
              </w:rPr>
              <w:t>50</w:t>
            </w:r>
          </w:p>
        </w:tc>
        <w:tc>
          <w:tcPr>
            <w:tcW w:w="453" w:type="dxa"/>
            <w:shd w:val="clear" w:color="auto" w:fill="auto"/>
            <w:vAlign w:val="center"/>
            <w:hideMark/>
          </w:tcPr>
          <w:p w14:paraId="0D8DCD86" w14:textId="77777777" w:rsidR="00913C78" w:rsidRPr="00F22172" w:rsidRDefault="00913C78" w:rsidP="00F22172">
            <w:pPr>
              <w:pStyle w:val="ae"/>
              <w:rPr>
                <w:b w:val="0"/>
                <w:bCs/>
              </w:rPr>
            </w:pPr>
            <w:r w:rsidRPr="00F22172">
              <w:rPr>
                <w:rFonts w:hint="eastAsia"/>
                <w:b w:val="0"/>
                <w:bCs/>
              </w:rPr>
              <w:t>60</w:t>
            </w:r>
          </w:p>
        </w:tc>
        <w:tc>
          <w:tcPr>
            <w:tcW w:w="454" w:type="dxa"/>
            <w:shd w:val="clear" w:color="auto" w:fill="auto"/>
            <w:vAlign w:val="center"/>
            <w:hideMark/>
          </w:tcPr>
          <w:p w14:paraId="14123300" w14:textId="77777777" w:rsidR="00913C78" w:rsidRPr="00F22172" w:rsidRDefault="00913C78" w:rsidP="00F22172">
            <w:pPr>
              <w:pStyle w:val="ae"/>
              <w:rPr>
                <w:b w:val="0"/>
                <w:bCs/>
              </w:rPr>
            </w:pPr>
            <w:r w:rsidRPr="00F22172">
              <w:rPr>
                <w:rFonts w:hint="eastAsia"/>
                <w:b w:val="0"/>
                <w:bCs/>
              </w:rPr>
              <w:t>60</w:t>
            </w:r>
          </w:p>
        </w:tc>
        <w:tc>
          <w:tcPr>
            <w:tcW w:w="454" w:type="dxa"/>
            <w:shd w:val="clear" w:color="auto" w:fill="auto"/>
            <w:vAlign w:val="center"/>
            <w:hideMark/>
          </w:tcPr>
          <w:p w14:paraId="193B3126" w14:textId="77777777" w:rsidR="00913C78" w:rsidRPr="00F22172" w:rsidRDefault="00913C78" w:rsidP="00F22172">
            <w:pPr>
              <w:pStyle w:val="ae"/>
              <w:rPr>
                <w:b w:val="0"/>
                <w:bCs/>
              </w:rPr>
            </w:pPr>
            <w:r w:rsidRPr="00F22172">
              <w:rPr>
                <w:rFonts w:hint="eastAsia"/>
                <w:b w:val="0"/>
                <w:bCs/>
              </w:rPr>
              <w:t>60</w:t>
            </w:r>
          </w:p>
        </w:tc>
      </w:tr>
      <w:tr w:rsidR="00913C78" w:rsidRPr="00F22172" w14:paraId="3B51B62A" w14:textId="77777777" w:rsidTr="00E221F6">
        <w:trPr>
          <w:jc w:val="center"/>
        </w:trPr>
        <w:tc>
          <w:tcPr>
            <w:tcW w:w="1261" w:type="dxa"/>
            <w:vMerge w:val="restart"/>
            <w:shd w:val="clear" w:color="auto" w:fill="auto"/>
            <w:vAlign w:val="center"/>
            <w:hideMark/>
          </w:tcPr>
          <w:p w14:paraId="41490947" w14:textId="77777777" w:rsidR="00913C78" w:rsidRPr="00F22172" w:rsidRDefault="00913C78" w:rsidP="00F22172">
            <w:pPr>
              <w:pStyle w:val="ae"/>
              <w:rPr>
                <w:b w:val="0"/>
                <w:bCs/>
              </w:rPr>
            </w:pPr>
            <w:r w:rsidRPr="00F22172">
              <w:rPr>
                <w:rFonts w:hint="eastAsia"/>
                <w:b w:val="0"/>
                <w:bCs/>
              </w:rPr>
              <w:t>建筑类别</w:t>
            </w:r>
          </w:p>
        </w:tc>
        <w:tc>
          <w:tcPr>
            <w:tcW w:w="657" w:type="dxa"/>
            <w:vMerge w:val="restart"/>
            <w:shd w:val="clear" w:color="auto" w:fill="auto"/>
            <w:vAlign w:val="center"/>
          </w:tcPr>
          <w:p w14:paraId="29F5AEBD" w14:textId="77777777" w:rsidR="00913C78" w:rsidRPr="00F22172" w:rsidRDefault="00913C78" w:rsidP="00F22172">
            <w:pPr>
              <w:pStyle w:val="ae"/>
              <w:rPr>
                <w:b w:val="0"/>
                <w:bCs/>
              </w:rPr>
            </w:pPr>
            <w:r w:rsidRPr="00F22172">
              <w:rPr>
                <w:rFonts w:hint="eastAsia"/>
                <w:b w:val="0"/>
                <w:bCs/>
              </w:rPr>
              <w:t>运行时段</w:t>
            </w:r>
          </w:p>
        </w:tc>
        <w:tc>
          <w:tcPr>
            <w:tcW w:w="5452" w:type="dxa"/>
            <w:gridSpan w:val="13"/>
            <w:shd w:val="clear" w:color="auto" w:fill="auto"/>
            <w:vAlign w:val="center"/>
            <w:hideMark/>
          </w:tcPr>
          <w:p w14:paraId="513D64D2"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照明开启率</w:t>
            </w:r>
            <w:r w:rsidRPr="00F22172">
              <w:rPr>
                <w:rFonts w:hint="eastAsia"/>
                <w:b w:val="0"/>
                <w:bCs/>
              </w:rPr>
              <w:t>/%</w:t>
            </w:r>
          </w:p>
        </w:tc>
      </w:tr>
      <w:tr w:rsidR="00913C78" w:rsidRPr="00F22172" w14:paraId="1A11FA1C" w14:textId="77777777" w:rsidTr="00E221F6">
        <w:trPr>
          <w:gridAfter w:val="1"/>
          <w:wAfter w:w="8" w:type="dxa"/>
          <w:jc w:val="center"/>
        </w:trPr>
        <w:tc>
          <w:tcPr>
            <w:tcW w:w="1261" w:type="dxa"/>
            <w:vMerge/>
            <w:shd w:val="clear" w:color="auto" w:fill="auto"/>
            <w:vAlign w:val="center"/>
            <w:hideMark/>
          </w:tcPr>
          <w:p w14:paraId="48C635FC" w14:textId="77777777" w:rsidR="00913C78" w:rsidRPr="00F22172" w:rsidRDefault="00913C78" w:rsidP="00F22172">
            <w:pPr>
              <w:pStyle w:val="ae"/>
              <w:rPr>
                <w:b w:val="0"/>
                <w:bCs/>
              </w:rPr>
            </w:pPr>
          </w:p>
        </w:tc>
        <w:tc>
          <w:tcPr>
            <w:tcW w:w="657" w:type="dxa"/>
            <w:vMerge/>
            <w:shd w:val="clear" w:color="auto" w:fill="auto"/>
            <w:vAlign w:val="center"/>
          </w:tcPr>
          <w:p w14:paraId="7711DE62" w14:textId="77777777" w:rsidR="00913C78" w:rsidRPr="00F22172" w:rsidRDefault="00913C78" w:rsidP="00F22172">
            <w:pPr>
              <w:pStyle w:val="ae"/>
              <w:rPr>
                <w:b w:val="0"/>
                <w:bCs/>
              </w:rPr>
            </w:pPr>
          </w:p>
        </w:tc>
        <w:tc>
          <w:tcPr>
            <w:tcW w:w="453" w:type="dxa"/>
            <w:shd w:val="clear" w:color="auto" w:fill="auto"/>
            <w:vAlign w:val="center"/>
            <w:hideMark/>
          </w:tcPr>
          <w:p w14:paraId="038D4DA4" w14:textId="77777777" w:rsidR="00913C78" w:rsidRPr="00F22172" w:rsidRDefault="00913C78" w:rsidP="00F22172">
            <w:pPr>
              <w:pStyle w:val="ae"/>
              <w:rPr>
                <w:b w:val="0"/>
                <w:bCs/>
              </w:rPr>
            </w:pPr>
            <w:r w:rsidRPr="00F22172">
              <w:rPr>
                <w:rFonts w:hint="eastAsia"/>
                <w:b w:val="0"/>
                <w:bCs/>
              </w:rPr>
              <w:t>13</w:t>
            </w:r>
          </w:p>
        </w:tc>
        <w:tc>
          <w:tcPr>
            <w:tcW w:w="454" w:type="dxa"/>
            <w:shd w:val="clear" w:color="auto" w:fill="auto"/>
            <w:vAlign w:val="center"/>
            <w:hideMark/>
          </w:tcPr>
          <w:p w14:paraId="5EE83FC1" w14:textId="77777777" w:rsidR="00913C78" w:rsidRPr="00F22172" w:rsidRDefault="00913C78" w:rsidP="00F22172">
            <w:pPr>
              <w:pStyle w:val="ae"/>
              <w:rPr>
                <w:b w:val="0"/>
                <w:bCs/>
              </w:rPr>
            </w:pPr>
            <w:r w:rsidRPr="00F22172">
              <w:rPr>
                <w:rFonts w:hint="eastAsia"/>
                <w:b w:val="0"/>
                <w:bCs/>
              </w:rPr>
              <w:t>14</w:t>
            </w:r>
          </w:p>
        </w:tc>
        <w:tc>
          <w:tcPr>
            <w:tcW w:w="454" w:type="dxa"/>
            <w:shd w:val="clear" w:color="auto" w:fill="auto"/>
            <w:vAlign w:val="center"/>
            <w:hideMark/>
          </w:tcPr>
          <w:p w14:paraId="0EE2AB47" w14:textId="77777777" w:rsidR="00913C78" w:rsidRPr="00F22172" w:rsidRDefault="00913C78" w:rsidP="00F22172">
            <w:pPr>
              <w:pStyle w:val="ae"/>
              <w:rPr>
                <w:b w:val="0"/>
                <w:bCs/>
              </w:rPr>
            </w:pPr>
            <w:r w:rsidRPr="00F22172">
              <w:rPr>
                <w:rFonts w:hint="eastAsia"/>
                <w:b w:val="0"/>
                <w:bCs/>
              </w:rPr>
              <w:t>15</w:t>
            </w:r>
          </w:p>
        </w:tc>
        <w:tc>
          <w:tcPr>
            <w:tcW w:w="453" w:type="dxa"/>
            <w:shd w:val="clear" w:color="auto" w:fill="auto"/>
            <w:vAlign w:val="center"/>
            <w:hideMark/>
          </w:tcPr>
          <w:p w14:paraId="28D1864E" w14:textId="77777777" w:rsidR="00913C78" w:rsidRPr="00F22172" w:rsidRDefault="00913C78" w:rsidP="00F22172">
            <w:pPr>
              <w:pStyle w:val="ae"/>
              <w:rPr>
                <w:b w:val="0"/>
                <w:bCs/>
              </w:rPr>
            </w:pPr>
            <w:r w:rsidRPr="00F22172">
              <w:rPr>
                <w:rFonts w:hint="eastAsia"/>
                <w:b w:val="0"/>
                <w:bCs/>
              </w:rPr>
              <w:t>16</w:t>
            </w:r>
          </w:p>
        </w:tc>
        <w:tc>
          <w:tcPr>
            <w:tcW w:w="454" w:type="dxa"/>
            <w:shd w:val="clear" w:color="auto" w:fill="auto"/>
            <w:vAlign w:val="center"/>
            <w:hideMark/>
          </w:tcPr>
          <w:p w14:paraId="091A2B11" w14:textId="77777777" w:rsidR="00913C78" w:rsidRPr="00F22172" w:rsidRDefault="00913C78" w:rsidP="00F22172">
            <w:pPr>
              <w:pStyle w:val="ae"/>
              <w:rPr>
                <w:b w:val="0"/>
                <w:bCs/>
              </w:rPr>
            </w:pPr>
            <w:r w:rsidRPr="00F22172">
              <w:rPr>
                <w:rFonts w:hint="eastAsia"/>
                <w:b w:val="0"/>
                <w:bCs/>
              </w:rPr>
              <w:t>17</w:t>
            </w:r>
          </w:p>
        </w:tc>
        <w:tc>
          <w:tcPr>
            <w:tcW w:w="454" w:type="dxa"/>
            <w:shd w:val="clear" w:color="auto" w:fill="auto"/>
            <w:vAlign w:val="center"/>
            <w:hideMark/>
          </w:tcPr>
          <w:p w14:paraId="4BF2DEA7" w14:textId="77777777" w:rsidR="00913C78" w:rsidRPr="00F22172" w:rsidRDefault="00913C78" w:rsidP="00F22172">
            <w:pPr>
              <w:pStyle w:val="ae"/>
              <w:rPr>
                <w:b w:val="0"/>
                <w:bCs/>
              </w:rPr>
            </w:pPr>
            <w:r w:rsidRPr="00F22172">
              <w:rPr>
                <w:rFonts w:hint="eastAsia"/>
                <w:b w:val="0"/>
                <w:bCs/>
              </w:rPr>
              <w:t>18</w:t>
            </w:r>
          </w:p>
        </w:tc>
        <w:tc>
          <w:tcPr>
            <w:tcW w:w="453" w:type="dxa"/>
            <w:shd w:val="clear" w:color="auto" w:fill="auto"/>
            <w:vAlign w:val="center"/>
            <w:hideMark/>
          </w:tcPr>
          <w:p w14:paraId="3F547E57" w14:textId="77777777" w:rsidR="00913C78" w:rsidRPr="00F22172" w:rsidRDefault="00913C78" w:rsidP="00F22172">
            <w:pPr>
              <w:pStyle w:val="ae"/>
              <w:rPr>
                <w:b w:val="0"/>
                <w:bCs/>
              </w:rPr>
            </w:pPr>
            <w:r w:rsidRPr="00F22172">
              <w:rPr>
                <w:rFonts w:hint="eastAsia"/>
                <w:b w:val="0"/>
                <w:bCs/>
              </w:rPr>
              <w:t>19</w:t>
            </w:r>
          </w:p>
        </w:tc>
        <w:tc>
          <w:tcPr>
            <w:tcW w:w="454" w:type="dxa"/>
            <w:shd w:val="clear" w:color="auto" w:fill="auto"/>
            <w:vAlign w:val="center"/>
            <w:hideMark/>
          </w:tcPr>
          <w:p w14:paraId="277FA8FF" w14:textId="77777777" w:rsidR="00913C78" w:rsidRPr="00F22172" w:rsidRDefault="00913C78" w:rsidP="00F22172">
            <w:pPr>
              <w:pStyle w:val="ae"/>
              <w:rPr>
                <w:b w:val="0"/>
                <w:bCs/>
              </w:rPr>
            </w:pPr>
            <w:r w:rsidRPr="00F22172">
              <w:rPr>
                <w:rFonts w:hint="eastAsia"/>
                <w:b w:val="0"/>
                <w:bCs/>
              </w:rPr>
              <w:t>20</w:t>
            </w:r>
          </w:p>
        </w:tc>
        <w:tc>
          <w:tcPr>
            <w:tcW w:w="454" w:type="dxa"/>
            <w:shd w:val="clear" w:color="auto" w:fill="auto"/>
            <w:vAlign w:val="center"/>
            <w:hideMark/>
          </w:tcPr>
          <w:p w14:paraId="67830CDC" w14:textId="77777777" w:rsidR="00913C78" w:rsidRPr="00F22172" w:rsidRDefault="00913C78" w:rsidP="00F22172">
            <w:pPr>
              <w:pStyle w:val="ae"/>
              <w:rPr>
                <w:b w:val="0"/>
                <w:bCs/>
              </w:rPr>
            </w:pPr>
            <w:r w:rsidRPr="00F22172">
              <w:rPr>
                <w:rFonts w:hint="eastAsia"/>
                <w:b w:val="0"/>
                <w:bCs/>
              </w:rPr>
              <w:t>21</w:t>
            </w:r>
          </w:p>
        </w:tc>
        <w:tc>
          <w:tcPr>
            <w:tcW w:w="453" w:type="dxa"/>
            <w:shd w:val="clear" w:color="auto" w:fill="auto"/>
            <w:vAlign w:val="center"/>
            <w:hideMark/>
          </w:tcPr>
          <w:p w14:paraId="2991460A" w14:textId="77777777" w:rsidR="00913C78" w:rsidRPr="00F22172" w:rsidRDefault="00913C78" w:rsidP="00F22172">
            <w:pPr>
              <w:pStyle w:val="ae"/>
              <w:rPr>
                <w:b w:val="0"/>
                <w:bCs/>
              </w:rPr>
            </w:pPr>
            <w:r w:rsidRPr="00F22172">
              <w:rPr>
                <w:rFonts w:hint="eastAsia"/>
                <w:b w:val="0"/>
                <w:bCs/>
              </w:rPr>
              <w:t>22</w:t>
            </w:r>
          </w:p>
        </w:tc>
        <w:tc>
          <w:tcPr>
            <w:tcW w:w="454" w:type="dxa"/>
            <w:shd w:val="clear" w:color="auto" w:fill="auto"/>
            <w:vAlign w:val="center"/>
            <w:hideMark/>
          </w:tcPr>
          <w:p w14:paraId="4538B99C" w14:textId="77777777" w:rsidR="00913C78" w:rsidRPr="00F22172" w:rsidRDefault="00913C78" w:rsidP="00F22172">
            <w:pPr>
              <w:pStyle w:val="ae"/>
              <w:rPr>
                <w:b w:val="0"/>
                <w:bCs/>
              </w:rPr>
            </w:pPr>
            <w:r w:rsidRPr="00F22172">
              <w:rPr>
                <w:rFonts w:hint="eastAsia"/>
                <w:b w:val="0"/>
                <w:bCs/>
              </w:rPr>
              <w:t>23</w:t>
            </w:r>
          </w:p>
        </w:tc>
        <w:tc>
          <w:tcPr>
            <w:tcW w:w="454" w:type="dxa"/>
            <w:shd w:val="clear" w:color="auto" w:fill="auto"/>
            <w:vAlign w:val="center"/>
            <w:hideMark/>
          </w:tcPr>
          <w:p w14:paraId="2C35768E" w14:textId="77777777" w:rsidR="00913C78" w:rsidRPr="00F22172" w:rsidRDefault="00913C78" w:rsidP="00F22172">
            <w:pPr>
              <w:pStyle w:val="ae"/>
              <w:rPr>
                <w:b w:val="0"/>
                <w:bCs/>
              </w:rPr>
            </w:pPr>
            <w:r w:rsidRPr="00F22172">
              <w:rPr>
                <w:rFonts w:hint="eastAsia"/>
                <w:b w:val="0"/>
                <w:bCs/>
              </w:rPr>
              <w:t>24</w:t>
            </w:r>
          </w:p>
        </w:tc>
      </w:tr>
      <w:tr w:rsidR="00913C78" w:rsidRPr="00F22172" w14:paraId="230446F9" w14:textId="77777777" w:rsidTr="00E221F6">
        <w:trPr>
          <w:gridAfter w:val="1"/>
          <w:wAfter w:w="8" w:type="dxa"/>
          <w:jc w:val="center"/>
        </w:trPr>
        <w:tc>
          <w:tcPr>
            <w:tcW w:w="1261" w:type="dxa"/>
            <w:vMerge w:val="restart"/>
            <w:shd w:val="clear" w:color="auto" w:fill="auto"/>
            <w:vAlign w:val="center"/>
            <w:hideMark/>
          </w:tcPr>
          <w:p w14:paraId="3EB4B374" w14:textId="77777777" w:rsidR="00913C78" w:rsidRPr="00F22172" w:rsidRDefault="00913C78" w:rsidP="00F22172">
            <w:pPr>
              <w:pStyle w:val="ae"/>
              <w:rPr>
                <w:b w:val="0"/>
                <w:bCs/>
              </w:rPr>
            </w:pPr>
            <w:r w:rsidRPr="00F22172">
              <w:rPr>
                <w:rFonts w:hint="eastAsia"/>
                <w:b w:val="0"/>
                <w:bCs/>
              </w:rPr>
              <w:t>办公建筑、教学楼</w:t>
            </w:r>
          </w:p>
        </w:tc>
        <w:tc>
          <w:tcPr>
            <w:tcW w:w="657" w:type="dxa"/>
            <w:shd w:val="clear" w:color="auto" w:fill="auto"/>
            <w:vAlign w:val="center"/>
            <w:hideMark/>
          </w:tcPr>
          <w:p w14:paraId="35553438" w14:textId="77777777" w:rsidR="00913C78" w:rsidRPr="00F22172" w:rsidRDefault="00913C78" w:rsidP="00F22172">
            <w:pPr>
              <w:pStyle w:val="ae"/>
              <w:rPr>
                <w:b w:val="0"/>
                <w:bCs/>
              </w:rPr>
            </w:pPr>
            <w:r w:rsidRPr="00F22172">
              <w:rPr>
                <w:rFonts w:hint="eastAsia"/>
                <w:b w:val="0"/>
                <w:bCs/>
              </w:rPr>
              <w:t>工作日</w:t>
            </w:r>
          </w:p>
        </w:tc>
        <w:tc>
          <w:tcPr>
            <w:tcW w:w="453" w:type="dxa"/>
            <w:shd w:val="clear" w:color="auto" w:fill="auto"/>
            <w:vAlign w:val="center"/>
            <w:hideMark/>
          </w:tcPr>
          <w:p w14:paraId="20C12256" w14:textId="77777777" w:rsidR="00913C78" w:rsidRPr="00F22172" w:rsidRDefault="00913C78" w:rsidP="00F22172">
            <w:pPr>
              <w:pStyle w:val="ae"/>
              <w:rPr>
                <w:b w:val="0"/>
                <w:bCs/>
              </w:rPr>
            </w:pPr>
            <w:r w:rsidRPr="00F22172">
              <w:rPr>
                <w:rFonts w:hint="eastAsia"/>
                <w:b w:val="0"/>
                <w:bCs/>
              </w:rPr>
              <w:t>80</w:t>
            </w:r>
          </w:p>
        </w:tc>
        <w:tc>
          <w:tcPr>
            <w:tcW w:w="454" w:type="dxa"/>
            <w:shd w:val="clear" w:color="auto" w:fill="auto"/>
            <w:vAlign w:val="center"/>
            <w:hideMark/>
          </w:tcPr>
          <w:p w14:paraId="2C4EF67D" w14:textId="77777777" w:rsidR="00913C78" w:rsidRPr="00F22172" w:rsidRDefault="00913C78" w:rsidP="00F22172">
            <w:pPr>
              <w:pStyle w:val="ae"/>
              <w:rPr>
                <w:b w:val="0"/>
                <w:bCs/>
              </w:rPr>
            </w:pPr>
            <w:r w:rsidRPr="00F22172">
              <w:rPr>
                <w:rFonts w:hint="eastAsia"/>
                <w:b w:val="0"/>
                <w:bCs/>
              </w:rPr>
              <w:t>95</w:t>
            </w:r>
          </w:p>
        </w:tc>
        <w:tc>
          <w:tcPr>
            <w:tcW w:w="454" w:type="dxa"/>
            <w:shd w:val="clear" w:color="auto" w:fill="auto"/>
            <w:vAlign w:val="center"/>
            <w:hideMark/>
          </w:tcPr>
          <w:p w14:paraId="6C52EA8E" w14:textId="77777777" w:rsidR="00913C78" w:rsidRPr="00F22172" w:rsidRDefault="00913C78" w:rsidP="00F22172">
            <w:pPr>
              <w:pStyle w:val="ae"/>
              <w:rPr>
                <w:b w:val="0"/>
                <w:bCs/>
              </w:rPr>
            </w:pPr>
            <w:r w:rsidRPr="00F22172">
              <w:rPr>
                <w:rFonts w:hint="eastAsia"/>
                <w:b w:val="0"/>
                <w:bCs/>
              </w:rPr>
              <w:t>95</w:t>
            </w:r>
          </w:p>
        </w:tc>
        <w:tc>
          <w:tcPr>
            <w:tcW w:w="453" w:type="dxa"/>
            <w:shd w:val="clear" w:color="auto" w:fill="auto"/>
            <w:vAlign w:val="center"/>
            <w:hideMark/>
          </w:tcPr>
          <w:p w14:paraId="43FD3EEC" w14:textId="77777777" w:rsidR="00913C78" w:rsidRPr="00F22172" w:rsidRDefault="00913C78" w:rsidP="00F22172">
            <w:pPr>
              <w:pStyle w:val="ae"/>
              <w:rPr>
                <w:b w:val="0"/>
                <w:bCs/>
              </w:rPr>
            </w:pPr>
            <w:r w:rsidRPr="00F22172">
              <w:rPr>
                <w:rFonts w:hint="eastAsia"/>
                <w:b w:val="0"/>
                <w:bCs/>
              </w:rPr>
              <w:t>95</w:t>
            </w:r>
          </w:p>
        </w:tc>
        <w:tc>
          <w:tcPr>
            <w:tcW w:w="454" w:type="dxa"/>
            <w:shd w:val="clear" w:color="auto" w:fill="auto"/>
            <w:vAlign w:val="center"/>
            <w:hideMark/>
          </w:tcPr>
          <w:p w14:paraId="6563CEF4" w14:textId="77777777" w:rsidR="00913C78" w:rsidRPr="00F22172" w:rsidRDefault="00913C78" w:rsidP="00F22172">
            <w:pPr>
              <w:pStyle w:val="ae"/>
              <w:rPr>
                <w:b w:val="0"/>
                <w:bCs/>
              </w:rPr>
            </w:pPr>
            <w:r w:rsidRPr="00F22172">
              <w:rPr>
                <w:rFonts w:hint="eastAsia"/>
                <w:b w:val="0"/>
                <w:bCs/>
              </w:rPr>
              <w:t>95</w:t>
            </w:r>
          </w:p>
        </w:tc>
        <w:tc>
          <w:tcPr>
            <w:tcW w:w="454" w:type="dxa"/>
            <w:shd w:val="clear" w:color="auto" w:fill="auto"/>
            <w:vAlign w:val="center"/>
            <w:hideMark/>
          </w:tcPr>
          <w:p w14:paraId="41076412" w14:textId="77777777" w:rsidR="00913C78" w:rsidRPr="00F22172" w:rsidRDefault="00913C78" w:rsidP="00F22172">
            <w:pPr>
              <w:pStyle w:val="ae"/>
              <w:rPr>
                <w:b w:val="0"/>
                <w:bCs/>
              </w:rPr>
            </w:pPr>
            <w:r w:rsidRPr="00F22172">
              <w:rPr>
                <w:rFonts w:hint="eastAsia"/>
                <w:b w:val="0"/>
                <w:bCs/>
              </w:rPr>
              <w:t>30</w:t>
            </w:r>
          </w:p>
        </w:tc>
        <w:tc>
          <w:tcPr>
            <w:tcW w:w="453" w:type="dxa"/>
            <w:shd w:val="clear" w:color="auto" w:fill="auto"/>
            <w:vAlign w:val="center"/>
            <w:hideMark/>
          </w:tcPr>
          <w:p w14:paraId="5396E2ED"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5E8C7683"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4DAB6651"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43810C64"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48C51F6F"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4D53CDA0" w14:textId="77777777" w:rsidR="00913C78" w:rsidRPr="00F22172" w:rsidRDefault="00913C78" w:rsidP="00F22172">
            <w:pPr>
              <w:pStyle w:val="ae"/>
              <w:rPr>
                <w:b w:val="0"/>
                <w:bCs/>
              </w:rPr>
            </w:pPr>
            <w:r w:rsidRPr="00F22172">
              <w:rPr>
                <w:rFonts w:hint="eastAsia"/>
                <w:b w:val="0"/>
                <w:bCs/>
              </w:rPr>
              <w:t>0</w:t>
            </w:r>
          </w:p>
        </w:tc>
      </w:tr>
      <w:tr w:rsidR="00913C78" w:rsidRPr="00F22172" w14:paraId="2CE6ED63" w14:textId="77777777" w:rsidTr="00E221F6">
        <w:trPr>
          <w:gridAfter w:val="1"/>
          <w:wAfter w:w="8" w:type="dxa"/>
          <w:jc w:val="center"/>
        </w:trPr>
        <w:tc>
          <w:tcPr>
            <w:tcW w:w="1261" w:type="dxa"/>
            <w:vMerge/>
            <w:shd w:val="clear" w:color="auto" w:fill="auto"/>
            <w:vAlign w:val="center"/>
            <w:hideMark/>
          </w:tcPr>
          <w:p w14:paraId="76237BBF" w14:textId="77777777" w:rsidR="00913C78" w:rsidRPr="00F22172" w:rsidRDefault="00913C78" w:rsidP="00F22172">
            <w:pPr>
              <w:pStyle w:val="ae"/>
              <w:rPr>
                <w:b w:val="0"/>
                <w:bCs/>
              </w:rPr>
            </w:pPr>
          </w:p>
        </w:tc>
        <w:tc>
          <w:tcPr>
            <w:tcW w:w="657" w:type="dxa"/>
            <w:shd w:val="clear" w:color="auto" w:fill="auto"/>
            <w:vAlign w:val="center"/>
            <w:hideMark/>
          </w:tcPr>
          <w:p w14:paraId="4A4F3E8E" w14:textId="77777777" w:rsidR="00913C78" w:rsidRPr="00F22172" w:rsidRDefault="00913C78" w:rsidP="00F22172">
            <w:pPr>
              <w:pStyle w:val="ae"/>
              <w:rPr>
                <w:b w:val="0"/>
                <w:bCs/>
              </w:rPr>
            </w:pPr>
            <w:r w:rsidRPr="00F22172">
              <w:rPr>
                <w:rFonts w:hint="eastAsia"/>
                <w:b w:val="0"/>
                <w:bCs/>
              </w:rPr>
              <w:t>节假日</w:t>
            </w:r>
          </w:p>
        </w:tc>
        <w:tc>
          <w:tcPr>
            <w:tcW w:w="453" w:type="dxa"/>
            <w:shd w:val="clear" w:color="auto" w:fill="auto"/>
            <w:vAlign w:val="center"/>
            <w:hideMark/>
          </w:tcPr>
          <w:p w14:paraId="5D1FA447"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21EE17B4"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46101B0C"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72EA8036"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29458431"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6AED06EB"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222F4B47"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0B679779"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202AA4AC" w14:textId="77777777" w:rsidR="00913C78" w:rsidRPr="00F22172" w:rsidRDefault="00913C78" w:rsidP="00F22172">
            <w:pPr>
              <w:pStyle w:val="ae"/>
              <w:rPr>
                <w:b w:val="0"/>
                <w:bCs/>
              </w:rPr>
            </w:pPr>
            <w:r w:rsidRPr="00F22172">
              <w:rPr>
                <w:rFonts w:hint="eastAsia"/>
                <w:b w:val="0"/>
                <w:bCs/>
              </w:rPr>
              <w:t>0</w:t>
            </w:r>
          </w:p>
        </w:tc>
        <w:tc>
          <w:tcPr>
            <w:tcW w:w="453" w:type="dxa"/>
            <w:shd w:val="clear" w:color="auto" w:fill="auto"/>
            <w:vAlign w:val="center"/>
            <w:hideMark/>
          </w:tcPr>
          <w:p w14:paraId="1EFC184D"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483D1631" w14:textId="77777777" w:rsidR="00913C78" w:rsidRPr="00F22172" w:rsidRDefault="00913C78" w:rsidP="00F22172">
            <w:pPr>
              <w:pStyle w:val="ae"/>
              <w:rPr>
                <w:b w:val="0"/>
                <w:bCs/>
              </w:rPr>
            </w:pPr>
            <w:r w:rsidRPr="00F22172">
              <w:rPr>
                <w:rFonts w:hint="eastAsia"/>
                <w:b w:val="0"/>
                <w:bCs/>
              </w:rPr>
              <w:t>0</w:t>
            </w:r>
          </w:p>
        </w:tc>
        <w:tc>
          <w:tcPr>
            <w:tcW w:w="454" w:type="dxa"/>
            <w:shd w:val="clear" w:color="auto" w:fill="auto"/>
            <w:vAlign w:val="center"/>
            <w:hideMark/>
          </w:tcPr>
          <w:p w14:paraId="6A8935EE" w14:textId="77777777" w:rsidR="00913C78" w:rsidRPr="00F22172" w:rsidRDefault="00913C78" w:rsidP="00F22172">
            <w:pPr>
              <w:pStyle w:val="ae"/>
              <w:rPr>
                <w:b w:val="0"/>
                <w:bCs/>
              </w:rPr>
            </w:pPr>
            <w:r w:rsidRPr="00F22172">
              <w:rPr>
                <w:rFonts w:hint="eastAsia"/>
                <w:b w:val="0"/>
                <w:bCs/>
              </w:rPr>
              <w:t>0</w:t>
            </w:r>
          </w:p>
        </w:tc>
      </w:tr>
      <w:tr w:rsidR="00913C78" w:rsidRPr="00F22172" w14:paraId="283C39DA" w14:textId="77777777" w:rsidTr="00E221F6">
        <w:trPr>
          <w:gridAfter w:val="1"/>
          <w:wAfter w:w="8" w:type="dxa"/>
          <w:jc w:val="center"/>
        </w:trPr>
        <w:tc>
          <w:tcPr>
            <w:tcW w:w="1261" w:type="dxa"/>
            <w:shd w:val="clear" w:color="auto" w:fill="auto"/>
            <w:vAlign w:val="center"/>
            <w:hideMark/>
          </w:tcPr>
          <w:p w14:paraId="322DC775" w14:textId="77777777" w:rsidR="00913C78" w:rsidRPr="00F22172" w:rsidRDefault="00913C78" w:rsidP="00F22172">
            <w:pPr>
              <w:pStyle w:val="ae"/>
              <w:rPr>
                <w:b w:val="0"/>
                <w:bCs/>
              </w:rPr>
            </w:pPr>
            <w:r w:rsidRPr="00F22172">
              <w:rPr>
                <w:rFonts w:hint="eastAsia"/>
                <w:b w:val="0"/>
                <w:bCs/>
              </w:rPr>
              <w:t>宾馆建筑、住院部</w:t>
            </w:r>
          </w:p>
        </w:tc>
        <w:tc>
          <w:tcPr>
            <w:tcW w:w="657" w:type="dxa"/>
            <w:shd w:val="clear" w:color="auto" w:fill="auto"/>
            <w:vAlign w:val="center"/>
            <w:hideMark/>
          </w:tcPr>
          <w:p w14:paraId="21499AD6" w14:textId="77777777" w:rsidR="00913C78" w:rsidRPr="00F22172" w:rsidRDefault="00913C78" w:rsidP="00F22172">
            <w:pPr>
              <w:pStyle w:val="ae"/>
              <w:rPr>
                <w:b w:val="0"/>
                <w:bCs/>
              </w:rPr>
            </w:pPr>
            <w:r w:rsidRPr="00F22172">
              <w:rPr>
                <w:rFonts w:hint="eastAsia"/>
                <w:b w:val="0"/>
                <w:bCs/>
              </w:rPr>
              <w:t>全年</w:t>
            </w:r>
          </w:p>
        </w:tc>
        <w:tc>
          <w:tcPr>
            <w:tcW w:w="453" w:type="dxa"/>
            <w:shd w:val="clear" w:color="auto" w:fill="auto"/>
            <w:vAlign w:val="center"/>
            <w:hideMark/>
          </w:tcPr>
          <w:p w14:paraId="1FC5DA96"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045F73FA" w14:textId="77777777" w:rsidR="00913C78" w:rsidRPr="00F22172" w:rsidRDefault="00913C78" w:rsidP="00F22172">
            <w:pPr>
              <w:pStyle w:val="ae"/>
              <w:rPr>
                <w:b w:val="0"/>
                <w:bCs/>
              </w:rPr>
            </w:pPr>
            <w:r w:rsidRPr="00F22172">
              <w:rPr>
                <w:rFonts w:hint="eastAsia"/>
                <w:b w:val="0"/>
                <w:bCs/>
              </w:rPr>
              <w:t>30</w:t>
            </w:r>
          </w:p>
        </w:tc>
        <w:tc>
          <w:tcPr>
            <w:tcW w:w="454" w:type="dxa"/>
            <w:shd w:val="clear" w:color="auto" w:fill="auto"/>
            <w:vAlign w:val="center"/>
            <w:hideMark/>
          </w:tcPr>
          <w:p w14:paraId="5CF0FC3C" w14:textId="77777777" w:rsidR="00913C78" w:rsidRPr="00F22172" w:rsidRDefault="00913C78" w:rsidP="00F22172">
            <w:pPr>
              <w:pStyle w:val="ae"/>
              <w:rPr>
                <w:b w:val="0"/>
                <w:bCs/>
              </w:rPr>
            </w:pPr>
            <w:r w:rsidRPr="00F22172">
              <w:rPr>
                <w:rFonts w:hint="eastAsia"/>
                <w:b w:val="0"/>
                <w:bCs/>
              </w:rPr>
              <w:t>50</w:t>
            </w:r>
          </w:p>
        </w:tc>
        <w:tc>
          <w:tcPr>
            <w:tcW w:w="453" w:type="dxa"/>
            <w:shd w:val="clear" w:color="auto" w:fill="auto"/>
            <w:vAlign w:val="center"/>
            <w:hideMark/>
          </w:tcPr>
          <w:p w14:paraId="24096F67" w14:textId="77777777" w:rsidR="00913C78" w:rsidRPr="00F22172" w:rsidRDefault="00913C78" w:rsidP="00F22172">
            <w:pPr>
              <w:pStyle w:val="ae"/>
              <w:rPr>
                <w:b w:val="0"/>
                <w:bCs/>
              </w:rPr>
            </w:pPr>
            <w:r w:rsidRPr="00F22172">
              <w:rPr>
                <w:rFonts w:hint="eastAsia"/>
                <w:b w:val="0"/>
                <w:bCs/>
              </w:rPr>
              <w:t>50</w:t>
            </w:r>
          </w:p>
        </w:tc>
        <w:tc>
          <w:tcPr>
            <w:tcW w:w="454" w:type="dxa"/>
            <w:shd w:val="clear" w:color="auto" w:fill="auto"/>
            <w:vAlign w:val="center"/>
            <w:hideMark/>
          </w:tcPr>
          <w:p w14:paraId="19038196" w14:textId="77777777" w:rsidR="00913C78" w:rsidRPr="00F22172" w:rsidRDefault="00913C78" w:rsidP="00F22172">
            <w:pPr>
              <w:pStyle w:val="ae"/>
              <w:rPr>
                <w:b w:val="0"/>
                <w:bCs/>
              </w:rPr>
            </w:pPr>
            <w:r w:rsidRPr="00F22172">
              <w:rPr>
                <w:rFonts w:hint="eastAsia"/>
                <w:b w:val="0"/>
                <w:bCs/>
              </w:rPr>
              <w:t>60</w:t>
            </w:r>
          </w:p>
        </w:tc>
        <w:tc>
          <w:tcPr>
            <w:tcW w:w="454" w:type="dxa"/>
            <w:shd w:val="clear" w:color="auto" w:fill="auto"/>
            <w:vAlign w:val="center"/>
            <w:hideMark/>
          </w:tcPr>
          <w:p w14:paraId="368F0FB0" w14:textId="77777777" w:rsidR="00913C78" w:rsidRPr="00F22172" w:rsidRDefault="00913C78" w:rsidP="00F22172">
            <w:pPr>
              <w:pStyle w:val="ae"/>
              <w:rPr>
                <w:b w:val="0"/>
                <w:bCs/>
              </w:rPr>
            </w:pPr>
            <w:r w:rsidRPr="00F22172">
              <w:rPr>
                <w:rFonts w:hint="eastAsia"/>
                <w:b w:val="0"/>
                <w:bCs/>
              </w:rPr>
              <w:t>90</w:t>
            </w:r>
          </w:p>
        </w:tc>
        <w:tc>
          <w:tcPr>
            <w:tcW w:w="453" w:type="dxa"/>
            <w:shd w:val="clear" w:color="auto" w:fill="auto"/>
            <w:vAlign w:val="center"/>
            <w:hideMark/>
          </w:tcPr>
          <w:p w14:paraId="2959B59F" w14:textId="77777777" w:rsidR="00913C78" w:rsidRPr="00F22172" w:rsidRDefault="00913C78" w:rsidP="00F22172">
            <w:pPr>
              <w:pStyle w:val="ae"/>
              <w:rPr>
                <w:b w:val="0"/>
                <w:bCs/>
              </w:rPr>
            </w:pPr>
            <w:r w:rsidRPr="00F22172">
              <w:rPr>
                <w:rFonts w:hint="eastAsia"/>
                <w:b w:val="0"/>
                <w:bCs/>
              </w:rPr>
              <w:t>90</w:t>
            </w:r>
          </w:p>
        </w:tc>
        <w:tc>
          <w:tcPr>
            <w:tcW w:w="454" w:type="dxa"/>
            <w:shd w:val="clear" w:color="auto" w:fill="auto"/>
            <w:vAlign w:val="center"/>
            <w:hideMark/>
          </w:tcPr>
          <w:p w14:paraId="719950B4" w14:textId="77777777" w:rsidR="00913C78" w:rsidRPr="00F22172" w:rsidRDefault="00913C78" w:rsidP="00F22172">
            <w:pPr>
              <w:pStyle w:val="ae"/>
              <w:rPr>
                <w:b w:val="0"/>
                <w:bCs/>
              </w:rPr>
            </w:pPr>
            <w:r w:rsidRPr="00F22172">
              <w:rPr>
                <w:rFonts w:hint="eastAsia"/>
                <w:b w:val="0"/>
                <w:bCs/>
              </w:rPr>
              <w:t>90</w:t>
            </w:r>
          </w:p>
        </w:tc>
        <w:tc>
          <w:tcPr>
            <w:tcW w:w="454" w:type="dxa"/>
            <w:shd w:val="clear" w:color="auto" w:fill="auto"/>
            <w:vAlign w:val="center"/>
            <w:hideMark/>
          </w:tcPr>
          <w:p w14:paraId="21B9EF38" w14:textId="77777777" w:rsidR="00913C78" w:rsidRPr="00F22172" w:rsidRDefault="00913C78" w:rsidP="00F22172">
            <w:pPr>
              <w:pStyle w:val="ae"/>
              <w:rPr>
                <w:b w:val="0"/>
                <w:bCs/>
              </w:rPr>
            </w:pPr>
            <w:r w:rsidRPr="00F22172">
              <w:rPr>
                <w:rFonts w:hint="eastAsia"/>
                <w:b w:val="0"/>
                <w:bCs/>
              </w:rPr>
              <w:t>90</w:t>
            </w:r>
          </w:p>
        </w:tc>
        <w:tc>
          <w:tcPr>
            <w:tcW w:w="453" w:type="dxa"/>
            <w:shd w:val="clear" w:color="auto" w:fill="auto"/>
            <w:vAlign w:val="center"/>
            <w:hideMark/>
          </w:tcPr>
          <w:p w14:paraId="751B0B7C" w14:textId="77777777" w:rsidR="00913C78" w:rsidRPr="00F22172" w:rsidRDefault="00913C78" w:rsidP="00F22172">
            <w:pPr>
              <w:pStyle w:val="ae"/>
              <w:rPr>
                <w:b w:val="0"/>
                <w:bCs/>
              </w:rPr>
            </w:pPr>
            <w:r w:rsidRPr="00F22172">
              <w:rPr>
                <w:rFonts w:hint="eastAsia"/>
                <w:b w:val="0"/>
                <w:bCs/>
              </w:rPr>
              <w:t>80</w:t>
            </w:r>
          </w:p>
        </w:tc>
        <w:tc>
          <w:tcPr>
            <w:tcW w:w="454" w:type="dxa"/>
            <w:shd w:val="clear" w:color="auto" w:fill="auto"/>
            <w:vAlign w:val="center"/>
            <w:hideMark/>
          </w:tcPr>
          <w:p w14:paraId="29949394"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43EE4E3C" w14:textId="77777777" w:rsidR="00913C78" w:rsidRPr="00F22172" w:rsidRDefault="00913C78" w:rsidP="00F22172">
            <w:pPr>
              <w:pStyle w:val="ae"/>
              <w:rPr>
                <w:b w:val="0"/>
                <w:bCs/>
              </w:rPr>
            </w:pPr>
            <w:r w:rsidRPr="00F22172">
              <w:rPr>
                <w:rFonts w:hint="eastAsia"/>
                <w:b w:val="0"/>
                <w:bCs/>
              </w:rPr>
              <w:t>10</w:t>
            </w:r>
          </w:p>
        </w:tc>
      </w:tr>
      <w:tr w:rsidR="00913C78" w:rsidRPr="00F22172" w14:paraId="70D4EE92" w14:textId="77777777" w:rsidTr="00E221F6">
        <w:trPr>
          <w:gridAfter w:val="1"/>
          <w:wAfter w:w="8" w:type="dxa"/>
          <w:jc w:val="center"/>
        </w:trPr>
        <w:tc>
          <w:tcPr>
            <w:tcW w:w="1261" w:type="dxa"/>
            <w:shd w:val="clear" w:color="auto" w:fill="auto"/>
            <w:vAlign w:val="center"/>
            <w:hideMark/>
          </w:tcPr>
          <w:p w14:paraId="298422CF" w14:textId="77777777" w:rsidR="00913C78" w:rsidRPr="00F22172" w:rsidRDefault="00913C78" w:rsidP="00F22172">
            <w:pPr>
              <w:pStyle w:val="ae"/>
              <w:rPr>
                <w:b w:val="0"/>
                <w:bCs/>
              </w:rPr>
            </w:pPr>
            <w:r w:rsidRPr="00F22172">
              <w:rPr>
                <w:rFonts w:hint="eastAsia"/>
                <w:b w:val="0"/>
                <w:bCs/>
              </w:rPr>
              <w:t>商店建筑、门诊楼</w:t>
            </w:r>
          </w:p>
        </w:tc>
        <w:tc>
          <w:tcPr>
            <w:tcW w:w="657" w:type="dxa"/>
            <w:shd w:val="clear" w:color="auto" w:fill="auto"/>
            <w:vAlign w:val="center"/>
            <w:hideMark/>
          </w:tcPr>
          <w:p w14:paraId="4D382508" w14:textId="77777777" w:rsidR="00913C78" w:rsidRPr="00F22172" w:rsidRDefault="00913C78" w:rsidP="00F22172">
            <w:pPr>
              <w:pStyle w:val="ae"/>
              <w:rPr>
                <w:b w:val="0"/>
                <w:bCs/>
              </w:rPr>
            </w:pPr>
            <w:r w:rsidRPr="00F22172">
              <w:rPr>
                <w:rFonts w:hint="eastAsia"/>
                <w:b w:val="0"/>
                <w:bCs/>
              </w:rPr>
              <w:t>全年</w:t>
            </w:r>
          </w:p>
        </w:tc>
        <w:tc>
          <w:tcPr>
            <w:tcW w:w="453" w:type="dxa"/>
            <w:shd w:val="clear" w:color="auto" w:fill="auto"/>
            <w:vAlign w:val="center"/>
            <w:hideMark/>
          </w:tcPr>
          <w:p w14:paraId="7DF188D5" w14:textId="77777777" w:rsidR="00913C78" w:rsidRPr="00F22172" w:rsidRDefault="00913C78" w:rsidP="00F22172">
            <w:pPr>
              <w:pStyle w:val="ae"/>
              <w:rPr>
                <w:b w:val="0"/>
                <w:bCs/>
              </w:rPr>
            </w:pPr>
            <w:r w:rsidRPr="00F22172">
              <w:rPr>
                <w:rFonts w:hint="eastAsia"/>
                <w:b w:val="0"/>
                <w:bCs/>
              </w:rPr>
              <w:t>60</w:t>
            </w:r>
          </w:p>
        </w:tc>
        <w:tc>
          <w:tcPr>
            <w:tcW w:w="454" w:type="dxa"/>
            <w:shd w:val="clear" w:color="auto" w:fill="auto"/>
            <w:vAlign w:val="center"/>
            <w:hideMark/>
          </w:tcPr>
          <w:p w14:paraId="361B46EB" w14:textId="77777777" w:rsidR="00913C78" w:rsidRPr="00F22172" w:rsidRDefault="00913C78" w:rsidP="00F22172">
            <w:pPr>
              <w:pStyle w:val="ae"/>
              <w:rPr>
                <w:b w:val="0"/>
                <w:bCs/>
              </w:rPr>
            </w:pPr>
            <w:r w:rsidRPr="00F22172">
              <w:rPr>
                <w:rFonts w:hint="eastAsia"/>
                <w:b w:val="0"/>
                <w:bCs/>
              </w:rPr>
              <w:t>60</w:t>
            </w:r>
          </w:p>
        </w:tc>
        <w:tc>
          <w:tcPr>
            <w:tcW w:w="454" w:type="dxa"/>
            <w:shd w:val="clear" w:color="auto" w:fill="auto"/>
            <w:vAlign w:val="center"/>
            <w:hideMark/>
          </w:tcPr>
          <w:p w14:paraId="4F7C82CE" w14:textId="77777777" w:rsidR="00913C78" w:rsidRPr="00F22172" w:rsidRDefault="00913C78" w:rsidP="00F22172">
            <w:pPr>
              <w:pStyle w:val="ae"/>
              <w:rPr>
                <w:b w:val="0"/>
                <w:bCs/>
              </w:rPr>
            </w:pPr>
            <w:r w:rsidRPr="00F22172">
              <w:rPr>
                <w:rFonts w:hint="eastAsia"/>
                <w:b w:val="0"/>
                <w:bCs/>
              </w:rPr>
              <w:t>60</w:t>
            </w:r>
          </w:p>
        </w:tc>
        <w:tc>
          <w:tcPr>
            <w:tcW w:w="453" w:type="dxa"/>
            <w:shd w:val="clear" w:color="auto" w:fill="auto"/>
            <w:vAlign w:val="center"/>
            <w:hideMark/>
          </w:tcPr>
          <w:p w14:paraId="76B30614" w14:textId="77777777" w:rsidR="00913C78" w:rsidRPr="00F22172" w:rsidRDefault="00913C78" w:rsidP="00F22172">
            <w:pPr>
              <w:pStyle w:val="ae"/>
              <w:rPr>
                <w:b w:val="0"/>
                <w:bCs/>
              </w:rPr>
            </w:pPr>
            <w:r w:rsidRPr="00F22172">
              <w:rPr>
                <w:rFonts w:hint="eastAsia"/>
                <w:b w:val="0"/>
                <w:bCs/>
              </w:rPr>
              <w:t>60</w:t>
            </w:r>
          </w:p>
        </w:tc>
        <w:tc>
          <w:tcPr>
            <w:tcW w:w="454" w:type="dxa"/>
            <w:shd w:val="clear" w:color="auto" w:fill="auto"/>
            <w:vAlign w:val="center"/>
            <w:hideMark/>
          </w:tcPr>
          <w:p w14:paraId="4CFD2706" w14:textId="77777777" w:rsidR="00913C78" w:rsidRPr="00F22172" w:rsidRDefault="00913C78" w:rsidP="00F22172">
            <w:pPr>
              <w:pStyle w:val="ae"/>
              <w:rPr>
                <w:b w:val="0"/>
                <w:bCs/>
              </w:rPr>
            </w:pPr>
            <w:r w:rsidRPr="00F22172">
              <w:rPr>
                <w:rFonts w:hint="eastAsia"/>
                <w:b w:val="0"/>
                <w:bCs/>
              </w:rPr>
              <w:t>80</w:t>
            </w:r>
          </w:p>
        </w:tc>
        <w:tc>
          <w:tcPr>
            <w:tcW w:w="454" w:type="dxa"/>
            <w:shd w:val="clear" w:color="auto" w:fill="auto"/>
            <w:vAlign w:val="center"/>
            <w:hideMark/>
          </w:tcPr>
          <w:p w14:paraId="26CEF177" w14:textId="77777777" w:rsidR="00913C78" w:rsidRPr="00F22172" w:rsidRDefault="00913C78" w:rsidP="00F22172">
            <w:pPr>
              <w:pStyle w:val="ae"/>
              <w:rPr>
                <w:b w:val="0"/>
                <w:bCs/>
              </w:rPr>
            </w:pPr>
            <w:r w:rsidRPr="00F22172">
              <w:rPr>
                <w:rFonts w:hint="eastAsia"/>
                <w:b w:val="0"/>
                <w:bCs/>
              </w:rPr>
              <w:t>90</w:t>
            </w:r>
          </w:p>
        </w:tc>
        <w:tc>
          <w:tcPr>
            <w:tcW w:w="453" w:type="dxa"/>
            <w:shd w:val="clear" w:color="auto" w:fill="auto"/>
            <w:vAlign w:val="center"/>
            <w:hideMark/>
          </w:tcPr>
          <w:p w14:paraId="6C12255D" w14:textId="77777777" w:rsidR="00913C78" w:rsidRPr="00F22172" w:rsidRDefault="00913C78" w:rsidP="00F22172">
            <w:pPr>
              <w:pStyle w:val="ae"/>
              <w:rPr>
                <w:b w:val="0"/>
                <w:bCs/>
              </w:rPr>
            </w:pPr>
            <w:r w:rsidRPr="00F22172">
              <w:rPr>
                <w:rFonts w:hint="eastAsia"/>
                <w:b w:val="0"/>
                <w:bCs/>
              </w:rPr>
              <w:t>100</w:t>
            </w:r>
          </w:p>
        </w:tc>
        <w:tc>
          <w:tcPr>
            <w:tcW w:w="454" w:type="dxa"/>
            <w:shd w:val="clear" w:color="auto" w:fill="auto"/>
            <w:vAlign w:val="center"/>
            <w:hideMark/>
          </w:tcPr>
          <w:p w14:paraId="0F305766" w14:textId="77777777" w:rsidR="00913C78" w:rsidRPr="00F22172" w:rsidRDefault="00913C78" w:rsidP="00F22172">
            <w:pPr>
              <w:pStyle w:val="ae"/>
              <w:rPr>
                <w:b w:val="0"/>
                <w:bCs/>
              </w:rPr>
            </w:pPr>
            <w:r w:rsidRPr="00F22172">
              <w:rPr>
                <w:rFonts w:hint="eastAsia"/>
                <w:b w:val="0"/>
                <w:bCs/>
              </w:rPr>
              <w:t>100</w:t>
            </w:r>
          </w:p>
        </w:tc>
        <w:tc>
          <w:tcPr>
            <w:tcW w:w="454" w:type="dxa"/>
            <w:shd w:val="clear" w:color="auto" w:fill="auto"/>
            <w:vAlign w:val="center"/>
            <w:hideMark/>
          </w:tcPr>
          <w:p w14:paraId="4C95AC36" w14:textId="77777777" w:rsidR="00913C78" w:rsidRPr="00F22172" w:rsidRDefault="00913C78" w:rsidP="00F22172">
            <w:pPr>
              <w:pStyle w:val="ae"/>
              <w:rPr>
                <w:b w:val="0"/>
                <w:bCs/>
              </w:rPr>
            </w:pPr>
            <w:r w:rsidRPr="00F22172">
              <w:rPr>
                <w:rFonts w:hint="eastAsia"/>
                <w:b w:val="0"/>
                <w:bCs/>
              </w:rPr>
              <w:t>100</w:t>
            </w:r>
          </w:p>
        </w:tc>
        <w:tc>
          <w:tcPr>
            <w:tcW w:w="453" w:type="dxa"/>
            <w:shd w:val="clear" w:color="auto" w:fill="auto"/>
            <w:vAlign w:val="center"/>
            <w:hideMark/>
          </w:tcPr>
          <w:p w14:paraId="24FC6A63"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028A187B" w14:textId="77777777" w:rsidR="00913C78" w:rsidRPr="00F22172" w:rsidRDefault="00913C78" w:rsidP="00F22172">
            <w:pPr>
              <w:pStyle w:val="ae"/>
              <w:rPr>
                <w:b w:val="0"/>
                <w:bCs/>
              </w:rPr>
            </w:pPr>
            <w:r w:rsidRPr="00F22172">
              <w:rPr>
                <w:rFonts w:hint="eastAsia"/>
                <w:b w:val="0"/>
                <w:bCs/>
              </w:rPr>
              <w:t>10</w:t>
            </w:r>
          </w:p>
        </w:tc>
        <w:tc>
          <w:tcPr>
            <w:tcW w:w="454" w:type="dxa"/>
            <w:shd w:val="clear" w:color="auto" w:fill="auto"/>
            <w:vAlign w:val="center"/>
            <w:hideMark/>
          </w:tcPr>
          <w:p w14:paraId="06D9E939" w14:textId="77777777" w:rsidR="00913C78" w:rsidRPr="00F22172" w:rsidRDefault="00913C78" w:rsidP="00F22172">
            <w:pPr>
              <w:pStyle w:val="ae"/>
              <w:rPr>
                <w:b w:val="0"/>
                <w:bCs/>
              </w:rPr>
            </w:pPr>
            <w:r w:rsidRPr="00F22172">
              <w:rPr>
                <w:rFonts w:hint="eastAsia"/>
                <w:b w:val="0"/>
                <w:bCs/>
              </w:rPr>
              <w:t>10</w:t>
            </w:r>
          </w:p>
        </w:tc>
      </w:tr>
    </w:tbl>
    <w:p w14:paraId="33D15715" w14:textId="36A2E9A1" w:rsidR="00913C78" w:rsidRPr="00913C78" w:rsidRDefault="00913C78" w:rsidP="00F22172">
      <w:pPr>
        <w:pStyle w:val="ae"/>
      </w:pPr>
      <w:r w:rsidRPr="00913C78">
        <w:rPr>
          <w:rFonts w:hint="eastAsia"/>
        </w:rPr>
        <w:t>附表</w:t>
      </w:r>
      <w:r w:rsidRPr="00913C78">
        <w:rPr>
          <w:rFonts w:hint="eastAsia"/>
        </w:rPr>
        <w:t>A.5.</w:t>
      </w:r>
      <w:r w:rsidR="00532D0F">
        <w:t>7</w:t>
      </w:r>
      <w:r w:rsidRPr="00913C78">
        <w:rPr>
          <w:rFonts w:hint="eastAsia"/>
        </w:rPr>
        <w:t xml:space="preserve">  </w:t>
      </w:r>
      <w:r w:rsidRPr="00913C78">
        <w:rPr>
          <w:rFonts w:hint="eastAsia"/>
        </w:rPr>
        <w:t>其他类型</w:t>
      </w:r>
      <w:r w:rsidRPr="00913C78">
        <w:t>建筑</w:t>
      </w:r>
      <w:r w:rsidRPr="00913C78">
        <w:rPr>
          <w:rFonts w:hint="eastAsia"/>
        </w:rPr>
        <w:t>照明开启率时间</w:t>
      </w:r>
      <w:r w:rsidRPr="00913C78">
        <w:t>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5"/>
        <w:gridCol w:w="3685"/>
      </w:tblGrid>
      <w:tr w:rsidR="00913C78" w:rsidRPr="00F22172" w14:paraId="23703791" w14:textId="77777777" w:rsidTr="00E221F6">
        <w:trPr>
          <w:jc w:val="center"/>
        </w:trPr>
        <w:tc>
          <w:tcPr>
            <w:tcW w:w="3685" w:type="dxa"/>
            <w:shd w:val="clear" w:color="auto" w:fill="auto"/>
            <w:vAlign w:val="center"/>
            <w:hideMark/>
          </w:tcPr>
          <w:p w14:paraId="01069B85" w14:textId="77777777" w:rsidR="00913C78" w:rsidRPr="00F22172" w:rsidRDefault="00913C78" w:rsidP="00F22172">
            <w:pPr>
              <w:pStyle w:val="ae"/>
              <w:rPr>
                <w:b w:val="0"/>
                <w:bCs/>
              </w:rPr>
            </w:pPr>
            <w:r w:rsidRPr="00F22172">
              <w:rPr>
                <w:rFonts w:hint="eastAsia"/>
                <w:b w:val="0"/>
                <w:bCs/>
              </w:rPr>
              <w:lastRenderedPageBreak/>
              <w:t>时间</w:t>
            </w:r>
          </w:p>
        </w:tc>
        <w:tc>
          <w:tcPr>
            <w:tcW w:w="3685" w:type="dxa"/>
            <w:shd w:val="clear" w:color="auto" w:fill="auto"/>
            <w:vAlign w:val="center"/>
            <w:hideMark/>
          </w:tcPr>
          <w:p w14:paraId="7588FD74" w14:textId="77777777" w:rsidR="00913C78" w:rsidRPr="00F22172" w:rsidRDefault="00913C78" w:rsidP="00F22172">
            <w:pPr>
              <w:pStyle w:val="ae"/>
              <w:rPr>
                <w:b w:val="0"/>
                <w:bCs/>
              </w:rPr>
            </w:pPr>
            <w:r w:rsidRPr="00F22172">
              <w:rPr>
                <w:rFonts w:hint="eastAsia"/>
                <w:b w:val="0"/>
                <w:bCs/>
              </w:rPr>
              <w:t>照明开启率</w:t>
            </w:r>
            <w:r w:rsidRPr="00F22172">
              <w:rPr>
                <w:rFonts w:hint="eastAsia"/>
                <w:b w:val="0"/>
                <w:bCs/>
              </w:rPr>
              <w:t>/%</w:t>
            </w:r>
          </w:p>
        </w:tc>
      </w:tr>
      <w:tr w:rsidR="00913C78" w:rsidRPr="00F22172" w14:paraId="59B2DBD7" w14:textId="77777777" w:rsidTr="00E221F6">
        <w:trPr>
          <w:jc w:val="center"/>
        </w:trPr>
        <w:tc>
          <w:tcPr>
            <w:tcW w:w="3685" w:type="dxa"/>
            <w:shd w:val="clear" w:color="auto" w:fill="auto"/>
            <w:vAlign w:val="center"/>
            <w:hideMark/>
          </w:tcPr>
          <w:p w14:paraId="23106E66" w14:textId="77777777" w:rsidR="00913C78" w:rsidRPr="00F22172" w:rsidRDefault="00913C78" w:rsidP="00F22172">
            <w:pPr>
              <w:pStyle w:val="ae"/>
              <w:rPr>
                <w:b w:val="0"/>
                <w:bCs/>
              </w:rPr>
            </w:pPr>
            <w:r w:rsidRPr="00F22172">
              <w:rPr>
                <w:rFonts w:hint="eastAsia"/>
                <w:b w:val="0"/>
                <w:bCs/>
              </w:rPr>
              <w:t>正常工作</w:t>
            </w:r>
          </w:p>
        </w:tc>
        <w:tc>
          <w:tcPr>
            <w:tcW w:w="3685" w:type="dxa"/>
            <w:shd w:val="clear" w:color="auto" w:fill="auto"/>
            <w:vAlign w:val="center"/>
            <w:hideMark/>
          </w:tcPr>
          <w:p w14:paraId="486805C9" w14:textId="77777777" w:rsidR="00913C78" w:rsidRPr="00F22172" w:rsidRDefault="00913C78" w:rsidP="00F22172">
            <w:pPr>
              <w:pStyle w:val="ae"/>
              <w:rPr>
                <w:b w:val="0"/>
                <w:bCs/>
              </w:rPr>
            </w:pPr>
            <w:r w:rsidRPr="00F22172">
              <w:rPr>
                <w:rFonts w:hint="eastAsia"/>
                <w:b w:val="0"/>
                <w:bCs/>
              </w:rPr>
              <w:t>90</w:t>
            </w:r>
          </w:p>
        </w:tc>
      </w:tr>
      <w:tr w:rsidR="00913C78" w:rsidRPr="00F22172" w14:paraId="0C3E3D90" w14:textId="77777777" w:rsidTr="00E221F6">
        <w:trPr>
          <w:jc w:val="center"/>
        </w:trPr>
        <w:tc>
          <w:tcPr>
            <w:tcW w:w="3685" w:type="dxa"/>
            <w:shd w:val="clear" w:color="auto" w:fill="auto"/>
            <w:vAlign w:val="center"/>
            <w:hideMark/>
          </w:tcPr>
          <w:p w14:paraId="3DA8AF8E" w14:textId="77777777" w:rsidR="00913C78" w:rsidRPr="00F22172" w:rsidRDefault="00913C78" w:rsidP="00F22172">
            <w:pPr>
              <w:pStyle w:val="ae"/>
              <w:rPr>
                <w:b w:val="0"/>
                <w:bCs/>
              </w:rPr>
            </w:pPr>
            <w:r w:rsidRPr="00F22172">
              <w:rPr>
                <w:rFonts w:hint="eastAsia"/>
                <w:b w:val="0"/>
                <w:bCs/>
              </w:rPr>
              <w:t>正常工作时间的前</w:t>
            </w:r>
            <w:r w:rsidRPr="00F22172">
              <w:rPr>
                <w:rFonts w:hint="eastAsia"/>
                <w:b w:val="0"/>
                <w:bCs/>
              </w:rPr>
              <w:t>1h</w:t>
            </w:r>
          </w:p>
        </w:tc>
        <w:tc>
          <w:tcPr>
            <w:tcW w:w="3685" w:type="dxa"/>
            <w:shd w:val="clear" w:color="auto" w:fill="auto"/>
            <w:vAlign w:val="center"/>
            <w:hideMark/>
          </w:tcPr>
          <w:p w14:paraId="0B63BC5F" w14:textId="77777777" w:rsidR="00913C78" w:rsidRPr="00F22172" w:rsidRDefault="00913C78" w:rsidP="00F22172">
            <w:pPr>
              <w:pStyle w:val="ae"/>
              <w:rPr>
                <w:b w:val="0"/>
                <w:bCs/>
              </w:rPr>
            </w:pPr>
            <w:r w:rsidRPr="00F22172">
              <w:rPr>
                <w:rFonts w:hint="eastAsia"/>
                <w:b w:val="0"/>
                <w:bCs/>
              </w:rPr>
              <w:t>20</w:t>
            </w:r>
          </w:p>
        </w:tc>
      </w:tr>
      <w:tr w:rsidR="00913C78" w:rsidRPr="00F22172" w14:paraId="450BA3CD" w14:textId="77777777" w:rsidTr="00E221F6">
        <w:trPr>
          <w:jc w:val="center"/>
        </w:trPr>
        <w:tc>
          <w:tcPr>
            <w:tcW w:w="3685" w:type="dxa"/>
            <w:shd w:val="clear" w:color="auto" w:fill="auto"/>
            <w:vAlign w:val="center"/>
            <w:hideMark/>
          </w:tcPr>
          <w:p w14:paraId="4ACC87DE" w14:textId="77777777" w:rsidR="00913C78" w:rsidRPr="00F22172" w:rsidRDefault="00913C78" w:rsidP="00F22172">
            <w:pPr>
              <w:pStyle w:val="ae"/>
              <w:rPr>
                <w:b w:val="0"/>
                <w:bCs/>
              </w:rPr>
            </w:pPr>
            <w:r w:rsidRPr="00F22172">
              <w:rPr>
                <w:rFonts w:hint="eastAsia"/>
                <w:b w:val="0"/>
                <w:bCs/>
              </w:rPr>
              <w:t>其他</w:t>
            </w:r>
          </w:p>
        </w:tc>
        <w:tc>
          <w:tcPr>
            <w:tcW w:w="3685" w:type="dxa"/>
            <w:shd w:val="clear" w:color="auto" w:fill="auto"/>
            <w:vAlign w:val="center"/>
            <w:hideMark/>
          </w:tcPr>
          <w:p w14:paraId="23851F39" w14:textId="77777777" w:rsidR="00913C78" w:rsidRPr="00F22172" w:rsidRDefault="00913C78" w:rsidP="00F22172">
            <w:pPr>
              <w:pStyle w:val="ae"/>
              <w:rPr>
                <w:b w:val="0"/>
                <w:bCs/>
              </w:rPr>
            </w:pPr>
            <w:r w:rsidRPr="00F22172">
              <w:rPr>
                <w:rFonts w:hint="eastAsia"/>
                <w:b w:val="0"/>
                <w:bCs/>
              </w:rPr>
              <w:t>10</w:t>
            </w:r>
          </w:p>
        </w:tc>
      </w:tr>
    </w:tbl>
    <w:p w14:paraId="6A97BDFF" w14:textId="78B47E1F" w:rsidR="00913C78" w:rsidRPr="00913C78" w:rsidRDefault="00913C78" w:rsidP="00F22172">
      <w:pPr>
        <w:pStyle w:val="ae"/>
      </w:pPr>
      <w:r w:rsidRPr="00913C78">
        <w:rPr>
          <w:rFonts w:hint="eastAsia"/>
        </w:rPr>
        <w:t>附表</w:t>
      </w:r>
      <w:r w:rsidRPr="00913C78">
        <w:rPr>
          <w:rFonts w:hint="eastAsia"/>
        </w:rPr>
        <w:t>A.5.</w:t>
      </w:r>
      <w:r w:rsidR="00532D0F">
        <w:t>8</w:t>
      </w:r>
      <w:r w:rsidRPr="00913C78">
        <w:rPr>
          <w:rFonts w:hint="eastAsia"/>
        </w:rPr>
        <w:t xml:space="preserve"> </w:t>
      </w:r>
      <w:r w:rsidRPr="00913C78">
        <w:rPr>
          <w:rFonts w:hint="eastAsia"/>
        </w:rPr>
        <w:t>不同类型房间人均占有的建筑面积</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76"/>
        <w:gridCol w:w="1777"/>
        <w:gridCol w:w="3817"/>
      </w:tblGrid>
      <w:tr w:rsidR="00913C78" w:rsidRPr="00F22172" w14:paraId="3B575B8C" w14:textId="77777777" w:rsidTr="00E221F6">
        <w:trPr>
          <w:jc w:val="center"/>
        </w:trPr>
        <w:tc>
          <w:tcPr>
            <w:tcW w:w="2773" w:type="dxa"/>
            <w:gridSpan w:val="2"/>
            <w:shd w:val="clear" w:color="auto" w:fill="auto"/>
            <w:noWrap/>
            <w:vAlign w:val="center"/>
            <w:hideMark/>
          </w:tcPr>
          <w:p w14:paraId="5A60C743" w14:textId="77777777" w:rsidR="00913C78" w:rsidRPr="00F22172" w:rsidRDefault="00913C78" w:rsidP="00F22172">
            <w:pPr>
              <w:pStyle w:val="ae"/>
              <w:rPr>
                <w:b w:val="0"/>
                <w:bCs/>
              </w:rPr>
            </w:pPr>
            <w:r w:rsidRPr="00F22172">
              <w:rPr>
                <w:rFonts w:hint="eastAsia"/>
                <w:b w:val="0"/>
                <w:bCs/>
              </w:rPr>
              <w:t>建筑类别</w:t>
            </w:r>
          </w:p>
        </w:tc>
        <w:tc>
          <w:tcPr>
            <w:tcW w:w="2979" w:type="dxa"/>
            <w:shd w:val="clear" w:color="auto" w:fill="auto"/>
            <w:noWrap/>
            <w:vAlign w:val="center"/>
            <w:hideMark/>
          </w:tcPr>
          <w:p w14:paraId="4DC93732" w14:textId="77777777" w:rsidR="00913C78" w:rsidRPr="00F22172" w:rsidRDefault="00913C78" w:rsidP="00F22172">
            <w:pPr>
              <w:pStyle w:val="ae"/>
              <w:rPr>
                <w:b w:val="0"/>
                <w:bCs/>
              </w:rPr>
            </w:pPr>
            <w:r w:rsidRPr="00F22172">
              <w:rPr>
                <w:rFonts w:hint="eastAsia"/>
                <w:b w:val="0"/>
                <w:bCs/>
              </w:rPr>
              <w:t>人均占有的建筑面积</w:t>
            </w:r>
            <w:r w:rsidRPr="00F22172">
              <w:rPr>
                <w:rFonts w:hint="eastAsia"/>
                <w:b w:val="0"/>
                <w:bCs/>
              </w:rPr>
              <w:t>/</w:t>
            </w:r>
            <w:r w:rsidRPr="00F22172">
              <w:rPr>
                <w:rFonts w:hint="eastAsia"/>
                <w:b w:val="0"/>
                <w:bCs/>
              </w:rPr>
              <w:t>（</w:t>
            </w:r>
            <w:r w:rsidRPr="00F22172">
              <w:rPr>
                <w:rFonts w:hint="eastAsia"/>
                <w:b w:val="0"/>
                <w:bCs/>
              </w:rPr>
              <w:t>m2/</w:t>
            </w:r>
            <w:r w:rsidRPr="00F22172">
              <w:rPr>
                <w:rFonts w:hint="eastAsia"/>
                <w:b w:val="0"/>
                <w:bCs/>
              </w:rPr>
              <w:t>人）</w:t>
            </w:r>
          </w:p>
        </w:tc>
      </w:tr>
      <w:tr w:rsidR="00913C78" w:rsidRPr="00F22172" w14:paraId="258959BD" w14:textId="77777777" w:rsidTr="00E221F6">
        <w:trPr>
          <w:jc w:val="center"/>
        </w:trPr>
        <w:tc>
          <w:tcPr>
            <w:tcW w:w="2773" w:type="dxa"/>
            <w:gridSpan w:val="2"/>
            <w:shd w:val="clear" w:color="auto" w:fill="auto"/>
            <w:vAlign w:val="center"/>
            <w:hideMark/>
          </w:tcPr>
          <w:p w14:paraId="215FD04B" w14:textId="77777777" w:rsidR="00913C78" w:rsidRPr="00F22172" w:rsidRDefault="00913C78" w:rsidP="00F22172">
            <w:pPr>
              <w:pStyle w:val="ae"/>
              <w:rPr>
                <w:b w:val="0"/>
                <w:bCs/>
              </w:rPr>
            </w:pPr>
            <w:r w:rsidRPr="00F22172">
              <w:rPr>
                <w:rFonts w:hint="eastAsia"/>
                <w:b w:val="0"/>
                <w:bCs/>
              </w:rPr>
              <w:t>办公建筑</w:t>
            </w:r>
          </w:p>
        </w:tc>
        <w:tc>
          <w:tcPr>
            <w:tcW w:w="2979" w:type="dxa"/>
            <w:shd w:val="clear" w:color="auto" w:fill="auto"/>
            <w:noWrap/>
            <w:vAlign w:val="center"/>
            <w:hideMark/>
          </w:tcPr>
          <w:p w14:paraId="73C69D31" w14:textId="77777777" w:rsidR="00913C78" w:rsidRPr="00F22172" w:rsidRDefault="00913C78" w:rsidP="00F22172">
            <w:pPr>
              <w:pStyle w:val="ae"/>
              <w:rPr>
                <w:b w:val="0"/>
                <w:bCs/>
              </w:rPr>
            </w:pPr>
            <w:r w:rsidRPr="00F22172">
              <w:rPr>
                <w:rFonts w:hint="eastAsia"/>
                <w:b w:val="0"/>
                <w:bCs/>
              </w:rPr>
              <w:t>10.0</w:t>
            </w:r>
          </w:p>
        </w:tc>
      </w:tr>
      <w:tr w:rsidR="00913C78" w:rsidRPr="00F22172" w14:paraId="021A58BD" w14:textId="77777777" w:rsidTr="00E221F6">
        <w:trPr>
          <w:jc w:val="center"/>
        </w:trPr>
        <w:tc>
          <w:tcPr>
            <w:tcW w:w="2773" w:type="dxa"/>
            <w:gridSpan w:val="2"/>
            <w:shd w:val="clear" w:color="auto" w:fill="auto"/>
            <w:vAlign w:val="center"/>
            <w:hideMark/>
          </w:tcPr>
          <w:p w14:paraId="214461BB" w14:textId="77777777" w:rsidR="00913C78" w:rsidRPr="00F22172" w:rsidRDefault="00913C78" w:rsidP="00F22172">
            <w:pPr>
              <w:pStyle w:val="ae"/>
              <w:rPr>
                <w:b w:val="0"/>
                <w:bCs/>
              </w:rPr>
            </w:pPr>
            <w:r w:rsidRPr="00F22172">
              <w:rPr>
                <w:rFonts w:hint="eastAsia"/>
                <w:b w:val="0"/>
                <w:bCs/>
              </w:rPr>
              <w:t>校园建筑——教学楼</w:t>
            </w:r>
          </w:p>
        </w:tc>
        <w:tc>
          <w:tcPr>
            <w:tcW w:w="2979" w:type="dxa"/>
            <w:shd w:val="clear" w:color="auto" w:fill="auto"/>
            <w:noWrap/>
            <w:vAlign w:val="center"/>
            <w:hideMark/>
          </w:tcPr>
          <w:p w14:paraId="57661401" w14:textId="77777777" w:rsidR="00913C78" w:rsidRPr="00F22172" w:rsidRDefault="00913C78" w:rsidP="00F22172">
            <w:pPr>
              <w:pStyle w:val="ae"/>
              <w:rPr>
                <w:b w:val="0"/>
                <w:bCs/>
              </w:rPr>
            </w:pPr>
            <w:r w:rsidRPr="00F22172">
              <w:rPr>
                <w:rFonts w:hint="eastAsia"/>
                <w:b w:val="0"/>
                <w:bCs/>
              </w:rPr>
              <w:t>6.0</w:t>
            </w:r>
          </w:p>
        </w:tc>
      </w:tr>
      <w:tr w:rsidR="00913C78" w:rsidRPr="00F22172" w14:paraId="054FE48E" w14:textId="77777777" w:rsidTr="00E221F6">
        <w:trPr>
          <w:jc w:val="center"/>
        </w:trPr>
        <w:tc>
          <w:tcPr>
            <w:tcW w:w="1386" w:type="dxa"/>
            <w:vMerge w:val="restart"/>
            <w:shd w:val="clear" w:color="auto" w:fill="auto"/>
            <w:vAlign w:val="center"/>
            <w:hideMark/>
          </w:tcPr>
          <w:p w14:paraId="47CAED21" w14:textId="77777777" w:rsidR="00913C78" w:rsidRPr="00F22172" w:rsidRDefault="00913C78" w:rsidP="00F22172">
            <w:pPr>
              <w:pStyle w:val="ae"/>
              <w:rPr>
                <w:b w:val="0"/>
                <w:bCs/>
              </w:rPr>
            </w:pPr>
            <w:r w:rsidRPr="00F22172">
              <w:rPr>
                <w:rFonts w:hint="eastAsia"/>
                <w:b w:val="0"/>
                <w:bCs/>
              </w:rPr>
              <w:t>商店建筑</w:t>
            </w:r>
          </w:p>
        </w:tc>
        <w:tc>
          <w:tcPr>
            <w:tcW w:w="1387" w:type="dxa"/>
            <w:shd w:val="clear" w:color="auto" w:fill="auto"/>
            <w:noWrap/>
            <w:vAlign w:val="center"/>
            <w:hideMark/>
          </w:tcPr>
          <w:p w14:paraId="4EF7D3BF" w14:textId="77777777" w:rsidR="00913C78" w:rsidRPr="00F22172" w:rsidRDefault="00913C78" w:rsidP="00F22172">
            <w:pPr>
              <w:pStyle w:val="ae"/>
              <w:rPr>
                <w:b w:val="0"/>
                <w:bCs/>
              </w:rPr>
            </w:pPr>
            <w:r w:rsidRPr="00F22172">
              <w:rPr>
                <w:rFonts w:hint="eastAsia"/>
                <w:b w:val="0"/>
                <w:bCs/>
              </w:rPr>
              <w:t>一般商场</w:t>
            </w:r>
          </w:p>
        </w:tc>
        <w:tc>
          <w:tcPr>
            <w:tcW w:w="2979" w:type="dxa"/>
            <w:shd w:val="clear" w:color="auto" w:fill="auto"/>
            <w:noWrap/>
            <w:vAlign w:val="center"/>
            <w:hideMark/>
          </w:tcPr>
          <w:p w14:paraId="14831F2E" w14:textId="77777777" w:rsidR="00913C78" w:rsidRPr="00F22172" w:rsidRDefault="00913C78" w:rsidP="00F22172">
            <w:pPr>
              <w:pStyle w:val="ae"/>
              <w:rPr>
                <w:b w:val="0"/>
                <w:bCs/>
              </w:rPr>
            </w:pPr>
            <w:r w:rsidRPr="00F22172">
              <w:rPr>
                <w:rFonts w:hint="eastAsia"/>
                <w:b w:val="0"/>
                <w:bCs/>
              </w:rPr>
              <w:t>5.0</w:t>
            </w:r>
          </w:p>
        </w:tc>
      </w:tr>
      <w:tr w:rsidR="00913C78" w:rsidRPr="00F22172" w14:paraId="523FBA02" w14:textId="77777777" w:rsidTr="00E221F6">
        <w:trPr>
          <w:jc w:val="center"/>
        </w:trPr>
        <w:tc>
          <w:tcPr>
            <w:tcW w:w="1386" w:type="dxa"/>
            <w:vMerge/>
            <w:shd w:val="clear" w:color="auto" w:fill="auto"/>
            <w:vAlign w:val="center"/>
            <w:hideMark/>
          </w:tcPr>
          <w:p w14:paraId="64FFE1F1" w14:textId="77777777" w:rsidR="00913C78" w:rsidRPr="00F22172" w:rsidRDefault="00913C78" w:rsidP="00F22172">
            <w:pPr>
              <w:pStyle w:val="ae"/>
              <w:rPr>
                <w:b w:val="0"/>
                <w:bCs/>
              </w:rPr>
            </w:pPr>
          </w:p>
        </w:tc>
        <w:tc>
          <w:tcPr>
            <w:tcW w:w="1387" w:type="dxa"/>
            <w:shd w:val="clear" w:color="auto" w:fill="auto"/>
            <w:noWrap/>
            <w:vAlign w:val="center"/>
            <w:hideMark/>
          </w:tcPr>
          <w:p w14:paraId="478BC9E5" w14:textId="77777777" w:rsidR="00913C78" w:rsidRPr="00F22172" w:rsidRDefault="00913C78" w:rsidP="00F22172">
            <w:pPr>
              <w:pStyle w:val="ae"/>
              <w:rPr>
                <w:b w:val="0"/>
                <w:bCs/>
              </w:rPr>
            </w:pPr>
            <w:r w:rsidRPr="00F22172">
              <w:rPr>
                <w:rFonts w:hint="eastAsia"/>
                <w:b w:val="0"/>
                <w:bCs/>
              </w:rPr>
              <w:t>高档商场</w:t>
            </w:r>
          </w:p>
        </w:tc>
        <w:tc>
          <w:tcPr>
            <w:tcW w:w="2979" w:type="dxa"/>
            <w:shd w:val="clear" w:color="auto" w:fill="auto"/>
            <w:noWrap/>
            <w:vAlign w:val="center"/>
            <w:hideMark/>
          </w:tcPr>
          <w:p w14:paraId="58CD2CE2" w14:textId="77777777" w:rsidR="00913C78" w:rsidRPr="00F22172" w:rsidRDefault="00913C78" w:rsidP="00F22172">
            <w:pPr>
              <w:pStyle w:val="ae"/>
              <w:rPr>
                <w:b w:val="0"/>
                <w:bCs/>
              </w:rPr>
            </w:pPr>
            <w:r w:rsidRPr="00F22172">
              <w:rPr>
                <w:rFonts w:hint="eastAsia"/>
                <w:b w:val="0"/>
                <w:bCs/>
              </w:rPr>
              <w:t>10.0</w:t>
            </w:r>
          </w:p>
        </w:tc>
      </w:tr>
      <w:tr w:rsidR="00913C78" w:rsidRPr="00F22172" w14:paraId="5CC867E1" w14:textId="77777777" w:rsidTr="00E221F6">
        <w:trPr>
          <w:jc w:val="center"/>
        </w:trPr>
        <w:tc>
          <w:tcPr>
            <w:tcW w:w="2773" w:type="dxa"/>
            <w:gridSpan w:val="2"/>
            <w:shd w:val="clear" w:color="auto" w:fill="auto"/>
            <w:vAlign w:val="center"/>
            <w:hideMark/>
          </w:tcPr>
          <w:p w14:paraId="71CFCBBF" w14:textId="77777777" w:rsidR="00913C78" w:rsidRPr="00F22172" w:rsidRDefault="00913C78" w:rsidP="00F22172">
            <w:pPr>
              <w:pStyle w:val="ae"/>
              <w:rPr>
                <w:b w:val="0"/>
                <w:bCs/>
              </w:rPr>
            </w:pPr>
            <w:r w:rsidRPr="00F22172">
              <w:rPr>
                <w:rFonts w:hint="eastAsia"/>
                <w:b w:val="0"/>
                <w:bCs/>
              </w:rPr>
              <w:t>医疗建筑——门诊楼</w:t>
            </w:r>
          </w:p>
        </w:tc>
        <w:tc>
          <w:tcPr>
            <w:tcW w:w="2979" w:type="dxa"/>
            <w:shd w:val="clear" w:color="auto" w:fill="auto"/>
            <w:noWrap/>
            <w:vAlign w:val="center"/>
            <w:hideMark/>
          </w:tcPr>
          <w:p w14:paraId="4BC8433D" w14:textId="77777777" w:rsidR="00913C78" w:rsidRPr="00F22172" w:rsidRDefault="00913C78" w:rsidP="00F22172">
            <w:pPr>
              <w:pStyle w:val="ae"/>
              <w:rPr>
                <w:b w:val="0"/>
                <w:bCs/>
              </w:rPr>
            </w:pPr>
            <w:r w:rsidRPr="00F22172">
              <w:rPr>
                <w:rFonts w:hint="eastAsia"/>
                <w:b w:val="0"/>
                <w:bCs/>
              </w:rPr>
              <w:t>8.0</w:t>
            </w:r>
          </w:p>
        </w:tc>
      </w:tr>
      <w:tr w:rsidR="00913C78" w:rsidRPr="00F22172" w14:paraId="769DD7B2" w14:textId="77777777" w:rsidTr="00E221F6">
        <w:trPr>
          <w:jc w:val="center"/>
        </w:trPr>
        <w:tc>
          <w:tcPr>
            <w:tcW w:w="2773" w:type="dxa"/>
            <w:gridSpan w:val="2"/>
            <w:shd w:val="clear" w:color="auto" w:fill="auto"/>
            <w:vAlign w:val="center"/>
            <w:hideMark/>
          </w:tcPr>
          <w:p w14:paraId="0F461216" w14:textId="77777777" w:rsidR="00913C78" w:rsidRPr="00F22172" w:rsidRDefault="00913C78" w:rsidP="00F22172">
            <w:pPr>
              <w:pStyle w:val="ae"/>
              <w:rPr>
                <w:b w:val="0"/>
                <w:bCs/>
              </w:rPr>
            </w:pPr>
            <w:r w:rsidRPr="00F22172">
              <w:rPr>
                <w:rFonts w:hint="eastAsia"/>
                <w:b w:val="0"/>
                <w:bCs/>
              </w:rPr>
              <w:t>宾馆建筑</w:t>
            </w:r>
          </w:p>
        </w:tc>
        <w:tc>
          <w:tcPr>
            <w:tcW w:w="2979" w:type="dxa"/>
            <w:shd w:val="clear" w:color="auto" w:fill="auto"/>
            <w:noWrap/>
            <w:vAlign w:val="center"/>
            <w:hideMark/>
          </w:tcPr>
          <w:p w14:paraId="0E308653" w14:textId="77777777" w:rsidR="00913C78" w:rsidRPr="00F22172" w:rsidRDefault="00913C78" w:rsidP="00F22172">
            <w:pPr>
              <w:pStyle w:val="ae"/>
              <w:rPr>
                <w:b w:val="0"/>
                <w:bCs/>
              </w:rPr>
            </w:pPr>
            <w:r w:rsidRPr="00F22172">
              <w:rPr>
                <w:rFonts w:hint="eastAsia"/>
                <w:b w:val="0"/>
                <w:bCs/>
              </w:rPr>
              <w:t>25.0</w:t>
            </w:r>
          </w:p>
        </w:tc>
      </w:tr>
      <w:tr w:rsidR="00913C78" w:rsidRPr="00F22172" w14:paraId="51E35C0A" w14:textId="77777777" w:rsidTr="00E221F6">
        <w:trPr>
          <w:jc w:val="center"/>
        </w:trPr>
        <w:tc>
          <w:tcPr>
            <w:tcW w:w="2773" w:type="dxa"/>
            <w:gridSpan w:val="2"/>
            <w:shd w:val="clear" w:color="auto" w:fill="auto"/>
            <w:vAlign w:val="center"/>
            <w:hideMark/>
          </w:tcPr>
          <w:p w14:paraId="2068B4B0" w14:textId="77777777" w:rsidR="00913C78" w:rsidRPr="00F22172" w:rsidRDefault="00913C78" w:rsidP="00F22172">
            <w:pPr>
              <w:pStyle w:val="ae"/>
              <w:rPr>
                <w:b w:val="0"/>
                <w:bCs/>
              </w:rPr>
            </w:pPr>
            <w:r w:rsidRPr="00F22172">
              <w:rPr>
                <w:rFonts w:hint="eastAsia"/>
                <w:b w:val="0"/>
                <w:bCs/>
              </w:rPr>
              <w:t>交通建筑——候车（机）、售票、出发大厅</w:t>
            </w:r>
          </w:p>
        </w:tc>
        <w:tc>
          <w:tcPr>
            <w:tcW w:w="2979" w:type="dxa"/>
            <w:shd w:val="clear" w:color="auto" w:fill="auto"/>
            <w:noWrap/>
            <w:vAlign w:val="center"/>
            <w:hideMark/>
          </w:tcPr>
          <w:p w14:paraId="6BE88280" w14:textId="77777777" w:rsidR="00913C78" w:rsidRPr="00F22172" w:rsidRDefault="00913C78" w:rsidP="00F22172">
            <w:pPr>
              <w:pStyle w:val="ae"/>
              <w:rPr>
                <w:b w:val="0"/>
                <w:bCs/>
              </w:rPr>
            </w:pPr>
            <w:r w:rsidRPr="00F22172">
              <w:rPr>
                <w:rFonts w:hint="eastAsia"/>
                <w:b w:val="0"/>
                <w:bCs/>
              </w:rPr>
              <w:t>10.0</w:t>
            </w:r>
          </w:p>
        </w:tc>
      </w:tr>
      <w:tr w:rsidR="00913C78" w:rsidRPr="00F22172" w14:paraId="04F2C8A2" w14:textId="77777777" w:rsidTr="00E221F6">
        <w:trPr>
          <w:jc w:val="center"/>
        </w:trPr>
        <w:tc>
          <w:tcPr>
            <w:tcW w:w="2773" w:type="dxa"/>
            <w:gridSpan w:val="2"/>
            <w:shd w:val="clear" w:color="auto" w:fill="auto"/>
            <w:vAlign w:val="center"/>
            <w:hideMark/>
          </w:tcPr>
          <w:p w14:paraId="1A4EC912" w14:textId="77777777" w:rsidR="00913C78" w:rsidRPr="00F22172" w:rsidRDefault="00913C78" w:rsidP="00F22172">
            <w:pPr>
              <w:pStyle w:val="ae"/>
              <w:rPr>
                <w:b w:val="0"/>
                <w:bCs/>
              </w:rPr>
            </w:pPr>
            <w:r w:rsidRPr="00F22172">
              <w:rPr>
                <w:rFonts w:hint="eastAsia"/>
                <w:b w:val="0"/>
                <w:bCs/>
              </w:rPr>
              <w:t>体育建筑</w:t>
            </w:r>
          </w:p>
        </w:tc>
        <w:tc>
          <w:tcPr>
            <w:tcW w:w="2979" w:type="dxa"/>
            <w:shd w:val="clear" w:color="auto" w:fill="auto"/>
            <w:noWrap/>
            <w:vAlign w:val="center"/>
            <w:hideMark/>
          </w:tcPr>
          <w:p w14:paraId="5B847E6B" w14:textId="77777777" w:rsidR="00913C78" w:rsidRPr="00F22172" w:rsidRDefault="00913C78" w:rsidP="00F22172">
            <w:pPr>
              <w:pStyle w:val="ae"/>
              <w:rPr>
                <w:b w:val="0"/>
                <w:bCs/>
              </w:rPr>
            </w:pPr>
            <w:r w:rsidRPr="00F22172">
              <w:rPr>
                <w:rFonts w:hint="eastAsia"/>
                <w:b w:val="0"/>
                <w:bCs/>
              </w:rPr>
              <w:t>4.0</w:t>
            </w:r>
          </w:p>
        </w:tc>
      </w:tr>
      <w:tr w:rsidR="00913C78" w:rsidRPr="00F22172" w14:paraId="15B82D9C" w14:textId="77777777" w:rsidTr="00E221F6">
        <w:trPr>
          <w:jc w:val="center"/>
        </w:trPr>
        <w:tc>
          <w:tcPr>
            <w:tcW w:w="2773" w:type="dxa"/>
            <w:gridSpan w:val="2"/>
            <w:shd w:val="clear" w:color="auto" w:fill="auto"/>
            <w:vAlign w:val="center"/>
            <w:hideMark/>
          </w:tcPr>
          <w:p w14:paraId="7107A8B2" w14:textId="77777777" w:rsidR="00913C78" w:rsidRPr="00F22172" w:rsidRDefault="00913C78" w:rsidP="00F22172">
            <w:pPr>
              <w:pStyle w:val="ae"/>
              <w:rPr>
                <w:b w:val="0"/>
                <w:bCs/>
              </w:rPr>
            </w:pPr>
            <w:r w:rsidRPr="00F22172">
              <w:rPr>
                <w:rFonts w:hint="eastAsia"/>
                <w:b w:val="0"/>
                <w:bCs/>
              </w:rPr>
              <w:t>观演建筑</w:t>
            </w:r>
          </w:p>
        </w:tc>
        <w:tc>
          <w:tcPr>
            <w:tcW w:w="2979" w:type="dxa"/>
            <w:shd w:val="clear" w:color="auto" w:fill="auto"/>
            <w:noWrap/>
            <w:vAlign w:val="center"/>
            <w:hideMark/>
          </w:tcPr>
          <w:p w14:paraId="4DDF9732" w14:textId="77777777" w:rsidR="00913C78" w:rsidRPr="00F22172" w:rsidRDefault="00913C78" w:rsidP="00F22172">
            <w:pPr>
              <w:pStyle w:val="ae"/>
              <w:rPr>
                <w:b w:val="0"/>
                <w:bCs/>
              </w:rPr>
            </w:pPr>
            <w:r w:rsidRPr="00F22172">
              <w:rPr>
                <w:rFonts w:hint="eastAsia"/>
                <w:b w:val="0"/>
                <w:bCs/>
              </w:rPr>
              <w:t>4.0</w:t>
            </w:r>
          </w:p>
        </w:tc>
      </w:tr>
      <w:tr w:rsidR="00913C78" w:rsidRPr="00F22172" w14:paraId="52FB7405" w14:textId="77777777" w:rsidTr="00E221F6">
        <w:trPr>
          <w:jc w:val="center"/>
        </w:trPr>
        <w:tc>
          <w:tcPr>
            <w:tcW w:w="2773" w:type="dxa"/>
            <w:gridSpan w:val="2"/>
            <w:shd w:val="clear" w:color="auto" w:fill="auto"/>
            <w:vAlign w:val="center"/>
            <w:hideMark/>
          </w:tcPr>
          <w:p w14:paraId="55BA8858" w14:textId="77777777" w:rsidR="00913C78" w:rsidRPr="00F22172" w:rsidRDefault="00913C78" w:rsidP="00F22172">
            <w:pPr>
              <w:pStyle w:val="ae"/>
              <w:rPr>
                <w:b w:val="0"/>
                <w:bCs/>
              </w:rPr>
            </w:pPr>
            <w:r w:rsidRPr="00F22172">
              <w:rPr>
                <w:rFonts w:hint="eastAsia"/>
                <w:b w:val="0"/>
                <w:bCs/>
              </w:rPr>
              <w:t>展览建筑</w:t>
            </w:r>
          </w:p>
        </w:tc>
        <w:tc>
          <w:tcPr>
            <w:tcW w:w="2979" w:type="dxa"/>
            <w:shd w:val="clear" w:color="auto" w:fill="auto"/>
            <w:noWrap/>
            <w:vAlign w:val="center"/>
            <w:hideMark/>
          </w:tcPr>
          <w:p w14:paraId="700D8D87" w14:textId="77777777" w:rsidR="00913C78" w:rsidRPr="00F22172" w:rsidRDefault="00913C78" w:rsidP="00F22172">
            <w:pPr>
              <w:pStyle w:val="ae"/>
              <w:rPr>
                <w:b w:val="0"/>
                <w:bCs/>
              </w:rPr>
            </w:pPr>
            <w:r w:rsidRPr="00F22172">
              <w:rPr>
                <w:rFonts w:hint="eastAsia"/>
                <w:b w:val="0"/>
                <w:bCs/>
              </w:rPr>
              <w:t>4.0</w:t>
            </w:r>
          </w:p>
        </w:tc>
      </w:tr>
    </w:tbl>
    <w:p w14:paraId="139EC6F3" w14:textId="188E9CDF" w:rsidR="00913C78" w:rsidRPr="00913C78" w:rsidRDefault="00913C78" w:rsidP="00F22172">
      <w:pPr>
        <w:pStyle w:val="ae"/>
      </w:pPr>
      <w:r w:rsidRPr="00913C78">
        <w:rPr>
          <w:rFonts w:hint="eastAsia"/>
        </w:rPr>
        <w:t>附表</w:t>
      </w:r>
      <w:r w:rsidRPr="00913C78">
        <w:rPr>
          <w:rFonts w:hint="eastAsia"/>
        </w:rPr>
        <w:t>A.5.</w:t>
      </w:r>
      <w:r w:rsidR="00532D0F">
        <w:t>9</w:t>
      </w:r>
      <w:r w:rsidRPr="00913C78">
        <w:rPr>
          <w:rFonts w:hint="eastAsia"/>
        </w:rPr>
        <w:t xml:space="preserve">  </w:t>
      </w:r>
      <w:r w:rsidRPr="00913C78">
        <w:rPr>
          <w:rFonts w:hint="eastAsia"/>
        </w:rPr>
        <w:t>办公建筑、教学楼、宾馆建筑、住院部、商店建筑、门诊楼房间人员逐时在室率</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11" w:type="dxa"/>
          <w:right w:w="57" w:type="dxa"/>
        </w:tblCellMar>
        <w:tblLook w:val="04A0" w:firstRow="1" w:lastRow="0" w:firstColumn="1" w:lastColumn="0" w:noHBand="0" w:noVBand="1"/>
      </w:tblPr>
      <w:tblGrid>
        <w:gridCol w:w="1261"/>
        <w:gridCol w:w="741"/>
        <w:gridCol w:w="446"/>
        <w:gridCol w:w="447"/>
        <w:gridCol w:w="447"/>
        <w:gridCol w:w="447"/>
        <w:gridCol w:w="446"/>
        <w:gridCol w:w="447"/>
        <w:gridCol w:w="447"/>
        <w:gridCol w:w="447"/>
        <w:gridCol w:w="446"/>
        <w:gridCol w:w="447"/>
        <w:gridCol w:w="447"/>
        <w:gridCol w:w="447"/>
        <w:gridCol w:w="7"/>
      </w:tblGrid>
      <w:tr w:rsidR="00913C78" w:rsidRPr="00F22172" w14:paraId="02240E9D" w14:textId="77777777" w:rsidTr="00E221F6">
        <w:trPr>
          <w:jc w:val="center"/>
        </w:trPr>
        <w:tc>
          <w:tcPr>
            <w:tcW w:w="1261" w:type="dxa"/>
            <w:vMerge w:val="restart"/>
            <w:shd w:val="clear" w:color="auto" w:fill="auto"/>
            <w:vAlign w:val="center"/>
            <w:hideMark/>
          </w:tcPr>
          <w:p w14:paraId="4D4317AB" w14:textId="77777777" w:rsidR="00913C78" w:rsidRPr="00F22172" w:rsidRDefault="00913C78" w:rsidP="00F22172">
            <w:pPr>
              <w:pStyle w:val="ae"/>
              <w:rPr>
                <w:b w:val="0"/>
                <w:bCs/>
              </w:rPr>
            </w:pPr>
            <w:r w:rsidRPr="00F22172">
              <w:rPr>
                <w:rFonts w:hint="eastAsia"/>
                <w:b w:val="0"/>
                <w:bCs/>
              </w:rPr>
              <w:t>建筑类别</w:t>
            </w:r>
          </w:p>
        </w:tc>
        <w:tc>
          <w:tcPr>
            <w:tcW w:w="741" w:type="dxa"/>
            <w:vMerge w:val="restart"/>
            <w:shd w:val="clear" w:color="auto" w:fill="auto"/>
            <w:vAlign w:val="center"/>
            <w:hideMark/>
          </w:tcPr>
          <w:p w14:paraId="21EFC839" w14:textId="77777777" w:rsidR="00913C78" w:rsidRPr="00F22172" w:rsidRDefault="00913C78" w:rsidP="00F22172">
            <w:pPr>
              <w:pStyle w:val="ae"/>
              <w:rPr>
                <w:b w:val="0"/>
                <w:bCs/>
              </w:rPr>
            </w:pPr>
            <w:r w:rsidRPr="00F22172">
              <w:rPr>
                <w:rFonts w:hint="eastAsia"/>
                <w:b w:val="0"/>
                <w:bCs/>
              </w:rPr>
              <w:t>运行时段</w:t>
            </w:r>
          </w:p>
        </w:tc>
        <w:tc>
          <w:tcPr>
            <w:tcW w:w="5368" w:type="dxa"/>
            <w:gridSpan w:val="13"/>
            <w:shd w:val="clear" w:color="auto" w:fill="auto"/>
            <w:vAlign w:val="center"/>
            <w:hideMark/>
          </w:tcPr>
          <w:p w14:paraId="06E10907"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房间人员逐时在室率</w:t>
            </w:r>
            <w:r w:rsidRPr="00F22172">
              <w:rPr>
                <w:rFonts w:hint="eastAsia"/>
                <w:b w:val="0"/>
                <w:bCs/>
              </w:rPr>
              <w:t>/%</w:t>
            </w:r>
          </w:p>
        </w:tc>
      </w:tr>
      <w:tr w:rsidR="00913C78" w:rsidRPr="00F22172" w14:paraId="269C4D77" w14:textId="77777777" w:rsidTr="00E221F6">
        <w:trPr>
          <w:gridAfter w:val="1"/>
          <w:wAfter w:w="7" w:type="dxa"/>
          <w:jc w:val="center"/>
        </w:trPr>
        <w:tc>
          <w:tcPr>
            <w:tcW w:w="1261" w:type="dxa"/>
            <w:vMerge/>
            <w:shd w:val="clear" w:color="auto" w:fill="auto"/>
            <w:vAlign w:val="center"/>
            <w:hideMark/>
          </w:tcPr>
          <w:p w14:paraId="3C5151EF" w14:textId="77777777" w:rsidR="00913C78" w:rsidRPr="00F22172" w:rsidRDefault="00913C78" w:rsidP="00F22172">
            <w:pPr>
              <w:pStyle w:val="ae"/>
              <w:rPr>
                <w:b w:val="0"/>
                <w:bCs/>
              </w:rPr>
            </w:pPr>
          </w:p>
        </w:tc>
        <w:tc>
          <w:tcPr>
            <w:tcW w:w="741" w:type="dxa"/>
            <w:vMerge/>
            <w:shd w:val="clear" w:color="auto" w:fill="auto"/>
            <w:vAlign w:val="center"/>
            <w:hideMark/>
          </w:tcPr>
          <w:p w14:paraId="16C120CF" w14:textId="77777777" w:rsidR="00913C78" w:rsidRPr="00F22172" w:rsidRDefault="00913C78" w:rsidP="00F22172">
            <w:pPr>
              <w:pStyle w:val="ae"/>
              <w:rPr>
                <w:b w:val="0"/>
                <w:bCs/>
              </w:rPr>
            </w:pPr>
          </w:p>
        </w:tc>
        <w:tc>
          <w:tcPr>
            <w:tcW w:w="446" w:type="dxa"/>
            <w:shd w:val="clear" w:color="auto" w:fill="auto"/>
            <w:vAlign w:val="center"/>
            <w:hideMark/>
          </w:tcPr>
          <w:p w14:paraId="0A146DA9"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CBF924F" w14:textId="77777777" w:rsidR="00913C78" w:rsidRPr="00F22172" w:rsidRDefault="00913C78" w:rsidP="00F22172">
            <w:pPr>
              <w:pStyle w:val="ae"/>
              <w:rPr>
                <w:b w:val="0"/>
                <w:bCs/>
              </w:rPr>
            </w:pPr>
            <w:r w:rsidRPr="00F22172">
              <w:rPr>
                <w:rFonts w:hint="eastAsia"/>
                <w:b w:val="0"/>
                <w:bCs/>
              </w:rPr>
              <w:t>2</w:t>
            </w:r>
          </w:p>
        </w:tc>
        <w:tc>
          <w:tcPr>
            <w:tcW w:w="447" w:type="dxa"/>
            <w:shd w:val="clear" w:color="auto" w:fill="auto"/>
            <w:vAlign w:val="center"/>
            <w:hideMark/>
          </w:tcPr>
          <w:p w14:paraId="6C5CB717" w14:textId="77777777" w:rsidR="00913C78" w:rsidRPr="00F22172" w:rsidRDefault="00913C78" w:rsidP="00F22172">
            <w:pPr>
              <w:pStyle w:val="ae"/>
              <w:rPr>
                <w:b w:val="0"/>
                <w:bCs/>
              </w:rPr>
            </w:pPr>
            <w:r w:rsidRPr="00F22172">
              <w:rPr>
                <w:rFonts w:hint="eastAsia"/>
                <w:b w:val="0"/>
                <w:bCs/>
              </w:rPr>
              <w:t>3</w:t>
            </w:r>
          </w:p>
        </w:tc>
        <w:tc>
          <w:tcPr>
            <w:tcW w:w="447" w:type="dxa"/>
            <w:shd w:val="clear" w:color="auto" w:fill="auto"/>
            <w:vAlign w:val="center"/>
            <w:hideMark/>
          </w:tcPr>
          <w:p w14:paraId="3BE8D7C1" w14:textId="77777777" w:rsidR="00913C78" w:rsidRPr="00F22172" w:rsidRDefault="00913C78" w:rsidP="00F22172">
            <w:pPr>
              <w:pStyle w:val="ae"/>
              <w:rPr>
                <w:b w:val="0"/>
                <w:bCs/>
              </w:rPr>
            </w:pPr>
            <w:r w:rsidRPr="00F22172">
              <w:rPr>
                <w:rFonts w:hint="eastAsia"/>
                <w:b w:val="0"/>
                <w:bCs/>
              </w:rPr>
              <w:t>4</w:t>
            </w:r>
          </w:p>
        </w:tc>
        <w:tc>
          <w:tcPr>
            <w:tcW w:w="446" w:type="dxa"/>
            <w:shd w:val="clear" w:color="auto" w:fill="auto"/>
            <w:vAlign w:val="center"/>
            <w:hideMark/>
          </w:tcPr>
          <w:p w14:paraId="6EA9DE41" w14:textId="77777777" w:rsidR="00913C78" w:rsidRPr="00F22172" w:rsidRDefault="00913C78" w:rsidP="00F22172">
            <w:pPr>
              <w:pStyle w:val="ae"/>
              <w:rPr>
                <w:b w:val="0"/>
                <w:bCs/>
              </w:rPr>
            </w:pPr>
            <w:r w:rsidRPr="00F22172">
              <w:rPr>
                <w:rFonts w:hint="eastAsia"/>
                <w:b w:val="0"/>
                <w:bCs/>
              </w:rPr>
              <w:t>5</w:t>
            </w:r>
          </w:p>
        </w:tc>
        <w:tc>
          <w:tcPr>
            <w:tcW w:w="447" w:type="dxa"/>
            <w:shd w:val="clear" w:color="auto" w:fill="auto"/>
            <w:vAlign w:val="center"/>
            <w:hideMark/>
          </w:tcPr>
          <w:p w14:paraId="05C046F9" w14:textId="77777777" w:rsidR="00913C78" w:rsidRPr="00F22172" w:rsidRDefault="00913C78" w:rsidP="00F22172">
            <w:pPr>
              <w:pStyle w:val="ae"/>
              <w:rPr>
                <w:b w:val="0"/>
                <w:bCs/>
              </w:rPr>
            </w:pPr>
            <w:r w:rsidRPr="00F22172">
              <w:rPr>
                <w:rFonts w:hint="eastAsia"/>
                <w:b w:val="0"/>
                <w:bCs/>
              </w:rPr>
              <w:t>6</w:t>
            </w:r>
          </w:p>
        </w:tc>
        <w:tc>
          <w:tcPr>
            <w:tcW w:w="447" w:type="dxa"/>
            <w:shd w:val="clear" w:color="auto" w:fill="auto"/>
            <w:vAlign w:val="center"/>
            <w:hideMark/>
          </w:tcPr>
          <w:p w14:paraId="3C6F6C8A" w14:textId="77777777" w:rsidR="00913C78" w:rsidRPr="00F22172" w:rsidRDefault="00913C78" w:rsidP="00F22172">
            <w:pPr>
              <w:pStyle w:val="ae"/>
              <w:rPr>
                <w:b w:val="0"/>
                <w:bCs/>
              </w:rPr>
            </w:pPr>
            <w:r w:rsidRPr="00F22172">
              <w:rPr>
                <w:rFonts w:hint="eastAsia"/>
                <w:b w:val="0"/>
                <w:bCs/>
              </w:rPr>
              <w:t>7</w:t>
            </w:r>
          </w:p>
        </w:tc>
        <w:tc>
          <w:tcPr>
            <w:tcW w:w="447" w:type="dxa"/>
            <w:shd w:val="clear" w:color="auto" w:fill="auto"/>
            <w:vAlign w:val="center"/>
            <w:hideMark/>
          </w:tcPr>
          <w:p w14:paraId="19A3B8CF" w14:textId="77777777" w:rsidR="00913C78" w:rsidRPr="00F22172" w:rsidRDefault="00913C78" w:rsidP="00F22172">
            <w:pPr>
              <w:pStyle w:val="ae"/>
              <w:rPr>
                <w:b w:val="0"/>
                <w:bCs/>
              </w:rPr>
            </w:pPr>
            <w:r w:rsidRPr="00F22172">
              <w:rPr>
                <w:rFonts w:hint="eastAsia"/>
                <w:b w:val="0"/>
                <w:bCs/>
              </w:rPr>
              <w:t>8</w:t>
            </w:r>
          </w:p>
        </w:tc>
        <w:tc>
          <w:tcPr>
            <w:tcW w:w="446" w:type="dxa"/>
            <w:shd w:val="clear" w:color="auto" w:fill="auto"/>
            <w:vAlign w:val="center"/>
            <w:hideMark/>
          </w:tcPr>
          <w:p w14:paraId="38F5AC66" w14:textId="77777777" w:rsidR="00913C78" w:rsidRPr="00F22172" w:rsidRDefault="00913C78" w:rsidP="00F22172">
            <w:pPr>
              <w:pStyle w:val="ae"/>
              <w:rPr>
                <w:b w:val="0"/>
                <w:bCs/>
              </w:rPr>
            </w:pPr>
            <w:r w:rsidRPr="00F22172">
              <w:rPr>
                <w:rFonts w:hint="eastAsia"/>
                <w:b w:val="0"/>
                <w:bCs/>
              </w:rPr>
              <w:t>9</w:t>
            </w:r>
          </w:p>
        </w:tc>
        <w:tc>
          <w:tcPr>
            <w:tcW w:w="447" w:type="dxa"/>
            <w:shd w:val="clear" w:color="auto" w:fill="auto"/>
            <w:vAlign w:val="center"/>
            <w:hideMark/>
          </w:tcPr>
          <w:p w14:paraId="43E39EAB" w14:textId="77777777" w:rsidR="00913C78" w:rsidRPr="00F22172" w:rsidRDefault="00913C78" w:rsidP="00F22172">
            <w:pPr>
              <w:pStyle w:val="ae"/>
              <w:rPr>
                <w:b w:val="0"/>
                <w:bCs/>
              </w:rPr>
            </w:pPr>
            <w:r w:rsidRPr="00F22172">
              <w:rPr>
                <w:rFonts w:hint="eastAsia"/>
                <w:b w:val="0"/>
                <w:bCs/>
              </w:rPr>
              <w:t>10</w:t>
            </w:r>
          </w:p>
        </w:tc>
        <w:tc>
          <w:tcPr>
            <w:tcW w:w="447" w:type="dxa"/>
            <w:shd w:val="clear" w:color="auto" w:fill="auto"/>
            <w:vAlign w:val="center"/>
            <w:hideMark/>
          </w:tcPr>
          <w:p w14:paraId="0E4AE941" w14:textId="77777777" w:rsidR="00913C78" w:rsidRPr="00F22172" w:rsidRDefault="00913C78" w:rsidP="00F22172">
            <w:pPr>
              <w:pStyle w:val="ae"/>
              <w:rPr>
                <w:b w:val="0"/>
                <w:bCs/>
              </w:rPr>
            </w:pPr>
            <w:r w:rsidRPr="00F22172">
              <w:rPr>
                <w:rFonts w:hint="eastAsia"/>
                <w:b w:val="0"/>
                <w:bCs/>
              </w:rPr>
              <w:t>11</w:t>
            </w:r>
          </w:p>
        </w:tc>
        <w:tc>
          <w:tcPr>
            <w:tcW w:w="447" w:type="dxa"/>
            <w:shd w:val="clear" w:color="auto" w:fill="auto"/>
            <w:vAlign w:val="center"/>
            <w:hideMark/>
          </w:tcPr>
          <w:p w14:paraId="6AE32200" w14:textId="77777777" w:rsidR="00913C78" w:rsidRPr="00F22172" w:rsidRDefault="00913C78" w:rsidP="00F22172">
            <w:pPr>
              <w:pStyle w:val="ae"/>
              <w:rPr>
                <w:b w:val="0"/>
                <w:bCs/>
              </w:rPr>
            </w:pPr>
            <w:r w:rsidRPr="00F22172">
              <w:rPr>
                <w:rFonts w:hint="eastAsia"/>
                <w:b w:val="0"/>
                <w:bCs/>
              </w:rPr>
              <w:t>12</w:t>
            </w:r>
          </w:p>
        </w:tc>
      </w:tr>
      <w:tr w:rsidR="00913C78" w:rsidRPr="00F22172" w14:paraId="29ABD42B" w14:textId="77777777" w:rsidTr="00E221F6">
        <w:trPr>
          <w:gridAfter w:val="1"/>
          <w:wAfter w:w="7" w:type="dxa"/>
          <w:jc w:val="center"/>
        </w:trPr>
        <w:tc>
          <w:tcPr>
            <w:tcW w:w="1261" w:type="dxa"/>
            <w:vMerge w:val="restart"/>
            <w:shd w:val="clear" w:color="auto" w:fill="auto"/>
            <w:vAlign w:val="center"/>
            <w:hideMark/>
          </w:tcPr>
          <w:p w14:paraId="5554A49F" w14:textId="77777777" w:rsidR="00913C78" w:rsidRPr="00F22172" w:rsidRDefault="00913C78" w:rsidP="00F22172">
            <w:pPr>
              <w:pStyle w:val="ae"/>
              <w:rPr>
                <w:b w:val="0"/>
                <w:bCs/>
              </w:rPr>
            </w:pPr>
            <w:r w:rsidRPr="00F22172">
              <w:rPr>
                <w:rFonts w:hint="eastAsia"/>
                <w:b w:val="0"/>
                <w:bCs/>
              </w:rPr>
              <w:t>办公建筑、教学楼</w:t>
            </w:r>
          </w:p>
        </w:tc>
        <w:tc>
          <w:tcPr>
            <w:tcW w:w="741" w:type="dxa"/>
            <w:shd w:val="clear" w:color="auto" w:fill="auto"/>
            <w:vAlign w:val="center"/>
            <w:hideMark/>
          </w:tcPr>
          <w:p w14:paraId="2B3C5229" w14:textId="77777777" w:rsidR="00913C78" w:rsidRPr="00F22172" w:rsidRDefault="00913C78" w:rsidP="00F22172">
            <w:pPr>
              <w:pStyle w:val="ae"/>
              <w:rPr>
                <w:b w:val="0"/>
                <w:bCs/>
              </w:rPr>
            </w:pPr>
            <w:r w:rsidRPr="00F22172">
              <w:rPr>
                <w:rFonts w:hint="eastAsia"/>
                <w:b w:val="0"/>
                <w:bCs/>
              </w:rPr>
              <w:t>工作日</w:t>
            </w:r>
          </w:p>
        </w:tc>
        <w:tc>
          <w:tcPr>
            <w:tcW w:w="446" w:type="dxa"/>
            <w:shd w:val="clear" w:color="auto" w:fill="auto"/>
            <w:vAlign w:val="center"/>
            <w:hideMark/>
          </w:tcPr>
          <w:p w14:paraId="4428C609"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B422A9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46A106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404C00C"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55486AC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634DC4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4F4AD3F" w14:textId="77777777" w:rsidR="00913C78" w:rsidRPr="00F22172" w:rsidRDefault="00913C78" w:rsidP="00F22172">
            <w:pPr>
              <w:pStyle w:val="ae"/>
              <w:rPr>
                <w:b w:val="0"/>
                <w:bCs/>
              </w:rPr>
            </w:pPr>
            <w:r w:rsidRPr="00F22172">
              <w:rPr>
                <w:rFonts w:hint="eastAsia"/>
                <w:b w:val="0"/>
                <w:bCs/>
              </w:rPr>
              <w:t>10</w:t>
            </w:r>
          </w:p>
        </w:tc>
        <w:tc>
          <w:tcPr>
            <w:tcW w:w="447" w:type="dxa"/>
            <w:shd w:val="clear" w:color="auto" w:fill="auto"/>
            <w:vAlign w:val="center"/>
            <w:hideMark/>
          </w:tcPr>
          <w:p w14:paraId="79A72EF6" w14:textId="77777777" w:rsidR="00913C78" w:rsidRPr="00F22172" w:rsidRDefault="00913C78" w:rsidP="00F22172">
            <w:pPr>
              <w:pStyle w:val="ae"/>
              <w:rPr>
                <w:b w:val="0"/>
                <w:bCs/>
              </w:rPr>
            </w:pPr>
            <w:r w:rsidRPr="00F22172">
              <w:rPr>
                <w:rFonts w:hint="eastAsia"/>
                <w:b w:val="0"/>
                <w:bCs/>
              </w:rPr>
              <w:t>50</w:t>
            </w:r>
          </w:p>
        </w:tc>
        <w:tc>
          <w:tcPr>
            <w:tcW w:w="446" w:type="dxa"/>
            <w:shd w:val="clear" w:color="auto" w:fill="auto"/>
            <w:vAlign w:val="center"/>
            <w:hideMark/>
          </w:tcPr>
          <w:p w14:paraId="1DC194D8"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2677F784"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635F3CA5"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57A680E6" w14:textId="77777777" w:rsidR="00913C78" w:rsidRPr="00F22172" w:rsidRDefault="00913C78" w:rsidP="00F22172">
            <w:pPr>
              <w:pStyle w:val="ae"/>
              <w:rPr>
                <w:b w:val="0"/>
                <w:bCs/>
              </w:rPr>
            </w:pPr>
            <w:r w:rsidRPr="00F22172">
              <w:rPr>
                <w:rFonts w:hint="eastAsia"/>
                <w:b w:val="0"/>
                <w:bCs/>
              </w:rPr>
              <w:t>80</w:t>
            </w:r>
          </w:p>
        </w:tc>
      </w:tr>
      <w:tr w:rsidR="00913C78" w:rsidRPr="00F22172" w14:paraId="46862412" w14:textId="77777777" w:rsidTr="00E221F6">
        <w:trPr>
          <w:gridAfter w:val="1"/>
          <w:wAfter w:w="7" w:type="dxa"/>
          <w:jc w:val="center"/>
        </w:trPr>
        <w:tc>
          <w:tcPr>
            <w:tcW w:w="1261" w:type="dxa"/>
            <w:vMerge/>
            <w:shd w:val="clear" w:color="auto" w:fill="auto"/>
            <w:vAlign w:val="center"/>
            <w:hideMark/>
          </w:tcPr>
          <w:p w14:paraId="3FF73C94" w14:textId="77777777" w:rsidR="00913C78" w:rsidRPr="00F22172" w:rsidRDefault="00913C78" w:rsidP="00F22172">
            <w:pPr>
              <w:pStyle w:val="ae"/>
              <w:rPr>
                <w:b w:val="0"/>
                <w:bCs/>
              </w:rPr>
            </w:pPr>
          </w:p>
        </w:tc>
        <w:tc>
          <w:tcPr>
            <w:tcW w:w="741" w:type="dxa"/>
            <w:shd w:val="clear" w:color="auto" w:fill="auto"/>
            <w:vAlign w:val="center"/>
            <w:hideMark/>
          </w:tcPr>
          <w:p w14:paraId="0ADBD422" w14:textId="77777777" w:rsidR="00913C78" w:rsidRPr="00F22172" w:rsidRDefault="00913C78" w:rsidP="00F22172">
            <w:pPr>
              <w:pStyle w:val="ae"/>
              <w:rPr>
                <w:b w:val="0"/>
                <w:bCs/>
              </w:rPr>
            </w:pPr>
            <w:r w:rsidRPr="00F22172">
              <w:rPr>
                <w:rFonts w:hint="eastAsia"/>
                <w:b w:val="0"/>
                <w:bCs/>
              </w:rPr>
              <w:t>节假日</w:t>
            </w:r>
          </w:p>
        </w:tc>
        <w:tc>
          <w:tcPr>
            <w:tcW w:w="446" w:type="dxa"/>
            <w:shd w:val="clear" w:color="auto" w:fill="auto"/>
            <w:vAlign w:val="center"/>
            <w:hideMark/>
          </w:tcPr>
          <w:p w14:paraId="2E65D214"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33905D0"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DA0A70D"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73550D2"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036A83DA"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850E377"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233189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D42E97D"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4B0446B0"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E18A573"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29032FA"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1006096" w14:textId="77777777" w:rsidR="00913C78" w:rsidRPr="00F22172" w:rsidRDefault="00913C78" w:rsidP="00F22172">
            <w:pPr>
              <w:pStyle w:val="ae"/>
              <w:rPr>
                <w:b w:val="0"/>
                <w:bCs/>
              </w:rPr>
            </w:pPr>
            <w:r w:rsidRPr="00F22172">
              <w:rPr>
                <w:rFonts w:hint="eastAsia"/>
                <w:b w:val="0"/>
                <w:bCs/>
              </w:rPr>
              <w:t>0</w:t>
            </w:r>
          </w:p>
        </w:tc>
      </w:tr>
      <w:tr w:rsidR="00913C78" w:rsidRPr="00F22172" w14:paraId="01C2B759" w14:textId="77777777" w:rsidTr="00E221F6">
        <w:trPr>
          <w:gridAfter w:val="1"/>
          <w:wAfter w:w="7" w:type="dxa"/>
          <w:jc w:val="center"/>
        </w:trPr>
        <w:tc>
          <w:tcPr>
            <w:tcW w:w="1261" w:type="dxa"/>
            <w:shd w:val="clear" w:color="auto" w:fill="auto"/>
            <w:vAlign w:val="center"/>
            <w:hideMark/>
          </w:tcPr>
          <w:p w14:paraId="2322AE9E" w14:textId="77777777" w:rsidR="00913C78" w:rsidRPr="00F22172" w:rsidRDefault="00913C78" w:rsidP="00F22172">
            <w:pPr>
              <w:pStyle w:val="ae"/>
              <w:rPr>
                <w:b w:val="0"/>
                <w:bCs/>
              </w:rPr>
            </w:pPr>
            <w:r w:rsidRPr="00F22172">
              <w:rPr>
                <w:rFonts w:hint="eastAsia"/>
                <w:b w:val="0"/>
                <w:bCs/>
              </w:rPr>
              <w:t>宾馆建筑</w:t>
            </w:r>
          </w:p>
        </w:tc>
        <w:tc>
          <w:tcPr>
            <w:tcW w:w="741" w:type="dxa"/>
            <w:shd w:val="clear" w:color="auto" w:fill="auto"/>
            <w:vAlign w:val="center"/>
            <w:hideMark/>
          </w:tcPr>
          <w:p w14:paraId="0491A258"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620DAD42"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41BCAC05"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7E201CFF"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31055308" w14:textId="77777777" w:rsidR="00913C78" w:rsidRPr="00F22172" w:rsidRDefault="00913C78" w:rsidP="00F22172">
            <w:pPr>
              <w:pStyle w:val="ae"/>
              <w:rPr>
                <w:b w:val="0"/>
                <w:bCs/>
              </w:rPr>
            </w:pPr>
            <w:r w:rsidRPr="00F22172">
              <w:rPr>
                <w:rFonts w:hint="eastAsia"/>
                <w:b w:val="0"/>
                <w:bCs/>
              </w:rPr>
              <w:t>70</w:t>
            </w:r>
          </w:p>
        </w:tc>
        <w:tc>
          <w:tcPr>
            <w:tcW w:w="446" w:type="dxa"/>
            <w:shd w:val="clear" w:color="auto" w:fill="auto"/>
            <w:vAlign w:val="center"/>
            <w:hideMark/>
          </w:tcPr>
          <w:p w14:paraId="344F1F11"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5A679BC0"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53CF0704"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484CFE5E" w14:textId="77777777" w:rsidR="00913C78" w:rsidRPr="00F22172" w:rsidRDefault="00913C78" w:rsidP="00F22172">
            <w:pPr>
              <w:pStyle w:val="ae"/>
              <w:rPr>
                <w:b w:val="0"/>
                <w:bCs/>
              </w:rPr>
            </w:pPr>
            <w:r w:rsidRPr="00F22172">
              <w:rPr>
                <w:rFonts w:hint="eastAsia"/>
                <w:b w:val="0"/>
                <w:bCs/>
              </w:rPr>
              <w:t>70</w:t>
            </w:r>
          </w:p>
        </w:tc>
        <w:tc>
          <w:tcPr>
            <w:tcW w:w="446" w:type="dxa"/>
            <w:shd w:val="clear" w:color="auto" w:fill="auto"/>
            <w:vAlign w:val="center"/>
            <w:hideMark/>
          </w:tcPr>
          <w:p w14:paraId="4CC734CA"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1140FEA8"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05761B46"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1F00EE4D" w14:textId="77777777" w:rsidR="00913C78" w:rsidRPr="00F22172" w:rsidRDefault="00913C78" w:rsidP="00F22172">
            <w:pPr>
              <w:pStyle w:val="ae"/>
              <w:rPr>
                <w:b w:val="0"/>
                <w:bCs/>
              </w:rPr>
            </w:pPr>
            <w:r w:rsidRPr="00F22172">
              <w:rPr>
                <w:rFonts w:hint="eastAsia"/>
                <w:b w:val="0"/>
                <w:bCs/>
              </w:rPr>
              <w:t>50</w:t>
            </w:r>
          </w:p>
        </w:tc>
      </w:tr>
      <w:tr w:rsidR="00913C78" w:rsidRPr="00F22172" w14:paraId="147C89E6" w14:textId="77777777" w:rsidTr="00E221F6">
        <w:trPr>
          <w:gridAfter w:val="1"/>
          <w:wAfter w:w="7" w:type="dxa"/>
          <w:jc w:val="center"/>
        </w:trPr>
        <w:tc>
          <w:tcPr>
            <w:tcW w:w="1261" w:type="dxa"/>
            <w:shd w:val="clear" w:color="auto" w:fill="auto"/>
            <w:vAlign w:val="center"/>
            <w:hideMark/>
          </w:tcPr>
          <w:p w14:paraId="26008DBA" w14:textId="77777777" w:rsidR="00913C78" w:rsidRPr="00F22172" w:rsidRDefault="00913C78" w:rsidP="00F22172">
            <w:pPr>
              <w:pStyle w:val="ae"/>
              <w:rPr>
                <w:b w:val="0"/>
                <w:bCs/>
              </w:rPr>
            </w:pPr>
            <w:r w:rsidRPr="00F22172">
              <w:rPr>
                <w:rFonts w:hint="eastAsia"/>
                <w:b w:val="0"/>
                <w:bCs/>
              </w:rPr>
              <w:t>住院部</w:t>
            </w:r>
          </w:p>
        </w:tc>
        <w:tc>
          <w:tcPr>
            <w:tcW w:w="741" w:type="dxa"/>
            <w:shd w:val="clear" w:color="auto" w:fill="auto"/>
            <w:vAlign w:val="center"/>
            <w:hideMark/>
          </w:tcPr>
          <w:p w14:paraId="7E49DB7B"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7275F664"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327A4C25"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18C7FDFC"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4B677E85" w14:textId="77777777" w:rsidR="00913C78" w:rsidRPr="00F22172" w:rsidRDefault="00913C78" w:rsidP="00F22172">
            <w:pPr>
              <w:pStyle w:val="ae"/>
              <w:rPr>
                <w:b w:val="0"/>
                <w:bCs/>
              </w:rPr>
            </w:pPr>
            <w:r w:rsidRPr="00F22172">
              <w:rPr>
                <w:rFonts w:hint="eastAsia"/>
                <w:b w:val="0"/>
                <w:bCs/>
              </w:rPr>
              <w:t>95</w:t>
            </w:r>
          </w:p>
        </w:tc>
        <w:tc>
          <w:tcPr>
            <w:tcW w:w="446" w:type="dxa"/>
            <w:shd w:val="clear" w:color="auto" w:fill="auto"/>
            <w:vAlign w:val="center"/>
            <w:hideMark/>
          </w:tcPr>
          <w:p w14:paraId="5C6D8337"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704FB915"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3D7C4E3E"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64D284DA" w14:textId="77777777" w:rsidR="00913C78" w:rsidRPr="00F22172" w:rsidRDefault="00913C78" w:rsidP="00F22172">
            <w:pPr>
              <w:pStyle w:val="ae"/>
              <w:rPr>
                <w:b w:val="0"/>
                <w:bCs/>
              </w:rPr>
            </w:pPr>
            <w:r w:rsidRPr="00F22172">
              <w:rPr>
                <w:rFonts w:hint="eastAsia"/>
                <w:b w:val="0"/>
                <w:bCs/>
              </w:rPr>
              <w:t>95</w:t>
            </w:r>
          </w:p>
        </w:tc>
        <w:tc>
          <w:tcPr>
            <w:tcW w:w="446" w:type="dxa"/>
            <w:shd w:val="clear" w:color="auto" w:fill="auto"/>
            <w:vAlign w:val="center"/>
            <w:hideMark/>
          </w:tcPr>
          <w:p w14:paraId="7B3F8159"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4E523196"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424523E1"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717E4727" w14:textId="77777777" w:rsidR="00913C78" w:rsidRPr="00F22172" w:rsidRDefault="00913C78" w:rsidP="00F22172">
            <w:pPr>
              <w:pStyle w:val="ae"/>
              <w:rPr>
                <w:b w:val="0"/>
                <w:bCs/>
              </w:rPr>
            </w:pPr>
            <w:r w:rsidRPr="00F22172">
              <w:rPr>
                <w:rFonts w:hint="eastAsia"/>
                <w:b w:val="0"/>
                <w:bCs/>
              </w:rPr>
              <w:t>95</w:t>
            </w:r>
          </w:p>
        </w:tc>
      </w:tr>
      <w:tr w:rsidR="00913C78" w:rsidRPr="00F22172" w14:paraId="11029869" w14:textId="77777777" w:rsidTr="00E221F6">
        <w:trPr>
          <w:gridAfter w:val="1"/>
          <w:wAfter w:w="7" w:type="dxa"/>
          <w:jc w:val="center"/>
        </w:trPr>
        <w:tc>
          <w:tcPr>
            <w:tcW w:w="1261" w:type="dxa"/>
            <w:shd w:val="clear" w:color="auto" w:fill="auto"/>
            <w:vAlign w:val="center"/>
            <w:hideMark/>
          </w:tcPr>
          <w:p w14:paraId="08C2F13C" w14:textId="77777777" w:rsidR="00913C78" w:rsidRPr="00F22172" w:rsidRDefault="00913C78" w:rsidP="00F22172">
            <w:pPr>
              <w:pStyle w:val="ae"/>
              <w:rPr>
                <w:b w:val="0"/>
                <w:bCs/>
              </w:rPr>
            </w:pPr>
            <w:r w:rsidRPr="00F22172">
              <w:rPr>
                <w:rFonts w:hint="eastAsia"/>
                <w:b w:val="0"/>
                <w:bCs/>
              </w:rPr>
              <w:t>商店建筑</w:t>
            </w:r>
          </w:p>
        </w:tc>
        <w:tc>
          <w:tcPr>
            <w:tcW w:w="741" w:type="dxa"/>
            <w:shd w:val="clear" w:color="auto" w:fill="auto"/>
            <w:vAlign w:val="center"/>
            <w:hideMark/>
          </w:tcPr>
          <w:p w14:paraId="39AD3282"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44778968"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8DF2F00"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51AF322"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5EE3AEA"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2F56FB80"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6FB24D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BC0D638"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FE71031" w14:textId="77777777" w:rsidR="00913C78" w:rsidRPr="00F22172" w:rsidRDefault="00913C78" w:rsidP="00F22172">
            <w:pPr>
              <w:pStyle w:val="ae"/>
              <w:rPr>
                <w:b w:val="0"/>
                <w:bCs/>
              </w:rPr>
            </w:pPr>
            <w:r w:rsidRPr="00F22172">
              <w:rPr>
                <w:rFonts w:hint="eastAsia"/>
                <w:b w:val="0"/>
                <w:bCs/>
              </w:rPr>
              <w:t>20</w:t>
            </w:r>
          </w:p>
        </w:tc>
        <w:tc>
          <w:tcPr>
            <w:tcW w:w="446" w:type="dxa"/>
            <w:shd w:val="clear" w:color="auto" w:fill="auto"/>
            <w:vAlign w:val="center"/>
            <w:hideMark/>
          </w:tcPr>
          <w:p w14:paraId="2E64E638"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6FE0B195"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1A0986A9"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7A7FB9AA" w14:textId="77777777" w:rsidR="00913C78" w:rsidRPr="00F22172" w:rsidRDefault="00913C78" w:rsidP="00F22172">
            <w:pPr>
              <w:pStyle w:val="ae"/>
              <w:rPr>
                <w:b w:val="0"/>
                <w:bCs/>
              </w:rPr>
            </w:pPr>
            <w:r w:rsidRPr="00F22172">
              <w:rPr>
                <w:rFonts w:hint="eastAsia"/>
                <w:b w:val="0"/>
                <w:bCs/>
              </w:rPr>
              <w:t>80</w:t>
            </w:r>
          </w:p>
        </w:tc>
      </w:tr>
      <w:tr w:rsidR="00913C78" w:rsidRPr="00F22172" w14:paraId="7BA0328C" w14:textId="77777777" w:rsidTr="00E221F6">
        <w:trPr>
          <w:gridAfter w:val="1"/>
          <w:wAfter w:w="7" w:type="dxa"/>
          <w:jc w:val="center"/>
        </w:trPr>
        <w:tc>
          <w:tcPr>
            <w:tcW w:w="1261" w:type="dxa"/>
            <w:shd w:val="clear" w:color="auto" w:fill="auto"/>
            <w:vAlign w:val="center"/>
            <w:hideMark/>
          </w:tcPr>
          <w:p w14:paraId="2B9DAC1E" w14:textId="77777777" w:rsidR="00913C78" w:rsidRPr="00F22172" w:rsidRDefault="00913C78" w:rsidP="00F22172">
            <w:pPr>
              <w:pStyle w:val="ae"/>
              <w:rPr>
                <w:b w:val="0"/>
                <w:bCs/>
              </w:rPr>
            </w:pPr>
            <w:r w:rsidRPr="00F22172">
              <w:rPr>
                <w:rFonts w:hint="eastAsia"/>
                <w:b w:val="0"/>
                <w:bCs/>
              </w:rPr>
              <w:t>门诊楼</w:t>
            </w:r>
          </w:p>
        </w:tc>
        <w:tc>
          <w:tcPr>
            <w:tcW w:w="741" w:type="dxa"/>
            <w:shd w:val="clear" w:color="auto" w:fill="auto"/>
            <w:vAlign w:val="center"/>
            <w:hideMark/>
          </w:tcPr>
          <w:p w14:paraId="5AE0C8AC"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7C7F5D26"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D2585D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38D9AA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A729597"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28E1A00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2C585D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EAC334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F3881E9" w14:textId="77777777" w:rsidR="00913C78" w:rsidRPr="00F22172" w:rsidRDefault="00913C78" w:rsidP="00F22172">
            <w:pPr>
              <w:pStyle w:val="ae"/>
              <w:rPr>
                <w:b w:val="0"/>
                <w:bCs/>
              </w:rPr>
            </w:pPr>
            <w:r w:rsidRPr="00F22172">
              <w:rPr>
                <w:rFonts w:hint="eastAsia"/>
                <w:b w:val="0"/>
                <w:bCs/>
              </w:rPr>
              <w:t>20</w:t>
            </w:r>
          </w:p>
        </w:tc>
        <w:tc>
          <w:tcPr>
            <w:tcW w:w="446" w:type="dxa"/>
            <w:shd w:val="clear" w:color="auto" w:fill="auto"/>
            <w:vAlign w:val="center"/>
            <w:hideMark/>
          </w:tcPr>
          <w:p w14:paraId="45DCB44A"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3EFD6342"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19D5B5CB"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36ABE5EB" w14:textId="77777777" w:rsidR="00913C78" w:rsidRPr="00F22172" w:rsidRDefault="00913C78" w:rsidP="00F22172">
            <w:pPr>
              <w:pStyle w:val="ae"/>
              <w:rPr>
                <w:b w:val="0"/>
                <w:bCs/>
              </w:rPr>
            </w:pPr>
            <w:r w:rsidRPr="00F22172">
              <w:rPr>
                <w:rFonts w:hint="eastAsia"/>
                <w:b w:val="0"/>
                <w:bCs/>
              </w:rPr>
              <w:t>40</w:t>
            </w:r>
          </w:p>
        </w:tc>
      </w:tr>
      <w:tr w:rsidR="00913C78" w:rsidRPr="00F22172" w14:paraId="7F84AC8D" w14:textId="77777777" w:rsidTr="00E221F6">
        <w:trPr>
          <w:jc w:val="center"/>
        </w:trPr>
        <w:tc>
          <w:tcPr>
            <w:tcW w:w="1261" w:type="dxa"/>
            <w:vMerge w:val="restart"/>
            <w:shd w:val="clear" w:color="auto" w:fill="auto"/>
            <w:vAlign w:val="center"/>
            <w:hideMark/>
          </w:tcPr>
          <w:p w14:paraId="4BC01E51" w14:textId="77777777" w:rsidR="00913C78" w:rsidRPr="00F22172" w:rsidRDefault="00913C78" w:rsidP="00F22172">
            <w:pPr>
              <w:pStyle w:val="ae"/>
              <w:rPr>
                <w:b w:val="0"/>
                <w:bCs/>
              </w:rPr>
            </w:pPr>
            <w:r w:rsidRPr="00F22172">
              <w:rPr>
                <w:rFonts w:hint="eastAsia"/>
                <w:b w:val="0"/>
                <w:bCs/>
              </w:rPr>
              <w:lastRenderedPageBreak/>
              <w:t>建筑类别</w:t>
            </w:r>
          </w:p>
        </w:tc>
        <w:tc>
          <w:tcPr>
            <w:tcW w:w="741" w:type="dxa"/>
            <w:vMerge w:val="restart"/>
            <w:shd w:val="clear" w:color="auto" w:fill="auto"/>
            <w:vAlign w:val="center"/>
          </w:tcPr>
          <w:p w14:paraId="2457F433" w14:textId="77777777" w:rsidR="00913C78" w:rsidRPr="00F22172" w:rsidRDefault="00913C78" w:rsidP="00F22172">
            <w:pPr>
              <w:pStyle w:val="ae"/>
              <w:rPr>
                <w:b w:val="0"/>
                <w:bCs/>
              </w:rPr>
            </w:pPr>
            <w:r w:rsidRPr="00F22172">
              <w:rPr>
                <w:rFonts w:hint="eastAsia"/>
                <w:b w:val="0"/>
                <w:bCs/>
              </w:rPr>
              <w:t>运行时段</w:t>
            </w:r>
          </w:p>
        </w:tc>
        <w:tc>
          <w:tcPr>
            <w:tcW w:w="5368" w:type="dxa"/>
            <w:gridSpan w:val="13"/>
            <w:shd w:val="clear" w:color="auto" w:fill="auto"/>
            <w:vAlign w:val="center"/>
            <w:hideMark/>
          </w:tcPr>
          <w:p w14:paraId="5D401C25"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房间人员逐时在室率</w:t>
            </w:r>
            <w:r w:rsidRPr="00F22172">
              <w:rPr>
                <w:rFonts w:hint="eastAsia"/>
                <w:b w:val="0"/>
                <w:bCs/>
              </w:rPr>
              <w:t>/%</w:t>
            </w:r>
          </w:p>
        </w:tc>
      </w:tr>
      <w:tr w:rsidR="00913C78" w:rsidRPr="00F22172" w14:paraId="64141F5F" w14:textId="77777777" w:rsidTr="00E221F6">
        <w:trPr>
          <w:gridAfter w:val="1"/>
          <w:wAfter w:w="7" w:type="dxa"/>
          <w:jc w:val="center"/>
        </w:trPr>
        <w:tc>
          <w:tcPr>
            <w:tcW w:w="1261" w:type="dxa"/>
            <w:vMerge/>
            <w:shd w:val="clear" w:color="auto" w:fill="auto"/>
            <w:vAlign w:val="center"/>
            <w:hideMark/>
          </w:tcPr>
          <w:p w14:paraId="1FDC99C1" w14:textId="77777777" w:rsidR="00913C78" w:rsidRPr="00F22172" w:rsidRDefault="00913C78" w:rsidP="00F22172">
            <w:pPr>
              <w:pStyle w:val="ae"/>
              <w:rPr>
                <w:b w:val="0"/>
                <w:bCs/>
              </w:rPr>
            </w:pPr>
          </w:p>
        </w:tc>
        <w:tc>
          <w:tcPr>
            <w:tcW w:w="741" w:type="dxa"/>
            <w:vMerge/>
            <w:shd w:val="clear" w:color="auto" w:fill="auto"/>
            <w:vAlign w:val="center"/>
          </w:tcPr>
          <w:p w14:paraId="6D0356C1" w14:textId="77777777" w:rsidR="00913C78" w:rsidRPr="00F22172" w:rsidRDefault="00913C78" w:rsidP="00F22172">
            <w:pPr>
              <w:pStyle w:val="ae"/>
              <w:rPr>
                <w:b w:val="0"/>
                <w:bCs/>
              </w:rPr>
            </w:pPr>
          </w:p>
        </w:tc>
        <w:tc>
          <w:tcPr>
            <w:tcW w:w="446" w:type="dxa"/>
            <w:shd w:val="clear" w:color="auto" w:fill="auto"/>
            <w:vAlign w:val="center"/>
            <w:hideMark/>
          </w:tcPr>
          <w:p w14:paraId="34241B8E" w14:textId="77777777" w:rsidR="00913C78" w:rsidRPr="00F22172" w:rsidRDefault="00913C78" w:rsidP="00F22172">
            <w:pPr>
              <w:pStyle w:val="ae"/>
              <w:rPr>
                <w:b w:val="0"/>
                <w:bCs/>
              </w:rPr>
            </w:pPr>
            <w:r w:rsidRPr="00F22172">
              <w:rPr>
                <w:rFonts w:hint="eastAsia"/>
                <w:b w:val="0"/>
                <w:bCs/>
              </w:rPr>
              <w:t>13</w:t>
            </w:r>
          </w:p>
        </w:tc>
        <w:tc>
          <w:tcPr>
            <w:tcW w:w="447" w:type="dxa"/>
            <w:shd w:val="clear" w:color="auto" w:fill="auto"/>
            <w:vAlign w:val="center"/>
            <w:hideMark/>
          </w:tcPr>
          <w:p w14:paraId="6841F0B9" w14:textId="77777777" w:rsidR="00913C78" w:rsidRPr="00F22172" w:rsidRDefault="00913C78" w:rsidP="00F22172">
            <w:pPr>
              <w:pStyle w:val="ae"/>
              <w:rPr>
                <w:b w:val="0"/>
                <w:bCs/>
              </w:rPr>
            </w:pPr>
            <w:r w:rsidRPr="00F22172">
              <w:rPr>
                <w:rFonts w:hint="eastAsia"/>
                <w:b w:val="0"/>
                <w:bCs/>
              </w:rPr>
              <w:t>14</w:t>
            </w:r>
          </w:p>
        </w:tc>
        <w:tc>
          <w:tcPr>
            <w:tcW w:w="447" w:type="dxa"/>
            <w:shd w:val="clear" w:color="auto" w:fill="auto"/>
            <w:vAlign w:val="center"/>
            <w:hideMark/>
          </w:tcPr>
          <w:p w14:paraId="44BCD6C1" w14:textId="77777777" w:rsidR="00913C78" w:rsidRPr="00F22172" w:rsidRDefault="00913C78" w:rsidP="00F22172">
            <w:pPr>
              <w:pStyle w:val="ae"/>
              <w:rPr>
                <w:b w:val="0"/>
                <w:bCs/>
              </w:rPr>
            </w:pPr>
            <w:r w:rsidRPr="00F22172">
              <w:rPr>
                <w:rFonts w:hint="eastAsia"/>
                <w:b w:val="0"/>
                <w:bCs/>
              </w:rPr>
              <w:t>15</w:t>
            </w:r>
          </w:p>
        </w:tc>
        <w:tc>
          <w:tcPr>
            <w:tcW w:w="447" w:type="dxa"/>
            <w:shd w:val="clear" w:color="auto" w:fill="auto"/>
            <w:vAlign w:val="center"/>
            <w:hideMark/>
          </w:tcPr>
          <w:p w14:paraId="1B877305" w14:textId="77777777" w:rsidR="00913C78" w:rsidRPr="00F22172" w:rsidRDefault="00913C78" w:rsidP="00F22172">
            <w:pPr>
              <w:pStyle w:val="ae"/>
              <w:rPr>
                <w:b w:val="0"/>
                <w:bCs/>
              </w:rPr>
            </w:pPr>
            <w:r w:rsidRPr="00F22172">
              <w:rPr>
                <w:rFonts w:hint="eastAsia"/>
                <w:b w:val="0"/>
                <w:bCs/>
              </w:rPr>
              <w:t>16</w:t>
            </w:r>
          </w:p>
        </w:tc>
        <w:tc>
          <w:tcPr>
            <w:tcW w:w="446" w:type="dxa"/>
            <w:shd w:val="clear" w:color="auto" w:fill="auto"/>
            <w:vAlign w:val="center"/>
            <w:hideMark/>
          </w:tcPr>
          <w:p w14:paraId="3654568B" w14:textId="77777777" w:rsidR="00913C78" w:rsidRPr="00F22172" w:rsidRDefault="00913C78" w:rsidP="00F22172">
            <w:pPr>
              <w:pStyle w:val="ae"/>
              <w:rPr>
                <w:b w:val="0"/>
                <w:bCs/>
              </w:rPr>
            </w:pPr>
            <w:r w:rsidRPr="00F22172">
              <w:rPr>
                <w:rFonts w:hint="eastAsia"/>
                <w:b w:val="0"/>
                <w:bCs/>
              </w:rPr>
              <w:t>17</w:t>
            </w:r>
          </w:p>
        </w:tc>
        <w:tc>
          <w:tcPr>
            <w:tcW w:w="447" w:type="dxa"/>
            <w:shd w:val="clear" w:color="auto" w:fill="auto"/>
            <w:vAlign w:val="center"/>
            <w:hideMark/>
          </w:tcPr>
          <w:p w14:paraId="5C88D029" w14:textId="77777777" w:rsidR="00913C78" w:rsidRPr="00F22172" w:rsidRDefault="00913C78" w:rsidP="00F22172">
            <w:pPr>
              <w:pStyle w:val="ae"/>
              <w:rPr>
                <w:b w:val="0"/>
                <w:bCs/>
              </w:rPr>
            </w:pPr>
            <w:r w:rsidRPr="00F22172">
              <w:rPr>
                <w:rFonts w:hint="eastAsia"/>
                <w:b w:val="0"/>
                <w:bCs/>
              </w:rPr>
              <w:t>18</w:t>
            </w:r>
          </w:p>
        </w:tc>
        <w:tc>
          <w:tcPr>
            <w:tcW w:w="447" w:type="dxa"/>
            <w:shd w:val="clear" w:color="auto" w:fill="auto"/>
            <w:vAlign w:val="center"/>
            <w:hideMark/>
          </w:tcPr>
          <w:p w14:paraId="07A6A18B" w14:textId="77777777" w:rsidR="00913C78" w:rsidRPr="00F22172" w:rsidRDefault="00913C78" w:rsidP="00F22172">
            <w:pPr>
              <w:pStyle w:val="ae"/>
              <w:rPr>
                <w:b w:val="0"/>
                <w:bCs/>
              </w:rPr>
            </w:pPr>
            <w:r w:rsidRPr="00F22172">
              <w:rPr>
                <w:rFonts w:hint="eastAsia"/>
                <w:b w:val="0"/>
                <w:bCs/>
              </w:rPr>
              <w:t>19</w:t>
            </w:r>
          </w:p>
        </w:tc>
        <w:tc>
          <w:tcPr>
            <w:tcW w:w="447" w:type="dxa"/>
            <w:shd w:val="clear" w:color="auto" w:fill="auto"/>
            <w:vAlign w:val="center"/>
            <w:hideMark/>
          </w:tcPr>
          <w:p w14:paraId="1E901383" w14:textId="77777777" w:rsidR="00913C78" w:rsidRPr="00F22172" w:rsidRDefault="00913C78" w:rsidP="00F22172">
            <w:pPr>
              <w:pStyle w:val="ae"/>
              <w:rPr>
                <w:b w:val="0"/>
                <w:bCs/>
              </w:rPr>
            </w:pPr>
            <w:r w:rsidRPr="00F22172">
              <w:rPr>
                <w:rFonts w:hint="eastAsia"/>
                <w:b w:val="0"/>
                <w:bCs/>
              </w:rPr>
              <w:t>20</w:t>
            </w:r>
          </w:p>
        </w:tc>
        <w:tc>
          <w:tcPr>
            <w:tcW w:w="446" w:type="dxa"/>
            <w:shd w:val="clear" w:color="auto" w:fill="auto"/>
            <w:vAlign w:val="center"/>
            <w:hideMark/>
          </w:tcPr>
          <w:p w14:paraId="18493D0B" w14:textId="77777777" w:rsidR="00913C78" w:rsidRPr="00F22172" w:rsidRDefault="00913C78" w:rsidP="00F22172">
            <w:pPr>
              <w:pStyle w:val="ae"/>
              <w:rPr>
                <w:b w:val="0"/>
                <w:bCs/>
              </w:rPr>
            </w:pPr>
            <w:r w:rsidRPr="00F22172">
              <w:rPr>
                <w:rFonts w:hint="eastAsia"/>
                <w:b w:val="0"/>
                <w:bCs/>
              </w:rPr>
              <w:t>21</w:t>
            </w:r>
          </w:p>
        </w:tc>
        <w:tc>
          <w:tcPr>
            <w:tcW w:w="447" w:type="dxa"/>
            <w:shd w:val="clear" w:color="auto" w:fill="auto"/>
            <w:vAlign w:val="center"/>
            <w:hideMark/>
          </w:tcPr>
          <w:p w14:paraId="4CB7882A" w14:textId="77777777" w:rsidR="00913C78" w:rsidRPr="00F22172" w:rsidRDefault="00913C78" w:rsidP="00F22172">
            <w:pPr>
              <w:pStyle w:val="ae"/>
              <w:rPr>
                <w:b w:val="0"/>
                <w:bCs/>
              </w:rPr>
            </w:pPr>
            <w:r w:rsidRPr="00F22172">
              <w:rPr>
                <w:rFonts w:hint="eastAsia"/>
                <w:b w:val="0"/>
                <w:bCs/>
              </w:rPr>
              <w:t>22</w:t>
            </w:r>
          </w:p>
        </w:tc>
        <w:tc>
          <w:tcPr>
            <w:tcW w:w="447" w:type="dxa"/>
            <w:shd w:val="clear" w:color="auto" w:fill="auto"/>
            <w:vAlign w:val="center"/>
            <w:hideMark/>
          </w:tcPr>
          <w:p w14:paraId="37EFA3CD" w14:textId="77777777" w:rsidR="00913C78" w:rsidRPr="00F22172" w:rsidRDefault="00913C78" w:rsidP="00F22172">
            <w:pPr>
              <w:pStyle w:val="ae"/>
              <w:rPr>
                <w:b w:val="0"/>
                <w:bCs/>
              </w:rPr>
            </w:pPr>
            <w:r w:rsidRPr="00F22172">
              <w:rPr>
                <w:rFonts w:hint="eastAsia"/>
                <w:b w:val="0"/>
                <w:bCs/>
              </w:rPr>
              <w:t>23</w:t>
            </w:r>
          </w:p>
        </w:tc>
        <w:tc>
          <w:tcPr>
            <w:tcW w:w="447" w:type="dxa"/>
            <w:shd w:val="clear" w:color="auto" w:fill="auto"/>
            <w:vAlign w:val="center"/>
            <w:hideMark/>
          </w:tcPr>
          <w:p w14:paraId="7F6BC291" w14:textId="77777777" w:rsidR="00913C78" w:rsidRPr="00F22172" w:rsidRDefault="00913C78" w:rsidP="00F22172">
            <w:pPr>
              <w:pStyle w:val="ae"/>
              <w:rPr>
                <w:b w:val="0"/>
                <w:bCs/>
              </w:rPr>
            </w:pPr>
            <w:r w:rsidRPr="00F22172">
              <w:rPr>
                <w:rFonts w:hint="eastAsia"/>
                <w:b w:val="0"/>
                <w:bCs/>
              </w:rPr>
              <w:t>24</w:t>
            </w:r>
          </w:p>
        </w:tc>
      </w:tr>
      <w:tr w:rsidR="00913C78" w:rsidRPr="00F22172" w14:paraId="6D162328" w14:textId="77777777" w:rsidTr="00E221F6">
        <w:trPr>
          <w:gridAfter w:val="1"/>
          <w:wAfter w:w="7" w:type="dxa"/>
          <w:jc w:val="center"/>
        </w:trPr>
        <w:tc>
          <w:tcPr>
            <w:tcW w:w="1261" w:type="dxa"/>
            <w:vMerge w:val="restart"/>
            <w:shd w:val="clear" w:color="auto" w:fill="auto"/>
            <w:vAlign w:val="center"/>
            <w:hideMark/>
          </w:tcPr>
          <w:p w14:paraId="73047286" w14:textId="77777777" w:rsidR="00913C78" w:rsidRPr="00F22172" w:rsidRDefault="00913C78" w:rsidP="00F22172">
            <w:pPr>
              <w:pStyle w:val="ae"/>
              <w:rPr>
                <w:b w:val="0"/>
                <w:bCs/>
              </w:rPr>
            </w:pPr>
            <w:r w:rsidRPr="00F22172">
              <w:rPr>
                <w:rFonts w:hint="eastAsia"/>
                <w:b w:val="0"/>
                <w:bCs/>
              </w:rPr>
              <w:t>办公建筑、教学楼</w:t>
            </w:r>
          </w:p>
        </w:tc>
        <w:tc>
          <w:tcPr>
            <w:tcW w:w="741" w:type="dxa"/>
            <w:shd w:val="clear" w:color="auto" w:fill="auto"/>
            <w:vAlign w:val="center"/>
            <w:hideMark/>
          </w:tcPr>
          <w:p w14:paraId="0CAA77EB" w14:textId="77777777" w:rsidR="00913C78" w:rsidRPr="00F22172" w:rsidRDefault="00913C78" w:rsidP="00F22172">
            <w:pPr>
              <w:pStyle w:val="ae"/>
              <w:rPr>
                <w:b w:val="0"/>
                <w:bCs/>
              </w:rPr>
            </w:pPr>
            <w:r w:rsidRPr="00F22172">
              <w:rPr>
                <w:rFonts w:hint="eastAsia"/>
                <w:b w:val="0"/>
                <w:bCs/>
              </w:rPr>
              <w:t>工作日</w:t>
            </w:r>
          </w:p>
        </w:tc>
        <w:tc>
          <w:tcPr>
            <w:tcW w:w="446" w:type="dxa"/>
            <w:shd w:val="clear" w:color="auto" w:fill="auto"/>
            <w:vAlign w:val="center"/>
            <w:hideMark/>
          </w:tcPr>
          <w:p w14:paraId="02C721F4"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2C6E4E3B"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1EBBF6F1"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2BFD4D4D" w14:textId="77777777" w:rsidR="00913C78" w:rsidRPr="00F22172" w:rsidRDefault="00913C78" w:rsidP="00F22172">
            <w:pPr>
              <w:pStyle w:val="ae"/>
              <w:rPr>
                <w:b w:val="0"/>
                <w:bCs/>
              </w:rPr>
            </w:pPr>
            <w:r w:rsidRPr="00F22172">
              <w:rPr>
                <w:rFonts w:hint="eastAsia"/>
                <w:b w:val="0"/>
                <w:bCs/>
              </w:rPr>
              <w:t>95</w:t>
            </w:r>
          </w:p>
        </w:tc>
        <w:tc>
          <w:tcPr>
            <w:tcW w:w="446" w:type="dxa"/>
            <w:shd w:val="clear" w:color="auto" w:fill="auto"/>
            <w:vAlign w:val="center"/>
            <w:hideMark/>
          </w:tcPr>
          <w:p w14:paraId="2F8B3CF8"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0BAEC034" w14:textId="77777777" w:rsidR="00913C78" w:rsidRPr="00F22172" w:rsidRDefault="00913C78" w:rsidP="00F22172">
            <w:pPr>
              <w:pStyle w:val="ae"/>
              <w:rPr>
                <w:b w:val="0"/>
                <w:bCs/>
              </w:rPr>
            </w:pPr>
            <w:r w:rsidRPr="00F22172">
              <w:rPr>
                <w:rFonts w:hint="eastAsia"/>
                <w:b w:val="0"/>
                <w:bCs/>
              </w:rPr>
              <w:t>30</w:t>
            </w:r>
          </w:p>
        </w:tc>
        <w:tc>
          <w:tcPr>
            <w:tcW w:w="447" w:type="dxa"/>
            <w:shd w:val="clear" w:color="auto" w:fill="auto"/>
            <w:vAlign w:val="center"/>
            <w:hideMark/>
          </w:tcPr>
          <w:p w14:paraId="4A1030A7" w14:textId="77777777" w:rsidR="00913C78" w:rsidRPr="00F22172" w:rsidRDefault="00913C78" w:rsidP="00F22172">
            <w:pPr>
              <w:pStyle w:val="ae"/>
              <w:rPr>
                <w:b w:val="0"/>
                <w:bCs/>
              </w:rPr>
            </w:pPr>
            <w:r w:rsidRPr="00F22172">
              <w:rPr>
                <w:rFonts w:hint="eastAsia"/>
                <w:b w:val="0"/>
                <w:bCs/>
              </w:rPr>
              <w:t>30</w:t>
            </w:r>
          </w:p>
        </w:tc>
        <w:tc>
          <w:tcPr>
            <w:tcW w:w="447" w:type="dxa"/>
            <w:shd w:val="clear" w:color="auto" w:fill="auto"/>
            <w:vAlign w:val="center"/>
            <w:hideMark/>
          </w:tcPr>
          <w:p w14:paraId="6A27657C"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046D38B1"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D248E54"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E7516EA"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CFCE626" w14:textId="77777777" w:rsidR="00913C78" w:rsidRPr="00F22172" w:rsidRDefault="00913C78" w:rsidP="00F22172">
            <w:pPr>
              <w:pStyle w:val="ae"/>
              <w:rPr>
                <w:b w:val="0"/>
                <w:bCs/>
              </w:rPr>
            </w:pPr>
            <w:r w:rsidRPr="00F22172">
              <w:rPr>
                <w:rFonts w:hint="eastAsia"/>
                <w:b w:val="0"/>
                <w:bCs/>
              </w:rPr>
              <w:t>0</w:t>
            </w:r>
          </w:p>
        </w:tc>
      </w:tr>
      <w:tr w:rsidR="00913C78" w:rsidRPr="00F22172" w14:paraId="30318E3F" w14:textId="77777777" w:rsidTr="00E221F6">
        <w:trPr>
          <w:gridAfter w:val="1"/>
          <w:wAfter w:w="7" w:type="dxa"/>
          <w:jc w:val="center"/>
        </w:trPr>
        <w:tc>
          <w:tcPr>
            <w:tcW w:w="1261" w:type="dxa"/>
            <w:vMerge/>
            <w:shd w:val="clear" w:color="auto" w:fill="auto"/>
            <w:vAlign w:val="center"/>
            <w:hideMark/>
          </w:tcPr>
          <w:p w14:paraId="054FB031" w14:textId="77777777" w:rsidR="00913C78" w:rsidRPr="00F22172" w:rsidRDefault="00913C78" w:rsidP="00F22172">
            <w:pPr>
              <w:pStyle w:val="ae"/>
              <w:rPr>
                <w:b w:val="0"/>
                <w:bCs/>
              </w:rPr>
            </w:pPr>
          </w:p>
        </w:tc>
        <w:tc>
          <w:tcPr>
            <w:tcW w:w="741" w:type="dxa"/>
            <w:shd w:val="clear" w:color="auto" w:fill="auto"/>
            <w:vAlign w:val="center"/>
            <w:hideMark/>
          </w:tcPr>
          <w:p w14:paraId="5D27089D" w14:textId="77777777" w:rsidR="00913C78" w:rsidRPr="00F22172" w:rsidRDefault="00913C78" w:rsidP="00F22172">
            <w:pPr>
              <w:pStyle w:val="ae"/>
              <w:rPr>
                <w:b w:val="0"/>
                <w:bCs/>
              </w:rPr>
            </w:pPr>
            <w:r w:rsidRPr="00F22172">
              <w:rPr>
                <w:rFonts w:hint="eastAsia"/>
                <w:b w:val="0"/>
                <w:bCs/>
              </w:rPr>
              <w:t>节假日</w:t>
            </w:r>
          </w:p>
        </w:tc>
        <w:tc>
          <w:tcPr>
            <w:tcW w:w="446" w:type="dxa"/>
            <w:shd w:val="clear" w:color="auto" w:fill="auto"/>
            <w:vAlign w:val="center"/>
            <w:hideMark/>
          </w:tcPr>
          <w:p w14:paraId="3D824D72"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AE1E328"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6D46014"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C76C458"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63573F14"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51BDDAD"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913EF8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CD97C17"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4E7A5AF7"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700A30D"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E7C041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6B59C13" w14:textId="77777777" w:rsidR="00913C78" w:rsidRPr="00F22172" w:rsidRDefault="00913C78" w:rsidP="00F22172">
            <w:pPr>
              <w:pStyle w:val="ae"/>
              <w:rPr>
                <w:b w:val="0"/>
                <w:bCs/>
              </w:rPr>
            </w:pPr>
            <w:r w:rsidRPr="00F22172">
              <w:rPr>
                <w:rFonts w:hint="eastAsia"/>
                <w:b w:val="0"/>
                <w:bCs/>
              </w:rPr>
              <w:t>0</w:t>
            </w:r>
          </w:p>
        </w:tc>
      </w:tr>
      <w:tr w:rsidR="00913C78" w:rsidRPr="00F22172" w14:paraId="5F973AA1" w14:textId="77777777" w:rsidTr="00E221F6">
        <w:trPr>
          <w:gridAfter w:val="1"/>
          <w:wAfter w:w="7" w:type="dxa"/>
          <w:jc w:val="center"/>
        </w:trPr>
        <w:tc>
          <w:tcPr>
            <w:tcW w:w="1261" w:type="dxa"/>
            <w:shd w:val="clear" w:color="auto" w:fill="auto"/>
            <w:vAlign w:val="center"/>
            <w:hideMark/>
          </w:tcPr>
          <w:p w14:paraId="782ADEC6" w14:textId="77777777" w:rsidR="00913C78" w:rsidRPr="00F22172" w:rsidRDefault="00913C78" w:rsidP="00F22172">
            <w:pPr>
              <w:pStyle w:val="ae"/>
              <w:rPr>
                <w:b w:val="0"/>
                <w:bCs/>
              </w:rPr>
            </w:pPr>
            <w:r w:rsidRPr="00F22172">
              <w:rPr>
                <w:rFonts w:hint="eastAsia"/>
                <w:b w:val="0"/>
                <w:bCs/>
              </w:rPr>
              <w:t>宾馆建筑</w:t>
            </w:r>
          </w:p>
        </w:tc>
        <w:tc>
          <w:tcPr>
            <w:tcW w:w="741" w:type="dxa"/>
            <w:shd w:val="clear" w:color="auto" w:fill="auto"/>
            <w:vAlign w:val="center"/>
            <w:hideMark/>
          </w:tcPr>
          <w:p w14:paraId="1FB1549B"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71078FC1"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4A22C9F6"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33AABD1B"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38258D60" w14:textId="77777777" w:rsidR="00913C78" w:rsidRPr="00F22172" w:rsidRDefault="00913C78" w:rsidP="00F22172">
            <w:pPr>
              <w:pStyle w:val="ae"/>
              <w:rPr>
                <w:b w:val="0"/>
                <w:bCs/>
              </w:rPr>
            </w:pPr>
            <w:r w:rsidRPr="00F22172">
              <w:rPr>
                <w:rFonts w:hint="eastAsia"/>
                <w:b w:val="0"/>
                <w:bCs/>
              </w:rPr>
              <w:t>50</w:t>
            </w:r>
          </w:p>
        </w:tc>
        <w:tc>
          <w:tcPr>
            <w:tcW w:w="446" w:type="dxa"/>
            <w:shd w:val="clear" w:color="auto" w:fill="auto"/>
            <w:vAlign w:val="center"/>
            <w:hideMark/>
          </w:tcPr>
          <w:p w14:paraId="13AD6A2E"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7ECF1311"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691B6165"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5A744106" w14:textId="77777777" w:rsidR="00913C78" w:rsidRPr="00F22172" w:rsidRDefault="00913C78" w:rsidP="00F22172">
            <w:pPr>
              <w:pStyle w:val="ae"/>
              <w:rPr>
                <w:b w:val="0"/>
                <w:bCs/>
              </w:rPr>
            </w:pPr>
            <w:r w:rsidRPr="00F22172">
              <w:rPr>
                <w:rFonts w:hint="eastAsia"/>
                <w:b w:val="0"/>
                <w:bCs/>
              </w:rPr>
              <w:t>70</w:t>
            </w:r>
          </w:p>
        </w:tc>
        <w:tc>
          <w:tcPr>
            <w:tcW w:w="446" w:type="dxa"/>
            <w:shd w:val="clear" w:color="auto" w:fill="auto"/>
            <w:vAlign w:val="center"/>
            <w:hideMark/>
          </w:tcPr>
          <w:p w14:paraId="38EF5B25"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51887DB8"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7C4BEF88" w14:textId="77777777" w:rsidR="00913C78" w:rsidRPr="00F22172" w:rsidRDefault="00913C78" w:rsidP="00F22172">
            <w:pPr>
              <w:pStyle w:val="ae"/>
              <w:rPr>
                <w:b w:val="0"/>
                <w:bCs/>
              </w:rPr>
            </w:pPr>
            <w:r w:rsidRPr="00F22172">
              <w:rPr>
                <w:rFonts w:hint="eastAsia"/>
                <w:b w:val="0"/>
                <w:bCs/>
              </w:rPr>
              <w:t>70</w:t>
            </w:r>
          </w:p>
        </w:tc>
        <w:tc>
          <w:tcPr>
            <w:tcW w:w="447" w:type="dxa"/>
            <w:shd w:val="clear" w:color="auto" w:fill="auto"/>
            <w:vAlign w:val="center"/>
            <w:hideMark/>
          </w:tcPr>
          <w:p w14:paraId="08311FA2" w14:textId="77777777" w:rsidR="00913C78" w:rsidRPr="00F22172" w:rsidRDefault="00913C78" w:rsidP="00F22172">
            <w:pPr>
              <w:pStyle w:val="ae"/>
              <w:rPr>
                <w:b w:val="0"/>
                <w:bCs/>
              </w:rPr>
            </w:pPr>
            <w:r w:rsidRPr="00F22172">
              <w:rPr>
                <w:rFonts w:hint="eastAsia"/>
                <w:b w:val="0"/>
                <w:bCs/>
              </w:rPr>
              <w:t>70</w:t>
            </w:r>
          </w:p>
        </w:tc>
      </w:tr>
    </w:tbl>
    <w:p w14:paraId="47B115D8" w14:textId="77777777" w:rsidR="00913C78" w:rsidRPr="00913C78" w:rsidRDefault="00913C78" w:rsidP="00F22172">
      <w:pPr>
        <w:ind w:firstLine="420"/>
        <w:jc w:val="right"/>
      </w:pPr>
      <w:r w:rsidRPr="00913C78">
        <w:rPr>
          <w:rFonts w:hint="eastAsia"/>
        </w:rPr>
        <w:t>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11" w:type="dxa"/>
          <w:right w:w="57" w:type="dxa"/>
        </w:tblCellMar>
        <w:tblLook w:val="04A0" w:firstRow="1" w:lastRow="0" w:firstColumn="1" w:lastColumn="0" w:noHBand="0" w:noVBand="1"/>
      </w:tblPr>
      <w:tblGrid>
        <w:gridCol w:w="1261"/>
        <w:gridCol w:w="741"/>
        <w:gridCol w:w="446"/>
        <w:gridCol w:w="447"/>
        <w:gridCol w:w="447"/>
        <w:gridCol w:w="447"/>
        <w:gridCol w:w="446"/>
        <w:gridCol w:w="447"/>
        <w:gridCol w:w="447"/>
        <w:gridCol w:w="447"/>
        <w:gridCol w:w="446"/>
        <w:gridCol w:w="447"/>
        <w:gridCol w:w="447"/>
        <w:gridCol w:w="447"/>
        <w:gridCol w:w="7"/>
      </w:tblGrid>
      <w:tr w:rsidR="00913C78" w:rsidRPr="00F22172" w14:paraId="42200323" w14:textId="77777777" w:rsidTr="00E221F6">
        <w:trPr>
          <w:jc w:val="center"/>
        </w:trPr>
        <w:tc>
          <w:tcPr>
            <w:tcW w:w="1261" w:type="dxa"/>
            <w:vMerge w:val="restart"/>
            <w:shd w:val="clear" w:color="auto" w:fill="auto"/>
            <w:vAlign w:val="center"/>
            <w:hideMark/>
          </w:tcPr>
          <w:p w14:paraId="6F9FD3C3" w14:textId="77777777" w:rsidR="00913C78" w:rsidRPr="00F22172" w:rsidRDefault="00913C78" w:rsidP="00F22172">
            <w:pPr>
              <w:pStyle w:val="ae"/>
              <w:rPr>
                <w:b w:val="0"/>
                <w:bCs/>
              </w:rPr>
            </w:pPr>
            <w:r w:rsidRPr="00F22172">
              <w:rPr>
                <w:rFonts w:hint="eastAsia"/>
                <w:b w:val="0"/>
                <w:bCs/>
              </w:rPr>
              <w:t>建筑类别</w:t>
            </w:r>
          </w:p>
        </w:tc>
        <w:tc>
          <w:tcPr>
            <w:tcW w:w="741" w:type="dxa"/>
            <w:vMerge w:val="restart"/>
            <w:shd w:val="clear" w:color="auto" w:fill="auto"/>
            <w:vAlign w:val="center"/>
          </w:tcPr>
          <w:p w14:paraId="618BC6F0" w14:textId="77777777" w:rsidR="00913C78" w:rsidRPr="00F22172" w:rsidRDefault="00913C78" w:rsidP="00F22172">
            <w:pPr>
              <w:pStyle w:val="ae"/>
              <w:rPr>
                <w:b w:val="0"/>
                <w:bCs/>
              </w:rPr>
            </w:pPr>
            <w:r w:rsidRPr="00F22172">
              <w:rPr>
                <w:rFonts w:hint="eastAsia"/>
                <w:b w:val="0"/>
                <w:bCs/>
              </w:rPr>
              <w:t>运行时段</w:t>
            </w:r>
          </w:p>
        </w:tc>
        <w:tc>
          <w:tcPr>
            <w:tcW w:w="5368" w:type="dxa"/>
            <w:gridSpan w:val="13"/>
            <w:shd w:val="clear" w:color="auto" w:fill="auto"/>
            <w:vAlign w:val="center"/>
            <w:hideMark/>
          </w:tcPr>
          <w:p w14:paraId="4A5BE2FE"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房间人员逐时在室率</w:t>
            </w:r>
            <w:r w:rsidRPr="00F22172">
              <w:rPr>
                <w:rFonts w:hint="eastAsia"/>
                <w:b w:val="0"/>
                <w:bCs/>
              </w:rPr>
              <w:t>/%</w:t>
            </w:r>
          </w:p>
        </w:tc>
      </w:tr>
      <w:tr w:rsidR="00913C78" w:rsidRPr="00F22172" w14:paraId="61554460" w14:textId="77777777" w:rsidTr="00E221F6">
        <w:trPr>
          <w:gridAfter w:val="1"/>
          <w:wAfter w:w="7" w:type="dxa"/>
          <w:jc w:val="center"/>
        </w:trPr>
        <w:tc>
          <w:tcPr>
            <w:tcW w:w="1261" w:type="dxa"/>
            <w:vMerge/>
            <w:shd w:val="clear" w:color="auto" w:fill="auto"/>
            <w:vAlign w:val="center"/>
            <w:hideMark/>
          </w:tcPr>
          <w:p w14:paraId="61253FE3" w14:textId="77777777" w:rsidR="00913C78" w:rsidRPr="00F22172" w:rsidRDefault="00913C78" w:rsidP="00F22172">
            <w:pPr>
              <w:pStyle w:val="ae"/>
              <w:rPr>
                <w:b w:val="0"/>
                <w:bCs/>
              </w:rPr>
            </w:pPr>
          </w:p>
        </w:tc>
        <w:tc>
          <w:tcPr>
            <w:tcW w:w="741" w:type="dxa"/>
            <w:vMerge/>
            <w:shd w:val="clear" w:color="auto" w:fill="auto"/>
            <w:vAlign w:val="center"/>
          </w:tcPr>
          <w:p w14:paraId="6D10D010" w14:textId="77777777" w:rsidR="00913C78" w:rsidRPr="00F22172" w:rsidRDefault="00913C78" w:rsidP="00F22172">
            <w:pPr>
              <w:pStyle w:val="ae"/>
              <w:rPr>
                <w:b w:val="0"/>
                <w:bCs/>
              </w:rPr>
            </w:pPr>
          </w:p>
        </w:tc>
        <w:tc>
          <w:tcPr>
            <w:tcW w:w="446" w:type="dxa"/>
            <w:shd w:val="clear" w:color="auto" w:fill="auto"/>
            <w:vAlign w:val="center"/>
            <w:hideMark/>
          </w:tcPr>
          <w:p w14:paraId="390AE588" w14:textId="77777777" w:rsidR="00913C78" w:rsidRPr="00F22172" w:rsidRDefault="00913C78" w:rsidP="00F22172">
            <w:pPr>
              <w:pStyle w:val="ae"/>
              <w:rPr>
                <w:b w:val="0"/>
                <w:bCs/>
              </w:rPr>
            </w:pPr>
            <w:r w:rsidRPr="00F22172">
              <w:rPr>
                <w:rFonts w:hint="eastAsia"/>
                <w:b w:val="0"/>
                <w:bCs/>
              </w:rPr>
              <w:t>13</w:t>
            </w:r>
          </w:p>
        </w:tc>
        <w:tc>
          <w:tcPr>
            <w:tcW w:w="447" w:type="dxa"/>
            <w:shd w:val="clear" w:color="auto" w:fill="auto"/>
            <w:vAlign w:val="center"/>
            <w:hideMark/>
          </w:tcPr>
          <w:p w14:paraId="721465A6" w14:textId="77777777" w:rsidR="00913C78" w:rsidRPr="00F22172" w:rsidRDefault="00913C78" w:rsidP="00F22172">
            <w:pPr>
              <w:pStyle w:val="ae"/>
              <w:rPr>
                <w:b w:val="0"/>
                <w:bCs/>
              </w:rPr>
            </w:pPr>
            <w:r w:rsidRPr="00F22172">
              <w:rPr>
                <w:rFonts w:hint="eastAsia"/>
                <w:b w:val="0"/>
                <w:bCs/>
              </w:rPr>
              <w:t>14</w:t>
            </w:r>
          </w:p>
        </w:tc>
        <w:tc>
          <w:tcPr>
            <w:tcW w:w="447" w:type="dxa"/>
            <w:shd w:val="clear" w:color="auto" w:fill="auto"/>
            <w:vAlign w:val="center"/>
            <w:hideMark/>
          </w:tcPr>
          <w:p w14:paraId="138C89F1" w14:textId="77777777" w:rsidR="00913C78" w:rsidRPr="00F22172" w:rsidRDefault="00913C78" w:rsidP="00F22172">
            <w:pPr>
              <w:pStyle w:val="ae"/>
              <w:rPr>
                <w:b w:val="0"/>
                <w:bCs/>
              </w:rPr>
            </w:pPr>
            <w:r w:rsidRPr="00F22172">
              <w:rPr>
                <w:rFonts w:hint="eastAsia"/>
                <w:b w:val="0"/>
                <w:bCs/>
              </w:rPr>
              <w:t>15</w:t>
            </w:r>
          </w:p>
        </w:tc>
        <w:tc>
          <w:tcPr>
            <w:tcW w:w="447" w:type="dxa"/>
            <w:shd w:val="clear" w:color="auto" w:fill="auto"/>
            <w:vAlign w:val="center"/>
            <w:hideMark/>
          </w:tcPr>
          <w:p w14:paraId="1194A71D" w14:textId="77777777" w:rsidR="00913C78" w:rsidRPr="00F22172" w:rsidRDefault="00913C78" w:rsidP="00F22172">
            <w:pPr>
              <w:pStyle w:val="ae"/>
              <w:rPr>
                <w:b w:val="0"/>
                <w:bCs/>
              </w:rPr>
            </w:pPr>
            <w:r w:rsidRPr="00F22172">
              <w:rPr>
                <w:rFonts w:hint="eastAsia"/>
                <w:b w:val="0"/>
                <w:bCs/>
              </w:rPr>
              <w:t>16</w:t>
            </w:r>
          </w:p>
        </w:tc>
        <w:tc>
          <w:tcPr>
            <w:tcW w:w="446" w:type="dxa"/>
            <w:shd w:val="clear" w:color="auto" w:fill="auto"/>
            <w:vAlign w:val="center"/>
            <w:hideMark/>
          </w:tcPr>
          <w:p w14:paraId="0EDBBEBB" w14:textId="77777777" w:rsidR="00913C78" w:rsidRPr="00F22172" w:rsidRDefault="00913C78" w:rsidP="00F22172">
            <w:pPr>
              <w:pStyle w:val="ae"/>
              <w:rPr>
                <w:b w:val="0"/>
                <w:bCs/>
              </w:rPr>
            </w:pPr>
            <w:r w:rsidRPr="00F22172">
              <w:rPr>
                <w:rFonts w:hint="eastAsia"/>
                <w:b w:val="0"/>
                <w:bCs/>
              </w:rPr>
              <w:t>17</w:t>
            </w:r>
          </w:p>
        </w:tc>
        <w:tc>
          <w:tcPr>
            <w:tcW w:w="447" w:type="dxa"/>
            <w:shd w:val="clear" w:color="auto" w:fill="auto"/>
            <w:vAlign w:val="center"/>
            <w:hideMark/>
          </w:tcPr>
          <w:p w14:paraId="1F30D272" w14:textId="77777777" w:rsidR="00913C78" w:rsidRPr="00F22172" w:rsidRDefault="00913C78" w:rsidP="00F22172">
            <w:pPr>
              <w:pStyle w:val="ae"/>
              <w:rPr>
                <w:b w:val="0"/>
                <w:bCs/>
              </w:rPr>
            </w:pPr>
            <w:r w:rsidRPr="00F22172">
              <w:rPr>
                <w:rFonts w:hint="eastAsia"/>
                <w:b w:val="0"/>
                <w:bCs/>
              </w:rPr>
              <w:t>18</w:t>
            </w:r>
          </w:p>
        </w:tc>
        <w:tc>
          <w:tcPr>
            <w:tcW w:w="447" w:type="dxa"/>
            <w:shd w:val="clear" w:color="auto" w:fill="auto"/>
            <w:vAlign w:val="center"/>
            <w:hideMark/>
          </w:tcPr>
          <w:p w14:paraId="2F060FF8" w14:textId="77777777" w:rsidR="00913C78" w:rsidRPr="00F22172" w:rsidRDefault="00913C78" w:rsidP="00F22172">
            <w:pPr>
              <w:pStyle w:val="ae"/>
              <w:rPr>
                <w:b w:val="0"/>
                <w:bCs/>
              </w:rPr>
            </w:pPr>
            <w:r w:rsidRPr="00F22172">
              <w:rPr>
                <w:rFonts w:hint="eastAsia"/>
                <w:b w:val="0"/>
                <w:bCs/>
              </w:rPr>
              <w:t>19</w:t>
            </w:r>
          </w:p>
        </w:tc>
        <w:tc>
          <w:tcPr>
            <w:tcW w:w="447" w:type="dxa"/>
            <w:shd w:val="clear" w:color="auto" w:fill="auto"/>
            <w:vAlign w:val="center"/>
            <w:hideMark/>
          </w:tcPr>
          <w:p w14:paraId="169F6B8C" w14:textId="77777777" w:rsidR="00913C78" w:rsidRPr="00F22172" w:rsidRDefault="00913C78" w:rsidP="00F22172">
            <w:pPr>
              <w:pStyle w:val="ae"/>
              <w:rPr>
                <w:b w:val="0"/>
                <w:bCs/>
              </w:rPr>
            </w:pPr>
            <w:r w:rsidRPr="00F22172">
              <w:rPr>
                <w:rFonts w:hint="eastAsia"/>
                <w:b w:val="0"/>
                <w:bCs/>
              </w:rPr>
              <w:t>20</w:t>
            </w:r>
          </w:p>
        </w:tc>
        <w:tc>
          <w:tcPr>
            <w:tcW w:w="446" w:type="dxa"/>
            <w:shd w:val="clear" w:color="auto" w:fill="auto"/>
            <w:vAlign w:val="center"/>
            <w:hideMark/>
          </w:tcPr>
          <w:p w14:paraId="7CED9426" w14:textId="77777777" w:rsidR="00913C78" w:rsidRPr="00F22172" w:rsidRDefault="00913C78" w:rsidP="00F22172">
            <w:pPr>
              <w:pStyle w:val="ae"/>
              <w:rPr>
                <w:b w:val="0"/>
                <w:bCs/>
              </w:rPr>
            </w:pPr>
            <w:r w:rsidRPr="00F22172">
              <w:rPr>
                <w:rFonts w:hint="eastAsia"/>
                <w:b w:val="0"/>
                <w:bCs/>
              </w:rPr>
              <w:t>21</w:t>
            </w:r>
          </w:p>
        </w:tc>
        <w:tc>
          <w:tcPr>
            <w:tcW w:w="447" w:type="dxa"/>
            <w:shd w:val="clear" w:color="auto" w:fill="auto"/>
            <w:vAlign w:val="center"/>
            <w:hideMark/>
          </w:tcPr>
          <w:p w14:paraId="41598225" w14:textId="77777777" w:rsidR="00913C78" w:rsidRPr="00F22172" w:rsidRDefault="00913C78" w:rsidP="00F22172">
            <w:pPr>
              <w:pStyle w:val="ae"/>
              <w:rPr>
                <w:b w:val="0"/>
                <w:bCs/>
              </w:rPr>
            </w:pPr>
            <w:r w:rsidRPr="00F22172">
              <w:rPr>
                <w:rFonts w:hint="eastAsia"/>
                <w:b w:val="0"/>
                <w:bCs/>
              </w:rPr>
              <w:t>22</w:t>
            </w:r>
          </w:p>
        </w:tc>
        <w:tc>
          <w:tcPr>
            <w:tcW w:w="447" w:type="dxa"/>
            <w:shd w:val="clear" w:color="auto" w:fill="auto"/>
            <w:vAlign w:val="center"/>
            <w:hideMark/>
          </w:tcPr>
          <w:p w14:paraId="21E2A786" w14:textId="77777777" w:rsidR="00913C78" w:rsidRPr="00F22172" w:rsidRDefault="00913C78" w:rsidP="00F22172">
            <w:pPr>
              <w:pStyle w:val="ae"/>
              <w:rPr>
                <w:b w:val="0"/>
                <w:bCs/>
              </w:rPr>
            </w:pPr>
            <w:r w:rsidRPr="00F22172">
              <w:rPr>
                <w:rFonts w:hint="eastAsia"/>
                <w:b w:val="0"/>
                <w:bCs/>
              </w:rPr>
              <w:t>23</w:t>
            </w:r>
          </w:p>
        </w:tc>
        <w:tc>
          <w:tcPr>
            <w:tcW w:w="447" w:type="dxa"/>
            <w:shd w:val="clear" w:color="auto" w:fill="auto"/>
            <w:vAlign w:val="center"/>
            <w:hideMark/>
          </w:tcPr>
          <w:p w14:paraId="0F41909B" w14:textId="77777777" w:rsidR="00913C78" w:rsidRPr="00F22172" w:rsidRDefault="00913C78" w:rsidP="00F22172">
            <w:pPr>
              <w:pStyle w:val="ae"/>
              <w:rPr>
                <w:b w:val="0"/>
                <w:bCs/>
              </w:rPr>
            </w:pPr>
            <w:r w:rsidRPr="00F22172">
              <w:rPr>
                <w:rFonts w:hint="eastAsia"/>
                <w:b w:val="0"/>
                <w:bCs/>
              </w:rPr>
              <w:t>24</w:t>
            </w:r>
          </w:p>
        </w:tc>
      </w:tr>
      <w:tr w:rsidR="00913C78" w:rsidRPr="00F22172" w14:paraId="16EEFFF9" w14:textId="77777777" w:rsidTr="00E221F6">
        <w:trPr>
          <w:gridAfter w:val="1"/>
          <w:wAfter w:w="7" w:type="dxa"/>
          <w:jc w:val="center"/>
        </w:trPr>
        <w:tc>
          <w:tcPr>
            <w:tcW w:w="1261" w:type="dxa"/>
            <w:shd w:val="clear" w:color="auto" w:fill="auto"/>
            <w:vAlign w:val="center"/>
            <w:hideMark/>
          </w:tcPr>
          <w:p w14:paraId="1F2D0E50" w14:textId="77777777" w:rsidR="00913C78" w:rsidRPr="00F22172" w:rsidRDefault="00913C78" w:rsidP="00F22172">
            <w:pPr>
              <w:pStyle w:val="ae"/>
              <w:rPr>
                <w:b w:val="0"/>
                <w:bCs/>
              </w:rPr>
            </w:pPr>
            <w:r w:rsidRPr="00F22172">
              <w:rPr>
                <w:rFonts w:hint="eastAsia"/>
                <w:b w:val="0"/>
                <w:bCs/>
              </w:rPr>
              <w:t>住院部</w:t>
            </w:r>
          </w:p>
        </w:tc>
        <w:tc>
          <w:tcPr>
            <w:tcW w:w="741" w:type="dxa"/>
            <w:shd w:val="clear" w:color="auto" w:fill="auto"/>
            <w:vAlign w:val="center"/>
            <w:hideMark/>
          </w:tcPr>
          <w:p w14:paraId="1E8ADB12"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50030A5E"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1FB1A745"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7D6AC3DA"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03E86E78" w14:textId="77777777" w:rsidR="00913C78" w:rsidRPr="00F22172" w:rsidRDefault="00913C78" w:rsidP="00F22172">
            <w:pPr>
              <w:pStyle w:val="ae"/>
              <w:rPr>
                <w:b w:val="0"/>
                <w:bCs/>
              </w:rPr>
            </w:pPr>
            <w:r w:rsidRPr="00F22172">
              <w:rPr>
                <w:rFonts w:hint="eastAsia"/>
                <w:b w:val="0"/>
                <w:bCs/>
              </w:rPr>
              <w:t>95</w:t>
            </w:r>
          </w:p>
        </w:tc>
        <w:tc>
          <w:tcPr>
            <w:tcW w:w="446" w:type="dxa"/>
            <w:shd w:val="clear" w:color="auto" w:fill="auto"/>
            <w:vAlign w:val="center"/>
            <w:hideMark/>
          </w:tcPr>
          <w:p w14:paraId="06E2B735"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429B15EA"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52A48B8C"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0D8A5606" w14:textId="77777777" w:rsidR="00913C78" w:rsidRPr="00F22172" w:rsidRDefault="00913C78" w:rsidP="00F22172">
            <w:pPr>
              <w:pStyle w:val="ae"/>
              <w:rPr>
                <w:b w:val="0"/>
                <w:bCs/>
              </w:rPr>
            </w:pPr>
            <w:r w:rsidRPr="00F22172">
              <w:rPr>
                <w:rFonts w:hint="eastAsia"/>
                <w:b w:val="0"/>
                <w:bCs/>
              </w:rPr>
              <w:t>95</w:t>
            </w:r>
          </w:p>
        </w:tc>
        <w:tc>
          <w:tcPr>
            <w:tcW w:w="446" w:type="dxa"/>
            <w:shd w:val="clear" w:color="auto" w:fill="auto"/>
            <w:vAlign w:val="center"/>
            <w:hideMark/>
          </w:tcPr>
          <w:p w14:paraId="0F12E7B2"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634F3E07"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720B6C61"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3B49BD46" w14:textId="77777777" w:rsidR="00913C78" w:rsidRPr="00F22172" w:rsidRDefault="00913C78" w:rsidP="00F22172">
            <w:pPr>
              <w:pStyle w:val="ae"/>
              <w:rPr>
                <w:b w:val="0"/>
                <w:bCs/>
              </w:rPr>
            </w:pPr>
            <w:r w:rsidRPr="00F22172">
              <w:rPr>
                <w:rFonts w:hint="eastAsia"/>
                <w:b w:val="0"/>
                <w:bCs/>
              </w:rPr>
              <w:t>95</w:t>
            </w:r>
          </w:p>
        </w:tc>
      </w:tr>
      <w:tr w:rsidR="00913C78" w:rsidRPr="00F22172" w14:paraId="127FB761" w14:textId="77777777" w:rsidTr="00E221F6">
        <w:trPr>
          <w:gridAfter w:val="1"/>
          <w:wAfter w:w="7" w:type="dxa"/>
          <w:jc w:val="center"/>
        </w:trPr>
        <w:tc>
          <w:tcPr>
            <w:tcW w:w="1261" w:type="dxa"/>
            <w:shd w:val="clear" w:color="auto" w:fill="auto"/>
            <w:vAlign w:val="center"/>
            <w:hideMark/>
          </w:tcPr>
          <w:p w14:paraId="69DEA941" w14:textId="77777777" w:rsidR="00913C78" w:rsidRPr="00F22172" w:rsidRDefault="00913C78" w:rsidP="00F22172">
            <w:pPr>
              <w:pStyle w:val="ae"/>
              <w:rPr>
                <w:b w:val="0"/>
                <w:bCs/>
              </w:rPr>
            </w:pPr>
            <w:r w:rsidRPr="00F22172">
              <w:rPr>
                <w:rFonts w:hint="eastAsia"/>
                <w:b w:val="0"/>
                <w:bCs/>
              </w:rPr>
              <w:t>商店建筑</w:t>
            </w:r>
          </w:p>
        </w:tc>
        <w:tc>
          <w:tcPr>
            <w:tcW w:w="741" w:type="dxa"/>
            <w:shd w:val="clear" w:color="auto" w:fill="auto"/>
            <w:vAlign w:val="center"/>
            <w:hideMark/>
          </w:tcPr>
          <w:p w14:paraId="1E100C7D"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68BBE422"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0B2BEC8F"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2F1ED542"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4CE81E5E" w14:textId="77777777" w:rsidR="00913C78" w:rsidRPr="00F22172" w:rsidRDefault="00913C78" w:rsidP="00F22172">
            <w:pPr>
              <w:pStyle w:val="ae"/>
              <w:rPr>
                <w:b w:val="0"/>
                <w:bCs/>
              </w:rPr>
            </w:pPr>
            <w:r w:rsidRPr="00F22172">
              <w:rPr>
                <w:rFonts w:hint="eastAsia"/>
                <w:b w:val="0"/>
                <w:bCs/>
              </w:rPr>
              <w:t>80</w:t>
            </w:r>
          </w:p>
        </w:tc>
        <w:tc>
          <w:tcPr>
            <w:tcW w:w="446" w:type="dxa"/>
            <w:shd w:val="clear" w:color="auto" w:fill="auto"/>
            <w:vAlign w:val="center"/>
            <w:hideMark/>
          </w:tcPr>
          <w:p w14:paraId="7FE1CA5F"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141D90A1"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4D423C8A"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011961FD" w14:textId="77777777" w:rsidR="00913C78" w:rsidRPr="00F22172" w:rsidRDefault="00913C78" w:rsidP="00F22172">
            <w:pPr>
              <w:pStyle w:val="ae"/>
              <w:rPr>
                <w:b w:val="0"/>
                <w:bCs/>
              </w:rPr>
            </w:pPr>
            <w:r w:rsidRPr="00F22172">
              <w:rPr>
                <w:rFonts w:hint="eastAsia"/>
                <w:b w:val="0"/>
                <w:bCs/>
              </w:rPr>
              <w:t>70</w:t>
            </w:r>
          </w:p>
        </w:tc>
        <w:tc>
          <w:tcPr>
            <w:tcW w:w="446" w:type="dxa"/>
            <w:shd w:val="clear" w:color="auto" w:fill="auto"/>
            <w:vAlign w:val="center"/>
            <w:hideMark/>
          </w:tcPr>
          <w:p w14:paraId="45D0D0F2"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76ECA9E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04008D8"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3A02A32" w14:textId="77777777" w:rsidR="00913C78" w:rsidRPr="00F22172" w:rsidRDefault="00913C78" w:rsidP="00F22172">
            <w:pPr>
              <w:pStyle w:val="ae"/>
              <w:rPr>
                <w:b w:val="0"/>
                <w:bCs/>
              </w:rPr>
            </w:pPr>
            <w:r w:rsidRPr="00F22172">
              <w:rPr>
                <w:rFonts w:hint="eastAsia"/>
                <w:b w:val="0"/>
                <w:bCs/>
              </w:rPr>
              <w:t>0</w:t>
            </w:r>
          </w:p>
        </w:tc>
      </w:tr>
      <w:tr w:rsidR="00913C78" w:rsidRPr="00F22172" w14:paraId="5C6C6107" w14:textId="77777777" w:rsidTr="00E221F6">
        <w:trPr>
          <w:gridAfter w:val="1"/>
          <w:wAfter w:w="7" w:type="dxa"/>
          <w:jc w:val="center"/>
        </w:trPr>
        <w:tc>
          <w:tcPr>
            <w:tcW w:w="1261" w:type="dxa"/>
            <w:shd w:val="clear" w:color="auto" w:fill="auto"/>
            <w:vAlign w:val="center"/>
            <w:hideMark/>
          </w:tcPr>
          <w:p w14:paraId="48AAB757" w14:textId="77777777" w:rsidR="00913C78" w:rsidRPr="00F22172" w:rsidRDefault="00913C78" w:rsidP="00F22172">
            <w:pPr>
              <w:pStyle w:val="ae"/>
              <w:rPr>
                <w:b w:val="0"/>
                <w:bCs/>
              </w:rPr>
            </w:pPr>
            <w:r w:rsidRPr="00F22172">
              <w:rPr>
                <w:rFonts w:hint="eastAsia"/>
                <w:b w:val="0"/>
                <w:bCs/>
              </w:rPr>
              <w:t>门诊楼</w:t>
            </w:r>
          </w:p>
        </w:tc>
        <w:tc>
          <w:tcPr>
            <w:tcW w:w="741" w:type="dxa"/>
            <w:shd w:val="clear" w:color="auto" w:fill="auto"/>
            <w:vAlign w:val="center"/>
            <w:hideMark/>
          </w:tcPr>
          <w:p w14:paraId="584859CC" w14:textId="77777777" w:rsidR="00913C78" w:rsidRPr="00F22172" w:rsidRDefault="00913C78" w:rsidP="00F22172">
            <w:pPr>
              <w:pStyle w:val="ae"/>
              <w:rPr>
                <w:b w:val="0"/>
                <w:bCs/>
              </w:rPr>
            </w:pPr>
            <w:r w:rsidRPr="00F22172">
              <w:rPr>
                <w:rFonts w:hint="eastAsia"/>
                <w:b w:val="0"/>
                <w:bCs/>
              </w:rPr>
              <w:t>全年</w:t>
            </w:r>
          </w:p>
        </w:tc>
        <w:tc>
          <w:tcPr>
            <w:tcW w:w="446" w:type="dxa"/>
            <w:shd w:val="clear" w:color="auto" w:fill="auto"/>
            <w:vAlign w:val="center"/>
            <w:hideMark/>
          </w:tcPr>
          <w:p w14:paraId="6AA9D51A" w14:textId="77777777" w:rsidR="00913C78" w:rsidRPr="00F22172" w:rsidRDefault="00913C78" w:rsidP="00F22172">
            <w:pPr>
              <w:pStyle w:val="ae"/>
              <w:rPr>
                <w:b w:val="0"/>
                <w:bCs/>
              </w:rPr>
            </w:pPr>
            <w:r w:rsidRPr="00F22172">
              <w:rPr>
                <w:rFonts w:hint="eastAsia"/>
                <w:b w:val="0"/>
                <w:bCs/>
              </w:rPr>
              <w:t>20</w:t>
            </w:r>
          </w:p>
        </w:tc>
        <w:tc>
          <w:tcPr>
            <w:tcW w:w="447" w:type="dxa"/>
            <w:shd w:val="clear" w:color="auto" w:fill="auto"/>
            <w:vAlign w:val="center"/>
            <w:hideMark/>
          </w:tcPr>
          <w:p w14:paraId="1061392A" w14:textId="77777777" w:rsidR="00913C78" w:rsidRPr="00F22172" w:rsidRDefault="00913C78" w:rsidP="00F22172">
            <w:pPr>
              <w:pStyle w:val="ae"/>
              <w:rPr>
                <w:b w:val="0"/>
                <w:bCs/>
              </w:rPr>
            </w:pPr>
            <w:r w:rsidRPr="00F22172">
              <w:rPr>
                <w:rFonts w:hint="eastAsia"/>
                <w:b w:val="0"/>
                <w:bCs/>
              </w:rPr>
              <w:t>50</w:t>
            </w:r>
          </w:p>
        </w:tc>
        <w:tc>
          <w:tcPr>
            <w:tcW w:w="447" w:type="dxa"/>
            <w:shd w:val="clear" w:color="auto" w:fill="auto"/>
            <w:vAlign w:val="center"/>
            <w:hideMark/>
          </w:tcPr>
          <w:p w14:paraId="7CDAB740" w14:textId="77777777" w:rsidR="00913C78" w:rsidRPr="00F22172" w:rsidRDefault="00913C78" w:rsidP="00F22172">
            <w:pPr>
              <w:pStyle w:val="ae"/>
              <w:rPr>
                <w:b w:val="0"/>
                <w:bCs/>
              </w:rPr>
            </w:pPr>
            <w:r w:rsidRPr="00F22172">
              <w:rPr>
                <w:rFonts w:hint="eastAsia"/>
                <w:b w:val="0"/>
                <w:bCs/>
              </w:rPr>
              <w:t>60</w:t>
            </w:r>
          </w:p>
        </w:tc>
        <w:tc>
          <w:tcPr>
            <w:tcW w:w="447" w:type="dxa"/>
            <w:shd w:val="clear" w:color="auto" w:fill="auto"/>
            <w:vAlign w:val="center"/>
            <w:hideMark/>
          </w:tcPr>
          <w:p w14:paraId="6DB51EE3" w14:textId="77777777" w:rsidR="00913C78" w:rsidRPr="00F22172" w:rsidRDefault="00913C78" w:rsidP="00F22172">
            <w:pPr>
              <w:pStyle w:val="ae"/>
              <w:rPr>
                <w:b w:val="0"/>
                <w:bCs/>
              </w:rPr>
            </w:pPr>
            <w:r w:rsidRPr="00F22172">
              <w:rPr>
                <w:rFonts w:hint="eastAsia"/>
                <w:b w:val="0"/>
                <w:bCs/>
              </w:rPr>
              <w:t>60</w:t>
            </w:r>
          </w:p>
        </w:tc>
        <w:tc>
          <w:tcPr>
            <w:tcW w:w="446" w:type="dxa"/>
            <w:shd w:val="clear" w:color="auto" w:fill="auto"/>
            <w:vAlign w:val="center"/>
            <w:hideMark/>
          </w:tcPr>
          <w:p w14:paraId="586EE86B" w14:textId="77777777" w:rsidR="00913C78" w:rsidRPr="00F22172" w:rsidRDefault="00913C78" w:rsidP="00F22172">
            <w:pPr>
              <w:pStyle w:val="ae"/>
              <w:rPr>
                <w:b w:val="0"/>
                <w:bCs/>
              </w:rPr>
            </w:pPr>
            <w:r w:rsidRPr="00F22172">
              <w:rPr>
                <w:rFonts w:hint="eastAsia"/>
                <w:b w:val="0"/>
                <w:bCs/>
              </w:rPr>
              <w:t>20</w:t>
            </w:r>
          </w:p>
        </w:tc>
        <w:tc>
          <w:tcPr>
            <w:tcW w:w="447" w:type="dxa"/>
            <w:shd w:val="clear" w:color="auto" w:fill="auto"/>
            <w:vAlign w:val="center"/>
            <w:hideMark/>
          </w:tcPr>
          <w:p w14:paraId="31D737C0" w14:textId="77777777" w:rsidR="00913C78" w:rsidRPr="00F22172" w:rsidRDefault="00913C78" w:rsidP="00F22172">
            <w:pPr>
              <w:pStyle w:val="ae"/>
              <w:rPr>
                <w:b w:val="0"/>
                <w:bCs/>
              </w:rPr>
            </w:pPr>
            <w:r w:rsidRPr="00F22172">
              <w:rPr>
                <w:rFonts w:hint="eastAsia"/>
                <w:b w:val="0"/>
                <w:bCs/>
              </w:rPr>
              <w:t>20</w:t>
            </w:r>
          </w:p>
        </w:tc>
        <w:tc>
          <w:tcPr>
            <w:tcW w:w="447" w:type="dxa"/>
            <w:shd w:val="clear" w:color="auto" w:fill="auto"/>
            <w:vAlign w:val="center"/>
            <w:hideMark/>
          </w:tcPr>
          <w:p w14:paraId="2882834A"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1F36CC0" w14:textId="77777777" w:rsidR="00913C78" w:rsidRPr="00F22172" w:rsidRDefault="00913C78" w:rsidP="00F22172">
            <w:pPr>
              <w:pStyle w:val="ae"/>
              <w:rPr>
                <w:b w:val="0"/>
                <w:bCs/>
              </w:rPr>
            </w:pPr>
            <w:r w:rsidRPr="00F22172">
              <w:rPr>
                <w:rFonts w:hint="eastAsia"/>
                <w:b w:val="0"/>
                <w:bCs/>
              </w:rPr>
              <w:t>0</w:t>
            </w:r>
          </w:p>
        </w:tc>
        <w:tc>
          <w:tcPr>
            <w:tcW w:w="446" w:type="dxa"/>
            <w:shd w:val="clear" w:color="auto" w:fill="auto"/>
            <w:vAlign w:val="center"/>
            <w:hideMark/>
          </w:tcPr>
          <w:p w14:paraId="629FC46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63FC97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821A137"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D32AEE5" w14:textId="77777777" w:rsidR="00913C78" w:rsidRPr="00F22172" w:rsidRDefault="00913C78" w:rsidP="00F22172">
            <w:pPr>
              <w:pStyle w:val="ae"/>
              <w:rPr>
                <w:b w:val="0"/>
                <w:bCs/>
              </w:rPr>
            </w:pPr>
            <w:r w:rsidRPr="00F22172">
              <w:rPr>
                <w:rFonts w:hint="eastAsia"/>
                <w:b w:val="0"/>
                <w:bCs/>
              </w:rPr>
              <w:t>0</w:t>
            </w:r>
          </w:p>
        </w:tc>
      </w:tr>
    </w:tbl>
    <w:p w14:paraId="44D34194" w14:textId="32844775" w:rsidR="00913C78" w:rsidRPr="00913C78" w:rsidRDefault="00913C78" w:rsidP="00F22172">
      <w:pPr>
        <w:pStyle w:val="ae"/>
      </w:pPr>
      <w:r w:rsidRPr="00913C78">
        <w:rPr>
          <w:rFonts w:hint="eastAsia"/>
        </w:rPr>
        <w:t>附表</w:t>
      </w:r>
      <w:r w:rsidRPr="00913C78">
        <w:rPr>
          <w:rFonts w:hint="eastAsia"/>
        </w:rPr>
        <w:t>A.5.</w:t>
      </w:r>
      <w:r w:rsidR="00532D0F">
        <w:t>10</w:t>
      </w:r>
      <w:r w:rsidRPr="00913C78">
        <w:rPr>
          <w:rFonts w:hint="eastAsia"/>
        </w:rPr>
        <w:t xml:space="preserve"> </w:t>
      </w:r>
      <w:r w:rsidRPr="00913C78">
        <w:rPr>
          <w:rFonts w:hint="eastAsia"/>
        </w:rPr>
        <w:t>其他类型</w:t>
      </w:r>
      <w:r w:rsidRPr="00913C78">
        <w:t>建筑</w:t>
      </w:r>
      <w:r w:rsidRPr="00913C78">
        <w:rPr>
          <w:rFonts w:hint="eastAsia"/>
        </w:rPr>
        <w:t>房间人员逐时在室率</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 w:type="dxa"/>
        </w:tblCellMar>
        <w:tblLook w:val="04A0" w:firstRow="1" w:lastRow="0" w:firstColumn="1" w:lastColumn="0" w:noHBand="0" w:noVBand="1"/>
      </w:tblPr>
      <w:tblGrid>
        <w:gridCol w:w="3685"/>
        <w:gridCol w:w="3685"/>
      </w:tblGrid>
      <w:tr w:rsidR="00913C78" w:rsidRPr="00F22172" w14:paraId="14D9BE3B" w14:textId="77777777" w:rsidTr="00E221F6">
        <w:trPr>
          <w:jc w:val="center"/>
        </w:trPr>
        <w:tc>
          <w:tcPr>
            <w:tcW w:w="3685" w:type="dxa"/>
            <w:shd w:val="clear" w:color="auto" w:fill="auto"/>
            <w:vAlign w:val="center"/>
            <w:hideMark/>
          </w:tcPr>
          <w:p w14:paraId="7787A427" w14:textId="77777777" w:rsidR="00913C78" w:rsidRPr="00F22172" w:rsidRDefault="00913C78" w:rsidP="00F22172">
            <w:pPr>
              <w:pStyle w:val="ae"/>
              <w:rPr>
                <w:b w:val="0"/>
                <w:bCs/>
              </w:rPr>
            </w:pPr>
            <w:r w:rsidRPr="00F22172">
              <w:rPr>
                <w:rFonts w:hint="eastAsia"/>
                <w:b w:val="0"/>
                <w:bCs/>
              </w:rPr>
              <w:t>时间</w:t>
            </w:r>
          </w:p>
        </w:tc>
        <w:tc>
          <w:tcPr>
            <w:tcW w:w="3685" w:type="dxa"/>
            <w:shd w:val="clear" w:color="auto" w:fill="auto"/>
            <w:vAlign w:val="center"/>
            <w:hideMark/>
          </w:tcPr>
          <w:p w14:paraId="29B160C2" w14:textId="77777777" w:rsidR="00913C78" w:rsidRPr="00F22172" w:rsidRDefault="00913C78" w:rsidP="00F22172">
            <w:pPr>
              <w:pStyle w:val="ae"/>
              <w:rPr>
                <w:b w:val="0"/>
                <w:bCs/>
              </w:rPr>
            </w:pPr>
            <w:r w:rsidRPr="00F22172">
              <w:rPr>
                <w:rFonts w:hint="eastAsia"/>
                <w:b w:val="0"/>
                <w:bCs/>
              </w:rPr>
              <w:t>房间人员逐时在室率</w:t>
            </w:r>
            <w:r w:rsidRPr="00F22172">
              <w:rPr>
                <w:rFonts w:hint="eastAsia"/>
                <w:b w:val="0"/>
                <w:bCs/>
              </w:rPr>
              <w:t>/%</w:t>
            </w:r>
          </w:p>
        </w:tc>
      </w:tr>
      <w:tr w:rsidR="00913C78" w:rsidRPr="00F22172" w14:paraId="2CC59B11" w14:textId="77777777" w:rsidTr="00E221F6">
        <w:trPr>
          <w:jc w:val="center"/>
        </w:trPr>
        <w:tc>
          <w:tcPr>
            <w:tcW w:w="3685" w:type="dxa"/>
            <w:shd w:val="clear" w:color="auto" w:fill="auto"/>
            <w:vAlign w:val="center"/>
            <w:hideMark/>
          </w:tcPr>
          <w:p w14:paraId="0063A96A" w14:textId="77777777" w:rsidR="00913C78" w:rsidRPr="00F22172" w:rsidRDefault="00913C78" w:rsidP="00F22172">
            <w:pPr>
              <w:pStyle w:val="ae"/>
              <w:rPr>
                <w:b w:val="0"/>
                <w:bCs/>
              </w:rPr>
            </w:pPr>
            <w:r w:rsidRPr="00F22172">
              <w:rPr>
                <w:rFonts w:hint="eastAsia"/>
                <w:b w:val="0"/>
                <w:bCs/>
              </w:rPr>
              <w:t>正常工作</w:t>
            </w:r>
          </w:p>
        </w:tc>
        <w:tc>
          <w:tcPr>
            <w:tcW w:w="3685" w:type="dxa"/>
            <w:shd w:val="clear" w:color="auto" w:fill="auto"/>
            <w:vAlign w:val="center"/>
            <w:hideMark/>
          </w:tcPr>
          <w:p w14:paraId="0A670208" w14:textId="77777777" w:rsidR="00913C78" w:rsidRPr="00F22172" w:rsidRDefault="00913C78" w:rsidP="00F22172">
            <w:pPr>
              <w:pStyle w:val="ae"/>
              <w:rPr>
                <w:b w:val="0"/>
                <w:bCs/>
              </w:rPr>
            </w:pPr>
            <w:r w:rsidRPr="00F22172">
              <w:rPr>
                <w:rFonts w:hint="eastAsia"/>
                <w:b w:val="0"/>
                <w:bCs/>
              </w:rPr>
              <w:t>90</w:t>
            </w:r>
          </w:p>
        </w:tc>
      </w:tr>
      <w:tr w:rsidR="00913C78" w:rsidRPr="00F22172" w14:paraId="20F8A8E0" w14:textId="77777777" w:rsidTr="00E221F6">
        <w:trPr>
          <w:jc w:val="center"/>
        </w:trPr>
        <w:tc>
          <w:tcPr>
            <w:tcW w:w="3685" w:type="dxa"/>
            <w:shd w:val="clear" w:color="auto" w:fill="auto"/>
            <w:vAlign w:val="center"/>
            <w:hideMark/>
          </w:tcPr>
          <w:p w14:paraId="33DA98D5" w14:textId="77777777" w:rsidR="00913C78" w:rsidRPr="00F22172" w:rsidRDefault="00913C78" w:rsidP="00F22172">
            <w:pPr>
              <w:pStyle w:val="ae"/>
              <w:rPr>
                <w:b w:val="0"/>
                <w:bCs/>
              </w:rPr>
            </w:pPr>
            <w:r w:rsidRPr="00F22172">
              <w:rPr>
                <w:rFonts w:hint="eastAsia"/>
                <w:b w:val="0"/>
                <w:bCs/>
              </w:rPr>
              <w:t>正常工作时间的前</w:t>
            </w:r>
            <w:r w:rsidRPr="00F22172">
              <w:rPr>
                <w:rFonts w:hint="eastAsia"/>
                <w:b w:val="0"/>
                <w:bCs/>
              </w:rPr>
              <w:t>1h</w:t>
            </w:r>
          </w:p>
        </w:tc>
        <w:tc>
          <w:tcPr>
            <w:tcW w:w="3685" w:type="dxa"/>
            <w:shd w:val="clear" w:color="auto" w:fill="auto"/>
            <w:vAlign w:val="center"/>
            <w:hideMark/>
          </w:tcPr>
          <w:p w14:paraId="642600C6" w14:textId="77777777" w:rsidR="00913C78" w:rsidRPr="00F22172" w:rsidRDefault="00913C78" w:rsidP="00F22172">
            <w:pPr>
              <w:pStyle w:val="ae"/>
              <w:rPr>
                <w:b w:val="0"/>
                <w:bCs/>
              </w:rPr>
            </w:pPr>
            <w:r w:rsidRPr="00F22172">
              <w:rPr>
                <w:rFonts w:hint="eastAsia"/>
                <w:b w:val="0"/>
                <w:bCs/>
              </w:rPr>
              <w:t>10</w:t>
            </w:r>
          </w:p>
        </w:tc>
      </w:tr>
      <w:tr w:rsidR="00913C78" w:rsidRPr="00F22172" w14:paraId="32EE5293" w14:textId="77777777" w:rsidTr="00E221F6">
        <w:trPr>
          <w:jc w:val="center"/>
        </w:trPr>
        <w:tc>
          <w:tcPr>
            <w:tcW w:w="3685" w:type="dxa"/>
            <w:shd w:val="clear" w:color="auto" w:fill="auto"/>
            <w:vAlign w:val="center"/>
            <w:hideMark/>
          </w:tcPr>
          <w:p w14:paraId="7E735B9C" w14:textId="77777777" w:rsidR="00913C78" w:rsidRPr="00F22172" w:rsidRDefault="00913C78" w:rsidP="00F22172">
            <w:pPr>
              <w:pStyle w:val="ae"/>
              <w:rPr>
                <w:b w:val="0"/>
                <w:bCs/>
              </w:rPr>
            </w:pPr>
            <w:r w:rsidRPr="00F22172">
              <w:rPr>
                <w:rFonts w:hint="eastAsia"/>
                <w:b w:val="0"/>
                <w:bCs/>
              </w:rPr>
              <w:t>其他</w:t>
            </w:r>
          </w:p>
        </w:tc>
        <w:tc>
          <w:tcPr>
            <w:tcW w:w="3685" w:type="dxa"/>
            <w:shd w:val="clear" w:color="auto" w:fill="auto"/>
            <w:vAlign w:val="center"/>
            <w:hideMark/>
          </w:tcPr>
          <w:p w14:paraId="2A8E5F64" w14:textId="77777777" w:rsidR="00913C78" w:rsidRPr="00F22172" w:rsidRDefault="00913C78" w:rsidP="00F22172">
            <w:pPr>
              <w:pStyle w:val="ae"/>
              <w:rPr>
                <w:b w:val="0"/>
                <w:bCs/>
              </w:rPr>
            </w:pPr>
            <w:r w:rsidRPr="00F22172">
              <w:rPr>
                <w:rFonts w:hint="eastAsia"/>
                <w:b w:val="0"/>
                <w:bCs/>
              </w:rPr>
              <w:t>0</w:t>
            </w:r>
          </w:p>
        </w:tc>
      </w:tr>
    </w:tbl>
    <w:p w14:paraId="7BE2A3AC" w14:textId="3F0E07A5" w:rsidR="00913C78" w:rsidRPr="00913C78" w:rsidRDefault="00913C78" w:rsidP="00F22172">
      <w:pPr>
        <w:pStyle w:val="ae"/>
      </w:pPr>
      <w:r w:rsidRPr="00913C78">
        <w:rPr>
          <w:rFonts w:hint="eastAsia"/>
        </w:rPr>
        <w:t>附表</w:t>
      </w:r>
      <w:r w:rsidRPr="00913C78">
        <w:rPr>
          <w:rFonts w:hint="eastAsia"/>
        </w:rPr>
        <w:t>A.5.1</w:t>
      </w:r>
      <w:r w:rsidR="00532D0F">
        <w:t>1</w:t>
      </w:r>
      <w:r w:rsidRPr="00913C78">
        <w:rPr>
          <w:rFonts w:hint="eastAsia"/>
        </w:rPr>
        <w:t xml:space="preserve">  </w:t>
      </w:r>
      <w:r w:rsidRPr="00913C78">
        <w:rPr>
          <w:rFonts w:hint="eastAsia"/>
        </w:rPr>
        <w:t>不同类型房间的人均新风量</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 w:type="dxa"/>
        </w:tblCellMar>
        <w:tblLook w:val="04A0" w:firstRow="1" w:lastRow="0" w:firstColumn="1" w:lastColumn="0" w:noHBand="0" w:noVBand="1"/>
      </w:tblPr>
      <w:tblGrid>
        <w:gridCol w:w="1776"/>
        <w:gridCol w:w="1777"/>
        <w:gridCol w:w="3817"/>
      </w:tblGrid>
      <w:tr w:rsidR="00913C78" w:rsidRPr="00F22172" w14:paraId="16643F35" w14:textId="77777777" w:rsidTr="00E221F6">
        <w:trPr>
          <w:jc w:val="center"/>
        </w:trPr>
        <w:tc>
          <w:tcPr>
            <w:tcW w:w="2701" w:type="dxa"/>
            <w:gridSpan w:val="2"/>
            <w:shd w:val="clear" w:color="auto" w:fill="auto"/>
            <w:noWrap/>
            <w:vAlign w:val="center"/>
            <w:hideMark/>
          </w:tcPr>
          <w:p w14:paraId="40ADE842" w14:textId="77777777" w:rsidR="00913C78" w:rsidRPr="00F22172" w:rsidRDefault="00913C78" w:rsidP="00F22172">
            <w:pPr>
              <w:pStyle w:val="ae"/>
              <w:rPr>
                <w:b w:val="0"/>
                <w:bCs/>
              </w:rPr>
            </w:pPr>
            <w:r w:rsidRPr="00F22172">
              <w:rPr>
                <w:rFonts w:hint="eastAsia"/>
                <w:b w:val="0"/>
                <w:bCs/>
              </w:rPr>
              <w:t>建筑类别</w:t>
            </w:r>
          </w:p>
        </w:tc>
        <w:tc>
          <w:tcPr>
            <w:tcW w:w="2901" w:type="dxa"/>
            <w:shd w:val="clear" w:color="auto" w:fill="auto"/>
            <w:noWrap/>
            <w:vAlign w:val="center"/>
            <w:hideMark/>
          </w:tcPr>
          <w:p w14:paraId="6AB3FFAB" w14:textId="77777777" w:rsidR="00913C78" w:rsidRPr="00F22172" w:rsidRDefault="00913C78" w:rsidP="00F22172">
            <w:pPr>
              <w:pStyle w:val="ae"/>
              <w:rPr>
                <w:b w:val="0"/>
                <w:bCs/>
              </w:rPr>
            </w:pPr>
            <w:r w:rsidRPr="00F22172">
              <w:rPr>
                <w:rFonts w:hint="eastAsia"/>
                <w:b w:val="0"/>
                <w:bCs/>
              </w:rPr>
              <w:t>新风量</w:t>
            </w:r>
            <w:r w:rsidRPr="00F22172">
              <w:rPr>
                <w:rFonts w:hint="eastAsia"/>
                <w:b w:val="0"/>
                <w:bCs/>
              </w:rPr>
              <w:t>/</w:t>
            </w:r>
            <w:r w:rsidRPr="00F22172">
              <w:rPr>
                <w:rFonts w:hint="eastAsia"/>
                <w:b w:val="0"/>
                <w:bCs/>
              </w:rPr>
              <w:t>［</w:t>
            </w:r>
            <w:r w:rsidRPr="00F22172">
              <w:rPr>
                <w:rFonts w:hint="eastAsia"/>
                <w:b w:val="0"/>
                <w:bCs/>
              </w:rPr>
              <w:t>m3/</w:t>
            </w:r>
            <w:r w:rsidRPr="00F22172">
              <w:rPr>
                <w:rFonts w:hint="eastAsia"/>
                <w:b w:val="0"/>
                <w:bCs/>
              </w:rPr>
              <w:t>（</w:t>
            </w:r>
            <w:r w:rsidRPr="00F22172">
              <w:rPr>
                <w:rFonts w:hint="eastAsia"/>
                <w:b w:val="0"/>
                <w:bCs/>
              </w:rPr>
              <w:t>h</w:t>
            </w:r>
            <w:r w:rsidRPr="00F22172">
              <w:rPr>
                <w:rFonts w:hint="eastAsia"/>
                <w:b w:val="0"/>
                <w:bCs/>
              </w:rPr>
              <w:t>·人）］</w:t>
            </w:r>
          </w:p>
        </w:tc>
      </w:tr>
      <w:tr w:rsidR="00913C78" w:rsidRPr="00F22172" w14:paraId="46BF2912" w14:textId="77777777" w:rsidTr="00E221F6">
        <w:trPr>
          <w:jc w:val="center"/>
        </w:trPr>
        <w:tc>
          <w:tcPr>
            <w:tcW w:w="2701" w:type="dxa"/>
            <w:gridSpan w:val="2"/>
            <w:shd w:val="clear" w:color="auto" w:fill="auto"/>
            <w:vAlign w:val="center"/>
            <w:hideMark/>
          </w:tcPr>
          <w:p w14:paraId="1ED97FF1" w14:textId="77777777" w:rsidR="00913C78" w:rsidRPr="00F22172" w:rsidRDefault="00913C78" w:rsidP="00F22172">
            <w:pPr>
              <w:pStyle w:val="ae"/>
              <w:rPr>
                <w:b w:val="0"/>
                <w:bCs/>
              </w:rPr>
            </w:pPr>
            <w:r w:rsidRPr="00F22172">
              <w:rPr>
                <w:rFonts w:hint="eastAsia"/>
                <w:b w:val="0"/>
                <w:bCs/>
              </w:rPr>
              <w:t>办公建筑</w:t>
            </w:r>
          </w:p>
        </w:tc>
        <w:tc>
          <w:tcPr>
            <w:tcW w:w="2901" w:type="dxa"/>
            <w:shd w:val="clear" w:color="auto" w:fill="auto"/>
            <w:noWrap/>
            <w:vAlign w:val="center"/>
            <w:hideMark/>
          </w:tcPr>
          <w:p w14:paraId="190DF00F" w14:textId="77777777" w:rsidR="00913C78" w:rsidRPr="00F22172" w:rsidRDefault="00913C78" w:rsidP="00F22172">
            <w:pPr>
              <w:pStyle w:val="ae"/>
              <w:rPr>
                <w:b w:val="0"/>
                <w:bCs/>
              </w:rPr>
            </w:pPr>
            <w:r w:rsidRPr="00F22172">
              <w:rPr>
                <w:rFonts w:hint="eastAsia"/>
                <w:b w:val="0"/>
                <w:bCs/>
              </w:rPr>
              <w:t>30.0</w:t>
            </w:r>
          </w:p>
        </w:tc>
      </w:tr>
      <w:tr w:rsidR="00913C78" w:rsidRPr="00F22172" w14:paraId="7EFAC2DA" w14:textId="77777777" w:rsidTr="00E221F6">
        <w:trPr>
          <w:jc w:val="center"/>
        </w:trPr>
        <w:tc>
          <w:tcPr>
            <w:tcW w:w="2701" w:type="dxa"/>
            <w:gridSpan w:val="2"/>
            <w:shd w:val="clear" w:color="auto" w:fill="auto"/>
            <w:vAlign w:val="center"/>
            <w:hideMark/>
          </w:tcPr>
          <w:p w14:paraId="2E97652B" w14:textId="77777777" w:rsidR="00913C78" w:rsidRPr="00F22172" w:rsidRDefault="00913C78" w:rsidP="00F22172">
            <w:pPr>
              <w:pStyle w:val="ae"/>
              <w:rPr>
                <w:b w:val="0"/>
                <w:bCs/>
              </w:rPr>
            </w:pPr>
            <w:r w:rsidRPr="00F22172">
              <w:rPr>
                <w:rFonts w:hint="eastAsia"/>
                <w:b w:val="0"/>
                <w:bCs/>
              </w:rPr>
              <w:t>校园建筑——教学楼</w:t>
            </w:r>
          </w:p>
        </w:tc>
        <w:tc>
          <w:tcPr>
            <w:tcW w:w="2901" w:type="dxa"/>
            <w:shd w:val="clear" w:color="auto" w:fill="auto"/>
            <w:noWrap/>
            <w:vAlign w:val="center"/>
            <w:hideMark/>
          </w:tcPr>
          <w:p w14:paraId="0110DCFF" w14:textId="77777777" w:rsidR="00913C78" w:rsidRPr="00F22172" w:rsidRDefault="00913C78" w:rsidP="00F22172">
            <w:pPr>
              <w:pStyle w:val="ae"/>
              <w:rPr>
                <w:b w:val="0"/>
                <w:bCs/>
              </w:rPr>
            </w:pPr>
            <w:r w:rsidRPr="00F22172">
              <w:rPr>
                <w:rFonts w:hint="eastAsia"/>
                <w:b w:val="0"/>
                <w:bCs/>
              </w:rPr>
              <w:t>30.0</w:t>
            </w:r>
          </w:p>
        </w:tc>
      </w:tr>
      <w:tr w:rsidR="00913C78" w:rsidRPr="00F22172" w14:paraId="5E8F8E77" w14:textId="77777777" w:rsidTr="00E221F6">
        <w:trPr>
          <w:jc w:val="center"/>
        </w:trPr>
        <w:tc>
          <w:tcPr>
            <w:tcW w:w="1350" w:type="dxa"/>
            <w:vMerge w:val="restart"/>
            <w:shd w:val="clear" w:color="auto" w:fill="auto"/>
            <w:vAlign w:val="center"/>
            <w:hideMark/>
          </w:tcPr>
          <w:p w14:paraId="75122971" w14:textId="77777777" w:rsidR="00913C78" w:rsidRPr="00F22172" w:rsidRDefault="00913C78" w:rsidP="00F22172">
            <w:pPr>
              <w:pStyle w:val="ae"/>
              <w:rPr>
                <w:b w:val="0"/>
                <w:bCs/>
              </w:rPr>
            </w:pPr>
            <w:r w:rsidRPr="00F22172">
              <w:rPr>
                <w:rFonts w:hint="eastAsia"/>
                <w:b w:val="0"/>
                <w:bCs/>
              </w:rPr>
              <w:t>商店建筑</w:t>
            </w:r>
          </w:p>
        </w:tc>
        <w:tc>
          <w:tcPr>
            <w:tcW w:w="1351" w:type="dxa"/>
            <w:shd w:val="clear" w:color="auto" w:fill="auto"/>
            <w:noWrap/>
            <w:vAlign w:val="center"/>
            <w:hideMark/>
          </w:tcPr>
          <w:p w14:paraId="54CCD05B" w14:textId="77777777" w:rsidR="00913C78" w:rsidRPr="00F22172" w:rsidRDefault="00913C78" w:rsidP="00F22172">
            <w:pPr>
              <w:pStyle w:val="ae"/>
              <w:rPr>
                <w:b w:val="0"/>
                <w:bCs/>
              </w:rPr>
            </w:pPr>
            <w:r w:rsidRPr="00F22172">
              <w:rPr>
                <w:rFonts w:hint="eastAsia"/>
                <w:b w:val="0"/>
                <w:bCs/>
              </w:rPr>
              <w:t>一般商场</w:t>
            </w:r>
          </w:p>
        </w:tc>
        <w:tc>
          <w:tcPr>
            <w:tcW w:w="2901" w:type="dxa"/>
            <w:shd w:val="clear" w:color="auto" w:fill="auto"/>
            <w:noWrap/>
            <w:vAlign w:val="center"/>
            <w:hideMark/>
          </w:tcPr>
          <w:p w14:paraId="50621A16" w14:textId="77777777" w:rsidR="00913C78" w:rsidRPr="00F22172" w:rsidRDefault="00913C78" w:rsidP="00F22172">
            <w:pPr>
              <w:pStyle w:val="ae"/>
              <w:rPr>
                <w:b w:val="0"/>
                <w:bCs/>
              </w:rPr>
            </w:pPr>
            <w:r w:rsidRPr="00F22172">
              <w:rPr>
                <w:rFonts w:hint="eastAsia"/>
                <w:b w:val="0"/>
                <w:bCs/>
              </w:rPr>
              <w:t>15.0</w:t>
            </w:r>
          </w:p>
        </w:tc>
      </w:tr>
      <w:tr w:rsidR="00913C78" w:rsidRPr="00F22172" w14:paraId="3A3CCD78" w14:textId="77777777" w:rsidTr="00E221F6">
        <w:trPr>
          <w:jc w:val="center"/>
        </w:trPr>
        <w:tc>
          <w:tcPr>
            <w:tcW w:w="1350" w:type="dxa"/>
            <w:vMerge/>
            <w:shd w:val="clear" w:color="auto" w:fill="auto"/>
            <w:vAlign w:val="center"/>
            <w:hideMark/>
          </w:tcPr>
          <w:p w14:paraId="44594837" w14:textId="77777777" w:rsidR="00913C78" w:rsidRPr="00F22172" w:rsidRDefault="00913C78" w:rsidP="00F22172">
            <w:pPr>
              <w:pStyle w:val="ae"/>
              <w:rPr>
                <w:b w:val="0"/>
                <w:bCs/>
              </w:rPr>
            </w:pPr>
          </w:p>
        </w:tc>
        <w:tc>
          <w:tcPr>
            <w:tcW w:w="1351" w:type="dxa"/>
            <w:shd w:val="clear" w:color="auto" w:fill="auto"/>
            <w:noWrap/>
            <w:vAlign w:val="center"/>
            <w:hideMark/>
          </w:tcPr>
          <w:p w14:paraId="30344FC8" w14:textId="77777777" w:rsidR="00913C78" w:rsidRPr="00F22172" w:rsidRDefault="00913C78" w:rsidP="00F22172">
            <w:pPr>
              <w:pStyle w:val="ae"/>
              <w:rPr>
                <w:b w:val="0"/>
                <w:bCs/>
              </w:rPr>
            </w:pPr>
            <w:r w:rsidRPr="00F22172">
              <w:rPr>
                <w:rFonts w:hint="eastAsia"/>
                <w:b w:val="0"/>
                <w:bCs/>
              </w:rPr>
              <w:t>高档商场</w:t>
            </w:r>
          </w:p>
        </w:tc>
        <w:tc>
          <w:tcPr>
            <w:tcW w:w="2901" w:type="dxa"/>
            <w:shd w:val="clear" w:color="auto" w:fill="auto"/>
            <w:noWrap/>
            <w:vAlign w:val="center"/>
            <w:hideMark/>
          </w:tcPr>
          <w:p w14:paraId="61E5716A" w14:textId="77777777" w:rsidR="00913C78" w:rsidRPr="00F22172" w:rsidRDefault="00913C78" w:rsidP="00F22172">
            <w:pPr>
              <w:pStyle w:val="ae"/>
              <w:rPr>
                <w:b w:val="0"/>
                <w:bCs/>
              </w:rPr>
            </w:pPr>
            <w:r w:rsidRPr="00F22172">
              <w:rPr>
                <w:rFonts w:hint="eastAsia"/>
                <w:b w:val="0"/>
                <w:bCs/>
              </w:rPr>
              <w:t>20.0</w:t>
            </w:r>
          </w:p>
        </w:tc>
      </w:tr>
      <w:tr w:rsidR="00913C78" w:rsidRPr="00F22172" w14:paraId="4C6AED7D" w14:textId="77777777" w:rsidTr="00E221F6">
        <w:trPr>
          <w:jc w:val="center"/>
        </w:trPr>
        <w:tc>
          <w:tcPr>
            <w:tcW w:w="2701" w:type="dxa"/>
            <w:gridSpan w:val="2"/>
            <w:shd w:val="clear" w:color="auto" w:fill="auto"/>
            <w:vAlign w:val="center"/>
            <w:hideMark/>
          </w:tcPr>
          <w:p w14:paraId="49A345E4" w14:textId="77777777" w:rsidR="00913C78" w:rsidRPr="00F22172" w:rsidRDefault="00913C78" w:rsidP="00F22172">
            <w:pPr>
              <w:pStyle w:val="ae"/>
              <w:rPr>
                <w:b w:val="0"/>
                <w:bCs/>
              </w:rPr>
            </w:pPr>
            <w:r w:rsidRPr="00F22172">
              <w:rPr>
                <w:rFonts w:hint="eastAsia"/>
                <w:b w:val="0"/>
                <w:bCs/>
              </w:rPr>
              <w:t>医疗建筑——门诊楼</w:t>
            </w:r>
          </w:p>
        </w:tc>
        <w:tc>
          <w:tcPr>
            <w:tcW w:w="2901" w:type="dxa"/>
            <w:shd w:val="clear" w:color="auto" w:fill="auto"/>
            <w:noWrap/>
            <w:vAlign w:val="center"/>
            <w:hideMark/>
          </w:tcPr>
          <w:p w14:paraId="17BD18BE" w14:textId="77777777" w:rsidR="00913C78" w:rsidRPr="00F22172" w:rsidRDefault="00913C78" w:rsidP="00F22172">
            <w:pPr>
              <w:pStyle w:val="ae"/>
              <w:rPr>
                <w:b w:val="0"/>
                <w:bCs/>
              </w:rPr>
            </w:pPr>
            <w:r w:rsidRPr="00F22172">
              <w:rPr>
                <w:rFonts w:hint="eastAsia"/>
                <w:b w:val="0"/>
                <w:bCs/>
              </w:rPr>
              <w:t>30.0</w:t>
            </w:r>
          </w:p>
        </w:tc>
      </w:tr>
      <w:tr w:rsidR="00913C78" w:rsidRPr="00F22172" w14:paraId="380D4A6F" w14:textId="77777777" w:rsidTr="00E221F6">
        <w:trPr>
          <w:jc w:val="center"/>
        </w:trPr>
        <w:tc>
          <w:tcPr>
            <w:tcW w:w="2701" w:type="dxa"/>
            <w:gridSpan w:val="2"/>
            <w:shd w:val="clear" w:color="auto" w:fill="auto"/>
            <w:vAlign w:val="center"/>
            <w:hideMark/>
          </w:tcPr>
          <w:p w14:paraId="3D25C4A7" w14:textId="77777777" w:rsidR="00913C78" w:rsidRPr="00F22172" w:rsidRDefault="00913C78" w:rsidP="00F22172">
            <w:pPr>
              <w:pStyle w:val="ae"/>
              <w:rPr>
                <w:b w:val="0"/>
                <w:bCs/>
              </w:rPr>
            </w:pPr>
            <w:r w:rsidRPr="00F22172">
              <w:rPr>
                <w:rFonts w:hint="eastAsia"/>
                <w:b w:val="0"/>
                <w:bCs/>
              </w:rPr>
              <w:t>宾馆建筑</w:t>
            </w:r>
          </w:p>
        </w:tc>
        <w:tc>
          <w:tcPr>
            <w:tcW w:w="2901" w:type="dxa"/>
            <w:shd w:val="clear" w:color="auto" w:fill="auto"/>
            <w:noWrap/>
            <w:vAlign w:val="center"/>
            <w:hideMark/>
          </w:tcPr>
          <w:p w14:paraId="6CF61840" w14:textId="77777777" w:rsidR="00913C78" w:rsidRPr="00F22172" w:rsidRDefault="00913C78" w:rsidP="00F22172">
            <w:pPr>
              <w:pStyle w:val="ae"/>
              <w:rPr>
                <w:b w:val="0"/>
                <w:bCs/>
              </w:rPr>
            </w:pPr>
            <w:r w:rsidRPr="00F22172">
              <w:rPr>
                <w:rFonts w:hint="eastAsia"/>
                <w:b w:val="0"/>
                <w:bCs/>
              </w:rPr>
              <w:t>30.0</w:t>
            </w:r>
          </w:p>
        </w:tc>
      </w:tr>
      <w:tr w:rsidR="00913C78" w:rsidRPr="00F22172" w14:paraId="64256B6E" w14:textId="77777777" w:rsidTr="00E221F6">
        <w:trPr>
          <w:jc w:val="center"/>
        </w:trPr>
        <w:tc>
          <w:tcPr>
            <w:tcW w:w="2701" w:type="dxa"/>
            <w:gridSpan w:val="2"/>
            <w:shd w:val="clear" w:color="auto" w:fill="auto"/>
            <w:vAlign w:val="center"/>
            <w:hideMark/>
          </w:tcPr>
          <w:p w14:paraId="70ED4F7A" w14:textId="77777777" w:rsidR="00913C78" w:rsidRPr="00F22172" w:rsidRDefault="00913C78" w:rsidP="00F22172">
            <w:pPr>
              <w:pStyle w:val="ae"/>
              <w:rPr>
                <w:b w:val="0"/>
                <w:bCs/>
              </w:rPr>
            </w:pPr>
            <w:r w:rsidRPr="00F22172">
              <w:rPr>
                <w:rFonts w:hint="eastAsia"/>
                <w:b w:val="0"/>
                <w:bCs/>
              </w:rPr>
              <w:t>交通建筑——候车（机）、售票、出发大厅</w:t>
            </w:r>
          </w:p>
        </w:tc>
        <w:tc>
          <w:tcPr>
            <w:tcW w:w="2901" w:type="dxa"/>
            <w:shd w:val="clear" w:color="auto" w:fill="auto"/>
            <w:noWrap/>
            <w:vAlign w:val="center"/>
            <w:hideMark/>
          </w:tcPr>
          <w:p w14:paraId="5B0EDC47" w14:textId="77777777" w:rsidR="00913C78" w:rsidRPr="00F22172" w:rsidRDefault="00913C78" w:rsidP="00F22172">
            <w:pPr>
              <w:pStyle w:val="ae"/>
              <w:rPr>
                <w:b w:val="0"/>
                <w:bCs/>
              </w:rPr>
            </w:pPr>
            <w:r w:rsidRPr="00F22172">
              <w:rPr>
                <w:rFonts w:hint="eastAsia"/>
                <w:b w:val="0"/>
                <w:bCs/>
              </w:rPr>
              <w:t>20.0</w:t>
            </w:r>
          </w:p>
        </w:tc>
      </w:tr>
      <w:tr w:rsidR="00913C78" w:rsidRPr="00F22172" w14:paraId="7D1C60A1" w14:textId="77777777" w:rsidTr="00E221F6">
        <w:trPr>
          <w:jc w:val="center"/>
        </w:trPr>
        <w:tc>
          <w:tcPr>
            <w:tcW w:w="2701" w:type="dxa"/>
            <w:gridSpan w:val="2"/>
            <w:shd w:val="clear" w:color="auto" w:fill="auto"/>
            <w:vAlign w:val="center"/>
            <w:hideMark/>
          </w:tcPr>
          <w:p w14:paraId="0A973A6C" w14:textId="77777777" w:rsidR="00913C78" w:rsidRPr="00F22172" w:rsidRDefault="00913C78" w:rsidP="00F22172">
            <w:pPr>
              <w:pStyle w:val="ae"/>
              <w:rPr>
                <w:b w:val="0"/>
                <w:bCs/>
              </w:rPr>
            </w:pPr>
            <w:r w:rsidRPr="00F22172">
              <w:rPr>
                <w:rFonts w:hint="eastAsia"/>
                <w:b w:val="0"/>
                <w:bCs/>
              </w:rPr>
              <w:lastRenderedPageBreak/>
              <w:t>体育建筑</w:t>
            </w:r>
          </w:p>
        </w:tc>
        <w:tc>
          <w:tcPr>
            <w:tcW w:w="2901" w:type="dxa"/>
            <w:shd w:val="clear" w:color="auto" w:fill="auto"/>
            <w:noWrap/>
            <w:vAlign w:val="center"/>
            <w:hideMark/>
          </w:tcPr>
          <w:p w14:paraId="66A90471" w14:textId="77777777" w:rsidR="00913C78" w:rsidRPr="00F22172" w:rsidRDefault="00913C78" w:rsidP="00F22172">
            <w:pPr>
              <w:pStyle w:val="ae"/>
              <w:rPr>
                <w:b w:val="0"/>
                <w:bCs/>
              </w:rPr>
            </w:pPr>
            <w:r w:rsidRPr="00F22172">
              <w:rPr>
                <w:rFonts w:hint="eastAsia"/>
                <w:b w:val="0"/>
                <w:bCs/>
              </w:rPr>
              <w:t>20.0</w:t>
            </w:r>
          </w:p>
        </w:tc>
      </w:tr>
      <w:tr w:rsidR="00913C78" w:rsidRPr="00F22172" w14:paraId="5C6CDCA4" w14:textId="77777777" w:rsidTr="00E221F6">
        <w:trPr>
          <w:jc w:val="center"/>
        </w:trPr>
        <w:tc>
          <w:tcPr>
            <w:tcW w:w="2701" w:type="dxa"/>
            <w:gridSpan w:val="2"/>
            <w:shd w:val="clear" w:color="auto" w:fill="auto"/>
            <w:vAlign w:val="center"/>
            <w:hideMark/>
          </w:tcPr>
          <w:p w14:paraId="44B3EAD0" w14:textId="77777777" w:rsidR="00913C78" w:rsidRPr="00F22172" w:rsidRDefault="00913C78" w:rsidP="00F22172">
            <w:pPr>
              <w:pStyle w:val="ae"/>
              <w:rPr>
                <w:b w:val="0"/>
                <w:bCs/>
              </w:rPr>
            </w:pPr>
            <w:r w:rsidRPr="00F22172">
              <w:rPr>
                <w:rFonts w:hint="eastAsia"/>
                <w:b w:val="0"/>
                <w:bCs/>
              </w:rPr>
              <w:t>观演建筑</w:t>
            </w:r>
          </w:p>
        </w:tc>
        <w:tc>
          <w:tcPr>
            <w:tcW w:w="2901" w:type="dxa"/>
            <w:shd w:val="clear" w:color="auto" w:fill="auto"/>
            <w:noWrap/>
            <w:vAlign w:val="center"/>
            <w:hideMark/>
          </w:tcPr>
          <w:p w14:paraId="4543FDD0" w14:textId="77777777" w:rsidR="00913C78" w:rsidRPr="00F22172" w:rsidRDefault="00913C78" w:rsidP="00F22172">
            <w:pPr>
              <w:pStyle w:val="ae"/>
              <w:rPr>
                <w:b w:val="0"/>
                <w:bCs/>
              </w:rPr>
            </w:pPr>
            <w:r w:rsidRPr="00F22172">
              <w:rPr>
                <w:rFonts w:hint="eastAsia"/>
                <w:b w:val="0"/>
                <w:bCs/>
              </w:rPr>
              <w:t>14.0</w:t>
            </w:r>
          </w:p>
        </w:tc>
      </w:tr>
      <w:tr w:rsidR="00913C78" w:rsidRPr="00F22172" w14:paraId="03CD1B8F" w14:textId="77777777" w:rsidTr="00E221F6">
        <w:trPr>
          <w:jc w:val="center"/>
        </w:trPr>
        <w:tc>
          <w:tcPr>
            <w:tcW w:w="2701" w:type="dxa"/>
            <w:gridSpan w:val="2"/>
            <w:shd w:val="clear" w:color="auto" w:fill="auto"/>
            <w:vAlign w:val="center"/>
            <w:hideMark/>
          </w:tcPr>
          <w:p w14:paraId="575975BD" w14:textId="77777777" w:rsidR="00913C78" w:rsidRPr="00F22172" w:rsidRDefault="00913C78" w:rsidP="00F22172">
            <w:pPr>
              <w:pStyle w:val="ae"/>
              <w:rPr>
                <w:b w:val="0"/>
                <w:bCs/>
              </w:rPr>
            </w:pPr>
            <w:r w:rsidRPr="00F22172">
              <w:rPr>
                <w:rFonts w:hint="eastAsia"/>
                <w:b w:val="0"/>
                <w:bCs/>
              </w:rPr>
              <w:t>展览建筑</w:t>
            </w:r>
          </w:p>
        </w:tc>
        <w:tc>
          <w:tcPr>
            <w:tcW w:w="2901" w:type="dxa"/>
            <w:shd w:val="clear" w:color="auto" w:fill="auto"/>
            <w:noWrap/>
            <w:vAlign w:val="center"/>
            <w:hideMark/>
          </w:tcPr>
          <w:p w14:paraId="1E06BEA9" w14:textId="77777777" w:rsidR="00913C78" w:rsidRPr="00F22172" w:rsidRDefault="00913C78" w:rsidP="00F22172">
            <w:pPr>
              <w:pStyle w:val="ae"/>
              <w:rPr>
                <w:b w:val="0"/>
                <w:bCs/>
              </w:rPr>
            </w:pPr>
            <w:r w:rsidRPr="00F22172">
              <w:rPr>
                <w:rFonts w:hint="eastAsia"/>
                <w:b w:val="0"/>
                <w:bCs/>
              </w:rPr>
              <w:t>20.0</w:t>
            </w:r>
          </w:p>
        </w:tc>
      </w:tr>
    </w:tbl>
    <w:p w14:paraId="6EA6FF55" w14:textId="23F3D7C2" w:rsidR="00913C78" w:rsidRPr="00913C78" w:rsidRDefault="00913C78" w:rsidP="00F22172">
      <w:pPr>
        <w:pStyle w:val="ae"/>
      </w:pPr>
      <w:r w:rsidRPr="00913C78">
        <w:rPr>
          <w:rFonts w:hint="eastAsia"/>
        </w:rPr>
        <w:t>附表</w:t>
      </w:r>
      <w:r w:rsidRPr="00913C78">
        <w:rPr>
          <w:rFonts w:hint="eastAsia"/>
        </w:rPr>
        <w:t>A.5.</w:t>
      </w:r>
      <w:r w:rsidRPr="00913C78">
        <w:t>1</w:t>
      </w:r>
      <w:r w:rsidR="00532D0F">
        <w:t>2</w:t>
      </w:r>
      <w:r w:rsidRPr="00913C78">
        <w:rPr>
          <w:rFonts w:hint="eastAsia"/>
        </w:rPr>
        <w:t xml:space="preserve">  </w:t>
      </w:r>
      <w:r w:rsidRPr="00913C78">
        <w:rPr>
          <w:rFonts w:hint="eastAsia"/>
        </w:rPr>
        <w:t>新风运行情况</w:t>
      </w:r>
      <w:r w:rsidRPr="00913C78">
        <w:t>（</w:t>
      </w:r>
      <w:r w:rsidRPr="00913C78">
        <w:t>1</w:t>
      </w:r>
      <w:r w:rsidRPr="00913C78">
        <w:t>表示新风开启，</w:t>
      </w:r>
      <w:r w:rsidRPr="00913C78">
        <w:t>0</w:t>
      </w:r>
      <w:r w:rsidRPr="00913C78">
        <w:t>表示新风关闭）</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11" w:type="dxa"/>
          <w:right w:w="57" w:type="dxa"/>
        </w:tblCellMar>
        <w:tblLook w:val="04A0" w:firstRow="1" w:lastRow="0" w:firstColumn="1" w:lastColumn="0" w:noHBand="0" w:noVBand="1"/>
      </w:tblPr>
      <w:tblGrid>
        <w:gridCol w:w="1260"/>
        <w:gridCol w:w="742"/>
        <w:gridCol w:w="447"/>
        <w:gridCol w:w="447"/>
        <w:gridCol w:w="448"/>
        <w:gridCol w:w="447"/>
        <w:gridCol w:w="447"/>
        <w:gridCol w:w="448"/>
        <w:gridCol w:w="447"/>
        <w:gridCol w:w="447"/>
        <w:gridCol w:w="448"/>
        <w:gridCol w:w="447"/>
        <w:gridCol w:w="447"/>
        <w:gridCol w:w="448"/>
      </w:tblGrid>
      <w:tr w:rsidR="00913C78" w:rsidRPr="00F22172" w14:paraId="32C84702" w14:textId="77777777" w:rsidTr="00E221F6">
        <w:trPr>
          <w:jc w:val="center"/>
        </w:trPr>
        <w:tc>
          <w:tcPr>
            <w:tcW w:w="1260" w:type="dxa"/>
            <w:vMerge w:val="restart"/>
            <w:shd w:val="clear" w:color="auto" w:fill="auto"/>
            <w:vAlign w:val="center"/>
            <w:hideMark/>
          </w:tcPr>
          <w:p w14:paraId="179E5D89" w14:textId="77777777" w:rsidR="00913C78" w:rsidRPr="00F22172" w:rsidRDefault="00913C78" w:rsidP="00F22172">
            <w:pPr>
              <w:pStyle w:val="ae"/>
              <w:rPr>
                <w:b w:val="0"/>
                <w:bCs/>
              </w:rPr>
            </w:pPr>
            <w:r w:rsidRPr="00F22172">
              <w:rPr>
                <w:rFonts w:hint="eastAsia"/>
                <w:b w:val="0"/>
                <w:bCs/>
              </w:rPr>
              <w:t>建筑类别</w:t>
            </w:r>
          </w:p>
        </w:tc>
        <w:tc>
          <w:tcPr>
            <w:tcW w:w="742" w:type="dxa"/>
            <w:vMerge w:val="restart"/>
            <w:shd w:val="clear" w:color="auto" w:fill="auto"/>
            <w:vAlign w:val="center"/>
            <w:hideMark/>
          </w:tcPr>
          <w:p w14:paraId="31771BC6" w14:textId="77777777" w:rsidR="00913C78" w:rsidRPr="00F22172" w:rsidRDefault="00913C78" w:rsidP="00F22172">
            <w:pPr>
              <w:pStyle w:val="ae"/>
              <w:rPr>
                <w:b w:val="0"/>
                <w:bCs/>
              </w:rPr>
            </w:pPr>
            <w:r w:rsidRPr="00F22172">
              <w:rPr>
                <w:rFonts w:hint="eastAsia"/>
                <w:b w:val="0"/>
                <w:bCs/>
              </w:rPr>
              <w:t>运行时段</w:t>
            </w:r>
          </w:p>
        </w:tc>
        <w:tc>
          <w:tcPr>
            <w:tcW w:w="5368" w:type="dxa"/>
            <w:gridSpan w:val="12"/>
            <w:shd w:val="clear" w:color="auto" w:fill="auto"/>
            <w:vAlign w:val="center"/>
            <w:hideMark/>
          </w:tcPr>
          <w:p w14:paraId="41714DF3"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新风运行情况</w:t>
            </w:r>
          </w:p>
        </w:tc>
      </w:tr>
      <w:tr w:rsidR="00913C78" w:rsidRPr="00F22172" w14:paraId="37BB4F61" w14:textId="77777777" w:rsidTr="00E221F6">
        <w:trPr>
          <w:jc w:val="center"/>
        </w:trPr>
        <w:tc>
          <w:tcPr>
            <w:tcW w:w="1260" w:type="dxa"/>
            <w:vMerge/>
            <w:shd w:val="clear" w:color="auto" w:fill="auto"/>
            <w:vAlign w:val="center"/>
            <w:hideMark/>
          </w:tcPr>
          <w:p w14:paraId="4858E880" w14:textId="77777777" w:rsidR="00913C78" w:rsidRPr="00F22172" w:rsidRDefault="00913C78" w:rsidP="00F22172">
            <w:pPr>
              <w:pStyle w:val="ae"/>
              <w:rPr>
                <w:b w:val="0"/>
                <w:bCs/>
              </w:rPr>
            </w:pPr>
          </w:p>
        </w:tc>
        <w:tc>
          <w:tcPr>
            <w:tcW w:w="742" w:type="dxa"/>
            <w:vMerge/>
            <w:shd w:val="clear" w:color="auto" w:fill="auto"/>
            <w:vAlign w:val="center"/>
            <w:hideMark/>
          </w:tcPr>
          <w:p w14:paraId="15DC4900" w14:textId="77777777" w:rsidR="00913C78" w:rsidRPr="00F22172" w:rsidRDefault="00913C78" w:rsidP="00F22172">
            <w:pPr>
              <w:pStyle w:val="ae"/>
              <w:rPr>
                <w:b w:val="0"/>
                <w:bCs/>
              </w:rPr>
            </w:pPr>
          </w:p>
        </w:tc>
        <w:tc>
          <w:tcPr>
            <w:tcW w:w="447" w:type="dxa"/>
            <w:shd w:val="clear" w:color="auto" w:fill="auto"/>
            <w:vAlign w:val="center"/>
            <w:hideMark/>
          </w:tcPr>
          <w:p w14:paraId="3EE937F4"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141452E7" w14:textId="77777777" w:rsidR="00913C78" w:rsidRPr="00F22172" w:rsidRDefault="00913C78" w:rsidP="00F22172">
            <w:pPr>
              <w:pStyle w:val="ae"/>
              <w:rPr>
                <w:b w:val="0"/>
                <w:bCs/>
              </w:rPr>
            </w:pPr>
            <w:r w:rsidRPr="00F22172">
              <w:rPr>
                <w:rFonts w:hint="eastAsia"/>
                <w:b w:val="0"/>
                <w:bCs/>
              </w:rPr>
              <w:t>2</w:t>
            </w:r>
          </w:p>
        </w:tc>
        <w:tc>
          <w:tcPr>
            <w:tcW w:w="448" w:type="dxa"/>
            <w:shd w:val="clear" w:color="auto" w:fill="auto"/>
            <w:vAlign w:val="center"/>
            <w:hideMark/>
          </w:tcPr>
          <w:p w14:paraId="6ABD116D" w14:textId="77777777" w:rsidR="00913C78" w:rsidRPr="00F22172" w:rsidRDefault="00913C78" w:rsidP="00F22172">
            <w:pPr>
              <w:pStyle w:val="ae"/>
              <w:rPr>
                <w:b w:val="0"/>
                <w:bCs/>
              </w:rPr>
            </w:pPr>
            <w:r w:rsidRPr="00F22172">
              <w:rPr>
                <w:rFonts w:hint="eastAsia"/>
                <w:b w:val="0"/>
                <w:bCs/>
              </w:rPr>
              <w:t>3</w:t>
            </w:r>
          </w:p>
        </w:tc>
        <w:tc>
          <w:tcPr>
            <w:tcW w:w="447" w:type="dxa"/>
            <w:shd w:val="clear" w:color="auto" w:fill="auto"/>
            <w:vAlign w:val="center"/>
            <w:hideMark/>
          </w:tcPr>
          <w:p w14:paraId="72527490" w14:textId="77777777" w:rsidR="00913C78" w:rsidRPr="00F22172" w:rsidRDefault="00913C78" w:rsidP="00F22172">
            <w:pPr>
              <w:pStyle w:val="ae"/>
              <w:rPr>
                <w:b w:val="0"/>
                <w:bCs/>
              </w:rPr>
            </w:pPr>
            <w:r w:rsidRPr="00F22172">
              <w:rPr>
                <w:rFonts w:hint="eastAsia"/>
                <w:b w:val="0"/>
                <w:bCs/>
              </w:rPr>
              <w:t>4</w:t>
            </w:r>
          </w:p>
        </w:tc>
        <w:tc>
          <w:tcPr>
            <w:tcW w:w="447" w:type="dxa"/>
            <w:shd w:val="clear" w:color="auto" w:fill="auto"/>
            <w:vAlign w:val="center"/>
            <w:hideMark/>
          </w:tcPr>
          <w:p w14:paraId="604E9CB7" w14:textId="77777777" w:rsidR="00913C78" w:rsidRPr="00F22172" w:rsidRDefault="00913C78" w:rsidP="00F22172">
            <w:pPr>
              <w:pStyle w:val="ae"/>
              <w:rPr>
                <w:b w:val="0"/>
                <w:bCs/>
              </w:rPr>
            </w:pPr>
            <w:r w:rsidRPr="00F22172">
              <w:rPr>
                <w:rFonts w:hint="eastAsia"/>
                <w:b w:val="0"/>
                <w:bCs/>
              </w:rPr>
              <w:t>5</w:t>
            </w:r>
          </w:p>
        </w:tc>
        <w:tc>
          <w:tcPr>
            <w:tcW w:w="448" w:type="dxa"/>
            <w:shd w:val="clear" w:color="auto" w:fill="auto"/>
            <w:vAlign w:val="center"/>
            <w:hideMark/>
          </w:tcPr>
          <w:p w14:paraId="42DF019B" w14:textId="77777777" w:rsidR="00913C78" w:rsidRPr="00F22172" w:rsidRDefault="00913C78" w:rsidP="00F22172">
            <w:pPr>
              <w:pStyle w:val="ae"/>
              <w:rPr>
                <w:b w:val="0"/>
                <w:bCs/>
              </w:rPr>
            </w:pPr>
            <w:r w:rsidRPr="00F22172">
              <w:rPr>
                <w:rFonts w:hint="eastAsia"/>
                <w:b w:val="0"/>
                <w:bCs/>
              </w:rPr>
              <w:t>6</w:t>
            </w:r>
          </w:p>
        </w:tc>
        <w:tc>
          <w:tcPr>
            <w:tcW w:w="447" w:type="dxa"/>
            <w:shd w:val="clear" w:color="auto" w:fill="auto"/>
            <w:vAlign w:val="center"/>
            <w:hideMark/>
          </w:tcPr>
          <w:p w14:paraId="004D6B15" w14:textId="77777777" w:rsidR="00913C78" w:rsidRPr="00F22172" w:rsidRDefault="00913C78" w:rsidP="00F22172">
            <w:pPr>
              <w:pStyle w:val="ae"/>
              <w:rPr>
                <w:b w:val="0"/>
                <w:bCs/>
              </w:rPr>
            </w:pPr>
            <w:r w:rsidRPr="00F22172">
              <w:rPr>
                <w:rFonts w:hint="eastAsia"/>
                <w:b w:val="0"/>
                <w:bCs/>
              </w:rPr>
              <w:t>7</w:t>
            </w:r>
          </w:p>
        </w:tc>
        <w:tc>
          <w:tcPr>
            <w:tcW w:w="447" w:type="dxa"/>
            <w:shd w:val="clear" w:color="auto" w:fill="auto"/>
            <w:vAlign w:val="center"/>
            <w:hideMark/>
          </w:tcPr>
          <w:p w14:paraId="3511BAF4" w14:textId="77777777" w:rsidR="00913C78" w:rsidRPr="00F22172" w:rsidRDefault="00913C78" w:rsidP="00F22172">
            <w:pPr>
              <w:pStyle w:val="ae"/>
              <w:rPr>
                <w:b w:val="0"/>
                <w:bCs/>
              </w:rPr>
            </w:pPr>
            <w:r w:rsidRPr="00F22172">
              <w:rPr>
                <w:rFonts w:hint="eastAsia"/>
                <w:b w:val="0"/>
                <w:bCs/>
              </w:rPr>
              <w:t>8</w:t>
            </w:r>
          </w:p>
        </w:tc>
        <w:tc>
          <w:tcPr>
            <w:tcW w:w="448" w:type="dxa"/>
            <w:shd w:val="clear" w:color="auto" w:fill="auto"/>
            <w:vAlign w:val="center"/>
            <w:hideMark/>
          </w:tcPr>
          <w:p w14:paraId="043DF092" w14:textId="77777777" w:rsidR="00913C78" w:rsidRPr="00F22172" w:rsidRDefault="00913C78" w:rsidP="00F22172">
            <w:pPr>
              <w:pStyle w:val="ae"/>
              <w:rPr>
                <w:b w:val="0"/>
                <w:bCs/>
              </w:rPr>
            </w:pPr>
            <w:r w:rsidRPr="00F22172">
              <w:rPr>
                <w:rFonts w:hint="eastAsia"/>
                <w:b w:val="0"/>
                <w:bCs/>
              </w:rPr>
              <w:t>9</w:t>
            </w:r>
          </w:p>
        </w:tc>
        <w:tc>
          <w:tcPr>
            <w:tcW w:w="447" w:type="dxa"/>
            <w:shd w:val="clear" w:color="auto" w:fill="auto"/>
            <w:vAlign w:val="center"/>
            <w:hideMark/>
          </w:tcPr>
          <w:p w14:paraId="5742CF4E" w14:textId="77777777" w:rsidR="00913C78" w:rsidRPr="00F22172" w:rsidRDefault="00913C78" w:rsidP="00F22172">
            <w:pPr>
              <w:pStyle w:val="ae"/>
              <w:rPr>
                <w:b w:val="0"/>
                <w:bCs/>
              </w:rPr>
            </w:pPr>
            <w:r w:rsidRPr="00F22172">
              <w:rPr>
                <w:rFonts w:hint="eastAsia"/>
                <w:b w:val="0"/>
                <w:bCs/>
              </w:rPr>
              <w:t>10</w:t>
            </w:r>
          </w:p>
        </w:tc>
        <w:tc>
          <w:tcPr>
            <w:tcW w:w="447" w:type="dxa"/>
            <w:shd w:val="clear" w:color="auto" w:fill="auto"/>
            <w:vAlign w:val="center"/>
            <w:hideMark/>
          </w:tcPr>
          <w:p w14:paraId="3917BB01" w14:textId="77777777" w:rsidR="00913C78" w:rsidRPr="00F22172" w:rsidRDefault="00913C78" w:rsidP="00F22172">
            <w:pPr>
              <w:pStyle w:val="ae"/>
              <w:rPr>
                <w:b w:val="0"/>
                <w:bCs/>
              </w:rPr>
            </w:pPr>
            <w:r w:rsidRPr="00F22172">
              <w:rPr>
                <w:rFonts w:hint="eastAsia"/>
                <w:b w:val="0"/>
                <w:bCs/>
              </w:rPr>
              <w:t>11</w:t>
            </w:r>
          </w:p>
        </w:tc>
        <w:tc>
          <w:tcPr>
            <w:tcW w:w="448" w:type="dxa"/>
            <w:shd w:val="clear" w:color="auto" w:fill="auto"/>
            <w:vAlign w:val="center"/>
            <w:hideMark/>
          </w:tcPr>
          <w:p w14:paraId="5E6DDCC5" w14:textId="77777777" w:rsidR="00913C78" w:rsidRPr="00F22172" w:rsidRDefault="00913C78" w:rsidP="00F22172">
            <w:pPr>
              <w:pStyle w:val="ae"/>
              <w:rPr>
                <w:b w:val="0"/>
                <w:bCs/>
              </w:rPr>
            </w:pPr>
            <w:r w:rsidRPr="00F22172">
              <w:rPr>
                <w:rFonts w:hint="eastAsia"/>
                <w:b w:val="0"/>
                <w:bCs/>
              </w:rPr>
              <w:t>12</w:t>
            </w:r>
          </w:p>
        </w:tc>
      </w:tr>
      <w:tr w:rsidR="00913C78" w:rsidRPr="00F22172" w14:paraId="76302E02" w14:textId="77777777" w:rsidTr="00E221F6">
        <w:trPr>
          <w:jc w:val="center"/>
        </w:trPr>
        <w:tc>
          <w:tcPr>
            <w:tcW w:w="1260" w:type="dxa"/>
            <w:vMerge w:val="restart"/>
            <w:shd w:val="clear" w:color="auto" w:fill="auto"/>
            <w:vAlign w:val="center"/>
            <w:hideMark/>
          </w:tcPr>
          <w:p w14:paraId="27E0FF9A" w14:textId="77777777" w:rsidR="00913C78" w:rsidRPr="00F22172" w:rsidRDefault="00913C78" w:rsidP="00F22172">
            <w:pPr>
              <w:pStyle w:val="ae"/>
              <w:rPr>
                <w:b w:val="0"/>
                <w:bCs/>
              </w:rPr>
            </w:pPr>
            <w:r w:rsidRPr="00F22172">
              <w:rPr>
                <w:rFonts w:hint="eastAsia"/>
                <w:b w:val="0"/>
                <w:bCs/>
              </w:rPr>
              <w:t>办公建筑、教学楼</w:t>
            </w:r>
          </w:p>
        </w:tc>
        <w:tc>
          <w:tcPr>
            <w:tcW w:w="742" w:type="dxa"/>
            <w:shd w:val="clear" w:color="auto" w:fill="auto"/>
            <w:vAlign w:val="center"/>
            <w:hideMark/>
          </w:tcPr>
          <w:p w14:paraId="7DBA75BB" w14:textId="77777777" w:rsidR="00913C78" w:rsidRPr="00F22172" w:rsidRDefault="00913C78" w:rsidP="00F22172">
            <w:pPr>
              <w:pStyle w:val="ae"/>
              <w:rPr>
                <w:b w:val="0"/>
                <w:bCs/>
              </w:rPr>
            </w:pPr>
            <w:r w:rsidRPr="00F22172">
              <w:rPr>
                <w:rFonts w:hint="eastAsia"/>
                <w:b w:val="0"/>
                <w:bCs/>
              </w:rPr>
              <w:t>工作日</w:t>
            </w:r>
          </w:p>
        </w:tc>
        <w:tc>
          <w:tcPr>
            <w:tcW w:w="447" w:type="dxa"/>
            <w:shd w:val="clear" w:color="auto" w:fill="auto"/>
            <w:vAlign w:val="center"/>
            <w:hideMark/>
          </w:tcPr>
          <w:p w14:paraId="75438F60"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3BE04D3D"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6FFDE46"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0FEF75A"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063FBF5"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6C5ABA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85855EE"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7FE560E0"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1DC27447"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7F387D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4AFC202"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45B2C4AE" w14:textId="77777777" w:rsidR="00913C78" w:rsidRPr="00F22172" w:rsidRDefault="00913C78" w:rsidP="00F22172">
            <w:pPr>
              <w:pStyle w:val="ae"/>
              <w:rPr>
                <w:b w:val="0"/>
                <w:bCs/>
              </w:rPr>
            </w:pPr>
            <w:r w:rsidRPr="00F22172">
              <w:rPr>
                <w:rFonts w:hint="eastAsia"/>
                <w:b w:val="0"/>
                <w:bCs/>
              </w:rPr>
              <w:t>1</w:t>
            </w:r>
          </w:p>
        </w:tc>
      </w:tr>
      <w:tr w:rsidR="00913C78" w:rsidRPr="00F22172" w14:paraId="1D59269D" w14:textId="77777777" w:rsidTr="00E221F6">
        <w:trPr>
          <w:jc w:val="center"/>
        </w:trPr>
        <w:tc>
          <w:tcPr>
            <w:tcW w:w="1260" w:type="dxa"/>
            <w:vMerge/>
            <w:shd w:val="clear" w:color="auto" w:fill="auto"/>
            <w:vAlign w:val="center"/>
            <w:hideMark/>
          </w:tcPr>
          <w:p w14:paraId="31620B06" w14:textId="77777777" w:rsidR="00913C78" w:rsidRPr="00F22172" w:rsidRDefault="00913C78" w:rsidP="00F22172">
            <w:pPr>
              <w:pStyle w:val="ae"/>
              <w:rPr>
                <w:b w:val="0"/>
                <w:bCs/>
              </w:rPr>
            </w:pPr>
          </w:p>
        </w:tc>
        <w:tc>
          <w:tcPr>
            <w:tcW w:w="742" w:type="dxa"/>
            <w:shd w:val="clear" w:color="auto" w:fill="auto"/>
            <w:vAlign w:val="center"/>
            <w:hideMark/>
          </w:tcPr>
          <w:p w14:paraId="194DA83E" w14:textId="77777777" w:rsidR="00913C78" w:rsidRPr="00F22172" w:rsidRDefault="00913C78" w:rsidP="00F22172">
            <w:pPr>
              <w:pStyle w:val="ae"/>
              <w:rPr>
                <w:b w:val="0"/>
                <w:bCs/>
              </w:rPr>
            </w:pPr>
            <w:r w:rsidRPr="00F22172">
              <w:rPr>
                <w:rFonts w:hint="eastAsia"/>
                <w:b w:val="0"/>
                <w:bCs/>
              </w:rPr>
              <w:t>节假日</w:t>
            </w:r>
          </w:p>
        </w:tc>
        <w:tc>
          <w:tcPr>
            <w:tcW w:w="447" w:type="dxa"/>
            <w:shd w:val="clear" w:color="auto" w:fill="auto"/>
            <w:vAlign w:val="center"/>
            <w:hideMark/>
          </w:tcPr>
          <w:p w14:paraId="533C1BCD"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4037A0A"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46DA10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CC8849C"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3940514"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09390C7"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8260B32"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6883C0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373C198"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AD6B104"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951EDA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715E0AC" w14:textId="77777777" w:rsidR="00913C78" w:rsidRPr="00F22172" w:rsidRDefault="00913C78" w:rsidP="00F22172">
            <w:pPr>
              <w:pStyle w:val="ae"/>
              <w:rPr>
                <w:b w:val="0"/>
                <w:bCs/>
              </w:rPr>
            </w:pPr>
            <w:r w:rsidRPr="00F22172">
              <w:rPr>
                <w:rFonts w:hint="eastAsia"/>
                <w:b w:val="0"/>
                <w:bCs/>
              </w:rPr>
              <w:t>0</w:t>
            </w:r>
          </w:p>
        </w:tc>
      </w:tr>
      <w:tr w:rsidR="00913C78" w:rsidRPr="00F22172" w14:paraId="30F9F450" w14:textId="77777777" w:rsidTr="00E221F6">
        <w:trPr>
          <w:jc w:val="center"/>
        </w:trPr>
        <w:tc>
          <w:tcPr>
            <w:tcW w:w="1260" w:type="dxa"/>
            <w:shd w:val="clear" w:color="auto" w:fill="auto"/>
            <w:vAlign w:val="center"/>
            <w:hideMark/>
          </w:tcPr>
          <w:p w14:paraId="002B1FE5" w14:textId="77777777" w:rsidR="00913C78" w:rsidRPr="00F22172" w:rsidRDefault="00913C78" w:rsidP="00F22172">
            <w:pPr>
              <w:pStyle w:val="ae"/>
              <w:rPr>
                <w:b w:val="0"/>
                <w:bCs/>
              </w:rPr>
            </w:pPr>
            <w:r w:rsidRPr="00F22172">
              <w:rPr>
                <w:rFonts w:hint="eastAsia"/>
                <w:b w:val="0"/>
                <w:bCs/>
              </w:rPr>
              <w:t>宾馆建筑</w:t>
            </w:r>
          </w:p>
        </w:tc>
        <w:tc>
          <w:tcPr>
            <w:tcW w:w="742" w:type="dxa"/>
            <w:shd w:val="clear" w:color="auto" w:fill="auto"/>
            <w:vAlign w:val="center"/>
            <w:hideMark/>
          </w:tcPr>
          <w:p w14:paraId="117332EA"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0B75009F"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2A58BCB"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43F0A0FA"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015C65A6"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0B44814"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2F3DF8A4"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7778748E"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31C68A4"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53E73B8F"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8E4D0F0"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D3067EC"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350F8F51" w14:textId="77777777" w:rsidR="00913C78" w:rsidRPr="00F22172" w:rsidRDefault="00913C78" w:rsidP="00F22172">
            <w:pPr>
              <w:pStyle w:val="ae"/>
              <w:rPr>
                <w:b w:val="0"/>
                <w:bCs/>
              </w:rPr>
            </w:pPr>
            <w:r w:rsidRPr="00F22172">
              <w:rPr>
                <w:rFonts w:hint="eastAsia"/>
                <w:b w:val="0"/>
                <w:bCs/>
              </w:rPr>
              <w:t>1</w:t>
            </w:r>
          </w:p>
        </w:tc>
      </w:tr>
      <w:tr w:rsidR="00913C78" w:rsidRPr="00F22172" w14:paraId="13C1073E" w14:textId="77777777" w:rsidTr="00E221F6">
        <w:trPr>
          <w:jc w:val="center"/>
        </w:trPr>
        <w:tc>
          <w:tcPr>
            <w:tcW w:w="1260" w:type="dxa"/>
            <w:shd w:val="clear" w:color="auto" w:fill="auto"/>
            <w:vAlign w:val="center"/>
            <w:hideMark/>
          </w:tcPr>
          <w:p w14:paraId="001E6B65" w14:textId="77777777" w:rsidR="00913C78" w:rsidRPr="00F22172" w:rsidRDefault="00913C78" w:rsidP="00F22172">
            <w:pPr>
              <w:pStyle w:val="ae"/>
              <w:rPr>
                <w:b w:val="0"/>
                <w:bCs/>
              </w:rPr>
            </w:pPr>
            <w:r w:rsidRPr="00F22172">
              <w:rPr>
                <w:rFonts w:hint="eastAsia"/>
                <w:b w:val="0"/>
                <w:bCs/>
              </w:rPr>
              <w:t>住院部</w:t>
            </w:r>
          </w:p>
        </w:tc>
        <w:tc>
          <w:tcPr>
            <w:tcW w:w="742" w:type="dxa"/>
            <w:shd w:val="clear" w:color="auto" w:fill="auto"/>
            <w:vAlign w:val="center"/>
            <w:hideMark/>
          </w:tcPr>
          <w:p w14:paraId="2A0ABC5D"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78E8F7E0"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1C7A4E87"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1B235827"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35F9921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266E9A7"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011E8F54"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0C6D2CF6"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362899F"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06467D35"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93E0D5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3C933141"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5D5523E" w14:textId="77777777" w:rsidR="00913C78" w:rsidRPr="00F22172" w:rsidRDefault="00913C78" w:rsidP="00F22172">
            <w:pPr>
              <w:pStyle w:val="ae"/>
              <w:rPr>
                <w:b w:val="0"/>
                <w:bCs/>
              </w:rPr>
            </w:pPr>
            <w:r w:rsidRPr="00F22172">
              <w:rPr>
                <w:rFonts w:hint="eastAsia"/>
                <w:b w:val="0"/>
                <w:bCs/>
              </w:rPr>
              <w:t>1</w:t>
            </w:r>
          </w:p>
        </w:tc>
      </w:tr>
      <w:tr w:rsidR="00913C78" w:rsidRPr="00F22172" w14:paraId="1B9A17F6" w14:textId="77777777" w:rsidTr="00E221F6">
        <w:trPr>
          <w:jc w:val="center"/>
        </w:trPr>
        <w:tc>
          <w:tcPr>
            <w:tcW w:w="1260" w:type="dxa"/>
            <w:shd w:val="clear" w:color="auto" w:fill="auto"/>
            <w:vAlign w:val="center"/>
            <w:hideMark/>
          </w:tcPr>
          <w:p w14:paraId="6F3F8C98" w14:textId="77777777" w:rsidR="00913C78" w:rsidRPr="00F22172" w:rsidRDefault="00913C78" w:rsidP="00F22172">
            <w:pPr>
              <w:pStyle w:val="ae"/>
              <w:rPr>
                <w:b w:val="0"/>
                <w:bCs/>
              </w:rPr>
            </w:pPr>
            <w:r w:rsidRPr="00F22172">
              <w:rPr>
                <w:rFonts w:hint="eastAsia"/>
                <w:b w:val="0"/>
                <w:bCs/>
              </w:rPr>
              <w:t>商店建筑</w:t>
            </w:r>
          </w:p>
        </w:tc>
        <w:tc>
          <w:tcPr>
            <w:tcW w:w="742" w:type="dxa"/>
            <w:shd w:val="clear" w:color="auto" w:fill="auto"/>
            <w:vAlign w:val="center"/>
            <w:hideMark/>
          </w:tcPr>
          <w:p w14:paraId="74019076"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7B0FF8C6"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EC7B227"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E0A3D23"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9D83FA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80FD97D"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3178419"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8339E4D"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F4CED66"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53C64F4"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8F9CB12"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11F030B5"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468947F3" w14:textId="77777777" w:rsidR="00913C78" w:rsidRPr="00F22172" w:rsidRDefault="00913C78" w:rsidP="00F22172">
            <w:pPr>
              <w:pStyle w:val="ae"/>
              <w:rPr>
                <w:b w:val="0"/>
                <w:bCs/>
              </w:rPr>
            </w:pPr>
            <w:r w:rsidRPr="00F22172">
              <w:rPr>
                <w:rFonts w:hint="eastAsia"/>
                <w:b w:val="0"/>
                <w:bCs/>
              </w:rPr>
              <w:t>1</w:t>
            </w:r>
          </w:p>
        </w:tc>
      </w:tr>
      <w:tr w:rsidR="00913C78" w:rsidRPr="00F22172" w14:paraId="1F9342AF" w14:textId="77777777" w:rsidTr="00E221F6">
        <w:trPr>
          <w:jc w:val="center"/>
        </w:trPr>
        <w:tc>
          <w:tcPr>
            <w:tcW w:w="1260" w:type="dxa"/>
            <w:shd w:val="clear" w:color="auto" w:fill="auto"/>
            <w:vAlign w:val="center"/>
            <w:hideMark/>
          </w:tcPr>
          <w:p w14:paraId="0195F450" w14:textId="77777777" w:rsidR="00913C78" w:rsidRPr="00F22172" w:rsidRDefault="00913C78" w:rsidP="00F22172">
            <w:pPr>
              <w:pStyle w:val="ae"/>
              <w:rPr>
                <w:b w:val="0"/>
                <w:bCs/>
              </w:rPr>
            </w:pPr>
            <w:r w:rsidRPr="00F22172">
              <w:rPr>
                <w:rFonts w:hint="eastAsia"/>
                <w:b w:val="0"/>
                <w:bCs/>
              </w:rPr>
              <w:t>门诊楼</w:t>
            </w:r>
          </w:p>
        </w:tc>
        <w:tc>
          <w:tcPr>
            <w:tcW w:w="742" w:type="dxa"/>
            <w:shd w:val="clear" w:color="auto" w:fill="auto"/>
            <w:vAlign w:val="center"/>
            <w:hideMark/>
          </w:tcPr>
          <w:p w14:paraId="70CA6086"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1EE5EF1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6130944"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3577ED2"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EA927B6"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A6560C3"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E3DE50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788A66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0654565"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4823E418"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3F25399"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27DE582"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52DA664C" w14:textId="77777777" w:rsidR="00913C78" w:rsidRPr="00F22172" w:rsidRDefault="00913C78" w:rsidP="00F22172">
            <w:pPr>
              <w:pStyle w:val="ae"/>
              <w:rPr>
                <w:b w:val="0"/>
                <w:bCs/>
              </w:rPr>
            </w:pPr>
            <w:r w:rsidRPr="00F22172">
              <w:rPr>
                <w:rFonts w:hint="eastAsia"/>
                <w:b w:val="0"/>
                <w:bCs/>
              </w:rPr>
              <w:t>1</w:t>
            </w:r>
          </w:p>
        </w:tc>
      </w:tr>
      <w:tr w:rsidR="00913C78" w:rsidRPr="00F22172" w14:paraId="134DBE6B" w14:textId="77777777" w:rsidTr="00E221F6">
        <w:trPr>
          <w:jc w:val="center"/>
        </w:trPr>
        <w:tc>
          <w:tcPr>
            <w:tcW w:w="1260" w:type="dxa"/>
            <w:vMerge w:val="restart"/>
            <w:shd w:val="clear" w:color="auto" w:fill="auto"/>
            <w:vAlign w:val="center"/>
            <w:hideMark/>
          </w:tcPr>
          <w:p w14:paraId="6F71FB94" w14:textId="77777777" w:rsidR="00913C78" w:rsidRPr="00F22172" w:rsidRDefault="00913C78" w:rsidP="00F22172">
            <w:pPr>
              <w:pStyle w:val="ae"/>
              <w:rPr>
                <w:b w:val="0"/>
                <w:bCs/>
              </w:rPr>
            </w:pPr>
            <w:r w:rsidRPr="00F22172">
              <w:rPr>
                <w:rFonts w:hint="eastAsia"/>
                <w:b w:val="0"/>
                <w:bCs/>
              </w:rPr>
              <w:t>建筑类别</w:t>
            </w:r>
          </w:p>
        </w:tc>
        <w:tc>
          <w:tcPr>
            <w:tcW w:w="742" w:type="dxa"/>
            <w:vMerge w:val="restart"/>
            <w:shd w:val="clear" w:color="auto" w:fill="auto"/>
            <w:vAlign w:val="center"/>
          </w:tcPr>
          <w:p w14:paraId="02CD4BF7" w14:textId="77777777" w:rsidR="00913C78" w:rsidRPr="00F22172" w:rsidRDefault="00913C78" w:rsidP="00F22172">
            <w:pPr>
              <w:pStyle w:val="ae"/>
              <w:rPr>
                <w:b w:val="0"/>
                <w:bCs/>
              </w:rPr>
            </w:pPr>
            <w:r w:rsidRPr="00F22172">
              <w:rPr>
                <w:rFonts w:hint="eastAsia"/>
                <w:b w:val="0"/>
                <w:bCs/>
              </w:rPr>
              <w:t>运行时段</w:t>
            </w:r>
          </w:p>
        </w:tc>
        <w:tc>
          <w:tcPr>
            <w:tcW w:w="5368" w:type="dxa"/>
            <w:gridSpan w:val="12"/>
            <w:shd w:val="clear" w:color="auto" w:fill="auto"/>
            <w:vAlign w:val="center"/>
            <w:hideMark/>
          </w:tcPr>
          <w:p w14:paraId="18E7E520"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新风运行情况</w:t>
            </w:r>
          </w:p>
        </w:tc>
      </w:tr>
      <w:tr w:rsidR="00913C78" w:rsidRPr="00F22172" w14:paraId="775EB6C0" w14:textId="77777777" w:rsidTr="00E221F6">
        <w:trPr>
          <w:jc w:val="center"/>
        </w:trPr>
        <w:tc>
          <w:tcPr>
            <w:tcW w:w="1260" w:type="dxa"/>
            <w:vMerge/>
            <w:shd w:val="clear" w:color="auto" w:fill="auto"/>
            <w:vAlign w:val="center"/>
            <w:hideMark/>
          </w:tcPr>
          <w:p w14:paraId="288EC56C" w14:textId="77777777" w:rsidR="00913C78" w:rsidRPr="00F22172" w:rsidRDefault="00913C78" w:rsidP="00F22172">
            <w:pPr>
              <w:pStyle w:val="ae"/>
              <w:rPr>
                <w:b w:val="0"/>
                <w:bCs/>
              </w:rPr>
            </w:pPr>
          </w:p>
        </w:tc>
        <w:tc>
          <w:tcPr>
            <w:tcW w:w="742" w:type="dxa"/>
            <w:vMerge/>
            <w:shd w:val="clear" w:color="auto" w:fill="auto"/>
            <w:vAlign w:val="center"/>
          </w:tcPr>
          <w:p w14:paraId="08387CB5" w14:textId="77777777" w:rsidR="00913C78" w:rsidRPr="00F22172" w:rsidRDefault="00913C78" w:rsidP="00F22172">
            <w:pPr>
              <w:pStyle w:val="ae"/>
              <w:rPr>
                <w:b w:val="0"/>
                <w:bCs/>
              </w:rPr>
            </w:pPr>
          </w:p>
        </w:tc>
        <w:tc>
          <w:tcPr>
            <w:tcW w:w="447" w:type="dxa"/>
            <w:shd w:val="clear" w:color="auto" w:fill="auto"/>
            <w:vAlign w:val="center"/>
            <w:hideMark/>
          </w:tcPr>
          <w:p w14:paraId="7A14CF44" w14:textId="77777777" w:rsidR="00913C78" w:rsidRPr="00F22172" w:rsidRDefault="00913C78" w:rsidP="00F22172">
            <w:pPr>
              <w:pStyle w:val="ae"/>
              <w:rPr>
                <w:b w:val="0"/>
                <w:bCs/>
              </w:rPr>
            </w:pPr>
            <w:r w:rsidRPr="00F22172">
              <w:rPr>
                <w:rFonts w:hint="eastAsia"/>
                <w:b w:val="0"/>
                <w:bCs/>
              </w:rPr>
              <w:t>13</w:t>
            </w:r>
          </w:p>
        </w:tc>
        <w:tc>
          <w:tcPr>
            <w:tcW w:w="447" w:type="dxa"/>
            <w:shd w:val="clear" w:color="auto" w:fill="auto"/>
            <w:vAlign w:val="center"/>
            <w:hideMark/>
          </w:tcPr>
          <w:p w14:paraId="0B6067A8" w14:textId="77777777" w:rsidR="00913C78" w:rsidRPr="00F22172" w:rsidRDefault="00913C78" w:rsidP="00F22172">
            <w:pPr>
              <w:pStyle w:val="ae"/>
              <w:rPr>
                <w:b w:val="0"/>
                <w:bCs/>
              </w:rPr>
            </w:pPr>
            <w:r w:rsidRPr="00F22172">
              <w:rPr>
                <w:rFonts w:hint="eastAsia"/>
                <w:b w:val="0"/>
                <w:bCs/>
              </w:rPr>
              <w:t>14</w:t>
            </w:r>
          </w:p>
        </w:tc>
        <w:tc>
          <w:tcPr>
            <w:tcW w:w="448" w:type="dxa"/>
            <w:shd w:val="clear" w:color="auto" w:fill="auto"/>
            <w:vAlign w:val="center"/>
            <w:hideMark/>
          </w:tcPr>
          <w:p w14:paraId="0C754691" w14:textId="77777777" w:rsidR="00913C78" w:rsidRPr="00F22172" w:rsidRDefault="00913C78" w:rsidP="00F22172">
            <w:pPr>
              <w:pStyle w:val="ae"/>
              <w:rPr>
                <w:b w:val="0"/>
                <w:bCs/>
              </w:rPr>
            </w:pPr>
            <w:r w:rsidRPr="00F22172">
              <w:rPr>
                <w:rFonts w:hint="eastAsia"/>
                <w:b w:val="0"/>
                <w:bCs/>
              </w:rPr>
              <w:t>15</w:t>
            </w:r>
          </w:p>
        </w:tc>
        <w:tc>
          <w:tcPr>
            <w:tcW w:w="447" w:type="dxa"/>
            <w:shd w:val="clear" w:color="auto" w:fill="auto"/>
            <w:vAlign w:val="center"/>
            <w:hideMark/>
          </w:tcPr>
          <w:p w14:paraId="0A20D470" w14:textId="77777777" w:rsidR="00913C78" w:rsidRPr="00F22172" w:rsidRDefault="00913C78" w:rsidP="00F22172">
            <w:pPr>
              <w:pStyle w:val="ae"/>
              <w:rPr>
                <w:b w:val="0"/>
                <w:bCs/>
              </w:rPr>
            </w:pPr>
            <w:r w:rsidRPr="00F22172">
              <w:rPr>
                <w:rFonts w:hint="eastAsia"/>
                <w:b w:val="0"/>
                <w:bCs/>
              </w:rPr>
              <w:t>16</w:t>
            </w:r>
          </w:p>
        </w:tc>
        <w:tc>
          <w:tcPr>
            <w:tcW w:w="447" w:type="dxa"/>
            <w:shd w:val="clear" w:color="auto" w:fill="auto"/>
            <w:vAlign w:val="center"/>
            <w:hideMark/>
          </w:tcPr>
          <w:p w14:paraId="2882832A" w14:textId="77777777" w:rsidR="00913C78" w:rsidRPr="00F22172" w:rsidRDefault="00913C78" w:rsidP="00F22172">
            <w:pPr>
              <w:pStyle w:val="ae"/>
              <w:rPr>
                <w:b w:val="0"/>
                <w:bCs/>
              </w:rPr>
            </w:pPr>
            <w:r w:rsidRPr="00F22172">
              <w:rPr>
                <w:rFonts w:hint="eastAsia"/>
                <w:b w:val="0"/>
                <w:bCs/>
              </w:rPr>
              <w:t>17</w:t>
            </w:r>
          </w:p>
        </w:tc>
        <w:tc>
          <w:tcPr>
            <w:tcW w:w="448" w:type="dxa"/>
            <w:shd w:val="clear" w:color="auto" w:fill="auto"/>
            <w:vAlign w:val="center"/>
            <w:hideMark/>
          </w:tcPr>
          <w:p w14:paraId="31EE97C2" w14:textId="77777777" w:rsidR="00913C78" w:rsidRPr="00F22172" w:rsidRDefault="00913C78" w:rsidP="00F22172">
            <w:pPr>
              <w:pStyle w:val="ae"/>
              <w:rPr>
                <w:b w:val="0"/>
                <w:bCs/>
              </w:rPr>
            </w:pPr>
            <w:r w:rsidRPr="00F22172">
              <w:rPr>
                <w:rFonts w:hint="eastAsia"/>
                <w:b w:val="0"/>
                <w:bCs/>
              </w:rPr>
              <w:t>18</w:t>
            </w:r>
          </w:p>
        </w:tc>
        <w:tc>
          <w:tcPr>
            <w:tcW w:w="447" w:type="dxa"/>
            <w:shd w:val="clear" w:color="auto" w:fill="auto"/>
            <w:vAlign w:val="center"/>
            <w:hideMark/>
          </w:tcPr>
          <w:p w14:paraId="2940BB7B" w14:textId="77777777" w:rsidR="00913C78" w:rsidRPr="00F22172" w:rsidRDefault="00913C78" w:rsidP="00F22172">
            <w:pPr>
              <w:pStyle w:val="ae"/>
              <w:rPr>
                <w:b w:val="0"/>
                <w:bCs/>
              </w:rPr>
            </w:pPr>
            <w:r w:rsidRPr="00F22172">
              <w:rPr>
                <w:rFonts w:hint="eastAsia"/>
                <w:b w:val="0"/>
                <w:bCs/>
              </w:rPr>
              <w:t>19</w:t>
            </w:r>
          </w:p>
        </w:tc>
        <w:tc>
          <w:tcPr>
            <w:tcW w:w="447" w:type="dxa"/>
            <w:shd w:val="clear" w:color="auto" w:fill="auto"/>
            <w:vAlign w:val="center"/>
            <w:hideMark/>
          </w:tcPr>
          <w:p w14:paraId="33651488" w14:textId="77777777" w:rsidR="00913C78" w:rsidRPr="00F22172" w:rsidRDefault="00913C78" w:rsidP="00F22172">
            <w:pPr>
              <w:pStyle w:val="ae"/>
              <w:rPr>
                <w:b w:val="0"/>
                <w:bCs/>
              </w:rPr>
            </w:pPr>
            <w:r w:rsidRPr="00F22172">
              <w:rPr>
                <w:rFonts w:hint="eastAsia"/>
                <w:b w:val="0"/>
                <w:bCs/>
              </w:rPr>
              <w:t>20</w:t>
            </w:r>
          </w:p>
        </w:tc>
        <w:tc>
          <w:tcPr>
            <w:tcW w:w="448" w:type="dxa"/>
            <w:shd w:val="clear" w:color="auto" w:fill="auto"/>
            <w:vAlign w:val="center"/>
            <w:hideMark/>
          </w:tcPr>
          <w:p w14:paraId="47D17DBF" w14:textId="77777777" w:rsidR="00913C78" w:rsidRPr="00F22172" w:rsidRDefault="00913C78" w:rsidP="00F22172">
            <w:pPr>
              <w:pStyle w:val="ae"/>
              <w:rPr>
                <w:b w:val="0"/>
                <w:bCs/>
              </w:rPr>
            </w:pPr>
            <w:r w:rsidRPr="00F22172">
              <w:rPr>
                <w:rFonts w:hint="eastAsia"/>
                <w:b w:val="0"/>
                <w:bCs/>
              </w:rPr>
              <w:t>21</w:t>
            </w:r>
          </w:p>
        </w:tc>
        <w:tc>
          <w:tcPr>
            <w:tcW w:w="447" w:type="dxa"/>
            <w:shd w:val="clear" w:color="auto" w:fill="auto"/>
            <w:vAlign w:val="center"/>
            <w:hideMark/>
          </w:tcPr>
          <w:p w14:paraId="4AD1E825" w14:textId="77777777" w:rsidR="00913C78" w:rsidRPr="00F22172" w:rsidRDefault="00913C78" w:rsidP="00F22172">
            <w:pPr>
              <w:pStyle w:val="ae"/>
              <w:rPr>
                <w:b w:val="0"/>
                <w:bCs/>
              </w:rPr>
            </w:pPr>
            <w:r w:rsidRPr="00F22172">
              <w:rPr>
                <w:rFonts w:hint="eastAsia"/>
                <w:b w:val="0"/>
                <w:bCs/>
              </w:rPr>
              <w:t>22</w:t>
            </w:r>
          </w:p>
        </w:tc>
        <w:tc>
          <w:tcPr>
            <w:tcW w:w="447" w:type="dxa"/>
            <w:shd w:val="clear" w:color="auto" w:fill="auto"/>
            <w:vAlign w:val="center"/>
            <w:hideMark/>
          </w:tcPr>
          <w:p w14:paraId="71C3B286" w14:textId="77777777" w:rsidR="00913C78" w:rsidRPr="00F22172" w:rsidRDefault="00913C78" w:rsidP="00F22172">
            <w:pPr>
              <w:pStyle w:val="ae"/>
              <w:rPr>
                <w:b w:val="0"/>
                <w:bCs/>
              </w:rPr>
            </w:pPr>
            <w:r w:rsidRPr="00F22172">
              <w:rPr>
                <w:rFonts w:hint="eastAsia"/>
                <w:b w:val="0"/>
                <w:bCs/>
              </w:rPr>
              <w:t>23</w:t>
            </w:r>
          </w:p>
        </w:tc>
        <w:tc>
          <w:tcPr>
            <w:tcW w:w="448" w:type="dxa"/>
            <w:shd w:val="clear" w:color="auto" w:fill="auto"/>
            <w:vAlign w:val="center"/>
            <w:hideMark/>
          </w:tcPr>
          <w:p w14:paraId="7BA4ABC6" w14:textId="77777777" w:rsidR="00913C78" w:rsidRPr="00F22172" w:rsidRDefault="00913C78" w:rsidP="00F22172">
            <w:pPr>
              <w:pStyle w:val="ae"/>
              <w:rPr>
                <w:b w:val="0"/>
                <w:bCs/>
              </w:rPr>
            </w:pPr>
            <w:r w:rsidRPr="00F22172">
              <w:rPr>
                <w:rFonts w:hint="eastAsia"/>
                <w:b w:val="0"/>
                <w:bCs/>
              </w:rPr>
              <w:t>24</w:t>
            </w:r>
          </w:p>
        </w:tc>
      </w:tr>
      <w:tr w:rsidR="00913C78" w:rsidRPr="00F22172" w14:paraId="62273D21" w14:textId="77777777" w:rsidTr="00E221F6">
        <w:trPr>
          <w:jc w:val="center"/>
        </w:trPr>
        <w:tc>
          <w:tcPr>
            <w:tcW w:w="1260" w:type="dxa"/>
            <w:vMerge w:val="restart"/>
            <w:shd w:val="clear" w:color="auto" w:fill="auto"/>
            <w:vAlign w:val="center"/>
            <w:hideMark/>
          </w:tcPr>
          <w:p w14:paraId="0795CC47" w14:textId="77777777" w:rsidR="00913C78" w:rsidRPr="00F22172" w:rsidRDefault="00913C78" w:rsidP="00F22172">
            <w:pPr>
              <w:pStyle w:val="ae"/>
              <w:rPr>
                <w:b w:val="0"/>
                <w:bCs/>
              </w:rPr>
            </w:pPr>
            <w:r w:rsidRPr="00F22172">
              <w:rPr>
                <w:rFonts w:hint="eastAsia"/>
                <w:b w:val="0"/>
                <w:bCs/>
              </w:rPr>
              <w:t>办公建筑、教学楼</w:t>
            </w:r>
          </w:p>
        </w:tc>
        <w:tc>
          <w:tcPr>
            <w:tcW w:w="742" w:type="dxa"/>
            <w:shd w:val="clear" w:color="auto" w:fill="auto"/>
            <w:vAlign w:val="center"/>
            <w:hideMark/>
          </w:tcPr>
          <w:p w14:paraId="18CA8242" w14:textId="77777777" w:rsidR="00913C78" w:rsidRPr="00F22172" w:rsidRDefault="00913C78" w:rsidP="00F22172">
            <w:pPr>
              <w:pStyle w:val="ae"/>
              <w:rPr>
                <w:b w:val="0"/>
                <w:bCs/>
              </w:rPr>
            </w:pPr>
            <w:r w:rsidRPr="00F22172">
              <w:rPr>
                <w:rFonts w:hint="eastAsia"/>
                <w:b w:val="0"/>
                <w:bCs/>
              </w:rPr>
              <w:t>工作日</w:t>
            </w:r>
          </w:p>
        </w:tc>
        <w:tc>
          <w:tcPr>
            <w:tcW w:w="447" w:type="dxa"/>
            <w:shd w:val="clear" w:color="auto" w:fill="auto"/>
            <w:vAlign w:val="center"/>
            <w:hideMark/>
          </w:tcPr>
          <w:p w14:paraId="2BF3D5E0"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460B92F"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4DAD0C80"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02C56ED5"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B399D2B"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1C4F78E1"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FDD1CB1"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0A27AAE"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44950E3"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0BB0C89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80D191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9872F1D" w14:textId="77777777" w:rsidR="00913C78" w:rsidRPr="00F22172" w:rsidRDefault="00913C78" w:rsidP="00F22172">
            <w:pPr>
              <w:pStyle w:val="ae"/>
              <w:rPr>
                <w:b w:val="0"/>
                <w:bCs/>
              </w:rPr>
            </w:pPr>
            <w:r w:rsidRPr="00F22172">
              <w:rPr>
                <w:rFonts w:hint="eastAsia"/>
                <w:b w:val="0"/>
                <w:bCs/>
              </w:rPr>
              <w:t>0</w:t>
            </w:r>
          </w:p>
        </w:tc>
      </w:tr>
      <w:tr w:rsidR="00913C78" w:rsidRPr="00F22172" w14:paraId="336A6FDD" w14:textId="77777777" w:rsidTr="00E221F6">
        <w:trPr>
          <w:jc w:val="center"/>
        </w:trPr>
        <w:tc>
          <w:tcPr>
            <w:tcW w:w="1260" w:type="dxa"/>
            <w:vMerge/>
            <w:shd w:val="clear" w:color="auto" w:fill="auto"/>
            <w:vAlign w:val="center"/>
            <w:hideMark/>
          </w:tcPr>
          <w:p w14:paraId="166113C7" w14:textId="77777777" w:rsidR="00913C78" w:rsidRPr="00F22172" w:rsidRDefault="00913C78" w:rsidP="00F22172">
            <w:pPr>
              <w:pStyle w:val="ae"/>
              <w:rPr>
                <w:b w:val="0"/>
                <w:bCs/>
              </w:rPr>
            </w:pPr>
          </w:p>
        </w:tc>
        <w:tc>
          <w:tcPr>
            <w:tcW w:w="742" w:type="dxa"/>
            <w:shd w:val="clear" w:color="auto" w:fill="auto"/>
            <w:vAlign w:val="center"/>
            <w:hideMark/>
          </w:tcPr>
          <w:p w14:paraId="25406547" w14:textId="77777777" w:rsidR="00913C78" w:rsidRPr="00F22172" w:rsidRDefault="00913C78" w:rsidP="00F22172">
            <w:pPr>
              <w:pStyle w:val="ae"/>
              <w:rPr>
                <w:b w:val="0"/>
                <w:bCs/>
              </w:rPr>
            </w:pPr>
            <w:r w:rsidRPr="00F22172">
              <w:rPr>
                <w:rFonts w:hint="eastAsia"/>
                <w:b w:val="0"/>
                <w:bCs/>
              </w:rPr>
              <w:t>节假日</w:t>
            </w:r>
          </w:p>
        </w:tc>
        <w:tc>
          <w:tcPr>
            <w:tcW w:w="447" w:type="dxa"/>
            <w:shd w:val="clear" w:color="auto" w:fill="auto"/>
            <w:vAlign w:val="center"/>
            <w:hideMark/>
          </w:tcPr>
          <w:p w14:paraId="327A202C"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231077D"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DF8EF2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1FC3DA1"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4D530D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1BE87E9"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570C22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1D4F0BD"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12460B2"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2B9E64E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7692D73F"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A589574" w14:textId="77777777" w:rsidR="00913C78" w:rsidRPr="00F22172" w:rsidRDefault="00913C78" w:rsidP="00F22172">
            <w:pPr>
              <w:pStyle w:val="ae"/>
              <w:rPr>
                <w:b w:val="0"/>
                <w:bCs/>
              </w:rPr>
            </w:pPr>
            <w:r w:rsidRPr="00F22172">
              <w:rPr>
                <w:rFonts w:hint="eastAsia"/>
                <w:b w:val="0"/>
                <w:bCs/>
              </w:rPr>
              <w:t>0</w:t>
            </w:r>
          </w:p>
        </w:tc>
      </w:tr>
      <w:tr w:rsidR="00913C78" w:rsidRPr="00F22172" w14:paraId="3BC7CD3C" w14:textId="77777777" w:rsidTr="00E221F6">
        <w:trPr>
          <w:jc w:val="center"/>
        </w:trPr>
        <w:tc>
          <w:tcPr>
            <w:tcW w:w="1260" w:type="dxa"/>
            <w:shd w:val="clear" w:color="auto" w:fill="auto"/>
            <w:vAlign w:val="center"/>
            <w:hideMark/>
          </w:tcPr>
          <w:p w14:paraId="15523A58" w14:textId="77777777" w:rsidR="00913C78" w:rsidRPr="00F22172" w:rsidRDefault="00913C78" w:rsidP="00F22172">
            <w:pPr>
              <w:pStyle w:val="ae"/>
              <w:rPr>
                <w:b w:val="0"/>
                <w:bCs/>
              </w:rPr>
            </w:pPr>
            <w:r w:rsidRPr="00F22172">
              <w:rPr>
                <w:rFonts w:hint="eastAsia"/>
                <w:b w:val="0"/>
                <w:bCs/>
              </w:rPr>
              <w:t>宾馆建筑</w:t>
            </w:r>
          </w:p>
        </w:tc>
        <w:tc>
          <w:tcPr>
            <w:tcW w:w="742" w:type="dxa"/>
            <w:shd w:val="clear" w:color="auto" w:fill="auto"/>
            <w:vAlign w:val="center"/>
            <w:hideMark/>
          </w:tcPr>
          <w:p w14:paraId="0E94F945"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042B817F"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141385CF"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4C01112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FFC7696"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735E3BC5"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0127E843"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7305F0D5"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5F518CF"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66C5A51F"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75C93FE"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5A6492C"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1751E4EB" w14:textId="77777777" w:rsidR="00913C78" w:rsidRPr="00F22172" w:rsidRDefault="00913C78" w:rsidP="00F22172">
            <w:pPr>
              <w:pStyle w:val="ae"/>
              <w:rPr>
                <w:b w:val="0"/>
                <w:bCs/>
              </w:rPr>
            </w:pPr>
            <w:r w:rsidRPr="00F22172">
              <w:rPr>
                <w:rFonts w:hint="eastAsia"/>
                <w:b w:val="0"/>
                <w:bCs/>
              </w:rPr>
              <w:t>1</w:t>
            </w:r>
          </w:p>
        </w:tc>
      </w:tr>
      <w:tr w:rsidR="00913C78" w:rsidRPr="00F22172" w14:paraId="799CC152" w14:textId="77777777" w:rsidTr="00E221F6">
        <w:trPr>
          <w:jc w:val="center"/>
        </w:trPr>
        <w:tc>
          <w:tcPr>
            <w:tcW w:w="1260" w:type="dxa"/>
            <w:shd w:val="clear" w:color="auto" w:fill="auto"/>
            <w:vAlign w:val="center"/>
            <w:hideMark/>
          </w:tcPr>
          <w:p w14:paraId="7B1943AC" w14:textId="77777777" w:rsidR="00913C78" w:rsidRPr="00F22172" w:rsidRDefault="00913C78" w:rsidP="00F22172">
            <w:pPr>
              <w:pStyle w:val="ae"/>
              <w:rPr>
                <w:b w:val="0"/>
                <w:bCs/>
              </w:rPr>
            </w:pPr>
            <w:r w:rsidRPr="00F22172">
              <w:rPr>
                <w:rFonts w:hint="eastAsia"/>
                <w:b w:val="0"/>
                <w:bCs/>
              </w:rPr>
              <w:t>住院部</w:t>
            </w:r>
          </w:p>
        </w:tc>
        <w:tc>
          <w:tcPr>
            <w:tcW w:w="742" w:type="dxa"/>
            <w:shd w:val="clear" w:color="auto" w:fill="auto"/>
            <w:vAlign w:val="center"/>
            <w:hideMark/>
          </w:tcPr>
          <w:p w14:paraId="13460543"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0044A4D9"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474D393"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0E597D3"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32FE77AF"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7423C21"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309A9B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4C172C7"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1C5D2246"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3BF89313"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4A2F09D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0999FB1E"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343583B" w14:textId="77777777" w:rsidR="00913C78" w:rsidRPr="00F22172" w:rsidRDefault="00913C78" w:rsidP="00F22172">
            <w:pPr>
              <w:pStyle w:val="ae"/>
              <w:rPr>
                <w:b w:val="0"/>
                <w:bCs/>
              </w:rPr>
            </w:pPr>
            <w:r w:rsidRPr="00F22172">
              <w:rPr>
                <w:rFonts w:hint="eastAsia"/>
                <w:b w:val="0"/>
                <w:bCs/>
              </w:rPr>
              <w:t>1</w:t>
            </w:r>
          </w:p>
        </w:tc>
      </w:tr>
      <w:tr w:rsidR="00913C78" w:rsidRPr="00F22172" w14:paraId="30A34B9E" w14:textId="77777777" w:rsidTr="00E221F6">
        <w:trPr>
          <w:jc w:val="center"/>
        </w:trPr>
        <w:tc>
          <w:tcPr>
            <w:tcW w:w="1260" w:type="dxa"/>
            <w:shd w:val="clear" w:color="auto" w:fill="auto"/>
            <w:vAlign w:val="center"/>
            <w:hideMark/>
          </w:tcPr>
          <w:p w14:paraId="0DB16A97" w14:textId="77777777" w:rsidR="00913C78" w:rsidRPr="00F22172" w:rsidRDefault="00913C78" w:rsidP="00F22172">
            <w:pPr>
              <w:pStyle w:val="ae"/>
              <w:rPr>
                <w:b w:val="0"/>
                <w:bCs/>
              </w:rPr>
            </w:pPr>
            <w:r w:rsidRPr="00F22172">
              <w:rPr>
                <w:rFonts w:hint="eastAsia"/>
                <w:b w:val="0"/>
                <w:bCs/>
              </w:rPr>
              <w:t>商店建筑</w:t>
            </w:r>
          </w:p>
        </w:tc>
        <w:tc>
          <w:tcPr>
            <w:tcW w:w="742" w:type="dxa"/>
            <w:shd w:val="clear" w:color="auto" w:fill="auto"/>
            <w:vAlign w:val="center"/>
            <w:hideMark/>
          </w:tcPr>
          <w:p w14:paraId="6A52E9CF"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09E0AAEE"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0B0A2230"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1ECE47F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AAC3907"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C14C15E"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34B2EB4"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264B9D76"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3DE48B43"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03BF698D"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1410263"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6058AB3"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DA6BCBB" w14:textId="77777777" w:rsidR="00913C78" w:rsidRPr="00F22172" w:rsidRDefault="00913C78" w:rsidP="00F22172">
            <w:pPr>
              <w:pStyle w:val="ae"/>
              <w:rPr>
                <w:b w:val="0"/>
                <w:bCs/>
              </w:rPr>
            </w:pPr>
            <w:r w:rsidRPr="00F22172">
              <w:rPr>
                <w:rFonts w:hint="eastAsia"/>
                <w:b w:val="0"/>
                <w:bCs/>
              </w:rPr>
              <w:t>0</w:t>
            </w:r>
          </w:p>
        </w:tc>
      </w:tr>
      <w:tr w:rsidR="00913C78" w:rsidRPr="00F22172" w14:paraId="6483C8B2" w14:textId="77777777" w:rsidTr="00E221F6">
        <w:trPr>
          <w:jc w:val="center"/>
        </w:trPr>
        <w:tc>
          <w:tcPr>
            <w:tcW w:w="1260" w:type="dxa"/>
            <w:shd w:val="clear" w:color="auto" w:fill="auto"/>
            <w:vAlign w:val="center"/>
            <w:hideMark/>
          </w:tcPr>
          <w:p w14:paraId="0398C5A4" w14:textId="77777777" w:rsidR="00913C78" w:rsidRPr="00F22172" w:rsidRDefault="00913C78" w:rsidP="00F22172">
            <w:pPr>
              <w:pStyle w:val="ae"/>
              <w:rPr>
                <w:b w:val="0"/>
                <w:bCs/>
              </w:rPr>
            </w:pPr>
            <w:r w:rsidRPr="00F22172">
              <w:rPr>
                <w:rFonts w:hint="eastAsia"/>
                <w:b w:val="0"/>
                <w:bCs/>
              </w:rPr>
              <w:t>门诊楼</w:t>
            </w:r>
          </w:p>
        </w:tc>
        <w:tc>
          <w:tcPr>
            <w:tcW w:w="742" w:type="dxa"/>
            <w:shd w:val="clear" w:color="auto" w:fill="auto"/>
            <w:vAlign w:val="center"/>
            <w:hideMark/>
          </w:tcPr>
          <w:p w14:paraId="16E2E4DF"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1972ECA5"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8ED412B"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0E9F68B"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5AA43039"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67DAF31D"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55AD9BC4" w14:textId="77777777" w:rsidR="00913C78" w:rsidRPr="00F22172" w:rsidRDefault="00913C78" w:rsidP="00F22172">
            <w:pPr>
              <w:pStyle w:val="ae"/>
              <w:rPr>
                <w:b w:val="0"/>
                <w:bCs/>
              </w:rPr>
            </w:pPr>
            <w:r w:rsidRPr="00F22172">
              <w:rPr>
                <w:rFonts w:hint="eastAsia"/>
                <w:b w:val="0"/>
                <w:bCs/>
              </w:rPr>
              <w:t>1</w:t>
            </w:r>
          </w:p>
        </w:tc>
        <w:tc>
          <w:tcPr>
            <w:tcW w:w="447" w:type="dxa"/>
            <w:shd w:val="clear" w:color="auto" w:fill="auto"/>
            <w:vAlign w:val="center"/>
            <w:hideMark/>
          </w:tcPr>
          <w:p w14:paraId="003D8E31"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5484951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D57678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D2C3AD5"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4D9B041"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E4B9443" w14:textId="77777777" w:rsidR="00913C78" w:rsidRPr="00F22172" w:rsidRDefault="00913C78" w:rsidP="00F22172">
            <w:pPr>
              <w:pStyle w:val="ae"/>
              <w:rPr>
                <w:b w:val="0"/>
                <w:bCs/>
              </w:rPr>
            </w:pPr>
            <w:r w:rsidRPr="00F22172">
              <w:rPr>
                <w:rFonts w:hint="eastAsia"/>
                <w:b w:val="0"/>
                <w:bCs/>
              </w:rPr>
              <w:t>0</w:t>
            </w:r>
          </w:p>
        </w:tc>
      </w:tr>
    </w:tbl>
    <w:p w14:paraId="2EB74655" w14:textId="77777777" w:rsidR="00913C78" w:rsidRPr="00913C78" w:rsidRDefault="00913C78" w:rsidP="00913C78">
      <w:pPr>
        <w:ind w:firstLine="420"/>
      </w:pPr>
      <w:r w:rsidRPr="00913C78">
        <w:rPr>
          <w:rFonts w:hint="eastAsia"/>
        </w:rPr>
        <w:t>注</w:t>
      </w:r>
      <w:r w:rsidRPr="00913C78">
        <w:t>：其他类型建筑</w:t>
      </w:r>
      <w:r w:rsidRPr="00913C78">
        <w:rPr>
          <w:rFonts w:hint="eastAsia"/>
        </w:rPr>
        <w:t>按照</w:t>
      </w:r>
      <w:r w:rsidRPr="00913C78">
        <w:t>其实际工作情况确定新风运行情况。</w:t>
      </w:r>
    </w:p>
    <w:p w14:paraId="4811F369" w14:textId="5FF7C016" w:rsidR="00913C78" w:rsidRPr="00913C78" w:rsidRDefault="00913C78" w:rsidP="00532D0F">
      <w:pPr>
        <w:pStyle w:val="ae"/>
      </w:pPr>
      <w:r w:rsidRPr="00913C78">
        <w:rPr>
          <w:rFonts w:hint="eastAsia"/>
        </w:rPr>
        <w:t>附表</w:t>
      </w:r>
      <w:r w:rsidRPr="00913C78">
        <w:rPr>
          <w:rFonts w:hint="eastAsia"/>
        </w:rPr>
        <w:t>A.5.</w:t>
      </w:r>
      <w:r w:rsidRPr="00913C78">
        <w:t>1</w:t>
      </w:r>
      <w:r w:rsidR="00532D0F">
        <w:t>3</w:t>
      </w:r>
      <w:r w:rsidRPr="00913C78">
        <w:rPr>
          <w:rFonts w:hint="eastAsia"/>
        </w:rPr>
        <w:t xml:space="preserve"> </w:t>
      </w:r>
      <w:r w:rsidRPr="00913C78">
        <w:rPr>
          <w:rFonts w:hint="eastAsia"/>
        </w:rPr>
        <w:t>不同类型房间电器设备功率密度</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1" w:type="dxa"/>
        </w:tblCellMar>
        <w:tblLook w:val="04A0" w:firstRow="1" w:lastRow="0" w:firstColumn="1" w:lastColumn="0" w:noHBand="0" w:noVBand="1"/>
      </w:tblPr>
      <w:tblGrid>
        <w:gridCol w:w="1776"/>
        <w:gridCol w:w="1777"/>
        <w:gridCol w:w="3817"/>
      </w:tblGrid>
      <w:tr w:rsidR="00913C78" w:rsidRPr="00F22172" w14:paraId="5C02B481" w14:textId="77777777" w:rsidTr="00E221F6">
        <w:trPr>
          <w:jc w:val="center"/>
        </w:trPr>
        <w:tc>
          <w:tcPr>
            <w:tcW w:w="2499" w:type="dxa"/>
            <w:gridSpan w:val="2"/>
            <w:shd w:val="clear" w:color="auto" w:fill="auto"/>
            <w:noWrap/>
            <w:vAlign w:val="center"/>
            <w:hideMark/>
          </w:tcPr>
          <w:p w14:paraId="73B3D663" w14:textId="77777777" w:rsidR="00913C78" w:rsidRPr="00F22172" w:rsidRDefault="00913C78" w:rsidP="00F22172">
            <w:pPr>
              <w:pStyle w:val="ae"/>
              <w:rPr>
                <w:b w:val="0"/>
                <w:bCs/>
              </w:rPr>
            </w:pPr>
            <w:r w:rsidRPr="00F22172">
              <w:rPr>
                <w:rFonts w:hint="eastAsia"/>
                <w:b w:val="0"/>
                <w:bCs/>
              </w:rPr>
              <w:t>建筑类别</w:t>
            </w:r>
          </w:p>
        </w:tc>
        <w:tc>
          <w:tcPr>
            <w:tcW w:w="2684" w:type="dxa"/>
            <w:shd w:val="clear" w:color="auto" w:fill="auto"/>
            <w:noWrap/>
            <w:vAlign w:val="center"/>
            <w:hideMark/>
          </w:tcPr>
          <w:p w14:paraId="55348C99" w14:textId="77777777" w:rsidR="00913C78" w:rsidRPr="00F22172" w:rsidRDefault="00913C78" w:rsidP="00F22172">
            <w:pPr>
              <w:pStyle w:val="ae"/>
              <w:rPr>
                <w:b w:val="0"/>
                <w:bCs/>
              </w:rPr>
            </w:pPr>
            <w:r w:rsidRPr="00F22172">
              <w:rPr>
                <w:rFonts w:hint="eastAsia"/>
                <w:b w:val="0"/>
                <w:bCs/>
              </w:rPr>
              <w:t>电器设备功率密度</w:t>
            </w:r>
            <w:r w:rsidRPr="00F22172">
              <w:rPr>
                <w:rFonts w:hint="eastAsia"/>
                <w:b w:val="0"/>
                <w:bCs/>
              </w:rPr>
              <w:t>/</w:t>
            </w:r>
            <w:r w:rsidRPr="00F22172">
              <w:rPr>
                <w:rFonts w:hint="eastAsia"/>
                <w:b w:val="0"/>
                <w:bCs/>
              </w:rPr>
              <w:t>（</w:t>
            </w:r>
            <w:r w:rsidRPr="00F22172">
              <w:rPr>
                <w:rFonts w:hint="eastAsia"/>
                <w:b w:val="0"/>
                <w:bCs/>
              </w:rPr>
              <w:t>W/m2</w:t>
            </w:r>
            <w:r w:rsidRPr="00F22172">
              <w:rPr>
                <w:rFonts w:hint="eastAsia"/>
                <w:b w:val="0"/>
                <w:bCs/>
              </w:rPr>
              <w:t>）</w:t>
            </w:r>
          </w:p>
        </w:tc>
      </w:tr>
      <w:tr w:rsidR="00913C78" w:rsidRPr="00F22172" w14:paraId="63E23B03" w14:textId="77777777" w:rsidTr="00E221F6">
        <w:trPr>
          <w:jc w:val="center"/>
        </w:trPr>
        <w:tc>
          <w:tcPr>
            <w:tcW w:w="2499" w:type="dxa"/>
            <w:gridSpan w:val="2"/>
            <w:shd w:val="clear" w:color="auto" w:fill="auto"/>
            <w:vAlign w:val="center"/>
            <w:hideMark/>
          </w:tcPr>
          <w:p w14:paraId="6ED39A6B" w14:textId="77777777" w:rsidR="00913C78" w:rsidRPr="00F22172" w:rsidRDefault="00913C78" w:rsidP="00F22172">
            <w:pPr>
              <w:pStyle w:val="ae"/>
              <w:rPr>
                <w:b w:val="0"/>
                <w:bCs/>
              </w:rPr>
            </w:pPr>
            <w:r w:rsidRPr="00F22172">
              <w:rPr>
                <w:rFonts w:hint="eastAsia"/>
                <w:b w:val="0"/>
                <w:bCs/>
              </w:rPr>
              <w:t>办公建筑</w:t>
            </w:r>
          </w:p>
        </w:tc>
        <w:tc>
          <w:tcPr>
            <w:tcW w:w="2684" w:type="dxa"/>
            <w:shd w:val="clear" w:color="auto" w:fill="auto"/>
            <w:noWrap/>
            <w:vAlign w:val="center"/>
            <w:hideMark/>
          </w:tcPr>
          <w:p w14:paraId="46D7E7BE" w14:textId="77777777" w:rsidR="00913C78" w:rsidRPr="00F22172" w:rsidRDefault="00913C78" w:rsidP="00F22172">
            <w:pPr>
              <w:pStyle w:val="ae"/>
              <w:rPr>
                <w:b w:val="0"/>
                <w:bCs/>
              </w:rPr>
            </w:pPr>
            <w:r w:rsidRPr="00F22172">
              <w:rPr>
                <w:rFonts w:hint="eastAsia"/>
                <w:b w:val="0"/>
                <w:bCs/>
              </w:rPr>
              <w:t>15.0</w:t>
            </w:r>
          </w:p>
        </w:tc>
      </w:tr>
      <w:tr w:rsidR="00913C78" w:rsidRPr="00F22172" w14:paraId="65C03149" w14:textId="77777777" w:rsidTr="00E221F6">
        <w:trPr>
          <w:jc w:val="center"/>
        </w:trPr>
        <w:tc>
          <w:tcPr>
            <w:tcW w:w="2499" w:type="dxa"/>
            <w:gridSpan w:val="2"/>
            <w:shd w:val="clear" w:color="auto" w:fill="auto"/>
            <w:vAlign w:val="center"/>
            <w:hideMark/>
          </w:tcPr>
          <w:p w14:paraId="78FEDDDE" w14:textId="77777777" w:rsidR="00913C78" w:rsidRPr="00F22172" w:rsidRDefault="00913C78" w:rsidP="00F22172">
            <w:pPr>
              <w:pStyle w:val="ae"/>
              <w:rPr>
                <w:b w:val="0"/>
                <w:bCs/>
              </w:rPr>
            </w:pPr>
            <w:r w:rsidRPr="00F22172">
              <w:rPr>
                <w:rFonts w:hint="eastAsia"/>
                <w:b w:val="0"/>
                <w:bCs/>
              </w:rPr>
              <w:lastRenderedPageBreak/>
              <w:t>校园建筑——教学楼</w:t>
            </w:r>
          </w:p>
        </w:tc>
        <w:tc>
          <w:tcPr>
            <w:tcW w:w="2684" w:type="dxa"/>
            <w:shd w:val="clear" w:color="auto" w:fill="auto"/>
            <w:noWrap/>
            <w:vAlign w:val="center"/>
            <w:hideMark/>
          </w:tcPr>
          <w:p w14:paraId="6492908C" w14:textId="77777777" w:rsidR="00913C78" w:rsidRPr="00F22172" w:rsidRDefault="00913C78" w:rsidP="00F22172">
            <w:pPr>
              <w:pStyle w:val="ae"/>
              <w:rPr>
                <w:b w:val="0"/>
                <w:bCs/>
              </w:rPr>
            </w:pPr>
            <w:r w:rsidRPr="00F22172">
              <w:rPr>
                <w:rFonts w:hint="eastAsia"/>
                <w:b w:val="0"/>
                <w:bCs/>
              </w:rPr>
              <w:t>5.0</w:t>
            </w:r>
          </w:p>
        </w:tc>
      </w:tr>
      <w:tr w:rsidR="00913C78" w:rsidRPr="00F22172" w14:paraId="12639FD4" w14:textId="77777777" w:rsidTr="00E221F6">
        <w:trPr>
          <w:jc w:val="center"/>
        </w:trPr>
        <w:tc>
          <w:tcPr>
            <w:tcW w:w="1249" w:type="dxa"/>
            <w:vMerge w:val="restart"/>
            <w:shd w:val="clear" w:color="auto" w:fill="auto"/>
            <w:vAlign w:val="center"/>
            <w:hideMark/>
          </w:tcPr>
          <w:p w14:paraId="192FA2FA" w14:textId="77777777" w:rsidR="00913C78" w:rsidRPr="00F22172" w:rsidRDefault="00913C78" w:rsidP="00F22172">
            <w:pPr>
              <w:pStyle w:val="ae"/>
              <w:rPr>
                <w:b w:val="0"/>
                <w:bCs/>
              </w:rPr>
            </w:pPr>
            <w:r w:rsidRPr="00F22172">
              <w:rPr>
                <w:rFonts w:hint="eastAsia"/>
                <w:b w:val="0"/>
                <w:bCs/>
              </w:rPr>
              <w:t>商店建筑</w:t>
            </w:r>
          </w:p>
        </w:tc>
        <w:tc>
          <w:tcPr>
            <w:tcW w:w="1250" w:type="dxa"/>
            <w:shd w:val="clear" w:color="auto" w:fill="auto"/>
            <w:noWrap/>
            <w:vAlign w:val="center"/>
            <w:hideMark/>
          </w:tcPr>
          <w:p w14:paraId="538C020C" w14:textId="77777777" w:rsidR="00913C78" w:rsidRPr="00F22172" w:rsidRDefault="00913C78" w:rsidP="00F22172">
            <w:pPr>
              <w:pStyle w:val="ae"/>
              <w:rPr>
                <w:b w:val="0"/>
                <w:bCs/>
              </w:rPr>
            </w:pPr>
            <w:r w:rsidRPr="00F22172">
              <w:rPr>
                <w:rFonts w:hint="eastAsia"/>
                <w:b w:val="0"/>
                <w:bCs/>
              </w:rPr>
              <w:t>一般商场</w:t>
            </w:r>
          </w:p>
        </w:tc>
        <w:tc>
          <w:tcPr>
            <w:tcW w:w="2684" w:type="dxa"/>
            <w:shd w:val="clear" w:color="auto" w:fill="auto"/>
            <w:noWrap/>
            <w:vAlign w:val="center"/>
            <w:hideMark/>
          </w:tcPr>
          <w:p w14:paraId="3D376D29" w14:textId="77777777" w:rsidR="00913C78" w:rsidRPr="00F22172" w:rsidRDefault="00913C78" w:rsidP="00F22172">
            <w:pPr>
              <w:pStyle w:val="ae"/>
              <w:rPr>
                <w:b w:val="0"/>
                <w:bCs/>
              </w:rPr>
            </w:pPr>
            <w:r w:rsidRPr="00F22172">
              <w:rPr>
                <w:rFonts w:hint="eastAsia"/>
                <w:b w:val="0"/>
                <w:bCs/>
              </w:rPr>
              <w:t>10.0</w:t>
            </w:r>
          </w:p>
        </w:tc>
      </w:tr>
      <w:tr w:rsidR="00913C78" w:rsidRPr="00F22172" w14:paraId="770AAF08" w14:textId="77777777" w:rsidTr="00E221F6">
        <w:trPr>
          <w:jc w:val="center"/>
        </w:trPr>
        <w:tc>
          <w:tcPr>
            <w:tcW w:w="1249" w:type="dxa"/>
            <w:vMerge/>
            <w:shd w:val="clear" w:color="auto" w:fill="auto"/>
            <w:vAlign w:val="center"/>
            <w:hideMark/>
          </w:tcPr>
          <w:p w14:paraId="12F74B01" w14:textId="77777777" w:rsidR="00913C78" w:rsidRPr="00F22172" w:rsidRDefault="00913C78" w:rsidP="00F22172">
            <w:pPr>
              <w:pStyle w:val="ae"/>
              <w:rPr>
                <w:b w:val="0"/>
                <w:bCs/>
              </w:rPr>
            </w:pPr>
          </w:p>
        </w:tc>
        <w:tc>
          <w:tcPr>
            <w:tcW w:w="1250" w:type="dxa"/>
            <w:shd w:val="clear" w:color="auto" w:fill="auto"/>
            <w:noWrap/>
            <w:vAlign w:val="center"/>
            <w:hideMark/>
          </w:tcPr>
          <w:p w14:paraId="340527AD" w14:textId="77777777" w:rsidR="00913C78" w:rsidRPr="00F22172" w:rsidRDefault="00913C78" w:rsidP="00F22172">
            <w:pPr>
              <w:pStyle w:val="ae"/>
              <w:rPr>
                <w:b w:val="0"/>
                <w:bCs/>
              </w:rPr>
            </w:pPr>
            <w:r w:rsidRPr="00F22172">
              <w:rPr>
                <w:rFonts w:hint="eastAsia"/>
                <w:b w:val="0"/>
                <w:bCs/>
              </w:rPr>
              <w:t>高档商场</w:t>
            </w:r>
          </w:p>
        </w:tc>
        <w:tc>
          <w:tcPr>
            <w:tcW w:w="2684" w:type="dxa"/>
            <w:shd w:val="clear" w:color="auto" w:fill="auto"/>
            <w:noWrap/>
            <w:vAlign w:val="center"/>
            <w:hideMark/>
          </w:tcPr>
          <w:p w14:paraId="44CFE82C" w14:textId="77777777" w:rsidR="00913C78" w:rsidRPr="00F22172" w:rsidRDefault="00913C78" w:rsidP="00F22172">
            <w:pPr>
              <w:pStyle w:val="ae"/>
              <w:rPr>
                <w:b w:val="0"/>
                <w:bCs/>
              </w:rPr>
            </w:pPr>
            <w:r w:rsidRPr="00F22172">
              <w:rPr>
                <w:rFonts w:hint="eastAsia"/>
                <w:b w:val="0"/>
                <w:bCs/>
              </w:rPr>
              <w:t>20.0</w:t>
            </w:r>
          </w:p>
        </w:tc>
      </w:tr>
      <w:tr w:rsidR="00913C78" w:rsidRPr="00F22172" w14:paraId="3C915757" w14:textId="77777777" w:rsidTr="00E221F6">
        <w:trPr>
          <w:jc w:val="center"/>
        </w:trPr>
        <w:tc>
          <w:tcPr>
            <w:tcW w:w="2499" w:type="dxa"/>
            <w:gridSpan w:val="2"/>
            <w:shd w:val="clear" w:color="auto" w:fill="auto"/>
            <w:vAlign w:val="center"/>
            <w:hideMark/>
          </w:tcPr>
          <w:p w14:paraId="6FE9B7F2" w14:textId="77777777" w:rsidR="00913C78" w:rsidRPr="00F22172" w:rsidRDefault="00913C78" w:rsidP="00F22172">
            <w:pPr>
              <w:pStyle w:val="ae"/>
              <w:rPr>
                <w:b w:val="0"/>
                <w:bCs/>
              </w:rPr>
            </w:pPr>
            <w:r w:rsidRPr="00F22172">
              <w:rPr>
                <w:rFonts w:hint="eastAsia"/>
                <w:b w:val="0"/>
                <w:bCs/>
              </w:rPr>
              <w:t>医疗建筑——门诊楼</w:t>
            </w:r>
          </w:p>
        </w:tc>
        <w:tc>
          <w:tcPr>
            <w:tcW w:w="2684" w:type="dxa"/>
            <w:shd w:val="clear" w:color="auto" w:fill="auto"/>
            <w:noWrap/>
            <w:vAlign w:val="center"/>
            <w:hideMark/>
          </w:tcPr>
          <w:p w14:paraId="7442AA6F" w14:textId="77777777" w:rsidR="00913C78" w:rsidRPr="00F22172" w:rsidRDefault="00913C78" w:rsidP="00F22172">
            <w:pPr>
              <w:pStyle w:val="ae"/>
              <w:rPr>
                <w:b w:val="0"/>
                <w:bCs/>
              </w:rPr>
            </w:pPr>
            <w:r w:rsidRPr="00F22172">
              <w:rPr>
                <w:rFonts w:hint="eastAsia"/>
                <w:b w:val="0"/>
                <w:bCs/>
              </w:rPr>
              <w:t>20.0</w:t>
            </w:r>
          </w:p>
        </w:tc>
      </w:tr>
      <w:tr w:rsidR="00913C78" w:rsidRPr="00F22172" w14:paraId="74A1F070" w14:textId="77777777" w:rsidTr="00E221F6">
        <w:trPr>
          <w:jc w:val="center"/>
        </w:trPr>
        <w:tc>
          <w:tcPr>
            <w:tcW w:w="2499" w:type="dxa"/>
            <w:gridSpan w:val="2"/>
            <w:shd w:val="clear" w:color="auto" w:fill="auto"/>
            <w:vAlign w:val="center"/>
            <w:hideMark/>
          </w:tcPr>
          <w:p w14:paraId="2ED0778D" w14:textId="77777777" w:rsidR="00913C78" w:rsidRPr="00F22172" w:rsidRDefault="00913C78" w:rsidP="00F22172">
            <w:pPr>
              <w:pStyle w:val="ae"/>
              <w:rPr>
                <w:b w:val="0"/>
                <w:bCs/>
              </w:rPr>
            </w:pPr>
            <w:r w:rsidRPr="00F22172">
              <w:rPr>
                <w:rFonts w:hint="eastAsia"/>
                <w:b w:val="0"/>
                <w:bCs/>
              </w:rPr>
              <w:t>宾馆建筑</w:t>
            </w:r>
          </w:p>
        </w:tc>
        <w:tc>
          <w:tcPr>
            <w:tcW w:w="2684" w:type="dxa"/>
            <w:shd w:val="clear" w:color="auto" w:fill="auto"/>
            <w:noWrap/>
            <w:vAlign w:val="center"/>
            <w:hideMark/>
          </w:tcPr>
          <w:p w14:paraId="0E8738FD" w14:textId="77777777" w:rsidR="00913C78" w:rsidRPr="00F22172" w:rsidRDefault="00913C78" w:rsidP="00F22172">
            <w:pPr>
              <w:pStyle w:val="ae"/>
              <w:rPr>
                <w:b w:val="0"/>
                <w:bCs/>
              </w:rPr>
            </w:pPr>
            <w:r w:rsidRPr="00F22172">
              <w:rPr>
                <w:rFonts w:hint="eastAsia"/>
                <w:b w:val="0"/>
                <w:bCs/>
              </w:rPr>
              <w:t>15.0</w:t>
            </w:r>
          </w:p>
        </w:tc>
      </w:tr>
      <w:tr w:rsidR="00913C78" w:rsidRPr="00F22172" w14:paraId="2FF8B127" w14:textId="77777777" w:rsidTr="00E221F6">
        <w:trPr>
          <w:jc w:val="center"/>
        </w:trPr>
        <w:tc>
          <w:tcPr>
            <w:tcW w:w="2499" w:type="dxa"/>
            <w:gridSpan w:val="2"/>
            <w:shd w:val="clear" w:color="auto" w:fill="auto"/>
            <w:vAlign w:val="center"/>
            <w:hideMark/>
          </w:tcPr>
          <w:p w14:paraId="0391F12D" w14:textId="77777777" w:rsidR="00913C78" w:rsidRPr="00F22172" w:rsidRDefault="00913C78" w:rsidP="00F22172">
            <w:pPr>
              <w:pStyle w:val="ae"/>
              <w:rPr>
                <w:b w:val="0"/>
                <w:bCs/>
              </w:rPr>
            </w:pPr>
            <w:r w:rsidRPr="00F22172">
              <w:rPr>
                <w:rFonts w:hint="eastAsia"/>
                <w:b w:val="0"/>
                <w:bCs/>
              </w:rPr>
              <w:t>交通建筑——候车（机）、售票、出发大厅</w:t>
            </w:r>
          </w:p>
        </w:tc>
        <w:tc>
          <w:tcPr>
            <w:tcW w:w="2684" w:type="dxa"/>
            <w:shd w:val="clear" w:color="auto" w:fill="auto"/>
            <w:noWrap/>
            <w:vAlign w:val="center"/>
            <w:hideMark/>
          </w:tcPr>
          <w:p w14:paraId="10DE01D3" w14:textId="77777777" w:rsidR="00913C78" w:rsidRPr="00F22172" w:rsidRDefault="00913C78" w:rsidP="00F22172">
            <w:pPr>
              <w:pStyle w:val="ae"/>
              <w:rPr>
                <w:b w:val="0"/>
                <w:bCs/>
              </w:rPr>
            </w:pPr>
            <w:r w:rsidRPr="00F22172">
              <w:rPr>
                <w:rFonts w:hint="eastAsia"/>
                <w:b w:val="0"/>
                <w:bCs/>
              </w:rPr>
              <w:t>10.0</w:t>
            </w:r>
          </w:p>
        </w:tc>
      </w:tr>
      <w:tr w:rsidR="00913C78" w:rsidRPr="00F22172" w14:paraId="4C19E4B8" w14:textId="77777777" w:rsidTr="00E221F6">
        <w:trPr>
          <w:jc w:val="center"/>
        </w:trPr>
        <w:tc>
          <w:tcPr>
            <w:tcW w:w="2499" w:type="dxa"/>
            <w:gridSpan w:val="2"/>
            <w:shd w:val="clear" w:color="auto" w:fill="auto"/>
            <w:vAlign w:val="center"/>
            <w:hideMark/>
          </w:tcPr>
          <w:p w14:paraId="72B0F32A" w14:textId="77777777" w:rsidR="00913C78" w:rsidRPr="00F22172" w:rsidRDefault="00913C78" w:rsidP="00F22172">
            <w:pPr>
              <w:pStyle w:val="ae"/>
              <w:rPr>
                <w:b w:val="0"/>
                <w:bCs/>
              </w:rPr>
            </w:pPr>
            <w:r w:rsidRPr="00F22172">
              <w:rPr>
                <w:rFonts w:hint="eastAsia"/>
                <w:b w:val="0"/>
                <w:bCs/>
              </w:rPr>
              <w:t>体育建筑</w:t>
            </w:r>
          </w:p>
        </w:tc>
        <w:tc>
          <w:tcPr>
            <w:tcW w:w="2684" w:type="dxa"/>
            <w:shd w:val="clear" w:color="auto" w:fill="auto"/>
            <w:noWrap/>
            <w:vAlign w:val="center"/>
            <w:hideMark/>
          </w:tcPr>
          <w:p w14:paraId="096D95D6" w14:textId="77777777" w:rsidR="00913C78" w:rsidRPr="00F22172" w:rsidRDefault="00913C78" w:rsidP="00F22172">
            <w:pPr>
              <w:pStyle w:val="ae"/>
              <w:rPr>
                <w:b w:val="0"/>
                <w:bCs/>
              </w:rPr>
            </w:pPr>
            <w:r w:rsidRPr="00F22172">
              <w:rPr>
                <w:rFonts w:hint="eastAsia"/>
                <w:b w:val="0"/>
                <w:bCs/>
              </w:rPr>
              <w:t>10.0</w:t>
            </w:r>
          </w:p>
        </w:tc>
      </w:tr>
      <w:tr w:rsidR="00913C78" w:rsidRPr="00F22172" w14:paraId="2CBC36A4" w14:textId="77777777" w:rsidTr="00E221F6">
        <w:trPr>
          <w:jc w:val="center"/>
        </w:trPr>
        <w:tc>
          <w:tcPr>
            <w:tcW w:w="2499" w:type="dxa"/>
            <w:gridSpan w:val="2"/>
            <w:shd w:val="clear" w:color="auto" w:fill="auto"/>
            <w:vAlign w:val="center"/>
            <w:hideMark/>
          </w:tcPr>
          <w:p w14:paraId="1868469B" w14:textId="77777777" w:rsidR="00913C78" w:rsidRPr="00F22172" w:rsidRDefault="00913C78" w:rsidP="00F22172">
            <w:pPr>
              <w:pStyle w:val="ae"/>
              <w:rPr>
                <w:b w:val="0"/>
                <w:bCs/>
              </w:rPr>
            </w:pPr>
            <w:r w:rsidRPr="00F22172">
              <w:rPr>
                <w:rFonts w:hint="eastAsia"/>
                <w:b w:val="0"/>
                <w:bCs/>
              </w:rPr>
              <w:t>观演建筑</w:t>
            </w:r>
          </w:p>
        </w:tc>
        <w:tc>
          <w:tcPr>
            <w:tcW w:w="2684" w:type="dxa"/>
            <w:shd w:val="clear" w:color="auto" w:fill="auto"/>
            <w:noWrap/>
            <w:vAlign w:val="center"/>
            <w:hideMark/>
          </w:tcPr>
          <w:p w14:paraId="73696107" w14:textId="77777777" w:rsidR="00913C78" w:rsidRPr="00F22172" w:rsidRDefault="00913C78" w:rsidP="00F22172">
            <w:pPr>
              <w:pStyle w:val="ae"/>
              <w:rPr>
                <w:b w:val="0"/>
                <w:bCs/>
              </w:rPr>
            </w:pPr>
            <w:r w:rsidRPr="00F22172">
              <w:rPr>
                <w:rFonts w:hint="eastAsia"/>
                <w:b w:val="0"/>
                <w:bCs/>
              </w:rPr>
              <w:t>10.0</w:t>
            </w:r>
          </w:p>
        </w:tc>
      </w:tr>
      <w:tr w:rsidR="00913C78" w:rsidRPr="00F22172" w14:paraId="42E100A0" w14:textId="77777777" w:rsidTr="00E221F6">
        <w:trPr>
          <w:jc w:val="center"/>
        </w:trPr>
        <w:tc>
          <w:tcPr>
            <w:tcW w:w="2499" w:type="dxa"/>
            <w:gridSpan w:val="2"/>
            <w:shd w:val="clear" w:color="auto" w:fill="auto"/>
            <w:vAlign w:val="center"/>
            <w:hideMark/>
          </w:tcPr>
          <w:p w14:paraId="4B88F709" w14:textId="77777777" w:rsidR="00913C78" w:rsidRPr="00F22172" w:rsidRDefault="00913C78" w:rsidP="00F22172">
            <w:pPr>
              <w:pStyle w:val="ae"/>
              <w:rPr>
                <w:b w:val="0"/>
                <w:bCs/>
              </w:rPr>
            </w:pPr>
            <w:r w:rsidRPr="00F22172">
              <w:rPr>
                <w:rFonts w:hint="eastAsia"/>
                <w:b w:val="0"/>
                <w:bCs/>
              </w:rPr>
              <w:t>展览建筑</w:t>
            </w:r>
          </w:p>
        </w:tc>
        <w:tc>
          <w:tcPr>
            <w:tcW w:w="2684" w:type="dxa"/>
            <w:shd w:val="clear" w:color="auto" w:fill="auto"/>
            <w:noWrap/>
            <w:vAlign w:val="center"/>
            <w:hideMark/>
          </w:tcPr>
          <w:p w14:paraId="6079FCB8" w14:textId="77777777" w:rsidR="00913C78" w:rsidRPr="00F22172" w:rsidRDefault="00913C78" w:rsidP="00F22172">
            <w:pPr>
              <w:pStyle w:val="ae"/>
              <w:rPr>
                <w:b w:val="0"/>
                <w:bCs/>
              </w:rPr>
            </w:pPr>
            <w:r w:rsidRPr="00F22172">
              <w:rPr>
                <w:rFonts w:hint="eastAsia"/>
                <w:b w:val="0"/>
                <w:bCs/>
              </w:rPr>
              <w:t>10.0</w:t>
            </w:r>
          </w:p>
        </w:tc>
      </w:tr>
    </w:tbl>
    <w:p w14:paraId="4CE1D589" w14:textId="5B2F271F" w:rsidR="00913C78" w:rsidRPr="00913C78" w:rsidRDefault="00913C78" w:rsidP="00F22172">
      <w:pPr>
        <w:pStyle w:val="ae"/>
      </w:pPr>
      <w:r w:rsidRPr="00913C78">
        <w:rPr>
          <w:rFonts w:hint="eastAsia"/>
        </w:rPr>
        <w:t>附表</w:t>
      </w:r>
      <w:r w:rsidRPr="00913C78">
        <w:rPr>
          <w:rFonts w:hint="eastAsia"/>
        </w:rPr>
        <w:t>A.5.</w:t>
      </w:r>
      <w:r w:rsidRPr="00913C78">
        <w:t>1</w:t>
      </w:r>
      <w:r w:rsidR="00532D0F">
        <w:t>4</w:t>
      </w:r>
      <w:r w:rsidRPr="00913C78">
        <w:rPr>
          <w:rFonts w:hint="eastAsia"/>
        </w:rPr>
        <w:t xml:space="preserve">  </w:t>
      </w:r>
      <w:r w:rsidRPr="00913C78">
        <w:rPr>
          <w:rFonts w:hint="eastAsia"/>
        </w:rPr>
        <w:t>办公建筑、教学楼、宾馆建筑、住院部、商店建筑、门诊楼电气设备逐时使用率</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14" w:type="dxa"/>
          <w:right w:w="57" w:type="dxa"/>
        </w:tblCellMar>
        <w:tblLook w:val="04A0" w:firstRow="1" w:lastRow="0" w:firstColumn="1" w:lastColumn="0" w:noHBand="0" w:noVBand="1"/>
      </w:tblPr>
      <w:tblGrid>
        <w:gridCol w:w="1246"/>
        <w:gridCol w:w="742"/>
        <w:gridCol w:w="447"/>
        <w:gridCol w:w="448"/>
        <w:gridCol w:w="448"/>
        <w:gridCol w:w="448"/>
        <w:gridCol w:w="448"/>
        <w:gridCol w:w="448"/>
        <w:gridCol w:w="447"/>
        <w:gridCol w:w="448"/>
        <w:gridCol w:w="448"/>
        <w:gridCol w:w="448"/>
        <w:gridCol w:w="448"/>
        <w:gridCol w:w="448"/>
        <w:gridCol w:w="8"/>
      </w:tblGrid>
      <w:tr w:rsidR="00913C78" w:rsidRPr="00F22172" w14:paraId="6E8C672C" w14:textId="77777777" w:rsidTr="00E221F6">
        <w:trPr>
          <w:jc w:val="center"/>
        </w:trPr>
        <w:tc>
          <w:tcPr>
            <w:tcW w:w="1246" w:type="dxa"/>
            <w:vMerge w:val="restart"/>
            <w:shd w:val="clear" w:color="auto" w:fill="auto"/>
            <w:vAlign w:val="center"/>
            <w:hideMark/>
          </w:tcPr>
          <w:p w14:paraId="0EC9D9B1" w14:textId="77777777" w:rsidR="00913C78" w:rsidRPr="00F22172" w:rsidRDefault="00913C78" w:rsidP="00F22172">
            <w:pPr>
              <w:pStyle w:val="ae"/>
              <w:rPr>
                <w:b w:val="0"/>
                <w:bCs/>
              </w:rPr>
            </w:pPr>
            <w:r w:rsidRPr="00F22172">
              <w:rPr>
                <w:rFonts w:hint="eastAsia"/>
                <w:b w:val="0"/>
                <w:bCs/>
              </w:rPr>
              <w:t>建筑类别</w:t>
            </w:r>
          </w:p>
        </w:tc>
        <w:tc>
          <w:tcPr>
            <w:tcW w:w="742" w:type="dxa"/>
            <w:vMerge w:val="restart"/>
            <w:shd w:val="clear" w:color="auto" w:fill="auto"/>
            <w:vAlign w:val="center"/>
            <w:hideMark/>
          </w:tcPr>
          <w:p w14:paraId="70B10482" w14:textId="77777777" w:rsidR="00913C78" w:rsidRPr="00F22172" w:rsidRDefault="00913C78" w:rsidP="00F22172">
            <w:pPr>
              <w:pStyle w:val="ae"/>
              <w:rPr>
                <w:b w:val="0"/>
                <w:bCs/>
              </w:rPr>
            </w:pPr>
            <w:r w:rsidRPr="00F22172">
              <w:rPr>
                <w:rFonts w:hint="eastAsia"/>
                <w:b w:val="0"/>
                <w:bCs/>
              </w:rPr>
              <w:t>运行时段</w:t>
            </w:r>
          </w:p>
        </w:tc>
        <w:tc>
          <w:tcPr>
            <w:tcW w:w="5382" w:type="dxa"/>
            <w:gridSpan w:val="13"/>
            <w:shd w:val="clear" w:color="auto" w:fill="auto"/>
            <w:vAlign w:val="center"/>
            <w:hideMark/>
          </w:tcPr>
          <w:p w14:paraId="5206EBAF"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电气设备逐时使用率</w:t>
            </w:r>
            <w:r w:rsidRPr="00F22172">
              <w:rPr>
                <w:rFonts w:hint="eastAsia"/>
                <w:b w:val="0"/>
                <w:bCs/>
              </w:rPr>
              <w:t>/%</w:t>
            </w:r>
          </w:p>
        </w:tc>
      </w:tr>
      <w:tr w:rsidR="00913C78" w:rsidRPr="00F22172" w14:paraId="4A90CF8F" w14:textId="77777777" w:rsidTr="00E221F6">
        <w:trPr>
          <w:gridAfter w:val="1"/>
          <w:wAfter w:w="8" w:type="dxa"/>
          <w:jc w:val="center"/>
        </w:trPr>
        <w:tc>
          <w:tcPr>
            <w:tcW w:w="1246" w:type="dxa"/>
            <w:vMerge/>
            <w:shd w:val="clear" w:color="auto" w:fill="auto"/>
            <w:vAlign w:val="center"/>
            <w:hideMark/>
          </w:tcPr>
          <w:p w14:paraId="1B5EF195" w14:textId="77777777" w:rsidR="00913C78" w:rsidRPr="00F22172" w:rsidRDefault="00913C78" w:rsidP="00F22172">
            <w:pPr>
              <w:pStyle w:val="ae"/>
              <w:rPr>
                <w:b w:val="0"/>
                <w:bCs/>
              </w:rPr>
            </w:pPr>
          </w:p>
        </w:tc>
        <w:tc>
          <w:tcPr>
            <w:tcW w:w="742" w:type="dxa"/>
            <w:vMerge/>
            <w:shd w:val="clear" w:color="auto" w:fill="auto"/>
            <w:vAlign w:val="center"/>
            <w:hideMark/>
          </w:tcPr>
          <w:p w14:paraId="24669881" w14:textId="77777777" w:rsidR="00913C78" w:rsidRPr="00F22172" w:rsidRDefault="00913C78" w:rsidP="00F22172">
            <w:pPr>
              <w:pStyle w:val="ae"/>
              <w:rPr>
                <w:b w:val="0"/>
                <w:bCs/>
              </w:rPr>
            </w:pPr>
          </w:p>
        </w:tc>
        <w:tc>
          <w:tcPr>
            <w:tcW w:w="447" w:type="dxa"/>
            <w:shd w:val="clear" w:color="auto" w:fill="auto"/>
            <w:vAlign w:val="center"/>
            <w:hideMark/>
          </w:tcPr>
          <w:p w14:paraId="0EF54942" w14:textId="77777777" w:rsidR="00913C78" w:rsidRPr="00F22172" w:rsidRDefault="00913C78" w:rsidP="00F22172">
            <w:pPr>
              <w:pStyle w:val="ae"/>
              <w:rPr>
                <w:b w:val="0"/>
                <w:bCs/>
              </w:rPr>
            </w:pPr>
            <w:r w:rsidRPr="00F22172">
              <w:rPr>
                <w:rFonts w:hint="eastAsia"/>
                <w:b w:val="0"/>
                <w:bCs/>
              </w:rPr>
              <w:t>1</w:t>
            </w:r>
          </w:p>
        </w:tc>
        <w:tc>
          <w:tcPr>
            <w:tcW w:w="448" w:type="dxa"/>
            <w:shd w:val="clear" w:color="auto" w:fill="auto"/>
            <w:vAlign w:val="center"/>
            <w:hideMark/>
          </w:tcPr>
          <w:p w14:paraId="73082BE2" w14:textId="77777777" w:rsidR="00913C78" w:rsidRPr="00F22172" w:rsidRDefault="00913C78" w:rsidP="00F22172">
            <w:pPr>
              <w:pStyle w:val="ae"/>
              <w:rPr>
                <w:b w:val="0"/>
                <w:bCs/>
              </w:rPr>
            </w:pPr>
            <w:r w:rsidRPr="00F22172">
              <w:rPr>
                <w:rFonts w:hint="eastAsia"/>
                <w:b w:val="0"/>
                <w:bCs/>
              </w:rPr>
              <w:t>2</w:t>
            </w:r>
          </w:p>
        </w:tc>
        <w:tc>
          <w:tcPr>
            <w:tcW w:w="448" w:type="dxa"/>
            <w:shd w:val="clear" w:color="auto" w:fill="auto"/>
            <w:vAlign w:val="center"/>
            <w:hideMark/>
          </w:tcPr>
          <w:p w14:paraId="1B88852D" w14:textId="77777777" w:rsidR="00913C78" w:rsidRPr="00F22172" w:rsidRDefault="00913C78" w:rsidP="00F22172">
            <w:pPr>
              <w:pStyle w:val="ae"/>
              <w:rPr>
                <w:b w:val="0"/>
                <w:bCs/>
              </w:rPr>
            </w:pPr>
            <w:r w:rsidRPr="00F22172">
              <w:rPr>
                <w:rFonts w:hint="eastAsia"/>
                <w:b w:val="0"/>
                <w:bCs/>
              </w:rPr>
              <w:t>3</w:t>
            </w:r>
          </w:p>
        </w:tc>
        <w:tc>
          <w:tcPr>
            <w:tcW w:w="448" w:type="dxa"/>
            <w:shd w:val="clear" w:color="auto" w:fill="auto"/>
            <w:vAlign w:val="center"/>
            <w:hideMark/>
          </w:tcPr>
          <w:p w14:paraId="5F69BD6D" w14:textId="77777777" w:rsidR="00913C78" w:rsidRPr="00F22172" w:rsidRDefault="00913C78" w:rsidP="00F22172">
            <w:pPr>
              <w:pStyle w:val="ae"/>
              <w:rPr>
                <w:b w:val="0"/>
                <w:bCs/>
              </w:rPr>
            </w:pPr>
            <w:r w:rsidRPr="00F22172">
              <w:rPr>
                <w:rFonts w:hint="eastAsia"/>
                <w:b w:val="0"/>
                <w:bCs/>
              </w:rPr>
              <w:t>4</w:t>
            </w:r>
          </w:p>
        </w:tc>
        <w:tc>
          <w:tcPr>
            <w:tcW w:w="448" w:type="dxa"/>
            <w:shd w:val="clear" w:color="auto" w:fill="auto"/>
            <w:vAlign w:val="center"/>
            <w:hideMark/>
          </w:tcPr>
          <w:p w14:paraId="7694F3A2" w14:textId="77777777" w:rsidR="00913C78" w:rsidRPr="00F22172" w:rsidRDefault="00913C78" w:rsidP="00F22172">
            <w:pPr>
              <w:pStyle w:val="ae"/>
              <w:rPr>
                <w:b w:val="0"/>
                <w:bCs/>
              </w:rPr>
            </w:pPr>
            <w:r w:rsidRPr="00F22172">
              <w:rPr>
                <w:rFonts w:hint="eastAsia"/>
                <w:b w:val="0"/>
                <w:bCs/>
              </w:rPr>
              <w:t>5</w:t>
            </w:r>
          </w:p>
        </w:tc>
        <w:tc>
          <w:tcPr>
            <w:tcW w:w="448" w:type="dxa"/>
            <w:shd w:val="clear" w:color="auto" w:fill="auto"/>
            <w:vAlign w:val="center"/>
            <w:hideMark/>
          </w:tcPr>
          <w:p w14:paraId="4B53836A" w14:textId="77777777" w:rsidR="00913C78" w:rsidRPr="00F22172" w:rsidRDefault="00913C78" w:rsidP="00F22172">
            <w:pPr>
              <w:pStyle w:val="ae"/>
              <w:rPr>
                <w:b w:val="0"/>
                <w:bCs/>
              </w:rPr>
            </w:pPr>
            <w:r w:rsidRPr="00F22172">
              <w:rPr>
                <w:rFonts w:hint="eastAsia"/>
                <w:b w:val="0"/>
                <w:bCs/>
              </w:rPr>
              <w:t>6</w:t>
            </w:r>
          </w:p>
        </w:tc>
        <w:tc>
          <w:tcPr>
            <w:tcW w:w="447" w:type="dxa"/>
            <w:shd w:val="clear" w:color="auto" w:fill="auto"/>
            <w:vAlign w:val="center"/>
            <w:hideMark/>
          </w:tcPr>
          <w:p w14:paraId="5DE55332" w14:textId="77777777" w:rsidR="00913C78" w:rsidRPr="00F22172" w:rsidRDefault="00913C78" w:rsidP="00F22172">
            <w:pPr>
              <w:pStyle w:val="ae"/>
              <w:rPr>
                <w:b w:val="0"/>
                <w:bCs/>
              </w:rPr>
            </w:pPr>
            <w:r w:rsidRPr="00F22172">
              <w:rPr>
                <w:rFonts w:hint="eastAsia"/>
                <w:b w:val="0"/>
                <w:bCs/>
              </w:rPr>
              <w:t>7</w:t>
            </w:r>
          </w:p>
        </w:tc>
        <w:tc>
          <w:tcPr>
            <w:tcW w:w="448" w:type="dxa"/>
            <w:shd w:val="clear" w:color="auto" w:fill="auto"/>
            <w:vAlign w:val="center"/>
            <w:hideMark/>
          </w:tcPr>
          <w:p w14:paraId="41B58F43" w14:textId="77777777" w:rsidR="00913C78" w:rsidRPr="00F22172" w:rsidRDefault="00913C78" w:rsidP="00F22172">
            <w:pPr>
              <w:pStyle w:val="ae"/>
              <w:rPr>
                <w:b w:val="0"/>
                <w:bCs/>
              </w:rPr>
            </w:pPr>
            <w:r w:rsidRPr="00F22172">
              <w:rPr>
                <w:rFonts w:hint="eastAsia"/>
                <w:b w:val="0"/>
                <w:bCs/>
              </w:rPr>
              <w:t>8</w:t>
            </w:r>
          </w:p>
        </w:tc>
        <w:tc>
          <w:tcPr>
            <w:tcW w:w="448" w:type="dxa"/>
            <w:shd w:val="clear" w:color="auto" w:fill="auto"/>
            <w:vAlign w:val="center"/>
            <w:hideMark/>
          </w:tcPr>
          <w:p w14:paraId="6D45DEF8" w14:textId="77777777" w:rsidR="00913C78" w:rsidRPr="00F22172" w:rsidRDefault="00913C78" w:rsidP="00F22172">
            <w:pPr>
              <w:pStyle w:val="ae"/>
              <w:rPr>
                <w:b w:val="0"/>
                <w:bCs/>
              </w:rPr>
            </w:pPr>
            <w:r w:rsidRPr="00F22172">
              <w:rPr>
                <w:rFonts w:hint="eastAsia"/>
                <w:b w:val="0"/>
                <w:bCs/>
              </w:rPr>
              <w:t>9</w:t>
            </w:r>
          </w:p>
        </w:tc>
        <w:tc>
          <w:tcPr>
            <w:tcW w:w="448" w:type="dxa"/>
            <w:shd w:val="clear" w:color="auto" w:fill="auto"/>
            <w:vAlign w:val="center"/>
            <w:hideMark/>
          </w:tcPr>
          <w:p w14:paraId="2C87C3EF" w14:textId="77777777" w:rsidR="00913C78" w:rsidRPr="00F22172" w:rsidRDefault="00913C78" w:rsidP="00F22172">
            <w:pPr>
              <w:pStyle w:val="ae"/>
              <w:rPr>
                <w:b w:val="0"/>
                <w:bCs/>
              </w:rPr>
            </w:pPr>
            <w:r w:rsidRPr="00F22172">
              <w:rPr>
                <w:rFonts w:hint="eastAsia"/>
                <w:b w:val="0"/>
                <w:bCs/>
              </w:rPr>
              <w:t>10</w:t>
            </w:r>
          </w:p>
        </w:tc>
        <w:tc>
          <w:tcPr>
            <w:tcW w:w="448" w:type="dxa"/>
            <w:shd w:val="clear" w:color="auto" w:fill="auto"/>
            <w:vAlign w:val="center"/>
            <w:hideMark/>
          </w:tcPr>
          <w:p w14:paraId="6F747AC4" w14:textId="77777777" w:rsidR="00913C78" w:rsidRPr="00F22172" w:rsidRDefault="00913C78" w:rsidP="00F22172">
            <w:pPr>
              <w:pStyle w:val="ae"/>
              <w:rPr>
                <w:b w:val="0"/>
                <w:bCs/>
              </w:rPr>
            </w:pPr>
            <w:r w:rsidRPr="00F22172">
              <w:rPr>
                <w:rFonts w:hint="eastAsia"/>
                <w:b w:val="0"/>
                <w:bCs/>
              </w:rPr>
              <w:t>11</w:t>
            </w:r>
          </w:p>
        </w:tc>
        <w:tc>
          <w:tcPr>
            <w:tcW w:w="448" w:type="dxa"/>
            <w:shd w:val="clear" w:color="auto" w:fill="auto"/>
            <w:vAlign w:val="center"/>
            <w:hideMark/>
          </w:tcPr>
          <w:p w14:paraId="6296B453" w14:textId="77777777" w:rsidR="00913C78" w:rsidRPr="00F22172" w:rsidRDefault="00913C78" w:rsidP="00F22172">
            <w:pPr>
              <w:pStyle w:val="ae"/>
              <w:rPr>
                <w:b w:val="0"/>
                <w:bCs/>
              </w:rPr>
            </w:pPr>
            <w:r w:rsidRPr="00F22172">
              <w:rPr>
                <w:rFonts w:hint="eastAsia"/>
                <w:b w:val="0"/>
                <w:bCs/>
              </w:rPr>
              <w:t>12</w:t>
            </w:r>
          </w:p>
        </w:tc>
      </w:tr>
      <w:tr w:rsidR="00913C78" w:rsidRPr="00F22172" w14:paraId="3DC2CFF0" w14:textId="77777777" w:rsidTr="00E221F6">
        <w:trPr>
          <w:gridAfter w:val="1"/>
          <w:wAfter w:w="8" w:type="dxa"/>
          <w:jc w:val="center"/>
        </w:trPr>
        <w:tc>
          <w:tcPr>
            <w:tcW w:w="1246" w:type="dxa"/>
            <w:vMerge w:val="restart"/>
            <w:shd w:val="clear" w:color="auto" w:fill="auto"/>
            <w:vAlign w:val="center"/>
            <w:hideMark/>
          </w:tcPr>
          <w:p w14:paraId="30778102" w14:textId="77777777" w:rsidR="00913C78" w:rsidRPr="00F22172" w:rsidRDefault="00913C78" w:rsidP="00F22172">
            <w:pPr>
              <w:pStyle w:val="ae"/>
              <w:rPr>
                <w:b w:val="0"/>
                <w:bCs/>
              </w:rPr>
            </w:pPr>
            <w:r w:rsidRPr="00F22172">
              <w:rPr>
                <w:rFonts w:hint="eastAsia"/>
                <w:b w:val="0"/>
                <w:bCs/>
              </w:rPr>
              <w:t>办公建筑、教学楼</w:t>
            </w:r>
          </w:p>
        </w:tc>
        <w:tc>
          <w:tcPr>
            <w:tcW w:w="742" w:type="dxa"/>
            <w:shd w:val="clear" w:color="auto" w:fill="auto"/>
            <w:vAlign w:val="center"/>
            <w:hideMark/>
          </w:tcPr>
          <w:p w14:paraId="739CFE51" w14:textId="77777777" w:rsidR="00913C78" w:rsidRPr="00F22172" w:rsidRDefault="00913C78" w:rsidP="00F22172">
            <w:pPr>
              <w:pStyle w:val="ae"/>
              <w:rPr>
                <w:b w:val="0"/>
                <w:bCs/>
              </w:rPr>
            </w:pPr>
            <w:r w:rsidRPr="00F22172">
              <w:rPr>
                <w:rFonts w:hint="eastAsia"/>
                <w:b w:val="0"/>
                <w:bCs/>
              </w:rPr>
              <w:t>工作日</w:t>
            </w:r>
          </w:p>
        </w:tc>
        <w:tc>
          <w:tcPr>
            <w:tcW w:w="447" w:type="dxa"/>
            <w:shd w:val="clear" w:color="auto" w:fill="auto"/>
            <w:vAlign w:val="center"/>
            <w:hideMark/>
          </w:tcPr>
          <w:p w14:paraId="68D56C6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EAC726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8ACA73E"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298AB4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5EE72CB"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7B6A698"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521EEAF" w14:textId="77777777" w:rsidR="00913C78" w:rsidRPr="00F22172" w:rsidRDefault="00913C78" w:rsidP="00F22172">
            <w:pPr>
              <w:pStyle w:val="ae"/>
              <w:rPr>
                <w:b w:val="0"/>
                <w:bCs/>
              </w:rPr>
            </w:pPr>
            <w:r w:rsidRPr="00F22172">
              <w:rPr>
                <w:rFonts w:hint="eastAsia"/>
                <w:b w:val="0"/>
                <w:bCs/>
              </w:rPr>
              <w:t>10</w:t>
            </w:r>
          </w:p>
        </w:tc>
        <w:tc>
          <w:tcPr>
            <w:tcW w:w="448" w:type="dxa"/>
            <w:shd w:val="clear" w:color="auto" w:fill="auto"/>
            <w:vAlign w:val="center"/>
            <w:hideMark/>
          </w:tcPr>
          <w:p w14:paraId="41CE84C5" w14:textId="77777777" w:rsidR="00913C78" w:rsidRPr="00F22172" w:rsidRDefault="00913C78" w:rsidP="00F22172">
            <w:pPr>
              <w:pStyle w:val="ae"/>
              <w:rPr>
                <w:b w:val="0"/>
                <w:bCs/>
              </w:rPr>
            </w:pPr>
            <w:r w:rsidRPr="00F22172">
              <w:rPr>
                <w:rFonts w:hint="eastAsia"/>
                <w:b w:val="0"/>
                <w:bCs/>
              </w:rPr>
              <w:t>50</w:t>
            </w:r>
          </w:p>
        </w:tc>
        <w:tc>
          <w:tcPr>
            <w:tcW w:w="448" w:type="dxa"/>
            <w:shd w:val="clear" w:color="auto" w:fill="auto"/>
            <w:vAlign w:val="center"/>
            <w:hideMark/>
          </w:tcPr>
          <w:p w14:paraId="2AC84133"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5F7A0DE1"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68734E19"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2A87FB5C" w14:textId="77777777" w:rsidR="00913C78" w:rsidRPr="00F22172" w:rsidRDefault="00913C78" w:rsidP="00F22172">
            <w:pPr>
              <w:pStyle w:val="ae"/>
              <w:rPr>
                <w:b w:val="0"/>
                <w:bCs/>
              </w:rPr>
            </w:pPr>
            <w:r w:rsidRPr="00F22172">
              <w:rPr>
                <w:rFonts w:hint="eastAsia"/>
                <w:b w:val="0"/>
                <w:bCs/>
              </w:rPr>
              <w:t>50</w:t>
            </w:r>
          </w:p>
        </w:tc>
      </w:tr>
      <w:tr w:rsidR="00913C78" w:rsidRPr="00F22172" w14:paraId="1D79DE88" w14:textId="77777777" w:rsidTr="00E221F6">
        <w:trPr>
          <w:gridAfter w:val="1"/>
          <w:wAfter w:w="8" w:type="dxa"/>
          <w:jc w:val="center"/>
        </w:trPr>
        <w:tc>
          <w:tcPr>
            <w:tcW w:w="1246" w:type="dxa"/>
            <w:vMerge/>
            <w:shd w:val="clear" w:color="auto" w:fill="auto"/>
            <w:vAlign w:val="center"/>
            <w:hideMark/>
          </w:tcPr>
          <w:p w14:paraId="75B00A05" w14:textId="77777777" w:rsidR="00913C78" w:rsidRPr="00F22172" w:rsidRDefault="00913C78" w:rsidP="00F22172">
            <w:pPr>
              <w:pStyle w:val="ae"/>
              <w:rPr>
                <w:b w:val="0"/>
                <w:bCs/>
              </w:rPr>
            </w:pPr>
          </w:p>
        </w:tc>
        <w:tc>
          <w:tcPr>
            <w:tcW w:w="742" w:type="dxa"/>
            <w:shd w:val="clear" w:color="auto" w:fill="auto"/>
            <w:vAlign w:val="center"/>
            <w:hideMark/>
          </w:tcPr>
          <w:p w14:paraId="7D7D47DE" w14:textId="77777777" w:rsidR="00913C78" w:rsidRPr="00F22172" w:rsidRDefault="00913C78" w:rsidP="00F22172">
            <w:pPr>
              <w:pStyle w:val="ae"/>
              <w:rPr>
                <w:b w:val="0"/>
                <w:bCs/>
              </w:rPr>
            </w:pPr>
            <w:r w:rsidRPr="00F22172">
              <w:rPr>
                <w:rFonts w:hint="eastAsia"/>
                <w:b w:val="0"/>
                <w:bCs/>
              </w:rPr>
              <w:t>节假日</w:t>
            </w:r>
          </w:p>
        </w:tc>
        <w:tc>
          <w:tcPr>
            <w:tcW w:w="447" w:type="dxa"/>
            <w:shd w:val="clear" w:color="auto" w:fill="auto"/>
            <w:vAlign w:val="center"/>
            <w:hideMark/>
          </w:tcPr>
          <w:p w14:paraId="4A3AF8C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36697C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1D96A9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CDAC64C"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FF6283A"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1721204"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029C7DF"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DE57421"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6A4EB3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FE0A1A5"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7A5EE17"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3ABB634" w14:textId="77777777" w:rsidR="00913C78" w:rsidRPr="00F22172" w:rsidRDefault="00913C78" w:rsidP="00F22172">
            <w:pPr>
              <w:pStyle w:val="ae"/>
              <w:rPr>
                <w:b w:val="0"/>
                <w:bCs/>
              </w:rPr>
            </w:pPr>
            <w:r w:rsidRPr="00F22172">
              <w:rPr>
                <w:rFonts w:hint="eastAsia"/>
                <w:b w:val="0"/>
                <w:bCs/>
              </w:rPr>
              <w:t>0</w:t>
            </w:r>
          </w:p>
        </w:tc>
      </w:tr>
      <w:tr w:rsidR="00913C78" w:rsidRPr="00F22172" w14:paraId="4201B41F" w14:textId="77777777" w:rsidTr="00E221F6">
        <w:trPr>
          <w:gridAfter w:val="1"/>
          <w:wAfter w:w="8" w:type="dxa"/>
          <w:jc w:val="center"/>
        </w:trPr>
        <w:tc>
          <w:tcPr>
            <w:tcW w:w="1246" w:type="dxa"/>
            <w:shd w:val="clear" w:color="auto" w:fill="auto"/>
            <w:vAlign w:val="center"/>
            <w:hideMark/>
          </w:tcPr>
          <w:p w14:paraId="675AC1C6" w14:textId="77777777" w:rsidR="00913C78" w:rsidRPr="00F22172" w:rsidRDefault="00913C78" w:rsidP="00F22172">
            <w:pPr>
              <w:pStyle w:val="ae"/>
              <w:rPr>
                <w:b w:val="0"/>
                <w:bCs/>
              </w:rPr>
            </w:pPr>
            <w:r w:rsidRPr="00F22172">
              <w:rPr>
                <w:rFonts w:hint="eastAsia"/>
                <w:b w:val="0"/>
                <w:bCs/>
              </w:rPr>
              <w:t>宾馆建筑</w:t>
            </w:r>
          </w:p>
        </w:tc>
        <w:tc>
          <w:tcPr>
            <w:tcW w:w="742" w:type="dxa"/>
            <w:shd w:val="clear" w:color="auto" w:fill="auto"/>
            <w:vAlign w:val="center"/>
            <w:hideMark/>
          </w:tcPr>
          <w:p w14:paraId="1FC8B5E1"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71F63042"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CA644AC"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1A53527"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9F4FBA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665F68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0AF64DE"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3BD91F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A9540D6"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AE553F7"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AD31F1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05CB902"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0323AAD" w14:textId="77777777" w:rsidR="00913C78" w:rsidRPr="00F22172" w:rsidRDefault="00913C78" w:rsidP="00F22172">
            <w:pPr>
              <w:pStyle w:val="ae"/>
              <w:rPr>
                <w:b w:val="0"/>
                <w:bCs/>
              </w:rPr>
            </w:pPr>
            <w:r w:rsidRPr="00F22172">
              <w:rPr>
                <w:rFonts w:hint="eastAsia"/>
                <w:b w:val="0"/>
                <w:bCs/>
              </w:rPr>
              <w:t>0</w:t>
            </w:r>
          </w:p>
        </w:tc>
      </w:tr>
      <w:tr w:rsidR="00913C78" w:rsidRPr="00F22172" w14:paraId="719C7FEF" w14:textId="77777777" w:rsidTr="00E221F6">
        <w:trPr>
          <w:gridAfter w:val="1"/>
          <w:wAfter w:w="8" w:type="dxa"/>
          <w:jc w:val="center"/>
        </w:trPr>
        <w:tc>
          <w:tcPr>
            <w:tcW w:w="1246" w:type="dxa"/>
            <w:shd w:val="clear" w:color="auto" w:fill="auto"/>
            <w:vAlign w:val="center"/>
            <w:hideMark/>
          </w:tcPr>
          <w:p w14:paraId="5667E8B8" w14:textId="77777777" w:rsidR="00913C78" w:rsidRPr="00F22172" w:rsidRDefault="00913C78" w:rsidP="00F22172">
            <w:pPr>
              <w:pStyle w:val="ae"/>
              <w:rPr>
                <w:b w:val="0"/>
                <w:bCs/>
              </w:rPr>
            </w:pPr>
            <w:r w:rsidRPr="00F22172">
              <w:rPr>
                <w:rFonts w:hint="eastAsia"/>
                <w:b w:val="0"/>
                <w:bCs/>
              </w:rPr>
              <w:t>住院部</w:t>
            </w:r>
          </w:p>
        </w:tc>
        <w:tc>
          <w:tcPr>
            <w:tcW w:w="742" w:type="dxa"/>
            <w:shd w:val="clear" w:color="auto" w:fill="auto"/>
            <w:vAlign w:val="center"/>
            <w:hideMark/>
          </w:tcPr>
          <w:p w14:paraId="6B57C46A"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21171417"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0D6A7A52"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48E34599"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51F1E60F"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4813A15E"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34227DC6"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2A3FDA9D"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6EB29006"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534C31F6"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2D2586E8"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13B53246"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29565F8D" w14:textId="77777777" w:rsidR="00913C78" w:rsidRPr="00F22172" w:rsidRDefault="00913C78" w:rsidP="00F22172">
            <w:pPr>
              <w:pStyle w:val="ae"/>
              <w:rPr>
                <w:b w:val="0"/>
                <w:bCs/>
              </w:rPr>
            </w:pPr>
            <w:r w:rsidRPr="00F22172">
              <w:rPr>
                <w:rFonts w:hint="eastAsia"/>
                <w:b w:val="0"/>
                <w:bCs/>
              </w:rPr>
              <w:t>95</w:t>
            </w:r>
          </w:p>
        </w:tc>
      </w:tr>
      <w:tr w:rsidR="00913C78" w:rsidRPr="00F22172" w14:paraId="35B713FB" w14:textId="77777777" w:rsidTr="00E221F6">
        <w:trPr>
          <w:gridAfter w:val="1"/>
          <w:wAfter w:w="8" w:type="dxa"/>
          <w:jc w:val="center"/>
        </w:trPr>
        <w:tc>
          <w:tcPr>
            <w:tcW w:w="1246" w:type="dxa"/>
            <w:shd w:val="clear" w:color="auto" w:fill="auto"/>
            <w:vAlign w:val="center"/>
            <w:hideMark/>
          </w:tcPr>
          <w:p w14:paraId="1BE4DA41" w14:textId="77777777" w:rsidR="00913C78" w:rsidRPr="00F22172" w:rsidRDefault="00913C78" w:rsidP="00F22172">
            <w:pPr>
              <w:pStyle w:val="ae"/>
              <w:rPr>
                <w:b w:val="0"/>
                <w:bCs/>
              </w:rPr>
            </w:pPr>
            <w:r w:rsidRPr="00F22172">
              <w:rPr>
                <w:rFonts w:hint="eastAsia"/>
                <w:b w:val="0"/>
                <w:bCs/>
              </w:rPr>
              <w:t>商店建筑</w:t>
            </w:r>
          </w:p>
        </w:tc>
        <w:tc>
          <w:tcPr>
            <w:tcW w:w="742" w:type="dxa"/>
            <w:shd w:val="clear" w:color="auto" w:fill="auto"/>
            <w:vAlign w:val="center"/>
            <w:hideMark/>
          </w:tcPr>
          <w:p w14:paraId="3595AEC7"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4A5EE6DA"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5CB1BE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BF942AE"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47FF30A"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B9B9AB4"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B8ABD97"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6498074B"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75CC65A" w14:textId="77777777" w:rsidR="00913C78" w:rsidRPr="00F22172" w:rsidRDefault="00913C78" w:rsidP="00F22172">
            <w:pPr>
              <w:pStyle w:val="ae"/>
              <w:rPr>
                <w:b w:val="0"/>
                <w:bCs/>
              </w:rPr>
            </w:pPr>
            <w:r w:rsidRPr="00F22172">
              <w:rPr>
                <w:rFonts w:hint="eastAsia"/>
                <w:b w:val="0"/>
                <w:bCs/>
              </w:rPr>
              <w:t>30</w:t>
            </w:r>
          </w:p>
        </w:tc>
        <w:tc>
          <w:tcPr>
            <w:tcW w:w="448" w:type="dxa"/>
            <w:shd w:val="clear" w:color="auto" w:fill="auto"/>
            <w:vAlign w:val="center"/>
            <w:hideMark/>
          </w:tcPr>
          <w:p w14:paraId="7D323911" w14:textId="77777777" w:rsidR="00913C78" w:rsidRPr="00F22172" w:rsidRDefault="00913C78" w:rsidP="00F22172">
            <w:pPr>
              <w:pStyle w:val="ae"/>
              <w:rPr>
                <w:b w:val="0"/>
                <w:bCs/>
              </w:rPr>
            </w:pPr>
            <w:r w:rsidRPr="00F22172">
              <w:rPr>
                <w:rFonts w:hint="eastAsia"/>
                <w:b w:val="0"/>
                <w:bCs/>
              </w:rPr>
              <w:t>50</w:t>
            </w:r>
          </w:p>
        </w:tc>
        <w:tc>
          <w:tcPr>
            <w:tcW w:w="448" w:type="dxa"/>
            <w:shd w:val="clear" w:color="auto" w:fill="auto"/>
            <w:vAlign w:val="center"/>
            <w:hideMark/>
          </w:tcPr>
          <w:p w14:paraId="0AC4413B"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2607383F"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7E058B1F" w14:textId="77777777" w:rsidR="00913C78" w:rsidRPr="00F22172" w:rsidRDefault="00913C78" w:rsidP="00F22172">
            <w:pPr>
              <w:pStyle w:val="ae"/>
              <w:rPr>
                <w:b w:val="0"/>
                <w:bCs/>
              </w:rPr>
            </w:pPr>
            <w:r w:rsidRPr="00F22172">
              <w:rPr>
                <w:rFonts w:hint="eastAsia"/>
                <w:b w:val="0"/>
                <w:bCs/>
              </w:rPr>
              <w:t>80</w:t>
            </w:r>
          </w:p>
        </w:tc>
      </w:tr>
      <w:tr w:rsidR="00913C78" w:rsidRPr="00F22172" w14:paraId="50D97A64" w14:textId="77777777" w:rsidTr="00E221F6">
        <w:trPr>
          <w:gridAfter w:val="1"/>
          <w:wAfter w:w="8" w:type="dxa"/>
          <w:jc w:val="center"/>
        </w:trPr>
        <w:tc>
          <w:tcPr>
            <w:tcW w:w="1246" w:type="dxa"/>
            <w:shd w:val="clear" w:color="auto" w:fill="auto"/>
            <w:vAlign w:val="center"/>
            <w:hideMark/>
          </w:tcPr>
          <w:p w14:paraId="4B86576E" w14:textId="77777777" w:rsidR="00913C78" w:rsidRPr="00F22172" w:rsidRDefault="00913C78" w:rsidP="00F22172">
            <w:pPr>
              <w:pStyle w:val="ae"/>
              <w:rPr>
                <w:b w:val="0"/>
                <w:bCs/>
              </w:rPr>
            </w:pPr>
            <w:r w:rsidRPr="00F22172">
              <w:rPr>
                <w:rFonts w:hint="eastAsia"/>
                <w:b w:val="0"/>
                <w:bCs/>
              </w:rPr>
              <w:t>门诊楼</w:t>
            </w:r>
          </w:p>
        </w:tc>
        <w:tc>
          <w:tcPr>
            <w:tcW w:w="742" w:type="dxa"/>
            <w:shd w:val="clear" w:color="auto" w:fill="auto"/>
            <w:vAlign w:val="center"/>
            <w:hideMark/>
          </w:tcPr>
          <w:p w14:paraId="7BD4E93B"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32046735"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DF82FF2"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55452FE"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F00D2AE"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D9F5972"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537242F"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1F73FAA4"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F6317B5" w14:textId="77777777" w:rsidR="00913C78" w:rsidRPr="00F22172" w:rsidRDefault="00913C78" w:rsidP="00F22172">
            <w:pPr>
              <w:pStyle w:val="ae"/>
              <w:rPr>
                <w:b w:val="0"/>
                <w:bCs/>
              </w:rPr>
            </w:pPr>
            <w:r w:rsidRPr="00F22172">
              <w:rPr>
                <w:rFonts w:hint="eastAsia"/>
                <w:b w:val="0"/>
                <w:bCs/>
              </w:rPr>
              <w:t>20</w:t>
            </w:r>
          </w:p>
        </w:tc>
        <w:tc>
          <w:tcPr>
            <w:tcW w:w="448" w:type="dxa"/>
            <w:shd w:val="clear" w:color="auto" w:fill="auto"/>
            <w:vAlign w:val="center"/>
            <w:hideMark/>
          </w:tcPr>
          <w:p w14:paraId="57914216" w14:textId="77777777" w:rsidR="00913C78" w:rsidRPr="00F22172" w:rsidRDefault="00913C78" w:rsidP="00F22172">
            <w:pPr>
              <w:pStyle w:val="ae"/>
              <w:rPr>
                <w:b w:val="0"/>
                <w:bCs/>
              </w:rPr>
            </w:pPr>
            <w:r w:rsidRPr="00F22172">
              <w:rPr>
                <w:rFonts w:hint="eastAsia"/>
                <w:b w:val="0"/>
                <w:bCs/>
              </w:rPr>
              <w:t>50</w:t>
            </w:r>
          </w:p>
        </w:tc>
        <w:tc>
          <w:tcPr>
            <w:tcW w:w="448" w:type="dxa"/>
            <w:shd w:val="clear" w:color="auto" w:fill="auto"/>
            <w:vAlign w:val="center"/>
            <w:hideMark/>
          </w:tcPr>
          <w:p w14:paraId="7AA11CD5"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11DC053A"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40C140A3" w14:textId="77777777" w:rsidR="00913C78" w:rsidRPr="00F22172" w:rsidRDefault="00913C78" w:rsidP="00F22172">
            <w:pPr>
              <w:pStyle w:val="ae"/>
              <w:rPr>
                <w:b w:val="0"/>
                <w:bCs/>
              </w:rPr>
            </w:pPr>
            <w:r w:rsidRPr="00F22172">
              <w:rPr>
                <w:rFonts w:hint="eastAsia"/>
                <w:b w:val="0"/>
                <w:bCs/>
              </w:rPr>
              <w:t>40</w:t>
            </w:r>
          </w:p>
        </w:tc>
      </w:tr>
      <w:tr w:rsidR="00913C78" w:rsidRPr="00F22172" w14:paraId="7FD405C3" w14:textId="77777777" w:rsidTr="00E221F6">
        <w:trPr>
          <w:jc w:val="center"/>
        </w:trPr>
        <w:tc>
          <w:tcPr>
            <w:tcW w:w="1246" w:type="dxa"/>
            <w:vMerge w:val="restart"/>
            <w:shd w:val="clear" w:color="auto" w:fill="auto"/>
            <w:vAlign w:val="center"/>
            <w:hideMark/>
          </w:tcPr>
          <w:p w14:paraId="42392B9D" w14:textId="77777777" w:rsidR="00913C78" w:rsidRPr="00F22172" w:rsidRDefault="00913C78" w:rsidP="00F22172">
            <w:pPr>
              <w:pStyle w:val="ae"/>
              <w:rPr>
                <w:b w:val="0"/>
                <w:bCs/>
              </w:rPr>
            </w:pPr>
            <w:r w:rsidRPr="00F22172">
              <w:rPr>
                <w:rFonts w:hint="eastAsia"/>
                <w:b w:val="0"/>
                <w:bCs/>
              </w:rPr>
              <w:t>建筑类别</w:t>
            </w:r>
          </w:p>
        </w:tc>
        <w:tc>
          <w:tcPr>
            <w:tcW w:w="742" w:type="dxa"/>
            <w:vMerge w:val="restart"/>
            <w:shd w:val="clear" w:color="auto" w:fill="auto"/>
            <w:vAlign w:val="center"/>
          </w:tcPr>
          <w:p w14:paraId="264B0559" w14:textId="77777777" w:rsidR="00913C78" w:rsidRPr="00F22172" w:rsidRDefault="00913C78" w:rsidP="00F22172">
            <w:pPr>
              <w:pStyle w:val="ae"/>
              <w:rPr>
                <w:b w:val="0"/>
                <w:bCs/>
              </w:rPr>
            </w:pPr>
            <w:r w:rsidRPr="00F22172">
              <w:rPr>
                <w:rFonts w:hint="eastAsia"/>
                <w:b w:val="0"/>
                <w:bCs/>
              </w:rPr>
              <w:t>运行时段</w:t>
            </w:r>
          </w:p>
        </w:tc>
        <w:tc>
          <w:tcPr>
            <w:tcW w:w="5382" w:type="dxa"/>
            <w:gridSpan w:val="13"/>
            <w:shd w:val="clear" w:color="auto" w:fill="auto"/>
            <w:vAlign w:val="center"/>
            <w:hideMark/>
          </w:tcPr>
          <w:p w14:paraId="2718DC9C" w14:textId="77777777" w:rsidR="00913C78" w:rsidRPr="00F22172" w:rsidRDefault="00913C78" w:rsidP="00F22172">
            <w:pPr>
              <w:pStyle w:val="ae"/>
              <w:rPr>
                <w:b w:val="0"/>
                <w:bCs/>
              </w:rPr>
            </w:pPr>
            <w:r w:rsidRPr="00F22172">
              <w:rPr>
                <w:rFonts w:hint="eastAsia"/>
                <w:b w:val="0"/>
                <w:bCs/>
              </w:rPr>
              <w:t>下列计算时刻</w:t>
            </w:r>
            <w:r w:rsidRPr="00F22172">
              <w:rPr>
                <w:rFonts w:hint="eastAsia"/>
                <w:b w:val="0"/>
                <w:bCs/>
              </w:rPr>
              <w:t>/h</w:t>
            </w:r>
            <w:r w:rsidRPr="00F22172">
              <w:rPr>
                <w:rFonts w:hint="eastAsia"/>
                <w:b w:val="0"/>
                <w:bCs/>
              </w:rPr>
              <w:t>电气设备逐时使用率</w:t>
            </w:r>
            <w:r w:rsidRPr="00F22172">
              <w:rPr>
                <w:rFonts w:hint="eastAsia"/>
                <w:b w:val="0"/>
                <w:bCs/>
              </w:rPr>
              <w:t>/%</w:t>
            </w:r>
          </w:p>
        </w:tc>
      </w:tr>
      <w:tr w:rsidR="00913C78" w:rsidRPr="00F22172" w14:paraId="59D08A88" w14:textId="77777777" w:rsidTr="00E221F6">
        <w:trPr>
          <w:gridAfter w:val="1"/>
          <w:wAfter w:w="8" w:type="dxa"/>
          <w:jc w:val="center"/>
        </w:trPr>
        <w:tc>
          <w:tcPr>
            <w:tcW w:w="1246" w:type="dxa"/>
            <w:vMerge/>
            <w:shd w:val="clear" w:color="auto" w:fill="auto"/>
            <w:vAlign w:val="center"/>
            <w:hideMark/>
          </w:tcPr>
          <w:p w14:paraId="03EE19C8" w14:textId="77777777" w:rsidR="00913C78" w:rsidRPr="00F22172" w:rsidRDefault="00913C78" w:rsidP="00F22172">
            <w:pPr>
              <w:pStyle w:val="ae"/>
              <w:rPr>
                <w:b w:val="0"/>
                <w:bCs/>
              </w:rPr>
            </w:pPr>
          </w:p>
        </w:tc>
        <w:tc>
          <w:tcPr>
            <w:tcW w:w="742" w:type="dxa"/>
            <w:vMerge/>
            <w:shd w:val="clear" w:color="auto" w:fill="auto"/>
            <w:vAlign w:val="center"/>
          </w:tcPr>
          <w:p w14:paraId="605FBE95" w14:textId="77777777" w:rsidR="00913C78" w:rsidRPr="00F22172" w:rsidRDefault="00913C78" w:rsidP="00F22172">
            <w:pPr>
              <w:pStyle w:val="ae"/>
              <w:rPr>
                <w:b w:val="0"/>
                <w:bCs/>
              </w:rPr>
            </w:pPr>
          </w:p>
        </w:tc>
        <w:tc>
          <w:tcPr>
            <w:tcW w:w="447" w:type="dxa"/>
            <w:shd w:val="clear" w:color="auto" w:fill="auto"/>
            <w:vAlign w:val="center"/>
            <w:hideMark/>
          </w:tcPr>
          <w:p w14:paraId="541F4B6B" w14:textId="77777777" w:rsidR="00913C78" w:rsidRPr="00F22172" w:rsidRDefault="00913C78" w:rsidP="00F22172">
            <w:pPr>
              <w:pStyle w:val="ae"/>
              <w:rPr>
                <w:b w:val="0"/>
                <w:bCs/>
              </w:rPr>
            </w:pPr>
            <w:r w:rsidRPr="00F22172">
              <w:rPr>
                <w:rFonts w:hint="eastAsia"/>
                <w:b w:val="0"/>
                <w:bCs/>
              </w:rPr>
              <w:t>13</w:t>
            </w:r>
          </w:p>
        </w:tc>
        <w:tc>
          <w:tcPr>
            <w:tcW w:w="448" w:type="dxa"/>
            <w:shd w:val="clear" w:color="auto" w:fill="auto"/>
            <w:vAlign w:val="center"/>
            <w:hideMark/>
          </w:tcPr>
          <w:p w14:paraId="4F9D3A49" w14:textId="77777777" w:rsidR="00913C78" w:rsidRPr="00F22172" w:rsidRDefault="00913C78" w:rsidP="00F22172">
            <w:pPr>
              <w:pStyle w:val="ae"/>
              <w:rPr>
                <w:b w:val="0"/>
                <w:bCs/>
              </w:rPr>
            </w:pPr>
            <w:r w:rsidRPr="00F22172">
              <w:rPr>
                <w:rFonts w:hint="eastAsia"/>
                <w:b w:val="0"/>
                <w:bCs/>
              </w:rPr>
              <w:t>14</w:t>
            </w:r>
          </w:p>
        </w:tc>
        <w:tc>
          <w:tcPr>
            <w:tcW w:w="448" w:type="dxa"/>
            <w:shd w:val="clear" w:color="auto" w:fill="auto"/>
            <w:vAlign w:val="center"/>
            <w:hideMark/>
          </w:tcPr>
          <w:p w14:paraId="5DD1EA5E" w14:textId="77777777" w:rsidR="00913C78" w:rsidRPr="00F22172" w:rsidRDefault="00913C78" w:rsidP="00F22172">
            <w:pPr>
              <w:pStyle w:val="ae"/>
              <w:rPr>
                <w:b w:val="0"/>
                <w:bCs/>
              </w:rPr>
            </w:pPr>
            <w:r w:rsidRPr="00F22172">
              <w:rPr>
                <w:rFonts w:hint="eastAsia"/>
                <w:b w:val="0"/>
                <w:bCs/>
              </w:rPr>
              <w:t>15</w:t>
            </w:r>
          </w:p>
        </w:tc>
        <w:tc>
          <w:tcPr>
            <w:tcW w:w="448" w:type="dxa"/>
            <w:shd w:val="clear" w:color="auto" w:fill="auto"/>
            <w:vAlign w:val="center"/>
            <w:hideMark/>
          </w:tcPr>
          <w:p w14:paraId="59190EE9" w14:textId="77777777" w:rsidR="00913C78" w:rsidRPr="00F22172" w:rsidRDefault="00913C78" w:rsidP="00F22172">
            <w:pPr>
              <w:pStyle w:val="ae"/>
              <w:rPr>
                <w:b w:val="0"/>
                <w:bCs/>
              </w:rPr>
            </w:pPr>
            <w:r w:rsidRPr="00F22172">
              <w:rPr>
                <w:rFonts w:hint="eastAsia"/>
                <w:b w:val="0"/>
                <w:bCs/>
              </w:rPr>
              <w:t>16</w:t>
            </w:r>
          </w:p>
        </w:tc>
        <w:tc>
          <w:tcPr>
            <w:tcW w:w="448" w:type="dxa"/>
            <w:shd w:val="clear" w:color="auto" w:fill="auto"/>
            <w:vAlign w:val="center"/>
            <w:hideMark/>
          </w:tcPr>
          <w:p w14:paraId="315DD6AA" w14:textId="77777777" w:rsidR="00913C78" w:rsidRPr="00F22172" w:rsidRDefault="00913C78" w:rsidP="00F22172">
            <w:pPr>
              <w:pStyle w:val="ae"/>
              <w:rPr>
                <w:b w:val="0"/>
                <w:bCs/>
              </w:rPr>
            </w:pPr>
            <w:r w:rsidRPr="00F22172">
              <w:rPr>
                <w:rFonts w:hint="eastAsia"/>
                <w:b w:val="0"/>
                <w:bCs/>
              </w:rPr>
              <w:t>17</w:t>
            </w:r>
          </w:p>
        </w:tc>
        <w:tc>
          <w:tcPr>
            <w:tcW w:w="448" w:type="dxa"/>
            <w:shd w:val="clear" w:color="auto" w:fill="auto"/>
            <w:vAlign w:val="center"/>
            <w:hideMark/>
          </w:tcPr>
          <w:p w14:paraId="7800FF50" w14:textId="77777777" w:rsidR="00913C78" w:rsidRPr="00F22172" w:rsidRDefault="00913C78" w:rsidP="00F22172">
            <w:pPr>
              <w:pStyle w:val="ae"/>
              <w:rPr>
                <w:b w:val="0"/>
                <w:bCs/>
              </w:rPr>
            </w:pPr>
            <w:r w:rsidRPr="00F22172">
              <w:rPr>
                <w:rFonts w:hint="eastAsia"/>
                <w:b w:val="0"/>
                <w:bCs/>
              </w:rPr>
              <w:t>18</w:t>
            </w:r>
          </w:p>
        </w:tc>
        <w:tc>
          <w:tcPr>
            <w:tcW w:w="447" w:type="dxa"/>
            <w:shd w:val="clear" w:color="auto" w:fill="auto"/>
            <w:vAlign w:val="center"/>
            <w:hideMark/>
          </w:tcPr>
          <w:p w14:paraId="594F8BCF" w14:textId="77777777" w:rsidR="00913C78" w:rsidRPr="00F22172" w:rsidRDefault="00913C78" w:rsidP="00F22172">
            <w:pPr>
              <w:pStyle w:val="ae"/>
              <w:rPr>
                <w:b w:val="0"/>
                <w:bCs/>
              </w:rPr>
            </w:pPr>
            <w:r w:rsidRPr="00F22172">
              <w:rPr>
                <w:rFonts w:hint="eastAsia"/>
                <w:b w:val="0"/>
                <w:bCs/>
              </w:rPr>
              <w:t>19</w:t>
            </w:r>
          </w:p>
        </w:tc>
        <w:tc>
          <w:tcPr>
            <w:tcW w:w="448" w:type="dxa"/>
            <w:shd w:val="clear" w:color="auto" w:fill="auto"/>
            <w:vAlign w:val="center"/>
            <w:hideMark/>
          </w:tcPr>
          <w:p w14:paraId="5BB365D4" w14:textId="77777777" w:rsidR="00913C78" w:rsidRPr="00F22172" w:rsidRDefault="00913C78" w:rsidP="00F22172">
            <w:pPr>
              <w:pStyle w:val="ae"/>
              <w:rPr>
                <w:b w:val="0"/>
                <w:bCs/>
              </w:rPr>
            </w:pPr>
            <w:r w:rsidRPr="00F22172">
              <w:rPr>
                <w:rFonts w:hint="eastAsia"/>
                <w:b w:val="0"/>
                <w:bCs/>
              </w:rPr>
              <w:t>20</w:t>
            </w:r>
          </w:p>
        </w:tc>
        <w:tc>
          <w:tcPr>
            <w:tcW w:w="448" w:type="dxa"/>
            <w:shd w:val="clear" w:color="auto" w:fill="auto"/>
            <w:vAlign w:val="center"/>
            <w:hideMark/>
          </w:tcPr>
          <w:p w14:paraId="0C5669DC" w14:textId="77777777" w:rsidR="00913C78" w:rsidRPr="00F22172" w:rsidRDefault="00913C78" w:rsidP="00F22172">
            <w:pPr>
              <w:pStyle w:val="ae"/>
              <w:rPr>
                <w:b w:val="0"/>
                <w:bCs/>
              </w:rPr>
            </w:pPr>
            <w:r w:rsidRPr="00F22172">
              <w:rPr>
                <w:rFonts w:hint="eastAsia"/>
                <w:b w:val="0"/>
                <w:bCs/>
              </w:rPr>
              <w:t>21</w:t>
            </w:r>
          </w:p>
        </w:tc>
        <w:tc>
          <w:tcPr>
            <w:tcW w:w="448" w:type="dxa"/>
            <w:shd w:val="clear" w:color="auto" w:fill="auto"/>
            <w:vAlign w:val="center"/>
            <w:hideMark/>
          </w:tcPr>
          <w:p w14:paraId="6A27C95A" w14:textId="77777777" w:rsidR="00913C78" w:rsidRPr="00F22172" w:rsidRDefault="00913C78" w:rsidP="00F22172">
            <w:pPr>
              <w:pStyle w:val="ae"/>
              <w:rPr>
                <w:b w:val="0"/>
                <w:bCs/>
              </w:rPr>
            </w:pPr>
            <w:r w:rsidRPr="00F22172">
              <w:rPr>
                <w:rFonts w:hint="eastAsia"/>
                <w:b w:val="0"/>
                <w:bCs/>
              </w:rPr>
              <w:t>22</w:t>
            </w:r>
          </w:p>
        </w:tc>
        <w:tc>
          <w:tcPr>
            <w:tcW w:w="448" w:type="dxa"/>
            <w:shd w:val="clear" w:color="auto" w:fill="auto"/>
            <w:vAlign w:val="center"/>
            <w:hideMark/>
          </w:tcPr>
          <w:p w14:paraId="136476E3" w14:textId="77777777" w:rsidR="00913C78" w:rsidRPr="00F22172" w:rsidRDefault="00913C78" w:rsidP="00F22172">
            <w:pPr>
              <w:pStyle w:val="ae"/>
              <w:rPr>
                <w:b w:val="0"/>
                <w:bCs/>
              </w:rPr>
            </w:pPr>
            <w:r w:rsidRPr="00F22172">
              <w:rPr>
                <w:rFonts w:hint="eastAsia"/>
                <w:b w:val="0"/>
                <w:bCs/>
              </w:rPr>
              <w:t>23</w:t>
            </w:r>
          </w:p>
        </w:tc>
        <w:tc>
          <w:tcPr>
            <w:tcW w:w="448" w:type="dxa"/>
            <w:shd w:val="clear" w:color="auto" w:fill="auto"/>
            <w:vAlign w:val="center"/>
            <w:hideMark/>
          </w:tcPr>
          <w:p w14:paraId="1031993E" w14:textId="77777777" w:rsidR="00913C78" w:rsidRPr="00F22172" w:rsidRDefault="00913C78" w:rsidP="00F22172">
            <w:pPr>
              <w:pStyle w:val="ae"/>
              <w:rPr>
                <w:b w:val="0"/>
                <w:bCs/>
              </w:rPr>
            </w:pPr>
            <w:r w:rsidRPr="00F22172">
              <w:rPr>
                <w:rFonts w:hint="eastAsia"/>
                <w:b w:val="0"/>
                <w:bCs/>
              </w:rPr>
              <w:t>24</w:t>
            </w:r>
          </w:p>
        </w:tc>
      </w:tr>
      <w:tr w:rsidR="00913C78" w:rsidRPr="00F22172" w14:paraId="486BA624" w14:textId="77777777" w:rsidTr="00E221F6">
        <w:trPr>
          <w:gridAfter w:val="1"/>
          <w:wAfter w:w="8" w:type="dxa"/>
          <w:jc w:val="center"/>
        </w:trPr>
        <w:tc>
          <w:tcPr>
            <w:tcW w:w="1246" w:type="dxa"/>
            <w:vMerge w:val="restart"/>
            <w:shd w:val="clear" w:color="auto" w:fill="auto"/>
            <w:vAlign w:val="center"/>
            <w:hideMark/>
          </w:tcPr>
          <w:p w14:paraId="305F6749" w14:textId="77777777" w:rsidR="00913C78" w:rsidRPr="00F22172" w:rsidRDefault="00913C78" w:rsidP="00F22172">
            <w:pPr>
              <w:pStyle w:val="ae"/>
              <w:rPr>
                <w:b w:val="0"/>
                <w:bCs/>
              </w:rPr>
            </w:pPr>
            <w:r w:rsidRPr="00F22172">
              <w:rPr>
                <w:rFonts w:hint="eastAsia"/>
                <w:b w:val="0"/>
                <w:bCs/>
              </w:rPr>
              <w:t>办公建筑、教学楼</w:t>
            </w:r>
          </w:p>
        </w:tc>
        <w:tc>
          <w:tcPr>
            <w:tcW w:w="742" w:type="dxa"/>
            <w:shd w:val="clear" w:color="auto" w:fill="auto"/>
            <w:vAlign w:val="center"/>
            <w:hideMark/>
          </w:tcPr>
          <w:p w14:paraId="570A3A3A" w14:textId="77777777" w:rsidR="00913C78" w:rsidRPr="00F22172" w:rsidRDefault="00913C78" w:rsidP="00F22172">
            <w:pPr>
              <w:pStyle w:val="ae"/>
              <w:rPr>
                <w:b w:val="0"/>
                <w:bCs/>
              </w:rPr>
            </w:pPr>
            <w:r w:rsidRPr="00F22172">
              <w:rPr>
                <w:rFonts w:hint="eastAsia"/>
                <w:b w:val="0"/>
                <w:bCs/>
              </w:rPr>
              <w:t>工作日</w:t>
            </w:r>
          </w:p>
        </w:tc>
        <w:tc>
          <w:tcPr>
            <w:tcW w:w="447" w:type="dxa"/>
            <w:shd w:val="clear" w:color="auto" w:fill="auto"/>
            <w:vAlign w:val="center"/>
            <w:hideMark/>
          </w:tcPr>
          <w:p w14:paraId="3E68B3B0" w14:textId="77777777" w:rsidR="00913C78" w:rsidRPr="00F22172" w:rsidRDefault="00913C78" w:rsidP="00F22172">
            <w:pPr>
              <w:pStyle w:val="ae"/>
              <w:rPr>
                <w:b w:val="0"/>
                <w:bCs/>
              </w:rPr>
            </w:pPr>
            <w:r w:rsidRPr="00F22172">
              <w:rPr>
                <w:rFonts w:hint="eastAsia"/>
                <w:b w:val="0"/>
                <w:bCs/>
              </w:rPr>
              <w:t>50</w:t>
            </w:r>
          </w:p>
        </w:tc>
        <w:tc>
          <w:tcPr>
            <w:tcW w:w="448" w:type="dxa"/>
            <w:shd w:val="clear" w:color="auto" w:fill="auto"/>
            <w:vAlign w:val="center"/>
            <w:hideMark/>
          </w:tcPr>
          <w:p w14:paraId="51C24100"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24448394"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737891CA"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737DE818"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403DC858" w14:textId="77777777" w:rsidR="00913C78" w:rsidRPr="00F22172" w:rsidRDefault="00913C78" w:rsidP="00F22172">
            <w:pPr>
              <w:pStyle w:val="ae"/>
              <w:rPr>
                <w:b w:val="0"/>
                <w:bCs/>
              </w:rPr>
            </w:pPr>
            <w:r w:rsidRPr="00F22172">
              <w:rPr>
                <w:rFonts w:hint="eastAsia"/>
                <w:b w:val="0"/>
                <w:bCs/>
              </w:rPr>
              <w:t>30</w:t>
            </w:r>
          </w:p>
        </w:tc>
        <w:tc>
          <w:tcPr>
            <w:tcW w:w="447" w:type="dxa"/>
            <w:shd w:val="clear" w:color="auto" w:fill="auto"/>
            <w:vAlign w:val="center"/>
            <w:hideMark/>
          </w:tcPr>
          <w:p w14:paraId="1D3BB9E7" w14:textId="77777777" w:rsidR="00913C78" w:rsidRPr="00F22172" w:rsidRDefault="00913C78" w:rsidP="00F22172">
            <w:pPr>
              <w:pStyle w:val="ae"/>
              <w:rPr>
                <w:b w:val="0"/>
                <w:bCs/>
              </w:rPr>
            </w:pPr>
            <w:r w:rsidRPr="00F22172">
              <w:rPr>
                <w:rFonts w:hint="eastAsia"/>
                <w:b w:val="0"/>
                <w:bCs/>
              </w:rPr>
              <w:t>30</w:t>
            </w:r>
          </w:p>
        </w:tc>
        <w:tc>
          <w:tcPr>
            <w:tcW w:w="448" w:type="dxa"/>
            <w:shd w:val="clear" w:color="auto" w:fill="auto"/>
            <w:vAlign w:val="center"/>
            <w:hideMark/>
          </w:tcPr>
          <w:p w14:paraId="175795E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61EA79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110428B"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7D59D8B"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909CF8A" w14:textId="77777777" w:rsidR="00913C78" w:rsidRPr="00F22172" w:rsidRDefault="00913C78" w:rsidP="00F22172">
            <w:pPr>
              <w:pStyle w:val="ae"/>
              <w:rPr>
                <w:b w:val="0"/>
                <w:bCs/>
              </w:rPr>
            </w:pPr>
            <w:r w:rsidRPr="00F22172">
              <w:rPr>
                <w:rFonts w:hint="eastAsia"/>
                <w:b w:val="0"/>
                <w:bCs/>
              </w:rPr>
              <w:t>0</w:t>
            </w:r>
          </w:p>
        </w:tc>
      </w:tr>
      <w:tr w:rsidR="00913C78" w:rsidRPr="00F22172" w14:paraId="778187C3" w14:textId="77777777" w:rsidTr="00E221F6">
        <w:trPr>
          <w:gridAfter w:val="1"/>
          <w:wAfter w:w="8" w:type="dxa"/>
          <w:jc w:val="center"/>
        </w:trPr>
        <w:tc>
          <w:tcPr>
            <w:tcW w:w="1246" w:type="dxa"/>
            <w:vMerge/>
            <w:shd w:val="clear" w:color="auto" w:fill="auto"/>
            <w:vAlign w:val="center"/>
            <w:hideMark/>
          </w:tcPr>
          <w:p w14:paraId="64D19814" w14:textId="77777777" w:rsidR="00913C78" w:rsidRPr="00F22172" w:rsidRDefault="00913C78" w:rsidP="00F22172">
            <w:pPr>
              <w:pStyle w:val="ae"/>
              <w:rPr>
                <w:b w:val="0"/>
                <w:bCs/>
              </w:rPr>
            </w:pPr>
          </w:p>
        </w:tc>
        <w:tc>
          <w:tcPr>
            <w:tcW w:w="742" w:type="dxa"/>
            <w:shd w:val="clear" w:color="auto" w:fill="auto"/>
            <w:vAlign w:val="center"/>
            <w:hideMark/>
          </w:tcPr>
          <w:p w14:paraId="57C431C6" w14:textId="77777777" w:rsidR="00913C78" w:rsidRPr="00F22172" w:rsidRDefault="00913C78" w:rsidP="00F22172">
            <w:pPr>
              <w:pStyle w:val="ae"/>
              <w:rPr>
                <w:b w:val="0"/>
                <w:bCs/>
              </w:rPr>
            </w:pPr>
            <w:r w:rsidRPr="00F22172">
              <w:rPr>
                <w:rFonts w:hint="eastAsia"/>
                <w:b w:val="0"/>
                <w:bCs/>
              </w:rPr>
              <w:t>节假日</w:t>
            </w:r>
          </w:p>
        </w:tc>
        <w:tc>
          <w:tcPr>
            <w:tcW w:w="447" w:type="dxa"/>
            <w:shd w:val="clear" w:color="auto" w:fill="auto"/>
            <w:vAlign w:val="center"/>
            <w:hideMark/>
          </w:tcPr>
          <w:p w14:paraId="1CB65219"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978426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5984189"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2D16EFA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63F39235"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23CE73B" w14:textId="77777777" w:rsidR="00913C78" w:rsidRPr="00F22172" w:rsidRDefault="00913C78" w:rsidP="00F22172">
            <w:pPr>
              <w:pStyle w:val="ae"/>
              <w:rPr>
                <w:b w:val="0"/>
                <w:bCs/>
              </w:rPr>
            </w:pPr>
            <w:r w:rsidRPr="00F22172">
              <w:rPr>
                <w:rFonts w:hint="eastAsia"/>
                <w:b w:val="0"/>
                <w:bCs/>
              </w:rPr>
              <w:t>0</w:t>
            </w:r>
          </w:p>
        </w:tc>
        <w:tc>
          <w:tcPr>
            <w:tcW w:w="447" w:type="dxa"/>
            <w:shd w:val="clear" w:color="auto" w:fill="auto"/>
            <w:vAlign w:val="center"/>
            <w:hideMark/>
          </w:tcPr>
          <w:p w14:paraId="457F6C1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462AE42"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8C3F624"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0C68697"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B261B95"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0FFCFCF9" w14:textId="77777777" w:rsidR="00913C78" w:rsidRPr="00F22172" w:rsidRDefault="00913C78" w:rsidP="00F22172">
            <w:pPr>
              <w:pStyle w:val="ae"/>
              <w:rPr>
                <w:b w:val="0"/>
                <w:bCs/>
              </w:rPr>
            </w:pPr>
            <w:r w:rsidRPr="00F22172">
              <w:rPr>
                <w:rFonts w:hint="eastAsia"/>
                <w:b w:val="0"/>
                <w:bCs/>
              </w:rPr>
              <w:t>0</w:t>
            </w:r>
          </w:p>
        </w:tc>
      </w:tr>
      <w:tr w:rsidR="00913C78" w:rsidRPr="00F22172" w14:paraId="58BAA382" w14:textId="77777777" w:rsidTr="00E221F6">
        <w:trPr>
          <w:gridAfter w:val="1"/>
          <w:wAfter w:w="8" w:type="dxa"/>
          <w:jc w:val="center"/>
        </w:trPr>
        <w:tc>
          <w:tcPr>
            <w:tcW w:w="1246" w:type="dxa"/>
            <w:shd w:val="clear" w:color="auto" w:fill="auto"/>
            <w:vAlign w:val="center"/>
            <w:hideMark/>
          </w:tcPr>
          <w:p w14:paraId="3F424398" w14:textId="77777777" w:rsidR="00913C78" w:rsidRPr="00F22172" w:rsidRDefault="00913C78" w:rsidP="00F22172">
            <w:pPr>
              <w:pStyle w:val="ae"/>
              <w:rPr>
                <w:b w:val="0"/>
                <w:bCs/>
              </w:rPr>
            </w:pPr>
            <w:r w:rsidRPr="00F22172">
              <w:rPr>
                <w:rFonts w:hint="eastAsia"/>
                <w:b w:val="0"/>
                <w:bCs/>
              </w:rPr>
              <w:lastRenderedPageBreak/>
              <w:t>宾馆建筑</w:t>
            </w:r>
          </w:p>
        </w:tc>
        <w:tc>
          <w:tcPr>
            <w:tcW w:w="742" w:type="dxa"/>
            <w:shd w:val="clear" w:color="auto" w:fill="auto"/>
            <w:vAlign w:val="center"/>
            <w:hideMark/>
          </w:tcPr>
          <w:p w14:paraId="6C27EC84"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52A97D09"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B2EB07D"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9358CAA"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6624D1E"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4355F4D"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E95D9EC"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55D6217A"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12CF3125"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319D1A88"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730F8ED2"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36E71011"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96026BA" w14:textId="77777777" w:rsidR="00913C78" w:rsidRPr="00F22172" w:rsidRDefault="00913C78" w:rsidP="00F22172">
            <w:pPr>
              <w:pStyle w:val="ae"/>
              <w:rPr>
                <w:b w:val="0"/>
                <w:bCs/>
              </w:rPr>
            </w:pPr>
            <w:r w:rsidRPr="00F22172">
              <w:rPr>
                <w:rFonts w:hint="eastAsia"/>
                <w:b w:val="0"/>
                <w:bCs/>
              </w:rPr>
              <w:t>0</w:t>
            </w:r>
          </w:p>
        </w:tc>
      </w:tr>
      <w:tr w:rsidR="00913C78" w:rsidRPr="00F22172" w14:paraId="31317173" w14:textId="77777777" w:rsidTr="00E221F6">
        <w:trPr>
          <w:gridAfter w:val="1"/>
          <w:wAfter w:w="8" w:type="dxa"/>
          <w:jc w:val="center"/>
        </w:trPr>
        <w:tc>
          <w:tcPr>
            <w:tcW w:w="1246" w:type="dxa"/>
            <w:shd w:val="clear" w:color="auto" w:fill="auto"/>
            <w:vAlign w:val="center"/>
            <w:hideMark/>
          </w:tcPr>
          <w:p w14:paraId="0B1F8853" w14:textId="77777777" w:rsidR="00913C78" w:rsidRPr="00F22172" w:rsidRDefault="00913C78" w:rsidP="00F22172">
            <w:pPr>
              <w:pStyle w:val="ae"/>
              <w:rPr>
                <w:b w:val="0"/>
                <w:bCs/>
              </w:rPr>
            </w:pPr>
            <w:r w:rsidRPr="00F22172">
              <w:rPr>
                <w:rFonts w:hint="eastAsia"/>
                <w:b w:val="0"/>
                <w:bCs/>
              </w:rPr>
              <w:t>住院部</w:t>
            </w:r>
          </w:p>
        </w:tc>
        <w:tc>
          <w:tcPr>
            <w:tcW w:w="742" w:type="dxa"/>
            <w:shd w:val="clear" w:color="auto" w:fill="auto"/>
            <w:vAlign w:val="center"/>
            <w:hideMark/>
          </w:tcPr>
          <w:p w14:paraId="53BD8050"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27F064B1"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4C5395CB"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3DA66F21"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35020B6C"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2A7CFE2F"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183023A6" w14:textId="77777777" w:rsidR="00913C78" w:rsidRPr="00F22172" w:rsidRDefault="00913C78" w:rsidP="00F22172">
            <w:pPr>
              <w:pStyle w:val="ae"/>
              <w:rPr>
                <w:b w:val="0"/>
                <w:bCs/>
              </w:rPr>
            </w:pPr>
            <w:r w:rsidRPr="00F22172">
              <w:rPr>
                <w:rFonts w:hint="eastAsia"/>
                <w:b w:val="0"/>
                <w:bCs/>
              </w:rPr>
              <w:t>95</w:t>
            </w:r>
          </w:p>
        </w:tc>
        <w:tc>
          <w:tcPr>
            <w:tcW w:w="447" w:type="dxa"/>
            <w:shd w:val="clear" w:color="auto" w:fill="auto"/>
            <w:vAlign w:val="center"/>
            <w:hideMark/>
          </w:tcPr>
          <w:p w14:paraId="09D4513A"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313CE135"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07987E82"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0039E2F3"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47C42DB6" w14:textId="77777777" w:rsidR="00913C78" w:rsidRPr="00F22172" w:rsidRDefault="00913C78" w:rsidP="00F22172">
            <w:pPr>
              <w:pStyle w:val="ae"/>
              <w:rPr>
                <w:b w:val="0"/>
                <w:bCs/>
              </w:rPr>
            </w:pPr>
            <w:r w:rsidRPr="00F22172">
              <w:rPr>
                <w:rFonts w:hint="eastAsia"/>
                <w:b w:val="0"/>
                <w:bCs/>
              </w:rPr>
              <w:t>95</w:t>
            </w:r>
          </w:p>
        </w:tc>
        <w:tc>
          <w:tcPr>
            <w:tcW w:w="448" w:type="dxa"/>
            <w:shd w:val="clear" w:color="auto" w:fill="auto"/>
            <w:vAlign w:val="center"/>
            <w:hideMark/>
          </w:tcPr>
          <w:p w14:paraId="4C1A8A1E" w14:textId="77777777" w:rsidR="00913C78" w:rsidRPr="00F22172" w:rsidRDefault="00913C78" w:rsidP="00F22172">
            <w:pPr>
              <w:pStyle w:val="ae"/>
              <w:rPr>
                <w:b w:val="0"/>
                <w:bCs/>
              </w:rPr>
            </w:pPr>
            <w:r w:rsidRPr="00F22172">
              <w:rPr>
                <w:rFonts w:hint="eastAsia"/>
                <w:b w:val="0"/>
                <w:bCs/>
              </w:rPr>
              <w:t>95</w:t>
            </w:r>
          </w:p>
        </w:tc>
      </w:tr>
      <w:tr w:rsidR="00913C78" w:rsidRPr="00F22172" w14:paraId="733CFC17" w14:textId="77777777" w:rsidTr="00E221F6">
        <w:trPr>
          <w:gridAfter w:val="1"/>
          <w:wAfter w:w="8" w:type="dxa"/>
          <w:jc w:val="center"/>
        </w:trPr>
        <w:tc>
          <w:tcPr>
            <w:tcW w:w="1246" w:type="dxa"/>
            <w:shd w:val="clear" w:color="auto" w:fill="auto"/>
            <w:vAlign w:val="center"/>
            <w:hideMark/>
          </w:tcPr>
          <w:p w14:paraId="50DA065E" w14:textId="77777777" w:rsidR="00913C78" w:rsidRPr="00F22172" w:rsidRDefault="00913C78" w:rsidP="00F22172">
            <w:pPr>
              <w:pStyle w:val="ae"/>
              <w:rPr>
                <w:b w:val="0"/>
                <w:bCs/>
              </w:rPr>
            </w:pPr>
            <w:r w:rsidRPr="00F22172">
              <w:rPr>
                <w:rFonts w:hint="eastAsia"/>
                <w:b w:val="0"/>
                <w:bCs/>
              </w:rPr>
              <w:t>商店建筑</w:t>
            </w:r>
          </w:p>
        </w:tc>
        <w:tc>
          <w:tcPr>
            <w:tcW w:w="742" w:type="dxa"/>
            <w:shd w:val="clear" w:color="auto" w:fill="auto"/>
            <w:vAlign w:val="center"/>
            <w:hideMark/>
          </w:tcPr>
          <w:p w14:paraId="573329D3"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60D87026"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6A533C3E"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163AF995"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6F85818C"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6FC7CF71"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5F6E1E5B" w14:textId="77777777" w:rsidR="00913C78" w:rsidRPr="00F22172" w:rsidRDefault="00913C78" w:rsidP="00F22172">
            <w:pPr>
              <w:pStyle w:val="ae"/>
              <w:rPr>
                <w:b w:val="0"/>
                <w:bCs/>
              </w:rPr>
            </w:pPr>
            <w:r w:rsidRPr="00F22172">
              <w:rPr>
                <w:rFonts w:hint="eastAsia"/>
                <w:b w:val="0"/>
                <w:bCs/>
              </w:rPr>
              <w:t>80</w:t>
            </w:r>
          </w:p>
        </w:tc>
        <w:tc>
          <w:tcPr>
            <w:tcW w:w="447" w:type="dxa"/>
            <w:shd w:val="clear" w:color="auto" w:fill="auto"/>
            <w:vAlign w:val="center"/>
            <w:hideMark/>
          </w:tcPr>
          <w:p w14:paraId="1E8F7016" w14:textId="77777777" w:rsidR="00913C78" w:rsidRPr="00F22172" w:rsidRDefault="00913C78" w:rsidP="00F22172">
            <w:pPr>
              <w:pStyle w:val="ae"/>
              <w:rPr>
                <w:b w:val="0"/>
                <w:bCs/>
              </w:rPr>
            </w:pPr>
            <w:r w:rsidRPr="00F22172">
              <w:rPr>
                <w:rFonts w:hint="eastAsia"/>
                <w:b w:val="0"/>
                <w:bCs/>
              </w:rPr>
              <w:t>80</w:t>
            </w:r>
          </w:p>
        </w:tc>
        <w:tc>
          <w:tcPr>
            <w:tcW w:w="448" w:type="dxa"/>
            <w:shd w:val="clear" w:color="auto" w:fill="auto"/>
            <w:vAlign w:val="center"/>
            <w:hideMark/>
          </w:tcPr>
          <w:p w14:paraId="7FCBCC76" w14:textId="77777777" w:rsidR="00913C78" w:rsidRPr="00F22172" w:rsidRDefault="00913C78" w:rsidP="00F22172">
            <w:pPr>
              <w:pStyle w:val="ae"/>
              <w:rPr>
                <w:b w:val="0"/>
                <w:bCs/>
              </w:rPr>
            </w:pPr>
            <w:r w:rsidRPr="00F22172">
              <w:rPr>
                <w:rFonts w:hint="eastAsia"/>
                <w:b w:val="0"/>
                <w:bCs/>
              </w:rPr>
              <w:t>70</w:t>
            </w:r>
          </w:p>
        </w:tc>
        <w:tc>
          <w:tcPr>
            <w:tcW w:w="448" w:type="dxa"/>
            <w:shd w:val="clear" w:color="auto" w:fill="auto"/>
            <w:vAlign w:val="center"/>
            <w:hideMark/>
          </w:tcPr>
          <w:p w14:paraId="486FCE37" w14:textId="77777777" w:rsidR="00913C78" w:rsidRPr="00F22172" w:rsidRDefault="00913C78" w:rsidP="00F22172">
            <w:pPr>
              <w:pStyle w:val="ae"/>
              <w:rPr>
                <w:b w:val="0"/>
                <w:bCs/>
              </w:rPr>
            </w:pPr>
            <w:r w:rsidRPr="00F22172">
              <w:rPr>
                <w:rFonts w:hint="eastAsia"/>
                <w:b w:val="0"/>
                <w:bCs/>
              </w:rPr>
              <w:t>50</w:t>
            </w:r>
          </w:p>
        </w:tc>
        <w:tc>
          <w:tcPr>
            <w:tcW w:w="448" w:type="dxa"/>
            <w:shd w:val="clear" w:color="auto" w:fill="auto"/>
            <w:vAlign w:val="center"/>
            <w:hideMark/>
          </w:tcPr>
          <w:p w14:paraId="0446FDDC"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2858749"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47A3D55C" w14:textId="77777777" w:rsidR="00913C78" w:rsidRPr="00F22172" w:rsidRDefault="00913C78" w:rsidP="00F22172">
            <w:pPr>
              <w:pStyle w:val="ae"/>
              <w:rPr>
                <w:b w:val="0"/>
                <w:bCs/>
              </w:rPr>
            </w:pPr>
            <w:r w:rsidRPr="00F22172">
              <w:rPr>
                <w:rFonts w:hint="eastAsia"/>
                <w:b w:val="0"/>
                <w:bCs/>
              </w:rPr>
              <w:t>0</w:t>
            </w:r>
          </w:p>
        </w:tc>
      </w:tr>
      <w:tr w:rsidR="00913C78" w:rsidRPr="00F22172" w14:paraId="6C96F037" w14:textId="77777777" w:rsidTr="00E221F6">
        <w:trPr>
          <w:gridAfter w:val="1"/>
          <w:wAfter w:w="8" w:type="dxa"/>
          <w:jc w:val="center"/>
        </w:trPr>
        <w:tc>
          <w:tcPr>
            <w:tcW w:w="1246" w:type="dxa"/>
            <w:shd w:val="clear" w:color="auto" w:fill="auto"/>
            <w:vAlign w:val="center"/>
            <w:hideMark/>
          </w:tcPr>
          <w:p w14:paraId="059FFE1D" w14:textId="77777777" w:rsidR="00913C78" w:rsidRPr="00F22172" w:rsidRDefault="00913C78" w:rsidP="00F22172">
            <w:pPr>
              <w:pStyle w:val="ae"/>
              <w:rPr>
                <w:b w:val="0"/>
                <w:bCs/>
              </w:rPr>
            </w:pPr>
            <w:r w:rsidRPr="00F22172">
              <w:rPr>
                <w:rFonts w:hint="eastAsia"/>
                <w:b w:val="0"/>
                <w:bCs/>
              </w:rPr>
              <w:t>门诊楼</w:t>
            </w:r>
          </w:p>
        </w:tc>
        <w:tc>
          <w:tcPr>
            <w:tcW w:w="742" w:type="dxa"/>
            <w:shd w:val="clear" w:color="auto" w:fill="auto"/>
            <w:vAlign w:val="center"/>
            <w:hideMark/>
          </w:tcPr>
          <w:p w14:paraId="65E44678" w14:textId="77777777" w:rsidR="00913C78" w:rsidRPr="00F22172" w:rsidRDefault="00913C78" w:rsidP="00F22172">
            <w:pPr>
              <w:pStyle w:val="ae"/>
              <w:rPr>
                <w:b w:val="0"/>
                <w:bCs/>
              </w:rPr>
            </w:pPr>
            <w:r w:rsidRPr="00F22172">
              <w:rPr>
                <w:rFonts w:hint="eastAsia"/>
                <w:b w:val="0"/>
                <w:bCs/>
              </w:rPr>
              <w:t>全年</w:t>
            </w:r>
          </w:p>
        </w:tc>
        <w:tc>
          <w:tcPr>
            <w:tcW w:w="447" w:type="dxa"/>
            <w:shd w:val="clear" w:color="auto" w:fill="auto"/>
            <w:vAlign w:val="center"/>
            <w:hideMark/>
          </w:tcPr>
          <w:p w14:paraId="017062AF" w14:textId="77777777" w:rsidR="00913C78" w:rsidRPr="00F22172" w:rsidRDefault="00913C78" w:rsidP="00F22172">
            <w:pPr>
              <w:pStyle w:val="ae"/>
              <w:rPr>
                <w:b w:val="0"/>
                <w:bCs/>
              </w:rPr>
            </w:pPr>
            <w:r w:rsidRPr="00F22172">
              <w:rPr>
                <w:rFonts w:hint="eastAsia"/>
                <w:b w:val="0"/>
                <w:bCs/>
              </w:rPr>
              <w:t>20</w:t>
            </w:r>
          </w:p>
        </w:tc>
        <w:tc>
          <w:tcPr>
            <w:tcW w:w="448" w:type="dxa"/>
            <w:shd w:val="clear" w:color="auto" w:fill="auto"/>
            <w:vAlign w:val="center"/>
            <w:hideMark/>
          </w:tcPr>
          <w:p w14:paraId="4F867511" w14:textId="77777777" w:rsidR="00913C78" w:rsidRPr="00F22172" w:rsidRDefault="00913C78" w:rsidP="00F22172">
            <w:pPr>
              <w:pStyle w:val="ae"/>
              <w:rPr>
                <w:b w:val="0"/>
                <w:bCs/>
              </w:rPr>
            </w:pPr>
            <w:r w:rsidRPr="00F22172">
              <w:rPr>
                <w:rFonts w:hint="eastAsia"/>
                <w:b w:val="0"/>
                <w:bCs/>
              </w:rPr>
              <w:t>50</w:t>
            </w:r>
          </w:p>
        </w:tc>
        <w:tc>
          <w:tcPr>
            <w:tcW w:w="448" w:type="dxa"/>
            <w:shd w:val="clear" w:color="auto" w:fill="auto"/>
            <w:vAlign w:val="center"/>
            <w:hideMark/>
          </w:tcPr>
          <w:p w14:paraId="7445EE6E" w14:textId="77777777" w:rsidR="00913C78" w:rsidRPr="00F22172" w:rsidRDefault="00913C78" w:rsidP="00F22172">
            <w:pPr>
              <w:pStyle w:val="ae"/>
              <w:rPr>
                <w:b w:val="0"/>
                <w:bCs/>
              </w:rPr>
            </w:pPr>
            <w:r w:rsidRPr="00F22172">
              <w:rPr>
                <w:rFonts w:hint="eastAsia"/>
                <w:b w:val="0"/>
                <w:bCs/>
              </w:rPr>
              <w:t>60</w:t>
            </w:r>
          </w:p>
        </w:tc>
        <w:tc>
          <w:tcPr>
            <w:tcW w:w="448" w:type="dxa"/>
            <w:shd w:val="clear" w:color="auto" w:fill="auto"/>
            <w:vAlign w:val="center"/>
            <w:hideMark/>
          </w:tcPr>
          <w:p w14:paraId="39D8F4C9" w14:textId="77777777" w:rsidR="00913C78" w:rsidRPr="00F22172" w:rsidRDefault="00913C78" w:rsidP="00F22172">
            <w:pPr>
              <w:pStyle w:val="ae"/>
              <w:rPr>
                <w:b w:val="0"/>
                <w:bCs/>
              </w:rPr>
            </w:pPr>
            <w:r w:rsidRPr="00F22172">
              <w:rPr>
                <w:rFonts w:hint="eastAsia"/>
                <w:b w:val="0"/>
                <w:bCs/>
              </w:rPr>
              <w:t>60</w:t>
            </w:r>
          </w:p>
        </w:tc>
        <w:tc>
          <w:tcPr>
            <w:tcW w:w="448" w:type="dxa"/>
            <w:shd w:val="clear" w:color="auto" w:fill="auto"/>
            <w:vAlign w:val="center"/>
            <w:hideMark/>
          </w:tcPr>
          <w:p w14:paraId="5333A28D" w14:textId="77777777" w:rsidR="00913C78" w:rsidRPr="00F22172" w:rsidRDefault="00913C78" w:rsidP="00F22172">
            <w:pPr>
              <w:pStyle w:val="ae"/>
              <w:rPr>
                <w:b w:val="0"/>
                <w:bCs/>
              </w:rPr>
            </w:pPr>
            <w:r w:rsidRPr="00F22172">
              <w:rPr>
                <w:rFonts w:hint="eastAsia"/>
                <w:b w:val="0"/>
                <w:bCs/>
              </w:rPr>
              <w:t>20</w:t>
            </w:r>
          </w:p>
        </w:tc>
        <w:tc>
          <w:tcPr>
            <w:tcW w:w="448" w:type="dxa"/>
            <w:shd w:val="clear" w:color="auto" w:fill="auto"/>
            <w:vAlign w:val="center"/>
            <w:hideMark/>
          </w:tcPr>
          <w:p w14:paraId="7EEFEBC3" w14:textId="77777777" w:rsidR="00913C78" w:rsidRPr="00F22172" w:rsidRDefault="00913C78" w:rsidP="00F22172">
            <w:pPr>
              <w:pStyle w:val="ae"/>
              <w:rPr>
                <w:b w:val="0"/>
                <w:bCs/>
              </w:rPr>
            </w:pPr>
            <w:r w:rsidRPr="00F22172">
              <w:rPr>
                <w:rFonts w:hint="eastAsia"/>
                <w:b w:val="0"/>
                <w:bCs/>
              </w:rPr>
              <w:t>20</w:t>
            </w:r>
          </w:p>
        </w:tc>
        <w:tc>
          <w:tcPr>
            <w:tcW w:w="447" w:type="dxa"/>
            <w:shd w:val="clear" w:color="auto" w:fill="auto"/>
            <w:vAlign w:val="center"/>
            <w:hideMark/>
          </w:tcPr>
          <w:p w14:paraId="5534914C"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5CB6FB61"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72D6B238"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31800375"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71175C0" w14:textId="77777777" w:rsidR="00913C78" w:rsidRPr="00F22172" w:rsidRDefault="00913C78" w:rsidP="00F22172">
            <w:pPr>
              <w:pStyle w:val="ae"/>
              <w:rPr>
                <w:b w:val="0"/>
                <w:bCs/>
              </w:rPr>
            </w:pPr>
            <w:r w:rsidRPr="00F22172">
              <w:rPr>
                <w:rFonts w:hint="eastAsia"/>
                <w:b w:val="0"/>
                <w:bCs/>
              </w:rPr>
              <w:t>0</w:t>
            </w:r>
          </w:p>
        </w:tc>
        <w:tc>
          <w:tcPr>
            <w:tcW w:w="448" w:type="dxa"/>
            <w:shd w:val="clear" w:color="auto" w:fill="auto"/>
            <w:vAlign w:val="center"/>
            <w:hideMark/>
          </w:tcPr>
          <w:p w14:paraId="13DEFCDA" w14:textId="77777777" w:rsidR="00913C78" w:rsidRPr="00F22172" w:rsidRDefault="00913C78" w:rsidP="00F22172">
            <w:pPr>
              <w:pStyle w:val="ae"/>
              <w:rPr>
                <w:b w:val="0"/>
                <w:bCs/>
              </w:rPr>
            </w:pPr>
            <w:r w:rsidRPr="00F22172">
              <w:rPr>
                <w:rFonts w:hint="eastAsia"/>
                <w:b w:val="0"/>
                <w:bCs/>
              </w:rPr>
              <w:t>0</w:t>
            </w:r>
          </w:p>
        </w:tc>
      </w:tr>
    </w:tbl>
    <w:p w14:paraId="758A5095" w14:textId="0DD96DCC" w:rsidR="00913C78" w:rsidRPr="00913C78" w:rsidRDefault="00913C78" w:rsidP="00F22172">
      <w:pPr>
        <w:pStyle w:val="ae"/>
      </w:pPr>
      <w:r w:rsidRPr="00913C78">
        <w:rPr>
          <w:rFonts w:hint="eastAsia"/>
        </w:rPr>
        <w:t>附表</w:t>
      </w:r>
      <w:r w:rsidRPr="00913C78">
        <w:rPr>
          <w:rFonts w:hint="eastAsia"/>
        </w:rPr>
        <w:t>A.5.</w:t>
      </w:r>
      <w:r w:rsidRPr="00913C78">
        <w:t>1</w:t>
      </w:r>
      <w:r w:rsidR="00532D0F">
        <w:t>5</w:t>
      </w:r>
      <w:r w:rsidRPr="00913C78">
        <w:rPr>
          <w:rFonts w:hint="eastAsia"/>
        </w:rPr>
        <w:t xml:space="preserve"> </w:t>
      </w:r>
      <w:r w:rsidRPr="00913C78">
        <w:rPr>
          <w:rFonts w:hint="eastAsia"/>
        </w:rPr>
        <w:t>其他类型</w:t>
      </w:r>
      <w:r w:rsidRPr="00913C78">
        <w:t>建筑</w:t>
      </w:r>
      <w:r w:rsidRPr="00913C78">
        <w:rPr>
          <w:rFonts w:hint="eastAsia"/>
        </w:rPr>
        <w:t>电气设备逐时使用率</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0" w:type="dxa"/>
        </w:tblCellMar>
        <w:tblLook w:val="04A0" w:firstRow="1" w:lastRow="0" w:firstColumn="1" w:lastColumn="0" w:noHBand="0" w:noVBand="1"/>
      </w:tblPr>
      <w:tblGrid>
        <w:gridCol w:w="3685"/>
        <w:gridCol w:w="3685"/>
      </w:tblGrid>
      <w:tr w:rsidR="00913C78" w:rsidRPr="00F22172" w14:paraId="35F63A4C" w14:textId="77777777" w:rsidTr="00E221F6">
        <w:trPr>
          <w:jc w:val="center"/>
        </w:trPr>
        <w:tc>
          <w:tcPr>
            <w:tcW w:w="3685" w:type="dxa"/>
            <w:shd w:val="clear" w:color="auto" w:fill="auto"/>
            <w:vAlign w:val="center"/>
            <w:hideMark/>
          </w:tcPr>
          <w:p w14:paraId="564265D4" w14:textId="77777777" w:rsidR="00913C78" w:rsidRPr="00F22172" w:rsidRDefault="00913C78" w:rsidP="00F22172">
            <w:pPr>
              <w:pStyle w:val="ae"/>
              <w:rPr>
                <w:b w:val="0"/>
                <w:bCs/>
              </w:rPr>
            </w:pPr>
            <w:r w:rsidRPr="00F22172">
              <w:rPr>
                <w:rFonts w:hint="eastAsia"/>
                <w:b w:val="0"/>
                <w:bCs/>
              </w:rPr>
              <w:t>时间</w:t>
            </w:r>
          </w:p>
        </w:tc>
        <w:tc>
          <w:tcPr>
            <w:tcW w:w="3685" w:type="dxa"/>
            <w:shd w:val="clear" w:color="auto" w:fill="auto"/>
            <w:vAlign w:val="center"/>
            <w:hideMark/>
          </w:tcPr>
          <w:p w14:paraId="4C49600A" w14:textId="77777777" w:rsidR="00913C78" w:rsidRPr="00F22172" w:rsidRDefault="00913C78" w:rsidP="00F22172">
            <w:pPr>
              <w:pStyle w:val="ae"/>
              <w:rPr>
                <w:b w:val="0"/>
                <w:bCs/>
              </w:rPr>
            </w:pPr>
            <w:r w:rsidRPr="00F22172">
              <w:rPr>
                <w:rFonts w:hint="eastAsia"/>
                <w:b w:val="0"/>
                <w:bCs/>
              </w:rPr>
              <w:t>电气设备逐时使用率</w:t>
            </w:r>
            <w:r w:rsidRPr="00F22172">
              <w:rPr>
                <w:rFonts w:hint="eastAsia"/>
                <w:b w:val="0"/>
                <w:bCs/>
              </w:rPr>
              <w:t>/%</w:t>
            </w:r>
          </w:p>
        </w:tc>
      </w:tr>
      <w:tr w:rsidR="00913C78" w:rsidRPr="00F22172" w14:paraId="6FE55531" w14:textId="77777777" w:rsidTr="00E221F6">
        <w:trPr>
          <w:jc w:val="center"/>
        </w:trPr>
        <w:tc>
          <w:tcPr>
            <w:tcW w:w="3685" w:type="dxa"/>
            <w:shd w:val="clear" w:color="auto" w:fill="auto"/>
            <w:vAlign w:val="center"/>
            <w:hideMark/>
          </w:tcPr>
          <w:p w14:paraId="42274735" w14:textId="77777777" w:rsidR="00913C78" w:rsidRPr="00F22172" w:rsidRDefault="00913C78" w:rsidP="00F22172">
            <w:pPr>
              <w:pStyle w:val="ae"/>
              <w:rPr>
                <w:b w:val="0"/>
                <w:bCs/>
              </w:rPr>
            </w:pPr>
            <w:r w:rsidRPr="00F22172">
              <w:rPr>
                <w:rFonts w:hint="eastAsia"/>
                <w:b w:val="0"/>
                <w:bCs/>
              </w:rPr>
              <w:t>正常工作</w:t>
            </w:r>
          </w:p>
        </w:tc>
        <w:tc>
          <w:tcPr>
            <w:tcW w:w="3685" w:type="dxa"/>
            <w:shd w:val="clear" w:color="auto" w:fill="auto"/>
            <w:vAlign w:val="center"/>
            <w:hideMark/>
          </w:tcPr>
          <w:p w14:paraId="77E38EAC" w14:textId="77777777" w:rsidR="00913C78" w:rsidRPr="00F22172" w:rsidRDefault="00913C78" w:rsidP="00F22172">
            <w:pPr>
              <w:pStyle w:val="ae"/>
              <w:rPr>
                <w:b w:val="0"/>
                <w:bCs/>
              </w:rPr>
            </w:pPr>
            <w:r w:rsidRPr="00F22172">
              <w:rPr>
                <w:rFonts w:hint="eastAsia"/>
                <w:b w:val="0"/>
                <w:bCs/>
              </w:rPr>
              <w:t>85</w:t>
            </w:r>
          </w:p>
        </w:tc>
      </w:tr>
      <w:tr w:rsidR="00913C78" w:rsidRPr="00F22172" w14:paraId="7F9B8085" w14:textId="77777777" w:rsidTr="00E221F6">
        <w:trPr>
          <w:jc w:val="center"/>
        </w:trPr>
        <w:tc>
          <w:tcPr>
            <w:tcW w:w="3685" w:type="dxa"/>
            <w:shd w:val="clear" w:color="auto" w:fill="auto"/>
            <w:vAlign w:val="center"/>
            <w:hideMark/>
          </w:tcPr>
          <w:p w14:paraId="4C022A9E" w14:textId="77777777" w:rsidR="00913C78" w:rsidRPr="00F22172" w:rsidRDefault="00913C78" w:rsidP="00F22172">
            <w:pPr>
              <w:pStyle w:val="ae"/>
              <w:rPr>
                <w:b w:val="0"/>
                <w:bCs/>
              </w:rPr>
            </w:pPr>
            <w:r w:rsidRPr="00F22172">
              <w:rPr>
                <w:rFonts w:hint="eastAsia"/>
                <w:b w:val="0"/>
                <w:bCs/>
              </w:rPr>
              <w:t>正常工作时间的前</w:t>
            </w:r>
            <w:r w:rsidRPr="00F22172">
              <w:rPr>
                <w:rFonts w:hint="eastAsia"/>
                <w:b w:val="0"/>
                <w:bCs/>
              </w:rPr>
              <w:t>1h</w:t>
            </w:r>
          </w:p>
        </w:tc>
        <w:tc>
          <w:tcPr>
            <w:tcW w:w="3685" w:type="dxa"/>
            <w:shd w:val="clear" w:color="auto" w:fill="auto"/>
            <w:vAlign w:val="center"/>
            <w:hideMark/>
          </w:tcPr>
          <w:p w14:paraId="0A29C5F2" w14:textId="77777777" w:rsidR="00913C78" w:rsidRPr="00F22172" w:rsidRDefault="00913C78" w:rsidP="00F22172">
            <w:pPr>
              <w:pStyle w:val="ae"/>
              <w:rPr>
                <w:b w:val="0"/>
                <w:bCs/>
              </w:rPr>
            </w:pPr>
            <w:r w:rsidRPr="00F22172">
              <w:rPr>
                <w:rFonts w:hint="eastAsia"/>
                <w:b w:val="0"/>
                <w:bCs/>
              </w:rPr>
              <w:t>10</w:t>
            </w:r>
          </w:p>
        </w:tc>
      </w:tr>
      <w:tr w:rsidR="00913C78" w:rsidRPr="00F22172" w14:paraId="16E70023" w14:textId="77777777" w:rsidTr="00E221F6">
        <w:trPr>
          <w:jc w:val="center"/>
        </w:trPr>
        <w:tc>
          <w:tcPr>
            <w:tcW w:w="3685" w:type="dxa"/>
            <w:shd w:val="clear" w:color="auto" w:fill="auto"/>
            <w:vAlign w:val="center"/>
            <w:hideMark/>
          </w:tcPr>
          <w:p w14:paraId="0B9E6395" w14:textId="77777777" w:rsidR="00913C78" w:rsidRPr="00F22172" w:rsidRDefault="00913C78" w:rsidP="00F22172">
            <w:pPr>
              <w:pStyle w:val="ae"/>
              <w:rPr>
                <w:b w:val="0"/>
                <w:bCs/>
              </w:rPr>
            </w:pPr>
            <w:r w:rsidRPr="00F22172">
              <w:rPr>
                <w:rFonts w:hint="eastAsia"/>
                <w:b w:val="0"/>
                <w:bCs/>
              </w:rPr>
              <w:t>其他</w:t>
            </w:r>
          </w:p>
        </w:tc>
        <w:tc>
          <w:tcPr>
            <w:tcW w:w="3685" w:type="dxa"/>
            <w:shd w:val="clear" w:color="auto" w:fill="auto"/>
            <w:vAlign w:val="center"/>
            <w:hideMark/>
          </w:tcPr>
          <w:p w14:paraId="565F08F2" w14:textId="77777777" w:rsidR="00913C78" w:rsidRPr="00F22172" w:rsidRDefault="00913C78" w:rsidP="00F22172">
            <w:pPr>
              <w:pStyle w:val="ae"/>
              <w:rPr>
                <w:b w:val="0"/>
                <w:bCs/>
              </w:rPr>
            </w:pPr>
            <w:r w:rsidRPr="00F22172">
              <w:rPr>
                <w:rFonts w:hint="eastAsia"/>
                <w:b w:val="0"/>
                <w:bCs/>
              </w:rPr>
              <w:t>0</w:t>
            </w:r>
          </w:p>
        </w:tc>
      </w:tr>
    </w:tbl>
    <w:p w14:paraId="36FCF87C" w14:textId="1E4BD209" w:rsidR="00913C78" w:rsidRPr="00913C78" w:rsidRDefault="00913C78" w:rsidP="00F22172">
      <w:pPr>
        <w:pStyle w:val="ae"/>
      </w:pPr>
      <w:r w:rsidRPr="00913C78">
        <w:rPr>
          <w:rFonts w:hint="eastAsia"/>
        </w:rPr>
        <w:t>附表</w:t>
      </w:r>
      <w:r w:rsidRPr="00913C78">
        <w:rPr>
          <w:rFonts w:hint="eastAsia"/>
        </w:rPr>
        <w:t>A.5.1</w:t>
      </w:r>
      <w:r w:rsidR="00532D0F">
        <w:t>6</w:t>
      </w:r>
      <w:r w:rsidRPr="00913C78">
        <w:rPr>
          <w:rFonts w:hint="eastAsia"/>
        </w:rPr>
        <w:t xml:space="preserve">  </w:t>
      </w:r>
      <w:r w:rsidRPr="00913C78">
        <w:rPr>
          <w:rFonts w:hint="eastAsia"/>
        </w:rPr>
        <w:t>室内</w:t>
      </w:r>
      <w:r w:rsidRPr="00913C78">
        <w:t>热源散热量辐射和对流的比例</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0" w:type="dxa"/>
        </w:tblCellMar>
        <w:tblLook w:val="04A0" w:firstRow="1" w:lastRow="0" w:firstColumn="1" w:lastColumn="0" w:noHBand="0" w:noVBand="1"/>
      </w:tblPr>
      <w:tblGrid>
        <w:gridCol w:w="2456"/>
        <w:gridCol w:w="2457"/>
        <w:gridCol w:w="2457"/>
      </w:tblGrid>
      <w:tr w:rsidR="00913C78" w:rsidRPr="00F22172" w14:paraId="6DAE6AB2" w14:textId="77777777" w:rsidTr="008F38C5">
        <w:trPr>
          <w:jc w:val="center"/>
        </w:trPr>
        <w:tc>
          <w:tcPr>
            <w:tcW w:w="2456" w:type="dxa"/>
            <w:shd w:val="clear" w:color="auto" w:fill="auto"/>
            <w:vAlign w:val="center"/>
            <w:hideMark/>
          </w:tcPr>
          <w:p w14:paraId="21D5889D" w14:textId="77777777" w:rsidR="00913C78" w:rsidRPr="00F22172" w:rsidRDefault="00913C78" w:rsidP="00F22172">
            <w:pPr>
              <w:pStyle w:val="ae"/>
              <w:rPr>
                <w:b w:val="0"/>
                <w:bCs/>
              </w:rPr>
            </w:pPr>
            <w:r w:rsidRPr="00F22172">
              <w:rPr>
                <w:rFonts w:hint="eastAsia"/>
                <w:b w:val="0"/>
                <w:bCs/>
              </w:rPr>
              <w:t>热源</w:t>
            </w:r>
          </w:p>
        </w:tc>
        <w:tc>
          <w:tcPr>
            <w:tcW w:w="2457" w:type="dxa"/>
            <w:shd w:val="clear" w:color="auto" w:fill="auto"/>
            <w:vAlign w:val="center"/>
            <w:hideMark/>
          </w:tcPr>
          <w:p w14:paraId="17E6A12A" w14:textId="77777777" w:rsidR="00913C78" w:rsidRPr="00F22172" w:rsidRDefault="00913C78" w:rsidP="00F22172">
            <w:pPr>
              <w:pStyle w:val="ae"/>
              <w:rPr>
                <w:b w:val="0"/>
                <w:bCs/>
              </w:rPr>
            </w:pPr>
            <w:r w:rsidRPr="00F22172">
              <w:rPr>
                <w:rFonts w:hint="eastAsia"/>
                <w:b w:val="0"/>
                <w:bCs/>
              </w:rPr>
              <w:t>辐射比例</w:t>
            </w:r>
            <w:r w:rsidRPr="00F22172">
              <w:rPr>
                <w:rFonts w:hint="eastAsia"/>
                <w:b w:val="0"/>
                <w:bCs/>
              </w:rPr>
              <w:t>/%</w:t>
            </w:r>
          </w:p>
        </w:tc>
        <w:tc>
          <w:tcPr>
            <w:tcW w:w="2457" w:type="dxa"/>
            <w:shd w:val="clear" w:color="auto" w:fill="auto"/>
            <w:vAlign w:val="center"/>
            <w:hideMark/>
          </w:tcPr>
          <w:p w14:paraId="05C18F98" w14:textId="77777777" w:rsidR="00913C78" w:rsidRPr="00F22172" w:rsidRDefault="00913C78" w:rsidP="00F22172">
            <w:pPr>
              <w:pStyle w:val="ae"/>
              <w:rPr>
                <w:b w:val="0"/>
                <w:bCs/>
              </w:rPr>
            </w:pPr>
            <w:r w:rsidRPr="00F22172">
              <w:rPr>
                <w:rFonts w:hint="eastAsia"/>
                <w:b w:val="0"/>
                <w:bCs/>
              </w:rPr>
              <w:t>对流比例</w:t>
            </w:r>
            <w:r w:rsidRPr="00F22172">
              <w:rPr>
                <w:rFonts w:hint="eastAsia"/>
                <w:b w:val="0"/>
                <w:bCs/>
              </w:rPr>
              <w:t>/%</w:t>
            </w:r>
          </w:p>
        </w:tc>
      </w:tr>
      <w:tr w:rsidR="00913C78" w:rsidRPr="00F22172" w14:paraId="6C89A80A" w14:textId="77777777" w:rsidTr="008F38C5">
        <w:trPr>
          <w:jc w:val="center"/>
        </w:trPr>
        <w:tc>
          <w:tcPr>
            <w:tcW w:w="2456" w:type="dxa"/>
            <w:shd w:val="clear" w:color="auto" w:fill="auto"/>
            <w:vAlign w:val="center"/>
            <w:hideMark/>
          </w:tcPr>
          <w:p w14:paraId="57401C82" w14:textId="77777777" w:rsidR="00913C78" w:rsidRPr="00F22172" w:rsidRDefault="00913C78" w:rsidP="00F22172">
            <w:pPr>
              <w:pStyle w:val="ae"/>
              <w:rPr>
                <w:b w:val="0"/>
                <w:bCs/>
              </w:rPr>
            </w:pPr>
            <w:r w:rsidRPr="00F22172">
              <w:rPr>
                <w:rFonts w:hint="eastAsia"/>
                <w:b w:val="0"/>
                <w:bCs/>
              </w:rPr>
              <w:t>照明</w:t>
            </w:r>
          </w:p>
        </w:tc>
        <w:tc>
          <w:tcPr>
            <w:tcW w:w="2457" w:type="dxa"/>
            <w:shd w:val="clear" w:color="auto" w:fill="auto"/>
            <w:vAlign w:val="center"/>
            <w:hideMark/>
          </w:tcPr>
          <w:p w14:paraId="51928C27" w14:textId="77777777" w:rsidR="00913C78" w:rsidRPr="00F22172" w:rsidRDefault="00913C78" w:rsidP="00F22172">
            <w:pPr>
              <w:pStyle w:val="ae"/>
              <w:rPr>
                <w:b w:val="0"/>
                <w:bCs/>
              </w:rPr>
            </w:pPr>
            <w:r w:rsidRPr="00F22172">
              <w:rPr>
                <w:rFonts w:hint="eastAsia"/>
                <w:b w:val="0"/>
                <w:bCs/>
              </w:rPr>
              <w:t>67</w:t>
            </w:r>
          </w:p>
        </w:tc>
        <w:tc>
          <w:tcPr>
            <w:tcW w:w="2457" w:type="dxa"/>
            <w:shd w:val="clear" w:color="auto" w:fill="auto"/>
            <w:vAlign w:val="center"/>
            <w:hideMark/>
          </w:tcPr>
          <w:p w14:paraId="7E17A7B4" w14:textId="77777777" w:rsidR="00913C78" w:rsidRPr="00F22172" w:rsidRDefault="00913C78" w:rsidP="00F22172">
            <w:pPr>
              <w:pStyle w:val="ae"/>
              <w:rPr>
                <w:b w:val="0"/>
                <w:bCs/>
              </w:rPr>
            </w:pPr>
            <w:r w:rsidRPr="00F22172">
              <w:rPr>
                <w:rFonts w:hint="eastAsia"/>
                <w:b w:val="0"/>
                <w:bCs/>
              </w:rPr>
              <w:t>33</w:t>
            </w:r>
          </w:p>
        </w:tc>
      </w:tr>
    </w:tbl>
    <w:p w14:paraId="78006703" w14:textId="77777777" w:rsidR="00913C78" w:rsidRPr="00913C78" w:rsidRDefault="00913C78" w:rsidP="00F22172">
      <w:pPr>
        <w:pStyle w:val="ae"/>
      </w:pPr>
      <w:r w:rsidRPr="00913C78">
        <w:rPr>
          <w:rFonts w:hint="eastAsia"/>
        </w:rPr>
        <w:t>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0" w:type="dxa"/>
        </w:tblCellMar>
        <w:tblLook w:val="04A0" w:firstRow="1" w:lastRow="0" w:firstColumn="1" w:lastColumn="0" w:noHBand="0" w:noVBand="1"/>
      </w:tblPr>
      <w:tblGrid>
        <w:gridCol w:w="2456"/>
        <w:gridCol w:w="2457"/>
        <w:gridCol w:w="2457"/>
      </w:tblGrid>
      <w:tr w:rsidR="00913C78" w:rsidRPr="00913C78" w14:paraId="5F8C8CE1" w14:textId="77777777" w:rsidTr="008F38C5">
        <w:trPr>
          <w:jc w:val="center"/>
        </w:trPr>
        <w:tc>
          <w:tcPr>
            <w:tcW w:w="2456" w:type="dxa"/>
            <w:shd w:val="clear" w:color="auto" w:fill="auto"/>
            <w:vAlign w:val="center"/>
            <w:hideMark/>
          </w:tcPr>
          <w:p w14:paraId="427CE722" w14:textId="77777777" w:rsidR="00913C78" w:rsidRPr="00F22172" w:rsidRDefault="00913C78" w:rsidP="00F22172">
            <w:pPr>
              <w:pStyle w:val="ae"/>
              <w:rPr>
                <w:b w:val="0"/>
                <w:bCs/>
              </w:rPr>
            </w:pPr>
            <w:r w:rsidRPr="00F22172">
              <w:rPr>
                <w:rFonts w:hint="eastAsia"/>
                <w:b w:val="0"/>
                <w:bCs/>
              </w:rPr>
              <w:t>热源</w:t>
            </w:r>
          </w:p>
        </w:tc>
        <w:tc>
          <w:tcPr>
            <w:tcW w:w="2457" w:type="dxa"/>
            <w:shd w:val="clear" w:color="auto" w:fill="auto"/>
            <w:vAlign w:val="center"/>
            <w:hideMark/>
          </w:tcPr>
          <w:p w14:paraId="4CBBE5BB" w14:textId="77777777" w:rsidR="00913C78" w:rsidRPr="00F22172" w:rsidRDefault="00913C78" w:rsidP="00F22172">
            <w:pPr>
              <w:pStyle w:val="ae"/>
              <w:rPr>
                <w:b w:val="0"/>
                <w:bCs/>
              </w:rPr>
            </w:pPr>
            <w:r w:rsidRPr="00F22172">
              <w:rPr>
                <w:rFonts w:hint="eastAsia"/>
                <w:b w:val="0"/>
                <w:bCs/>
              </w:rPr>
              <w:t>辐射比例</w:t>
            </w:r>
            <w:r w:rsidRPr="00F22172">
              <w:rPr>
                <w:rFonts w:hint="eastAsia"/>
                <w:b w:val="0"/>
                <w:bCs/>
              </w:rPr>
              <w:t>/%</w:t>
            </w:r>
          </w:p>
        </w:tc>
        <w:tc>
          <w:tcPr>
            <w:tcW w:w="2457" w:type="dxa"/>
            <w:shd w:val="clear" w:color="auto" w:fill="auto"/>
            <w:vAlign w:val="center"/>
            <w:hideMark/>
          </w:tcPr>
          <w:p w14:paraId="5F6923BA" w14:textId="77777777" w:rsidR="00913C78" w:rsidRPr="00F22172" w:rsidRDefault="00913C78" w:rsidP="00F22172">
            <w:pPr>
              <w:pStyle w:val="ae"/>
              <w:rPr>
                <w:b w:val="0"/>
                <w:bCs/>
              </w:rPr>
            </w:pPr>
            <w:r w:rsidRPr="00F22172">
              <w:rPr>
                <w:rFonts w:hint="eastAsia"/>
                <w:b w:val="0"/>
                <w:bCs/>
              </w:rPr>
              <w:t>对流比例</w:t>
            </w:r>
            <w:r w:rsidRPr="00F22172">
              <w:rPr>
                <w:rFonts w:hint="eastAsia"/>
                <w:b w:val="0"/>
                <w:bCs/>
              </w:rPr>
              <w:t>/%</w:t>
            </w:r>
          </w:p>
        </w:tc>
      </w:tr>
      <w:tr w:rsidR="00913C78" w:rsidRPr="00913C78" w14:paraId="139603A4" w14:textId="77777777" w:rsidTr="008F38C5">
        <w:trPr>
          <w:jc w:val="center"/>
        </w:trPr>
        <w:tc>
          <w:tcPr>
            <w:tcW w:w="2456" w:type="dxa"/>
            <w:shd w:val="clear" w:color="auto" w:fill="auto"/>
            <w:vAlign w:val="center"/>
            <w:hideMark/>
          </w:tcPr>
          <w:p w14:paraId="2E058CAD" w14:textId="77777777" w:rsidR="00913C78" w:rsidRPr="00F22172" w:rsidRDefault="00913C78" w:rsidP="00F22172">
            <w:pPr>
              <w:pStyle w:val="ae"/>
              <w:rPr>
                <w:b w:val="0"/>
                <w:bCs/>
              </w:rPr>
            </w:pPr>
            <w:r w:rsidRPr="00F22172">
              <w:rPr>
                <w:rFonts w:hint="eastAsia"/>
                <w:b w:val="0"/>
                <w:bCs/>
              </w:rPr>
              <w:t>设备</w:t>
            </w:r>
          </w:p>
        </w:tc>
        <w:tc>
          <w:tcPr>
            <w:tcW w:w="2457" w:type="dxa"/>
            <w:shd w:val="clear" w:color="auto" w:fill="auto"/>
            <w:vAlign w:val="center"/>
            <w:hideMark/>
          </w:tcPr>
          <w:p w14:paraId="25F282C5" w14:textId="77777777" w:rsidR="00913C78" w:rsidRPr="00F22172" w:rsidRDefault="00913C78" w:rsidP="00F22172">
            <w:pPr>
              <w:pStyle w:val="ae"/>
              <w:rPr>
                <w:b w:val="0"/>
                <w:bCs/>
              </w:rPr>
            </w:pPr>
            <w:r w:rsidRPr="00F22172">
              <w:rPr>
                <w:rFonts w:hint="eastAsia"/>
                <w:b w:val="0"/>
                <w:bCs/>
              </w:rPr>
              <w:t>30</w:t>
            </w:r>
          </w:p>
        </w:tc>
        <w:tc>
          <w:tcPr>
            <w:tcW w:w="2457" w:type="dxa"/>
            <w:shd w:val="clear" w:color="auto" w:fill="auto"/>
            <w:vAlign w:val="center"/>
            <w:hideMark/>
          </w:tcPr>
          <w:p w14:paraId="638F82B3" w14:textId="77777777" w:rsidR="00913C78" w:rsidRPr="00F22172" w:rsidRDefault="00913C78" w:rsidP="00F22172">
            <w:pPr>
              <w:pStyle w:val="ae"/>
              <w:rPr>
                <w:b w:val="0"/>
                <w:bCs/>
              </w:rPr>
            </w:pPr>
            <w:r w:rsidRPr="00F22172">
              <w:rPr>
                <w:rFonts w:hint="eastAsia"/>
                <w:b w:val="0"/>
                <w:bCs/>
              </w:rPr>
              <w:t>70</w:t>
            </w:r>
          </w:p>
        </w:tc>
      </w:tr>
      <w:tr w:rsidR="00913C78" w:rsidRPr="00913C78" w14:paraId="799F0980" w14:textId="77777777" w:rsidTr="008F38C5">
        <w:trPr>
          <w:jc w:val="center"/>
        </w:trPr>
        <w:tc>
          <w:tcPr>
            <w:tcW w:w="2456" w:type="dxa"/>
            <w:shd w:val="clear" w:color="auto" w:fill="auto"/>
            <w:vAlign w:val="center"/>
            <w:hideMark/>
          </w:tcPr>
          <w:p w14:paraId="7D1672A8" w14:textId="77777777" w:rsidR="00913C78" w:rsidRPr="00F22172" w:rsidRDefault="00913C78" w:rsidP="00F22172">
            <w:pPr>
              <w:pStyle w:val="ae"/>
              <w:rPr>
                <w:b w:val="0"/>
                <w:bCs/>
              </w:rPr>
            </w:pPr>
            <w:r w:rsidRPr="00F22172">
              <w:rPr>
                <w:rFonts w:hint="eastAsia"/>
                <w:b w:val="0"/>
                <w:bCs/>
              </w:rPr>
              <w:t>人体显热</w:t>
            </w:r>
          </w:p>
        </w:tc>
        <w:tc>
          <w:tcPr>
            <w:tcW w:w="2457" w:type="dxa"/>
            <w:shd w:val="clear" w:color="auto" w:fill="auto"/>
            <w:vAlign w:val="center"/>
            <w:hideMark/>
          </w:tcPr>
          <w:p w14:paraId="61398D31" w14:textId="77777777" w:rsidR="00913C78" w:rsidRPr="00F22172" w:rsidRDefault="00913C78" w:rsidP="00F22172">
            <w:pPr>
              <w:pStyle w:val="ae"/>
              <w:rPr>
                <w:b w:val="0"/>
                <w:bCs/>
              </w:rPr>
            </w:pPr>
            <w:r w:rsidRPr="00F22172">
              <w:rPr>
                <w:rFonts w:hint="eastAsia"/>
                <w:b w:val="0"/>
                <w:bCs/>
              </w:rPr>
              <w:t>40</w:t>
            </w:r>
          </w:p>
        </w:tc>
        <w:tc>
          <w:tcPr>
            <w:tcW w:w="2457" w:type="dxa"/>
            <w:shd w:val="clear" w:color="auto" w:fill="auto"/>
            <w:vAlign w:val="center"/>
            <w:hideMark/>
          </w:tcPr>
          <w:p w14:paraId="77EA7BDF" w14:textId="77777777" w:rsidR="00913C78" w:rsidRPr="00F22172" w:rsidRDefault="00913C78" w:rsidP="00F22172">
            <w:pPr>
              <w:pStyle w:val="ae"/>
              <w:rPr>
                <w:b w:val="0"/>
                <w:bCs/>
              </w:rPr>
            </w:pPr>
            <w:r w:rsidRPr="00F22172">
              <w:rPr>
                <w:rFonts w:hint="eastAsia"/>
                <w:b w:val="0"/>
                <w:bCs/>
              </w:rPr>
              <w:t>60</w:t>
            </w:r>
          </w:p>
        </w:tc>
      </w:tr>
    </w:tbl>
    <w:p w14:paraId="653C7E7D" w14:textId="7BAE14BB" w:rsidR="00913C78" w:rsidRPr="00913C78" w:rsidRDefault="00913C78" w:rsidP="00F22172">
      <w:pPr>
        <w:pStyle w:val="ae"/>
      </w:pPr>
      <w:r w:rsidRPr="00913C78">
        <w:rPr>
          <w:rFonts w:hint="eastAsia"/>
        </w:rPr>
        <w:t>附表</w:t>
      </w:r>
      <w:r w:rsidRPr="00913C78">
        <w:rPr>
          <w:rFonts w:hint="eastAsia"/>
        </w:rPr>
        <w:t>A.5.1</w:t>
      </w:r>
      <w:r w:rsidR="00532D0F">
        <w:t>7</w:t>
      </w:r>
      <w:r w:rsidRPr="00913C78">
        <w:rPr>
          <w:rFonts w:hint="eastAsia"/>
        </w:rPr>
        <w:t xml:space="preserve">  </w:t>
      </w:r>
      <w:r w:rsidRPr="00913C78">
        <w:rPr>
          <w:rFonts w:hint="eastAsia"/>
        </w:rPr>
        <w:t>人员</w:t>
      </w:r>
      <w:r w:rsidRPr="00913C78">
        <w:t>散热量和散湿量</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2982"/>
        <w:gridCol w:w="1344"/>
        <w:gridCol w:w="1344"/>
        <w:gridCol w:w="1700"/>
      </w:tblGrid>
      <w:tr w:rsidR="00913C78" w:rsidRPr="00532D0F" w14:paraId="13C9BC8B" w14:textId="77777777" w:rsidTr="008F38C5">
        <w:trPr>
          <w:jc w:val="center"/>
        </w:trPr>
        <w:tc>
          <w:tcPr>
            <w:tcW w:w="2982" w:type="dxa"/>
            <w:shd w:val="clear" w:color="auto" w:fill="auto"/>
            <w:vAlign w:val="center"/>
            <w:hideMark/>
          </w:tcPr>
          <w:p w14:paraId="5CCD7F83" w14:textId="77777777" w:rsidR="00913C78" w:rsidRPr="00532D0F" w:rsidRDefault="00913C78" w:rsidP="00F22172">
            <w:pPr>
              <w:pStyle w:val="ae"/>
              <w:rPr>
                <w:b w:val="0"/>
                <w:bCs/>
              </w:rPr>
            </w:pPr>
            <w:r w:rsidRPr="00532D0F">
              <w:rPr>
                <w:rFonts w:hint="eastAsia"/>
                <w:b w:val="0"/>
                <w:bCs/>
              </w:rPr>
              <w:t>建筑类别</w:t>
            </w:r>
          </w:p>
        </w:tc>
        <w:tc>
          <w:tcPr>
            <w:tcW w:w="1344" w:type="dxa"/>
            <w:shd w:val="clear" w:color="auto" w:fill="auto"/>
            <w:vAlign w:val="center"/>
            <w:hideMark/>
          </w:tcPr>
          <w:p w14:paraId="52A1B954" w14:textId="77777777" w:rsidR="00913C78" w:rsidRPr="00532D0F" w:rsidRDefault="00913C78" w:rsidP="00F22172">
            <w:pPr>
              <w:pStyle w:val="ae"/>
              <w:rPr>
                <w:b w:val="0"/>
                <w:bCs/>
              </w:rPr>
            </w:pPr>
            <w:r w:rsidRPr="00532D0F">
              <w:rPr>
                <w:rFonts w:hint="eastAsia"/>
                <w:b w:val="0"/>
                <w:bCs/>
              </w:rPr>
              <w:t>显热</w:t>
            </w:r>
            <w:r w:rsidRPr="00532D0F">
              <w:rPr>
                <w:b w:val="0"/>
                <w:bCs/>
              </w:rPr>
              <w:t>/</w:t>
            </w:r>
            <w:r w:rsidRPr="00532D0F">
              <w:rPr>
                <w:rFonts w:hint="eastAsia"/>
                <w:b w:val="0"/>
                <w:bCs/>
              </w:rPr>
              <w:t>（</w:t>
            </w:r>
            <w:r w:rsidRPr="00532D0F">
              <w:rPr>
                <w:b w:val="0"/>
                <w:bCs/>
              </w:rPr>
              <w:t>W/</w:t>
            </w:r>
            <w:r w:rsidRPr="00532D0F">
              <w:rPr>
                <w:rFonts w:hint="eastAsia"/>
                <w:b w:val="0"/>
                <w:bCs/>
              </w:rPr>
              <w:t>人）</w:t>
            </w:r>
          </w:p>
        </w:tc>
        <w:tc>
          <w:tcPr>
            <w:tcW w:w="1344" w:type="dxa"/>
            <w:shd w:val="clear" w:color="auto" w:fill="auto"/>
            <w:vAlign w:val="center"/>
            <w:hideMark/>
          </w:tcPr>
          <w:p w14:paraId="214FA535" w14:textId="77777777" w:rsidR="00913C78" w:rsidRPr="00532D0F" w:rsidRDefault="00913C78" w:rsidP="00F22172">
            <w:pPr>
              <w:pStyle w:val="ae"/>
              <w:rPr>
                <w:b w:val="0"/>
                <w:bCs/>
              </w:rPr>
            </w:pPr>
            <w:r w:rsidRPr="00532D0F">
              <w:rPr>
                <w:rFonts w:hint="eastAsia"/>
                <w:b w:val="0"/>
                <w:bCs/>
              </w:rPr>
              <w:t>潜热</w:t>
            </w:r>
            <w:r w:rsidRPr="00532D0F">
              <w:rPr>
                <w:b w:val="0"/>
                <w:bCs/>
              </w:rPr>
              <w:t>/</w:t>
            </w:r>
            <w:r w:rsidRPr="00532D0F">
              <w:rPr>
                <w:rFonts w:hint="eastAsia"/>
                <w:b w:val="0"/>
                <w:bCs/>
              </w:rPr>
              <w:t>（</w:t>
            </w:r>
            <w:r w:rsidRPr="00532D0F">
              <w:rPr>
                <w:b w:val="0"/>
                <w:bCs/>
              </w:rPr>
              <w:t>W/</w:t>
            </w:r>
            <w:r w:rsidRPr="00532D0F">
              <w:rPr>
                <w:rFonts w:hint="eastAsia"/>
                <w:b w:val="0"/>
                <w:bCs/>
              </w:rPr>
              <w:t>人）</w:t>
            </w:r>
          </w:p>
        </w:tc>
        <w:tc>
          <w:tcPr>
            <w:tcW w:w="1700" w:type="dxa"/>
            <w:shd w:val="clear" w:color="auto" w:fill="auto"/>
            <w:vAlign w:val="center"/>
            <w:hideMark/>
          </w:tcPr>
          <w:p w14:paraId="0781A5FE" w14:textId="77777777" w:rsidR="00913C78" w:rsidRPr="00532D0F" w:rsidRDefault="00913C78" w:rsidP="00F22172">
            <w:pPr>
              <w:pStyle w:val="ae"/>
              <w:rPr>
                <w:b w:val="0"/>
                <w:bCs/>
              </w:rPr>
            </w:pPr>
            <w:r w:rsidRPr="00532D0F">
              <w:rPr>
                <w:rFonts w:hint="eastAsia"/>
                <w:b w:val="0"/>
                <w:bCs/>
              </w:rPr>
              <w:t>散湿量</w:t>
            </w:r>
            <w:r w:rsidRPr="00532D0F">
              <w:rPr>
                <w:b w:val="0"/>
                <w:bCs/>
              </w:rPr>
              <w:t>/</w:t>
            </w:r>
            <w:r w:rsidRPr="00532D0F">
              <w:rPr>
                <w:rFonts w:hint="eastAsia"/>
                <w:b w:val="0"/>
                <w:bCs/>
              </w:rPr>
              <w:t>［</w:t>
            </w:r>
            <w:r w:rsidRPr="00532D0F">
              <w:rPr>
                <w:b w:val="0"/>
                <w:bCs/>
              </w:rPr>
              <w:t>g/</w:t>
            </w:r>
            <w:r w:rsidRPr="00532D0F">
              <w:rPr>
                <w:rFonts w:hint="eastAsia"/>
                <w:b w:val="0"/>
                <w:bCs/>
              </w:rPr>
              <w:t>（</w:t>
            </w:r>
            <w:r w:rsidRPr="00532D0F">
              <w:rPr>
                <w:b w:val="0"/>
                <w:bCs/>
              </w:rPr>
              <w:t>h</w:t>
            </w:r>
            <w:r w:rsidRPr="00532D0F">
              <w:rPr>
                <w:rFonts w:hint="eastAsia"/>
                <w:b w:val="0"/>
                <w:bCs/>
              </w:rPr>
              <w:t>·人）］</w:t>
            </w:r>
          </w:p>
        </w:tc>
      </w:tr>
      <w:tr w:rsidR="00913C78" w:rsidRPr="00532D0F" w14:paraId="53E07906" w14:textId="77777777" w:rsidTr="008F38C5">
        <w:trPr>
          <w:jc w:val="center"/>
        </w:trPr>
        <w:tc>
          <w:tcPr>
            <w:tcW w:w="2982" w:type="dxa"/>
            <w:shd w:val="clear" w:color="auto" w:fill="auto"/>
            <w:vAlign w:val="center"/>
            <w:hideMark/>
          </w:tcPr>
          <w:p w14:paraId="3D52EDF9" w14:textId="77777777" w:rsidR="00913C78" w:rsidRPr="00532D0F" w:rsidRDefault="00913C78" w:rsidP="00F22172">
            <w:pPr>
              <w:pStyle w:val="ae"/>
              <w:rPr>
                <w:b w:val="0"/>
                <w:bCs/>
              </w:rPr>
            </w:pPr>
            <w:r w:rsidRPr="00532D0F">
              <w:rPr>
                <w:rFonts w:hint="eastAsia"/>
                <w:b w:val="0"/>
                <w:bCs/>
              </w:rPr>
              <w:t>办公建筑</w:t>
            </w:r>
          </w:p>
        </w:tc>
        <w:tc>
          <w:tcPr>
            <w:tcW w:w="1344" w:type="dxa"/>
            <w:shd w:val="clear" w:color="auto" w:fill="auto"/>
            <w:vAlign w:val="center"/>
            <w:hideMark/>
          </w:tcPr>
          <w:p w14:paraId="31803C41" w14:textId="77777777" w:rsidR="00913C78" w:rsidRPr="00532D0F" w:rsidRDefault="00913C78" w:rsidP="00F22172">
            <w:pPr>
              <w:pStyle w:val="ae"/>
              <w:rPr>
                <w:b w:val="0"/>
                <w:bCs/>
              </w:rPr>
            </w:pPr>
            <w:r w:rsidRPr="00532D0F">
              <w:rPr>
                <w:b w:val="0"/>
                <w:bCs/>
              </w:rPr>
              <w:t>61</w:t>
            </w:r>
          </w:p>
        </w:tc>
        <w:tc>
          <w:tcPr>
            <w:tcW w:w="1344" w:type="dxa"/>
            <w:shd w:val="clear" w:color="auto" w:fill="auto"/>
            <w:vAlign w:val="center"/>
            <w:hideMark/>
          </w:tcPr>
          <w:p w14:paraId="1F945871" w14:textId="77777777" w:rsidR="00913C78" w:rsidRPr="00532D0F" w:rsidRDefault="00913C78" w:rsidP="00F22172">
            <w:pPr>
              <w:pStyle w:val="ae"/>
              <w:rPr>
                <w:b w:val="0"/>
                <w:bCs/>
              </w:rPr>
            </w:pPr>
            <w:r w:rsidRPr="00532D0F">
              <w:rPr>
                <w:b w:val="0"/>
                <w:bCs/>
              </w:rPr>
              <w:t>46</w:t>
            </w:r>
          </w:p>
        </w:tc>
        <w:tc>
          <w:tcPr>
            <w:tcW w:w="1700" w:type="dxa"/>
            <w:shd w:val="clear" w:color="auto" w:fill="auto"/>
            <w:vAlign w:val="center"/>
            <w:hideMark/>
          </w:tcPr>
          <w:p w14:paraId="19119DD3" w14:textId="77777777" w:rsidR="00913C78" w:rsidRPr="00532D0F" w:rsidRDefault="00913C78" w:rsidP="00F22172">
            <w:pPr>
              <w:pStyle w:val="ae"/>
              <w:rPr>
                <w:b w:val="0"/>
                <w:bCs/>
              </w:rPr>
            </w:pPr>
            <w:r w:rsidRPr="00532D0F">
              <w:rPr>
                <w:b w:val="0"/>
                <w:bCs/>
              </w:rPr>
              <w:t>68</w:t>
            </w:r>
          </w:p>
        </w:tc>
      </w:tr>
      <w:tr w:rsidR="00913C78" w:rsidRPr="00532D0F" w14:paraId="6FCCD639" w14:textId="77777777" w:rsidTr="008F38C5">
        <w:trPr>
          <w:jc w:val="center"/>
        </w:trPr>
        <w:tc>
          <w:tcPr>
            <w:tcW w:w="2982" w:type="dxa"/>
            <w:shd w:val="clear" w:color="auto" w:fill="auto"/>
            <w:vAlign w:val="center"/>
            <w:hideMark/>
          </w:tcPr>
          <w:p w14:paraId="658FBF0F" w14:textId="77777777" w:rsidR="00913C78" w:rsidRPr="00532D0F" w:rsidRDefault="00913C78" w:rsidP="00F22172">
            <w:pPr>
              <w:pStyle w:val="ae"/>
              <w:rPr>
                <w:b w:val="0"/>
                <w:bCs/>
              </w:rPr>
            </w:pPr>
            <w:r w:rsidRPr="00532D0F">
              <w:rPr>
                <w:rFonts w:hint="eastAsia"/>
                <w:b w:val="0"/>
                <w:bCs/>
              </w:rPr>
              <w:t>校园建筑——教学楼</w:t>
            </w:r>
          </w:p>
        </w:tc>
        <w:tc>
          <w:tcPr>
            <w:tcW w:w="1344" w:type="dxa"/>
            <w:shd w:val="clear" w:color="auto" w:fill="auto"/>
            <w:vAlign w:val="center"/>
            <w:hideMark/>
          </w:tcPr>
          <w:p w14:paraId="56A18128" w14:textId="77777777" w:rsidR="00913C78" w:rsidRPr="00532D0F" w:rsidRDefault="00913C78" w:rsidP="00F22172">
            <w:pPr>
              <w:pStyle w:val="ae"/>
              <w:rPr>
                <w:b w:val="0"/>
                <w:bCs/>
              </w:rPr>
            </w:pPr>
            <w:r w:rsidRPr="00532D0F">
              <w:rPr>
                <w:b w:val="0"/>
                <w:bCs/>
              </w:rPr>
              <w:t>61</w:t>
            </w:r>
          </w:p>
        </w:tc>
        <w:tc>
          <w:tcPr>
            <w:tcW w:w="1344" w:type="dxa"/>
            <w:shd w:val="clear" w:color="auto" w:fill="auto"/>
            <w:vAlign w:val="center"/>
            <w:hideMark/>
          </w:tcPr>
          <w:p w14:paraId="0CE4CC27" w14:textId="77777777" w:rsidR="00913C78" w:rsidRPr="00532D0F" w:rsidRDefault="00913C78" w:rsidP="00F22172">
            <w:pPr>
              <w:pStyle w:val="ae"/>
              <w:rPr>
                <w:b w:val="0"/>
                <w:bCs/>
              </w:rPr>
            </w:pPr>
            <w:r w:rsidRPr="00532D0F">
              <w:rPr>
                <w:b w:val="0"/>
                <w:bCs/>
              </w:rPr>
              <w:t>46</w:t>
            </w:r>
          </w:p>
        </w:tc>
        <w:tc>
          <w:tcPr>
            <w:tcW w:w="1700" w:type="dxa"/>
            <w:shd w:val="clear" w:color="auto" w:fill="auto"/>
            <w:vAlign w:val="center"/>
            <w:hideMark/>
          </w:tcPr>
          <w:p w14:paraId="4078A7DE" w14:textId="77777777" w:rsidR="00913C78" w:rsidRPr="00532D0F" w:rsidRDefault="00913C78" w:rsidP="00F22172">
            <w:pPr>
              <w:pStyle w:val="ae"/>
              <w:rPr>
                <w:b w:val="0"/>
                <w:bCs/>
              </w:rPr>
            </w:pPr>
            <w:r w:rsidRPr="00532D0F">
              <w:rPr>
                <w:b w:val="0"/>
                <w:bCs/>
              </w:rPr>
              <w:t>68</w:t>
            </w:r>
          </w:p>
        </w:tc>
      </w:tr>
      <w:tr w:rsidR="00913C78" w:rsidRPr="00532D0F" w14:paraId="05C8B7D3" w14:textId="77777777" w:rsidTr="008F38C5">
        <w:trPr>
          <w:jc w:val="center"/>
        </w:trPr>
        <w:tc>
          <w:tcPr>
            <w:tcW w:w="2982" w:type="dxa"/>
            <w:shd w:val="clear" w:color="auto" w:fill="auto"/>
            <w:vAlign w:val="center"/>
            <w:hideMark/>
          </w:tcPr>
          <w:p w14:paraId="20433C19" w14:textId="77777777" w:rsidR="00913C78" w:rsidRPr="00532D0F" w:rsidRDefault="00913C78" w:rsidP="00F22172">
            <w:pPr>
              <w:pStyle w:val="ae"/>
              <w:rPr>
                <w:b w:val="0"/>
                <w:bCs/>
              </w:rPr>
            </w:pPr>
            <w:r w:rsidRPr="00532D0F">
              <w:rPr>
                <w:rFonts w:hint="eastAsia"/>
                <w:b w:val="0"/>
                <w:bCs/>
              </w:rPr>
              <w:t>商店建筑</w:t>
            </w:r>
          </w:p>
        </w:tc>
        <w:tc>
          <w:tcPr>
            <w:tcW w:w="1344" w:type="dxa"/>
            <w:shd w:val="clear" w:color="auto" w:fill="auto"/>
            <w:vAlign w:val="center"/>
            <w:hideMark/>
          </w:tcPr>
          <w:p w14:paraId="4E655A6E" w14:textId="77777777" w:rsidR="00913C78" w:rsidRPr="00532D0F" w:rsidRDefault="00913C78" w:rsidP="00F22172">
            <w:pPr>
              <w:pStyle w:val="ae"/>
              <w:rPr>
                <w:b w:val="0"/>
                <w:bCs/>
              </w:rPr>
            </w:pPr>
            <w:r w:rsidRPr="00532D0F">
              <w:rPr>
                <w:b w:val="0"/>
                <w:bCs/>
              </w:rPr>
              <w:t>58</w:t>
            </w:r>
          </w:p>
        </w:tc>
        <w:tc>
          <w:tcPr>
            <w:tcW w:w="1344" w:type="dxa"/>
            <w:shd w:val="clear" w:color="auto" w:fill="auto"/>
            <w:vAlign w:val="center"/>
            <w:hideMark/>
          </w:tcPr>
          <w:p w14:paraId="214B1584" w14:textId="77777777" w:rsidR="00913C78" w:rsidRPr="00532D0F" w:rsidRDefault="00913C78" w:rsidP="00F22172">
            <w:pPr>
              <w:pStyle w:val="ae"/>
              <w:rPr>
                <w:b w:val="0"/>
                <w:bCs/>
              </w:rPr>
            </w:pPr>
            <w:r w:rsidRPr="00532D0F">
              <w:rPr>
                <w:b w:val="0"/>
                <w:bCs/>
              </w:rPr>
              <w:t>123</w:t>
            </w:r>
          </w:p>
        </w:tc>
        <w:tc>
          <w:tcPr>
            <w:tcW w:w="1700" w:type="dxa"/>
            <w:shd w:val="clear" w:color="auto" w:fill="auto"/>
            <w:vAlign w:val="center"/>
            <w:hideMark/>
          </w:tcPr>
          <w:p w14:paraId="58851D7A" w14:textId="77777777" w:rsidR="00913C78" w:rsidRPr="00532D0F" w:rsidRDefault="00913C78" w:rsidP="00F22172">
            <w:pPr>
              <w:pStyle w:val="ae"/>
              <w:rPr>
                <w:b w:val="0"/>
                <w:bCs/>
              </w:rPr>
            </w:pPr>
            <w:r w:rsidRPr="00532D0F">
              <w:rPr>
                <w:b w:val="0"/>
                <w:bCs/>
              </w:rPr>
              <w:t>184</w:t>
            </w:r>
          </w:p>
        </w:tc>
      </w:tr>
      <w:tr w:rsidR="00913C78" w:rsidRPr="00532D0F" w14:paraId="225C9852" w14:textId="77777777" w:rsidTr="008F38C5">
        <w:trPr>
          <w:jc w:val="center"/>
        </w:trPr>
        <w:tc>
          <w:tcPr>
            <w:tcW w:w="2982" w:type="dxa"/>
            <w:shd w:val="clear" w:color="auto" w:fill="auto"/>
            <w:vAlign w:val="center"/>
            <w:hideMark/>
          </w:tcPr>
          <w:p w14:paraId="0040DFB7" w14:textId="77777777" w:rsidR="00913C78" w:rsidRPr="00532D0F" w:rsidRDefault="00913C78" w:rsidP="00F22172">
            <w:pPr>
              <w:pStyle w:val="ae"/>
              <w:rPr>
                <w:b w:val="0"/>
                <w:bCs/>
              </w:rPr>
            </w:pPr>
            <w:r w:rsidRPr="00532D0F">
              <w:rPr>
                <w:rFonts w:hint="eastAsia"/>
                <w:b w:val="0"/>
                <w:bCs/>
              </w:rPr>
              <w:t>医疗建筑——门诊楼</w:t>
            </w:r>
          </w:p>
        </w:tc>
        <w:tc>
          <w:tcPr>
            <w:tcW w:w="1344" w:type="dxa"/>
            <w:shd w:val="clear" w:color="auto" w:fill="auto"/>
            <w:vAlign w:val="center"/>
            <w:hideMark/>
          </w:tcPr>
          <w:p w14:paraId="53D31C96" w14:textId="77777777" w:rsidR="00913C78" w:rsidRPr="00532D0F" w:rsidRDefault="00913C78" w:rsidP="00F22172">
            <w:pPr>
              <w:pStyle w:val="ae"/>
              <w:rPr>
                <w:b w:val="0"/>
                <w:bCs/>
              </w:rPr>
            </w:pPr>
            <w:r w:rsidRPr="00532D0F">
              <w:rPr>
                <w:b w:val="0"/>
                <w:bCs/>
              </w:rPr>
              <w:t>61</w:t>
            </w:r>
          </w:p>
        </w:tc>
        <w:tc>
          <w:tcPr>
            <w:tcW w:w="1344" w:type="dxa"/>
            <w:shd w:val="clear" w:color="auto" w:fill="auto"/>
            <w:vAlign w:val="center"/>
            <w:hideMark/>
          </w:tcPr>
          <w:p w14:paraId="64FC8DAB" w14:textId="77777777" w:rsidR="00913C78" w:rsidRPr="00532D0F" w:rsidRDefault="00913C78" w:rsidP="00F22172">
            <w:pPr>
              <w:pStyle w:val="ae"/>
              <w:rPr>
                <w:b w:val="0"/>
                <w:bCs/>
              </w:rPr>
            </w:pPr>
            <w:r w:rsidRPr="00532D0F">
              <w:rPr>
                <w:b w:val="0"/>
                <w:bCs/>
              </w:rPr>
              <w:t>46</w:t>
            </w:r>
          </w:p>
        </w:tc>
        <w:tc>
          <w:tcPr>
            <w:tcW w:w="1700" w:type="dxa"/>
            <w:shd w:val="clear" w:color="auto" w:fill="auto"/>
            <w:vAlign w:val="center"/>
            <w:hideMark/>
          </w:tcPr>
          <w:p w14:paraId="47D3C5EB" w14:textId="77777777" w:rsidR="00913C78" w:rsidRPr="00532D0F" w:rsidRDefault="00913C78" w:rsidP="00F22172">
            <w:pPr>
              <w:pStyle w:val="ae"/>
              <w:rPr>
                <w:b w:val="0"/>
                <w:bCs/>
              </w:rPr>
            </w:pPr>
            <w:r w:rsidRPr="00532D0F">
              <w:rPr>
                <w:b w:val="0"/>
                <w:bCs/>
              </w:rPr>
              <w:t>68</w:t>
            </w:r>
          </w:p>
        </w:tc>
      </w:tr>
      <w:tr w:rsidR="00913C78" w:rsidRPr="00532D0F" w14:paraId="56374958" w14:textId="77777777" w:rsidTr="008F38C5">
        <w:trPr>
          <w:jc w:val="center"/>
        </w:trPr>
        <w:tc>
          <w:tcPr>
            <w:tcW w:w="2982" w:type="dxa"/>
            <w:shd w:val="clear" w:color="auto" w:fill="auto"/>
            <w:vAlign w:val="center"/>
            <w:hideMark/>
          </w:tcPr>
          <w:p w14:paraId="554C545C" w14:textId="77777777" w:rsidR="00913C78" w:rsidRPr="00532D0F" w:rsidRDefault="00913C78" w:rsidP="00F22172">
            <w:pPr>
              <w:pStyle w:val="ae"/>
              <w:rPr>
                <w:b w:val="0"/>
                <w:bCs/>
              </w:rPr>
            </w:pPr>
            <w:r w:rsidRPr="00532D0F">
              <w:rPr>
                <w:rFonts w:hint="eastAsia"/>
                <w:b w:val="0"/>
                <w:bCs/>
              </w:rPr>
              <w:t>宾馆建筑</w:t>
            </w:r>
          </w:p>
        </w:tc>
        <w:tc>
          <w:tcPr>
            <w:tcW w:w="1344" w:type="dxa"/>
            <w:shd w:val="clear" w:color="auto" w:fill="auto"/>
            <w:vAlign w:val="center"/>
            <w:hideMark/>
          </w:tcPr>
          <w:p w14:paraId="6C4D2DB4" w14:textId="77777777" w:rsidR="00913C78" w:rsidRPr="00532D0F" w:rsidRDefault="00913C78" w:rsidP="00F22172">
            <w:pPr>
              <w:pStyle w:val="ae"/>
              <w:rPr>
                <w:b w:val="0"/>
                <w:bCs/>
              </w:rPr>
            </w:pPr>
            <w:r w:rsidRPr="00532D0F">
              <w:rPr>
                <w:b w:val="0"/>
                <w:bCs/>
              </w:rPr>
              <w:t>62</w:t>
            </w:r>
          </w:p>
        </w:tc>
        <w:tc>
          <w:tcPr>
            <w:tcW w:w="1344" w:type="dxa"/>
            <w:shd w:val="clear" w:color="auto" w:fill="auto"/>
            <w:vAlign w:val="center"/>
            <w:hideMark/>
          </w:tcPr>
          <w:p w14:paraId="67DF3BE3" w14:textId="77777777" w:rsidR="00913C78" w:rsidRPr="00532D0F" w:rsidRDefault="00913C78" w:rsidP="00F22172">
            <w:pPr>
              <w:pStyle w:val="ae"/>
              <w:rPr>
                <w:b w:val="0"/>
                <w:bCs/>
              </w:rPr>
            </w:pPr>
            <w:r w:rsidRPr="00532D0F">
              <w:rPr>
                <w:b w:val="0"/>
                <w:bCs/>
              </w:rPr>
              <w:t>46</w:t>
            </w:r>
          </w:p>
        </w:tc>
        <w:tc>
          <w:tcPr>
            <w:tcW w:w="1700" w:type="dxa"/>
            <w:shd w:val="clear" w:color="auto" w:fill="auto"/>
            <w:vAlign w:val="center"/>
            <w:hideMark/>
          </w:tcPr>
          <w:p w14:paraId="7A096A13" w14:textId="77777777" w:rsidR="00913C78" w:rsidRPr="00532D0F" w:rsidRDefault="00913C78" w:rsidP="00F22172">
            <w:pPr>
              <w:pStyle w:val="ae"/>
              <w:rPr>
                <w:b w:val="0"/>
                <w:bCs/>
              </w:rPr>
            </w:pPr>
            <w:r w:rsidRPr="00532D0F">
              <w:rPr>
                <w:b w:val="0"/>
                <w:bCs/>
              </w:rPr>
              <w:t>68</w:t>
            </w:r>
          </w:p>
        </w:tc>
      </w:tr>
      <w:tr w:rsidR="00913C78" w:rsidRPr="00532D0F" w14:paraId="2372DEEA" w14:textId="77777777" w:rsidTr="008F38C5">
        <w:trPr>
          <w:jc w:val="center"/>
        </w:trPr>
        <w:tc>
          <w:tcPr>
            <w:tcW w:w="2982" w:type="dxa"/>
            <w:shd w:val="clear" w:color="auto" w:fill="auto"/>
            <w:vAlign w:val="center"/>
            <w:hideMark/>
          </w:tcPr>
          <w:p w14:paraId="2205AB48" w14:textId="77777777" w:rsidR="00913C78" w:rsidRPr="00532D0F" w:rsidRDefault="00913C78" w:rsidP="00F22172">
            <w:pPr>
              <w:pStyle w:val="ae"/>
              <w:rPr>
                <w:b w:val="0"/>
                <w:bCs/>
              </w:rPr>
            </w:pPr>
            <w:r w:rsidRPr="00532D0F">
              <w:rPr>
                <w:rFonts w:hint="eastAsia"/>
                <w:b w:val="0"/>
                <w:bCs/>
              </w:rPr>
              <w:t>交通建筑——候车（机）、售票、出发大厅</w:t>
            </w:r>
          </w:p>
        </w:tc>
        <w:tc>
          <w:tcPr>
            <w:tcW w:w="1344" w:type="dxa"/>
            <w:shd w:val="clear" w:color="auto" w:fill="auto"/>
            <w:vAlign w:val="center"/>
            <w:hideMark/>
          </w:tcPr>
          <w:p w14:paraId="4E88BBBA" w14:textId="77777777" w:rsidR="00913C78" w:rsidRPr="00532D0F" w:rsidRDefault="00913C78" w:rsidP="00F22172">
            <w:pPr>
              <w:pStyle w:val="ae"/>
              <w:rPr>
                <w:b w:val="0"/>
                <w:bCs/>
              </w:rPr>
            </w:pPr>
            <w:r w:rsidRPr="00532D0F">
              <w:rPr>
                <w:b w:val="0"/>
                <w:bCs/>
              </w:rPr>
              <w:t>61</w:t>
            </w:r>
          </w:p>
        </w:tc>
        <w:tc>
          <w:tcPr>
            <w:tcW w:w="1344" w:type="dxa"/>
            <w:shd w:val="clear" w:color="auto" w:fill="auto"/>
            <w:vAlign w:val="center"/>
            <w:hideMark/>
          </w:tcPr>
          <w:p w14:paraId="6E96AEDA" w14:textId="77777777" w:rsidR="00913C78" w:rsidRPr="00532D0F" w:rsidRDefault="00913C78" w:rsidP="00F22172">
            <w:pPr>
              <w:pStyle w:val="ae"/>
              <w:rPr>
                <w:b w:val="0"/>
                <w:bCs/>
              </w:rPr>
            </w:pPr>
            <w:r w:rsidRPr="00532D0F">
              <w:rPr>
                <w:b w:val="0"/>
                <w:bCs/>
              </w:rPr>
              <w:t>73</w:t>
            </w:r>
          </w:p>
        </w:tc>
        <w:tc>
          <w:tcPr>
            <w:tcW w:w="1700" w:type="dxa"/>
            <w:shd w:val="clear" w:color="auto" w:fill="auto"/>
            <w:vAlign w:val="center"/>
            <w:hideMark/>
          </w:tcPr>
          <w:p w14:paraId="25BECAB2" w14:textId="77777777" w:rsidR="00913C78" w:rsidRPr="00532D0F" w:rsidRDefault="00913C78" w:rsidP="00F22172">
            <w:pPr>
              <w:pStyle w:val="ae"/>
              <w:rPr>
                <w:b w:val="0"/>
                <w:bCs/>
              </w:rPr>
            </w:pPr>
            <w:r w:rsidRPr="00532D0F">
              <w:rPr>
                <w:b w:val="0"/>
                <w:bCs/>
              </w:rPr>
              <w:t>109</w:t>
            </w:r>
          </w:p>
        </w:tc>
      </w:tr>
      <w:tr w:rsidR="00913C78" w:rsidRPr="00532D0F" w14:paraId="27087C68" w14:textId="77777777" w:rsidTr="008F38C5">
        <w:trPr>
          <w:jc w:val="center"/>
        </w:trPr>
        <w:tc>
          <w:tcPr>
            <w:tcW w:w="2982" w:type="dxa"/>
            <w:shd w:val="clear" w:color="auto" w:fill="auto"/>
            <w:vAlign w:val="center"/>
            <w:hideMark/>
          </w:tcPr>
          <w:p w14:paraId="08DE7F18" w14:textId="77777777" w:rsidR="00913C78" w:rsidRPr="00532D0F" w:rsidRDefault="00913C78" w:rsidP="00F22172">
            <w:pPr>
              <w:pStyle w:val="ae"/>
              <w:rPr>
                <w:b w:val="0"/>
                <w:bCs/>
              </w:rPr>
            </w:pPr>
            <w:r w:rsidRPr="00532D0F">
              <w:rPr>
                <w:rFonts w:hint="eastAsia"/>
                <w:b w:val="0"/>
                <w:bCs/>
              </w:rPr>
              <w:t>体育建筑</w:t>
            </w:r>
          </w:p>
        </w:tc>
        <w:tc>
          <w:tcPr>
            <w:tcW w:w="1344" w:type="dxa"/>
            <w:shd w:val="clear" w:color="auto" w:fill="auto"/>
            <w:vAlign w:val="center"/>
            <w:hideMark/>
          </w:tcPr>
          <w:p w14:paraId="5ABE6527" w14:textId="77777777" w:rsidR="00913C78" w:rsidRPr="00532D0F" w:rsidRDefault="00913C78" w:rsidP="00F22172">
            <w:pPr>
              <w:pStyle w:val="ae"/>
              <w:rPr>
                <w:b w:val="0"/>
                <w:bCs/>
              </w:rPr>
            </w:pPr>
            <w:r w:rsidRPr="00532D0F">
              <w:rPr>
                <w:b w:val="0"/>
                <w:bCs/>
              </w:rPr>
              <w:t>61</w:t>
            </w:r>
          </w:p>
        </w:tc>
        <w:tc>
          <w:tcPr>
            <w:tcW w:w="1344" w:type="dxa"/>
            <w:shd w:val="clear" w:color="auto" w:fill="auto"/>
            <w:vAlign w:val="center"/>
            <w:hideMark/>
          </w:tcPr>
          <w:p w14:paraId="553B742A" w14:textId="77777777" w:rsidR="00913C78" w:rsidRPr="00532D0F" w:rsidRDefault="00913C78" w:rsidP="00F22172">
            <w:pPr>
              <w:pStyle w:val="ae"/>
              <w:rPr>
                <w:b w:val="0"/>
                <w:bCs/>
              </w:rPr>
            </w:pPr>
            <w:r w:rsidRPr="00532D0F">
              <w:rPr>
                <w:b w:val="0"/>
                <w:bCs/>
              </w:rPr>
              <w:t>73</w:t>
            </w:r>
          </w:p>
        </w:tc>
        <w:tc>
          <w:tcPr>
            <w:tcW w:w="1700" w:type="dxa"/>
            <w:shd w:val="clear" w:color="auto" w:fill="auto"/>
            <w:vAlign w:val="center"/>
            <w:hideMark/>
          </w:tcPr>
          <w:p w14:paraId="64E457C8" w14:textId="77777777" w:rsidR="00913C78" w:rsidRPr="00532D0F" w:rsidRDefault="00913C78" w:rsidP="00F22172">
            <w:pPr>
              <w:pStyle w:val="ae"/>
              <w:rPr>
                <w:b w:val="0"/>
                <w:bCs/>
              </w:rPr>
            </w:pPr>
            <w:r w:rsidRPr="00532D0F">
              <w:rPr>
                <w:b w:val="0"/>
                <w:bCs/>
              </w:rPr>
              <w:t>109</w:t>
            </w:r>
          </w:p>
        </w:tc>
      </w:tr>
      <w:tr w:rsidR="00913C78" w:rsidRPr="00532D0F" w14:paraId="23629A1D" w14:textId="77777777" w:rsidTr="008F38C5">
        <w:trPr>
          <w:jc w:val="center"/>
        </w:trPr>
        <w:tc>
          <w:tcPr>
            <w:tcW w:w="2982" w:type="dxa"/>
            <w:shd w:val="clear" w:color="auto" w:fill="auto"/>
            <w:vAlign w:val="center"/>
            <w:hideMark/>
          </w:tcPr>
          <w:p w14:paraId="0B997914" w14:textId="77777777" w:rsidR="00913C78" w:rsidRPr="00532D0F" w:rsidRDefault="00913C78" w:rsidP="00F22172">
            <w:pPr>
              <w:pStyle w:val="ae"/>
              <w:rPr>
                <w:b w:val="0"/>
                <w:bCs/>
              </w:rPr>
            </w:pPr>
            <w:r w:rsidRPr="00532D0F">
              <w:rPr>
                <w:rFonts w:hint="eastAsia"/>
                <w:b w:val="0"/>
                <w:bCs/>
              </w:rPr>
              <w:t>观演建筑</w:t>
            </w:r>
          </w:p>
        </w:tc>
        <w:tc>
          <w:tcPr>
            <w:tcW w:w="1344" w:type="dxa"/>
            <w:shd w:val="clear" w:color="auto" w:fill="auto"/>
            <w:vAlign w:val="center"/>
            <w:hideMark/>
          </w:tcPr>
          <w:p w14:paraId="19C698D5" w14:textId="77777777" w:rsidR="00913C78" w:rsidRPr="00532D0F" w:rsidRDefault="00913C78" w:rsidP="00F22172">
            <w:pPr>
              <w:pStyle w:val="ae"/>
              <w:rPr>
                <w:b w:val="0"/>
                <w:bCs/>
              </w:rPr>
            </w:pPr>
            <w:r w:rsidRPr="00532D0F">
              <w:rPr>
                <w:b w:val="0"/>
                <w:bCs/>
              </w:rPr>
              <w:t>62</w:t>
            </w:r>
          </w:p>
        </w:tc>
        <w:tc>
          <w:tcPr>
            <w:tcW w:w="1344" w:type="dxa"/>
            <w:shd w:val="clear" w:color="auto" w:fill="auto"/>
            <w:vAlign w:val="center"/>
            <w:hideMark/>
          </w:tcPr>
          <w:p w14:paraId="72E1EF6E" w14:textId="77777777" w:rsidR="00913C78" w:rsidRPr="00532D0F" w:rsidRDefault="00913C78" w:rsidP="00F22172">
            <w:pPr>
              <w:pStyle w:val="ae"/>
              <w:rPr>
                <w:b w:val="0"/>
                <w:bCs/>
              </w:rPr>
            </w:pPr>
            <w:r w:rsidRPr="00532D0F">
              <w:rPr>
                <w:b w:val="0"/>
                <w:bCs/>
              </w:rPr>
              <w:t>46</w:t>
            </w:r>
          </w:p>
        </w:tc>
        <w:tc>
          <w:tcPr>
            <w:tcW w:w="1700" w:type="dxa"/>
            <w:shd w:val="clear" w:color="auto" w:fill="auto"/>
            <w:vAlign w:val="center"/>
            <w:hideMark/>
          </w:tcPr>
          <w:p w14:paraId="60AB36CF" w14:textId="77777777" w:rsidR="00913C78" w:rsidRPr="00532D0F" w:rsidRDefault="00913C78" w:rsidP="00F22172">
            <w:pPr>
              <w:pStyle w:val="ae"/>
              <w:rPr>
                <w:b w:val="0"/>
                <w:bCs/>
              </w:rPr>
            </w:pPr>
            <w:r w:rsidRPr="00532D0F">
              <w:rPr>
                <w:b w:val="0"/>
                <w:bCs/>
              </w:rPr>
              <w:t>68</w:t>
            </w:r>
          </w:p>
        </w:tc>
      </w:tr>
      <w:tr w:rsidR="00913C78" w:rsidRPr="00F22172" w14:paraId="3526770A" w14:textId="77777777" w:rsidTr="008F38C5">
        <w:trPr>
          <w:jc w:val="center"/>
        </w:trPr>
        <w:tc>
          <w:tcPr>
            <w:tcW w:w="2982" w:type="dxa"/>
            <w:shd w:val="clear" w:color="auto" w:fill="auto"/>
            <w:vAlign w:val="center"/>
            <w:hideMark/>
          </w:tcPr>
          <w:p w14:paraId="18BF0821" w14:textId="77777777" w:rsidR="00913C78" w:rsidRPr="00532D0F" w:rsidRDefault="00913C78" w:rsidP="00F22172">
            <w:pPr>
              <w:pStyle w:val="ae"/>
              <w:rPr>
                <w:b w:val="0"/>
                <w:bCs/>
              </w:rPr>
            </w:pPr>
            <w:r w:rsidRPr="00532D0F">
              <w:rPr>
                <w:rFonts w:hint="eastAsia"/>
                <w:b w:val="0"/>
                <w:bCs/>
              </w:rPr>
              <w:lastRenderedPageBreak/>
              <w:t>展览建筑</w:t>
            </w:r>
          </w:p>
        </w:tc>
        <w:tc>
          <w:tcPr>
            <w:tcW w:w="1344" w:type="dxa"/>
            <w:shd w:val="clear" w:color="auto" w:fill="auto"/>
            <w:vAlign w:val="center"/>
            <w:hideMark/>
          </w:tcPr>
          <w:p w14:paraId="73A7994D" w14:textId="77777777" w:rsidR="00913C78" w:rsidRPr="00532D0F" w:rsidRDefault="00913C78" w:rsidP="00F22172">
            <w:pPr>
              <w:pStyle w:val="ae"/>
              <w:rPr>
                <w:b w:val="0"/>
                <w:bCs/>
              </w:rPr>
            </w:pPr>
            <w:r w:rsidRPr="00532D0F">
              <w:rPr>
                <w:b w:val="0"/>
                <w:bCs/>
              </w:rPr>
              <w:t>61</w:t>
            </w:r>
          </w:p>
        </w:tc>
        <w:tc>
          <w:tcPr>
            <w:tcW w:w="1344" w:type="dxa"/>
            <w:shd w:val="clear" w:color="auto" w:fill="auto"/>
            <w:vAlign w:val="center"/>
            <w:hideMark/>
          </w:tcPr>
          <w:p w14:paraId="7FB10B77" w14:textId="77777777" w:rsidR="00913C78" w:rsidRPr="00532D0F" w:rsidRDefault="00913C78" w:rsidP="00F22172">
            <w:pPr>
              <w:pStyle w:val="ae"/>
              <w:rPr>
                <w:b w:val="0"/>
                <w:bCs/>
              </w:rPr>
            </w:pPr>
            <w:r w:rsidRPr="00532D0F">
              <w:rPr>
                <w:b w:val="0"/>
                <w:bCs/>
              </w:rPr>
              <w:t>73</w:t>
            </w:r>
          </w:p>
        </w:tc>
        <w:tc>
          <w:tcPr>
            <w:tcW w:w="1700" w:type="dxa"/>
            <w:shd w:val="clear" w:color="auto" w:fill="auto"/>
            <w:vAlign w:val="center"/>
            <w:hideMark/>
          </w:tcPr>
          <w:p w14:paraId="4611D508" w14:textId="77777777" w:rsidR="00913C78" w:rsidRPr="00F22172" w:rsidRDefault="00913C78" w:rsidP="00F22172">
            <w:pPr>
              <w:pStyle w:val="ae"/>
              <w:rPr>
                <w:b w:val="0"/>
                <w:bCs/>
              </w:rPr>
            </w:pPr>
            <w:r w:rsidRPr="00532D0F">
              <w:rPr>
                <w:b w:val="0"/>
                <w:bCs/>
              </w:rPr>
              <w:t>109</w:t>
            </w:r>
          </w:p>
        </w:tc>
      </w:tr>
    </w:tbl>
    <w:p w14:paraId="1FB17A06" w14:textId="77777777" w:rsidR="00913C78" w:rsidRPr="00913C78" w:rsidRDefault="00913C78" w:rsidP="00913C78">
      <w:pPr>
        <w:ind w:firstLine="420"/>
      </w:pPr>
    </w:p>
    <w:p w14:paraId="76A30547"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计算参照建筑全年累计耗冷量和累计耗热量时，应符合下列规定：</w:t>
      </w:r>
    </w:p>
    <w:p w14:paraId="670E7179" w14:textId="77777777" w:rsidR="00913C78" w:rsidRPr="00913C78" w:rsidRDefault="00913C78" w:rsidP="00913C78">
      <w:pPr>
        <w:ind w:firstLine="420"/>
      </w:pPr>
      <w:r w:rsidRPr="00913C78">
        <w:t>建筑空气调节和供暖系统的运行时间、室内温度、照明功率密度及开关时间、房间人均占有的使用面积及在室率、人员新风量及新风机组运行时间表、电气设备功率密度及使用率应与设计建筑一致</w:t>
      </w:r>
      <w:r w:rsidRPr="00913C78">
        <w:rPr>
          <w:rFonts w:hint="eastAsia"/>
        </w:rPr>
        <w:t>。</w:t>
      </w:r>
    </w:p>
    <w:p w14:paraId="30241263" w14:textId="77777777" w:rsidR="00913C78" w:rsidRPr="00913C78" w:rsidRDefault="00913C78" w:rsidP="00F22172">
      <w:pPr>
        <w:pStyle w:val="32"/>
      </w:pPr>
      <w:bookmarkStart w:id="331" w:name="_Toc475720432"/>
      <w:bookmarkStart w:id="332" w:name="_Toc35364793"/>
      <w:r w:rsidRPr="00913C78">
        <w:rPr>
          <w:rFonts w:hint="eastAsia"/>
        </w:rPr>
        <w:t>A.5.</w:t>
      </w:r>
      <w:r w:rsidRPr="00913C78">
        <w:t>4</w:t>
      </w:r>
      <w:r w:rsidRPr="00913C78">
        <w:rPr>
          <w:rFonts w:hint="eastAsia"/>
        </w:rPr>
        <w:t xml:space="preserve">  </w:t>
      </w:r>
      <w:r w:rsidRPr="00913C78">
        <w:t>能耗模拟</w:t>
      </w:r>
      <w:r w:rsidRPr="00913C78">
        <w:rPr>
          <w:rFonts w:hint="eastAsia"/>
        </w:rPr>
        <w:t>结果与</w:t>
      </w:r>
      <w:r w:rsidRPr="00913C78">
        <w:t>结论</w:t>
      </w:r>
      <w:bookmarkEnd w:id="331"/>
      <w:bookmarkEnd w:id="332"/>
    </w:p>
    <w:p w14:paraId="72E23B3A" w14:textId="77777777" w:rsidR="00913C78" w:rsidRPr="00913C78" w:rsidRDefault="00913C78" w:rsidP="00913C78">
      <w:pPr>
        <w:ind w:firstLine="420"/>
      </w:pPr>
      <w:bookmarkStart w:id="333" w:name="_Toc475720433"/>
      <w:r w:rsidRPr="00913C78">
        <w:rPr>
          <w:rFonts w:hint="eastAsia"/>
        </w:rPr>
        <w:t>◎</w:t>
      </w:r>
      <w:r w:rsidRPr="00913C78">
        <w:t xml:space="preserve"> </w:t>
      </w:r>
      <w:r w:rsidRPr="00913C78">
        <w:rPr>
          <w:rFonts w:hint="eastAsia"/>
        </w:rPr>
        <w:t>能耗模拟</w:t>
      </w:r>
      <w:r w:rsidRPr="00913C78">
        <w:t>结果</w:t>
      </w:r>
      <w:bookmarkEnd w:id="333"/>
    </w:p>
    <w:p w14:paraId="6C07030C" w14:textId="77777777" w:rsidR="00913C78" w:rsidRPr="00913C78" w:rsidRDefault="00913C78" w:rsidP="00913C78">
      <w:pPr>
        <w:ind w:firstLine="420"/>
      </w:pPr>
      <w:r w:rsidRPr="00913C78">
        <w:rPr>
          <w:rFonts w:hint="eastAsia"/>
        </w:rPr>
        <w:t>供暖空调系统能耗模拟结果应包括建筑全年供暖空调总负荷与总耗电量</w:t>
      </w:r>
      <w:r w:rsidRPr="00913C78">
        <w:t>。</w:t>
      </w:r>
    </w:p>
    <w:p w14:paraId="640CE19D" w14:textId="77777777" w:rsidR="00913C78" w:rsidRPr="00913C78" w:rsidRDefault="00913C78" w:rsidP="00913C78">
      <w:pPr>
        <w:ind w:firstLine="420"/>
      </w:pPr>
      <w:r w:rsidRPr="00913C78">
        <w:rPr>
          <w:rFonts w:hint="eastAsia"/>
        </w:rPr>
        <w:t>能耗模拟结果</w:t>
      </w:r>
      <w:r w:rsidRPr="00913C78">
        <w:t>要求：</w:t>
      </w:r>
    </w:p>
    <w:p w14:paraId="5D38206C"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应以参照建筑与设计建筑的供暖和空气调节总耗电量作为其能耗判断的依据。</w:t>
      </w:r>
    </w:p>
    <w:p w14:paraId="4D40A7A6"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参照建筑与设计建筑的供暖耗气量应折算为耗电量</w:t>
      </w:r>
      <w:r w:rsidRPr="00913C78">
        <w:t>。</w:t>
      </w:r>
    </w:p>
    <w:p w14:paraId="446C7208" w14:textId="77777777" w:rsidR="00913C78" w:rsidRPr="00913C78" w:rsidRDefault="00913C78" w:rsidP="00913C78">
      <w:pPr>
        <w:ind w:firstLine="420"/>
      </w:pPr>
      <w:bookmarkStart w:id="334" w:name="_Toc475720434"/>
      <w:r w:rsidRPr="00913C78">
        <w:rPr>
          <w:rFonts w:hint="eastAsia"/>
        </w:rPr>
        <w:t>◎</w:t>
      </w:r>
      <w:r w:rsidRPr="00913C78">
        <w:rPr>
          <w:rFonts w:hint="eastAsia"/>
        </w:rPr>
        <w:t xml:space="preserve"> </w:t>
      </w:r>
      <w:r w:rsidRPr="00913C78">
        <w:rPr>
          <w:rFonts w:hint="eastAsia"/>
        </w:rPr>
        <w:t>对比</w:t>
      </w:r>
      <w:r w:rsidRPr="00913C78">
        <w:t>分析</w:t>
      </w:r>
      <w:bookmarkEnd w:id="334"/>
    </w:p>
    <w:p w14:paraId="0F5F77DF" w14:textId="77777777" w:rsidR="00913C78" w:rsidRPr="00913C78" w:rsidRDefault="00913C78" w:rsidP="00913C78">
      <w:pPr>
        <w:ind w:firstLine="420"/>
      </w:pPr>
      <w:r w:rsidRPr="00913C78">
        <w:rPr>
          <w:rFonts w:hint="eastAsia"/>
        </w:rPr>
        <w:t>根据能耗模拟结果分析项目暖通空调系统能耗降低幅度，将设计建筑和参照建筑的传热系数、全年供暖空调总耗电量等结果进行对比，得出其能耗降低幅度结果，判断达标情况。报告中</w:t>
      </w:r>
      <w:r w:rsidRPr="00913C78">
        <w:t>给出</w:t>
      </w:r>
      <w:r w:rsidRPr="00913C78">
        <w:rPr>
          <w:rFonts w:hint="eastAsia"/>
        </w:rPr>
        <w:t>暖通空调系统的优化措施</w:t>
      </w:r>
      <w:r w:rsidRPr="00913C78">
        <w:t>与实施过程</w:t>
      </w:r>
      <w:r w:rsidRPr="00913C78">
        <w:rPr>
          <w:rFonts w:hint="eastAsia"/>
        </w:rPr>
        <w:t>。</w:t>
      </w:r>
    </w:p>
    <w:p w14:paraId="5C866D1E" w14:textId="77777777" w:rsidR="00913C78" w:rsidRPr="00913C78" w:rsidRDefault="00913C78" w:rsidP="00913C78">
      <w:pPr>
        <w:ind w:firstLine="420"/>
      </w:pPr>
      <w:bookmarkStart w:id="335" w:name="_Toc475720435"/>
      <w:r w:rsidRPr="00913C78">
        <w:rPr>
          <w:rFonts w:hint="eastAsia"/>
        </w:rPr>
        <w:t>◎</w:t>
      </w:r>
      <w:r w:rsidRPr="00913C78">
        <w:t xml:space="preserve"> </w:t>
      </w:r>
      <w:r w:rsidRPr="00913C78">
        <w:rPr>
          <w:rFonts w:hint="eastAsia"/>
        </w:rPr>
        <w:t>结论</w:t>
      </w:r>
      <w:bookmarkEnd w:id="335"/>
    </w:p>
    <w:p w14:paraId="2C150033" w14:textId="77777777" w:rsidR="00913C78" w:rsidRPr="00913C78" w:rsidRDefault="00913C78" w:rsidP="00913C78">
      <w:pPr>
        <w:ind w:firstLine="420"/>
      </w:pPr>
      <w:r w:rsidRPr="00913C78">
        <w:rPr>
          <w:rFonts w:hint="eastAsia"/>
        </w:rPr>
        <w:t>对结果进行达标判定，并给出结论。</w:t>
      </w:r>
    </w:p>
    <w:p w14:paraId="3CB5785F" w14:textId="2402E065" w:rsidR="00913C78" w:rsidRPr="00913C78" w:rsidRDefault="00913C78" w:rsidP="00F22172">
      <w:pPr>
        <w:pStyle w:val="32"/>
      </w:pPr>
      <w:bookmarkStart w:id="336" w:name="_Toc475720436"/>
      <w:bookmarkStart w:id="337" w:name="_Toc35364794"/>
      <w:r w:rsidRPr="00913C78">
        <w:rPr>
          <w:rFonts w:hint="eastAsia"/>
        </w:rPr>
        <w:t xml:space="preserve">A.5.5  </w:t>
      </w:r>
      <w:r w:rsidRPr="00913C78">
        <w:rPr>
          <w:rFonts w:hint="eastAsia"/>
        </w:rPr>
        <w:t>审查要点</w:t>
      </w:r>
      <w:bookmarkEnd w:id="336"/>
      <w:r w:rsidRPr="00913C78">
        <w:rPr>
          <w:rFonts w:hint="eastAsia"/>
        </w:rPr>
        <w:t>（附表</w:t>
      </w:r>
      <w:r w:rsidRPr="00913C78">
        <w:rPr>
          <w:rFonts w:hint="eastAsia"/>
        </w:rPr>
        <w:t>A.5.17</w:t>
      </w:r>
      <w:r w:rsidRPr="00913C78">
        <w:rPr>
          <w:rFonts w:hint="eastAsia"/>
        </w:rPr>
        <w:t>）</w:t>
      </w:r>
      <w:bookmarkEnd w:id="337"/>
    </w:p>
    <w:p w14:paraId="18D7B82B" w14:textId="77777777" w:rsidR="00913C78" w:rsidRPr="00913C78" w:rsidRDefault="00913C78" w:rsidP="00F22172">
      <w:pPr>
        <w:pStyle w:val="ae"/>
      </w:pPr>
      <w:r w:rsidRPr="00913C78">
        <w:rPr>
          <w:rFonts w:hint="eastAsia"/>
        </w:rPr>
        <w:t>附表</w:t>
      </w:r>
      <w:r w:rsidRPr="00913C78">
        <w:rPr>
          <w:rFonts w:hint="eastAsia"/>
        </w:rPr>
        <w:t xml:space="preserve">A.5.17  </w:t>
      </w:r>
      <w:r w:rsidRPr="00913C78">
        <w:rPr>
          <w:rFonts w:hint="eastAsia"/>
        </w:rPr>
        <w:t>供暖空调系统能耗模拟分析报告专家判断表</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bottom w:w="28" w:type="dxa"/>
          <w:right w:w="57" w:type="dxa"/>
        </w:tblCellMar>
        <w:tblLook w:val="04A0" w:firstRow="1" w:lastRow="0" w:firstColumn="1" w:lastColumn="0" w:noHBand="0" w:noVBand="1"/>
      </w:tblPr>
      <w:tblGrid>
        <w:gridCol w:w="492"/>
        <w:gridCol w:w="1105"/>
        <w:gridCol w:w="4886"/>
        <w:gridCol w:w="1030"/>
      </w:tblGrid>
      <w:tr w:rsidR="00913C78" w:rsidRPr="00913C78" w14:paraId="2892B338" w14:textId="77777777" w:rsidTr="008F38C5">
        <w:trPr>
          <w:jc w:val="center"/>
        </w:trPr>
        <w:tc>
          <w:tcPr>
            <w:tcW w:w="492" w:type="dxa"/>
            <w:shd w:val="clear" w:color="auto" w:fill="auto"/>
            <w:vAlign w:val="center"/>
            <w:hideMark/>
          </w:tcPr>
          <w:p w14:paraId="26C1136D" w14:textId="77777777" w:rsidR="00913C78" w:rsidRPr="00F22172" w:rsidRDefault="00913C78" w:rsidP="00F22172">
            <w:pPr>
              <w:pStyle w:val="ae"/>
              <w:rPr>
                <w:b w:val="0"/>
                <w:bCs/>
              </w:rPr>
            </w:pPr>
            <w:r w:rsidRPr="00F22172">
              <w:rPr>
                <w:rFonts w:hint="eastAsia"/>
                <w:b w:val="0"/>
                <w:bCs/>
              </w:rPr>
              <w:t>编号</w:t>
            </w:r>
          </w:p>
        </w:tc>
        <w:tc>
          <w:tcPr>
            <w:tcW w:w="1105" w:type="dxa"/>
            <w:shd w:val="clear" w:color="auto" w:fill="auto"/>
            <w:vAlign w:val="center"/>
            <w:hideMark/>
          </w:tcPr>
          <w:p w14:paraId="58131337" w14:textId="77777777" w:rsidR="00913C78" w:rsidRPr="00F22172" w:rsidRDefault="00913C78" w:rsidP="00F22172">
            <w:pPr>
              <w:pStyle w:val="ae"/>
              <w:rPr>
                <w:b w:val="0"/>
                <w:bCs/>
              </w:rPr>
            </w:pPr>
            <w:r w:rsidRPr="00F22172">
              <w:rPr>
                <w:rFonts w:hint="eastAsia"/>
                <w:b w:val="0"/>
                <w:bCs/>
              </w:rPr>
              <w:t>审查要点</w:t>
            </w:r>
          </w:p>
        </w:tc>
        <w:tc>
          <w:tcPr>
            <w:tcW w:w="4886" w:type="dxa"/>
            <w:shd w:val="clear" w:color="auto" w:fill="auto"/>
            <w:vAlign w:val="center"/>
            <w:hideMark/>
          </w:tcPr>
          <w:p w14:paraId="6ED4FDEB" w14:textId="77777777" w:rsidR="00913C78" w:rsidRPr="00F22172" w:rsidRDefault="00913C78" w:rsidP="00F22172">
            <w:pPr>
              <w:pStyle w:val="ae"/>
              <w:rPr>
                <w:b w:val="0"/>
                <w:bCs/>
              </w:rPr>
            </w:pPr>
            <w:r w:rsidRPr="00F22172">
              <w:rPr>
                <w:rFonts w:hint="eastAsia"/>
                <w:b w:val="0"/>
                <w:bCs/>
              </w:rPr>
              <w:t>具体判断</w:t>
            </w:r>
          </w:p>
        </w:tc>
        <w:tc>
          <w:tcPr>
            <w:tcW w:w="1030" w:type="dxa"/>
            <w:shd w:val="clear" w:color="auto" w:fill="auto"/>
            <w:vAlign w:val="center"/>
            <w:hideMark/>
          </w:tcPr>
          <w:p w14:paraId="7C1E1182" w14:textId="77777777" w:rsidR="00913C78" w:rsidRPr="00F22172" w:rsidRDefault="00913C78" w:rsidP="00F22172">
            <w:pPr>
              <w:pStyle w:val="ae"/>
              <w:rPr>
                <w:b w:val="0"/>
                <w:bCs/>
              </w:rPr>
            </w:pPr>
            <w:r w:rsidRPr="00F22172">
              <w:rPr>
                <w:rFonts w:hint="eastAsia"/>
                <w:b w:val="0"/>
                <w:bCs/>
              </w:rPr>
              <w:t>是否满足</w:t>
            </w:r>
          </w:p>
        </w:tc>
      </w:tr>
      <w:tr w:rsidR="00913C78" w:rsidRPr="00913C78" w14:paraId="49BD24BD" w14:textId="77777777" w:rsidTr="008F38C5">
        <w:trPr>
          <w:jc w:val="center"/>
        </w:trPr>
        <w:tc>
          <w:tcPr>
            <w:tcW w:w="492" w:type="dxa"/>
            <w:shd w:val="clear" w:color="auto" w:fill="auto"/>
            <w:vAlign w:val="center"/>
            <w:hideMark/>
          </w:tcPr>
          <w:p w14:paraId="1EF24316" w14:textId="77777777" w:rsidR="00913C78" w:rsidRPr="00F22172" w:rsidRDefault="00913C78" w:rsidP="00F22172">
            <w:pPr>
              <w:pStyle w:val="ae"/>
              <w:rPr>
                <w:b w:val="0"/>
                <w:bCs/>
              </w:rPr>
            </w:pPr>
            <w:r w:rsidRPr="00F22172">
              <w:rPr>
                <w:b w:val="0"/>
                <w:bCs/>
              </w:rPr>
              <w:t>1</w:t>
            </w:r>
          </w:p>
        </w:tc>
        <w:tc>
          <w:tcPr>
            <w:tcW w:w="1105" w:type="dxa"/>
            <w:shd w:val="clear" w:color="auto" w:fill="auto"/>
            <w:vAlign w:val="center"/>
            <w:hideMark/>
          </w:tcPr>
          <w:p w14:paraId="4F04715E" w14:textId="77777777" w:rsidR="00913C78" w:rsidRPr="00F22172" w:rsidRDefault="00913C78" w:rsidP="00F22172">
            <w:pPr>
              <w:pStyle w:val="ae"/>
              <w:rPr>
                <w:b w:val="0"/>
                <w:bCs/>
              </w:rPr>
            </w:pPr>
            <w:r w:rsidRPr="00F22172">
              <w:rPr>
                <w:rFonts w:hint="eastAsia"/>
                <w:b w:val="0"/>
                <w:bCs/>
              </w:rPr>
              <w:t>能耗模拟依据</w:t>
            </w:r>
          </w:p>
        </w:tc>
        <w:tc>
          <w:tcPr>
            <w:tcW w:w="4886" w:type="dxa"/>
            <w:shd w:val="clear" w:color="auto" w:fill="auto"/>
            <w:vAlign w:val="center"/>
            <w:hideMark/>
          </w:tcPr>
          <w:p w14:paraId="787DFCD6" w14:textId="77777777" w:rsidR="00913C78" w:rsidRPr="00F22172" w:rsidRDefault="00913C78" w:rsidP="00F22172">
            <w:pPr>
              <w:pStyle w:val="ae"/>
              <w:jc w:val="left"/>
              <w:rPr>
                <w:b w:val="0"/>
                <w:bCs/>
              </w:rPr>
            </w:pPr>
            <w:r w:rsidRPr="00F22172">
              <w:rPr>
                <w:rFonts w:hint="eastAsia"/>
                <w:b w:val="0"/>
                <w:bCs/>
              </w:rPr>
              <w:t>能耗模拟基础数据有可靠来源，写明基础数据及参考的数据资料</w:t>
            </w:r>
          </w:p>
        </w:tc>
        <w:tc>
          <w:tcPr>
            <w:tcW w:w="1030" w:type="dxa"/>
            <w:shd w:val="clear" w:color="auto" w:fill="auto"/>
            <w:vAlign w:val="center"/>
            <w:hideMark/>
          </w:tcPr>
          <w:p w14:paraId="145987D8" w14:textId="77777777" w:rsidR="00913C78" w:rsidRPr="00F22172" w:rsidRDefault="00913C78" w:rsidP="00F22172">
            <w:pPr>
              <w:pStyle w:val="ae"/>
              <w:rPr>
                <w:b w:val="0"/>
                <w:bCs/>
              </w:rPr>
            </w:pPr>
          </w:p>
        </w:tc>
      </w:tr>
      <w:tr w:rsidR="00913C78" w:rsidRPr="00913C78" w14:paraId="7901F112" w14:textId="77777777" w:rsidTr="008F38C5">
        <w:trPr>
          <w:jc w:val="center"/>
        </w:trPr>
        <w:tc>
          <w:tcPr>
            <w:tcW w:w="492" w:type="dxa"/>
            <w:vMerge w:val="restart"/>
            <w:shd w:val="clear" w:color="auto" w:fill="auto"/>
            <w:vAlign w:val="center"/>
          </w:tcPr>
          <w:p w14:paraId="78373422" w14:textId="77777777" w:rsidR="00913C78" w:rsidRPr="00F22172" w:rsidRDefault="00913C78" w:rsidP="00F22172">
            <w:pPr>
              <w:pStyle w:val="ae"/>
              <w:rPr>
                <w:b w:val="0"/>
                <w:bCs/>
              </w:rPr>
            </w:pPr>
            <w:r w:rsidRPr="00F22172">
              <w:rPr>
                <w:b w:val="0"/>
                <w:bCs/>
              </w:rPr>
              <w:t>2</w:t>
            </w:r>
          </w:p>
        </w:tc>
        <w:tc>
          <w:tcPr>
            <w:tcW w:w="1105" w:type="dxa"/>
            <w:vMerge w:val="restart"/>
            <w:shd w:val="clear" w:color="auto" w:fill="auto"/>
            <w:vAlign w:val="center"/>
          </w:tcPr>
          <w:p w14:paraId="78D7F582" w14:textId="77777777" w:rsidR="00913C78" w:rsidRPr="00F22172" w:rsidRDefault="00913C78" w:rsidP="00F22172">
            <w:pPr>
              <w:pStyle w:val="ae"/>
              <w:rPr>
                <w:b w:val="0"/>
                <w:bCs/>
              </w:rPr>
            </w:pPr>
            <w:r w:rsidRPr="00F22172">
              <w:rPr>
                <w:rFonts w:hint="eastAsia"/>
                <w:b w:val="0"/>
                <w:bCs/>
              </w:rPr>
              <w:t>计算基本</w:t>
            </w:r>
            <w:r w:rsidRPr="00F22172">
              <w:rPr>
                <w:rFonts w:hint="eastAsia"/>
                <w:b w:val="0"/>
                <w:bCs/>
              </w:rPr>
              <w:lastRenderedPageBreak/>
              <w:t>要求</w:t>
            </w:r>
          </w:p>
        </w:tc>
        <w:tc>
          <w:tcPr>
            <w:tcW w:w="4886" w:type="dxa"/>
            <w:shd w:val="clear" w:color="auto" w:fill="auto"/>
            <w:vAlign w:val="center"/>
          </w:tcPr>
          <w:p w14:paraId="0FF2717E" w14:textId="77777777" w:rsidR="00913C78" w:rsidRPr="00F22172" w:rsidRDefault="00913C78" w:rsidP="00F22172">
            <w:pPr>
              <w:pStyle w:val="ae"/>
              <w:jc w:val="left"/>
              <w:rPr>
                <w:b w:val="0"/>
                <w:bCs/>
              </w:rPr>
            </w:pPr>
            <w:r w:rsidRPr="00F22172">
              <w:rPr>
                <w:rFonts w:hint="eastAsia"/>
                <w:b w:val="0"/>
                <w:bCs/>
              </w:rPr>
              <w:lastRenderedPageBreak/>
              <w:t>空调区的冬季热负荷和夏季冷负荷应进行逐时计算</w:t>
            </w:r>
          </w:p>
        </w:tc>
        <w:tc>
          <w:tcPr>
            <w:tcW w:w="1030" w:type="dxa"/>
            <w:shd w:val="clear" w:color="auto" w:fill="auto"/>
            <w:vAlign w:val="center"/>
          </w:tcPr>
          <w:p w14:paraId="62F8AC96" w14:textId="77777777" w:rsidR="00913C78" w:rsidRPr="00F22172" w:rsidRDefault="00913C78" w:rsidP="00F22172">
            <w:pPr>
              <w:pStyle w:val="ae"/>
              <w:rPr>
                <w:b w:val="0"/>
                <w:bCs/>
              </w:rPr>
            </w:pPr>
          </w:p>
        </w:tc>
      </w:tr>
      <w:tr w:rsidR="00913C78" w:rsidRPr="00913C78" w14:paraId="01AAC618" w14:textId="77777777" w:rsidTr="008F38C5">
        <w:trPr>
          <w:jc w:val="center"/>
        </w:trPr>
        <w:tc>
          <w:tcPr>
            <w:tcW w:w="492" w:type="dxa"/>
            <w:vMerge/>
            <w:shd w:val="clear" w:color="auto" w:fill="auto"/>
            <w:vAlign w:val="center"/>
          </w:tcPr>
          <w:p w14:paraId="5A8A4609" w14:textId="77777777" w:rsidR="00913C78" w:rsidRPr="00F22172" w:rsidRDefault="00913C78" w:rsidP="00F22172">
            <w:pPr>
              <w:pStyle w:val="ae"/>
              <w:rPr>
                <w:b w:val="0"/>
                <w:bCs/>
              </w:rPr>
            </w:pPr>
          </w:p>
        </w:tc>
        <w:tc>
          <w:tcPr>
            <w:tcW w:w="1105" w:type="dxa"/>
            <w:vMerge/>
            <w:shd w:val="clear" w:color="auto" w:fill="auto"/>
            <w:vAlign w:val="center"/>
          </w:tcPr>
          <w:p w14:paraId="05ADA2E9" w14:textId="77777777" w:rsidR="00913C78" w:rsidRPr="00F22172" w:rsidRDefault="00913C78" w:rsidP="00F22172">
            <w:pPr>
              <w:pStyle w:val="ae"/>
              <w:rPr>
                <w:b w:val="0"/>
                <w:bCs/>
              </w:rPr>
            </w:pPr>
          </w:p>
        </w:tc>
        <w:tc>
          <w:tcPr>
            <w:tcW w:w="4886" w:type="dxa"/>
            <w:shd w:val="clear" w:color="auto" w:fill="auto"/>
            <w:vAlign w:val="center"/>
          </w:tcPr>
          <w:p w14:paraId="714F7DBD" w14:textId="77777777" w:rsidR="00913C78" w:rsidRPr="00F22172" w:rsidRDefault="00913C78" w:rsidP="00F22172">
            <w:pPr>
              <w:pStyle w:val="ae"/>
              <w:jc w:val="left"/>
              <w:rPr>
                <w:b w:val="0"/>
                <w:bCs/>
              </w:rPr>
            </w:pPr>
            <w:r w:rsidRPr="00F22172">
              <w:rPr>
                <w:rFonts w:hint="eastAsia"/>
                <w:b w:val="0"/>
                <w:bCs/>
              </w:rPr>
              <w:t>空调区的夏季冷负荷，根据各项得热量的种类、性质以及空调区的蓄热特性，分别进行计算</w:t>
            </w:r>
          </w:p>
        </w:tc>
        <w:tc>
          <w:tcPr>
            <w:tcW w:w="1030" w:type="dxa"/>
            <w:shd w:val="clear" w:color="auto" w:fill="auto"/>
            <w:vAlign w:val="center"/>
          </w:tcPr>
          <w:p w14:paraId="1197A53D" w14:textId="77777777" w:rsidR="00913C78" w:rsidRPr="00F22172" w:rsidRDefault="00913C78" w:rsidP="00F22172">
            <w:pPr>
              <w:pStyle w:val="ae"/>
              <w:rPr>
                <w:b w:val="0"/>
                <w:bCs/>
              </w:rPr>
            </w:pPr>
          </w:p>
        </w:tc>
      </w:tr>
      <w:tr w:rsidR="00913C78" w:rsidRPr="00913C78" w14:paraId="68FB9E6D" w14:textId="77777777" w:rsidTr="008F38C5">
        <w:trPr>
          <w:jc w:val="center"/>
        </w:trPr>
        <w:tc>
          <w:tcPr>
            <w:tcW w:w="492" w:type="dxa"/>
            <w:vMerge/>
            <w:shd w:val="clear" w:color="auto" w:fill="auto"/>
            <w:vAlign w:val="center"/>
          </w:tcPr>
          <w:p w14:paraId="0F7E2B49" w14:textId="77777777" w:rsidR="00913C78" w:rsidRPr="00F22172" w:rsidRDefault="00913C78" w:rsidP="00F22172">
            <w:pPr>
              <w:pStyle w:val="ae"/>
              <w:rPr>
                <w:b w:val="0"/>
                <w:bCs/>
              </w:rPr>
            </w:pPr>
          </w:p>
        </w:tc>
        <w:tc>
          <w:tcPr>
            <w:tcW w:w="1105" w:type="dxa"/>
            <w:vMerge/>
            <w:shd w:val="clear" w:color="auto" w:fill="auto"/>
            <w:vAlign w:val="center"/>
          </w:tcPr>
          <w:p w14:paraId="764F5B92" w14:textId="77777777" w:rsidR="00913C78" w:rsidRPr="00F22172" w:rsidRDefault="00913C78" w:rsidP="00F22172">
            <w:pPr>
              <w:pStyle w:val="ae"/>
              <w:rPr>
                <w:b w:val="0"/>
                <w:bCs/>
              </w:rPr>
            </w:pPr>
          </w:p>
        </w:tc>
        <w:tc>
          <w:tcPr>
            <w:tcW w:w="4886" w:type="dxa"/>
            <w:shd w:val="clear" w:color="auto" w:fill="auto"/>
            <w:vAlign w:val="center"/>
          </w:tcPr>
          <w:p w14:paraId="5D78EEE4" w14:textId="77777777" w:rsidR="00913C78" w:rsidRPr="00F22172" w:rsidRDefault="00913C78" w:rsidP="00F22172">
            <w:pPr>
              <w:pStyle w:val="ae"/>
              <w:jc w:val="left"/>
              <w:rPr>
                <w:b w:val="0"/>
                <w:bCs/>
              </w:rPr>
            </w:pPr>
            <w:r w:rsidRPr="00F22172">
              <w:rPr>
                <w:rFonts w:hint="eastAsia"/>
                <w:b w:val="0"/>
                <w:bCs/>
              </w:rPr>
              <w:t>空调系统的夏季冷负荷，应按下列规定确定：</w:t>
            </w:r>
          </w:p>
          <w:p w14:paraId="03718E9A" w14:textId="77777777" w:rsidR="00913C78" w:rsidRPr="00F22172" w:rsidRDefault="00913C78" w:rsidP="00F22172">
            <w:pPr>
              <w:pStyle w:val="ae"/>
              <w:jc w:val="left"/>
              <w:rPr>
                <w:b w:val="0"/>
                <w:bCs/>
              </w:rPr>
            </w:pPr>
            <w:r w:rsidRPr="00F22172">
              <w:rPr>
                <w:rFonts w:hint="eastAsia"/>
                <w:b w:val="0"/>
                <w:bCs/>
              </w:rPr>
              <w:t>①</w:t>
            </w:r>
            <w:r w:rsidRPr="00F22172">
              <w:rPr>
                <w:rFonts w:hint="eastAsia"/>
                <w:b w:val="0"/>
                <w:bCs/>
              </w:rPr>
              <w:t xml:space="preserve"> </w:t>
            </w:r>
            <w:r w:rsidRPr="00F22172">
              <w:rPr>
                <w:rFonts w:hint="eastAsia"/>
                <w:b w:val="0"/>
                <w:bCs/>
              </w:rPr>
              <w:t>末端设备设有温度自动控制装置时，空调系统的夏季冷负荷按所服务各空调区逐时冷负荷的综合最大值确定；</w:t>
            </w:r>
          </w:p>
          <w:p w14:paraId="36786165" w14:textId="77777777" w:rsidR="00913C78" w:rsidRPr="00F22172" w:rsidRDefault="00913C78" w:rsidP="00F22172">
            <w:pPr>
              <w:pStyle w:val="ae"/>
              <w:jc w:val="left"/>
              <w:rPr>
                <w:b w:val="0"/>
                <w:bCs/>
              </w:rPr>
            </w:pPr>
            <w:r w:rsidRPr="00F22172">
              <w:rPr>
                <w:rFonts w:hint="eastAsia"/>
                <w:b w:val="0"/>
                <w:bCs/>
              </w:rPr>
              <w:t>②</w:t>
            </w:r>
            <w:r w:rsidRPr="00F22172">
              <w:rPr>
                <w:rFonts w:hint="eastAsia"/>
                <w:b w:val="0"/>
                <w:bCs/>
              </w:rPr>
              <w:t xml:space="preserve"> </w:t>
            </w:r>
            <w:r w:rsidRPr="00F22172">
              <w:rPr>
                <w:rFonts w:hint="eastAsia"/>
                <w:b w:val="0"/>
                <w:bCs/>
              </w:rPr>
              <w:t>末端设备无温度自动控制装置时，空调系统的夏季冷负荷按所服务各空调区冷负荷的累计值确定；</w:t>
            </w:r>
          </w:p>
          <w:p w14:paraId="433D230D" w14:textId="77777777" w:rsidR="00913C78" w:rsidRPr="00F22172" w:rsidRDefault="00913C78" w:rsidP="00F22172">
            <w:pPr>
              <w:pStyle w:val="ae"/>
              <w:jc w:val="left"/>
              <w:rPr>
                <w:b w:val="0"/>
                <w:bCs/>
              </w:rPr>
            </w:pPr>
            <w:r w:rsidRPr="00F22172">
              <w:rPr>
                <w:rFonts w:hint="eastAsia"/>
                <w:b w:val="0"/>
                <w:bCs/>
              </w:rPr>
              <w:t>③</w:t>
            </w:r>
            <w:r w:rsidRPr="00F22172">
              <w:rPr>
                <w:rFonts w:hint="eastAsia"/>
                <w:b w:val="0"/>
                <w:bCs/>
              </w:rPr>
              <w:t xml:space="preserve"> </w:t>
            </w:r>
            <w:r w:rsidRPr="00F22172">
              <w:rPr>
                <w:rFonts w:hint="eastAsia"/>
                <w:b w:val="0"/>
                <w:bCs/>
              </w:rPr>
              <w:t>应计入新风冷负荷、再热负荷以及各项有关的附加冷负荷；</w:t>
            </w:r>
          </w:p>
          <w:p w14:paraId="1B768EE1" w14:textId="77777777" w:rsidR="00913C78" w:rsidRPr="00F22172" w:rsidRDefault="00913C78" w:rsidP="00F22172">
            <w:pPr>
              <w:pStyle w:val="ae"/>
              <w:jc w:val="left"/>
              <w:rPr>
                <w:b w:val="0"/>
                <w:bCs/>
              </w:rPr>
            </w:pPr>
            <w:r w:rsidRPr="00F22172">
              <w:rPr>
                <w:rFonts w:hint="eastAsia"/>
                <w:b w:val="0"/>
                <w:bCs/>
              </w:rPr>
              <w:t>④</w:t>
            </w:r>
            <w:r w:rsidRPr="00F22172">
              <w:rPr>
                <w:rFonts w:hint="eastAsia"/>
                <w:b w:val="0"/>
                <w:bCs/>
              </w:rPr>
              <w:t xml:space="preserve"> </w:t>
            </w:r>
            <w:r w:rsidRPr="00F22172">
              <w:rPr>
                <w:rFonts w:hint="eastAsia"/>
                <w:b w:val="0"/>
                <w:bCs/>
              </w:rPr>
              <w:t>应考虑所服务各空调区的同时使用系数</w:t>
            </w:r>
          </w:p>
        </w:tc>
        <w:tc>
          <w:tcPr>
            <w:tcW w:w="1030" w:type="dxa"/>
            <w:shd w:val="clear" w:color="auto" w:fill="auto"/>
            <w:vAlign w:val="center"/>
          </w:tcPr>
          <w:p w14:paraId="2E540975" w14:textId="77777777" w:rsidR="00913C78" w:rsidRPr="00F22172" w:rsidRDefault="00913C78" w:rsidP="00F22172">
            <w:pPr>
              <w:pStyle w:val="ae"/>
              <w:rPr>
                <w:b w:val="0"/>
                <w:bCs/>
              </w:rPr>
            </w:pPr>
          </w:p>
        </w:tc>
      </w:tr>
      <w:tr w:rsidR="00913C78" w:rsidRPr="00913C78" w14:paraId="4B81679C" w14:textId="77777777" w:rsidTr="008F38C5">
        <w:trPr>
          <w:jc w:val="center"/>
        </w:trPr>
        <w:tc>
          <w:tcPr>
            <w:tcW w:w="492" w:type="dxa"/>
            <w:vMerge/>
            <w:shd w:val="clear" w:color="auto" w:fill="auto"/>
            <w:vAlign w:val="center"/>
          </w:tcPr>
          <w:p w14:paraId="17F99C08" w14:textId="77777777" w:rsidR="00913C78" w:rsidRPr="00F22172" w:rsidRDefault="00913C78" w:rsidP="00F22172">
            <w:pPr>
              <w:pStyle w:val="ae"/>
              <w:rPr>
                <w:b w:val="0"/>
                <w:bCs/>
              </w:rPr>
            </w:pPr>
          </w:p>
        </w:tc>
        <w:tc>
          <w:tcPr>
            <w:tcW w:w="1105" w:type="dxa"/>
            <w:vMerge/>
            <w:shd w:val="clear" w:color="auto" w:fill="auto"/>
            <w:vAlign w:val="center"/>
          </w:tcPr>
          <w:p w14:paraId="5DE3AFFA" w14:textId="77777777" w:rsidR="00913C78" w:rsidRPr="00F22172" w:rsidRDefault="00913C78" w:rsidP="00F22172">
            <w:pPr>
              <w:pStyle w:val="ae"/>
              <w:rPr>
                <w:b w:val="0"/>
                <w:bCs/>
              </w:rPr>
            </w:pPr>
          </w:p>
        </w:tc>
        <w:tc>
          <w:tcPr>
            <w:tcW w:w="4886" w:type="dxa"/>
            <w:shd w:val="clear" w:color="auto" w:fill="auto"/>
            <w:vAlign w:val="center"/>
          </w:tcPr>
          <w:p w14:paraId="02E2F832" w14:textId="77777777" w:rsidR="00913C78" w:rsidRPr="00F22172" w:rsidRDefault="00913C78" w:rsidP="00F22172">
            <w:pPr>
              <w:pStyle w:val="ae"/>
              <w:jc w:val="left"/>
              <w:rPr>
                <w:b w:val="0"/>
                <w:bCs/>
              </w:rPr>
            </w:pPr>
            <w:r w:rsidRPr="00F22172">
              <w:rPr>
                <w:rFonts w:hint="eastAsia"/>
                <w:b w:val="0"/>
                <w:bCs/>
              </w:rPr>
              <w:t>空调区的得热量稳态</w:t>
            </w:r>
            <w:r w:rsidRPr="00F22172">
              <w:rPr>
                <w:b w:val="0"/>
                <w:bCs/>
              </w:rPr>
              <w:t>方法计算和</w:t>
            </w:r>
            <w:r w:rsidRPr="00F22172">
              <w:rPr>
                <w:rFonts w:hint="eastAsia"/>
                <w:b w:val="0"/>
                <w:bCs/>
              </w:rPr>
              <w:t>非稳态方法计算合理应用</w:t>
            </w:r>
            <w:r w:rsidRPr="00F22172">
              <w:rPr>
                <w:b w:val="0"/>
                <w:bCs/>
              </w:rPr>
              <w:t>，满足要求</w:t>
            </w:r>
          </w:p>
        </w:tc>
        <w:tc>
          <w:tcPr>
            <w:tcW w:w="1030" w:type="dxa"/>
            <w:shd w:val="clear" w:color="auto" w:fill="auto"/>
            <w:vAlign w:val="center"/>
          </w:tcPr>
          <w:p w14:paraId="585838A1" w14:textId="77777777" w:rsidR="00913C78" w:rsidRPr="00F22172" w:rsidRDefault="00913C78" w:rsidP="00F22172">
            <w:pPr>
              <w:pStyle w:val="ae"/>
              <w:rPr>
                <w:b w:val="0"/>
                <w:bCs/>
              </w:rPr>
            </w:pPr>
          </w:p>
        </w:tc>
      </w:tr>
      <w:tr w:rsidR="00913C78" w:rsidRPr="00913C78" w14:paraId="3532C987" w14:textId="77777777" w:rsidTr="008F38C5">
        <w:trPr>
          <w:jc w:val="center"/>
        </w:trPr>
        <w:tc>
          <w:tcPr>
            <w:tcW w:w="492" w:type="dxa"/>
            <w:vMerge/>
            <w:shd w:val="clear" w:color="auto" w:fill="auto"/>
            <w:vAlign w:val="center"/>
          </w:tcPr>
          <w:p w14:paraId="3E70A476" w14:textId="77777777" w:rsidR="00913C78" w:rsidRPr="00F22172" w:rsidRDefault="00913C78" w:rsidP="00F22172">
            <w:pPr>
              <w:pStyle w:val="ae"/>
              <w:rPr>
                <w:b w:val="0"/>
                <w:bCs/>
              </w:rPr>
            </w:pPr>
          </w:p>
        </w:tc>
        <w:tc>
          <w:tcPr>
            <w:tcW w:w="1105" w:type="dxa"/>
            <w:vMerge/>
            <w:shd w:val="clear" w:color="auto" w:fill="auto"/>
            <w:vAlign w:val="center"/>
          </w:tcPr>
          <w:p w14:paraId="02622614" w14:textId="77777777" w:rsidR="00913C78" w:rsidRPr="00F22172" w:rsidRDefault="00913C78" w:rsidP="00F22172">
            <w:pPr>
              <w:pStyle w:val="ae"/>
              <w:rPr>
                <w:b w:val="0"/>
                <w:bCs/>
              </w:rPr>
            </w:pPr>
          </w:p>
        </w:tc>
        <w:tc>
          <w:tcPr>
            <w:tcW w:w="4886" w:type="dxa"/>
            <w:shd w:val="clear" w:color="auto" w:fill="auto"/>
            <w:vAlign w:val="center"/>
          </w:tcPr>
          <w:p w14:paraId="0A5B6D43" w14:textId="77777777" w:rsidR="00913C78" w:rsidRPr="00F22172" w:rsidRDefault="00913C78" w:rsidP="00F22172">
            <w:pPr>
              <w:pStyle w:val="ae"/>
              <w:jc w:val="left"/>
              <w:rPr>
                <w:b w:val="0"/>
                <w:bCs/>
              </w:rPr>
            </w:pPr>
            <w:r w:rsidRPr="00F22172">
              <w:rPr>
                <w:rFonts w:hint="eastAsia"/>
                <w:b w:val="0"/>
                <w:bCs/>
              </w:rPr>
              <w:t>空调区的夏季冷负荷计算，应符合下列规定：</w:t>
            </w:r>
          </w:p>
          <w:p w14:paraId="707B6C52" w14:textId="77777777" w:rsidR="00913C78" w:rsidRPr="00F22172" w:rsidRDefault="00913C78" w:rsidP="00F22172">
            <w:pPr>
              <w:pStyle w:val="ae"/>
              <w:jc w:val="left"/>
              <w:rPr>
                <w:b w:val="0"/>
                <w:bCs/>
              </w:rPr>
            </w:pPr>
            <w:r w:rsidRPr="00F22172">
              <w:rPr>
                <w:rFonts w:hint="eastAsia"/>
                <w:b w:val="0"/>
                <w:bCs/>
              </w:rPr>
              <w:t>①</w:t>
            </w:r>
            <w:r w:rsidRPr="00F22172">
              <w:rPr>
                <w:rFonts w:hint="eastAsia"/>
                <w:b w:val="0"/>
                <w:bCs/>
              </w:rPr>
              <w:t xml:space="preserve"> </w:t>
            </w:r>
            <w:r w:rsidRPr="00F22172">
              <w:rPr>
                <w:rFonts w:hint="eastAsia"/>
                <w:b w:val="0"/>
                <w:bCs/>
              </w:rPr>
              <w:t>舒适性空调可不计算地面传热形成的冷负荷；工艺性空调有外墙时，宜计算距外墙</w:t>
            </w:r>
            <w:r w:rsidRPr="00F22172">
              <w:rPr>
                <w:rFonts w:hint="eastAsia"/>
                <w:b w:val="0"/>
                <w:bCs/>
              </w:rPr>
              <w:t>2m</w:t>
            </w:r>
            <w:r w:rsidRPr="00F22172">
              <w:rPr>
                <w:rFonts w:hint="eastAsia"/>
                <w:b w:val="0"/>
                <w:bCs/>
              </w:rPr>
              <w:t>范围内的地面传热形成的冷负荷。</w:t>
            </w:r>
          </w:p>
          <w:p w14:paraId="49F77379" w14:textId="77777777" w:rsidR="00913C78" w:rsidRPr="00F22172" w:rsidRDefault="00913C78" w:rsidP="00F22172">
            <w:pPr>
              <w:pStyle w:val="ae"/>
              <w:jc w:val="left"/>
              <w:rPr>
                <w:b w:val="0"/>
                <w:bCs/>
              </w:rPr>
            </w:pPr>
            <w:r w:rsidRPr="00F22172">
              <w:rPr>
                <w:rFonts w:hint="eastAsia"/>
                <w:b w:val="0"/>
                <w:bCs/>
              </w:rPr>
              <w:t>②</w:t>
            </w:r>
            <w:r w:rsidRPr="00F22172">
              <w:rPr>
                <w:rFonts w:hint="eastAsia"/>
                <w:b w:val="0"/>
                <w:bCs/>
              </w:rPr>
              <w:t xml:space="preserve"> </w:t>
            </w:r>
            <w:r w:rsidRPr="00F22172">
              <w:rPr>
                <w:rFonts w:hint="eastAsia"/>
                <w:b w:val="0"/>
                <w:bCs/>
              </w:rPr>
              <w:t>计算人体、照明和设备等散热形成的冷负荷时，应考虑人员群集系数、同时使用系数、设备功率系数和通风保温系数等。</w:t>
            </w:r>
          </w:p>
          <w:p w14:paraId="3515D707" w14:textId="77777777" w:rsidR="00913C78" w:rsidRPr="00F22172" w:rsidRDefault="00913C78" w:rsidP="00F22172">
            <w:pPr>
              <w:pStyle w:val="ae"/>
              <w:jc w:val="left"/>
              <w:rPr>
                <w:b w:val="0"/>
                <w:bCs/>
              </w:rPr>
            </w:pPr>
            <w:r w:rsidRPr="00F22172">
              <w:rPr>
                <w:rFonts w:hint="eastAsia"/>
                <w:b w:val="0"/>
                <w:bCs/>
              </w:rPr>
              <w:t>③</w:t>
            </w:r>
            <w:r w:rsidRPr="00F22172">
              <w:rPr>
                <w:rFonts w:hint="eastAsia"/>
                <w:b w:val="0"/>
                <w:bCs/>
              </w:rPr>
              <w:t xml:space="preserve"> </w:t>
            </w:r>
            <w:r w:rsidRPr="00F22172">
              <w:rPr>
                <w:rFonts w:hint="eastAsia"/>
                <w:b w:val="0"/>
                <w:bCs/>
              </w:rPr>
              <w:t>屋顶处于空调区之外时，只计算屋顶进入空调区的辐射部分形成的冷负荷；高大空间采用分层空调时，空调区的逐时冷负荷可按全室性空调计算的逐时冷负荷乘以小于</w:t>
            </w:r>
            <w:r w:rsidRPr="00F22172">
              <w:rPr>
                <w:rFonts w:hint="eastAsia"/>
                <w:b w:val="0"/>
                <w:bCs/>
              </w:rPr>
              <w:t>1</w:t>
            </w:r>
            <w:r w:rsidRPr="00F22172">
              <w:rPr>
                <w:rFonts w:hint="eastAsia"/>
                <w:b w:val="0"/>
                <w:bCs/>
              </w:rPr>
              <w:t>的系数确定</w:t>
            </w:r>
          </w:p>
        </w:tc>
        <w:tc>
          <w:tcPr>
            <w:tcW w:w="1030" w:type="dxa"/>
            <w:shd w:val="clear" w:color="auto" w:fill="auto"/>
            <w:vAlign w:val="center"/>
          </w:tcPr>
          <w:p w14:paraId="21E6FADE" w14:textId="77777777" w:rsidR="00913C78" w:rsidRPr="00F22172" w:rsidRDefault="00913C78" w:rsidP="00F22172">
            <w:pPr>
              <w:pStyle w:val="ae"/>
              <w:rPr>
                <w:b w:val="0"/>
                <w:bCs/>
              </w:rPr>
            </w:pPr>
          </w:p>
        </w:tc>
      </w:tr>
      <w:tr w:rsidR="00913C78" w:rsidRPr="00913C78" w14:paraId="16A4E746" w14:textId="77777777" w:rsidTr="008F38C5">
        <w:trPr>
          <w:jc w:val="center"/>
        </w:trPr>
        <w:tc>
          <w:tcPr>
            <w:tcW w:w="492" w:type="dxa"/>
            <w:vMerge w:val="restart"/>
            <w:shd w:val="clear" w:color="auto" w:fill="auto"/>
            <w:vAlign w:val="center"/>
          </w:tcPr>
          <w:p w14:paraId="786A0054" w14:textId="77777777" w:rsidR="00913C78" w:rsidRPr="00F22172" w:rsidRDefault="00913C78" w:rsidP="00F22172">
            <w:pPr>
              <w:pStyle w:val="ae"/>
              <w:rPr>
                <w:b w:val="0"/>
                <w:bCs/>
              </w:rPr>
            </w:pPr>
            <w:r w:rsidRPr="00F22172">
              <w:rPr>
                <w:rFonts w:hint="eastAsia"/>
                <w:b w:val="0"/>
                <w:bCs/>
              </w:rPr>
              <w:t>3</w:t>
            </w:r>
          </w:p>
        </w:tc>
        <w:tc>
          <w:tcPr>
            <w:tcW w:w="1105" w:type="dxa"/>
            <w:vMerge w:val="restart"/>
            <w:shd w:val="clear" w:color="auto" w:fill="auto"/>
            <w:vAlign w:val="center"/>
          </w:tcPr>
          <w:p w14:paraId="159B90E0" w14:textId="77777777" w:rsidR="00913C78" w:rsidRPr="00F22172" w:rsidRDefault="00913C78" w:rsidP="00F22172">
            <w:pPr>
              <w:pStyle w:val="ae"/>
              <w:rPr>
                <w:b w:val="0"/>
                <w:bCs/>
              </w:rPr>
            </w:pPr>
            <w:r w:rsidRPr="00F22172">
              <w:rPr>
                <w:rFonts w:hint="eastAsia"/>
                <w:b w:val="0"/>
                <w:bCs/>
              </w:rPr>
              <w:t>计算</w:t>
            </w:r>
            <w:r w:rsidRPr="00F22172">
              <w:rPr>
                <w:b w:val="0"/>
                <w:bCs/>
              </w:rPr>
              <w:t>方法要求</w:t>
            </w:r>
          </w:p>
        </w:tc>
        <w:tc>
          <w:tcPr>
            <w:tcW w:w="4886" w:type="dxa"/>
            <w:shd w:val="clear" w:color="auto" w:fill="auto"/>
            <w:vAlign w:val="center"/>
          </w:tcPr>
          <w:p w14:paraId="0C11ACAE" w14:textId="22427A36" w:rsidR="00913C78" w:rsidRPr="00F22172" w:rsidRDefault="00913C78" w:rsidP="00AC2900">
            <w:pPr>
              <w:pStyle w:val="ae"/>
              <w:jc w:val="left"/>
              <w:rPr>
                <w:b w:val="0"/>
                <w:bCs/>
              </w:rPr>
            </w:pPr>
            <w:r w:rsidRPr="00F22172">
              <w:rPr>
                <w:rFonts w:hint="eastAsia"/>
                <w:b w:val="0"/>
                <w:bCs/>
              </w:rPr>
              <w:t>用</w:t>
            </w:r>
            <m:oMath>
              <m:sSub>
                <m:sSubPr>
                  <m:ctrlPr>
                    <w:rPr>
                      <w:rFonts w:ascii="Cambria Math" w:hAnsi="Cambria Math"/>
                      <w:b w:val="0"/>
                      <w:bCs/>
                      <w:i/>
                      <w:noProof/>
                    </w:rPr>
                  </m:ctrlPr>
                </m:sSubPr>
                <m:e>
                  <m:r>
                    <m:rPr>
                      <m:sty m:val="bi"/>
                    </m:rPr>
                    <w:rPr>
                      <w:rFonts w:ascii="Cambria Math"/>
                      <w:noProof/>
                    </w:rPr>
                    <m:t>φ</m:t>
                  </m:r>
                </m:e>
                <m:sub>
                  <m:r>
                    <m:rPr>
                      <m:nor/>
                    </m:rPr>
                    <w:rPr>
                      <w:rFonts w:ascii="Cambria Math"/>
                      <w:b w:val="0"/>
                      <w:bCs/>
                      <w:noProof/>
                    </w:rPr>
                    <m:t>HVAC</m:t>
                  </m:r>
                  <m:ctrlPr>
                    <w:rPr>
                      <w:rFonts w:ascii="Cambria Math" w:hAnsi="Cambria Math"/>
                      <w:b w:val="0"/>
                      <w:bCs/>
                      <w:noProof/>
                    </w:rPr>
                  </m:ctrlPr>
                </m:sub>
              </m:sSub>
              <m:r>
                <m:rPr>
                  <m:sty m:val="bi"/>
                </m:rPr>
                <w:rPr>
                  <w:rFonts w:ascii="Cambria Math"/>
                  <w:noProof/>
                </w:rPr>
                <m:t>=</m:t>
              </m:r>
              <m:d>
                <m:dPr>
                  <m:ctrlPr>
                    <w:rPr>
                      <w:rFonts w:ascii="Cambria Math" w:hAnsi="Cambria Math"/>
                      <w:b w:val="0"/>
                      <w:bCs/>
                      <w:i/>
                      <w:noProof/>
                    </w:rPr>
                  </m:ctrlPr>
                </m:dPr>
                <m:e>
                  <m:r>
                    <m:rPr>
                      <m:sty m:val="bi"/>
                    </m:rPr>
                    <w:rPr>
                      <w:rFonts w:ascii="Cambria Math"/>
                      <w:noProof/>
                    </w:rPr>
                    <m:t>1</m:t>
                  </m:r>
                  <m:r>
                    <m:rPr>
                      <m:sty m:val="bi"/>
                    </m:rPr>
                    <w:rPr>
                      <w:rFonts w:ascii="Cambria Math"/>
                      <w:noProof/>
                    </w:rPr>
                    <m:t>-</m:t>
                  </m:r>
                  <m:f>
                    <m:fPr>
                      <m:ctrlPr>
                        <w:rPr>
                          <w:rFonts w:ascii="Cambria Math" w:hAnsi="Cambria Math"/>
                          <w:b w:val="0"/>
                          <w:bCs/>
                          <w:i/>
                          <w:noProof/>
                        </w:rPr>
                      </m:ctrlPr>
                    </m:fPr>
                    <m:num>
                      <m:sSub>
                        <m:sSubPr>
                          <m:ctrlPr>
                            <w:rPr>
                              <w:rFonts w:ascii="Cambria Math" w:hAnsi="Cambria Math"/>
                              <w:b w:val="0"/>
                              <w:bCs/>
                              <w:i/>
                              <w:noProof/>
                            </w:rPr>
                          </m:ctrlPr>
                        </m:sSubPr>
                        <m:e>
                          <m:r>
                            <m:rPr>
                              <m:sty m:val="bi"/>
                            </m:rPr>
                            <w:rPr>
                              <w:rFonts w:ascii="Cambria Math"/>
                              <w:noProof/>
                            </w:rPr>
                            <m:t>Q</m:t>
                          </m:r>
                        </m:e>
                        <m:sub>
                          <m:r>
                            <m:rPr>
                              <m:nor/>
                            </m:rPr>
                            <w:rPr>
                              <w:rFonts w:ascii="Cambria Math"/>
                              <w:b w:val="0"/>
                              <w:bCs/>
                              <w:noProof/>
                            </w:rPr>
                            <m:t>HVAC</m:t>
                          </m:r>
                          <m:ctrlPr>
                            <w:rPr>
                              <w:rFonts w:ascii="Cambria Math" w:hAnsi="Cambria Math"/>
                              <w:b w:val="0"/>
                              <w:bCs/>
                              <w:noProof/>
                            </w:rPr>
                          </m:ctrlPr>
                        </m:sub>
                      </m:sSub>
                    </m:num>
                    <m:den>
                      <m:sSub>
                        <m:sSubPr>
                          <m:ctrlPr>
                            <w:rPr>
                              <w:rFonts w:ascii="Cambria Math" w:hAnsi="Cambria Math"/>
                              <w:b w:val="0"/>
                              <w:bCs/>
                              <w:i/>
                              <w:noProof/>
                            </w:rPr>
                          </m:ctrlPr>
                        </m:sSubPr>
                        <m:e>
                          <m:r>
                            <m:rPr>
                              <m:sty m:val="bi"/>
                            </m:rPr>
                            <w:rPr>
                              <w:rFonts w:ascii="Cambria Math"/>
                              <w:noProof/>
                            </w:rPr>
                            <m:t>Q</m:t>
                          </m:r>
                        </m:e>
                        <m:sub>
                          <m:r>
                            <m:rPr>
                              <m:nor/>
                            </m:rPr>
                            <w:rPr>
                              <w:rFonts w:ascii="Cambria Math"/>
                              <w:b w:val="0"/>
                              <w:bCs/>
                              <w:noProof/>
                            </w:rPr>
                            <m:t>HVAC</m:t>
                          </m:r>
                          <m:r>
                            <m:rPr>
                              <m:sty m:val="b"/>
                            </m:rPr>
                            <w:rPr>
                              <w:rFonts w:ascii="Cambria Math"/>
                              <w:noProof/>
                            </w:rPr>
                            <m:t>,</m:t>
                          </m:r>
                          <m:r>
                            <m:rPr>
                              <m:nor/>
                            </m:rPr>
                            <w:rPr>
                              <w:rFonts w:ascii="Cambria Math"/>
                              <w:b w:val="0"/>
                              <w:bCs/>
                              <w:noProof/>
                            </w:rPr>
                            <m:t>ref</m:t>
                          </m:r>
                          <m:ctrlPr>
                            <w:rPr>
                              <w:rFonts w:ascii="Cambria Math" w:hAnsi="Cambria Math"/>
                              <w:b w:val="0"/>
                              <w:bCs/>
                              <w:noProof/>
                            </w:rPr>
                          </m:ctrlPr>
                        </m:sub>
                      </m:sSub>
                    </m:den>
                  </m:f>
                </m:e>
              </m:d>
              <m:r>
                <m:rPr>
                  <m:sty m:val="bi"/>
                </m:rPr>
                <w:rPr>
                  <w:rFonts w:ascii="Cambria Math"/>
                  <w:noProof/>
                </w:rPr>
                <m:t>×</m:t>
              </m:r>
              <m:r>
                <m:rPr>
                  <m:sty m:val="bi"/>
                </m:rPr>
                <w:rPr>
                  <w:rFonts w:ascii="Cambria Math"/>
                  <w:noProof/>
                </w:rPr>
                <m:t>100%</m:t>
              </m:r>
            </m:oMath>
            <w:r w:rsidRPr="00F22172">
              <w:rPr>
                <w:rFonts w:hint="eastAsia"/>
                <w:b w:val="0"/>
                <w:bCs/>
              </w:rPr>
              <w:t>计算建筑供暖空调系统节能率</w:t>
            </w:r>
          </w:p>
        </w:tc>
        <w:tc>
          <w:tcPr>
            <w:tcW w:w="1030" w:type="dxa"/>
            <w:shd w:val="clear" w:color="auto" w:fill="auto"/>
            <w:vAlign w:val="center"/>
          </w:tcPr>
          <w:p w14:paraId="1D1A57BE" w14:textId="77777777" w:rsidR="00913C78" w:rsidRPr="00F22172" w:rsidRDefault="00913C78" w:rsidP="00F22172">
            <w:pPr>
              <w:pStyle w:val="ae"/>
              <w:rPr>
                <w:b w:val="0"/>
                <w:bCs/>
              </w:rPr>
            </w:pPr>
          </w:p>
        </w:tc>
      </w:tr>
      <w:tr w:rsidR="00913C78" w:rsidRPr="00913C78" w14:paraId="58C976D6" w14:textId="77777777" w:rsidTr="008F38C5">
        <w:trPr>
          <w:jc w:val="center"/>
        </w:trPr>
        <w:tc>
          <w:tcPr>
            <w:tcW w:w="492" w:type="dxa"/>
            <w:vMerge/>
            <w:shd w:val="clear" w:color="auto" w:fill="auto"/>
            <w:vAlign w:val="center"/>
          </w:tcPr>
          <w:p w14:paraId="4F491456" w14:textId="77777777" w:rsidR="00913C78" w:rsidRPr="00F22172" w:rsidRDefault="00913C78" w:rsidP="00F22172">
            <w:pPr>
              <w:pStyle w:val="ae"/>
              <w:rPr>
                <w:b w:val="0"/>
                <w:bCs/>
              </w:rPr>
            </w:pPr>
          </w:p>
        </w:tc>
        <w:tc>
          <w:tcPr>
            <w:tcW w:w="1105" w:type="dxa"/>
            <w:vMerge/>
            <w:shd w:val="clear" w:color="auto" w:fill="auto"/>
            <w:vAlign w:val="center"/>
          </w:tcPr>
          <w:p w14:paraId="419E1204" w14:textId="77777777" w:rsidR="00913C78" w:rsidRPr="00F22172" w:rsidRDefault="00913C78" w:rsidP="00F22172">
            <w:pPr>
              <w:pStyle w:val="ae"/>
              <w:rPr>
                <w:b w:val="0"/>
                <w:bCs/>
              </w:rPr>
            </w:pPr>
          </w:p>
        </w:tc>
        <w:tc>
          <w:tcPr>
            <w:tcW w:w="4886" w:type="dxa"/>
            <w:shd w:val="clear" w:color="auto" w:fill="auto"/>
            <w:vAlign w:val="center"/>
          </w:tcPr>
          <w:p w14:paraId="6825F712" w14:textId="368B98D4" w:rsidR="00913C78" w:rsidRPr="00F22172" w:rsidRDefault="00913C78" w:rsidP="00AC2900">
            <w:pPr>
              <w:pStyle w:val="ae"/>
              <w:jc w:val="left"/>
              <w:rPr>
                <w:b w:val="0"/>
                <w:bCs/>
              </w:rPr>
            </w:pPr>
            <w:r w:rsidRPr="00F22172">
              <w:rPr>
                <w:rFonts w:hint="eastAsia"/>
                <w:b w:val="0"/>
                <w:bCs/>
              </w:rPr>
              <w:t>用</w:t>
            </w:r>
            <w:r w:rsidRPr="00F22172">
              <w:rPr>
                <w:b w:val="0"/>
                <w:bCs/>
              </w:rPr>
              <w:fldChar w:fldCharType="begin"/>
            </w:r>
            <w:r w:rsidRPr="00F22172">
              <w:rPr>
                <w:b w:val="0"/>
                <w:bCs/>
              </w:rPr>
              <w:instrText xml:space="preserve"> QUOTE </w:instrText>
            </w:r>
            <m:oMath>
              <m:r>
                <m:rPr>
                  <m:sty m:val="b"/>
                </m:rPr>
                <w:rPr>
                  <w:rFonts w:ascii="Cambria Math" w:hAnsi="Cambria Math"/>
                </w:rPr>
                <m:t>E=</m:t>
              </m:r>
              <m:sSub>
                <m:sSubPr>
                  <m:ctrlPr>
                    <w:rPr>
                      <w:rFonts w:ascii="Cambria Math" w:hAnsi="Cambria Math"/>
                      <w:b w:val="0"/>
                      <w:bCs/>
                      <w:i/>
                    </w:rPr>
                  </m:ctrlPr>
                </m:sSubPr>
                <m:e>
                  <m:r>
                    <m:rPr>
                      <m:sty m:val="b"/>
                    </m:rPr>
                    <w:rPr>
                      <w:rFonts w:ascii="Cambria Math" w:hAnsi="Cambria Math"/>
                    </w:rPr>
                    <m:t>E</m:t>
                  </m:r>
                </m:e>
                <m:sub>
                  <m:r>
                    <m:rPr>
                      <m:sty m:val="b"/>
                    </m:rPr>
                    <w:rPr>
                      <w:rFonts w:ascii="Cambria Math" w:hAnsi="Cambria Math"/>
                    </w:rPr>
                    <m:t>C</m:t>
                  </m:r>
                </m:sub>
              </m:sSub>
              <m:r>
                <m:rPr>
                  <m:sty m:val="b"/>
                </m:rPr>
                <w:rPr>
                  <w:rFonts w:ascii="Cambria Math" w:hAnsi="Cambria Math"/>
                </w:rPr>
                <m:t>+</m:t>
              </m:r>
              <m:sSub>
                <m:sSubPr>
                  <m:ctrlPr>
                    <w:rPr>
                      <w:rFonts w:ascii="Cambria Math" w:hAnsi="Cambria Math"/>
                      <w:b w:val="0"/>
                      <w:bCs/>
                      <w:i/>
                    </w:rPr>
                  </m:ctrlPr>
                </m:sSubPr>
                <m:e>
                  <m:r>
                    <m:rPr>
                      <m:sty m:val="b"/>
                    </m:rPr>
                    <w:rPr>
                      <w:rFonts w:ascii="Cambria Math" w:hAnsi="Cambria Math"/>
                    </w:rPr>
                    <m:t>E</m:t>
                  </m:r>
                </m:e>
                <m:sub>
                  <m:r>
                    <m:rPr>
                      <m:sty m:val="b"/>
                    </m:rPr>
                    <w:rPr>
                      <w:rFonts w:ascii="Cambria Math" w:hAnsi="Cambria Math"/>
                    </w:rPr>
                    <m:t>H</m:t>
                  </m:r>
                </m:sub>
              </m:sSub>
            </m:oMath>
            <w:r w:rsidRPr="00F22172">
              <w:rPr>
                <w:b w:val="0"/>
                <w:bCs/>
              </w:rPr>
              <w:instrText xml:space="preserve"> </w:instrText>
            </w:r>
            <w:r w:rsidRPr="00F22172">
              <w:rPr>
                <w:b w:val="0"/>
                <w:bCs/>
              </w:rPr>
              <w:fldChar w:fldCharType="separate"/>
            </w:r>
            <m:oMath>
              <m:r>
                <m:rPr>
                  <m:sty m:val="b"/>
                </m:rPr>
                <w:rPr>
                  <w:rFonts w:ascii="Cambria Math"/>
                  <w:noProof/>
                </w:rPr>
                <m:t>E=</m:t>
              </m:r>
              <m:sSub>
                <m:sSubPr>
                  <m:ctrlPr>
                    <w:rPr>
                      <w:rFonts w:ascii="Cambria Math" w:hAnsi="Cambria Math"/>
                      <w:b w:val="0"/>
                      <w:bCs/>
                      <w:i/>
                      <w:noProof/>
                    </w:rPr>
                  </m:ctrlPr>
                </m:sSubPr>
                <m:e>
                  <m:r>
                    <m:rPr>
                      <m:sty m:val="b"/>
                    </m:rPr>
                    <w:rPr>
                      <w:rFonts w:ascii="Cambria Math"/>
                      <w:noProof/>
                    </w:rPr>
                    <m:t>E</m:t>
                  </m:r>
                </m:e>
                <m:sub>
                  <m:r>
                    <m:rPr>
                      <m:sty m:val="b"/>
                    </m:rPr>
                    <w:rPr>
                      <w:rFonts w:ascii="Cambria Math"/>
                      <w:noProof/>
                    </w:rPr>
                    <m:t>C</m:t>
                  </m:r>
                </m:sub>
              </m:sSub>
              <m:r>
                <m:rPr>
                  <m:sty m:val="b"/>
                </m:rPr>
                <w:rPr>
                  <w:rFonts w:ascii="Cambria Math"/>
                  <w:noProof/>
                </w:rPr>
                <m:t>+</m:t>
              </m:r>
              <m:sSub>
                <m:sSubPr>
                  <m:ctrlPr>
                    <w:rPr>
                      <w:rFonts w:ascii="Cambria Math" w:hAnsi="Cambria Math"/>
                      <w:b w:val="0"/>
                      <w:bCs/>
                      <w:i/>
                      <w:noProof/>
                    </w:rPr>
                  </m:ctrlPr>
                </m:sSubPr>
                <m:e>
                  <m:r>
                    <m:rPr>
                      <m:sty m:val="b"/>
                    </m:rPr>
                    <w:rPr>
                      <w:rFonts w:ascii="Cambria Math"/>
                      <w:noProof/>
                    </w:rPr>
                    <m:t>E</m:t>
                  </m:r>
                </m:e>
                <m:sub>
                  <m:r>
                    <m:rPr>
                      <m:sty m:val="b"/>
                    </m:rPr>
                    <w:rPr>
                      <w:rFonts w:ascii="Cambria Math"/>
                      <w:noProof/>
                    </w:rPr>
                    <m:t>H</m:t>
                  </m:r>
                </m:sub>
              </m:sSub>
            </m:oMath>
            <w:r w:rsidRPr="00F22172">
              <w:rPr>
                <w:b w:val="0"/>
                <w:bCs/>
              </w:rPr>
              <w:fldChar w:fldCharType="end"/>
            </w:r>
            <w:r w:rsidRPr="00F22172">
              <w:rPr>
                <w:b w:val="0"/>
                <w:bCs/>
              </w:rPr>
              <w:t>计算</w:t>
            </w:r>
            <w:r w:rsidRPr="00F22172">
              <w:rPr>
                <w:rFonts w:hint="eastAsia"/>
                <w:b w:val="0"/>
                <w:bCs/>
              </w:rPr>
              <w:t>全年空调和供暖总耗电量</w:t>
            </w:r>
          </w:p>
        </w:tc>
        <w:tc>
          <w:tcPr>
            <w:tcW w:w="1030" w:type="dxa"/>
            <w:shd w:val="clear" w:color="auto" w:fill="auto"/>
            <w:vAlign w:val="center"/>
          </w:tcPr>
          <w:p w14:paraId="138462A8" w14:textId="77777777" w:rsidR="00913C78" w:rsidRPr="00F22172" w:rsidRDefault="00913C78" w:rsidP="00F22172">
            <w:pPr>
              <w:pStyle w:val="ae"/>
              <w:rPr>
                <w:b w:val="0"/>
                <w:bCs/>
              </w:rPr>
            </w:pPr>
          </w:p>
        </w:tc>
      </w:tr>
      <w:tr w:rsidR="00913C78" w:rsidRPr="00913C78" w14:paraId="70A308F0" w14:textId="77777777" w:rsidTr="008F38C5">
        <w:trPr>
          <w:jc w:val="center"/>
        </w:trPr>
        <w:tc>
          <w:tcPr>
            <w:tcW w:w="492" w:type="dxa"/>
            <w:vMerge/>
            <w:shd w:val="clear" w:color="auto" w:fill="auto"/>
            <w:vAlign w:val="center"/>
          </w:tcPr>
          <w:p w14:paraId="43E0C53C" w14:textId="77777777" w:rsidR="00913C78" w:rsidRPr="00F22172" w:rsidRDefault="00913C78" w:rsidP="00F22172">
            <w:pPr>
              <w:pStyle w:val="ae"/>
              <w:rPr>
                <w:b w:val="0"/>
                <w:bCs/>
              </w:rPr>
            </w:pPr>
          </w:p>
        </w:tc>
        <w:tc>
          <w:tcPr>
            <w:tcW w:w="1105" w:type="dxa"/>
            <w:vMerge/>
            <w:shd w:val="clear" w:color="auto" w:fill="auto"/>
            <w:vAlign w:val="center"/>
          </w:tcPr>
          <w:p w14:paraId="20FB724E" w14:textId="77777777" w:rsidR="00913C78" w:rsidRPr="00F22172" w:rsidRDefault="00913C78" w:rsidP="00F22172">
            <w:pPr>
              <w:pStyle w:val="ae"/>
              <w:rPr>
                <w:b w:val="0"/>
                <w:bCs/>
              </w:rPr>
            </w:pPr>
          </w:p>
        </w:tc>
        <w:tc>
          <w:tcPr>
            <w:tcW w:w="4886" w:type="dxa"/>
            <w:shd w:val="clear" w:color="auto" w:fill="auto"/>
            <w:vAlign w:val="center"/>
          </w:tcPr>
          <w:p w14:paraId="695CD634" w14:textId="09E1B77F" w:rsidR="00913C78" w:rsidRPr="00F22172" w:rsidRDefault="00913C78" w:rsidP="00AC2900">
            <w:pPr>
              <w:pStyle w:val="ae"/>
              <w:jc w:val="left"/>
              <w:rPr>
                <w:b w:val="0"/>
                <w:bCs/>
              </w:rPr>
            </w:pPr>
            <w:r w:rsidRPr="00F22172">
              <w:rPr>
                <w:rFonts w:hint="eastAsia"/>
                <w:b w:val="0"/>
                <w:bCs/>
              </w:rPr>
              <w:t>用</w:t>
            </w:r>
            <w:r w:rsidRPr="00F22172">
              <w:rPr>
                <w:b w:val="0"/>
                <w:bCs/>
              </w:rPr>
              <w:fldChar w:fldCharType="begin"/>
            </w:r>
            <w:r w:rsidRPr="00F22172">
              <w:rPr>
                <w:b w:val="0"/>
                <w:bCs/>
              </w:rPr>
              <w:instrText xml:space="preserve"> QUOTE </w:instrText>
            </w:r>
            <m:oMath>
              <m:sSub>
                <m:sSubPr>
                  <m:ctrlPr>
                    <w:rPr>
                      <w:rFonts w:ascii="Cambria Math" w:hAnsi="Cambria Math"/>
                      <w:b w:val="0"/>
                      <w:bCs/>
                      <w:i/>
                    </w:rPr>
                  </m:ctrlPr>
                </m:sSubPr>
                <m:e>
                  <m:r>
                    <m:rPr>
                      <m:sty m:val="b"/>
                    </m:rPr>
                    <w:rPr>
                      <w:rFonts w:ascii="Cambria Math" w:hAnsi="Cambria Math"/>
                    </w:rPr>
                    <m:t>E</m:t>
                  </m:r>
                </m:e>
                <m:sub>
                  <m:r>
                    <m:rPr>
                      <m:sty m:val="b"/>
                    </m:rPr>
                    <w:rPr>
                      <w:rFonts w:ascii="Cambria Math" w:hAnsi="Cambria Math"/>
                    </w:rPr>
                    <m:t>C</m:t>
                  </m:r>
                </m:sub>
              </m:sSub>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i/>
                        </w:rPr>
                      </m:ctrlPr>
                    </m:sSubPr>
                    <m:e>
                      <m:r>
                        <m:rPr>
                          <m:sty m:val="b"/>
                        </m:rPr>
                        <w:rPr>
                          <w:rFonts w:ascii="Cambria Math" w:hAnsi="Cambria Math"/>
                        </w:rPr>
                        <m:t>Q</m:t>
                      </m:r>
                    </m:e>
                    <m:sub>
                      <m:r>
                        <m:rPr>
                          <m:sty m:val="b"/>
                        </m:rPr>
                        <w:rPr>
                          <w:rFonts w:ascii="Cambria Math" w:hAnsi="Cambria Math"/>
                        </w:rPr>
                        <m:t>C</m:t>
                      </m:r>
                    </m:sub>
                  </m:sSub>
                </m:num>
                <m:den>
                  <m:r>
                    <m:rPr>
                      <m:sty m:val="b"/>
                    </m:rPr>
                    <w:rPr>
                      <w:rFonts w:ascii="Cambria Math" w:hAnsi="Cambria Math"/>
                    </w:rPr>
                    <m:t>A×</m:t>
                  </m:r>
                  <m:sSub>
                    <m:sSubPr>
                      <m:ctrlPr>
                        <w:rPr>
                          <w:rFonts w:ascii="Cambria Math" w:hAnsi="Cambria Math"/>
                          <w:b w:val="0"/>
                          <w:bCs/>
                          <w:i/>
                        </w:rPr>
                      </m:ctrlPr>
                    </m:sSubPr>
                    <m:e>
                      <m:r>
                        <m:rPr>
                          <m:sty m:val="b"/>
                        </m:rPr>
                        <w:rPr>
                          <w:rFonts w:ascii="Cambria Math" w:hAnsi="Cambria Math"/>
                        </w:rPr>
                        <m:t>SCOP</m:t>
                      </m:r>
                    </m:e>
                    <m:sub>
                      <m:r>
                        <m:rPr>
                          <m:sty m:val="b"/>
                        </m:rPr>
                        <w:rPr>
                          <w:rFonts w:ascii="Cambria Math" w:hAnsi="Cambria Math"/>
                        </w:rPr>
                        <m:t>T</m:t>
                      </m:r>
                    </m:sub>
                  </m:sSub>
                </m:den>
              </m:f>
            </m:oMath>
            <w:r w:rsidRPr="00F22172">
              <w:rPr>
                <w:b w:val="0"/>
                <w:bCs/>
              </w:rPr>
              <w:instrText xml:space="preserve"> </w:instrText>
            </w:r>
            <w:r w:rsidRPr="00F22172">
              <w:rPr>
                <w:b w:val="0"/>
                <w:bCs/>
              </w:rPr>
              <w:fldChar w:fldCharType="separate"/>
            </w:r>
            <m:oMath>
              <m:sSub>
                <m:sSubPr>
                  <m:ctrlPr>
                    <w:rPr>
                      <w:rFonts w:ascii="Cambria Math" w:hAnsi="Cambria Math"/>
                      <w:b w:val="0"/>
                      <w:bCs/>
                      <w:i/>
                      <w:noProof/>
                    </w:rPr>
                  </m:ctrlPr>
                </m:sSubPr>
                <m:e>
                  <m:r>
                    <m:rPr>
                      <m:sty m:val="b"/>
                    </m:rPr>
                    <w:rPr>
                      <w:rFonts w:ascii="Cambria Math"/>
                      <w:noProof/>
                    </w:rPr>
                    <m:t>E</m:t>
                  </m:r>
                </m:e>
                <m:sub>
                  <m:r>
                    <m:rPr>
                      <m:sty m:val="b"/>
                    </m:rPr>
                    <w:rPr>
                      <w:rFonts w:ascii="Cambria Math"/>
                      <w:noProof/>
                    </w:rPr>
                    <m:t>C</m:t>
                  </m:r>
                </m:sub>
              </m:sSub>
              <m:r>
                <m:rPr>
                  <m:sty m:val="b"/>
                </m:rPr>
                <w:rPr>
                  <w:rFonts w:ascii="Cambria Math"/>
                  <w:noProof/>
                </w:rPr>
                <m:t>=</m:t>
              </m:r>
              <m:f>
                <m:fPr>
                  <m:ctrlPr>
                    <w:rPr>
                      <w:rFonts w:ascii="Cambria Math" w:hAnsi="Cambria Math"/>
                      <w:b w:val="0"/>
                      <w:bCs/>
                      <w:i/>
                      <w:noProof/>
                    </w:rPr>
                  </m:ctrlPr>
                </m:fPr>
                <m:num>
                  <m:sSub>
                    <m:sSubPr>
                      <m:ctrlPr>
                        <w:rPr>
                          <w:rFonts w:ascii="Cambria Math" w:hAnsi="Cambria Math"/>
                          <w:b w:val="0"/>
                          <w:bCs/>
                          <w:i/>
                          <w:noProof/>
                        </w:rPr>
                      </m:ctrlPr>
                    </m:sSubPr>
                    <m:e>
                      <m:r>
                        <m:rPr>
                          <m:sty m:val="b"/>
                        </m:rPr>
                        <w:rPr>
                          <w:rFonts w:ascii="Cambria Math"/>
                          <w:noProof/>
                        </w:rPr>
                        <m:t>Q</m:t>
                      </m:r>
                    </m:e>
                    <m:sub>
                      <m:r>
                        <m:rPr>
                          <m:sty m:val="b"/>
                        </m:rPr>
                        <w:rPr>
                          <w:rFonts w:ascii="Cambria Math"/>
                          <w:noProof/>
                        </w:rPr>
                        <m:t>C</m:t>
                      </m:r>
                    </m:sub>
                  </m:sSub>
                </m:num>
                <m:den>
                  <m:r>
                    <m:rPr>
                      <m:sty m:val="b"/>
                    </m:rPr>
                    <w:rPr>
                      <w:rFonts w:ascii="Cambria Math"/>
                      <w:noProof/>
                    </w:rPr>
                    <m:t>A</m:t>
                  </m:r>
                  <m:r>
                    <m:rPr>
                      <m:sty m:val="b"/>
                    </m:rPr>
                    <w:rPr>
                      <w:rFonts w:ascii="Cambria Math"/>
                      <w:noProof/>
                    </w:rPr>
                    <m:t>×</m:t>
                  </m:r>
                  <m:r>
                    <m:rPr>
                      <m:sty m:val="b"/>
                    </m:rPr>
                    <w:rPr>
                      <w:rFonts w:ascii="Cambria Math"/>
                      <w:noProof/>
                    </w:rPr>
                    <m:t>SCO</m:t>
                  </m:r>
                  <m:sSub>
                    <m:sSubPr>
                      <m:ctrlPr>
                        <w:rPr>
                          <w:rFonts w:ascii="Cambria Math" w:hAnsi="Cambria Math"/>
                          <w:b w:val="0"/>
                          <w:bCs/>
                          <w:i/>
                          <w:noProof/>
                        </w:rPr>
                      </m:ctrlPr>
                    </m:sSubPr>
                    <m:e>
                      <m:r>
                        <m:rPr>
                          <m:sty m:val="b"/>
                        </m:rPr>
                        <w:rPr>
                          <w:rFonts w:ascii="Cambria Math"/>
                          <w:noProof/>
                        </w:rPr>
                        <m:t>P</m:t>
                      </m:r>
                    </m:e>
                    <m:sub>
                      <m:r>
                        <m:rPr>
                          <m:sty m:val="b"/>
                        </m:rPr>
                        <w:rPr>
                          <w:rFonts w:ascii="Cambria Math"/>
                          <w:noProof/>
                        </w:rPr>
                        <m:t>T</m:t>
                      </m:r>
                    </m:sub>
                  </m:sSub>
                </m:den>
              </m:f>
            </m:oMath>
            <w:r w:rsidRPr="00F22172">
              <w:rPr>
                <w:b w:val="0"/>
                <w:bCs/>
              </w:rPr>
              <w:fldChar w:fldCharType="end"/>
            </w:r>
            <w:r w:rsidRPr="00F22172">
              <w:rPr>
                <w:b w:val="0"/>
                <w:bCs/>
              </w:rPr>
              <w:t>计算</w:t>
            </w:r>
            <w:r w:rsidRPr="00F22172">
              <w:rPr>
                <w:rFonts w:hint="eastAsia"/>
                <w:b w:val="0"/>
                <w:bCs/>
              </w:rPr>
              <w:t>全年空调耗电量</w:t>
            </w:r>
          </w:p>
        </w:tc>
        <w:tc>
          <w:tcPr>
            <w:tcW w:w="1030" w:type="dxa"/>
            <w:shd w:val="clear" w:color="auto" w:fill="auto"/>
            <w:vAlign w:val="center"/>
          </w:tcPr>
          <w:p w14:paraId="299267C0" w14:textId="77777777" w:rsidR="00913C78" w:rsidRPr="00F22172" w:rsidRDefault="00913C78" w:rsidP="00F22172">
            <w:pPr>
              <w:pStyle w:val="ae"/>
              <w:rPr>
                <w:b w:val="0"/>
                <w:bCs/>
              </w:rPr>
            </w:pPr>
          </w:p>
        </w:tc>
      </w:tr>
      <w:tr w:rsidR="00913C78" w:rsidRPr="00913C78" w14:paraId="30EBE6EF" w14:textId="77777777" w:rsidTr="008F38C5">
        <w:trPr>
          <w:jc w:val="center"/>
        </w:trPr>
        <w:tc>
          <w:tcPr>
            <w:tcW w:w="492" w:type="dxa"/>
            <w:vMerge/>
            <w:shd w:val="clear" w:color="auto" w:fill="auto"/>
            <w:vAlign w:val="center"/>
          </w:tcPr>
          <w:p w14:paraId="399AD760" w14:textId="77777777" w:rsidR="00913C78" w:rsidRPr="00F22172" w:rsidRDefault="00913C78" w:rsidP="00F22172">
            <w:pPr>
              <w:pStyle w:val="ae"/>
              <w:rPr>
                <w:b w:val="0"/>
                <w:bCs/>
              </w:rPr>
            </w:pPr>
          </w:p>
        </w:tc>
        <w:tc>
          <w:tcPr>
            <w:tcW w:w="1105" w:type="dxa"/>
            <w:vMerge/>
            <w:shd w:val="clear" w:color="auto" w:fill="auto"/>
            <w:vAlign w:val="center"/>
          </w:tcPr>
          <w:p w14:paraId="04453ED8" w14:textId="77777777" w:rsidR="00913C78" w:rsidRPr="00F22172" w:rsidRDefault="00913C78" w:rsidP="00F22172">
            <w:pPr>
              <w:pStyle w:val="ae"/>
              <w:rPr>
                <w:b w:val="0"/>
                <w:bCs/>
              </w:rPr>
            </w:pPr>
          </w:p>
        </w:tc>
        <w:tc>
          <w:tcPr>
            <w:tcW w:w="4886" w:type="dxa"/>
            <w:shd w:val="clear" w:color="auto" w:fill="auto"/>
            <w:vAlign w:val="center"/>
          </w:tcPr>
          <w:p w14:paraId="6F888416" w14:textId="33493A0F" w:rsidR="00913C78" w:rsidRPr="00F22172" w:rsidRDefault="00913C78" w:rsidP="00AC2900">
            <w:pPr>
              <w:pStyle w:val="ae"/>
              <w:jc w:val="left"/>
              <w:rPr>
                <w:b w:val="0"/>
                <w:bCs/>
              </w:rPr>
            </w:pPr>
            <w:r w:rsidRPr="00F22172">
              <w:rPr>
                <w:rFonts w:hint="eastAsia"/>
                <w:b w:val="0"/>
                <w:bCs/>
              </w:rPr>
              <w:t>用</w:t>
            </w:r>
            <w:r w:rsidRPr="00F22172">
              <w:rPr>
                <w:b w:val="0"/>
                <w:bCs/>
              </w:rPr>
              <w:fldChar w:fldCharType="begin"/>
            </w:r>
            <w:r w:rsidRPr="00F22172">
              <w:rPr>
                <w:b w:val="0"/>
                <w:bCs/>
              </w:rPr>
              <w:instrText xml:space="preserve"> QUOTE </w:instrText>
            </w:r>
            <m:oMath>
              <m:sSub>
                <m:sSubPr>
                  <m:ctrlPr>
                    <w:rPr>
                      <w:rFonts w:ascii="Cambria Math" w:hAnsi="Cambria Math"/>
                      <w:b w:val="0"/>
                      <w:bCs/>
                      <w:i/>
                    </w:rPr>
                  </m:ctrlPr>
                </m:sSubPr>
                <m:e>
                  <m:r>
                    <m:rPr>
                      <m:sty m:val="b"/>
                    </m:rPr>
                    <w:rPr>
                      <w:rFonts w:ascii="Cambria Math" w:hAnsi="Cambria Math"/>
                    </w:rPr>
                    <m:t>E</m:t>
                  </m:r>
                </m:e>
                <m:sub>
                  <m:r>
                    <m:rPr>
                      <m:sty m:val="b"/>
                    </m:rPr>
                    <w:rPr>
                      <w:rFonts w:ascii="Cambria Math" w:hAnsi="Cambria Math"/>
                    </w:rPr>
                    <m:t>H</m:t>
                  </m:r>
                </m:sub>
              </m:sSub>
              <m:r>
                <m:rPr>
                  <m:sty m:val="b"/>
                </m:rPr>
                <w:rPr>
                  <w:rFonts w:ascii="Cambria Math" w:hAnsi="Cambria Math"/>
                </w:rPr>
                <m:t>=</m:t>
              </m:r>
              <m:f>
                <m:fPr>
                  <m:ctrlPr>
                    <w:rPr>
                      <w:rFonts w:ascii="Cambria Math" w:hAnsi="Cambria Math"/>
                      <w:b w:val="0"/>
                      <w:bCs/>
                    </w:rPr>
                  </m:ctrlPr>
                </m:fPr>
                <m:num>
                  <m:sSub>
                    <m:sSubPr>
                      <m:ctrlPr>
                        <w:rPr>
                          <w:rFonts w:ascii="Cambria Math" w:hAnsi="Cambria Math"/>
                          <w:b w:val="0"/>
                          <w:bCs/>
                          <w:i/>
                        </w:rPr>
                      </m:ctrlPr>
                    </m:sSubPr>
                    <m:e>
                      <m:r>
                        <m:rPr>
                          <m:sty m:val="b"/>
                        </m:rPr>
                        <w:rPr>
                          <w:rFonts w:ascii="Cambria Math" w:hAnsi="Cambria Math"/>
                        </w:rPr>
                        <m:t>Q</m:t>
                      </m:r>
                    </m:e>
                    <m:sub>
                      <m:r>
                        <m:rPr>
                          <m:sty m:val="b"/>
                        </m:rPr>
                        <w:rPr>
                          <w:rFonts w:ascii="Cambria Math" w:hAnsi="Cambria Math"/>
                        </w:rPr>
                        <m:t>H</m:t>
                      </m:r>
                    </m:sub>
                  </m:sSub>
                </m:num>
                <m:den>
                  <m:r>
                    <m:rPr>
                      <m:sty m:val="b"/>
                    </m:rPr>
                    <w:rPr>
                      <w:rFonts w:ascii="Cambria Math" w:hAnsi="Cambria Math"/>
                    </w:rPr>
                    <m:t>A</m:t>
                  </m:r>
                  <m:sSub>
                    <m:sSubPr>
                      <m:ctrlPr>
                        <w:rPr>
                          <w:rFonts w:ascii="Cambria Math" w:hAnsi="Cambria Math"/>
                          <w:b w:val="0"/>
                          <w:bCs/>
                          <w:i/>
                        </w:rPr>
                      </m:ctrlPr>
                    </m:sSubPr>
                    <m:e>
                      <m:r>
                        <m:rPr>
                          <m:sty m:val="b"/>
                        </m:rPr>
                        <w:rPr>
                          <w:rFonts w:ascii="Cambria Math" w:hAnsi="Cambria Math"/>
                        </w:rPr>
                        <m:t>η</m:t>
                      </m:r>
                    </m:e>
                    <m:sub>
                      <m:r>
                        <m:rPr>
                          <m:sty m:val="b"/>
                        </m:rPr>
                        <w:rPr>
                          <w:rFonts w:ascii="Cambria Math" w:hAnsi="Cambria Math"/>
                        </w:rPr>
                        <m:t>1</m:t>
                      </m:r>
                    </m:sub>
                  </m:sSub>
                  <m:sSub>
                    <m:sSubPr>
                      <m:ctrlPr>
                        <w:rPr>
                          <w:rFonts w:ascii="Cambria Math" w:hAnsi="Cambria Math"/>
                          <w:b w:val="0"/>
                          <w:bCs/>
                          <w:i/>
                        </w:rPr>
                      </m:ctrlPr>
                    </m:sSubPr>
                    <m:e>
                      <m:r>
                        <m:rPr>
                          <m:sty m:val="b"/>
                        </m:rPr>
                        <w:rPr>
                          <w:rFonts w:ascii="Cambria Math" w:hAnsi="Cambria Math"/>
                        </w:rPr>
                        <m:t>q</m:t>
                      </m:r>
                    </m:e>
                    <m:sub>
                      <m:r>
                        <m:rPr>
                          <m:sty m:val="b"/>
                        </m:rPr>
                        <w:rPr>
                          <w:rFonts w:ascii="Cambria Math" w:hAnsi="Cambria Math"/>
                        </w:rPr>
                        <m:t>1</m:t>
                      </m:r>
                    </m:sub>
                  </m:sSub>
                  <m:sSub>
                    <m:sSubPr>
                      <m:ctrlPr>
                        <w:rPr>
                          <w:rFonts w:ascii="Cambria Math" w:hAnsi="Cambria Math"/>
                          <w:b w:val="0"/>
                          <w:bCs/>
                          <w:i/>
                        </w:rPr>
                      </m:ctrlPr>
                    </m:sSubPr>
                    <m:e>
                      <m:r>
                        <m:rPr>
                          <m:sty m:val="b"/>
                        </m:rPr>
                        <w:rPr>
                          <w:rFonts w:ascii="Cambria Math" w:hAnsi="Cambria Math"/>
                        </w:rPr>
                        <m:t>q</m:t>
                      </m:r>
                    </m:e>
                    <m:sub>
                      <m:r>
                        <m:rPr>
                          <m:sty m:val="b"/>
                        </m:rPr>
                        <w:rPr>
                          <w:rFonts w:ascii="Cambria Math" w:hAnsi="Cambria Math"/>
                        </w:rPr>
                        <m:t>2</m:t>
                      </m:r>
                    </m:sub>
                  </m:sSub>
                </m:den>
              </m:f>
              <m:r>
                <m:rPr>
                  <m:sty m:val="b"/>
                </m:rPr>
                <w:rPr>
                  <w:rFonts w:ascii="Cambria Math" w:hAnsi="Cambria Math"/>
                </w:rPr>
                <m:t>φ</m:t>
              </m:r>
            </m:oMath>
            <w:r w:rsidRPr="00F22172">
              <w:rPr>
                <w:b w:val="0"/>
                <w:bCs/>
              </w:rPr>
              <w:instrText xml:space="preserve"> </w:instrText>
            </w:r>
            <w:r w:rsidRPr="00F22172">
              <w:rPr>
                <w:b w:val="0"/>
                <w:bCs/>
              </w:rPr>
              <w:fldChar w:fldCharType="separate"/>
            </w:r>
            <m:oMath>
              <m:sSub>
                <m:sSubPr>
                  <m:ctrlPr>
                    <w:rPr>
                      <w:rFonts w:ascii="Cambria Math" w:hAnsi="Cambria Math"/>
                      <w:b w:val="0"/>
                      <w:bCs/>
                      <w:i/>
                      <w:noProof/>
                    </w:rPr>
                  </m:ctrlPr>
                </m:sSubPr>
                <m:e>
                  <m:r>
                    <m:rPr>
                      <m:sty m:val="b"/>
                    </m:rPr>
                    <w:rPr>
                      <w:rFonts w:ascii="Cambria Math"/>
                      <w:noProof/>
                    </w:rPr>
                    <m:t>E</m:t>
                  </m:r>
                </m:e>
                <m:sub>
                  <m:r>
                    <m:rPr>
                      <m:sty m:val="b"/>
                    </m:rPr>
                    <w:rPr>
                      <w:rFonts w:ascii="Cambria Math"/>
                      <w:noProof/>
                    </w:rPr>
                    <m:t>H</m:t>
                  </m:r>
                </m:sub>
              </m:sSub>
              <m:r>
                <m:rPr>
                  <m:sty m:val="b"/>
                </m:rPr>
                <w:rPr>
                  <w:rFonts w:ascii="Cambria Math"/>
                  <w:noProof/>
                </w:rPr>
                <m:t>=</m:t>
              </m:r>
              <m:f>
                <m:fPr>
                  <m:ctrlPr>
                    <w:rPr>
                      <w:rFonts w:ascii="Cambria Math" w:hAnsi="Cambria Math"/>
                      <w:b w:val="0"/>
                      <w:bCs/>
                      <w:i/>
                      <w:noProof/>
                    </w:rPr>
                  </m:ctrlPr>
                </m:fPr>
                <m:num>
                  <m:sSub>
                    <m:sSubPr>
                      <m:ctrlPr>
                        <w:rPr>
                          <w:rFonts w:ascii="Cambria Math" w:hAnsi="Cambria Math"/>
                          <w:b w:val="0"/>
                          <w:bCs/>
                          <w:i/>
                          <w:noProof/>
                        </w:rPr>
                      </m:ctrlPr>
                    </m:sSubPr>
                    <m:e>
                      <m:r>
                        <m:rPr>
                          <m:sty m:val="b"/>
                        </m:rPr>
                        <w:rPr>
                          <w:rFonts w:ascii="Cambria Math"/>
                          <w:noProof/>
                        </w:rPr>
                        <m:t>Q</m:t>
                      </m:r>
                    </m:e>
                    <m:sub>
                      <m:r>
                        <m:rPr>
                          <m:sty m:val="b"/>
                        </m:rPr>
                        <w:rPr>
                          <w:rFonts w:ascii="Cambria Math"/>
                          <w:noProof/>
                        </w:rPr>
                        <m:t>H</m:t>
                      </m:r>
                    </m:sub>
                  </m:sSub>
                </m:num>
                <m:den>
                  <m:r>
                    <m:rPr>
                      <m:sty m:val="b"/>
                    </m:rPr>
                    <w:rPr>
                      <w:rFonts w:ascii="Cambria Math"/>
                      <w:noProof/>
                    </w:rPr>
                    <m:t>A</m:t>
                  </m:r>
                  <m:sSub>
                    <m:sSubPr>
                      <m:ctrlPr>
                        <w:rPr>
                          <w:rFonts w:ascii="Cambria Math" w:hAnsi="Cambria Math"/>
                          <w:b w:val="0"/>
                          <w:bCs/>
                          <w:i/>
                          <w:noProof/>
                        </w:rPr>
                      </m:ctrlPr>
                    </m:sSubPr>
                    <m:e>
                      <m:r>
                        <m:rPr>
                          <m:sty m:val="b"/>
                        </m:rPr>
                        <w:rPr>
                          <w:rFonts w:ascii="Cambria Math"/>
                          <w:noProof/>
                        </w:rPr>
                        <m:t>η</m:t>
                      </m:r>
                    </m:e>
                    <m:sub>
                      <m:r>
                        <m:rPr>
                          <m:sty m:val="b"/>
                        </m:rPr>
                        <w:rPr>
                          <w:rFonts w:ascii="Cambria Math"/>
                          <w:noProof/>
                        </w:rPr>
                        <m:t>1</m:t>
                      </m:r>
                    </m:sub>
                  </m:sSub>
                  <m:sSub>
                    <m:sSubPr>
                      <m:ctrlPr>
                        <w:rPr>
                          <w:rFonts w:ascii="Cambria Math" w:hAnsi="Cambria Math"/>
                          <w:b w:val="0"/>
                          <w:bCs/>
                          <w:i/>
                          <w:noProof/>
                        </w:rPr>
                      </m:ctrlPr>
                    </m:sSubPr>
                    <m:e>
                      <m:r>
                        <m:rPr>
                          <m:sty m:val="b"/>
                        </m:rPr>
                        <w:rPr>
                          <w:rFonts w:ascii="Cambria Math"/>
                          <w:noProof/>
                        </w:rPr>
                        <m:t>q</m:t>
                      </m:r>
                    </m:e>
                    <m:sub>
                      <m:r>
                        <m:rPr>
                          <m:sty m:val="b"/>
                        </m:rPr>
                        <w:rPr>
                          <w:rFonts w:ascii="Cambria Math"/>
                          <w:noProof/>
                        </w:rPr>
                        <m:t>1</m:t>
                      </m:r>
                    </m:sub>
                  </m:sSub>
                  <m:sSub>
                    <m:sSubPr>
                      <m:ctrlPr>
                        <w:rPr>
                          <w:rFonts w:ascii="Cambria Math" w:hAnsi="Cambria Math"/>
                          <w:b w:val="0"/>
                          <w:bCs/>
                          <w:i/>
                          <w:noProof/>
                        </w:rPr>
                      </m:ctrlPr>
                    </m:sSubPr>
                    <m:e>
                      <m:r>
                        <m:rPr>
                          <m:sty m:val="b"/>
                        </m:rPr>
                        <w:rPr>
                          <w:rFonts w:ascii="Cambria Math"/>
                          <w:noProof/>
                        </w:rPr>
                        <m:t>q</m:t>
                      </m:r>
                    </m:e>
                    <m:sub>
                      <m:r>
                        <m:rPr>
                          <m:sty m:val="b"/>
                        </m:rPr>
                        <w:rPr>
                          <w:rFonts w:ascii="Cambria Math"/>
                          <w:noProof/>
                        </w:rPr>
                        <m:t>2</m:t>
                      </m:r>
                    </m:sub>
                  </m:sSub>
                </m:den>
              </m:f>
              <m:r>
                <m:rPr>
                  <m:sty m:val="b"/>
                </m:rPr>
                <w:rPr>
                  <w:rFonts w:ascii="Cambria Math"/>
                  <w:noProof/>
                </w:rPr>
                <m:t>φ</m:t>
              </m:r>
            </m:oMath>
            <w:r w:rsidRPr="00F22172">
              <w:rPr>
                <w:b w:val="0"/>
                <w:bCs/>
              </w:rPr>
              <w:fldChar w:fldCharType="end"/>
            </w:r>
            <w:r w:rsidRPr="00F22172">
              <w:rPr>
                <w:b w:val="0"/>
                <w:bCs/>
              </w:rPr>
              <w:t>计算</w:t>
            </w:r>
            <w:r w:rsidRPr="00F22172">
              <w:rPr>
                <w:rFonts w:hint="eastAsia"/>
                <w:b w:val="0"/>
                <w:bCs/>
              </w:rPr>
              <w:t>全年供暖耗电量</w:t>
            </w:r>
          </w:p>
        </w:tc>
        <w:tc>
          <w:tcPr>
            <w:tcW w:w="1030" w:type="dxa"/>
            <w:shd w:val="clear" w:color="auto" w:fill="auto"/>
            <w:vAlign w:val="center"/>
          </w:tcPr>
          <w:p w14:paraId="634032DB" w14:textId="77777777" w:rsidR="00913C78" w:rsidRPr="00F22172" w:rsidRDefault="00913C78" w:rsidP="00F22172">
            <w:pPr>
              <w:pStyle w:val="ae"/>
              <w:rPr>
                <w:b w:val="0"/>
                <w:bCs/>
              </w:rPr>
            </w:pPr>
          </w:p>
        </w:tc>
      </w:tr>
      <w:tr w:rsidR="00913C78" w:rsidRPr="00913C78" w14:paraId="7734948A" w14:textId="77777777" w:rsidTr="008F38C5">
        <w:trPr>
          <w:jc w:val="center"/>
        </w:trPr>
        <w:tc>
          <w:tcPr>
            <w:tcW w:w="492" w:type="dxa"/>
            <w:vMerge w:val="restart"/>
            <w:shd w:val="clear" w:color="auto" w:fill="auto"/>
            <w:vAlign w:val="center"/>
          </w:tcPr>
          <w:p w14:paraId="65071D76" w14:textId="77777777" w:rsidR="00913C78" w:rsidRPr="00F22172" w:rsidRDefault="00913C78" w:rsidP="00F22172">
            <w:pPr>
              <w:pStyle w:val="ae"/>
              <w:rPr>
                <w:b w:val="0"/>
                <w:bCs/>
              </w:rPr>
            </w:pPr>
            <w:r w:rsidRPr="00F22172">
              <w:rPr>
                <w:rFonts w:hint="eastAsia"/>
                <w:b w:val="0"/>
                <w:bCs/>
              </w:rPr>
              <w:t>4</w:t>
            </w:r>
          </w:p>
        </w:tc>
        <w:tc>
          <w:tcPr>
            <w:tcW w:w="1105" w:type="dxa"/>
            <w:vMerge w:val="restart"/>
            <w:shd w:val="clear" w:color="auto" w:fill="auto"/>
            <w:vAlign w:val="center"/>
          </w:tcPr>
          <w:p w14:paraId="5D023260" w14:textId="77777777" w:rsidR="00913C78" w:rsidRPr="00F22172" w:rsidRDefault="00913C78" w:rsidP="00F22172">
            <w:pPr>
              <w:pStyle w:val="ae"/>
              <w:rPr>
                <w:b w:val="0"/>
                <w:bCs/>
              </w:rPr>
            </w:pPr>
            <w:r w:rsidRPr="00F22172">
              <w:rPr>
                <w:rFonts w:hint="eastAsia"/>
                <w:b w:val="0"/>
                <w:bCs/>
              </w:rPr>
              <w:t>建筑模型建立</w:t>
            </w:r>
          </w:p>
        </w:tc>
        <w:tc>
          <w:tcPr>
            <w:tcW w:w="4886" w:type="dxa"/>
            <w:shd w:val="clear" w:color="auto" w:fill="auto"/>
            <w:vAlign w:val="center"/>
          </w:tcPr>
          <w:p w14:paraId="3853660A" w14:textId="77777777" w:rsidR="00913C78" w:rsidRPr="00F22172" w:rsidRDefault="00913C78" w:rsidP="00F22172">
            <w:pPr>
              <w:pStyle w:val="ae"/>
              <w:jc w:val="left"/>
              <w:rPr>
                <w:b w:val="0"/>
                <w:bCs/>
              </w:rPr>
            </w:pPr>
            <w:r w:rsidRPr="00F22172">
              <w:rPr>
                <w:rFonts w:hint="eastAsia"/>
                <w:b w:val="0"/>
                <w:bCs/>
              </w:rPr>
              <w:t>物理模型的几何尺寸应按照实际建筑尺寸</w:t>
            </w:r>
            <w:r w:rsidRPr="00F22172">
              <w:rPr>
                <w:rFonts w:hint="eastAsia"/>
                <w:b w:val="0"/>
                <w:bCs/>
              </w:rPr>
              <w:t>1:1</w:t>
            </w:r>
            <w:r w:rsidRPr="00F22172">
              <w:rPr>
                <w:rFonts w:hint="eastAsia"/>
                <w:b w:val="0"/>
                <w:bCs/>
              </w:rPr>
              <w:t>构建，应包含主要功能空间，并且区分建筑内外分区</w:t>
            </w:r>
          </w:p>
        </w:tc>
        <w:tc>
          <w:tcPr>
            <w:tcW w:w="1030" w:type="dxa"/>
            <w:shd w:val="clear" w:color="auto" w:fill="auto"/>
            <w:vAlign w:val="center"/>
          </w:tcPr>
          <w:p w14:paraId="727E6D50" w14:textId="77777777" w:rsidR="00913C78" w:rsidRPr="00F22172" w:rsidRDefault="00913C78" w:rsidP="00F22172">
            <w:pPr>
              <w:pStyle w:val="ae"/>
              <w:rPr>
                <w:b w:val="0"/>
                <w:bCs/>
              </w:rPr>
            </w:pPr>
          </w:p>
        </w:tc>
      </w:tr>
      <w:tr w:rsidR="00913C78" w:rsidRPr="00913C78" w14:paraId="3FB94F63" w14:textId="77777777" w:rsidTr="008F38C5">
        <w:trPr>
          <w:jc w:val="center"/>
        </w:trPr>
        <w:tc>
          <w:tcPr>
            <w:tcW w:w="492" w:type="dxa"/>
            <w:vMerge/>
            <w:shd w:val="clear" w:color="auto" w:fill="auto"/>
            <w:vAlign w:val="center"/>
          </w:tcPr>
          <w:p w14:paraId="3733635A" w14:textId="77777777" w:rsidR="00913C78" w:rsidRPr="00F22172" w:rsidRDefault="00913C78" w:rsidP="00F22172">
            <w:pPr>
              <w:pStyle w:val="ae"/>
              <w:rPr>
                <w:b w:val="0"/>
                <w:bCs/>
              </w:rPr>
            </w:pPr>
          </w:p>
        </w:tc>
        <w:tc>
          <w:tcPr>
            <w:tcW w:w="1105" w:type="dxa"/>
            <w:vMerge/>
            <w:shd w:val="clear" w:color="auto" w:fill="auto"/>
            <w:vAlign w:val="center"/>
          </w:tcPr>
          <w:p w14:paraId="497738DB" w14:textId="77777777" w:rsidR="00913C78" w:rsidRPr="00F22172" w:rsidRDefault="00913C78" w:rsidP="00F22172">
            <w:pPr>
              <w:pStyle w:val="ae"/>
              <w:rPr>
                <w:b w:val="0"/>
                <w:bCs/>
              </w:rPr>
            </w:pPr>
          </w:p>
        </w:tc>
        <w:tc>
          <w:tcPr>
            <w:tcW w:w="4886" w:type="dxa"/>
            <w:shd w:val="clear" w:color="auto" w:fill="auto"/>
            <w:vAlign w:val="center"/>
          </w:tcPr>
          <w:p w14:paraId="7DCCF622" w14:textId="77777777" w:rsidR="00913C78" w:rsidRPr="00F22172" w:rsidRDefault="00913C78" w:rsidP="00F22172">
            <w:pPr>
              <w:pStyle w:val="ae"/>
              <w:jc w:val="left"/>
              <w:rPr>
                <w:b w:val="0"/>
                <w:bCs/>
              </w:rPr>
            </w:pPr>
            <w:r w:rsidRPr="00F22172">
              <w:rPr>
                <w:rFonts w:hint="eastAsia"/>
                <w:b w:val="0"/>
                <w:bCs/>
              </w:rPr>
              <w:t>非空调空间合理合并，同方向同功能的相邻空间按需要合并</w:t>
            </w:r>
          </w:p>
        </w:tc>
        <w:tc>
          <w:tcPr>
            <w:tcW w:w="1030" w:type="dxa"/>
            <w:shd w:val="clear" w:color="auto" w:fill="auto"/>
            <w:vAlign w:val="center"/>
          </w:tcPr>
          <w:p w14:paraId="3B0B689E" w14:textId="77777777" w:rsidR="00913C78" w:rsidRPr="00F22172" w:rsidRDefault="00913C78" w:rsidP="00F22172">
            <w:pPr>
              <w:pStyle w:val="ae"/>
              <w:rPr>
                <w:b w:val="0"/>
                <w:bCs/>
              </w:rPr>
            </w:pPr>
          </w:p>
        </w:tc>
      </w:tr>
      <w:tr w:rsidR="00913C78" w:rsidRPr="00913C78" w14:paraId="5B5DA24A" w14:textId="77777777" w:rsidTr="008F38C5">
        <w:trPr>
          <w:jc w:val="center"/>
        </w:trPr>
        <w:tc>
          <w:tcPr>
            <w:tcW w:w="492" w:type="dxa"/>
            <w:vMerge/>
            <w:shd w:val="clear" w:color="auto" w:fill="auto"/>
            <w:vAlign w:val="center"/>
          </w:tcPr>
          <w:p w14:paraId="43276893" w14:textId="77777777" w:rsidR="00913C78" w:rsidRPr="00F22172" w:rsidRDefault="00913C78" w:rsidP="00F22172">
            <w:pPr>
              <w:pStyle w:val="ae"/>
              <w:rPr>
                <w:b w:val="0"/>
                <w:bCs/>
              </w:rPr>
            </w:pPr>
          </w:p>
        </w:tc>
        <w:tc>
          <w:tcPr>
            <w:tcW w:w="1105" w:type="dxa"/>
            <w:vMerge/>
            <w:shd w:val="clear" w:color="auto" w:fill="auto"/>
            <w:vAlign w:val="center"/>
          </w:tcPr>
          <w:p w14:paraId="59E3A08C" w14:textId="77777777" w:rsidR="00913C78" w:rsidRPr="00F22172" w:rsidRDefault="00913C78" w:rsidP="00F22172">
            <w:pPr>
              <w:pStyle w:val="ae"/>
              <w:rPr>
                <w:b w:val="0"/>
                <w:bCs/>
              </w:rPr>
            </w:pPr>
          </w:p>
        </w:tc>
        <w:tc>
          <w:tcPr>
            <w:tcW w:w="4886" w:type="dxa"/>
            <w:shd w:val="clear" w:color="auto" w:fill="auto"/>
            <w:vAlign w:val="center"/>
          </w:tcPr>
          <w:p w14:paraId="0C931033" w14:textId="77777777" w:rsidR="00913C78" w:rsidRPr="00F22172" w:rsidRDefault="00913C78" w:rsidP="00F22172">
            <w:pPr>
              <w:pStyle w:val="ae"/>
              <w:jc w:val="left"/>
              <w:rPr>
                <w:b w:val="0"/>
                <w:bCs/>
              </w:rPr>
            </w:pPr>
            <w:r w:rsidRPr="00F22172">
              <w:rPr>
                <w:rFonts w:hint="eastAsia"/>
                <w:b w:val="0"/>
                <w:bCs/>
              </w:rPr>
              <w:t>对于中庭空间，合理区分竖向温度分区；对于无竖向温度差异的标准层建筑，建模时可以用“典型层”简化</w:t>
            </w:r>
          </w:p>
        </w:tc>
        <w:tc>
          <w:tcPr>
            <w:tcW w:w="1030" w:type="dxa"/>
            <w:shd w:val="clear" w:color="auto" w:fill="auto"/>
            <w:vAlign w:val="center"/>
          </w:tcPr>
          <w:p w14:paraId="00E1393E" w14:textId="77777777" w:rsidR="00913C78" w:rsidRPr="00F22172" w:rsidRDefault="00913C78" w:rsidP="00F22172">
            <w:pPr>
              <w:pStyle w:val="ae"/>
              <w:rPr>
                <w:b w:val="0"/>
                <w:bCs/>
              </w:rPr>
            </w:pPr>
          </w:p>
        </w:tc>
      </w:tr>
      <w:tr w:rsidR="00913C78" w:rsidRPr="00913C78" w14:paraId="541652F7" w14:textId="77777777" w:rsidTr="008F38C5">
        <w:trPr>
          <w:jc w:val="center"/>
        </w:trPr>
        <w:tc>
          <w:tcPr>
            <w:tcW w:w="492" w:type="dxa"/>
            <w:vMerge/>
            <w:shd w:val="clear" w:color="auto" w:fill="auto"/>
            <w:vAlign w:val="center"/>
          </w:tcPr>
          <w:p w14:paraId="3227D584" w14:textId="77777777" w:rsidR="00913C78" w:rsidRPr="00F22172" w:rsidRDefault="00913C78" w:rsidP="00F22172">
            <w:pPr>
              <w:pStyle w:val="ae"/>
              <w:rPr>
                <w:b w:val="0"/>
                <w:bCs/>
              </w:rPr>
            </w:pPr>
          </w:p>
        </w:tc>
        <w:tc>
          <w:tcPr>
            <w:tcW w:w="1105" w:type="dxa"/>
            <w:vMerge/>
            <w:shd w:val="clear" w:color="auto" w:fill="auto"/>
            <w:vAlign w:val="center"/>
          </w:tcPr>
          <w:p w14:paraId="3D36E5B8" w14:textId="77777777" w:rsidR="00913C78" w:rsidRPr="00F22172" w:rsidRDefault="00913C78" w:rsidP="00F22172">
            <w:pPr>
              <w:pStyle w:val="ae"/>
              <w:rPr>
                <w:b w:val="0"/>
                <w:bCs/>
              </w:rPr>
            </w:pPr>
          </w:p>
        </w:tc>
        <w:tc>
          <w:tcPr>
            <w:tcW w:w="4886" w:type="dxa"/>
            <w:shd w:val="clear" w:color="auto" w:fill="auto"/>
            <w:vAlign w:val="center"/>
          </w:tcPr>
          <w:p w14:paraId="7E17A998" w14:textId="77777777" w:rsidR="00913C78" w:rsidRPr="00F22172" w:rsidRDefault="00913C78" w:rsidP="00F22172">
            <w:pPr>
              <w:pStyle w:val="ae"/>
              <w:jc w:val="left"/>
              <w:rPr>
                <w:b w:val="0"/>
                <w:bCs/>
              </w:rPr>
            </w:pPr>
            <w:r w:rsidRPr="00F22172">
              <w:rPr>
                <w:rFonts w:hint="eastAsia"/>
                <w:b w:val="0"/>
                <w:bCs/>
              </w:rPr>
              <w:t>不应忽略周边建筑的遮挡以及建筑的自遮挡</w:t>
            </w:r>
          </w:p>
        </w:tc>
        <w:tc>
          <w:tcPr>
            <w:tcW w:w="1030" w:type="dxa"/>
            <w:shd w:val="clear" w:color="auto" w:fill="auto"/>
            <w:vAlign w:val="center"/>
          </w:tcPr>
          <w:p w14:paraId="6CD21FAE" w14:textId="77777777" w:rsidR="00913C78" w:rsidRPr="00F22172" w:rsidRDefault="00913C78" w:rsidP="00F22172">
            <w:pPr>
              <w:pStyle w:val="ae"/>
              <w:rPr>
                <w:b w:val="0"/>
                <w:bCs/>
              </w:rPr>
            </w:pPr>
          </w:p>
        </w:tc>
      </w:tr>
      <w:tr w:rsidR="00913C78" w:rsidRPr="00913C78" w14:paraId="47CC9EF6" w14:textId="77777777" w:rsidTr="008F38C5">
        <w:trPr>
          <w:jc w:val="center"/>
        </w:trPr>
        <w:tc>
          <w:tcPr>
            <w:tcW w:w="492" w:type="dxa"/>
            <w:vMerge/>
            <w:shd w:val="clear" w:color="auto" w:fill="auto"/>
            <w:vAlign w:val="center"/>
          </w:tcPr>
          <w:p w14:paraId="7779B833" w14:textId="77777777" w:rsidR="00913C78" w:rsidRPr="00F22172" w:rsidRDefault="00913C78" w:rsidP="00F22172">
            <w:pPr>
              <w:pStyle w:val="ae"/>
              <w:rPr>
                <w:b w:val="0"/>
                <w:bCs/>
              </w:rPr>
            </w:pPr>
          </w:p>
        </w:tc>
        <w:tc>
          <w:tcPr>
            <w:tcW w:w="1105" w:type="dxa"/>
            <w:vMerge/>
            <w:shd w:val="clear" w:color="auto" w:fill="auto"/>
            <w:vAlign w:val="center"/>
          </w:tcPr>
          <w:p w14:paraId="139C8101" w14:textId="77777777" w:rsidR="00913C78" w:rsidRPr="00F22172" w:rsidRDefault="00913C78" w:rsidP="00F22172">
            <w:pPr>
              <w:pStyle w:val="ae"/>
              <w:rPr>
                <w:b w:val="0"/>
                <w:bCs/>
              </w:rPr>
            </w:pPr>
          </w:p>
        </w:tc>
        <w:tc>
          <w:tcPr>
            <w:tcW w:w="4886" w:type="dxa"/>
            <w:shd w:val="clear" w:color="auto" w:fill="auto"/>
            <w:vAlign w:val="center"/>
          </w:tcPr>
          <w:p w14:paraId="760DBC3B" w14:textId="77777777" w:rsidR="00913C78" w:rsidRPr="00F22172" w:rsidRDefault="00913C78" w:rsidP="00F22172">
            <w:pPr>
              <w:pStyle w:val="ae"/>
              <w:jc w:val="left"/>
              <w:rPr>
                <w:b w:val="0"/>
                <w:bCs/>
              </w:rPr>
            </w:pPr>
            <w:r w:rsidRPr="00F22172">
              <w:rPr>
                <w:rFonts w:hint="eastAsia"/>
                <w:b w:val="0"/>
                <w:bCs/>
              </w:rPr>
              <w:t>不透光围护结构应根据输入的建筑各立面和屋面的非透光部位主体结构层、保温层、找坡层等材料和厚度，考虑建筑围护结构的蓄热性能</w:t>
            </w:r>
          </w:p>
        </w:tc>
        <w:tc>
          <w:tcPr>
            <w:tcW w:w="1030" w:type="dxa"/>
            <w:shd w:val="clear" w:color="auto" w:fill="auto"/>
            <w:vAlign w:val="center"/>
          </w:tcPr>
          <w:p w14:paraId="07FB1E78" w14:textId="77777777" w:rsidR="00913C78" w:rsidRPr="00F22172" w:rsidRDefault="00913C78" w:rsidP="00F22172">
            <w:pPr>
              <w:pStyle w:val="ae"/>
              <w:rPr>
                <w:b w:val="0"/>
                <w:bCs/>
              </w:rPr>
            </w:pPr>
          </w:p>
        </w:tc>
      </w:tr>
      <w:tr w:rsidR="00913C78" w:rsidRPr="00913C78" w14:paraId="4C31AE65" w14:textId="77777777" w:rsidTr="008F38C5">
        <w:trPr>
          <w:jc w:val="center"/>
        </w:trPr>
        <w:tc>
          <w:tcPr>
            <w:tcW w:w="492" w:type="dxa"/>
            <w:vMerge/>
            <w:shd w:val="clear" w:color="auto" w:fill="auto"/>
            <w:vAlign w:val="center"/>
          </w:tcPr>
          <w:p w14:paraId="0FFB1425" w14:textId="77777777" w:rsidR="00913C78" w:rsidRPr="00F22172" w:rsidRDefault="00913C78" w:rsidP="00F22172">
            <w:pPr>
              <w:pStyle w:val="ae"/>
              <w:rPr>
                <w:b w:val="0"/>
                <w:bCs/>
              </w:rPr>
            </w:pPr>
          </w:p>
        </w:tc>
        <w:tc>
          <w:tcPr>
            <w:tcW w:w="1105" w:type="dxa"/>
            <w:vMerge/>
            <w:shd w:val="clear" w:color="auto" w:fill="auto"/>
            <w:vAlign w:val="center"/>
          </w:tcPr>
          <w:p w14:paraId="2E407B93" w14:textId="77777777" w:rsidR="00913C78" w:rsidRPr="00F22172" w:rsidRDefault="00913C78" w:rsidP="00F22172">
            <w:pPr>
              <w:pStyle w:val="ae"/>
              <w:rPr>
                <w:b w:val="0"/>
                <w:bCs/>
              </w:rPr>
            </w:pPr>
          </w:p>
        </w:tc>
        <w:tc>
          <w:tcPr>
            <w:tcW w:w="4886" w:type="dxa"/>
            <w:shd w:val="clear" w:color="auto" w:fill="auto"/>
            <w:vAlign w:val="center"/>
          </w:tcPr>
          <w:p w14:paraId="7AD18FB7" w14:textId="77777777" w:rsidR="00913C78" w:rsidRPr="00F22172" w:rsidRDefault="00913C78" w:rsidP="00F22172">
            <w:pPr>
              <w:pStyle w:val="ae"/>
              <w:jc w:val="left"/>
              <w:rPr>
                <w:b w:val="0"/>
                <w:bCs/>
              </w:rPr>
            </w:pPr>
            <w:r w:rsidRPr="00F22172">
              <w:rPr>
                <w:rFonts w:hint="eastAsia"/>
                <w:b w:val="0"/>
                <w:bCs/>
              </w:rPr>
              <w:t>透光围护结构要求根据模拟软件建立的建筑模型和外遮阳设施，按现行国家标准《民用建筑热工设计规范》（</w:t>
            </w:r>
            <w:r w:rsidRPr="00F22172">
              <w:rPr>
                <w:rFonts w:hint="eastAsia"/>
                <w:b w:val="0"/>
                <w:bCs/>
              </w:rPr>
              <w:t>GB 50176</w:t>
            </w:r>
            <w:r w:rsidRPr="00F22172">
              <w:rPr>
                <w:rFonts w:hint="eastAsia"/>
                <w:b w:val="0"/>
                <w:bCs/>
              </w:rPr>
              <w:t>—</w:t>
            </w:r>
            <w:r w:rsidRPr="00F22172">
              <w:rPr>
                <w:rFonts w:hint="eastAsia"/>
                <w:b w:val="0"/>
                <w:bCs/>
              </w:rPr>
              <w:t>2016</w:t>
            </w:r>
            <w:r w:rsidRPr="00F22172">
              <w:rPr>
                <w:rFonts w:hint="eastAsia"/>
                <w:b w:val="0"/>
                <w:bCs/>
              </w:rPr>
              <w:t>）的计算方法计算透光部位的太阳得热系数（</w:t>
            </w:r>
            <w:r w:rsidRPr="00F22172">
              <w:rPr>
                <w:rFonts w:hint="eastAsia"/>
                <w:b w:val="0"/>
                <w:bCs/>
              </w:rPr>
              <w:t>SHGC</w:t>
            </w:r>
            <w:r w:rsidRPr="00F22172">
              <w:rPr>
                <w:rFonts w:hint="eastAsia"/>
                <w:b w:val="0"/>
                <w:bCs/>
              </w:rPr>
              <w:t>）</w:t>
            </w:r>
          </w:p>
        </w:tc>
        <w:tc>
          <w:tcPr>
            <w:tcW w:w="1030" w:type="dxa"/>
            <w:shd w:val="clear" w:color="auto" w:fill="auto"/>
            <w:vAlign w:val="center"/>
          </w:tcPr>
          <w:p w14:paraId="54834D1A" w14:textId="77777777" w:rsidR="00913C78" w:rsidRPr="00F22172" w:rsidRDefault="00913C78" w:rsidP="00F22172">
            <w:pPr>
              <w:pStyle w:val="ae"/>
              <w:rPr>
                <w:b w:val="0"/>
                <w:bCs/>
              </w:rPr>
            </w:pPr>
          </w:p>
        </w:tc>
      </w:tr>
      <w:tr w:rsidR="008F38C5" w:rsidRPr="00913C78" w14:paraId="3AB50B37" w14:textId="77777777" w:rsidTr="008F38C5">
        <w:trPr>
          <w:jc w:val="center"/>
        </w:trPr>
        <w:tc>
          <w:tcPr>
            <w:tcW w:w="492" w:type="dxa"/>
            <w:vMerge w:val="restart"/>
            <w:shd w:val="clear" w:color="auto" w:fill="auto"/>
            <w:vAlign w:val="center"/>
          </w:tcPr>
          <w:p w14:paraId="0723E63F" w14:textId="002EE80A" w:rsidR="008F38C5" w:rsidRPr="00F22172" w:rsidRDefault="008F38C5" w:rsidP="008F38C5">
            <w:pPr>
              <w:pStyle w:val="ae"/>
              <w:rPr>
                <w:b w:val="0"/>
                <w:bCs/>
              </w:rPr>
            </w:pPr>
            <w:r w:rsidRPr="00F22172">
              <w:rPr>
                <w:rFonts w:hint="eastAsia"/>
                <w:b w:val="0"/>
                <w:bCs/>
              </w:rPr>
              <w:t>4</w:t>
            </w:r>
          </w:p>
        </w:tc>
        <w:tc>
          <w:tcPr>
            <w:tcW w:w="1105" w:type="dxa"/>
            <w:vMerge w:val="restart"/>
            <w:shd w:val="clear" w:color="auto" w:fill="auto"/>
            <w:vAlign w:val="center"/>
          </w:tcPr>
          <w:p w14:paraId="0744AAE0" w14:textId="228884B4" w:rsidR="008F38C5" w:rsidRPr="00F22172" w:rsidRDefault="008F38C5" w:rsidP="008F38C5">
            <w:pPr>
              <w:pStyle w:val="ae"/>
              <w:rPr>
                <w:b w:val="0"/>
                <w:bCs/>
              </w:rPr>
            </w:pPr>
            <w:r w:rsidRPr="00F22172">
              <w:rPr>
                <w:rFonts w:hint="eastAsia"/>
                <w:b w:val="0"/>
                <w:bCs/>
              </w:rPr>
              <w:t>建筑模型建立</w:t>
            </w:r>
          </w:p>
        </w:tc>
        <w:tc>
          <w:tcPr>
            <w:tcW w:w="4886" w:type="dxa"/>
            <w:shd w:val="clear" w:color="auto" w:fill="auto"/>
            <w:vAlign w:val="center"/>
          </w:tcPr>
          <w:p w14:paraId="705BF863" w14:textId="6A57A24A" w:rsidR="008F38C5" w:rsidRPr="00F22172" w:rsidRDefault="008F38C5" w:rsidP="008F38C5">
            <w:pPr>
              <w:pStyle w:val="ae"/>
              <w:jc w:val="left"/>
              <w:rPr>
                <w:b w:val="0"/>
                <w:bCs/>
              </w:rPr>
            </w:pPr>
            <w:r w:rsidRPr="00F22172">
              <w:rPr>
                <w:rFonts w:hint="eastAsia"/>
                <w:b w:val="0"/>
                <w:bCs/>
              </w:rPr>
              <w:t>设计建筑的形状、大小、朝向、内部的空间划分和使用功能、建筑构造尺寸、建筑围护结构传热系数、做法、外窗（包括透光幕墙）太阳得热系数、窗墙面积比、屋面开窗面积应与建筑设计文件一致</w:t>
            </w:r>
          </w:p>
        </w:tc>
        <w:tc>
          <w:tcPr>
            <w:tcW w:w="1030" w:type="dxa"/>
            <w:shd w:val="clear" w:color="auto" w:fill="auto"/>
            <w:vAlign w:val="center"/>
          </w:tcPr>
          <w:p w14:paraId="1354E3D5" w14:textId="77777777" w:rsidR="008F38C5" w:rsidRPr="00F22172" w:rsidRDefault="008F38C5" w:rsidP="008F38C5">
            <w:pPr>
              <w:pStyle w:val="ae"/>
              <w:rPr>
                <w:b w:val="0"/>
                <w:bCs/>
              </w:rPr>
            </w:pPr>
          </w:p>
        </w:tc>
      </w:tr>
      <w:tr w:rsidR="008F38C5" w:rsidRPr="00913C78" w14:paraId="0F723771" w14:textId="77777777" w:rsidTr="008F38C5">
        <w:trPr>
          <w:jc w:val="center"/>
        </w:trPr>
        <w:tc>
          <w:tcPr>
            <w:tcW w:w="492" w:type="dxa"/>
            <w:vMerge/>
            <w:shd w:val="clear" w:color="auto" w:fill="auto"/>
            <w:vAlign w:val="center"/>
          </w:tcPr>
          <w:p w14:paraId="37BB6899" w14:textId="77777777" w:rsidR="008F38C5" w:rsidRPr="00F22172" w:rsidRDefault="008F38C5" w:rsidP="008F38C5">
            <w:pPr>
              <w:pStyle w:val="ae"/>
              <w:rPr>
                <w:b w:val="0"/>
                <w:bCs/>
              </w:rPr>
            </w:pPr>
          </w:p>
        </w:tc>
        <w:tc>
          <w:tcPr>
            <w:tcW w:w="1105" w:type="dxa"/>
            <w:vMerge/>
            <w:shd w:val="clear" w:color="auto" w:fill="auto"/>
            <w:vAlign w:val="center"/>
          </w:tcPr>
          <w:p w14:paraId="2BA88EE6" w14:textId="77777777" w:rsidR="008F38C5" w:rsidRPr="00F22172" w:rsidRDefault="008F38C5" w:rsidP="008F38C5">
            <w:pPr>
              <w:pStyle w:val="ae"/>
              <w:rPr>
                <w:b w:val="0"/>
                <w:bCs/>
              </w:rPr>
            </w:pPr>
          </w:p>
        </w:tc>
        <w:tc>
          <w:tcPr>
            <w:tcW w:w="4886" w:type="dxa"/>
            <w:shd w:val="clear" w:color="auto" w:fill="auto"/>
            <w:vAlign w:val="center"/>
          </w:tcPr>
          <w:p w14:paraId="7C7ED4CF" w14:textId="2BC5B608" w:rsidR="008F38C5" w:rsidRPr="00F22172" w:rsidRDefault="008F38C5" w:rsidP="008F38C5">
            <w:pPr>
              <w:pStyle w:val="ae"/>
              <w:jc w:val="left"/>
              <w:rPr>
                <w:b w:val="0"/>
                <w:bCs/>
              </w:rPr>
            </w:pPr>
            <w:r w:rsidRPr="00F22172">
              <w:rPr>
                <w:rFonts w:hint="eastAsia"/>
                <w:b w:val="0"/>
                <w:bCs/>
              </w:rPr>
              <w:t>参照建筑的形状、大小、朝向、内部的空间划分和使用功能、建筑构造尺寸应与设计建筑一致；当设计建筑的屋顶透光部分的面积大于《公共建筑节能设计标准》（</w:t>
            </w:r>
            <w:r w:rsidRPr="00F22172">
              <w:rPr>
                <w:rFonts w:hint="eastAsia"/>
                <w:b w:val="0"/>
                <w:bCs/>
              </w:rPr>
              <w:t>GB 50189</w:t>
            </w:r>
            <w:r w:rsidRPr="00F22172">
              <w:rPr>
                <w:rFonts w:hint="eastAsia"/>
                <w:b w:val="0"/>
                <w:bCs/>
              </w:rPr>
              <w:t>—</w:t>
            </w:r>
            <w:r w:rsidRPr="00F22172">
              <w:rPr>
                <w:rFonts w:hint="eastAsia"/>
                <w:b w:val="0"/>
                <w:bCs/>
              </w:rPr>
              <w:t>2015</w:t>
            </w:r>
            <w:r w:rsidRPr="00F22172">
              <w:rPr>
                <w:rFonts w:hint="eastAsia"/>
                <w:b w:val="0"/>
                <w:bCs/>
              </w:rPr>
              <w:t>）第</w:t>
            </w:r>
            <w:r w:rsidRPr="00F22172">
              <w:rPr>
                <w:rFonts w:hint="eastAsia"/>
                <w:b w:val="0"/>
                <w:bCs/>
              </w:rPr>
              <w:t>3.2.7</w:t>
            </w:r>
            <w:r w:rsidRPr="00F22172">
              <w:rPr>
                <w:rFonts w:hint="eastAsia"/>
                <w:b w:val="0"/>
                <w:bCs/>
              </w:rPr>
              <w:t>条的规定时，参照建筑的屋顶透光部分的面积应按比例缩小，使参照建筑的屋顶透光部分的面积符合《公共建筑节能设计标准》（</w:t>
            </w:r>
            <w:r w:rsidRPr="00F22172">
              <w:rPr>
                <w:rFonts w:hint="eastAsia"/>
                <w:b w:val="0"/>
                <w:bCs/>
              </w:rPr>
              <w:t>GB 50189</w:t>
            </w:r>
            <w:r w:rsidRPr="00F22172">
              <w:rPr>
                <w:rFonts w:hint="eastAsia"/>
                <w:b w:val="0"/>
                <w:bCs/>
              </w:rPr>
              <w:t>—</w:t>
            </w:r>
            <w:r w:rsidRPr="00F22172">
              <w:rPr>
                <w:rFonts w:hint="eastAsia"/>
                <w:b w:val="0"/>
                <w:bCs/>
              </w:rPr>
              <w:t>2015</w:t>
            </w:r>
            <w:r w:rsidRPr="00F22172">
              <w:rPr>
                <w:rFonts w:hint="eastAsia"/>
                <w:b w:val="0"/>
                <w:bCs/>
              </w:rPr>
              <w:t>）第</w:t>
            </w:r>
            <w:r w:rsidRPr="00F22172">
              <w:rPr>
                <w:rFonts w:hint="eastAsia"/>
                <w:b w:val="0"/>
                <w:bCs/>
              </w:rPr>
              <w:t>3.2.7</w:t>
            </w:r>
            <w:r w:rsidRPr="00F22172">
              <w:rPr>
                <w:rFonts w:hint="eastAsia"/>
                <w:b w:val="0"/>
                <w:bCs/>
              </w:rPr>
              <w:t>条的规定</w:t>
            </w:r>
          </w:p>
        </w:tc>
        <w:tc>
          <w:tcPr>
            <w:tcW w:w="1030" w:type="dxa"/>
            <w:shd w:val="clear" w:color="auto" w:fill="auto"/>
            <w:vAlign w:val="center"/>
          </w:tcPr>
          <w:p w14:paraId="28B6FF70" w14:textId="77777777" w:rsidR="008F38C5" w:rsidRPr="00F22172" w:rsidRDefault="008F38C5" w:rsidP="008F38C5">
            <w:pPr>
              <w:pStyle w:val="ae"/>
              <w:rPr>
                <w:b w:val="0"/>
                <w:bCs/>
              </w:rPr>
            </w:pPr>
          </w:p>
        </w:tc>
      </w:tr>
      <w:tr w:rsidR="008F38C5" w:rsidRPr="00913C78" w14:paraId="3A8195FF" w14:textId="77777777" w:rsidTr="008F38C5">
        <w:trPr>
          <w:jc w:val="center"/>
        </w:trPr>
        <w:tc>
          <w:tcPr>
            <w:tcW w:w="492" w:type="dxa"/>
            <w:vMerge/>
            <w:shd w:val="clear" w:color="auto" w:fill="auto"/>
            <w:vAlign w:val="center"/>
          </w:tcPr>
          <w:p w14:paraId="565F658A" w14:textId="77777777" w:rsidR="008F38C5" w:rsidRPr="00F22172" w:rsidRDefault="008F38C5" w:rsidP="008F38C5">
            <w:pPr>
              <w:pStyle w:val="ae"/>
              <w:rPr>
                <w:b w:val="0"/>
                <w:bCs/>
              </w:rPr>
            </w:pPr>
          </w:p>
        </w:tc>
        <w:tc>
          <w:tcPr>
            <w:tcW w:w="1105" w:type="dxa"/>
            <w:vMerge/>
            <w:shd w:val="clear" w:color="auto" w:fill="auto"/>
            <w:vAlign w:val="center"/>
          </w:tcPr>
          <w:p w14:paraId="24C74CC1" w14:textId="77777777" w:rsidR="008F38C5" w:rsidRPr="00F22172" w:rsidRDefault="008F38C5" w:rsidP="008F38C5">
            <w:pPr>
              <w:pStyle w:val="ae"/>
              <w:rPr>
                <w:b w:val="0"/>
                <w:bCs/>
              </w:rPr>
            </w:pPr>
          </w:p>
        </w:tc>
        <w:tc>
          <w:tcPr>
            <w:tcW w:w="4886" w:type="dxa"/>
            <w:shd w:val="clear" w:color="auto" w:fill="auto"/>
            <w:vAlign w:val="center"/>
          </w:tcPr>
          <w:p w14:paraId="0CD857FE" w14:textId="18641A67" w:rsidR="008F38C5" w:rsidRPr="00F22172" w:rsidRDefault="008F38C5" w:rsidP="008F38C5">
            <w:pPr>
              <w:pStyle w:val="ae"/>
              <w:jc w:val="left"/>
              <w:rPr>
                <w:b w:val="0"/>
                <w:bCs/>
              </w:rPr>
            </w:pPr>
            <w:r w:rsidRPr="00F22172">
              <w:rPr>
                <w:rFonts w:hint="eastAsia"/>
                <w:b w:val="0"/>
                <w:bCs/>
              </w:rPr>
              <w:t>参照建筑围护结构做法应与建筑设计文件一致，围护</w:t>
            </w:r>
            <w:r w:rsidRPr="00F22172">
              <w:rPr>
                <w:rFonts w:hint="eastAsia"/>
                <w:b w:val="0"/>
                <w:bCs/>
              </w:rPr>
              <w:lastRenderedPageBreak/>
              <w:t>结构热工性能参数取值应符合《公共建筑节能设计标准》（</w:t>
            </w:r>
            <w:r w:rsidRPr="00F22172">
              <w:rPr>
                <w:rFonts w:hint="eastAsia"/>
                <w:b w:val="0"/>
                <w:bCs/>
              </w:rPr>
              <w:t>GB 50189</w:t>
            </w:r>
            <w:r w:rsidRPr="00F22172">
              <w:rPr>
                <w:rFonts w:hint="eastAsia"/>
                <w:b w:val="0"/>
                <w:bCs/>
              </w:rPr>
              <w:t>—</w:t>
            </w:r>
            <w:r w:rsidRPr="00F22172">
              <w:rPr>
                <w:rFonts w:hint="eastAsia"/>
                <w:b w:val="0"/>
                <w:bCs/>
              </w:rPr>
              <w:t>2015</w:t>
            </w:r>
            <w:r w:rsidRPr="00F22172">
              <w:rPr>
                <w:rFonts w:hint="eastAsia"/>
                <w:b w:val="0"/>
                <w:bCs/>
              </w:rPr>
              <w:t>）第</w:t>
            </w:r>
            <w:r w:rsidRPr="00F22172">
              <w:rPr>
                <w:rFonts w:hint="eastAsia"/>
                <w:b w:val="0"/>
                <w:bCs/>
              </w:rPr>
              <w:t>3.3</w:t>
            </w:r>
            <w:r w:rsidRPr="00F22172">
              <w:rPr>
                <w:rFonts w:hint="eastAsia"/>
                <w:b w:val="0"/>
                <w:bCs/>
              </w:rPr>
              <w:t>节的规定</w:t>
            </w:r>
          </w:p>
        </w:tc>
        <w:tc>
          <w:tcPr>
            <w:tcW w:w="1030" w:type="dxa"/>
            <w:shd w:val="clear" w:color="auto" w:fill="auto"/>
            <w:vAlign w:val="center"/>
          </w:tcPr>
          <w:p w14:paraId="62B45083" w14:textId="77777777" w:rsidR="008F38C5" w:rsidRPr="00F22172" w:rsidRDefault="008F38C5" w:rsidP="008F38C5">
            <w:pPr>
              <w:pStyle w:val="ae"/>
              <w:rPr>
                <w:b w:val="0"/>
                <w:bCs/>
              </w:rPr>
            </w:pPr>
          </w:p>
        </w:tc>
      </w:tr>
      <w:tr w:rsidR="008F38C5" w:rsidRPr="00913C78" w14:paraId="55B6EAD2" w14:textId="77777777" w:rsidTr="008F38C5">
        <w:trPr>
          <w:jc w:val="center"/>
        </w:trPr>
        <w:tc>
          <w:tcPr>
            <w:tcW w:w="492" w:type="dxa"/>
            <w:shd w:val="clear" w:color="auto" w:fill="auto"/>
            <w:vAlign w:val="center"/>
          </w:tcPr>
          <w:p w14:paraId="0656DBC5" w14:textId="655B4E22" w:rsidR="008F38C5" w:rsidRPr="00F22172" w:rsidRDefault="008F38C5" w:rsidP="008F38C5">
            <w:pPr>
              <w:pStyle w:val="ae"/>
              <w:rPr>
                <w:b w:val="0"/>
                <w:bCs/>
              </w:rPr>
            </w:pPr>
            <w:r w:rsidRPr="00F22172">
              <w:rPr>
                <w:rFonts w:hint="eastAsia"/>
                <w:b w:val="0"/>
                <w:bCs/>
              </w:rPr>
              <w:lastRenderedPageBreak/>
              <w:t>5</w:t>
            </w:r>
          </w:p>
        </w:tc>
        <w:tc>
          <w:tcPr>
            <w:tcW w:w="1105" w:type="dxa"/>
            <w:shd w:val="clear" w:color="auto" w:fill="auto"/>
            <w:vAlign w:val="center"/>
          </w:tcPr>
          <w:p w14:paraId="4D39CD96" w14:textId="7AD15201" w:rsidR="008F38C5" w:rsidRPr="00F22172" w:rsidRDefault="008F38C5" w:rsidP="008F38C5">
            <w:pPr>
              <w:pStyle w:val="ae"/>
              <w:rPr>
                <w:b w:val="0"/>
                <w:bCs/>
              </w:rPr>
            </w:pPr>
            <w:r w:rsidRPr="00F22172">
              <w:rPr>
                <w:rFonts w:hint="eastAsia"/>
                <w:b w:val="0"/>
                <w:bCs/>
              </w:rPr>
              <w:t>供暖</w:t>
            </w:r>
            <w:r w:rsidRPr="00F22172">
              <w:rPr>
                <w:b w:val="0"/>
                <w:bCs/>
              </w:rPr>
              <w:t>空调</w:t>
            </w:r>
            <w:r w:rsidRPr="00F22172">
              <w:rPr>
                <w:rFonts w:hint="eastAsia"/>
                <w:b w:val="0"/>
                <w:bCs/>
              </w:rPr>
              <w:br/>
            </w:r>
            <w:r w:rsidRPr="00F22172">
              <w:rPr>
                <w:rFonts w:hint="eastAsia"/>
                <w:b w:val="0"/>
                <w:bCs/>
              </w:rPr>
              <w:t>系统</w:t>
            </w:r>
            <w:r w:rsidRPr="00F22172">
              <w:rPr>
                <w:b w:val="0"/>
                <w:bCs/>
              </w:rPr>
              <w:t>选取</w:t>
            </w:r>
          </w:p>
        </w:tc>
        <w:tc>
          <w:tcPr>
            <w:tcW w:w="4886" w:type="dxa"/>
            <w:shd w:val="clear" w:color="auto" w:fill="auto"/>
            <w:vAlign w:val="center"/>
          </w:tcPr>
          <w:p w14:paraId="3D90D619" w14:textId="4B43E088" w:rsidR="008F38C5" w:rsidRPr="00F22172" w:rsidRDefault="008F38C5" w:rsidP="008F38C5">
            <w:pPr>
              <w:pStyle w:val="ae"/>
              <w:jc w:val="left"/>
              <w:rPr>
                <w:b w:val="0"/>
                <w:bCs/>
              </w:rPr>
            </w:pPr>
            <w:r w:rsidRPr="00F22172">
              <w:rPr>
                <w:rFonts w:hint="eastAsia"/>
                <w:b w:val="0"/>
                <w:bCs/>
              </w:rPr>
              <w:t>设计系统及参照系统的选取应满足本书附表</w:t>
            </w:r>
            <w:r w:rsidRPr="00F22172">
              <w:rPr>
                <w:rFonts w:hint="eastAsia"/>
                <w:b w:val="0"/>
                <w:bCs/>
              </w:rPr>
              <w:t>A.5.1</w:t>
            </w:r>
            <w:r w:rsidRPr="00F22172">
              <w:rPr>
                <w:rFonts w:hint="eastAsia"/>
                <w:b w:val="0"/>
                <w:bCs/>
              </w:rPr>
              <w:t>要求</w:t>
            </w:r>
          </w:p>
        </w:tc>
        <w:tc>
          <w:tcPr>
            <w:tcW w:w="1030" w:type="dxa"/>
            <w:shd w:val="clear" w:color="auto" w:fill="auto"/>
            <w:vAlign w:val="center"/>
          </w:tcPr>
          <w:p w14:paraId="7872586B" w14:textId="77777777" w:rsidR="008F38C5" w:rsidRPr="00F22172" w:rsidRDefault="008F38C5" w:rsidP="008F38C5">
            <w:pPr>
              <w:pStyle w:val="ae"/>
              <w:rPr>
                <w:b w:val="0"/>
                <w:bCs/>
              </w:rPr>
            </w:pPr>
          </w:p>
        </w:tc>
      </w:tr>
      <w:tr w:rsidR="008F38C5" w:rsidRPr="00913C78" w14:paraId="6FBBDB89" w14:textId="77777777" w:rsidTr="008F38C5">
        <w:trPr>
          <w:jc w:val="center"/>
        </w:trPr>
        <w:tc>
          <w:tcPr>
            <w:tcW w:w="492" w:type="dxa"/>
            <w:vMerge w:val="restart"/>
            <w:shd w:val="clear" w:color="auto" w:fill="auto"/>
            <w:vAlign w:val="center"/>
          </w:tcPr>
          <w:p w14:paraId="449F10A2" w14:textId="14E1FE79" w:rsidR="008F38C5" w:rsidRPr="00F22172" w:rsidRDefault="008F38C5" w:rsidP="008F38C5">
            <w:pPr>
              <w:pStyle w:val="ae"/>
              <w:rPr>
                <w:b w:val="0"/>
                <w:bCs/>
              </w:rPr>
            </w:pPr>
            <w:r w:rsidRPr="00F22172">
              <w:rPr>
                <w:rFonts w:hint="eastAsia"/>
                <w:b w:val="0"/>
                <w:bCs/>
              </w:rPr>
              <w:t>6</w:t>
            </w:r>
          </w:p>
        </w:tc>
        <w:tc>
          <w:tcPr>
            <w:tcW w:w="1105" w:type="dxa"/>
            <w:vMerge w:val="restart"/>
            <w:shd w:val="clear" w:color="auto" w:fill="auto"/>
            <w:vAlign w:val="center"/>
          </w:tcPr>
          <w:p w14:paraId="254DF843" w14:textId="3CEC2A6B" w:rsidR="008F38C5" w:rsidRPr="00F22172" w:rsidRDefault="008F38C5" w:rsidP="008F38C5">
            <w:pPr>
              <w:pStyle w:val="ae"/>
              <w:rPr>
                <w:b w:val="0"/>
                <w:bCs/>
              </w:rPr>
            </w:pPr>
            <w:r w:rsidRPr="00F22172">
              <w:rPr>
                <w:rFonts w:hint="eastAsia"/>
                <w:b w:val="0"/>
                <w:bCs/>
              </w:rPr>
              <w:t>计算条件</w:t>
            </w:r>
          </w:p>
        </w:tc>
        <w:tc>
          <w:tcPr>
            <w:tcW w:w="4886" w:type="dxa"/>
            <w:shd w:val="clear" w:color="auto" w:fill="auto"/>
            <w:vAlign w:val="center"/>
          </w:tcPr>
          <w:p w14:paraId="3B39DAE9" w14:textId="4B242921" w:rsidR="008F38C5" w:rsidRPr="00F22172" w:rsidRDefault="008F38C5" w:rsidP="008F38C5">
            <w:pPr>
              <w:pStyle w:val="ae"/>
              <w:jc w:val="left"/>
              <w:rPr>
                <w:b w:val="0"/>
                <w:bCs/>
              </w:rPr>
            </w:pPr>
            <w:r w:rsidRPr="00F22172">
              <w:rPr>
                <w:rFonts w:hint="eastAsia"/>
                <w:b w:val="0"/>
                <w:bCs/>
              </w:rPr>
              <w:t>建筑的空气调节和供暖系统运行时间、室内温度、照明功率密度值及开关时间、房间人均占有的使用面积及在室率、人员新风量及新风机组运行时间表、电气设备功率密度及使用率、室内热源散热量辐射和对流的比例、人员散热量和散湿量应按本书附表</w:t>
            </w:r>
            <w:r w:rsidRPr="00F22172">
              <w:rPr>
                <w:rFonts w:hint="eastAsia"/>
                <w:b w:val="0"/>
                <w:bCs/>
              </w:rPr>
              <w:t>A.5.1</w:t>
            </w:r>
            <w:r w:rsidRPr="00F22172">
              <w:rPr>
                <w:rFonts w:hint="eastAsia"/>
                <w:b w:val="0"/>
                <w:bCs/>
              </w:rPr>
              <w:t>～附表</w:t>
            </w:r>
            <w:r w:rsidRPr="00F22172">
              <w:rPr>
                <w:rFonts w:hint="eastAsia"/>
                <w:b w:val="0"/>
                <w:bCs/>
              </w:rPr>
              <w:t>A.5.17</w:t>
            </w:r>
            <w:r w:rsidRPr="00F22172">
              <w:rPr>
                <w:rFonts w:hint="eastAsia"/>
                <w:b w:val="0"/>
                <w:bCs/>
              </w:rPr>
              <w:t>设置</w:t>
            </w:r>
          </w:p>
        </w:tc>
        <w:tc>
          <w:tcPr>
            <w:tcW w:w="1030" w:type="dxa"/>
            <w:shd w:val="clear" w:color="auto" w:fill="auto"/>
            <w:vAlign w:val="center"/>
          </w:tcPr>
          <w:p w14:paraId="358FFBCE" w14:textId="77777777" w:rsidR="008F38C5" w:rsidRPr="00F22172" w:rsidRDefault="008F38C5" w:rsidP="008F38C5">
            <w:pPr>
              <w:pStyle w:val="ae"/>
              <w:rPr>
                <w:b w:val="0"/>
                <w:bCs/>
              </w:rPr>
            </w:pPr>
          </w:p>
        </w:tc>
      </w:tr>
      <w:tr w:rsidR="008F38C5" w:rsidRPr="00913C78" w14:paraId="3A8A71BE" w14:textId="77777777" w:rsidTr="008F38C5">
        <w:trPr>
          <w:jc w:val="center"/>
        </w:trPr>
        <w:tc>
          <w:tcPr>
            <w:tcW w:w="492" w:type="dxa"/>
            <w:vMerge/>
            <w:shd w:val="clear" w:color="auto" w:fill="auto"/>
            <w:vAlign w:val="center"/>
          </w:tcPr>
          <w:p w14:paraId="520D04FA" w14:textId="77777777" w:rsidR="008F38C5" w:rsidRPr="00F22172" w:rsidRDefault="008F38C5" w:rsidP="008F38C5">
            <w:pPr>
              <w:pStyle w:val="ae"/>
              <w:rPr>
                <w:b w:val="0"/>
                <w:bCs/>
              </w:rPr>
            </w:pPr>
          </w:p>
        </w:tc>
        <w:tc>
          <w:tcPr>
            <w:tcW w:w="1105" w:type="dxa"/>
            <w:vMerge/>
            <w:shd w:val="clear" w:color="auto" w:fill="auto"/>
            <w:vAlign w:val="center"/>
          </w:tcPr>
          <w:p w14:paraId="5884C721" w14:textId="77777777" w:rsidR="008F38C5" w:rsidRPr="00F22172" w:rsidRDefault="008F38C5" w:rsidP="008F38C5">
            <w:pPr>
              <w:pStyle w:val="ae"/>
              <w:rPr>
                <w:b w:val="0"/>
                <w:bCs/>
              </w:rPr>
            </w:pPr>
          </w:p>
        </w:tc>
        <w:tc>
          <w:tcPr>
            <w:tcW w:w="4886" w:type="dxa"/>
            <w:shd w:val="clear" w:color="auto" w:fill="auto"/>
            <w:vAlign w:val="center"/>
          </w:tcPr>
          <w:p w14:paraId="78D834CC" w14:textId="6C3A5E96" w:rsidR="008F38C5" w:rsidRPr="00F22172" w:rsidRDefault="008F38C5" w:rsidP="008F38C5">
            <w:pPr>
              <w:pStyle w:val="ae"/>
              <w:jc w:val="left"/>
              <w:rPr>
                <w:b w:val="0"/>
                <w:bCs/>
              </w:rPr>
            </w:pPr>
            <w:r w:rsidRPr="00F22172">
              <w:rPr>
                <w:rFonts w:hint="eastAsia"/>
                <w:b w:val="0"/>
                <w:bCs/>
              </w:rPr>
              <w:t>建筑空气调节和供暖系统的运行时间、室内温度、照明功率密度及开关时间、房间人均占有的使用面积及在室率、人员新风量及新风机组运行时间表、电气设备功率密度及使用率应与设计建筑一致</w:t>
            </w:r>
          </w:p>
        </w:tc>
        <w:tc>
          <w:tcPr>
            <w:tcW w:w="1030" w:type="dxa"/>
            <w:shd w:val="clear" w:color="auto" w:fill="auto"/>
            <w:vAlign w:val="center"/>
          </w:tcPr>
          <w:p w14:paraId="196E60F6" w14:textId="77777777" w:rsidR="008F38C5" w:rsidRPr="00F22172" w:rsidRDefault="008F38C5" w:rsidP="008F38C5">
            <w:pPr>
              <w:pStyle w:val="ae"/>
              <w:rPr>
                <w:b w:val="0"/>
                <w:bCs/>
              </w:rPr>
            </w:pPr>
          </w:p>
        </w:tc>
      </w:tr>
      <w:tr w:rsidR="008F38C5" w:rsidRPr="00913C78" w14:paraId="5240746D" w14:textId="77777777" w:rsidTr="008F38C5">
        <w:trPr>
          <w:jc w:val="center"/>
        </w:trPr>
        <w:tc>
          <w:tcPr>
            <w:tcW w:w="492" w:type="dxa"/>
            <w:vMerge w:val="restart"/>
            <w:shd w:val="clear" w:color="auto" w:fill="auto"/>
            <w:vAlign w:val="center"/>
          </w:tcPr>
          <w:p w14:paraId="6784DF65" w14:textId="0DBF602E" w:rsidR="008F38C5" w:rsidRPr="00F22172" w:rsidRDefault="008F38C5" w:rsidP="008F38C5">
            <w:pPr>
              <w:pStyle w:val="ae"/>
              <w:rPr>
                <w:b w:val="0"/>
                <w:bCs/>
              </w:rPr>
            </w:pPr>
            <w:r w:rsidRPr="00F22172">
              <w:rPr>
                <w:b w:val="0"/>
                <w:bCs/>
              </w:rPr>
              <w:t>7</w:t>
            </w:r>
          </w:p>
        </w:tc>
        <w:tc>
          <w:tcPr>
            <w:tcW w:w="1105" w:type="dxa"/>
            <w:vMerge w:val="restart"/>
            <w:shd w:val="clear" w:color="auto" w:fill="auto"/>
            <w:vAlign w:val="center"/>
          </w:tcPr>
          <w:p w14:paraId="6F7B0991" w14:textId="01D96B61" w:rsidR="008F38C5" w:rsidRPr="00F22172" w:rsidRDefault="008F38C5" w:rsidP="008F38C5">
            <w:pPr>
              <w:pStyle w:val="ae"/>
              <w:rPr>
                <w:b w:val="0"/>
                <w:bCs/>
              </w:rPr>
            </w:pPr>
            <w:r w:rsidRPr="00F22172">
              <w:rPr>
                <w:rFonts w:hint="eastAsia"/>
                <w:b w:val="0"/>
                <w:bCs/>
              </w:rPr>
              <w:t>能耗模拟结果</w:t>
            </w:r>
          </w:p>
        </w:tc>
        <w:tc>
          <w:tcPr>
            <w:tcW w:w="4886" w:type="dxa"/>
            <w:shd w:val="clear" w:color="auto" w:fill="auto"/>
            <w:vAlign w:val="center"/>
          </w:tcPr>
          <w:p w14:paraId="5E2B04BF" w14:textId="0CF9113A" w:rsidR="008F38C5" w:rsidRPr="00F22172" w:rsidRDefault="008F38C5" w:rsidP="008F38C5">
            <w:pPr>
              <w:pStyle w:val="ae"/>
              <w:jc w:val="left"/>
              <w:rPr>
                <w:b w:val="0"/>
                <w:bCs/>
              </w:rPr>
            </w:pPr>
            <w:r w:rsidRPr="00F22172">
              <w:rPr>
                <w:rFonts w:hint="eastAsia"/>
                <w:b w:val="0"/>
                <w:bCs/>
              </w:rPr>
              <w:t>建筑全年供暖空调总负荷与总耗电量</w:t>
            </w:r>
          </w:p>
        </w:tc>
        <w:tc>
          <w:tcPr>
            <w:tcW w:w="1030" w:type="dxa"/>
            <w:shd w:val="clear" w:color="auto" w:fill="auto"/>
            <w:vAlign w:val="center"/>
          </w:tcPr>
          <w:p w14:paraId="33620401" w14:textId="77777777" w:rsidR="008F38C5" w:rsidRPr="00F22172" w:rsidRDefault="008F38C5" w:rsidP="008F38C5">
            <w:pPr>
              <w:pStyle w:val="ae"/>
              <w:rPr>
                <w:b w:val="0"/>
                <w:bCs/>
              </w:rPr>
            </w:pPr>
          </w:p>
        </w:tc>
      </w:tr>
      <w:tr w:rsidR="008F38C5" w:rsidRPr="00913C78" w14:paraId="2A65709C" w14:textId="77777777" w:rsidTr="008F38C5">
        <w:trPr>
          <w:jc w:val="center"/>
        </w:trPr>
        <w:tc>
          <w:tcPr>
            <w:tcW w:w="492" w:type="dxa"/>
            <w:vMerge/>
            <w:shd w:val="clear" w:color="auto" w:fill="auto"/>
            <w:vAlign w:val="center"/>
          </w:tcPr>
          <w:p w14:paraId="008AA70A" w14:textId="77777777" w:rsidR="008F38C5" w:rsidRPr="00F22172" w:rsidRDefault="008F38C5" w:rsidP="008F38C5">
            <w:pPr>
              <w:pStyle w:val="ae"/>
              <w:rPr>
                <w:b w:val="0"/>
                <w:bCs/>
              </w:rPr>
            </w:pPr>
          </w:p>
        </w:tc>
        <w:tc>
          <w:tcPr>
            <w:tcW w:w="1105" w:type="dxa"/>
            <w:vMerge/>
            <w:shd w:val="clear" w:color="auto" w:fill="auto"/>
            <w:vAlign w:val="center"/>
          </w:tcPr>
          <w:p w14:paraId="6236E4DA" w14:textId="77777777" w:rsidR="008F38C5" w:rsidRPr="00F22172" w:rsidRDefault="008F38C5" w:rsidP="008F38C5">
            <w:pPr>
              <w:pStyle w:val="ae"/>
              <w:rPr>
                <w:b w:val="0"/>
                <w:bCs/>
              </w:rPr>
            </w:pPr>
          </w:p>
        </w:tc>
        <w:tc>
          <w:tcPr>
            <w:tcW w:w="4886" w:type="dxa"/>
            <w:shd w:val="clear" w:color="auto" w:fill="auto"/>
            <w:vAlign w:val="center"/>
          </w:tcPr>
          <w:p w14:paraId="6EF65E34" w14:textId="109DE81E" w:rsidR="008F38C5" w:rsidRPr="00F22172" w:rsidRDefault="008F38C5" w:rsidP="008F38C5">
            <w:pPr>
              <w:pStyle w:val="ae"/>
              <w:jc w:val="left"/>
              <w:rPr>
                <w:b w:val="0"/>
                <w:bCs/>
              </w:rPr>
            </w:pPr>
            <w:r w:rsidRPr="00F22172">
              <w:rPr>
                <w:rFonts w:hint="eastAsia"/>
                <w:b w:val="0"/>
                <w:bCs/>
              </w:rPr>
              <w:t>以参照建筑与设计建筑的供暖和空气调节总耗电量作为其能耗判断的依据</w:t>
            </w:r>
          </w:p>
        </w:tc>
        <w:tc>
          <w:tcPr>
            <w:tcW w:w="1030" w:type="dxa"/>
            <w:shd w:val="clear" w:color="auto" w:fill="auto"/>
            <w:vAlign w:val="center"/>
          </w:tcPr>
          <w:p w14:paraId="7C88E27B" w14:textId="77777777" w:rsidR="008F38C5" w:rsidRPr="00F22172" w:rsidRDefault="008F38C5" w:rsidP="008F38C5">
            <w:pPr>
              <w:pStyle w:val="ae"/>
              <w:rPr>
                <w:b w:val="0"/>
                <w:bCs/>
              </w:rPr>
            </w:pPr>
          </w:p>
        </w:tc>
      </w:tr>
      <w:tr w:rsidR="008F38C5" w:rsidRPr="00913C78" w14:paraId="33DF0F6E" w14:textId="77777777" w:rsidTr="008F38C5">
        <w:trPr>
          <w:jc w:val="center"/>
        </w:trPr>
        <w:tc>
          <w:tcPr>
            <w:tcW w:w="492" w:type="dxa"/>
            <w:vMerge/>
            <w:shd w:val="clear" w:color="auto" w:fill="auto"/>
            <w:vAlign w:val="center"/>
          </w:tcPr>
          <w:p w14:paraId="5307E746" w14:textId="77777777" w:rsidR="008F38C5" w:rsidRPr="00F22172" w:rsidRDefault="008F38C5" w:rsidP="008F38C5">
            <w:pPr>
              <w:pStyle w:val="ae"/>
              <w:rPr>
                <w:b w:val="0"/>
                <w:bCs/>
              </w:rPr>
            </w:pPr>
          </w:p>
        </w:tc>
        <w:tc>
          <w:tcPr>
            <w:tcW w:w="1105" w:type="dxa"/>
            <w:vMerge/>
            <w:shd w:val="clear" w:color="auto" w:fill="auto"/>
            <w:vAlign w:val="center"/>
          </w:tcPr>
          <w:p w14:paraId="71405A18" w14:textId="77777777" w:rsidR="008F38C5" w:rsidRPr="00F22172" w:rsidRDefault="008F38C5" w:rsidP="008F38C5">
            <w:pPr>
              <w:pStyle w:val="ae"/>
              <w:rPr>
                <w:b w:val="0"/>
                <w:bCs/>
              </w:rPr>
            </w:pPr>
          </w:p>
        </w:tc>
        <w:tc>
          <w:tcPr>
            <w:tcW w:w="4886" w:type="dxa"/>
            <w:shd w:val="clear" w:color="auto" w:fill="auto"/>
            <w:vAlign w:val="center"/>
          </w:tcPr>
          <w:p w14:paraId="4CCD399D" w14:textId="0F5FB386" w:rsidR="008F38C5" w:rsidRPr="00F22172" w:rsidRDefault="008F38C5" w:rsidP="008F38C5">
            <w:pPr>
              <w:pStyle w:val="ae"/>
              <w:jc w:val="left"/>
              <w:rPr>
                <w:b w:val="0"/>
                <w:bCs/>
              </w:rPr>
            </w:pPr>
            <w:r w:rsidRPr="00F22172">
              <w:rPr>
                <w:rFonts w:hint="eastAsia"/>
                <w:b w:val="0"/>
                <w:bCs/>
              </w:rPr>
              <w:t>参照建筑与设计建筑的供暖耗煤量和耗气量应折算为耗电量</w:t>
            </w:r>
          </w:p>
        </w:tc>
        <w:tc>
          <w:tcPr>
            <w:tcW w:w="1030" w:type="dxa"/>
            <w:shd w:val="clear" w:color="auto" w:fill="auto"/>
            <w:vAlign w:val="center"/>
          </w:tcPr>
          <w:p w14:paraId="78280F47" w14:textId="77777777" w:rsidR="008F38C5" w:rsidRPr="00F22172" w:rsidRDefault="008F38C5" w:rsidP="008F38C5">
            <w:pPr>
              <w:pStyle w:val="ae"/>
              <w:rPr>
                <w:b w:val="0"/>
                <w:bCs/>
              </w:rPr>
            </w:pPr>
          </w:p>
        </w:tc>
      </w:tr>
    </w:tbl>
    <w:p w14:paraId="28FC2B44" w14:textId="11079FB2" w:rsidR="00913C78" w:rsidRPr="00913C78" w:rsidRDefault="00913C78" w:rsidP="00F22172">
      <w:pPr>
        <w:ind w:firstLine="420"/>
        <w:jc w:val="right"/>
      </w:pPr>
    </w:p>
    <w:p w14:paraId="549ABAD0" w14:textId="77777777" w:rsidR="00913C78" w:rsidRPr="00913C78" w:rsidRDefault="00913C78" w:rsidP="00913C78">
      <w:pPr>
        <w:ind w:firstLine="420"/>
        <w:sectPr w:rsidR="00913C78" w:rsidRPr="00913C78" w:rsidSect="009252F8">
          <w:footnotePr>
            <w:numFmt w:val="decimalEnclosedCircleChinese"/>
            <w:numRestart w:val="eachPage"/>
          </w:footnotePr>
          <w:pgSz w:w="11907" w:h="16840" w:code="9"/>
          <w:pgMar w:top="1440" w:right="1797" w:bottom="1440" w:left="1797" w:header="737" w:footer="567" w:gutter="0"/>
          <w:cols w:space="720"/>
          <w:titlePg/>
          <w:docGrid w:type="lines" w:linePitch="312" w:charSpace="-221"/>
        </w:sectPr>
      </w:pPr>
    </w:p>
    <w:p w14:paraId="4EFD92E8" w14:textId="77777777" w:rsidR="00913C78" w:rsidRPr="00913C78" w:rsidRDefault="00913C78" w:rsidP="00F22172">
      <w:pPr>
        <w:pStyle w:val="1"/>
      </w:pPr>
      <w:bookmarkStart w:id="338" w:name="_Toc506119098"/>
      <w:bookmarkStart w:id="339" w:name="_Toc35364795"/>
      <w:r w:rsidRPr="00913C78">
        <w:lastRenderedPageBreak/>
        <w:t>附</w:t>
      </w:r>
      <w:r w:rsidRPr="00913C78">
        <w:rPr>
          <w:rFonts w:hint="eastAsia"/>
        </w:rPr>
        <w:t>录</w:t>
      </w:r>
      <w:r w:rsidRPr="00913C78">
        <w:rPr>
          <w:rFonts w:hint="eastAsia"/>
        </w:rPr>
        <w:t>B</w:t>
      </w:r>
      <w:r w:rsidRPr="00913C78">
        <w:t xml:space="preserve">  </w:t>
      </w:r>
      <w:r w:rsidRPr="00913C78">
        <w:rPr>
          <w:rFonts w:hint="eastAsia"/>
        </w:rPr>
        <w:t>计算</w:t>
      </w:r>
      <w:r w:rsidRPr="00913C78">
        <w:t>分析报告</w:t>
      </w:r>
      <w:r w:rsidRPr="00913C78">
        <w:rPr>
          <w:rFonts w:hint="eastAsia"/>
        </w:rPr>
        <w:t>提纲及要求</w:t>
      </w:r>
      <w:bookmarkEnd w:id="338"/>
      <w:bookmarkEnd w:id="339"/>
    </w:p>
    <w:p w14:paraId="70F9A3D9" w14:textId="77777777" w:rsidR="00913C78" w:rsidRPr="00913C78" w:rsidRDefault="00913C78" w:rsidP="00F22172">
      <w:pPr>
        <w:pStyle w:val="24"/>
      </w:pPr>
      <w:bookmarkStart w:id="340" w:name="_Toc35364796"/>
      <w:r w:rsidRPr="00913C78">
        <w:rPr>
          <w:rFonts w:hint="eastAsia"/>
        </w:rPr>
        <w:t>附录</w:t>
      </w:r>
      <w:r w:rsidRPr="00913C78">
        <w:rPr>
          <w:rFonts w:hint="eastAsia"/>
        </w:rPr>
        <w:t>B.</w:t>
      </w:r>
      <w:r w:rsidRPr="00913C78">
        <w:t>1</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——土石方平衡分析计算报告提纲及要求</w:t>
      </w:r>
      <w:bookmarkEnd w:id="340"/>
    </w:p>
    <w:p w14:paraId="340FA64E" w14:textId="77777777" w:rsidR="00913C78" w:rsidRPr="00913C78" w:rsidRDefault="00913C78" w:rsidP="00762DED">
      <w:pPr>
        <w:pStyle w:val="32"/>
      </w:pPr>
      <w:bookmarkStart w:id="341" w:name="_Toc476236643"/>
      <w:bookmarkStart w:id="342" w:name="_Toc35364797"/>
      <w:r w:rsidRPr="00913C78">
        <w:rPr>
          <w:rFonts w:hint="eastAsia"/>
        </w:rPr>
        <w:t xml:space="preserve">B.1.1  </w:t>
      </w:r>
      <w:r w:rsidRPr="00913C78">
        <w:t>综合概况</w:t>
      </w:r>
      <w:bookmarkEnd w:id="341"/>
      <w:bookmarkEnd w:id="342"/>
    </w:p>
    <w:p w14:paraId="576BDC85" w14:textId="77777777" w:rsidR="00913C78" w:rsidRPr="00913C78" w:rsidRDefault="00913C78" w:rsidP="00913C78">
      <w:pPr>
        <w:ind w:firstLine="420"/>
      </w:pPr>
      <w:bookmarkStart w:id="343" w:name="_Toc476236644"/>
      <w:r w:rsidRPr="00913C78">
        <w:rPr>
          <w:rFonts w:hint="eastAsia"/>
        </w:rPr>
        <w:t>◎</w:t>
      </w:r>
      <w:r w:rsidRPr="00913C78">
        <w:t xml:space="preserve"> </w:t>
      </w:r>
      <w:r w:rsidRPr="00913C78">
        <w:rPr>
          <w:rFonts w:hint="eastAsia"/>
        </w:rPr>
        <w:t>项目基本信息</w:t>
      </w:r>
      <w:bookmarkEnd w:id="343"/>
    </w:p>
    <w:p w14:paraId="5FF7C084" w14:textId="77777777" w:rsidR="00913C78" w:rsidRPr="00913C78" w:rsidRDefault="00913C78" w:rsidP="00913C78">
      <w:pPr>
        <w:ind w:firstLine="420"/>
      </w:pPr>
      <w:r w:rsidRPr="00913C78">
        <w:rPr>
          <w:rFonts w:hint="eastAsia"/>
        </w:rPr>
        <w:t>项目基本信息项目应包括但</w:t>
      </w:r>
      <w:r w:rsidRPr="00913C78">
        <w:t>不限于</w:t>
      </w:r>
      <w:r w:rsidRPr="00913C78">
        <w:rPr>
          <w:rFonts w:hint="eastAsia"/>
        </w:rPr>
        <w:t>：建筑</w:t>
      </w:r>
      <w:r w:rsidRPr="00913C78">
        <w:t>位置</w:t>
      </w:r>
      <w:r w:rsidRPr="00913C78">
        <w:rPr>
          <w:rFonts w:hint="eastAsia"/>
        </w:rPr>
        <w:t>、占地面积、建筑</w:t>
      </w:r>
      <w:r w:rsidRPr="00913C78">
        <w:t>面积、</w:t>
      </w:r>
      <w:r w:rsidRPr="00913C78">
        <w:rPr>
          <w:rFonts w:hint="eastAsia"/>
        </w:rPr>
        <w:t>绝对</w:t>
      </w:r>
      <w:r w:rsidRPr="00913C78">
        <w:t>标高、</w:t>
      </w:r>
      <w:r w:rsidRPr="00913C78">
        <w:rPr>
          <w:rFonts w:hint="eastAsia"/>
        </w:rPr>
        <w:t>场地平均高程、室外地坪设计标高、建筑基底面积、工程地下室回填量（实方）</w:t>
      </w:r>
      <w:r w:rsidRPr="00913C78">
        <w:t>、</w:t>
      </w:r>
      <w:r w:rsidRPr="00913C78">
        <w:rPr>
          <w:rFonts w:hint="eastAsia"/>
        </w:rPr>
        <w:t>实际留存土方能力。</w:t>
      </w:r>
    </w:p>
    <w:p w14:paraId="3EA17EDD" w14:textId="77777777" w:rsidR="00913C78" w:rsidRPr="00913C78" w:rsidRDefault="00913C78" w:rsidP="00913C78">
      <w:pPr>
        <w:ind w:firstLine="420"/>
      </w:pPr>
      <w:bookmarkStart w:id="344" w:name="_Toc476236645"/>
      <w:r w:rsidRPr="00913C78">
        <w:rPr>
          <w:rFonts w:hint="eastAsia"/>
        </w:rPr>
        <w:t>◎</w:t>
      </w:r>
      <w:r w:rsidRPr="00913C78">
        <w:t xml:space="preserve"> </w:t>
      </w:r>
      <w:r w:rsidRPr="00913C78">
        <w:rPr>
          <w:rFonts w:hint="eastAsia"/>
        </w:rPr>
        <w:t>标准要求</w:t>
      </w:r>
      <w:bookmarkEnd w:id="344"/>
    </w:p>
    <w:p w14:paraId="548CC83D" w14:textId="77777777" w:rsidR="00913C78" w:rsidRPr="00913C78" w:rsidRDefault="00913C78" w:rsidP="00913C78">
      <w:pPr>
        <w:ind w:firstLine="420"/>
      </w:pPr>
      <w:r w:rsidRPr="00913C78">
        <w:rPr>
          <w:rFonts w:hint="eastAsia"/>
        </w:rPr>
        <w:t>标准要求应</w:t>
      </w:r>
      <w:r w:rsidRPr="00913C78">
        <w:t>包括：</w:t>
      </w:r>
      <w:r w:rsidRPr="00913C78">
        <w:rPr>
          <w:rFonts w:hint="eastAsia"/>
        </w:rPr>
        <w:t>对应的绿色建筑标准及条款、标准规定的计算要求、评分要求及达标要求。</w:t>
      </w:r>
    </w:p>
    <w:p w14:paraId="37EAB1D7" w14:textId="77777777" w:rsidR="00913C78" w:rsidRPr="00913C78" w:rsidRDefault="00913C78" w:rsidP="00762DED">
      <w:pPr>
        <w:pStyle w:val="32"/>
      </w:pPr>
      <w:bookmarkStart w:id="345" w:name="_Toc476236646"/>
      <w:bookmarkStart w:id="346" w:name="_Toc35364798"/>
      <w:r w:rsidRPr="00913C78">
        <w:rPr>
          <w:rFonts w:hint="eastAsia"/>
        </w:rPr>
        <w:t xml:space="preserve">B.1.2  </w:t>
      </w:r>
      <w:r w:rsidRPr="00913C78">
        <w:rPr>
          <w:rFonts w:hint="eastAsia"/>
        </w:rPr>
        <w:t>计算过程</w:t>
      </w:r>
      <w:bookmarkEnd w:id="345"/>
      <w:bookmarkEnd w:id="346"/>
    </w:p>
    <w:p w14:paraId="41B54B3D" w14:textId="77777777" w:rsidR="00913C78" w:rsidRPr="00913C78" w:rsidRDefault="00913C78" w:rsidP="00913C78">
      <w:pPr>
        <w:ind w:firstLine="420"/>
      </w:pPr>
      <w:bookmarkStart w:id="347" w:name="_Toc476236647"/>
      <w:r w:rsidRPr="00913C78">
        <w:rPr>
          <w:rFonts w:hint="eastAsia"/>
        </w:rPr>
        <w:t>◎</w:t>
      </w:r>
      <w:r w:rsidRPr="00913C78">
        <w:t xml:space="preserve"> </w:t>
      </w:r>
      <w:r w:rsidRPr="00913C78">
        <w:rPr>
          <w:rFonts w:hint="eastAsia"/>
        </w:rPr>
        <w:t>计算依据</w:t>
      </w:r>
      <w:bookmarkEnd w:id="347"/>
    </w:p>
    <w:p w14:paraId="63143D99" w14:textId="77777777" w:rsidR="00913C78" w:rsidRPr="00913C78" w:rsidRDefault="00913C78" w:rsidP="00913C78">
      <w:pPr>
        <w:ind w:firstLine="420"/>
      </w:pPr>
      <w:r w:rsidRPr="00913C78">
        <w:rPr>
          <w:rFonts w:hint="eastAsia"/>
        </w:rPr>
        <w:t>计算依据应包括但不限于：应</w:t>
      </w:r>
      <w:r w:rsidRPr="00913C78">
        <w:t>写明</w:t>
      </w:r>
      <w:r w:rsidRPr="00913C78">
        <w:rPr>
          <w:rFonts w:hint="eastAsia"/>
        </w:rPr>
        <w:t>基础</w:t>
      </w:r>
      <w:r w:rsidRPr="00913C78">
        <w:t>数据</w:t>
      </w:r>
      <w:r w:rsidRPr="00913C78">
        <w:rPr>
          <w:rFonts w:hint="eastAsia"/>
        </w:rPr>
        <w:t>及</w:t>
      </w:r>
      <w:r w:rsidRPr="00913C78">
        <w:t>来源</w:t>
      </w:r>
      <w:r w:rsidRPr="00913C78">
        <w:rPr>
          <w:rFonts w:hint="eastAsia"/>
        </w:rPr>
        <w:t>、</w:t>
      </w:r>
      <w:r w:rsidRPr="00913C78">
        <w:t>参考标准</w:t>
      </w:r>
      <w:r w:rsidRPr="00913C78">
        <w:rPr>
          <w:rFonts w:hint="eastAsia"/>
        </w:rPr>
        <w:t>、</w:t>
      </w:r>
      <w:r w:rsidRPr="00913C78">
        <w:t>资料</w:t>
      </w:r>
      <w:r w:rsidRPr="00913C78">
        <w:rPr>
          <w:rFonts w:hint="eastAsia"/>
        </w:rPr>
        <w:t>，例如地形参数、计算建筑具体信息、地质情况及周围环境等。</w:t>
      </w:r>
    </w:p>
    <w:p w14:paraId="1A8BF9A4"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《建筑地基基础工程施工质量验收标准》（</w:t>
      </w:r>
      <w:r w:rsidRPr="00913C78">
        <w:rPr>
          <w:rFonts w:hint="eastAsia"/>
        </w:rPr>
        <w:t xml:space="preserve">GB </w:t>
      </w:r>
      <w:r w:rsidRPr="00913C78">
        <w:t>50202</w:t>
      </w:r>
      <w:r w:rsidRPr="00913C78">
        <w:rPr>
          <w:rFonts w:hint="eastAsia"/>
        </w:rPr>
        <w:t>—</w:t>
      </w:r>
      <w:r w:rsidRPr="00913C78">
        <w:rPr>
          <w:rFonts w:hint="eastAsia"/>
        </w:rPr>
        <w:t>2018</w:t>
      </w:r>
      <w:r w:rsidRPr="00913C78">
        <w:rPr>
          <w:rFonts w:hint="eastAsia"/>
        </w:rPr>
        <w:t>）。</w:t>
      </w:r>
    </w:p>
    <w:p w14:paraId="06F4C101"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工程施工图纸。</w:t>
      </w:r>
    </w:p>
    <w:p w14:paraId="769CEE38"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工程场地详细勘察阶段岩土工程勘察报告书。</w:t>
      </w:r>
    </w:p>
    <w:p w14:paraId="7D6BD6A5"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施工组织设计及土方开挖专项施工方案。</w:t>
      </w:r>
    </w:p>
    <w:p w14:paraId="2D168555" w14:textId="77777777" w:rsidR="00913C78" w:rsidRPr="00913C78" w:rsidRDefault="00913C78" w:rsidP="00913C78">
      <w:pPr>
        <w:ind w:firstLine="420"/>
      </w:pPr>
      <w:bookmarkStart w:id="348" w:name="_Toc476236648"/>
      <w:r w:rsidRPr="00913C78">
        <w:rPr>
          <w:rFonts w:hint="eastAsia"/>
        </w:rPr>
        <w:t>◎</w:t>
      </w:r>
      <w:r w:rsidRPr="00913C78">
        <w:t xml:space="preserve"> </w:t>
      </w:r>
      <w:r w:rsidRPr="00913C78">
        <w:rPr>
          <w:rFonts w:hint="eastAsia"/>
        </w:rPr>
        <w:t>计算方法</w:t>
      </w:r>
      <w:bookmarkEnd w:id="348"/>
    </w:p>
    <w:p w14:paraId="5405DE6D" w14:textId="77777777" w:rsidR="00913C78" w:rsidRPr="00913C78" w:rsidRDefault="00913C78" w:rsidP="00913C78">
      <w:pPr>
        <w:ind w:firstLine="420"/>
      </w:pPr>
      <w:r w:rsidRPr="00913C78">
        <w:rPr>
          <w:rFonts w:hint="eastAsia"/>
        </w:rPr>
        <w:t>计算方法应包括但不限于：介绍计算基本方法</w:t>
      </w:r>
      <w:r w:rsidRPr="00913C78">
        <w:t>和</w:t>
      </w:r>
      <w:r w:rsidRPr="00913C78">
        <w:rPr>
          <w:rFonts w:hint="eastAsia"/>
        </w:rPr>
        <w:t>流程。</w:t>
      </w:r>
    </w:p>
    <w:p w14:paraId="0032DF8E" w14:textId="77777777" w:rsidR="00913C78" w:rsidRPr="00913C78" w:rsidRDefault="00913C78" w:rsidP="00913C78">
      <w:pPr>
        <w:ind w:firstLine="420"/>
      </w:pPr>
      <w:r w:rsidRPr="00913C78">
        <w:rPr>
          <w:rFonts w:hint="eastAsia"/>
        </w:rPr>
        <w:t>例如</w:t>
      </w:r>
      <w:r w:rsidRPr="00913C78">
        <w:t>：</w:t>
      </w:r>
      <w:r w:rsidRPr="00913C78">
        <w:rPr>
          <w:rFonts w:hint="eastAsia"/>
        </w:rPr>
        <w:t>方格网计算法（也可</w:t>
      </w:r>
      <w:r w:rsidRPr="00913C78">
        <w:t>采用其他计算方法</w:t>
      </w:r>
      <w:r w:rsidRPr="00913C78">
        <w:rPr>
          <w:rFonts w:hint="eastAsia"/>
        </w:rPr>
        <w:t>）。</w:t>
      </w:r>
    </w:p>
    <w:p w14:paraId="3AB709E7"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）划方格网</w:t>
      </w:r>
    </w:p>
    <w:p w14:paraId="1B03A90E" w14:textId="77777777" w:rsidR="00913C78" w:rsidRPr="00913C78" w:rsidRDefault="00913C78" w:rsidP="00913C78">
      <w:pPr>
        <w:ind w:firstLine="420"/>
      </w:pPr>
      <w:r w:rsidRPr="00913C78">
        <w:rPr>
          <w:rFonts w:hint="eastAsia"/>
        </w:rPr>
        <w:lastRenderedPageBreak/>
        <w:t>根据地形图划分方格网，尽量使其与测量或施工坐标网重合，方格一般采用（</w:t>
      </w:r>
      <w:r w:rsidRPr="00913C78">
        <w:rPr>
          <w:rFonts w:hint="eastAsia"/>
        </w:rPr>
        <w:t>20m</w:t>
      </w:r>
      <w:r w:rsidRPr="00913C78">
        <w:t>×</w:t>
      </w:r>
      <w:r w:rsidRPr="00913C78">
        <w:rPr>
          <w:rFonts w:hint="eastAsia"/>
        </w:rPr>
        <w:t>20m</w:t>
      </w:r>
      <w:r w:rsidRPr="00913C78">
        <w:rPr>
          <w:rFonts w:hint="eastAsia"/>
        </w:rPr>
        <w:t>）～（</w:t>
      </w:r>
      <w:r w:rsidRPr="00913C78">
        <w:rPr>
          <w:rFonts w:hint="eastAsia"/>
        </w:rPr>
        <w:t>40m</w:t>
      </w:r>
      <w:r w:rsidRPr="00913C78">
        <w:t>×</w:t>
      </w:r>
      <w:r w:rsidRPr="00913C78">
        <w:rPr>
          <w:rFonts w:hint="eastAsia"/>
        </w:rPr>
        <w:t>40m</w:t>
      </w:r>
      <w:r w:rsidRPr="00913C78">
        <w:rPr>
          <w:rFonts w:hint="eastAsia"/>
        </w:rPr>
        <w:t>）（地形平坦、机械化施工时也可采用</w:t>
      </w:r>
      <w:r w:rsidRPr="00913C78">
        <w:rPr>
          <w:rFonts w:hint="eastAsia"/>
        </w:rPr>
        <w:t>100m</w:t>
      </w:r>
      <w:r w:rsidRPr="00913C78">
        <w:t>×</w:t>
      </w:r>
      <w:r w:rsidRPr="00913C78">
        <w:rPr>
          <w:rFonts w:hint="eastAsia"/>
        </w:rPr>
        <w:t>100m</w:t>
      </w:r>
      <w:r w:rsidRPr="00913C78">
        <w:rPr>
          <w:rFonts w:hint="eastAsia"/>
        </w:rPr>
        <w:t>），将相应设计标高和自然地面标高分别标注在方格点的右上角和右下角，求出各点的施工高度（挖或填），填在方格网左上角，挖方为（</w:t>
      </w:r>
      <w:r w:rsidRPr="00913C78">
        <w:rPr>
          <w:rFonts w:hint="eastAsia"/>
        </w:rPr>
        <w:t>+</w:t>
      </w:r>
      <w:r w:rsidRPr="00913C78">
        <w:rPr>
          <w:rFonts w:hint="eastAsia"/>
        </w:rPr>
        <w:t>），填方为（</w:t>
      </w:r>
      <w:r w:rsidRPr="00913C78">
        <w:t></w:t>
      </w:r>
      <w:r w:rsidRPr="00913C78">
        <w:rPr>
          <w:rFonts w:hint="eastAsia"/>
        </w:rPr>
        <w:t>）。</w:t>
      </w:r>
    </w:p>
    <w:p w14:paraId="7679408B"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）计算零点位置</w:t>
      </w:r>
    </w:p>
    <w:p w14:paraId="24AE191F" w14:textId="77777777" w:rsidR="00913C78" w:rsidRPr="00913C78" w:rsidRDefault="00913C78" w:rsidP="00913C78">
      <w:pPr>
        <w:ind w:firstLine="420"/>
      </w:pPr>
      <w:r w:rsidRPr="00913C78">
        <w:rPr>
          <w:rFonts w:hint="eastAsia"/>
        </w:rPr>
        <w:t>计算确定方格网中两端角点施工高度符号不同的方格边上零点位置，标于方格网上，连接零点，即得填方与挖方区的分界线（附图</w:t>
      </w:r>
      <w:r w:rsidRPr="00913C78">
        <w:rPr>
          <w:rFonts w:hint="eastAsia"/>
        </w:rPr>
        <w:t>B.1.1</w:t>
      </w:r>
      <w:r w:rsidRPr="00913C78">
        <w:rPr>
          <w:rFonts w:hint="eastAsia"/>
        </w:rPr>
        <w:t>）。零点的确定方法如下：</w:t>
      </w:r>
    </w:p>
    <w:p w14:paraId="43053555" w14:textId="1BE52A2F" w:rsidR="003B254E" w:rsidRPr="003B254E" w:rsidRDefault="00D20A1F" w:rsidP="003B254E">
      <w:pPr>
        <w:ind w:firstLine="420"/>
        <w:jc w:val="center"/>
      </w:pPr>
      <m:oMathPara>
        <m:oMathParaPr>
          <m:jc m:val="center"/>
        </m:oMathParaPr>
        <m:oMath>
          <m:sSub>
            <m:sSubPr>
              <m:ctrlPr>
                <w:rPr>
                  <w:rFonts w:ascii="Cambria Math" w:hAnsi="Cambria Math"/>
                  <w:i/>
                </w:rPr>
              </m:ctrlPr>
            </m:sSubPr>
            <m:e>
              <m:r>
                <w:rPr>
                  <w:rFonts w:ascii="Cambria Math"/>
                </w:rPr>
                <m:t>X</m:t>
              </m:r>
            </m:e>
            <m:sub>
              <m:r>
                <w:rPr>
                  <w:rFonts w:ascii="Cambria Math"/>
                </w:rPr>
                <m:t>w</m:t>
              </m:r>
            </m:sub>
          </m:sSub>
          <m:r>
            <w:rPr>
              <w:rFonts w:ascii="Cambria Math"/>
            </w:rPr>
            <m:t>=</m:t>
          </m:r>
          <m:f>
            <m:fPr>
              <m:ctrlPr>
                <w:rPr>
                  <w:rFonts w:ascii="Cambria Math" w:hAnsi="Cambria Math"/>
                  <w:i/>
                </w:rPr>
              </m:ctrlPr>
            </m:fPr>
            <m:num>
              <m:r>
                <w:rPr>
                  <w:rFonts w:ascii="Cambria Math"/>
                </w:rPr>
                <m:t>a</m:t>
              </m:r>
              <m:sSub>
                <m:sSubPr>
                  <m:ctrlPr>
                    <w:rPr>
                      <w:rFonts w:ascii="Cambria Math" w:hAnsi="Cambria Math"/>
                      <w:i/>
                    </w:rPr>
                  </m:ctrlPr>
                </m:sSubPr>
                <m:e>
                  <m:r>
                    <w:rPr>
                      <w:rFonts w:ascii="Cambria Math"/>
                    </w:rPr>
                    <m:t>h</m:t>
                  </m:r>
                </m:e>
                <m:sub>
                  <m:r>
                    <w:rPr>
                      <w:rFonts w:ascii="Cambria Math"/>
                    </w:rPr>
                    <m:t>w</m:t>
                  </m:r>
                </m:sub>
              </m:sSub>
            </m:num>
            <m:den>
              <m:sSub>
                <m:sSubPr>
                  <m:ctrlPr>
                    <w:rPr>
                      <w:rFonts w:ascii="Cambria Math" w:hAnsi="Cambria Math"/>
                      <w:i/>
                    </w:rPr>
                  </m:ctrlPr>
                </m:sSubPr>
                <m:e>
                  <m:r>
                    <w:rPr>
                      <w:rFonts w:ascii="Cambria Math"/>
                    </w:rPr>
                    <m:t>h</m:t>
                  </m:r>
                </m:e>
                <m:sub>
                  <m:r>
                    <w:rPr>
                      <w:rFonts w:ascii="Cambria Math"/>
                    </w:rPr>
                    <m:t>t</m:t>
                  </m:r>
                </m:sub>
              </m:sSub>
              <m:r>
                <w:rPr>
                  <w:rFonts w:ascii="Cambria Math"/>
                </w:rPr>
                <m:t>+</m:t>
              </m:r>
              <m:sSub>
                <m:sSubPr>
                  <m:ctrlPr>
                    <w:rPr>
                      <w:rFonts w:ascii="Cambria Math" w:hAnsi="Cambria Math"/>
                      <w:i/>
                    </w:rPr>
                  </m:ctrlPr>
                </m:sSubPr>
                <m:e>
                  <m:r>
                    <w:rPr>
                      <w:rFonts w:ascii="Cambria Math"/>
                    </w:rPr>
                    <m:t>h</m:t>
                  </m:r>
                </m:e>
                <m:sub>
                  <m:r>
                    <w:rPr>
                      <w:rFonts w:ascii="Cambria Math"/>
                    </w:rPr>
                    <m:t>w</m:t>
                  </m:r>
                </m:sub>
              </m:sSub>
            </m:den>
          </m:f>
        </m:oMath>
      </m:oMathPara>
    </w:p>
    <w:p w14:paraId="02981BB6" w14:textId="1B4530C3"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X</m:t>
              </m:r>
            </m:e>
            <m:sub>
              <m:r>
                <w:rPr>
                  <w:rFonts w:ascii="Cambria Math"/>
                  <w:noProof/>
                </w:rPr>
                <m:t>t</m:t>
              </m:r>
            </m:sub>
          </m:sSub>
          <m:r>
            <w:rPr>
              <w:rFonts w:ascii="Cambria Math"/>
              <w:noProof/>
            </w:rPr>
            <m:t>=</m:t>
          </m:r>
          <m:f>
            <m:fPr>
              <m:ctrlPr>
                <w:rPr>
                  <w:rFonts w:ascii="Cambria Math" w:hAnsi="Cambria Math"/>
                  <w:i/>
                  <w:noProof/>
                </w:rPr>
              </m:ctrlPr>
            </m:fPr>
            <m:num>
              <m:r>
                <w:rPr>
                  <w:rFonts w:ascii="Cambria Math"/>
                  <w:noProof/>
                </w:rPr>
                <m:t>a</m:t>
              </m:r>
              <m:sSub>
                <m:sSubPr>
                  <m:ctrlPr>
                    <w:rPr>
                      <w:rFonts w:ascii="Cambria Math" w:hAnsi="Cambria Math"/>
                      <w:i/>
                      <w:noProof/>
                    </w:rPr>
                  </m:ctrlPr>
                </m:sSubPr>
                <m:e>
                  <m:r>
                    <w:rPr>
                      <w:rFonts w:ascii="Cambria Math"/>
                      <w:noProof/>
                    </w:rPr>
                    <m:t>h</m:t>
                  </m:r>
                </m:e>
                <m:sub>
                  <m:r>
                    <w:rPr>
                      <w:rFonts w:ascii="Cambria Math"/>
                      <w:noProof/>
                    </w:rPr>
                    <m:t>t</m:t>
                  </m:r>
                </m:sub>
              </m:sSub>
            </m:num>
            <m:den>
              <m:sSub>
                <m:sSubPr>
                  <m:ctrlPr>
                    <w:rPr>
                      <w:rFonts w:ascii="Cambria Math" w:hAnsi="Cambria Math"/>
                      <w:i/>
                      <w:noProof/>
                    </w:rPr>
                  </m:ctrlPr>
                </m:sSubPr>
                <m:e>
                  <m:r>
                    <w:rPr>
                      <w:rFonts w:ascii="Cambria Math"/>
                      <w:noProof/>
                    </w:rPr>
                    <m:t>h</m:t>
                  </m:r>
                </m:e>
                <m:sub>
                  <m:r>
                    <w:rPr>
                      <w:rFonts w:ascii="Cambria Math"/>
                      <w:noProof/>
                    </w:rPr>
                    <m:t>t</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w</m:t>
                  </m:r>
                </m:sub>
              </m:sSub>
            </m:den>
          </m:f>
        </m:oMath>
      </m:oMathPara>
    </w:p>
    <w:p w14:paraId="206BCAD8" w14:textId="486C5E1D" w:rsidR="00913C78" w:rsidRPr="00913C78" w:rsidRDefault="00913C78" w:rsidP="00AC2900">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w</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X</m:t>
            </m:r>
          </m:e>
          <m:sub>
            <m:r>
              <m:rPr>
                <m:sty m:val="p"/>
              </m:rPr>
              <w:rPr>
                <w:rFonts w:ascii="Cambria Math"/>
                <w:noProof/>
              </w:rPr>
              <m:t>w</m:t>
            </m:r>
          </m:sub>
        </m:sSub>
      </m:oMath>
      <w:r w:rsidRPr="00913C78">
        <w:fldChar w:fldCharType="end"/>
      </w:r>
      <w:r w:rsidRPr="00913C78">
        <w:rPr>
          <w:rFonts w:hint="eastAsia"/>
        </w:rPr>
        <w:t>——零点据挖方角顶的距离，</w:t>
      </w:r>
      <w:r w:rsidRPr="00913C78">
        <w:rPr>
          <w:rFonts w:hint="eastAsia"/>
        </w:rPr>
        <w:t>m</w:t>
      </w:r>
      <w:r w:rsidRPr="00913C78">
        <w:rPr>
          <w:rFonts w:hint="eastAsia"/>
        </w:rPr>
        <w:t>；</w:t>
      </w:r>
    </w:p>
    <w:p w14:paraId="62517D03" w14:textId="00635DFF"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X</m:t>
            </m:r>
          </m:e>
          <m:sub>
            <m:r>
              <m:rPr>
                <m:sty m:val="p"/>
              </m:rPr>
              <w:rPr>
                <w:rFonts w:ascii="Cambria Math" w:hAnsi="Cambria Math"/>
              </w:rPr>
              <m:t>t</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X</m:t>
            </m:r>
          </m:e>
          <m:sub>
            <m:r>
              <m:rPr>
                <m:sty m:val="p"/>
              </m:rPr>
              <w:rPr>
                <w:rFonts w:ascii="Cambria Math"/>
                <w:noProof/>
              </w:rPr>
              <m:t>t</m:t>
            </m:r>
          </m:sub>
        </m:sSub>
      </m:oMath>
      <w:r w:rsidRPr="00913C78">
        <w:fldChar w:fldCharType="end"/>
      </w:r>
      <w:r w:rsidRPr="00913C78">
        <w:rPr>
          <w:rFonts w:hint="eastAsia"/>
        </w:rPr>
        <w:t>——零点据填方角顶的距离，</w:t>
      </w:r>
      <w:r w:rsidRPr="00913C78">
        <w:rPr>
          <w:rFonts w:hint="eastAsia"/>
        </w:rPr>
        <w:t>m</w:t>
      </w:r>
      <w:r w:rsidRPr="00913C78">
        <w:rPr>
          <w:rFonts w:hint="eastAsia"/>
        </w:rPr>
        <w:t>；</w:t>
      </w:r>
    </w:p>
    <w:p w14:paraId="6B35C3F0" w14:textId="7F19C2D8"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t</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h</m:t>
            </m:r>
          </m:e>
          <m:sub>
            <m:r>
              <m:rPr>
                <m:sty m:val="p"/>
              </m:rPr>
              <w:rPr>
                <w:rFonts w:ascii="Cambria Math"/>
                <w:noProof/>
              </w:rPr>
              <m:t>t</m:t>
            </m:r>
          </m:sub>
        </m:sSub>
      </m:oMath>
      <w:r w:rsidRPr="00913C78">
        <w:fldChar w:fldCharType="end"/>
      </w:r>
      <w:r w:rsidRPr="00913C78">
        <w:rPr>
          <w:rFonts w:hint="eastAsia"/>
        </w:rPr>
        <w:t>——填方高度，</w:t>
      </w:r>
      <w:r w:rsidRPr="00913C78">
        <w:rPr>
          <w:rFonts w:hint="eastAsia"/>
        </w:rPr>
        <w:t>m</w:t>
      </w:r>
      <w:r w:rsidRPr="00913C78">
        <w:rPr>
          <w:rFonts w:hint="eastAsia"/>
        </w:rPr>
        <w:t>；</w:t>
      </w:r>
    </w:p>
    <w:p w14:paraId="08AAC4F4" w14:textId="1A54D60D"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w</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h</m:t>
            </m:r>
          </m:e>
          <m:sub>
            <m:r>
              <m:rPr>
                <m:sty m:val="p"/>
              </m:rPr>
              <w:rPr>
                <w:rFonts w:ascii="Cambria Math"/>
                <w:noProof/>
              </w:rPr>
              <m:t>w</m:t>
            </m:r>
          </m:sub>
        </m:sSub>
      </m:oMath>
      <w:r w:rsidRPr="00913C78">
        <w:fldChar w:fldCharType="end"/>
      </w:r>
      <w:r w:rsidRPr="00913C78">
        <w:rPr>
          <w:rFonts w:hint="eastAsia"/>
        </w:rPr>
        <w:t>——挖方高度，</w:t>
      </w:r>
      <w:r w:rsidRPr="00913C78">
        <w:rPr>
          <w:rFonts w:hint="eastAsia"/>
        </w:rPr>
        <w:t>m</w:t>
      </w:r>
      <w:r w:rsidRPr="00913C78">
        <w:rPr>
          <w:rFonts w:hint="eastAsia"/>
        </w:rPr>
        <w:t>；</w:t>
      </w:r>
    </w:p>
    <w:p w14:paraId="1A52745F" w14:textId="43A48312" w:rsidR="00913C78" w:rsidRPr="00913C78" w:rsidRDefault="00913C78" w:rsidP="00AC2900">
      <w:pPr>
        <w:ind w:firstLineChars="500" w:firstLine="1050"/>
      </w:pPr>
      <w:r w:rsidRPr="00913C78">
        <w:fldChar w:fldCharType="begin"/>
      </w:r>
      <w:r w:rsidRPr="00913C78">
        <w:instrText xml:space="preserve"> QUOTE </w:instrText>
      </w:r>
      <m:oMath>
        <m:r>
          <m:rPr>
            <m:sty m:val="p"/>
          </m:rPr>
          <w:rPr>
            <w:rFonts w:ascii="Cambria Math" w:hAnsi="Cambria Math"/>
          </w:rPr>
          <m:t>a</m:t>
        </m:r>
      </m:oMath>
      <w:r w:rsidRPr="00913C78">
        <w:instrText xml:space="preserve"> </w:instrText>
      </w:r>
      <w:r w:rsidRPr="00913C78">
        <w:fldChar w:fldCharType="separate"/>
      </w:r>
      <m:oMath>
        <m:r>
          <m:rPr>
            <m:sty m:val="p"/>
          </m:rPr>
          <w:rPr>
            <w:rFonts w:ascii="Cambria Math"/>
            <w:noProof/>
          </w:rPr>
          <m:t>a</m:t>
        </m:r>
      </m:oMath>
      <w:r w:rsidRPr="00913C78">
        <w:fldChar w:fldCharType="end"/>
      </w:r>
      <w:r w:rsidRPr="00913C78">
        <w:rPr>
          <w:rFonts w:hint="eastAsia"/>
        </w:rPr>
        <w:t>——方格边长，</w:t>
      </w:r>
      <w:r w:rsidRPr="00913C78">
        <w:rPr>
          <w:rFonts w:hint="eastAsia"/>
        </w:rPr>
        <w:t>m</w:t>
      </w:r>
      <w:r w:rsidRPr="00913C78">
        <w:rPr>
          <w:rFonts w:hint="eastAsia"/>
        </w:rPr>
        <w:t>。</w:t>
      </w:r>
    </w:p>
    <w:p w14:paraId="68472F09" w14:textId="77777777" w:rsidR="00913C78" w:rsidRPr="00913C78" w:rsidRDefault="00913C78" w:rsidP="00762DED">
      <w:pPr>
        <w:ind w:firstLine="420"/>
        <w:jc w:val="center"/>
      </w:pPr>
      <w:r w:rsidRPr="00913C78">
        <w:rPr>
          <w:noProof/>
        </w:rPr>
        <w:drawing>
          <wp:inline distT="0" distB="0" distL="0" distR="0" wp14:anchorId="071F8FEE" wp14:editId="60E15FFF">
            <wp:extent cx="3425190" cy="1512570"/>
            <wp:effectExtent l="0" t="0" r="381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5190" cy="1512570"/>
                    </a:xfrm>
                    <a:prstGeom prst="rect">
                      <a:avLst/>
                    </a:prstGeom>
                    <a:noFill/>
                    <a:ln>
                      <a:noFill/>
                    </a:ln>
                  </pic:spPr>
                </pic:pic>
              </a:graphicData>
            </a:graphic>
          </wp:inline>
        </w:drawing>
      </w:r>
    </w:p>
    <w:p w14:paraId="0DE453E6" w14:textId="77777777" w:rsidR="00913C78" w:rsidRPr="00762DED" w:rsidRDefault="00913C78" w:rsidP="00762DED">
      <w:pPr>
        <w:pStyle w:val="ae"/>
        <w:rPr>
          <w:b w:val="0"/>
          <w:bCs/>
        </w:rPr>
      </w:pPr>
      <w:r w:rsidRPr="00762DED">
        <w:rPr>
          <w:rFonts w:hint="eastAsia"/>
          <w:b w:val="0"/>
          <w:bCs/>
        </w:rPr>
        <w:t>附图</w:t>
      </w:r>
      <w:r w:rsidRPr="00762DED">
        <w:rPr>
          <w:rFonts w:hint="eastAsia"/>
          <w:b w:val="0"/>
          <w:bCs/>
        </w:rPr>
        <w:t xml:space="preserve">B.1.1  </w:t>
      </w:r>
      <w:r w:rsidRPr="00762DED">
        <w:rPr>
          <w:rFonts w:hint="eastAsia"/>
          <w:b w:val="0"/>
          <w:bCs/>
        </w:rPr>
        <w:t>填方与挖方区分界线</w:t>
      </w:r>
    </w:p>
    <w:p w14:paraId="0B735A0D"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）计算土方工程量</w:t>
      </w:r>
    </w:p>
    <w:p w14:paraId="635260BD" w14:textId="77777777" w:rsidR="00913C78" w:rsidRPr="00913C78" w:rsidRDefault="00913C78" w:rsidP="00913C78">
      <w:pPr>
        <w:ind w:firstLine="420"/>
      </w:pPr>
      <w:r w:rsidRPr="00913C78">
        <w:rPr>
          <w:rFonts w:hint="eastAsia"/>
        </w:rPr>
        <w:t>按方格网底面图形和体积计算公式，计算每个方格内的挖方或填方量。</w:t>
      </w:r>
    </w:p>
    <w:p w14:paraId="6A561F74"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四角点全填方（或全挖方，附图</w:t>
      </w:r>
      <w:r w:rsidRPr="00913C78">
        <w:rPr>
          <w:rFonts w:hint="eastAsia"/>
        </w:rPr>
        <w:t>B.1.2</w:t>
      </w:r>
      <w:r w:rsidRPr="00913C78">
        <w:rPr>
          <w:rFonts w:hint="eastAsia"/>
        </w:rPr>
        <w:t>），即</w:t>
      </w:r>
    </w:p>
    <w:p w14:paraId="05019B75" w14:textId="194514EB" w:rsidR="00913C78" w:rsidRPr="00913C78" w:rsidRDefault="00AC2900" w:rsidP="00AC2900">
      <w:pPr>
        <w:ind w:firstLine="420"/>
        <w:jc w:val="center"/>
      </w:pPr>
      <m:oMathPara>
        <m:oMath>
          <m:r>
            <w:rPr>
              <w:rFonts w:ascii="Cambria Math"/>
              <w:noProof/>
            </w:rPr>
            <m:t>V=</m:t>
          </m:r>
          <m:f>
            <m:fPr>
              <m:ctrlPr>
                <w:rPr>
                  <w:rFonts w:ascii="Cambria Math" w:hAnsi="Cambria Math"/>
                  <w:i/>
                  <w:noProof/>
                </w:rPr>
              </m:ctrlPr>
            </m:fPr>
            <m:num>
              <m:sSup>
                <m:sSupPr>
                  <m:ctrlPr>
                    <w:rPr>
                      <w:rFonts w:ascii="Cambria Math" w:hAnsi="Cambria Math"/>
                      <w:i/>
                      <w:noProof/>
                    </w:rPr>
                  </m:ctrlPr>
                </m:sSupPr>
                <m:e>
                  <m:r>
                    <w:rPr>
                      <w:rFonts w:ascii="Cambria Math"/>
                      <w:noProof/>
                    </w:rPr>
                    <m:t>a</m:t>
                  </m:r>
                </m:e>
                <m:sup>
                  <m:r>
                    <w:rPr>
                      <w:rFonts w:ascii="Cambria Math"/>
                      <w:noProof/>
                    </w:rPr>
                    <m:t>2</m:t>
                  </m:r>
                </m:sup>
              </m:sSup>
            </m:num>
            <m:den>
              <m:r>
                <w:rPr>
                  <w:rFonts w:ascii="Cambria Math"/>
                  <w:noProof/>
                </w:rPr>
                <m:t>4</m:t>
              </m:r>
            </m:den>
          </m:f>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1</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2</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3</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4</m:t>
              </m:r>
            </m:sub>
          </m:sSub>
          <m:r>
            <w:rPr>
              <w:rFonts w:ascii="Cambria Math"/>
              <w:noProof/>
            </w:rPr>
            <m:t>)</m:t>
          </m:r>
        </m:oMath>
      </m:oMathPara>
    </w:p>
    <w:p w14:paraId="29B583B7" w14:textId="0A404AE0" w:rsidR="00913C78" w:rsidRPr="00913C78" w:rsidRDefault="00913C78" w:rsidP="00AC2900">
      <w:pPr>
        <w:ind w:firstLine="420"/>
      </w:pPr>
      <w:r w:rsidRPr="00913C78">
        <w:rPr>
          <w:rFonts w:hint="eastAsia"/>
        </w:rPr>
        <w:t>式中，</w:t>
      </w:r>
      <w:r w:rsidRPr="00913C78">
        <w:fldChar w:fldCharType="begin"/>
      </w:r>
      <w:r w:rsidRPr="00913C78">
        <w:instrText xml:space="preserve"> QUOTE </w:instrText>
      </w:r>
      <m:oMath>
        <m:r>
          <m:rPr>
            <m:sty m:val="p"/>
          </m:rPr>
          <w:rPr>
            <w:rFonts w:ascii="Cambria Math" w:hAnsi="Cambria Math"/>
          </w:rPr>
          <m:t>V</m:t>
        </m:r>
      </m:oMath>
      <w:r w:rsidRPr="00913C78">
        <w:instrText xml:space="preserve"> </w:instrText>
      </w:r>
      <w:r w:rsidRPr="00913C78">
        <w:fldChar w:fldCharType="separate"/>
      </w:r>
      <m:oMath>
        <m:r>
          <m:rPr>
            <m:sty m:val="p"/>
          </m:rPr>
          <w:rPr>
            <w:rFonts w:ascii="Cambria Math"/>
            <w:noProof/>
          </w:rPr>
          <m:t>V</m:t>
        </m:r>
      </m:oMath>
      <w:r w:rsidRPr="00913C78">
        <w:fldChar w:fldCharType="end"/>
      </w:r>
      <w:r w:rsidRPr="00913C78">
        <w:rPr>
          <w:rFonts w:hint="eastAsia"/>
        </w:rPr>
        <w:t>——填方（</w:t>
      </w:r>
      <w:r w:rsidRPr="00913C78">
        <w:rPr>
          <w:rFonts w:hint="eastAsia"/>
        </w:rPr>
        <w:t>+</w:t>
      </w:r>
      <w:r w:rsidRPr="00913C78">
        <w:rPr>
          <w:rFonts w:hint="eastAsia"/>
        </w:rPr>
        <w:t>）或挖方（</w:t>
      </w:r>
      <w:r w:rsidRPr="00913C78">
        <w:t></w:t>
      </w:r>
      <w:r w:rsidRPr="00913C78">
        <w:rPr>
          <w:rFonts w:hint="eastAsia"/>
        </w:rPr>
        <w:t>）的体积，</w:t>
      </w:r>
      <w:r w:rsidRPr="00913C78">
        <w:rPr>
          <w:rFonts w:hint="eastAsia"/>
        </w:rPr>
        <w:t>m3</w:t>
      </w:r>
      <w:r w:rsidRPr="00913C78">
        <w:rPr>
          <w:rFonts w:hint="eastAsia"/>
        </w:rPr>
        <w:t>；</w:t>
      </w:r>
    </w:p>
    <w:p w14:paraId="338ABD67" w14:textId="5F851C22" w:rsidR="00913C78" w:rsidRPr="00913C78" w:rsidRDefault="00D20A1F" w:rsidP="00AC2900">
      <w:pPr>
        <w:ind w:firstLineChars="500" w:firstLine="1050"/>
      </w:pPr>
      <m:oMath>
        <m:sSub>
          <m:sSubPr>
            <m:ctrlPr>
              <w:rPr>
                <w:rFonts w:ascii="Cambria Math" w:hAnsi="Cambria Math"/>
                <w:i/>
                <w:noProof/>
              </w:rPr>
            </m:ctrlPr>
          </m:sSubPr>
          <m:e>
            <m:r>
              <w:rPr>
                <w:rFonts w:ascii="Cambria Math"/>
                <w:noProof/>
              </w:rPr>
              <m:t>h</m:t>
            </m:r>
          </m:e>
          <m:sub>
            <m:r>
              <w:rPr>
                <w:rFonts w:ascii="Cambria Math"/>
                <w:noProof/>
              </w:rPr>
              <m:t>1</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2</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3</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4</m:t>
            </m:r>
          </m:sub>
        </m:sSub>
      </m:oMath>
      <w:r w:rsidR="00913C78" w:rsidRPr="00913C78">
        <w:rPr>
          <w:rFonts w:hint="eastAsia"/>
        </w:rPr>
        <w:t>——各角点</w:t>
      </w:r>
      <w:r w:rsidR="00913C78" w:rsidRPr="00913C78">
        <w:t>（</w:t>
      </w:r>
      <w:r w:rsidR="00913C78" w:rsidRPr="00913C78">
        <w:rPr>
          <w:rFonts w:hint="eastAsia"/>
        </w:rPr>
        <w:t>或</w:t>
      </w:r>
      <w:r w:rsidR="00913C78" w:rsidRPr="00913C78">
        <w:t>边点、凹点、中间点）</w:t>
      </w:r>
      <w:r w:rsidR="00913C78" w:rsidRPr="00913C78">
        <w:rPr>
          <w:rFonts w:hint="eastAsia"/>
        </w:rPr>
        <w:t>的</w:t>
      </w:r>
      <w:r w:rsidR="00913C78" w:rsidRPr="00913C78">
        <w:t>自然地面标高</w:t>
      </w:r>
      <w:r w:rsidR="00913C78" w:rsidRPr="00913C78">
        <w:rPr>
          <w:rFonts w:hint="eastAsia"/>
        </w:rPr>
        <w:t>，</w:t>
      </w:r>
      <w:r w:rsidR="00913C78" w:rsidRPr="00913C78">
        <w:rPr>
          <w:rFonts w:hint="eastAsia"/>
        </w:rPr>
        <w:t>m</w:t>
      </w:r>
      <w:r w:rsidR="00913C78" w:rsidRPr="00913C78">
        <w:rPr>
          <w:rFonts w:hint="eastAsia"/>
        </w:rPr>
        <w:t>。</w:t>
      </w:r>
    </w:p>
    <w:p w14:paraId="6C90DB8D"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一角点填方（或挖方），另外三角点挖方（或填方）（附图</w:t>
      </w:r>
      <w:r w:rsidRPr="00913C78">
        <w:rPr>
          <w:rFonts w:hint="eastAsia"/>
        </w:rPr>
        <w:t>B.1.3</w:t>
      </w:r>
      <w:r w:rsidRPr="00913C78">
        <w:rPr>
          <w:rFonts w:hint="eastAsia"/>
        </w:rPr>
        <w:t>）。</w:t>
      </w:r>
    </w:p>
    <w:p w14:paraId="0C43A6D6" w14:textId="10953D5D"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V</m:t>
              </m:r>
            </m:e>
            <m:sub>
              <m:r>
                <w:rPr>
                  <w:rFonts w:ascii="Cambria Math"/>
                  <w:noProof/>
                </w:rPr>
                <m:t>+</m:t>
              </m:r>
            </m:sub>
          </m:sSub>
          <m:r>
            <w:rPr>
              <w:rFonts w:asci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noProof/>
                    </w:rPr>
                    <m:t>a</m:t>
                  </m:r>
                </m:e>
                <m:sup>
                  <m:r>
                    <w:rPr>
                      <w:rFonts w:ascii="Cambria Math"/>
                      <w:noProof/>
                    </w:rPr>
                    <m:t>2</m:t>
                  </m:r>
                </m:sup>
              </m:sSup>
              <m:sSubSup>
                <m:sSubSupPr>
                  <m:ctrlPr>
                    <w:rPr>
                      <w:rFonts w:ascii="Cambria Math" w:hAnsi="Cambria Math"/>
                      <w:i/>
                      <w:noProof/>
                    </w:rPr>
                  </m:ctrlPr>
                </m:sSubSupPr>
                <m:e>
                  <m:r>
                    <w:rPr>
                      <w:rFonts w:ascii="Cambria Math"/>
                      <w:noProof/>
                    </w:rPr>
                    <m:t>h</m:t>
                  </m:r>
                </m:e>
                <m:sub>
                  <m:r>
                    <w:rPr>
                      <w:rFonts w:ascii="Cambria Math"/>
                      <w:noProof/>
                    </w:rPr>
                    <m:t>1</m:t>
                  </m:r>
                </m:sub>
                <m:sup>
                  <m:r>
                    <w:rPr>
                      <w:rFonts w:ascii="Cambria Math"/>
                      <w:noProof/>
                    </w:rPr>
                    <m:t>3</m:t>
                  </m:r>
                </m:sup>
              </m:sSubSup>
            </m:num>
            <m:den>
              <m:r>
                <w:rPr>
                  <w:rFonts w:ascii="Cambria Math"/>
                  <w:noProof/>
                </w:rPr>
                <m:t>4(</m:t>
              </m:r>
              <m:sSub>
                <m:sSubPr>
                  <m:ctrlPr>
                    <w:rPr>
                      <w:rFonts w:ascii="Cambria Math" w:hAnsi="Cambria Math"/>
                      <w:i/>
                      <w:noProof/>
                    </w:rPr>
                  </m:ctrlPr>
                </m:sSubPr>
                <m:e>
                  <m:r>
                    <w:rPr>
                      <w:rFonts w:ascii="Cambria Math"/>
                      <w:noProof/>
                    </w:rPr>
                    <m:t>h</m:t>
                  </m:r>
                </m:e>
                <m:sub>
                  <m:r>
                    <w:rPr>
                      <w:rFonts w:ascii="Cambria Math"/>
                      <w:noProof/>
                    </w:rPr>
                    <m:t>1</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4</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1</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2</m:t>
                  </m:r>
                </m:sub>
              </m:sSub>
              <m:r>
                <w:rPr>
                  <w:rFonts w:ascii="Cambria Math"/>
                  <w:noProof/>
                </w:rPr>
                <m:t>)</m:t>
              </m:r>
            </m:den>
          </m:f>
        </m:oMath>
      </m:oMathPara>
    </w:p>
    <w:p w14:paraId="1A6427E7" w14:textId="485FD9AC"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V</m:t>
              </m:r>
            </m:e>
            <m:sub>
              <m:r>
                <w:rPr>
                  <w:rFonts w:ascii="Cambria Math"/>
                  <w:noProof/>
                </w:rPr>
                <m:t>-</m:t>
              </m:r>
            </m:sub>
          </m:sSub>
          <m:r>
            <w:rPr>
              <w:rFonts w:asci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noProof/>
                    </w:rPr>
                    <m:t>a</m:t>
                  </m:r>
                </m:e>
                <m:sup>
                  <m:r>
                    <w:rPr>
                      <w:rFonts w:ascii="Cambria Math"/>
                      <w:noProof/>
                    </w:rPr>
                    <m:t>2</m:t>
                  </m:r>
                </m:sup>
              </m:sSup>
            </m:num>
            <m:den>
              <m:r>
                <w:rPr>
                  <w:rFonts w:ascii="Cambria Math"/>
                  <w:noProof/>
                </w:rPr>
                <m:t>6</m:t>
              </m:r>
            </m:den>
          </m:f>
          <m:r>
            <w:rPr>
              <w:rFonts w:ascii="Cambria Math"/>
              <w:noProof/>
            </w:rPr>
            <m:t>(2</m:t>
          </m:r>
          <m:sSub>
            <m:sSubPr>
              <m:ctrlPr>
                <w:rPr>
                  <w:rFonts w:ascii="Cambria Math" w:hAnsi="Cambria Math"/>
                  <w:i/>
                  <w:noProof/>
                </w:rPr>
              </m:ctrlPr>
            </m:sSubPr>
            <m:e>
              <m:r>
                <w:rPr>
                  <w:rFonts w:ascii="Cambria Math"/>
                  <w:noProof/>
                </w:rPr>
                <m:t>h</m:t>
              </m:r>
            </m:e>
            <m:sub>
              <m:r>
                <w:rPr>
                  <w:rFonts w:ascii="Cambria Math"/>
                  <w:noProof/>
                </w:rPr>
                <m:t>2</m:t>
              </m:r>
            </m:sub>
          </m:sSub>
          <m:r>
            <w:rPr>
              <w:rFonts w:ascii="Cambria Math"/>
              <w:noProof/>
            </w:rPr>
            <m:t>+2</m:t>
          </m:r>
          <m:sSub>
            <m:sSubPr>
              <m:ctrlPr>
                <w:rPr>
                  <w:rFonts w:ascii="Cambria Math" w:hAnsi="Cambria Math"/>
                  <w:i/>
                  <w:noProof/>
                </w:rPr>
              </m:ctrlPr>
            </m:sSubPr>
            <m:e>
              <m:r>
                <w:rPr>
                  <w:rFonts w:ascii="Cambria Math"/>
                  <w:noProof/>
                </w:rPr>
                <m:t>h</m:t>
              </m:r>
            </m:e>
            <m:sub>
              <m:r>
                <w:rPr>
                  <w:rFonts w:ascii="Cambria Math"/>
                  <w:noProof/>
                </w:rPr>
                <m:t>4</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3</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1</m:t>
              </m:r>
            </m:sub>
          </m:sSub>
          <m:r>
            <w:rPr>
              <w:rFonts w:ascii="Cambria Math"/>
              <w:noProof/>
            </w:rPr>
            <m:t>)+</m:t>
          </m:r>
          <m:sSub>
            <m:sSubPr>
              <m:ctrlPr>
                <w:rPr>
                  <w:rFonts w:ascii="Cambria Math" w:hAnsi="Cambria Math"/>
                  <w:i/>
                  <w:noProof/>
                </w:rPr>
              </m:ctrlPr>
            </m:sSubPr>
            <m:e>
              <m:r>
                <w:rPr>
                  <w:rFonts w:ascii="Cambria Math"/>
                  <w:noProof/>
                </w:rPr>
                <m:t>V</m:t>
              </m:r>
            </m:e>
            <m:sub>
              <m:r>
                <w:rPr>
                  <w:rFonts w:ascii="Cambria Math"/>
                  <w:noProof/>
                </w:rPr>
                <m:t>+</m:t>
              </m:r>
            </m:sub>
          </m:sSub>
        </m:oMath>
      </m:oMathPara>
    </w:p>
    <w:tbl>
      <w:tblPr>
        <w:tblW w:w="0" w:type="auto"/>
        <w:tblLayout w:type="fixed"/>
        <w:tblLook w:val="04A0" w:firstRow="1" w:lastRow="0" w:firstColumn="1" w:lastColumn="0" w:noHBand="0" w:noVBand="1"/>
      </w:tblPr>
      <w:tblGrid>
        <w:gridCol w:w="3793"/>
        <w:gridCol w:w="3793"/>
      </w:tblGrid>
      <w:tr w:rsidR="00913C78" w:rsidRPr="00913C78" w14:paraId="0E93D3A9" w14:textId="77777777" w:rsidTr="00913C78">
        <w:tc>
          <w:tcPr>
            <w:tcW w:w="3793" w:type="dxa"/>
            <w:shd w:val="clear" w:color="auto" w:fill="auto"/>
            <w:vAlign w:val="bottom"/>
          </w:tcPr>
          <w:p w14:paraId="0F5B7953" w14:textId="77777777" w:rsidR="00913C78" w:rsidRPr="00913C78" w:rsidRDefault="00913C78" w:rsidP="00913C78">
            <w:pPr>
              <w:ind w:firstLine="420"/>
            </w:pPr>
            <w:r w:rsidRPr="00913C78">
              <w:rPr>
                <w:noProof/>
              </w:rPr>
              <w:drawing>
                <wp:inline distT="0" distB="0" distL="0" distR="0" wp14:anchorId="412C9EDD" wp14:editId="67D76D55">
                  <wp:extent cx="1737360" cy="1730375"/>
                  <wp:effectExtent l="0" t="0" r="0" b="31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37360" cy="1730375"/>
                          </a:xfrm>
                          <a:prstGeom prst="rect">
                            <a:avLst/>
                          </a:prstGeom>
                          <a:noFill/>
                          <a:ln>
                            <a:noFill/>
                          </a:ln>
                        </pic:spPr>
                      </pic:pic>
                    </a:graphicData>
                  </a:graphic>
                </wp:inline>
              </w:drawing>
            </w:r>
          </w:p>
        </w:tc>
        <w:tc>
          <w:tcPr>
            <w:tcW w:w="3793" w:type="dxa"/>
            <w:shd w:val="clear" w:color="auto" w:fill="auto"/>
            <w:vAlign w:val="bottom"/>
          </w:tcPr>
          <w:p w14:paraId="434A25AA" w14:textId="77777777" w:rsidR="00913C78" w:rsidRPr="00913C78" w:rsidRDefault="00913C78" w:rsidP="00913C78">
            <w:pPr>
              <w:ind w:firstLine="420"/>
            </w:pPr>
            <w:r w:rsidRPr="00913C78">
              <w:rPr>
                <w:noProof/>
              </w:rPr>
              <w:drawing>
                <wp:inline distT="0" distB="0" distL="0" distR="0" wp14:anchorId="4E8A490B" wp14:editId="2A210BCE">
                  <wp:extent cx="1737360" cy="1751330"/>
                  <wp:effectExtent l="0" t="0" r="0" b="127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737360" cy="1751330"/>
                          </a:xfrm>
                          <a:prstGeom prst="rect">
                            <a:avLst/>
                          </a:prstGeom>
                          <a:noFill/>
                          <a:ln>
                            <a:noFill/>
                          </a:ln>
                        </pic:spPr>
                      </pic:pic>
                    </a:graphicData>
                  </a:graphic>
                </wp:inline>
              </w:drawing>
            </w:r>
          </w:p>
        </w:tc>
      </w:tr>
      <w:tr w:rsidR="00913C78" w:rsidRPr="00913C78" w14:paraId="5DAD9358" w14:textId="77777777" w:rsidTr="00913C78">
        <w:tc>
          <w:tcPr>
            <w:tcW w:w="3793" w:type="dxa"/>
            <w:shd w:val="clear" w:color="auto" w:fill="auto"/>
            <w:vAlign w:val="bottom"/>
          </w:tcPr>
          <w:p w14:paraId="582BB942" w14:textId="5CEA6A3E" w:rsidR="00913C78" w:rsidRPr="00762DED" w:rsidRDefault="00913C78" w:rsidP="00762DED">
            <w:pPr>
              <w:pStyle w:val="ae"/>
              <w:rPr>
                <w:b w:val="0"/>
                <w:bCs/>
              </w:rPr>
            </w:pPr>
            <w:r w:rsidRPr="00762DED">
              <w:rPr>
                <w:rFonts w:hint="eastAsia"/>
                <w:b w:val="0"/>
                <w:bCs/>
              </w:rPr>
              <w:t>附图</w:t>
            </w:r>
            <w:r w:rsidRPr="00762DED">
              <w:rPr>
                <w:rFonts w:hint="eastAsia"/>
                <w:b w:val="0"/>
                <w:bCs/>
              </w:rPr>
              <w:t xml:space="preserve">B.1.2 </w:t>
            </w:r>
            <w:r w:rsidRPr="00762DED">
              <w:rPr>
                <w:rFonts w:hint="eastAsia"/>
                <w:b w:val="0"/>
                <w:bCs/>
              </w:rPr>
              <w:t>四角点全填方（或全挖方）</w:t>
            </w:r>
          </w:p>
        </w:tc>
        <w:tc>
          <w:tcPr>
            <w:tcW w:w="3793" w:type="dxa"/>
            <w:shd w:val="clear" w:color="auto" w:fill="auto"/>
            <w:vAlign w:val="bottom"/>
          </w:tcPr>
          <w:p w14:paraId="206F0207" w14:textId="27FAB9C5" w:rsidR="00913C78" w:rsidRPr="00762DED" w:rsidRDefault="00913C78" w:rsidP="00762DED">
            <w:pPr>
              <w:pStyle w:val="ae"/>
              <w:rPr>
                <w:b w:val="0"/>
                <w:bCs/>
              </w:rPr>
            </w:pPr>
            <w:r w:rsidRPr="00762DED">
              <w:rPr>
                <w:rFonts w:hint="eastAsia"/>
                <w:b w:val="0"/>
                <w:bCs/>
              </w:rPr>
              <w:t>附图</w:t>
            </w:r>
            <w:r w:rsidRPr="00762DED">
              <w:rPr>
                <w:rFonts w:hint="eastAsia"/>
                <w:b w:val="0"/>
                <w:bCs/>
              </w:rPr>
              <w:t xml:space="preserve">B.1.3 </w:t>
            </w:r>
            <w:r w:rsidRPr="00762DED">
              <w:rPr>
                <w:rFonts w:hint="eastAsia"/>
                <w:b w:val="0"/>
                <w:bCs/>
              </w:rPr>
              <w:t>一角点填方（或挖方）</w:t>
            </w:r>
          </w:p>
        </w:tc>
      </w:tr>
    </w:tbl>
    <w:p w14:paraId="66FA77C6" w14:textId="77777777" w:rsidR="00913C78" w:rsidRPr="00913C78" w:rsidRDefault="00913C78" w:rsidP="00913C78">
      <w:pPr>
        <w:ind w:firstLine="420"/>
      </w:pPr>
      <w:r w:rsidRPr="00913C78">
        <w:rPr>
          <w:noProof/>
        </w:rPr>
        <mc:AlternateContent>
          <mc:Choice Requires="wps">
            <w:drawing>
              <wp:anchor distT="0" distB="0" distL="114300" distR="114300" simplePos="0" relativeHeight="251661312" behindDoc="0" locked="0" layoutInCell="1" allowOverlap="1" wp14:anchorId="50CEAB63" wp14:editId="2C6C4308">
                <wp:simplePos x="0" y="0"/>
                <wp:positionH relativeFrom="column">
                  <wp:posOffset>33655</wp:posOffset>
                </wp:positionH>
                <wp:positionV relativeFrom="paragraph">
                  <wp:posOffset>49530</wp:posOffset>
                </wp:positionV>
                <wp:extent cx="2336800" cy="2159000"/>
                <wp:effectExtent l="0" t="0" r="6350" b="12700"/>
                <wp:wrapSquare wrapText="bothSides"/>
                <wp:docPr id="14" name="文本框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6800" cy="215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4BC8C2" w14:textId="77777777" w:rsidR="00EB74A4" w:rsidRPr="00913C78" w:rsidRDefault="00EB74A4" w:rsidP="00913C78">
                            <w:pPr>
                              <w:ind w:firstLine="420"/>
                            </w:pPr>
                            <w:r w:rsidRPr="00913C78">
                              <w:rPr>
                                <w:noProof/>
                              </w:rPr>
                              <w:drawing>
                                <wp:inline distT="0" distB="0" distL="0" distR="0" wp14:anchorId="5AD53A89" wp14:editId="413380CC">
                                  <wp:extent cx="1737360" cy="17513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737360" cy="1751330"/>
                                          </a:xfrm>
                                          <a:prstGeom prst="rect">
                                            <a:avLst/>
                                          </a:prstGeom>
                                          <a:noFill/>
                                          <a:ln>
                                            <a:noFill/>
                                          </a:ln>
                                        </pic:spPr>
                                      </pic:pic>
                                    </a:graphicData>
                                  </a:graphic>
                                </wp:inline>
                              </w:drawing>
                            </w:r>
                          </w:p>
                          <w:p w14:paraId="5E616E66" w14:textId="77777777" w:rsidR="00EB74A4" w:rsidRPr="00762DED" w:rsidRDefault="00EB74A4" w:rsidP="00762DED">
                            <w:pPr>
                              <w:pStyle w:val="ae"/>
                              <w:rPr>
                                <w:b w:val="0"/>
                                <w:bCs/>
                              </w:rPr>
                            </w:pPr>
                            <w:r w:rsidRPr="00762DED">
                              <w:rPr>
                                <w:rFonts w:hint="eastAsia"/>
                                <w:b w:val="0"/>
                                <w:bCs/>
                              </w:rPr>
                              <w:t>附图</w:t>
                            </w:r>
                            <w:r w:rsidRPr="00762DED">
                              <w:rPr>
                                <w:rFonts w:hint="eastAsia"/>
                                <w:b w:val="0"/>
                                <w:bCs/>
                              </w:rPr>
                              <w:t xml:space="preserve">B.1.4  </w:t>
                            </w:r>
                            <w:r w:rsidRPr="00762DED">
                              <w:rPr>
                                <w:rFonts w:hint="eastAsia"/>
                                <w:b w:val="0"/>
                                <w:bCs/>
                              </w:rPr>
                              <w:t>一侧两角点填方（或挖方）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type w14:anchorId="50CEAB63" id="_x0000_t202" coordsize="21600,21600" o:spt="202" path="m,l,21600r21600,l21600,xe">
                <v:stroke joinstyle="miter"/>
                <v:path gradientshapeok="t" o:connecttype="rect"/>
              </v:shapetype>
              <v:shape id="文本框 14" o:spid="_x0000_s1026" type="#_x0000_t202" style="position:absolute;left:0;text-align:left;margin-left:2.65pt;margin-top:3.9pt;width:184pt;height:17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" filled="f" stroked="f">
                <v:textbox inset="0,0,0,0">
                  <w:txbxContent>
                    <w:p w14:paraId="084BC8C2" w14:textId="77777777" w:rsidR="00EB74A4" w:rsidRPr="00913C78" w:rsidRDefault="00EB74A4" w:rsidP="00913C78">
                      <w:pPr>
                        <w:ind w:firstLine="420"/>
                      </w:pPr>
                      <w:r w:rsidRPr="00913C78">
                        <w:rPr>
                          <w:noProof/>
                        </w:rPr>
                        <w:drawing>
                          <wp:inline distT="0" distB="0" distL="0" distR="0" wp14:anchorId="5AD53A89" wp14:editId="413380CC">
                            <wp:extent cx="1737360" cy="1751330"/>
                            <wp:effectExtent l="0" t="0" r="0" b="127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737360" cy="1751330"/>
                                    </a:xfrm>
                                    <a:prstGeom prst="rect">
                                      <a:avLst/>
                                    </a:prstGeom>
                                    <a:noFill/>
                                    <a:ln>
                                      <a:noFill/>
                                    </a:ln>
                                  </pic:spPr>
                                </pic:pic>
                              </a:graphicData>
                            </a:graphic>
                          </wp:inline>
                        </w:drawing>
                      </w:r>
                    </w:p>
                    <w:p w14:paraId="5E616E66" w14:textId="77777777" w:rsidR="00EB74A4" w:rsidRPr="00762DED" w:rsidRDefault="00EB74A4" w:rsidP="00762DED">
                      <w:pPr>
                        <w:pStyle w:val="af5"/>
                        <w:rPr>
                          <w:b w:val="0"/>
                          <w:bCs/>
                        </w:rPr>
                      </w:pPr>
                      <w:r w:rsidRPr="00762DED">
                        <w:rPr>
                          <w:rFonts w:hint="eastAsia"/>
                          <w:b w:val="0"/>
                          <w:bCs/>
                        </w:rPr>
                        <w:t>附图</w:t>
                      </w:r>
                      <w:r w:rsidRPr="00762DED">
                        <w:rPr>
                          <w:rFonts w:hint="eastAsia"/>
                          <w:b w:val="0"/>
                          <w:bCs/>
                        </w:rPr>
                        <w:t xml:space="preserve">B.1.4  </w:t>
                      </w:r>
                      <w:r w:rsidRPr="00762DED">
                        <w:rPr>
                          <w:rFonts w:hint="eastAsia"/>
                          <w:b w:val="0"/>
                          <w:bCs/>
                        </w:rPr>
                        <w:t>一侧两角点填方（或挖方）</w:t>
                      </w:r>
                    </w:p>
                  </w:txbxContent>
                </v:textbox>
                <w10:wrap type="square"/>
              </v:shape>
            </w:pict>
          </mc:Fallback>
        </mc:AlternateContent>
      </w:r>
      <w:r w:rsidRPr="00913C78">
        <w:rPr>
          <w:rFonts w:hint="eastAsia"/>
        </w:rPr>
        <w:t>3</w:t>
      </w:r>
      <w:r w:rsidRPr="00913C78">
        <w:rPr>
          <w:rFonts w:hint="eastAsia"/>
        </w:rPr>
        <w:t>）一侧两角点填方（或挖方），另一侧两角点挖方（或填方）（附图</w:t>
      </w:r>
      <w:r w:rsidRPr="00913C78">
        <w:rPr>
          <w:rFonts w:hint="eastAsia"/>
        </w:rPr>
        <w:t>B.1.4</w:t>
      </w:r>
      <w:r w:rsidRPr="00913C78">
        <w:rPr>
          <w:rFonts w:hint="eastAsia"/>
        </w:rPr>
        <w:t>）。</w:t>
      </w:r>
    </w:p>
    <w:p w14:paraId="31D1DAD8" w14:textId="202E80DD"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V</m:t>
              </m:r>
            </m:e>
            <m:sub>
              <m:r>
                <w:rPr>
                  <w:rFonts w:ascii="Cambria Math"/>
                  <w:noProof/>
                </w:rPr>
                <m:t>+</m:t>
              </m:r>
            </m:sub>
          </m:sSub>
          <m:r>
            <w:rPr>
              <w:rFonts w:asci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noProof/>
                    </w:rPr>
                    <m:t>a</m:t>
                  </m:r>
                </m:e>
                <m:sup>
                  <m:r>
                    <w:rPr>
                      <w:rFonts w:ascii="Cambria Math"/>
                      <w:noProof/>
                    </w:rPr>
                    <m:t>2</m:t>
                  </m:r>
                </m:sup>
              </m:sSup>
            </m:num>
            <m:den>
              <m:r>
                <w:rPr>
                  <w:rFonts w:ascii="Cambria Math"/>
                  <w:noProof/>
                </w:rPr>
                <m:t>4</m:t>
              </m:r>
            </m:den>
          </m:f>
          <m:d>
            <m:dPr>
              <m:ctrlPr>
                <w:rPr>
                  <w:rFonts w:ascii="Cambria Math" w:hAnsi="Cambria Math"/>
                  <w:i/>
                  <w:noProof/>
                </w:rPr>
              </m:ctrlPr>
            </m:dPr>
            <m:e>
              <m:f>
                <m:fPr>
                  <m:ctrlPr>
                    <w:rPr>
                      <w:rFonts w:ascii="Cambria Math" w:hAnsi="Cambria Math"/>
                      <w:i/>
                      <w:noProof/>
                    </w:rPr>
                  </m:ctrlPr>
                </m:fPr>
                <m:num>
                  <m:sSubSup>
                    <m:sSubSupPr>
                      <m:ctrlPr>
                        <w:rPr>
                          <w:rFonts w:ascii="Cambria Math" w:hAnsi="Cambria Math"/>
                          <w:i/>
                          <w:noProof/>
                        </w:rPr>
                      </m:ctrlPr>
                    </m:sSubSupPr>
                    <m:e>
                      <m:r>
                        <w:rPr>
                          <w:rFonts w:ascii="Cambria Math"/>
                          <w:noProof/>
                        </w:rPr>
                        <m:t>h</m:t>
                      </m:r>
                    </m:e>
                    <m:sub>
                      <m:r>
                        <w:rPr>
                          <w:rFonts w:ascii="Cambria Math"/>
                          <w:noProof/>
                        </w:rPr>
                        <m:t>1</m:t>
                      </m:r>
                    </m:sub>
                    <m:sup>
                      <m:r>
                        <w:rPr>
                          <w:rFonts w:ascii="Cambria Math"/>
                          <w:noProof/>
                        </w:rPr>
                        <m:t>2</m:t>
                      </m:r>
                    </m:sup>
                  </m:sSubSup>
                </m:num>
                <m:den>
                  <m:sSub>
                    <m:sSubPr>
                      <m:ctrlPr>
                        <w:rPr>
                          <w:rFonts w:ascii="Cambria Math" w:hAnsi="Cambria Math"/>
                          <w:i/>
                          <w:noProof/>
                        </w:rPr>
                      </m:ctrlPr>
                    </m:sSubPr>
                    <m:e>
                      <m:r>
                        <w:rPr>
                          <w:rFonts w:ascii="Cambria Math"/>
                          <w:noProof/>
                        </w:rPr>
                        <m:t>h</m:t>
                      </m:r>
                    </m:e>
                    <m:sub>
                      <m:r>
                        <w:rPr>
                          <w:rFonts w:ascii="Cambria Math"/>
                          <w:noProof/>
                        </w:rPr>
                        <m:t>1</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4</m:t>
                      </m:r>
                    </m:sub>
                  </m:sSub>
                </m:den>
              </m:f>
              <m:r>
                <w:rPr>
                  <w:rFonts w:asci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noProof/>
                        </w:rPr>
                        <m:t>h</m:t>
                      </m:r>
                    </m:e>
                    <m:sub>
                      <m:r>
                        <w:rPr>
                          <w:rFonts w:ascii="Cambria Math"/>
                          <w:noProof/>
                        </w:rPr>
                        <m:t>2</m:t>
                      </m:r>
                    </m:sub>
                    <m:sup>
                      <m:r>
                        <w:rPr>
                          <w:rFonts w:ascii="Cambria Math"/>
                          <w:noProof/>
                        </w:rPr>
                        <m:t>2</m:t>
                      </m:r>
                    </m:sup>
                  </m:sSubSup>
                </m:num>
                <m:den>
                  <m:sSub>
                    <m:sSubPr>
                      <m:ctrlPr>
                        <w:rPr>
                          <w:rFonts w:ascii="Cambria Math" w:hAnsi="Cambria Math"/>
                          <w:i/>
                          <w:noProof/>
                        </w:rPr>
                      </m:ctrlPr>
                    </m:sSubPr>
                    <m:e>
                      <m:r>
                        <w:rPr>
                          <w:rFonts w:ascii="Cambria Math"/>
                          <w:noProof/>
                        </w:rPr>
                        <m:t>h</m:t>
                      </m:r>
                    </m:e>
                    <m:sub>
                      <m:r>
                        <w:rPr>
                          <w:rFonts w:ascii="Cambria Math"/>
                          <w:noProof/>
                        </w:rPr>
                        <m:t>2</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3</m:t>
                      </m:r>
                    </m:sub>
                  </m:sSub>
                </m:den>
              </m:f>
            </m:e>
          </m:d>
        </m:oMath>
      </m:oMathPara>
    </w:p>
    <w:p w14:paraId="5AC56A3B" w14:textId="33126EE9" w:rsidR="00913C78" w:rsidRPr="00913C78" w:rsidRDefault="00D20A1F" w:rsidP="00AC2900">
      <w:pPr>
        <w:ind w:firstLine="420"/>
        <w:jc w:val="center"/>
      </w:pPr>
      <m:oMathPara>
        <m:oMath>
          <m:sSub>
            <m:sSubPr>
              <m:ctrlPr>
                <w:rPr>
                  <w:rFonts w:ascii="Cambria Math" w:hAnsi="Cambria Math"/>
                  <w:i/>
                  <w:noProof/>
                </w:rPr>
              </m:ctrlPr>
            </m:sSubPr>
            <m:e>
              <m:r>
                <w:rPr>
                  <w:rFonts w:ascii="Cambria Math"/>
                  <w:noProof/>
                </w:rPr>
                <m:t>V</m:t>
              </m:r>
            </m:e>
            <m:sub>
              <m:r>
                <w:rPr>
                  <w:rFonts w:ascii="Cambria Math"/>
                  <w:noProof/>
                </w:rPr>
                <m:t>-</m:t>
              </m:r>
            </m:sub>
          </m:sSub>
          <m:r>
            <w:rPr>
              <w:rFonts w:ascii="Cambria Math"/>
              <w:noProof/>
            </w:rPr>
            <m:t>=</m:t>
          </m:r>
          <m:f>
            <m:fPr>
              <m:ctrlPr>
                <w:rPr>
                  <w:rFonts w:ascii="Cambria Math" w:hAnsi="Cambria Math"/>
                  <w:i/>
                  <w:noProof/>
                </w:rPr>
              </m:ctrlPr>
            </m:fPr>
            <m:num>
              <m:sSup>
                <m:sSupPr>
                  <m:ctrlPr>
                    <w:rPr>
                      <w:rFonts w:ascii="Cambria Math" w:hAnsi="Cambria Math"/>
                      <w:i/>
                      <w:noProof/>
                    </w:rPr>
                  </m:ctrlPr>
                </m:sSupPr>
                <m:e>
                  <m:r>
                    <w:rPr>
                      <w:rFonts w:ascii="Cambria Math"/>
                      <w:noProof/>
                    </w:rPr>
                    <m:t>a</m:t>
                  </m:r>
                </m:e>
                <m:sup>
                  <m:r>
                    <w:rPr>
                      <w:rFonts w:ascii="Cambria Math"/>
                      <w:noProof/>
                    </w:rPr>
                    <m:t>2</m:t>
                  </m:r>
                </m:sup>
              </m:sSup>
            </m:num>
            <m:den>
              <m:r>
                <w:rPr>
                  <w:rFonts w:ascii="Cambria Math"/>
                  <w:noProof/>
                </w:rPr>
                <m:t>4</m:t>
              </m:r>
            </m:den>
          </m:f>
          <m:d>
            <m:dPr>
              <m:ctrlPr>
                <w:rPr>
                  <w:rFonts w:ascii="Cambria Math" w:hAnsi="Cambria Math"/>
                  <w:i/>
                  <w:noProof/>
                </w:rPr>
              </m:ctrlPr>
            </m:dPr>
            <m:e>
              <m:f>
                <m:fPr>
                  <m:ctrlPr>
                    <w:rPr>
                      <w:rFonts w:ascii="Cambria Math" w:hAnsi="Cambria Math"/>
                      <w:i/>
                      <w:noProof/>
                    </w:rPr>
                  </m:ctrlPr>
                </m:fPr>
                <m:num>
                  <m:sSubSup>
                    <m:sSubSupPr>
                      <m:ctrlPr>
                        <w:rPr>
                          <w:rFonts w:ascii="Cambria Math" w:hAnsi="Cambria Math"/>
                          <w:i/>
                          <w:noProof/>
                        </w:rPr>
                      </m:ctrlPr>
                    </m:sSubSupPr>
                    <m:e>
                      <m:r>
                        <w:rPr>
                          <w:rFonts w:ascii="Cambria Math"/>
                          <w:noProof/>
                        </w:rPr>
                        <m:t>h</m:t>
                      </m:r>
                    </m:e>
                    <m:sub>
                      <m:r>
                        <w:rPr>
                          <w:rFonts w:ascii="Cambria Math"/>
                          <w:noProof/>
                        </w:rPr>
                        <m:t>4</m:t>
                      </m:r>
                    </m:sub>
                    <m:sup>
                      <m:r>
                        <w:rPr>
                          <w:rFonts w:ascii="Cambria Math"/>
                          <w:noProof/>
                        </w:rPr>
                        <m:t>2</m:t>
                      </m:r>
                    </m:sup>
                  </m:sSubSup>
                </m:num>
                <m:den>
                  <m:sSub>
                    <m:sSubPr>
                      <m:ctrlPr>
                        <w:rPr>
                          <w:rFonts w:ascii="Cambria Math" w:hAnsi="Cambria Math"/>
                          <w:i/>
                          <w:noProof/>
                        </w:rPr>
                      </m:ctrlPr>
                    </m:sSubPr>
                    <m:e>
                      <m:r>
                        <w:rPr>
                          <w:rFonts w:ascii="Cambria Math"/>
                          <w:noProof/>
                        </w:rPr>
                        <m:t>h</m:t>
                      </m:r>
                    </m:e>
                    <m:sub>
                      <m:r>
                        <w:rPr>
                          <w:rFonts w:ascii="Cambria Math"/>
                          <w:noProof/>
                        </w:rPr>
                        <m:t>4</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1</m:t>
                      </m:r>
                    </m:sub>
                  </m:sSub>
                </m:den>
              </m:f>
              <m:r>
                <w:rPr>
                  <w:rFonts w:ascii="Cambria Math"/>
                  <w:noProof/>
                </w:rPr>
                <m:t>+</m:t>
              </m:r>
              <m:f>
                <m:fPr>
                  <m:ctrlPr>
                    <w:rPr>
                      <w:rFonts w:ascii="Cambria Math" w:hAnsi="Cambria Math"/>
                      <w:i/>
                      <w:noProof/>
                    </w:rPr>
                  </m:ctrlPr>
                </m:fPr>
                <m:num>
                  <m:sSubSup>
                    <m:sSubSupPr>
                      <m:ctrlPr>
                        <w:rPr>
                          <w:rFonts w:ascii="Cambria Math" w:hAnsi="Cambria Math"/>
                          <w:i/>
                          <w:noProof/>
                        </w:rPr>
                      </m:ctrlPr>
                    </m:sSubSupPr>
                    <m:e>
                      <m:r>
                        <w:rPr>
                          <w:rFonts w:ascii="Cambria Math"/>
                          <w:noProof/>
                        </w:rPr>
                        <m:t>h</m:t>
                      </m:r>
                    </m:e>
                    <m:sub>
                      <m:r>
                        <w:rPr>
                          <w:rFonts w:ascii="Cambria Math"/>
                          <w:noProof/>
                        </w:rPr>
                        <m:t>3</m:t>
                      </m:r>
                    </m:sub>
                    <m:sup>
                      <m:r>
                        <w:rPr>
                          <w:rFonts w:ascii="Cambria Math"/>
                          <w:noProof/>
                        </w:rPr>
                        <m:t>2</m:t>
                      </m:r>
                    </m:sup>
                  </m:sSubSup>
                </m:num>
                <m:den>
                  <m:sSub>
                    <m:sSubPr>
                      <m:ctrlPr>
                        <w:rPr>
                          <w:rFonts w:ascii="Cambria Math" w:hAnsi="Cambria Math"/>
                          <w:i/>
                          <w:noProof/>
                        </w:rPr>
                      </m:ctrlPr>
                    </m:sSubPr>
                    <m:e>
                      <m:r>
                        <w:rPr>
                          <w:rFonts w:ascii="Cambria Math"/>
                          <w:noProof/>
                        </w:rPr>
                        <m:t>h</m:t>
                      </m:r>
                    </m:e>
                    <m:sub>
                      <m:r>
                        <w:rPr>
                          <w:rFonts w:ascii="Cambria Math"/>
                          <w:noProof/>
                        </w:rPr>
                        <m:t>3</m:t>
                      </m:r>
                    </m:sub>
                  </m:sSub>
                  <m:r>
                    <w:rPr>
                      <w:rFonts w:ascii="Cambria Math"/>
                      <w:noProof/>
                    </w:rPr>
                    <m:t>+</m:t>
                  </m:r>
                  <m:sSub>
                    <m:sSubPr>
                      <m:ctrlPr>
                        <w:rPr>
                          <w:rFonts w:ascii="Cambria Math" w:hAnsi="Cambria Math"/>
                          <w:i/>
                          <w:noProof/>
                        </w:rPr>
                      </m:ctrlPr>
                    </m:sSubPr>
                    <m:e>
                      <m:r>
                        <w:rPr>
                          <w:rFonts w:ascii="Cambria Math"/>
                          <w:noProof/>
                        </w:rPr>
                        <m:t>h</m:t>
                      </m:r>
                    </m:e>
                    <m:sub>
                      <m:r>
                        <w:rPr>
                          <w:rFonts w:ascii="Cambria Math"/>
                          <w:noProof/>
                        </w:rPr>
                        <m:t>2</m:t>
                      </m:r>
                    </m:sub>
                  </m:sSub>
                </m:den>
              </m:f>
            </m:e>
          </m:d>
        </m:oMath>
      </m:oMathPara>
    </w:p>
    <w:p w14:paraId="62894A80" w14:textId="77777777" w:rsidR="00913C78" w:rsidRPr="00913C78" w:rsidRDefault="00913C78" w:rsidP="00913C78">
      <w:pPr>
        <w:ind w:firstLine="420"/>
      </w:pPr>
      <w:r w:rsidRPr="00913C78">
        <w:rPr>
          <w:rFonts w:hint="eastAsia"/>
        </w:rPr>
        <w:t>（</w:t>
      </w:r>
      <w:r w:rsidRPr="00913C78">
        <w:rPr>
          <w:rFonts w:hint="eastAsia"/>
        </w:rPr>
        <w:t>4</w:t>
      </w:r>
      <w:r w:rsidRPr="00913C78">
        <w:rPr>
          <w:rFonts w:hint="eastAsia"/>
        </w:rPr>
        <w:t>）汇总</w:t>
      </w:r>
    </w:p>
    <w:p w14:paraId="47FBEE03" w14:textId="77777777" w:rsidR="00913C78" w:rsidRPr="00913C78" w:rsidRDefault="00913C78" w:rsidP="00762DED">
      <w:pPr>
        <w:ind w:firstLine="420"/>
        <w:jc w:val="right"/>
      </w:pPr>
      <w:r w:rsidRPr="00913C78">
        <w:rPr>
          <w:rFonts w:hint="eastAsia"/>
        </w:rPr>
        <w:t>分别将挖方区和填方区所有方格计算土方量汇总，即得该建筑场地挖方区和填方区的总土方量。</w:t>
      </w:r>
    </w:p>
    <w:p w14:paraId="26E6B6F1" w14:textId="77777777" w:rsidR="00913C78" w:rsidRPr="00913C78" w:rsidRDefault="00913C78" w:rsidP="00913C78">
      <w:pPr>
        <w:ind w:firstLine="420"/>
      </w:pPr>
      <w:bookmarkStart w:id="349" w:name="_Toc476236649"/>
      <w:r w:rsidRPr="00913C78">
        <w:rPr>
          <w:rFonts w:hint="eastAsia"/>
        </w:rPr>
        <w:t>◎</w:t>
      </w:r>
      <w:r w:rsidRPr="00913C78">
        <w:t xml:space="preserve"> </w:t>
      </w:r>
      <w:r w:rsidRPr="00913C78">
        <w:rPr>
          <w:rFonts w:hint="eastAsia"/>
        </w:rPr>
        <w:t>计算内</w:t>
      </w:r>
      <w:r w:rsidRPr="00913C78">
        <w:t>容</w:t>
      </w:r>
      <w:bookmarkEnd w:id="349"/>
    </w:p>
    <w:p w14:paraId="7C050AD2" w14:textId="77777777" w:rsidR="00913C78" w:rsidRPr="00913C78" w:rsidRDefault="00913C78" w:rsidP="00913C78">
      <w:pPr>
        <w:ind w:firstLine="420"/>
      </w:pPr>
      <w:r w:rsidRPr="00913C78">
        <w:t>计算内容</w:t>
      </w:r>
      <w:r w:rsidRPr="00913C78">
        <w:rPr>
          <w:rFonts w:hint="eastAsia"/>
        </w:rPr>
        <w:t>包括但</w:t>
      </w:r>
      <w:r w:rsidRPr="00913C78">
        <w:t>不限于</w:t>
      </w:r>
      <w:r w:rsidRPr="00913C78">
        <w:rPr>
          <w:rFonts w:hint="eastAsia"/>
        </w:rPr>
        <w:t>：土方开挖量计算、土方回填量计算</w:t>
      </w:r>
      <w:r w:rsidRPr="00913C78">
        <w:t>。</w:t>
      </w:r>
    </w:p>
    <w:p w14:paraId="687D213C" w14:textId="77777777" w:rsidR="00913C78" w:rsidRPr="00913C78" w:rsidRDefault="00913C78" w:rsidP="00913C78">
      <w:pPr>
        <w:ind w:firstLine="420"/>
      </w:pPr>
      <w:r w:rsidRPr="00913C78">
        <w:rPr>
          <w:rFonts w:hint="eastAsia"/>
        </w:rPr>
        <w:t>要求</w:t>
      </w:r>
      <w:r w:rsidRPr="00913C78">
        <w:t>：</w:t>
      </w:r>
      <w:r w:rsidRPr="00913C78">
        <w:rPr>
          <w:rFonts w:hint="eastAsia"/>
        </w:rPr>
        <w:t>土石方平衡分析计算，应根据土方的施工标高、挖填区面积、挖填区土方量，并考虑各种变更因素（如土的松散率、压缩率、沉降量等）进行调整后，对土方进行平衡分析</w:t>
      </w:r>
      <w:r w:rsidRPr="00913C78">
        <w:t>计算</w:t>
      </w:r>
      <w:r w:rsidRPr="00913C78">
        <w:rPr>
          <w:rFonts w:hint="eastAsia"/>
        </w:rPr>
        <w:t>。</w:t>
      </w:r>
    </w:p>
    <w:p w14:paraId="2370D9E2" w14:textId="77777777" w:rsidR="00913C78" w:rsidRPr="00913C78" w:rsidRDefault="00913C78" w:rsidP="00913C78">
      <w:pPr>
        <w:ind w:firstLine="420"/>
      </w:pPr>
      <w:r w:rsidRPr="00913C78">
        <w:rPr>
          <w:rFonts w:hint="eastAsia"/>
        </w:rPr>
        <w:t>（</w:t>
      </w:r>
      <w:r w:rsidRPr="00913C78">
        <w:rPr>
          <w:rFonts w:hint="eastAsia"/>
        </w:rPr>
        <w:t>1</w:t>
      </w:r>
      <w:r w:rsidRPr="00913C78">
        <w:rPr>
          <w:rFonts w:hint="eastAsia"/>
        </w:rPr>
        <w:t>）土方开挖量计算</w:t>
      </w:r>
    </w:p>
    <w:p w14:paraId="3B6379D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对场地外围墙位置和场地原地面标高进行测量，测量场地平均标高（</w:t>
      </w:r>
      <w:r w:rsidRPr="00913C78">
        <w:rPr>
          <w:rFonts w:hint="eastAsia"/>
        </w:rPr>
        <w:t>m</w:t>
      </w:r>
      <w:r w:rsidRPr="00913C78">
        <w:rPr>
          <w:rFonts w:hint="eastAsia"/>
        </w:rPr>
        <w:t>），有原地面标高测量成果图（示例</w:t>
      </w:r>
      <w:r w:rsidRPr="00913C78">
        <w:t>见</w:t>
      </w:r>
      <w:r w:rsidRPr="00913C78">
        <w:rPr>
          <w:rFonts w:hint="eastAsia"/>
        </w:rPr>
        <w:t>附图</w:t>
      </w:r>
      <w:r w:rsidRPr="00913C78">
        <w:rPr>
          <w:rFonts w:hint="eastAsia"/>
        </w:rPr>
        <w:t>B.1.5</w:t>
      </w:r>
      <w:r w:rsidRPr="00913C78">
        <w:rPr>
          <w:rFonts w:hint="eastAsia"/>
        </w:rPr>
        <w:t>），为土方开挖回填及土方平衡做好准备工作。</w:t>
      </w:r>
    </w:p>
    <w:p w14:paraId="7245CC33"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确定工程基坑开挖边线长（</w:t>
      </w:r>
      <w:r w:rsidRPr="00913C78">
        <w:rPr>
          <w:rFonts w:hint="eastAsia"/>
        </w:rPr>
        <w:t>m</w:t>
      </w:r>
      <w:r w:rsidRPr="00913C78">
        <w:rPr>
          <w:rFonts w:hint="eastAsia"/>
        </w:rPr>
        <w:t>），宽（</w:t>
      </w:r>
      <w:r w:rsidRPr="00913C78">
        <w:rPr>
          <w:rFonts w:hint="eastAsia"/>
        </w:rPr>
        <w:t>m</w:t>
      </w:r>
      <w:r w:rsidRPr="00913C78">
        <w:rPr>
          <w:rFonts w:hint="eastAsia"/>
        </w:rPr>
        <w:t>），大体上呈凸形。确定基础开挖深度（</w:t>
      </w:r>
      <w:r w:rsidRPr="00913C78">
        <w:rPr>
          <w:rFonts w:hint="eastAsia"/>
        </w:rPr>
        <w:t>m</w:t>
      </w:r>
      <w:r w:rsidRPr="00913C78">
        <w:rPr>
          <w:rFonts w:hint="eastAsia"/>
        </w:rPr>
        <w:t>），基坑及独立柱基础开挖，确定边坡的放坡系数（推荐采用</w:t>
      </w:r>
      <w:r w:rsidRPr="00913C78">
        <w:rPr>
          <w:rFonts w:hint="eastAsia"/>
        </w:rPr>
        <w:t>1</w:t>
      </w:r>
      <w:r w:rsidRPr="00913C78">
        <w:rPr>
          <w:rFonts w:hint="eastAsia"/>
        </w:rPr>
        <w:t>∶</w:t>
      </w:r>
      <w:r w:rsidRPr="00913C78">
        <w:rPr>
          <w:rFonts w:hint="eastAsia"/>
        </w:rPr>
        <w:t>0.3</w:t>
      </w:r>
      <w:r w:rsidRPr="00913C78">
        <w:rPr>
          <w:rFonts w:hint="eastAsia"/>
        </w:rPr>
        <w:t>），除结构宽度外，基坑底边留置</w:t>
      </w:r>
      <w:r w:rsidRPr="00913C78">
        <w:rPr>
          <w:rFonts w:hint="eastAsia"/>
        </w:rPr>
        <w:t>600mm</w:t>
      </w:r>
      <w:r w:rsidRPr="00913C78">
        <w:rPr>
          <w:rFonts w:hint="eastAsia"/>
        </w:rPr>
        <w:t>宽工作面，在</w:t>
      </w:r>
      <w:r w:rsidRPr="00913C78">
        <w:rPr>
          <w:rFonts w:hint="eastAsia"/>
        </w:rPr>
        <w:t>CAD</w:t>
      </w:r>
      <w:r w:rsidRPr="00913C78">
        <w:rPr>
          <w:rFonts w:hint="eastAsia"/>
        </w:rPr>
        <w:t>中放出开挖边线图及坑底边线图，可测得基坑开挖面积</w:t>
      </w:r>
      <w:r w:rsidRPr="00913C78">
        <w:rPr>
          <w:rFonts w:hint="eastAsia"/>
        </w:rPr>
        <w:lastRenderedPageBreak/>
        <w:t>及基坑底面积。</w:t>
      </w:r>
    </w:p>
    <w:p w14:paraId="7AB7A8F9" w14:textId="77777777" w:rsidR="00913C78" w:rsidRPr="00913C78" w:rsidRDefault="00913C78" w:rsidP="00913C78">
      <w:pPr>
        <w:ind w:firstLine="420"/>
      </w:pPr>
      <w:r w:rsidRPr="00913C78">
        <w:rPr>
          <w:rFonts w:hint="eastAsia"/>
        </w:rPr>
        <w:t>由以上数据计算出基坑开挖土方量和外围独立柱基础开挖土方量（万</w:t>
      </w:r>
      <w:r w:rsidRPr="00913C78">
        <w:rPr>
          <w:rFonts w:hint="eastAsia"/>
        </w:rPr>
        <w:t>m3</w:t>
      </w:r>
      <w:r w:rsidRPr="00913C78">
        <w:rPr>
          <w:rFonts w:hint="eastAsia"/>
        </w:rPr>
        <w:t>）。</w:t>
      </w:r>
    </w:p>
    <w:p w14:paraId="72DA60C0" w14:textId="77777777" w:rsidR="00913C78" w:rsidRPr="00913C78" w:rsidRDefault="00913C78" w:rsidP="00913C78">
      <w:pPr>
        <w:ind w:firstLine="420"/>
      </w:pPr>
    </w:p>
    <w:p w14:paraId="3EBE8F2D" w14:textId="153FDD9E" w:rsidR="00913C78" w:rsidRPr="00913C78" w:rsidRDefault="00913C78" w:rsidP="00913C78">
      <w:pPr>
        <w:ind w:firstLine="420"/>
      </w:pPr>
      <w:r w:rsidRPr="00913C78">
        <w:rPr>
          <w:noProof/>
        </w:rPr>
        <mc:AlternateContent>
          <mc:Choice Requires="wps">
            <w:drawing>
              <wp:anchor distT="0" distB="0" distL="114300" distR="114300" simplePos="0" relativeHeight="251662336" behindDoc="0" locked="0" layoutInCell="1" allowOverlap="1" wp14:anchorId="2BB4A6A3" wp14:editId="23806B3C">
                <wp:simplePos x="0" y="0"/>
                <wp:positionH relativeFrom="column">
                  <wp:posOffset>4820920</wp:posOffset>
                </wp:positionH>
                <wp:positionV relativeFrom="paragraph">
                  <wp:posOffset>2465070</wp:posOffset>
                </wp:positionV>
                <wp:extent cx="350520" cy="1648460"/>
                <wp:effectExtent l="1905" t="0" r="0" b="0"/>
                <wp:wrapNone/>
                <wp:docPr id="12" name="文本框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E0E294" w14:textId="77777777" w:rsidR="00EB74A4" w:rsidRPr="00762DED" w:rsidRDefault="00EB74A4" w:rsidP="00762DED">
                            <w:pPr>
                              <w:pStyle w:val="ae"/>
                              <w:rPr>
                                <w:b w:val="0"/>
                                <w:bCs/>
                              </w:rPr>
                            </w:pPr>
                            <w:r w:rsidRPr="00762DED">
                              <w:rPr>
                                <w:rFonts w:hint="eastAsia"/>
                                <w:b w:val="0"/>
                                <w:bCs/>
                              </w:rPr>
                              <w:t>附图</w:t>
                            </w:r>
                            <w:r w:rsidRPr="00762DED">
                              <w:rPr>
                                <w:rFonts w:hint="eastAsia"/>
                                <w:b w:val="0"/>
                                <w:bCs/>
                              </w:rPr>
                              <w:t xml:space="preserve">B.1.5  </w:t>
                            </w:r>
                            <w:r w:rsidRPr="00762DED">
                              <w:rPr>
                                <w:rFonts w:hint="eastAsia"/>
                                <w:b w:val="0"/>
                                <w:bCs/>
                              </w:rPr>
                              <w:t>原地面标高测量成果</w:t>
                            </w:r>
                          </w:p>
                        </w:txbxContent>
                      </wps:txbx>
                      <wps:bodyPr rot="0" vert="vert270"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shape w14:anchorId="2BB4A6A3" id="文本框 12" o:spid="_x0000_s1027" type="#_x0000_t202" style="position:absolute;left:0;text-align:left;margin-left:379.6pt;margin-top:194.1pt;width:27.6pt;height:129.8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" filled="f" stroked="f">
                <v:textbox style="layout-flow:vertical;mso-layout-flow-alt:bottom-to-top;mso-fit-shape-to-text:t" inset="0,0,0,0">
                  <w:txbxContent>
                    <w:p w14:paraId="6FE0E294" w14:textId="77777777" w:rsidR="00EB74A4" w:rsidRPr="00762DED" w:rsidRDefault="00EB74A4" w:rsidP="00762DED">
                      <w:pPr>
                        <w:pStyle w:val="af5"/>
                        <w:rPr>
                          <w:b w:val="0"/>
                          <w:bCs/>
                        </w:rPr>
                      </w:pPr>
                      <w:r w:rsidRPr="00762DED">
                        <w:rPr>
                          <w:rFonts w:hint="eastAsia"/>
                          <w:b w:val="0"/>
                          <w:bCs/>
                        </w:rPr>
                        <w:t>附图</w:t>
                      </w:r>
                      <w:r w:rsidRPr="00762DED">
                        <w:rPr>
                          <w:rFonts w:hint="eastAsia"/>
                          <w:b w:val="0"/>
                          <w:bCs/>
                        </w:rPr>
                        <w:t xml:space="preserve">B.1.5  </w:t>
                      </w:r>
                      <w:r w:rsidRPr="00762DED">
                        <w:rPr>
                          <w:rFonts w:hint="eastAsia"/>
                          <w:b w:val="0"/>
                          <w:bCs/>
                        </w:rPr>
                        <w:t>原地面标高测量成果</w:t>
                      </w:r>
                    </w:p>
                  </w:txbxContent>
                </v:textbox>
              </v:shape>
            </w:pict>
          </mc:Fallback>
        </mc:AlternateContent>
      </w:r>
      <w:r w:rsidRPr="00913C78">
        <w:t xml:space="preserve"> </w:t>
      </w:r>
      <w:r w:rsidR="00762DED" w:rsidRPr="006901F8">
        <w:rPr>
          <w:noProof/>
        </w:rPr>
        <w:drawing>
          <wp:inline distT="0" distB="0" distL="0" distR="0" wp14:anchorId="2775D17F" wp14:editId="7D35D52B">
            <wp:extent cx="4325620" cy="6257925"/>
            <wp:effectExtent l="0" t="0" r="0"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2"/>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25620" cy="6257925"/>
                    </a:xfrm>
                    <a:prstGeom prst="rect">
                      <a:avLst/>
                    </a:prstGeom>
                    <a:noFill/>
                    <a:ln>
                      <a:noFill/>
                    </a:ln>
                  </pic:spPr>
                </pic:pic>
              </a:graphicData>
            </a:graphic>
          </wp:inline>
        </w:drawing>
      </w:r>
    </w:p>
    <w:p w14:paraId="2F877AB4" w14:textId="77777777" w:rsidR="00913C78" w:rsidRPr="00913C78" w:rsidRDefault="00913C78" w:rsidP="00913C78">
      <w:pPr>
        <w:ind w:firstLine="420"/>
      </w:pPr>
      <w:r w:rsidRPr="00913C78">
        <w:br w:type="page"/>
      </w:r>
      <w:r w:rsidRPr="00913C78">
        <w:rPr>
          <w:rFonts w:hint="eastAsia"/>
        </w:rPr>
        <w:lastRenderedPageBreak/>
        <w:t>（</w:t>
      </w:r>
      <w:r w:rsidRPr="00913C78">
        <w:t>2</w:t>
      </w:r>
      <w:r w:rsidRPr="00913C78">
        <w:rPr>
          <w:rFonts w:hint="eastAsia"/>
        </w:rPr>
        <w:t>）土方回填量计算</w:t>
      </w:r>
    </w:p>
    <w:p w14:paraId="7B7B1E8F" w14:textId="77777777" w:rsidR="00913C78" w:rsidRPr="00913C78" w:rsidRDefault="00913C78" w:rsidP="00913C78">
      <w:pPr>
        <w:ind w:firstLine="420"/>
      </w:pPr>
      <w:r w:rsidRPr="00913C78">
        <w:rPr>
          <w:rFonts w:hint="eastAsia"/>
        </w:rPr>
        <w:t>确定工程设计建筑室外标高（</w:t>
      </w:r>
      <w:r w:rsidRPr="00913C78">
        <w:rPr>
          <w:rFonts w:hint="eastAsia"/>
        </w:rPr>
        <w:t>m</w:t>
      </w:r>
      <w:r w:rsidRPr="00913C78">
        <w:rPr>
          <w:rFonts w:hint="eastAsia"/>
        </w:rPr>
        <w:t>），原场地标高（</w:t>
      </w:r>
      <w:r w:rsidRPr="00913C78">
        <w:rPr>
          <w:rFonts w:hint="eastAsia"/>
        </w:rPr>
        <w:t>m</w:t>
      </w:r>
      <w:r w:rsidRPr="00913C78">
        <w:rPr>
          <w:rFonts w:hint="eastAsia"/>
        </w:rPr>
        <w:t>），计算回填土方量的范围是地下室外墙周边至自然地面标高，共计约（万</w:t>
      </w:r>
      <w:r w:rsidRPr="00913C78">
        <w:rPr>
          <w:rFonts w:hint="eastAsia"/>
        </w:rPr>
        <w:t>m</w:t>
      </w:r>
      <w:r w:rsidRPr="00F83296">
        <w:rPr>
          <w:vertAlign w:val="superscript"/>
        </w:rPr>
        <w:t>3</w:t>
      </w:r>
      <w:r w:rsidRPr="00913C78">
        <w:rPr>
          <w:rFonts w:hint="eastAsia"/>
        </w:rPr>
        <w:t>实方）。</w:t>
      </w:r>
    </w:p>
    <w:p w14:paraId="3D50459E" w14:textId="77777777" w:rsidR="00913C78" w:rsidRPr="00913C78" w:rsidRDefault="00913C78" w:rsidP="00913C78">
      <w:pPr>
        <w:ind w:firstLine="420"/>
      </w:pPr>
      <w:bookmarkStart w:id="350" w:name="_Toc476236650"/>
      <w:r w:rsidRPr="00913C78">
        <w:rPr>
          <w:rFonts w:hint="eastAsia"/>
        </w:rPr>
        <w:t>◎</w:t>
      </w:r>
      <w:r w:rsidRPr="00913C78">
        <w:t xml:space="preserve"> </w:t>
      </w:r>
      <w:r w:rsidRPr="00913C78">
        <w:rPr>
          <w:rFonts w:hint="eastAsia"/>
        </w:rPr>
        <w:t>计算</w:t>
      </w:r>
      <w:r w:rsidRPr="00913C78">
        <w:t>结果</w:t>
      </w:r>
      <w:bookmarkEnd w:id="350"/>
    </w:p>
    <w:p w14:paraId="4B8B8701" w14:textId="77777777" w:rsidR="00913C78" w:rsidRPr="00913C78" w:rsidRDefault="00913C78" w:rsidP="00913C78">
      <w:pPr>
        <w:ind w:firstLine="420"/>
      </w:pPr>
      <w:r w:rsidRPr="00913C78">
        <w:rPr>
          <w:rFonts w:hint="eastAsia"/>
        </w:rPr>
        <w:t>土石方平衡计算结果应包括：挖土方量，填土方量，弃方量，借方量。</w:t>
      </w:r>
    </w:p>
    <w:p w14:paraId="42C70B94" w14:textId="77777777" w:rsidR="00913C78" w:rsidRPr="00913C78" w:rsidRDefault="00913C78" w:rsidP="00913C78">
      <w:pPr>
        <w:ind w:firstLine="420"/>
      </w:pPr>
      <w:r w:rsidRPr="00913C78">
        <w:rPr>
          <w:rFonts w:hint="eastAsia"/>
        </w:rPr>
        <w:t>例如</w:t>
      </w:r>
      <w:r w:rsidRPr="00913C78">
        <w:t>：</w:t>
      </w:r>
    </w:p>
    <w:p w14:paraId="6913FAEA" w14:textId="77777777" w:rsidR="00913C78" w:rsidRPr="00913C78" w:rsidRDefault="00913C78" w:rsidP="00913C78">
      <w:pPr>
        <w:ind w:firstLine="420"/>
      </w:pPr>
      <w:r w:rsidRPr="00913C78">
        <w:rPr>
          <w:rFonts w:hint="eastAsia"/>
        </w:rPr>
        <w:t>经过计算分析，并合理组织挖方及填方，挖土方为</w:t>
      </w:r>
      <w:r w:rsidRPr="00913C78">
        <w:rPr>
          <w:rFonts w:hint="eastAsia"/>
        </w:rPr>
        <w:t>_________m</w:t>
      </w:r>
      <w:r w:rsidRPr="00F83296">
        <w:rPr>
          <w:vertAlign w:val="superscript"/>
        </w:rPr>
        <w:t>3</w:t>
      </w:r>
      <w:r w:rsidRPr="00913C78">
        <w:rPr>
          <w:rFonts w:hint="eastAsia"/>
        </w:rPr>
        <w:t>，填土方为</w:t>
      </w:r>
      <w:r w:rsidRPr="00913C78">
        <w:rPr>
          <w:rFonts w:hint="eastAsia"/>
        </w:rPr>
        <w:t>________m</w:t>
      </w:r>
      <w:r w:rsidRPr="00F83296">
        <w:rPr>
          <w:vertAlign w:val="superscript"/>
        </w:rPr>
        <w:t>3</w:t>
      </w:r>
      <w:r w:rsidRPr="00913C78">
        <w:rPr>
          <w:rFonts w:hint="eastAsia"/>
        </w:rPr>
        <w:t>，弃方为</w:t>
      </w:r>
      <w:r w:rsidRPr="00913C78">
        <w:rPr>
          <w:rFonts w:hint="eastAsia"/>
        </w:rPr>
        <w:t>________m</w:t>
      </w:r>
      <w:r w:rsidRPr="00F83296">
        <w:rPr>
          <w:vertAlign w:val="superscript"/>
        </w:rPr>
        <w:t>3</w:t>
      </w:r>
      <w:r w:rsidRPr="00913C78">
        <w:rPr>
          <w:rFonts w:hint="eastAsia"/>
        </w:rPr>
        <w:t>，借方为</w:t>
      </w:r>
      <w:r w:rsidRPr="00913C78">
        <w:rPr>
          <w:rFonts w:hint="eastAsia"/>
        </w:rPr>
        <w:t>________m</w:t>
      </w:r>
      <w:r w:rsidRPr="00F83296">
        <w:rPr>
          <w:vertAlign w:val="superscript"/>
        </w:rPr>
        <w:t>3</w:t>
      </w:r>
      <w:r w:rsidRPr="00913C78">
        <w:rPr>
          <w:rFonts w:hint="eastAsia"/>
        </w:rPr>
        <w:t>，整个项目差土为</w:t>
      </w:r>
      <w:r w:rsidRPr="00913C78">
        <w:t> </w:t>
      </w:r>
      <w:r w:rsidRPr="00913C78">
        <w:rPr>
          <w:rFonts w:hint="eastAsia"/>
        </w:rPr>
        <w:t>________m</w:t>
      </w:r>
      <w:r w:rsidRPr="00F83296">
        <w:rPr>
          <w:vertAlign w:val="superscript"/>
        </w:rPr>
        <w:t>3</w:t>
      </w:r>
      <w:r w:rsidRPr="00913C78">
        <w:rPr>
          <w:rFonts w:hint="eastAsia"/>
        </w:rPr>
        <w:t>，（未）实现土石方平衡。</w:t>
      </w:r>
    </w:p>
    <w:p w14:paraId="3E8DCE28" w14:textId="77777777" w:rsidR="00913C78" w:rsidRPr="00913C78" w:rsidRDefault="00913C78" w:rsidP="00762DED">
      <w:pPr>
        <w:pStyle w:val="32"/>
      </w:pPr>
      <w:bookmarkStart w:id="351" w:name="_Toc476236651"/>
      <w:bookmarkStart w:id="352" w:name="_Toc35364799"/>
      <w:r w:rsidRPr="00913C78">
        <w:rPr>
          <w:rFonts w:hint="eastAsia"/>
        </w:rPr>
        <w:t xml:space="preserve">B.1.3 </w:t>
      </w:r>
      <w:r w:rsidRPr="00913C78">
        <w:t xml:space="preserve"> </w:t>
      </w:r>
      <w:r w:rsidRPr="00913C78">
        <w:rPr>
          <w:rFonts w:hint="eastAsia"/>
        </w:rPr>
        <w:t>结论</w:t>
      </w:r>
      <w:bookmarkEnd w:id="351"/>
      <w:bookmarkEnd w:id="352"/>
    </w:p>
    <w:p w14:paraId="612AA4A1" w14:textId="77777777" w:rsidR="00913C78" w:rsidRPr="00913C78" w:rsidRDefault="00913C78" w:rsidP="00913C78">
      <w:pPr>
        <w:ind w:firstLine="420"/>
      </w:pPr>
      <w:r w:rsidRPr="00913C78">
        <w:rPr>
          <w:rFonts w:hint="eastAsia"/>
        </w:rPr>
        <w:t>对结果进行达标判定，</w:t>
      </w:r>
      <w:r w:rsidRPr="00913C78">
        <w:t>并</w:t>
      </w:r>
      <w:r w:rsidRPr="00913C78">
        <w:rPr>
          <w:rFonts w:hint="eastAsia"/>
        </w:rPr>
        <w:t>给出结论。</w:t>
      </w:r>
    </w:p>
    <w:p w14:paraId="3BFA94FF" w14:textId="77777777" w:rsidR="00913C78" w:rsidRPr="00913C78" w:rsidRDefault="00913C78" w:rsidP="00762DED">
      <w:pPr>
        <w:pStyle w:val="32"/>
      </w:pPr>
      <w:bookmarkStart w:id="353" w:name="_Toc476236652"/>
      <w:bookmarkStart w:id="354" w:name="_Toc35364800"/>
      <w:r w:rsidRPr="00913C78">
        <w:rPr>
          <w:rFonts w:hint="eastAsia"/>
        </w:rPr>
        <w:t>B.1.</w:t>
      </w:r>
      <w:r w:rsidRPr="00913C78">
        <w:t>4</w:t>
      </w:r>
      <w:r w:rsidRPr="00913C78">
        <w:rPr>
          <w:rFonts w:hint="eastAsia"/>
        </w:rPr>
        <w:t xml:space="preserve">  </w:t>
      </w:r>
      <w:r w:rsidRPr="00913C78">
        <w:rPr>
          <w:rFonts w:hint="eastAsia"/>
        </w:rPr>
        <w:t>审查要点</w:t>
      </w:r>
      <w:bookmarkEnd w:id="353"/>
      <w:r w:rsidRPr="00913C78">
        <w:rPr>
          <w:rFonts w:hint="eastAsia"/>
        </w:rPr>
        <w:t>（附表</w:t>
      </w:r>
      <w:r w:rsidRPr="00913C78">
        <w:rPr>
          <w:rFonts w:hint="eastAsia"/>
        </w:rPr>
        <w:t>B.1.1</w:t>
      </w:r>
      <w:r w:rsidRPr="00913C78">
        <w:rPr>
          <w:rFonts w:hint="eastAsia"/>
        </w:rPr>
        <w:t>）</w:t>
      </w:r>
      <w:bookmarkEnd w:id="354"/>
    </w:p>
    <w:p w14:paraId="1732D2AE" w14:textId="77777777" w:rsidR="00913C78" w:rsidRPr="00913C78" w:rsidRDefault="00913C78" w:rsidP="00762DED">
      <w:pPr>
        <w:pStyle w:val="ae"/>
      </w:pPr>
      <w:r w:rsidRPr="00913C78">
        <w:rPr>
          <w:rFonts w:hint="eastAsia"/>
        </w:rPr>
        <w:t>附表</w:t>
      </w:r>
      <w:r w:rsidRPr="00913C78">
        <w:rPr>
          <w:rFonts w:hint="eastAsia"/>
        </w:rPr>
        <w:t xml:space="preserve">B.1.1  </w:t>
      </w:r>
      <w:r w:rsidRPr="00913C78">
        <w:rPr>
          <w:rFonts w:hint="eastAsia"/>
        </w:rPr>
        <w:t>土石方平衡分析计算报告专家判断表</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625"/>
        <w:gridCol w:w="1218"/>
        <w:gridCol w:w="4585"/>
        <w:gridCol w:w="1085"/>
      </w:tblGrid>
      <w:tr w:rsidR="00913C78" w:rsidRPr="00762DED" w14:paraId="46C9FC32" w14:textId="77777777" w:rsidTr="008F38C5">
        <w:trPr>
          <w:jc w:val="center"/>
        </w:trPr>
        <w:tc>
          <w:tcPr>
            <w:tcW w:w="625" w:type="dxa"/>
            <w:shd w:val="clear" w:color="auto" w:fill="auto"/>
            <w:vAlign w:val="center"/>
            <w:hideMark/>
          </w:tcPr>
          <w:p w14:paraId="13C92119" w14:textId="77777777" w:rsidR="00913C78" w:rsidRPr="00762DED" w:rsidRDefault="00913C78" w:rsidP="00762DED">
            <w:pPr>
              <w:pStyle w:val="ae"/>
              <w:rPr>
                <w:b w:val="0"/>
                <w:bCs/>
              </w:rPr>
            </w:pPr>
            <w:r w:rsidRPr="00762DED">
              <w:rPr>
                <w:rFonts w:hint="eastAsia"/>
                <w:b w:val="0"/>
                <w:bCs/>
              </w:rPr>
              <w:t>编号</w:t>
            </w:r>
          </w:p>
        </w:tc>
        <w:tc>
          <w:tcPr>
            <w:tcW w:w="1218" w:type="dxa"/>
            <w:shd w:val="clear" w:color="auto" w:fill="auto"/>
            <w:vAlign w:val="center"/>
            <w:hideMark/>
          </w:tcPr>
          <w:p w14:paraId="2607854A" w14:textId="77777777" w:rsidR="00913C78" w:rsidRPr="00762DED" w:rsidRDefault="00913C78" w:rsidP="00762DED">
            <w:pPr>
              <w:pStyle w:val="ae"/>
              <w:rPr>
                <w:b w:val="0"/>
                <w:bCs/>
              </w:rPr>
            </w:pPr>
            <w:r w:rsidRPr="00762DED">
              <w:rPr>
                <w:rFonts w:hint="eastAsia"/>
                <w:b w:val="0"/>
                <w:bCs/>
              </w:rPr>
              <w:t>审查要点</w:t>
            </w:r>
          </w:p>
        </w:tc>
        <w:tc>
          <w:tcPr>
            <w:tcW w:w="4585" w:type="dxa"/>
            <w:shd w:val="clear" w:color="auto" w:fill="auto"/>
            <w:vAlign w:val="center"/>
            <w:hideMark/>
          </w:tcPr>
          <w:p w14:paraId="09912D1F" w14:textId="77777777" w:rsidR="00913C78" w:rsidRPr="00762DED" w:rsidRDefault="00913C78" w:rsidP="00762DED">
            <w:pPr>
              <w:pStyle w:val="af7"/>
              <w:jc w:val="center"/>
            </w:pPr>
            <w:r w:rsidRPr="00762DED">
              <w:rPr>
                <w:rFonts w:hint="eastAsia"/>
              </w:rPr>
              <w:t>具体判断</w:t>
            </w:r>
          </w:p>
        </w:tc>
        <w:tc>
          <w:tcPr>
            <w:tcW w:w="1085" w:type="dxa"/>
            <w:shd w:val="clear" w:color="auto" w:fill="auto"/>
            <w:vAlign w:val="center"/>
            <w:hideMark/>
          </w:tcPr>
          <w:p w14:paraId="217CAB72" w14:textId="77777777" w:rsidR="00913C78" w:rsidRPr="00762DED" w:rsidRDefault="00913C78" w:rsidP="00762DED">
            <w:pPr>
              <w:pStyle w:val="ae"/>
              <w:rPr>
                <w:b w:val="0"/>
                <w:bCs/>
              </w:rPr>
            </w:pPr>
            <w:r w:rsidRPr="00762DED">
              <w:rPr>
                <w:rFonts w:hint="eastAsia"/>
                <w:b w:val="0"/>
                <w:bCs/>
              </w:rPr>
              <w:t>是否满足</w:t>
            </w:r>
          </w:p>
        </w:tc>
      </w:tr>
      <w:tr w:rsidR="00913C78" w:rsidRPr="00762DED" w14:paraId="51CBE6BA" w14:textId="77777777" w:rsidTr="008F38C5">
        <w:trPr>
          <w:jc w:val="center"/>
        </w:trPr>
        <w:tc>
          <w:tcPr>
            <w:tcW w:w="625" w:type="dxa"/>
            <w:shd w:val="clear" w:color="auto" w:fill="auto"/>
            <w:vAlign w:val="center"/>
            <w:hideMark/>
          </w:tcPr>
          <w:p w14:paraId="4DDCE474" w14:textId="77777777" w:rsidR="00913C78" w:rsidRPr="00762DED" w:rsidRDefault="00913C78" w:rsidP="00762DED">
            <w:pPr>
              <w:pStyle w:val="ae"/>
              <w:rPr>
                <w:b w:val="0"/>
                <w:bCs/>
              </w:rPr>
            </w:pPr>
            <w:r w:rsidRPr="00762DED">
              <w:rPr>
                <w:rFonts w:hint="eastAsia"/>
                <w:b w:val="0"/>
                <w:bCs/>
              </w:rPr>
              <w:t>1</w:t>
            </w:r>
          </w:p>
        </w:tc>
        <w:tc>
          <w:tcPr>
            <w:tcW w:w="1218" w:type="dxa"/>
            <w:shd w:val="clear" w:color="auto" w:fill="auto"/>
            <w:vAlign w:val="center"/>
            <w:hideMark/>
          </w:tcPr>
          <w:p w14:paraId="2E350B43" w14:textId="77777777" w:rsidR="00913C78" w:rsidRPr="00762DED" w:rsidRDefault="00913C78" w:rsidP="00762DED">
            <w:pPr>
              <w:pStyle w:val="ae"/>
              <w:rPr>
                <w:b w:val="0"/>
                <w:bCs/>
              </w:rPr>
            </w:pPr>
            <w:r w:rsidRPr="00762DED">
              <w:rPr>
                <w:rFonts w:hint="eastAsia"/>
                <w:b w:val="0"/>
                <w:bCs/>
              </w:rPr>
              <w:t>计算依据</w:t>
            </w:r>
          </w:p>
        </w:tc>
        <w:tc>
          <w:tcPr>
            <w:tcW w:w="4585" w:type="dxa"/>
            <w:shd w:val="clear" w:color="auto" w:fill="auto"/>
            <w:vAlign w:val="center"/>
            <w:hideMark/>
          </w:tcPr>
          <w:p w14:paraId="43FDCA01" w14:textId="77777777" w:rsidR="00913C78" w:rsidRPr="00762DED" w:rsidRDefault="00913C78" w:rsidP="00762DED">
            <w:pPr>
              <w:pStyle w:val="af7"/>
            </w:pPr>
            <w:r w:rsidRPr="00762DED">
              <w:rPr>
                <w:rFonts w:hint="eastAsia"/>
              </w:rPr>
              <w:t>计算基础数据有可靠来源，写明基础数据及来源、参考标准、资料</w:t>
            </w:r>
          </w:p>
        </w:tc>
        <w:tc>
          <w:tcPr>
            <w:tcW w:w="1085" w:type="dxa"/>
            <w:shd w:val="clear" w:color="auto" w:fill="auto"/>
            <w:vAlign w:val="center"/>
            <w:hideMark/>
          </w:tcPr>
          <w:p w14:paraId="7A3B58D5" w14:textId="77777777" w:rsidR="00913C78" w:rsidRPr="00762DED" w:rsidRDefault="00913C78" w:rsidP="00762DED">
            <w:pPr>
              <w:pStyle w:val="ae"/>
              <w:rPr>
                <w:b w:val="0"/>
                <w:bCs/>
              </w:rPr>
            </w:pPr>
          </w:p>
        </w:tc>
      </w:tr>
      <w:tr w:rsidR="00913C78" w:rsidRPr="00762DED" w14:paraId="3DECE363" w14:textId="77777777" w:rsidTr="008F38C5">
        <w:trPr>
          <w:jc w:val="center"/>
        </w:trPr>
        <w:tc>
          <w:tcPr>
            <w:tcW w:w="625" w:type="dxa"/>
            <w:shd w:val="clear" w:color="auto" w:fill="auto"/>
            <w:vAlign w:val="center"/>
            <w:hideMark/>
          </w:tcPr>
          <w:p w14:paraId="165F5772" w14:textId="77777777" w:rsidR="00913C78" w:rsidRPr="00762DED" w:rsidRDefault="00913C78" w:rsidP="00762DED">
            <w:pPr>
              <w:pStyle w:val="ae"/>
              <w:rPr>
                <w:b w:val="0"/>
                <w:bCs/>
              </w:rPr>
            </w:pPr>
            <w:r w:rsidRPr="00762DED">
              <w:rPr>
                <w:rFonts w:hint="eastAsia"/>
                <w:b w:val="0"/>
                <w:bCs/>
              </w:rPr>
              <w:t>2</w:t>
            </w:r>
          </w:p>
        </w:tc>
        <w:tc>
          <w:tcPr>
            <w:tcW w:w="1218" w:type="dxa"/>
            <w:shd w:val="clear" w:color="auto" w:fill="auto"/>
            <w:vAlign w:val="center"/>
            <w:hideMark/>
          </w:tcPr>
          <w:p w14:paraId="62AA7D24" w14:textId="77777777" w:rsidR="00913C78" w:rsidRPr="00762DED" w:rsidRDefault="00913C78" w:rsidP="00762DED">
            <w:pPr>
              <w:pStyle w:val="ae"/>
              <w:rPr>
                <w:b w:val="0"/>
                <w:bCs/>
              </w:rPr>
            </w:pPr>
            <w:r w:rsidRPr="00762DED">
              <w:rPr>
                <w:rFonts w:hint="eastAsia"/>
                <w:b w:val="0"/>
                <w:bCs/>
              </w:rPr>
              <w:t>计算方法</w:t>
            </w:r>
          </w:p>
        </w:tc>
        <w:tc>
          <w:tcPr>
            <w:tcW w:w="4585" w:type="dxa"/>
            <w:shd w:val="clear" w:color="auto" w:fill="auto"/>
            <w:vAlign w:val="center"/>
            <w:hideMark/>
          </w:tcPr>
          <w:p w14:paraId="418FA7EB" w14:textId="77777777" w:rsidR="00913C78" w:rsidRPr="00762DED" w:rsidRDefault="00913C78" w:rsidP="00762DED">
            <w:pPr>
              <w:pStyle w:val="af7"/>
            </w:pPr>
            <w:r w:rsidRPr="00762DED">
              <w:rPr>
                <w:rFonts w:hint="eastAsia"/>
              </w:rPr>
              <w:t>计算方法明确</w:t>
            </w:r>
            <w:r w:rsidRPr="00762DED">
              <w:t>，计算过程</w:t>
            </w:r>
            <w:r w:rsidRPr="00762DED">
              <w:rPr>
                <w:rFonts w:hint="eastAsia"/>
              </w:rPr>
              <w:t>清晰</w:t>
            </w:r>
          </w:p>
        </w:tc>
        <w:tc>
          <w:tcPr>
            <w:tcW w:w="1085" w:type="dxa"/>
            <w:shd w:val="clear" w:color="auto" w:fill="auto"/>
            <w:vAlign w:val="center"/>
            <w:hideMark/>
          </w:tcPr>
          <w:p w14:paraId="3F29B40B" w14:textId="77777777" w:rsidR="00913C78" w:rsidRPr="00762DED" w:rsidRDefault="00913C78" w:rsidP="00762DED">
            <w:pPr>
              <w:pStyle w:val="ae"/>
              <w:rPr>
                <w:b w:val="0"/>
                <w:bCs/>
              </w:rPr>
            </w:pPr>
          </w:p>
        </w:tc>
      </w:tr>
      <w:tr w:rsidR="00913C78" w:rsidRPr="00762DED" w14:paraId="2810386D" w14:textId="77777777" w:rsidTr="008F38C5">
        <w:trPr>
          <w:jc w:val="center"/>
        </w:trPr>
        <w:tc>
          <w:tcPr>
            <w:tcW w:w="625" w:type="dxa"/>
            <w:vMerge w:val="restart"/>
            <w:shd w:val="clear" w:color="auto" w:fill="auto"/>
            <w:vAlign w:val="center"/>
            <w:hideMark/>
          </w:tcPr>
          <w:p w14:paraId="43DC1B31" w14:textId="77777777" w:rsidR="00913C78" w:rsidRPr="00762DED" w:rsidRDefault="00913C78" w:rsidP="00762DED">
            <w:pPr>
              <w:pStyle w:val="ae"/>
              <w:rPr>
                <w:b w:val="0"/>
                <w:bCs/>
              </w:rPr>
            </w:pPr>
            <w:r w:rsidRPr="00762DED">
              <w:rPr>
                <w:rFonts w:hint="eastAsia"/>
                <w:b w:val="0"/>
                <w:bCs/>
              </w:rPr>
              <w:t>3</w:t>
            </w:r>
          </w:p>
        </w:tc>
        <w:tc>
          <w:tcPr>
            <w:tcW w:w="1218" w:type="dxa"/>
            <w:vMerge w:val="restart"/>
            <w:shd w:val="clear" w:color="auto" w:fill="auto"/>
            <w:vAlign w:val="center"/>
            <w:hideMark/>
          </w:tcPr>
          <w:p w14:paraId="6E0BF28D" w14:textId="77777777" w:rsidR="00913C78" w:rsidRPr="00762DED" w:rsidRDefault="00913C78" w:rsidP="00762DED">
            <w:pPr>
              <w:pStyle w:val="ae"/>
              <w:rPr>
                <w:b w:val="0"/>
                <w:bCs/>
              </w:rPr>
            </w:pPr>
            <w:r w:rsidRPr="00762DED">
              <w:rPr>
                <w:rFonts w:hint="eastAsia"/>
                <w:b w:val="0"/>
                <w:bCs/>
              </w:rPr>
              <w:t>计算内容</w:t>
            </w:r>
          </w:p>
        </w:tc>
        <w:tc>
          <w:tcPr>
            <w:tcW w:w="4585" w:type="dxa"/>
            <w:shd w:val="clear" w:color="auto" w:fill="auto"/>
            <w:vAlign w:val="center"/>
            <w:hideMark/>
          </w:tcPr>
          <w:p w14:paraId="5B64FD90" w14:textId="77777777" w:rsidR="00913C78" w:rsidRPr="00762DED" w:rsidRDefault="00913C78" w:rsidP="00762DED">
            <w:pPr>
              <w:pStyle w:val="af7"/>
            </w:pPr>
            <w:r w:rsidRPr="00762DED">
              <w:rPr>
                <w:rFonts w:hint="eastAsia"/>
              </w:rPr>
              <w:t>土方开挖量计算正确</w:t>
            </w:r>
            <w:r w:rsidRPr="00762DED">
              <w:t>，</w:t>
            </w:r>
            <w:r w:rsidRPr="00762DED">
              <w:rPr>
                <w:rFonts w:hint="eastAsia"/>
              </w:rPr>
              <w:t>有原地面标高测量成果图</w:t>
            </w:r>
          </w:p>
        </w:tc>
        <w:tc>
          <w:tcPr>
            <w:tcW w:w="1085" w:type="dxa"/>
            <w:shd w:val="clear" w:color="auto" w:fill="auto"/>
            <w:vAlign w:val="center"/>
            <w:hideMark/>
          </w:tcPr>
          <w:p w14:paraId="4C605E58" w14:textId="77777777" w:rsidR="00913C78" w:rsidRPr="00762DED" w:rsidRDefault="00913C78" w:rsidP="00762DED">
            <w:pPr>
              <w:pStyle w:val="ae"/>
              <w:rPr>
                <w:b w:val="0"/>
                <w:bCs/>
              </w:rPr>
            </w:pPr>
          </w:p>
        </w:tc>
      </w:tr>
      <w:tr w:rsidR="00913C78" w:rsidRPr="00762DED" w14:paraId="6B1929C0" w14:textId="77777777" w:rsidTr="008F38C5">
        <w:trPr>
          <w:jc w:val="center"/>
        </w:trPr>
        <w:tc>
          <w:tcPr>
            <w:tcW w:w="625" w:type="dxa"/>
            <w:vMerge/>
            <w:shd w:val="clear" w:color="auto" w:fill="auto"/>
            <w:vAlign w:val="center"/>
          </w:tcPr>
          <w:p w14:paraId="11517B00" w14:textId="77777777" w:rsidR="00913C78" w:rsidRPr="00762DED" w:rsidRDefault="00913C78" w:rsidP="00762DED">
            <w:pPr>
              <w:pStyle w:val="ae"/>
              <w:rPr>
                <w:b w:val="0"/>
                <w:bCs/>
              </w:rPr>
            </w:pPr>
          </w:p>
        </w:tc>
        <w:tc>
          <w:tcPr>
            <w:tcW w:w="1218" w:type="dxa"/>
            <w:vMerge/>
            <w:shd w:val="clear" w:color="auto" w:fill="auto"/>
            <w:vAlign w:val="center"/>
          </w:tcPr>
          <w:p w14:paraId="7DE87AD3" w14:textId="77777777" w:rsidR="00913C78" w:rsidRPr="00762DED" w:rsidRDefault="00913C78" w:rsidP="00762DED">
            <w:pPr>
              <w:pStyle w:val="ae"/>
              <w:rPr>
                <w:b w:val="0"/>
                <w:bCs/>
              </w:rPr>
            </w:pPr>
          </w:p>
        </w:tc>
        <w:tc>
          <w:tcPr>
            <w:tcW w:w="4585" w:type="dxa"/>
            <w:shd w:val="clear" w:color="auto" w:fill="auto"/>
            <w:vAlign w:val="center"/>
          </w:tcPr>
          <w:p w14:paraId="5ABCE9F6" w14:textId="77777777" w:rsidR="00913C78" w:rsidRPr="00762DED" w:rsidRDefault="00913C78" w:rsidP="00762DED">
            <w:pPr>
              <w:pStyle w:val="af7"/>
            </w:pPr>
            <w:r w:rsidRPr="00762DED">
              <w:rPr>
                <w:rFonts w:hint="eastAsia"/>
              </w:rPr>
              <w:t>土方回填量计算正确</w:t>
            </w:r>
          </w:p>
        </w:tc>
        <w:tc>
          <w:tcPr>
            <w:tcW w:w="1085" w:type="dxa"/>
            <w:shd w:val="clear" w:color="auto" w:fill="auto"/>
            <w:vAlign w:val="center"/>
          </w:tcPr>
          <w:p w14:paraId="1C685F35" w14:textId="77777777" w:rsidR="00913C78" w:rsidRPr="00762DED" w:rsidRDefault="00913C78" w:rsidP="00762DED">
            <w:pPr>
              <w:pStyle w:val="ae"/>
              <w:rPr>
                <w:b w:val="0"/>
                <w:bCs/>
              </w:rPr>
            </w:pPr>
          </w:p>
        </w:tc>
      </w:tr>
      <w:tr w:rsidR="00913C78" w:rsidRPr="00762DED" w14:paraId="1F026FE1" w14:textId="77777777" w:rsidTr="008F38C5">
        <w:trPr>
          <w:jc w:val="center"/>
        </w:trPr>
        <w:tc>
          <w:tcPr>
            <w:tcW w:w="625" w:type="dxa"/>
            <w:shd w:val="clear" w:color="auto" w:fill="auto"/>
            <w:vAlign w:val="center"/>
          </w:tcPr>
          <w:p w14:paraId="3F639F1D" w14:textId="77777777" w:rsidR="00913C78" w:rsidRPr="00762DED" w:rsidRDefault="00913C78" w:rsidP="00762DED">
            <w:pPr>
              <w:pStyle w:val="ae"/>
              <w:rPr>
                <w:b w:val="0"/>
                <w:bCs/>
              </w:rPr>
            </w:pPr>
            <w:r w:rsidRPr="00762DED">
              <w:rPr>
                <w:rFonts w:hint="eastAsia"/>
                <w:b w:val="0"/>
                <w:bCs/>
              </w:rPr>
              <w:t>4</w:t>
            </w:r>
          </w:p>
        </w:tc>
        <w:tc>
          <w:tcPr>
            <w:tcW w:w="1218" w:type="dxa"/>
            <w:shd w:val="clear" w:color="auto" w:fill="auto"/>
            <w:vAlign w:val="center"/>
          </w:tcPr>
          <w:p w14:paraId="6BDBF8D2" w14:textId="77777777" w:rsidR="00913C78" w:rsidRPr="00762DED" w:rsidRDefault="00913C78" w:rsidP="00762DED">
            <w:pPr>
              <w:pStyle w:val="ae"/>
              <w:rPr>
                <w:b w:val="0"/>
                <w:bCs/>
              </w:rPr>
            </w:pPr>
            <w:r w:rsidRPr="00762DED">
              <w:rPr>
                <w:rFonts w:hint="eastAsia"/>
                <w:b w:val="0"/>
                <w:bCs/>
              </w:rPr>
              <w:t>计算结果</w:t>
            </w:r>
          </w:p>
        </w:tc>
        <w:tc>
          <w:tcPr>
            <w:tcW w:w="4585" w:type="dxa"/>
            <w:shd w:val="clear" w:color="auto" w:fill="auto"/>
            <w:vAlign w:val="center"/>
          </w:tcPr>
          <w:p w14:paraId="70E56F98" w14:textId="77777777" w:rsidR="00913C78" w:rsidRPr="00762DED" w:rsidRDefault="00913C78" w:rsidP="00762DED">
            <w:pPr>
              <w:pStyle w:val="af7"/>
            </w:pPr>
            <w:r w:rsidRPr="00762DED">
              <w:rPr>
                <w:rFonts w:hint="eastAsia"/>
              </w:rPr>
              <w:t>计算结果包括：挖土方量，填土方量，弃方量，借方量。</w:t>
            </w:r>
            <w:r w:rsidRPr="00762DED">
              <w:t>通过</w:t>
            </w:r>
            <w:r w:rsidRPr="00762DED">
              <w:rPr>
                <w:rFonts w:hint="eastAsia"/>
              </w:rPr>
              <w:t>计算</w:t>
            </w:r>
            <w:r w:rsidRPr="00762DED">
              <w:t>，</w:t>
            </w:r>
            <w:r w:rsidRPr="00762DED">
              <w:rPr>
                <w:rFonts w:hint="eastAsia"/>
              </w:rPr>
              <w:t>能够实现土石方平衡</w:t>
            </w:r>
          </w:p>
        </w:tc>
        <w:tc>
          <w:tcPr>
            <w:tcW w:w="1085" w:type="dxa"/>
            <w:shd w:val="clear" w:color="auto" w:fill="auto"/>
            <w:vAlign w:val="center"/>
          </w:tcPr>
          <w:p w14:paraId="2CF71C39" w14:textId="77777777" w:rsidR="00913C78" w:rsidRPr="00762DED" w:rsidRDefault="00913C78" w:rsidP="00762DED">
            <w:pPr>
              <w:pStyle w:val="ae"/>
              <w:rPr>
                <w:b w:val="0"/>
                <w:bCs/>
              </w:rPr>
            </w:pPr>
          </w:p>
        </w:tc>
      </w:tr>
    </w:tbl>
    <w:p w14:paraId="0C8BB0E6" w14:textId="77777777" w:rsidR="00762DED" w:rsidRDefault="00762DED" w:rsidP="00913C78">
      <w:pPr>
        <w:ind w:firstLine="420"/>
      </w:pPr>
    </w:p>
    <w:p w14:paraId="45807B78" w14:textId="77777777" w:rsidR="00762DED" w:rsidRDefault="00762DED">
      <w:pPr>
        <w:widowControl/>
        <w:spacing w:line="240" w:lineRule="auto"/>
        <w:ind w:firstLineChars="0" w:firstLine="0"/>
        <w:jc w:val="left"/>
      </w:pPr>
      <w:r>
        <w:br w:type="page"/>
      </w:r>
    </w:p>
    <w:p w14:paraId="3B8AD4EB" w14:textId="660E1675" w:rsidR="00913C78" w:rsidRPr="00913C78" w:rsidRDefault="00913C78" w:rsidP="00762DED">
      <w:pPr>
        <w:pStyle w:val="24"/>
      </w:pPr>
      <w:bookmarkStart w:id="355" w:name="_Toc35364801"/>
      <w:r w:rsidRPr="00913C78">
        <w:rPr>
          <w:rFonts w:hint="eastAsia"/>
        </w:rPr>
        <w:lastRenderedPageBreak/>
        <w:t>附录</w:t>
      </w:r>
      <w:r w:rsidRPr="00913C78">
        <w:rPr>
          <w:rFonts w:hint="eastAsia"/>
        </w:rPr>
        <w:t>B.</w:t>
      </w:r>
      <w:r w:rsidRPr="00913C78">
        <w:t>2</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——可再生能源利用率分析计算报告提纲及要求</w:t>
      </w:r>
      <w:bookmarkEnd w:id="355"/>
    </w:p>
    <w:p w14:paraId="58170E77" w14:textId="77777777" w:rsidR="00913C78" w:rsidRPr="00913C78" w:rsidRDefault="00913C78" w:rsidP="00762DED">
      <w:pPr>
        <w:pStyle w:val="32"/>
      </w:pPr>
      <w:bookmarkStart w:id="356" w:name="_Toc476236509"/>
      <w:bookmarkStart w:id="357" w:name="_Toc35364802"/>
      <w:r w:rsidRPr="00913C78">
        <w:rPr>
          <w:rFonts w:hint="eastAsia"/>
        </w:rPr>
        <w:t xml:space="preserve">B.2.1 </w:t>
      </w:r>
      <w:r w:rsidRPr="00913C78">
        <w:t>综合概况</w:t>
      </w:r>
      <w:bookmarkEnd w:id="356"/>
      <w:bookmarkEnd w:id="357"/>
    </w:p>
    <w:p w14:paraId="0792D5EF" w14:textId="77777777" w:rsidR="00913C78" w:rsidRPr="00913C78" w:rsidRDefault="00913C78" w:rsidP="00913C78">
      <w:pPr>
        <w:ind w:firstLine="420"/>
      </w:pPr>
      <w:bookmarkStart w:id="358" w:name="_Toc476236510"/>
      <w:r w:rsidRPr="00913C78">
        <w:rPr>
          <w:rFonts w:hint="eastAsia"/>
        </w:rPr>
        <w:t>◎</w:t>
      </w:r>
      <w:r w:rsidRPr="00913C78">
        <w:t xml:space="preserve"> </w:t>
      </w:r>
      <w:r w:rsidRPr="00913C78">
        <w:rPr>
          <w:rFonts w:hint="eastAsia"/>
        </w:rPr>
        <w:t>项目基本信息</w:t>
      </w:r>
      <w:bookmarkEnd w:id="358"/>
    </w:p>
    <w:p w14:paraId="2725D81D" w14:textId="77777777" w:rsidR="00913C78" w:rsidRPr="00913C78" w:rsidRDefault="00913C78" w:rsidP="00913C78">
      <w:pPr>
        <w:ind w:firstLine="420"/>
      </w:pPr>
      <w:r w:rsidRPr="00913C78">
        <w:rPr>
          <w:rFonts w:hint="eastAsia"/>
        </w:rPr>
        <w:t>项目基本信息项目应包括但</w:t>
      </w:r>
      <w:r w:rsidRPr="00913C78">
        <w:t>不限于</w:t>
      </w:r>
      <w:r w:rsidRPr="00913C78">
        <w:rPr>
          <w:rFonts w:hint="eastAsia"/>
        </w:rPr>
        <w:t>：建筑</w:t>
      </w:r>
      <w:r w:rsidRPr="00913C78">
        <w:t>位置</w:t>
      </w:r>
      <w:r w:rsidRPr="00913C78">
        <w:rPr>
          <w:rFonts w:hint="eastAsia"/>
        </w:rPr>
        <w:t>、占地面积、建筑</w:t>
      </w:r>
      <w:r w:rsidRPr="00913C78">
        <w:t>面积、</w:t>
      </w:r>
      <w:r w:rsidRPr="00913C78">
        <w:rPr>
          <w:rFonts w:hint="eastAsia"/>
        </w:rPr>
        <w:t>建筑类型</w:t>
      </w:r>
      <w:r w:rsidRPr="00913C78">
        <w:t>。</w:t>
      </w:r>
    </w:p>
    <w:p w14:paraId="71E0A367" w14:textId="77777777" w:rsidR="00913C78" w:rsidRPr="00913C78" w:rsidRDefault="00913C78" w:rsidP="00913C78">
      <w:pPr>
        <w:ind w:firstLine="420"/>
      </w:pPr>
      <w:bookmarkStart w:id="359" w:name="_Toc476236511"/>
      <w:r w:rsidRPr="00913C78">
        <w:rPr>
          <w:rFonts w:hint="eastAsia"/>
        </w:rPr>
        <w:t>◎</w:t>
      </w:r>
      <w:r w:rsidRPr="00913C78">
        <w:t xml:space="preserve"> </w:t>
      </w:r>
      <w:r w:rsidRPr="00913C78">
        <w:rPr>
          <w:rFonts w:hint="eastAsia"/>
        </w:rPr>
        <w:t>标准要求</w:t>
      </w:r>
      <w:bookmarkEnd w:id="359"/>
    </w:p>
    <w:p w14:paraId="51E9A293" w14:textId="77777777" w:rsidR="00913C78" w:rsidRPr="00913C78" w:rsidRDefault="00913C78" w:rsidP="00913C78">
      <w:pPr>
        <w:ind w:firstLine="420"/>
      </w:pPr>
      <w:r w:rsidRPr="00913C78">
        <w:rPr>
          <w:rFonts w:hint="eastAsia"/>
        </w:rPr>
        <w:t>标准要求应</w:t>
      </w:r>
      <w:r w:rsidRPr="00913C78">
        <w:t>包括：</w:t>
      </w:r>
      <w:r w:rsidRPr="00913C78">
        <w:rPr>
          <w:rFonts w:hint="eastAsia"/>
        </w:rPr>
        <w:t>对应的绿色建筑标准及条款、标准规定的计算要求、评分要求及达标要求。</w:t>
      </w:r>
    </w:p>
    <w:p w14:paraId="0B0EBA7F" w14:textId="7CAA9D9F" w:rsidR="00913C78" w:rsidRPr="00913C78" w:rsidRDefault="00913C78" w:rsidP="00762DED">
      <w:pPr>
        <w:pStyle w:val="32"/>
      </w:pPr>
      <w:bookmarkStart w:id="360" w:name="_Toc476236512"/>
      <w:bookmarkStart w:id="361" w:name="_Toc35364803"/>
      <w:r w:rsidRPr="00913C78">
        <w:rPr>
          <w:rFonts w:hint="eastAsia"/>
        </w:rPr>
        <w:t xml:space="preserve">B.2.2  </w:t>
      </w:r>
      <w:r w:rsidRPr="00913C78">
        <w:rPr>
          <w:rFonts w:hint="eastAsia"/>
        </w:rPr>
        <w:t>计算过程</w:t>
      </w:r>
      <w:bookmarkEnd w:id="360"/>
      <w:bookmarkEnd w:id="361"/>
    </w:p>
    <w:p w14:paraId="4F154C7D" w14:textId="77777777" w:rsidR="00913C78" w:rsidRPr="00913C78" w:rsidRDefault="00913C78" w:rsidP="00913C78">
      <w:pPr>
        <w:ind w:firstLine="420"/>
      </w:pPr>
      <w:bookmarkStart w:id="362" w:name="_Toc476236513"/>
      <w:r w:rsidRPr="00913C78">
        <w:rPr>
          <w:rFonts w:hint="eastAsia"/>
        </w:rPr>
        <w:t>◎</w:t>
      </w:r>
      <w:r w:rsidRPr="00913C78">
        <w:t xml:space="preserve"> </w:t>
      </w:r>
      <w:r w:rsidRPr="00913C78">
        <w:rPr>
          <w:rFonts w:hint="eastAsia"/>
        </w:rPr>
        <w:t>计算依据</w:t>
      </w:r>
      <w:bookmarkEnd w:id="362"/>
    </w:p>
    <w:p w14:paraId="7F2433A5" w14:textId="77777777" w:rsidR="00913C78" w:rsidRPr="00913C78" w:rsidRDefault="00913C78" w:rsidP="00913C78">
      <w:pPr>
        <w:ind w:firstLine="420"/>
      </w:pPr>
      <w:r w:rsidRPr="00913C78">
        <w:rPr>
          <w:rFonts w:hint="eastAsia"/>
        </w:rPr>
        <w:t>计算依据应包括但不限于：应</w:t>
      </w:r>
      <w:r w:rsidRPr="00913C78">
        <w:t>写明</w:t>
      </w:r>
      <w:r w:rsidRPr="00913C78">
        <w:rPr>
          <w:rFonts w:hint="eastAsia"/>
        </w:rPr>
        <w:t>基础</w:t>
      </w:r>
      <w:r w:rsidRPr="00913C78">
        <w:t>数据</w:t>
      </w:r>
      <w:r w:rsidRPr="00913C78">
        <w:rPr>
          <w:rFonts w:hint="eastAsia"/>
        </w:rPr>
        <w:t>及</w:t>
      </w:r>
      <w:r w:rsidRPr="00913C78">
        <w:t>来源</w:t>
      </w:r>
      <w:r w:rsidRPr="00913C78">
        <w:rPr>
          <w:rFonts w:hint="eastAsia"/>
        </w:rPr>
        <w:t>、</w:t>
      </w:r>
      <w:r w:rsidRPr="00913C78">
        <w:t>参考标准</w:t>
      </w:r>
      <w:r w:rsidRPr="00913C78">
        <w:rPr>
          <w:rFonts w:hint="eastAsia"/>
        </w:rPr>
        <w:t>、</w:t>
      </w:r>
      <w:r w:rsidRPr="00913C78">
        <w:t>资料</w:t>
      </w:r>
      <w:r w:rsidRPr="00913C78">
        <w:rPr>
          <w:rFonts w:hint="eastAsia"/>
        </w:rPr>
        <w:t>，例如项目</w:t>
      </w:r>
      <w:r w:rsidRPr="00913C78">
        <w:t>地理位置、</w:t>
      </w:r>
      <w:r w:rsidRPr="00913C78">
        <w:rPr>
          <w:rFonts w:hint="eastAsia"/>
        </w:rPr>
        <w:t>自然</w:t>
      </w:r>
      <w:r w:rsidRPr="00913C78">
        <w:t>资源条件</w:t>
      </w:r>
      <w:r w:rsidRPr="00913C78">
        <w:rPr>
          <w:rFonts w:hint="eastAsia"/>
        </w:rPr>
        <w:t>等。</w:t>
      </w:r>
    </w:p>
    <w:p w14:paraId="2ADE31C9"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《可再生能源建筑应用工程评价标准》（</w:t>
      </w:r>
      <w:r w:rsidRPr="00913C78">
        <w:t>GB/T 50801</w:t>
      </w:r>
      <w:r w:rsidRPr="00913C78">
        <w:rPr>
          <w:rFonts w:hint="eastAsia"/>
        </w:rPr>
        <w:t>—</w:t>
      </w:r>
      <w:r w:rsidRPr="00913C78">
        <w:rPr>
          <w:rFonts w:hint="eastAsia"/>
        </w:rPr>
        <w:t>2013</w:t>
      </w:r>
      <w:r w:rsidRPr="00913C78">
        <w:rPr>
          <w:rFonts w:hint="eastAsia"/>
        </w:rPr>
        <w:t>）。</w:t>
      </w:r>
    </w:p>
    <w:p w14:paraId="2928B4C7"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《民用建筑太阳能热水系统应用技术规范》（</w:t>
      </w:r>
      <w:r w:rsidRPr="00913C78">
        <w:rPr>
          <w:rFonts w:hint="eastAsia"/>
        </w:rPr>
        <w:t>GB</w:t>
      </w:r>
      <w:r w:rsidRPr="00913C78">
        <w:t> </w:t>
      </w:r>
      <w:r w:rsidRPr="00913C78">
        <w:rPr>
          <w:rFonts w:hint="eastAsia"/>
        </w:rPr>
        <w:t>50364</w:t>
      </w:r>
      <w:r w:rsidRPr="00913C78">
        <w:rPr>
          <w:rFonts w:hint="eastAsia"/>
        </w:rPr>
        <w:t>—</w:t>
      </w:r>
      <w:r w:rsidRPr="00913C78">
        <w:rPr>
          <w:rFonts w:hint="eastAsia"/>
        </w:rPr>
        <w:t>2018</w:t>
      </w:r>
      <w:r w:rsidRPr="00913C78">
        <w:rPr>
          <w:rFonts w:hint="eastAsia"/>
        </w:rPr>
        <w:t>）。</w:t>
      </w:r>
    </w:p>
    <w:p w14:paraId="19ABF815"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《地源热泵系统工程技术规范（</w:t>
      </w:r>
      <w:r w:rsidRPr="00913C78">
        <w:rPr>
          <w:rFonts w:hint="eastAsia"/>
        </w:rPr>
        <w:t>2009</w:t>
      </w:r>
      <w:r w:rsidRPr="00913C78">
        <w:rPr>
          <w:rFonts w:hint="eastAsia"/>
        </w:rPr>
        <w:t>年版）》（</w:t>
      </w:r>
      <w:r w:rsidRPr="00913C78">
        <w:rPr>
          <w:rFonts w:hint="eastAsia"/>
        </w:rPr>
        <w:t>GB 50366</w:t>
      </w:r>
      <w:r w:rsidRPr="00913C78">
        <w:rPr>
          <w:rFonts w:hint="eastAsia"/>
        </w:rPr>
        <w:t>—</w:t>
      </w:r>
      <w:r w:rsidRPr="00913C78">
        <w:rPr>
          <w:rFonts w:hint="eastAsia"/>
        </w:rPr>
        <w:t>2005</w:t>
      </w:r>
      <w:r w:rsidRPr="00913C78">
        <w:rPr>
          <w:rFonts w:hint="eastAsia"/>
        </w:rPr>
        <w:t>）。</w:t>
      </w:r>
    </w:p>
    <w:p w14:paraId="75590389"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《水（地）源热泵机组》（</w:t>
      </w:r>
      <w:r w:rsidRPr="00913C78">
        <w:rPr>
          <w:rFonts w:hint="eastAsia"/>
        </w:rPr>
        <w:t>GB/T</w:t>
      </w:r>
      <w:r w:rsidRPr="00913C78">
        <w:t> </w:t>
      </w:r>
      <w:r w:rsidRPr="00913C78">
        <w:rPr>
          <w:rFonts w:hint="eastAsia"/>
        </w:rPr>
        <w:t>19409</w:t>
      </w:r>
      <w:r w:rsidRPr="00913C78">
        <w:rPr>
          <w:rFonts w:hint="eastAsia"/>
        </w:rPr>
        <w:t>—</w:t>
      </w:r>
      <w:r w:rsidRPr="00913C78">
        <w:rPr>
          <w:rFonts w:hint="eastAsia"/>
        </w:rPr>
        <w:t>2013</w:t>
      </w:r>
      <w:r w:rsidRPr="00913C78">
        <w:rPr>
          <w:rFonts w:hint="eastAsia"/>
        </w:rPr>
        <w:t>）。</w:t>
      </w:r>
    </w:p>
    <w:p w14:paraId="72E98AAA" w14:textId="77777777" w:rsidR="00913C78" w:rsidRPr="00913C78" w:rsidRDefault="00913C78" w:rsidP="00913C78">
      <w:pPr>
        <w:ind w:firstLine="420"/>
      </w:pPr>
      <w:r w:rsidRPr="00913C78">
        <w:t>5</w:t>
      </w:r>
      <w:r w:rsidRPr="00913C78">
        <w:rPr>
          <w:rFonts w:hint="eastAsia"/>
        </w:rPr>
        <w:t>）</w:t>
      </w:r>
      <w:r w:rsidRPr="00913C78">
        <w:t> </w:t>
      </w:r>
      <w:r w:rsidRPr="00913C78">
        <w:rPr>
          <w:rFonts w:hint="eastAsia"/>
        </w:rPr>
        <w:t>《地埋管地源热泵系统技术规程》（</w:t>
      </w:r>
      <w:r w:rsidRPr="00913C78">
        <w:rPr>
          <w:rFonts w:hint="eastAsia"/>
        </w:rPr>
        <w:t>DBJ50-199</w:t>
      </w:r>
      <w:r w:rsidRPr="00913C78">
        <w:rPr>
          <w:rFonts w:hint="eastAsia"/>
        </w:rPr>
        <w:t>—</w:t>
      </w:r>
      <w:r w:rsidRPr="00913C78">
        <w:rPr>
          <w:rFonts w:hint="eastAsia"/>
        </w:rPr>
        <w:t>2014</w:t>
      </w:r>
      <w:r w:rsidRPr="00913C78">
        <w:rPr>
          <w:rFonts w:hint="eastAsia"/>
        </w:rPr>
        <w:t>）。</w:t>
      </w:r>
    </w:p>
    <w:p w14:paraId="04798B2E"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《地表水水源热泵系统设计标准》（</w:t>
      </w:r>
      <w:r w:rsidRPr="00913C78">
        <w:rPr>
          <w:rFonts w:hint="eastAsia"/>
        </w:rPr>
        <w:t>DBJ50-116</w:t>
      </w:r>
      <w:r w:rsidRPr="00913C78">
        <w:rPr>
          <w:rFonts w:hint="eastAsia"/>
        </w:rPr>
        <w:t>—</w:t>
      </w:r>
      <w:r w:rsidRPr="00913C78">
        <w:rPr>
          <w:rFonts w:hint="eastAsia"/>
        </w:rPr>
        <w:t>2010</w:t>
      </w:r>
      <w:r w:rsidRPr="00913C78">
        <w:rPr>
          <w:rFonts w:hint="eastAsia"/>
        </w:rPr>
        <w:t>）。</w:t>
      </w:r>
    </w:p>
    <w:p w14:paraId="45DD1B15" w14:textId="77777777" w:rsidR="00913C78" w:rsidRPr="00913C78" w:rsidRDefault="00913C78" w:rsidP="00913C78">
      <w:pPr>
        <w:ind w:firstLine="420"/>
      </w:pPr>
      <w:r w:rsidRPr="00913C78">
        <w:t>7</w:t>
      </w:r>
      <w:r w:rsidRPr="00913C78">
        <w:rPr>
          <w:rFonts w:hint="eastAsia"/>
        </w:rPr>
        <w:t>）</w:t>
      </w:r>
      <w:r w:rsidRPr="00913C78">
        <w:t> </w:t>
      </w:r>
      <w:r w:rsidRPr="00913C78">
        <w:rPr>
          <w:rFonts w:hint="eastAsia"/>
        </w:rPr>
        <w:t>《太阳能光伏照明装置总技术规范》（</w:t>
      </w:r>
      <w:r w:rsidRPr="00913C78">
        <w:t>GB 24460</w:t>
      </w:r>
      <w:r w:rsidRPr="00913C78">
        <w:rPr>
          <w:rFonts w:hint="eastAsia"/>
        </w:rPr>
        <w:t>—</w:t>
      </w:r>
      <w:r w:rsidRPr="00913C78">
        <w:rPr>
          <w:rFonts w:hint="eastAsia"/>
        </w:rPr>
        <w:t>2009</w:t>
      </w:r>
      <w:r w:rsidRPr="00913C78">
        <w:rPr>
          <w:rFonts w:hint="eastAsia"/>
        </w:rPr>
        <w:t>）。</w:t>
      </w:r>
    </w:p>
    <w:p w14:paraId="4E64D762" w14:textId="77777777" w:rsidR="00913C78" w:rsidRPr="00913C78" w:rsidRDefault="00913C78" w:rsidP="00913C78">
      <w:pPr>
        <w:ind w:firstLine="420"/>
      </w:pPr>
      <w:r w:rsidRPr="00913C78">
        <w:rPr>
          <w:rFonts w:hint="eastAsia"/>
        </w:rPr>
        <w:t>例如：</w:t>
      </w:r>
    </w:p>
    <w:p w14:paraId="0DA7B3E1" w14:textId="77777777" w:rsidR="00913C78" w:rsidRPr="00913C78" w:rsidRDefault="00913C78" w:rsidP="00913C78">
      <w:pPr>
        <w:ind w:firstLine="420"/>
      </w:pPr>
      <w:r w:rsidRPr="00913C78">
        <w:rPr>
          <w:rFonts w:hint="eastAsia"/>
        </w:rPr>
        <w:t>自然资源条件说明：项目地处东经</w:t>
      </w:r>
      <w:r w:rsidRPr="00913C78">
        <w:rPr>
          <w:rFonts w:hint="eastAsia"/>
        </w:rPr>
        <w:t>120</w:t>
      </w:r>
      <w:r w:rsidRPr="00913C78">
        <w:rPr>
          <w:rFonts w:hint="eastAsia"/>
        </w:rPr>
        <w:t>°</w:t>
      </w:r>
      <w:r w:rsidRPr="00913C78">
        <w:rPr>
          <w:rFonts w:hint="eastAsia"/>
        </w:rPr>
        <w:t>03</w:t>
      </w:r>
      <w:r w:rsidRPr="00913C78">
        <w:rPr>
          <w:rFonts w:hint="eastAsia"/>
        </w:rPr>
        <w:t>′～</w:t>
      </w:r>
      <w:r w:rsidRPr="00913C78">
        <w:rPr>
          <w:rFonts w:hint="eastAsia"/>
        </w:rPr>
        <w:t>121</w:t>
      </w:r>
      <w:r w:rsidRPr="00913C78">
        <w:rPr>
          <w:rFonts w:hint="eastAsia"/>
        </w:rPr>
        <w:t>°</w:t>
      </w:r>
      <w:r w:rsidRPr="00913C78">
        <w:rPr>
          <w:rFonts w:hint="eastAsia"/>
        </w:rPr>
        <w:t>07</w:t>
      </w:r>
      <w:r w:rsidRPr="00913C78">
        <w:rPr>
          <w:rFonts w:hint="eastAsia"/>
        </w:rPr>
        <w:t>′、北纬</w:t>
      </w:r>
      <w:r w:rsidRPr="00913C78">
        <w:rPr>
          <w:rFonts w:hint="eastAsia"/>
        </w:rPr>
        <w:t>27</w:t>
      </w:r>
      <w:r w:rsidRPr="00913C78">
        <w:rPr>
          <w:rFonts w:hint="eastAsia"/>
        </w:rPr>
        <w:t>°</w:t>
      </w:r>
      <w:r w:rsidRPr="00913C78">
        <w:rPr>
          <w:rFonts w:hint="eastAsia"/>
        </w:rPr>
        <w:t>21</w:t>
      </w:r>
      <w:r w:rsidRPr="00913C78">
        <w:rPr>
          <w:rFonts w:hint="eastAsia"/>
        </w:rPr>
        <w:t>′～</w:t>
      </w:r>
      <w:r w:rsidRPr="00913C78">
        <w:rPr>
          <w:rFonts w:hint="eastAsia"/>
        </w:rPr>
        <w:t>27</w:t>
      </w:r>
      <w:r w:rsidRPr="00913C78">
        <w:rPr>
          <w:rFonts w:hint="eastAsia"/>
        </w:rPr>
        <w:t>°</w:t>
      </w:r>
      <w:r w:rsidRPr="00913C78">
        <w:rPr>
          <w:rFonts w:hint="eastAsia"/>
        </w:rPr>
        <w:t>46</w:t>
      </w:r>
      <w:r w:rsidRPr="00913C78">
        <w:rPr>
          <w:rFonts w:hint="eastAsia"/>
        </w:rPr>
        <w:t>′之间，太阳能辐射年总量为</w:t>
      </w:r>
      <w:r w:rsidRPr="00913C78">
        <w:rPr>
          <w:rFonts w:hint="eastAsia"/>
        </w:rPr>
        <w:t>4</w:t>
      </w:r>
      <w:r w:rsidRPr="00913C78">
        <w:t> </w:t>
      </w:r>
      <w:r w:rsidRPr="00913C78">
        <w:rPr>
          <w:rFonts w:hint="eastAsia"/>
        </w:rPr>
        <w:t>501</w:t>
      </w:r>
      <w:r w:rsidRPr="00913C78">
        <w:t> </w:t>
      </w:r>
      <w:r w:rsidRPr="00913C78">
        <w:rPr>
          <w:rFonts w:hint="eastAsia"/>
        </w:rPr>
        <w:t>000kJ/</w:t>
      </w:r>
      <w:r w:rsidRPr="00913C78">
        <w:rPr>
          <w:rFonts w:hint="eastAsia"/>
        </w:rPr>
        <w:t>（</w:t>
      </w:r>
      <w:r w:rsidRPr="00913C78">
        <w:rPr>
          <w:rFonts w:hint="eastAsia"/>
        </w:rPr>
        <w:t>m</w:t>
      </w:r>
      <w:r w:rsidRPr="00F83296">
        <w:rPr>
          <w:vertAlign w:val="superscript"/>
        </w:rPr>
        <w:t>2</w:t>
      </w:r>
      <w:r w:rsidRPr="00913C78">
        <w:rPr>
          <w:rFonts w:hint="eastAsia"/>
        </w:rPr>
        <w:t>·</w:t>
      </w:r>
      <w:r w:rsidRPr="00913C78">
        <w:rPr>
          <w:rFonts w:hint="eastAsia"/>
        </w:rPr>
        <w:t>a</w:t>
      </w:r>
      <w:r w:rsidRPr="00913C78">
        <w:rPr>
          <w:rFonts w:hint="eastAsia"/>
        </w:rPr>
        <w:t>）。年平均温度</w:t>
      </w:r>
      <w:r w:rsidRPr="00913C78">
        <w:rPr>
          <w:rFonts w:hint="eastAsia"/>
        </w:rPr>
        <w:t>17.8</w:t>
      </w:r>
      <w:r w:rsidRPr="00913C78">
        <w:rPr>
          <w:rFonts w:hint="eastAsia"/>
        </w:rPr>
        <w:t>℃，极端最低温度</w:t>
      </w:r>
      <w:r w:rsidRPr="00913C78">
        <w:rPr>
          <w:rFonts w:hint="eastAsia"/>
        </w:rPr>
        <w:t>-3.9</w:t>
      </w:r>
      <w:r w:rsidRPr="00913C78">
        <w:rPr>
          <w:rFonts w:hint="eastAsia"/>
        </w:rPr>
        <w:t>℃，极端最高温度</w:t>
      </w:r>
      <w:r w:rsidRPr="00913C78">
        <w:rPr>
          <w:rFonts w:hint="eastAsia"/>
        </w:rPr>
        <w:t>39.6</w:t>
      </w:r>
      <w:r w:rsidRPr="00913C78">
        <w:rPr>
          <w:rFonts w:hint="eastAsia"/>
        </w:rPr>
        <w:t>℃。重庆地区年日照辐射量为</w:t>
      </w:r>
      <w:r w:rsidRPr="00913C78">
        <w:rPr>
          <w:rFonts w:hint="eastAsia"/>
        </w:rPr>
        <w:t>3058.51kJ/</w:t>
      </w:r>
      <w:r w:rsidRPr="00913C78">
        <w:rPr>
          <w:rFonts w:hint="eastAsia"/>
        </w:rPr>
        <w:t>（</w:t>
      </w:r>
      <w:r w:rsidRPr="00913C78">
        <w:rPr>
          <w:rFonts w:hint="eastAsia"/>
        </w:rPr>
        <w:t>m</w:t>
      </w:r>
      <w:r w:rsidRPr="00F83296">
        <w:rPr>
          <w:vertAlign w:val="superscript"/>
        </w:rPr>
        <w:t>2</w:t>
      </w:r>
      <w:r w:rsidRPr="00913C78">
        <w:rPr>
          <w:rFonts w:hint="eastAsia"/>
        </w:rPr>
        <w:t>·</w:t>
      </w:r>
      <w:r w:rsidRPr="00913C78">
        <w:rPr>
          <w:rFonts w:hint="eastAsia"/>
        </w:rPr>
        <w:t>a</w:t>
      </w:r>
      <w:r w:rsidRPr="00913C78">
        <w:rPr>
          <w:rFonts w:hint="eastAsia"/>
        </w:rPr>
        <w:t>），日照小时数为</w:t>
      </w:r>
      <w:r w:rsidRPr="00913C78">
        <w:rPr>
          <w:rFonts w:hint="eastAsia"/>
        </w:rPr>
        <w:t>1118.19h</w:t>
      </w:r>
      <w:r w:rsidRPr="00913C78">
        <w:rPr>
          <w:rFonts w:hint="eastAsia"/>
        </w:rPr>
        <w:t>。</w:t>
      </w:r>
    </w:p>
    <w:p w14:paraId="75AC7A14" w14:textId="77777777" w:rsidR="00913C78" w:rsidRPr="00913C78" w:rsidRDefault="00913C78" w:rsidP="00913C78">
      <w:pPr>
        <w:ind w:firstLine="420"/>
      </w:pPr>
      <w:bookmarkStart w:id="363" w:name="_Toc476236514"/>
      <w:r w:rsidRPr="00913C78">
        <w:rPr>
          <w:rFonts w:hint="eastAsia"/>
        </w:rPr>
        <w:t>◎</w:t>
      </w:r>
      <w:r w:rsidRPr="00913C78">
        <w:t xml:space="preserve"> </w:t>
      </w:r>
      <w:r w:rsidRPr="00913C78">
        <w:rPr>
          <w:rFonts w:hint="eastAsia"/>
        </w:rPr>
        <w:t>计算方法</w:t>
      </w:r>
      <w:bookmarkEnd w:id="363"/>
    </w:p>
    <w:p w14:paraId="74D44C12" w14:textId="77777777" w:rsidR="00913C78" w:rsidRPr="00913C78" w:rsidRDefault="00913C78" w:rsidP="00913C78">
      <w:pPr>
        <w:ind w:firstLine="420"/>
      </w:pPr>
      <w:r w:rsidRPr="00913C78">
        <w:rPr>
          <w:rFonts w:hint="eastAsia"/>
        </w:rPr>
        <w:t>计算方法应包括但不限于：介绍计算基本方法</w:t>
      </w:r>
      <w:r w:rsidRPr="00913C78">
        <w:t>和</w:t>
      </w:r>
      <w:r w:rsidRPr="00913C78">
        <w:rPr>
          <w:rFonts w:hint="eastAsia"/>
        </w:rPr>
        <w:t>流程。</w:t>
      </w:r>
    </w:p>
    <w:p w14:paraId="0F7743A8" w14:textId="77777777" w:rsidR="00913C78" w:rsidRPr="00913C78" w:rsidRDefault="00913C78" w:rsidP="00913C78">
      <w:pPr>
        <w:ind w:firstLine="420"/>
      </w:pPr>
      <w:r w:rsidRPr="00913C78">
        <w:rPr>
          <w:rFonts w:hint="eastAsia"/>
        </w:rPr>
        <w:lastRenderedPageBreak/>
        <w:t>可再生</w:t>
      </w:r>
      <w:r w:rsidRPr="00913C78">
        <w:t>能源利用</w:t>
      </w:r>
      <w:r w:rsidRPr="00913C78">
        <w:rPr>
          <w:rFonts w:hint="eastAsia"/>
        </w:rPr>
        <w:t>率为</w:t>
      </w:r>
    </w:p>
    <w:p w14:paraId="6D6B33E8" w14:textId="6535A534" w:rsidR="00913C78" w:rsidRPr="00913C78" w:rsidRDefault="00AC2900" w:rsidP="00AC2900">
      <w:pPr>
        <w:ind w:firstLine="420"/>
        <w:jc w:val="center"/>
      </w:pPr>
      <m:oMathPara>
        <m:oMath>
          <m:r>
            <w:rPr>
              <w:rFonts w:ascii="Cambria Math"/>
              <w:noProof/>
            </w:rPr>
            <m:t>R=</m:t>
          </m:r>
          <m:f>
            <m:fPr>
              <m:ctrlPr>
                <w:rPr>
                  <w:rFonts w:ascii="Cambria Math" w:hAnsi="Cambria Math"/>
                  <w:i/>
                  <w:noProof/>
                </w:rPr>
              </m:ctrlPr>
            </m:fPr>
            <m:num>
              <m:sSub>
                <m:sSubPr>
                  <m:ctrlPr>
                    <w:rPr>
                      <w:rFonts w:ascii="Cambria Math" w:hAnsi="Cambria Math"/>
                      <w:i/>
                      <w:noProof/>
                    </w:rPr>
                  </m:ctrlPr>
                </m:sSubPr>
                <m:e>
                  <m:r>
                    <w:rPr>
                      <w:rFonts w:ascii="Cambria Math"/>
                      <w:noProof/>
                    </w:rPr>
                    <m:t>Q</m:t>
                  </m:r>
                </m:e>
                <m:sub>
                  <m:r>
                    <w:rPr>
                      <w:rFonts w:ascii="Cambria Math"/>
                      <w:noProof/>
                    </w:rPr>
                    <m:t>1</m:t>
                  </m:r>
                </m:sub>
              </m:sSub>
            </m:num>
            <m:den>
              <m:sSub>
                <m:sSubPr>
                  <m:ctrlPr>
                    <w:rPr>
                      <w:rFonts w:ascii="Cambria Math" w:hAnsi="Cambria Math"/>
                      <w:i/>
                      <w:noProof/>
                    </w:rPr>
                  </m:ctrlPr>
                </m:sSubPr>
                <m:e>
                  <m:r>
                    <w:rPr>
                      <w:rFonts w:ascii="Cambria Math"/>
                      <w:noProof/>
                    </w:rPr>
                    <m:t>Q</m:t>
                  </m:r>
                </m:e>
                <m:sub>
                  <m:r>
                    <w:rPr>
                      <w:rFonts w:ascii="Cambria Math"/>
                      <w:noProof/>
                    </w:rPr>
                    <m:t>2</m:t>
                  </m:r>
                </m:sub>
              </m:sSub>
            </m:den>
          </m:f>
        </m:oMath>
      </m:oMathPara>
    </w:p>
    <w:p w14:paraId="44B34E1B" w14:textId="560F9D72" w:rsidR="00913C78" w:rsidRPr="00913C78" w:rsidRDefault="00913C78" w:rsidP="00AC2900">
      <w:pPr>
        <w:ind w:firstLine="420"/>
      </w:pPr>
      <w:r w:rsidRPr="00913C78">
        <w:rPr>
          <w:rFonts w:hint="eastAsia"/>
        </w:rPr>
        <w:t>式中，</w:t>
      </w:r>
      <w:r w:rsidRPr="00913C78">
        <w:fldChar w:fldCharType="begin"/>
      </w:r>
      <w:r w:rsidRPr="00913C78">
        <w:instrText xml:space="preserve"> QUOTE </w:instrText>
      </w:r>
      <m:oMath>
        <m:r>
          <m:rPr>
            <m:sty m:val="p"/>
          </m:rPr>
          <w:rPr>
            <w:rFonts w:ascii="Cambria Math" w:hAnsi="Cambria Math"/>
          </w:rPr>
          <m:t>R</m:t>
        </m:r>
      </m:oMath>
      <w:r w:rsidRPr="00913C78">
        <w:instrText xml:space="preserve"> </w:instrText>
      </w:r>
      <w:r w:rsidRPr="00913C78">
        <w:fldChar w:fldCharType="separate"/>
      </w:r>
      <m:oMath>
        <m:r>
          <m:rPr>
            <m:sty m:val="p"/>
          </m:rPr>
          <w:rPr>
            <w:rFonts w:ascii="Cambria Math"/>
            <w:noProof/>
          </w:rPr>
          <m:t>R</m:t>
        </m:r>
      </m:oMath>
      <w:r w:rsidRPr="00913C78">
        <w:fldChar w:fldCharType="end"/>
      </w:r>
      <w:r w:rsidRPr="00913C78">
        <w:rPr>
          <w:rFonts w:hint="eastAsia"/>
        </w:rPr>
        <w:t>—可再生能源应用比例，</w:t>
      </w:r>
      <w:r w:rsidRPr="00913C78">
        <w:rPr>
          <w:rFonts w:hint="eastAsia"/>
        </w:rPr>
        <w:t>%</w:t>
      </w:r>
      <w:r w:rsidRPr="00913C78">
        <w:rPr>
          <w:rFonts w:hint="eastAsia"/>
        </w:rPr>
        <w:t>；</w:t>
      </w:r>
    </w:p>
    <w:p w14:paraId="2DC84158" w14:textId="30180B49"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1</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1</m:t>
            </m:r>
          </m:sub>
        </m:sSub>
      </m:oMath>
      <w:r w:rsidRPr="00913C78">
        <w:fldChar w:fldCharType="end"/>
      </w:r>
      <w:r w:rsidRPr="00913C78">
        <w:rPr>
          <w:rFonts w:hint="eastAsia"/>
        </w:rPr>
        <w:t>—可再生能源提供热水量</w:t>
      </w:r>
      <w:r w:rsidRPr="00913C78">
        <w:t>（</w:t>
      </w:r>
      <w:r w:rsidRPr="00913C78">
        <w:rPr>
          <w:rFonts w:hint="eastAsia"/>
        </w:rPr>
        <w:t>空调冷热量、发电量</w:t>
      </w:r>
      <w:r w:rsidRPr="00913C78">
        <w:t>）</w:t>
      </w:r>
      <w:r w:rsidRPr="00913C78">
        <w:rPr>
          <w:rFonts w:hint="eastAsia"/>
        </w:rPr>
        <w:t>；</w:t>
      </w:r>
    </w:p>
    <w:p w14:paraId="767F9725" w14:textId="2575C670" w:rsidR="00913C78" w:rsidRPr="00913C78" w:rsidRDefault="00913C78" w:rsidP="00AC2900">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2</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2</m:t>
            </m:r>
          </m:sub>
        </m:sSub>
      </m:oMath>
      <w:r w:rsidRPr="00913C78">
        <w:fldChar w:fldCharType="end"/>
      </w:r>
      <w:r w:rsidRPr="00913C78">
        <w:rPr>
          <w:rFonts w:hint="eastAsia"/>
        </w:rPr>
        <w:t>—项目年热水用量（空调总冷热量、年能耗）。</w:t>
      </w:r>
    </w:p>
    <w:p w14:paraId="17D65FE7" w14:textId="77777777" w:rsidR="00913C78" w:rsidRPr="00913C78" w:rsidRDefault="00913C78" w:rsidP="00913C78">
      <w:pPr>
        <w:ind w:firstLine="420"/>
      </w:pPr>
      <w:r w:rsidRPr="00913C78">
        <w:rPr>
          <w:rFonts w:hint="eastAsia"/>
        </w:rPr>
        <w:t>由于不同种类可再生能源的度量方法、品位和价格都不同，本条分三类进行评价。有多种用途时可同时得分，但本条累计得分不超过</w:t>
      </w:r>
      <w:r w:rsidRPr="00913C78">
        <w:t>9</w:t>
      </w:r>
      <w:r w:rsidRPr="00913C78">
        <w:rPr>
          <w:rFonts w:hint="eastAsia"/>
        </w:rPr>
        <w:t>分。</w:t>
      </w:r>
    </w:p>
    <w:p w14:paraId="1629E555" w14:textId="77777777" w:rsidR="00913C78" w:rsidRPr="00913C78" w:rsidRDefault="00913C78" w:rsidP="00913C78">
      <w:pPr>
        <w:ind w:firstLine="420"/>
      </w:pPr>
      <w:bookmarkStart w:id="364" w:name="_Toc476236515"/>
      <w:r w:rsidRPr="00913C78">
        <w:rPr>
          <w:rFonts w:hint="eastAsia"/>
        </w:rPr>
        <w:t>◎</w:t>
      </w:r>
      <w:r w:rsidRPr="00913C78">
        <w:t xml:space="preserve"> </w:t>
      </w:r>
      <w:r w:rsidRPr="00913C78">
        <w:rPr>
          <w:rFonts w:hint="eastAsia"/>
        </w:rPr>
        <w:t>计算内</w:t>
      </w:r>
      <w:r w:rsidRPr="00913C78">
        <w:t>容</w:t>
      </w:r>
      <w:r w:rsidRPr="00913C78">
        <w:rPr>
          <w:rFonts w:hint="eastAsia"/>
        </w:rPr>
        <w:t>及</w:t>
      </w:r>
      <w:r w:rsidRPr="00913C78">
        <w:t>结果</w:t>
      </w:r>
      <w:bookmarkEnd w:id="364"/>
    </w:p>
    <w:p w14:paraId="604F9B22" w14:textId="77777777" w:rsidR="00913C78" w:rsidRPr="00913C78" w:rsidRDefault="00913C78" w:rsidP="00913C78">
      <w:pPr>
        <w:ind w:firstLine="420"/>
      </w:pPr>
      <w:bookmarkStart w:id="365" w:name="_Toc476236516"/>
      <w:r w:rsidRPr="00913C78">
        <w:rPr>
          <w:rFonts w:hint="eastAsia"/>
        </w:rPr>
        <w:t>（</w:t>
      </w:r>
      <w:r w:rsidRPr="00913C78">
        <w:rPr>
          <w:rFonts w:hint="eastAsia"/>
        </w:rPr>
        <w:t>1</w:t>
      </w:r>
      <w:r w:rsidRPr="00913C78">
        <w:rPr>
          <w:rFonts w:hint="eastAsia"/>
        </w:rPr>
        <w:t>）可再生能源提供生活用热水比例</w:t>
      </w:r>
      <w:bookmarkEnd w:id="365"/>
    </w:p>
    <w:p w14:paraId="68FF5C7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系统</w:t>
      </w:r>
      <w:r w:rsidRPr="00913C78">
        <w:t>设计</w:t>
      </w:r>
      <w:r w:rsidRPr="00913C78">
        <w:rPr>
          <w:rFonts w:hint="eastAsia"/>
        </w:rPr>
        <w:t>。结合场地的选址、建筑太阳能热水系统提供热水范围、当地可再生资源情况等，</w:t>
      </w:r>
      <w:r w:rsidRPr="00913C78">
        <w:t>对</w:t>
      </w:r>
      <w:r w:rsidRPr="00913C78">
        <w:rPr>
          <w:rFonts w:hint="eastAsia"/>
        </w:rPr>
        <w:t>建筑</w:t>
      </w:r>
      <w:r w:rsidRPr="00913C78">
        <w:t>热水系统</w:t>
      </w:r>
      <w:r w:rsidRPr="00913C78">
        <w:rPr>
          <w:rFonts w:hint="eastAsia"/>
        </w:rPr>
        <w:t>及太阳能</w:t>
      </w:r>
      <w:r w:rsidRPr="00913C78">
        <w:t>热水系统的设计情况</w:t>
      </w:r>
      <w:r w:rsidRPr="00913C78">
        <w:rPr>
          <w:rFonts w:hint="eastAsia"/>
        </w:rPr>
        <w:t>及</w:t>
      </w:r>
      <w:r w:rsidRPr="00913C78">
        <w:t>系统设备参数进行介绍</w:t>
      </w:r>
      <w:r w:rsidRPr="00913C78">
        <w:rPr>
          <w:rFonts w:hint="eastAsia"/>
        </w:rPr>
        <w:t>。</w:t>
      </w:r>
    </w:p>
    <w:p w14:paraId="278B1766"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项目生活用热水总量。</w:t>
      </w:r>
    </w:p>
    <w:p w14:paraId="1E0D798D" w14:textId="77777777" w:rsidR="00913C78" w:rsidRPr="00913C78" w:rsidRDefault="00913C78" w:rsidP="00913C78">
      <w:pPr>
        <w:ind w:firstLine="420"/>
      </w:pPr>
      <w:r w:rsidRPr="00913C78">
        <w:rPr>
          <w:rFonts w:hint="eastAsia"/>
        </w:rPr>
        <w:t>项目全年用热水量计算为</w:t>
      </w:r>
    </w:p>
    <w:p w14:paraId="05FCD35E" w14:textId="7DAA47B9"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sSub>
              <m:sSubPr>
                <m:ctrlPr>
                  <w:rPr>
                    <w:rFonts w:ascii="Cambria Math" w:hAnsi="Cambria Math"/>
                  </w:rPr>
                </m:ctrlPr>
              </m:sSubPr>
              <m:e>
                <m:r>
                  <m:rPr>
                    <m:sty m:val="p"/>
                  </m:rPr>
                  <w:rPr>
                    <w:rFonts w:ascii="Cambria Math" w:hAnsi="Cambria Math"/>
                  </w:rPr>
                  <m:t>D</m:t>
                </m:r>
              </m:e>
              <m:sub>
                <m:r>
                  <m:rPr>
                    <m:sty m:val="p"/>
                  </m:rPr>
                  <w:rPr>
                    <w:rFonts w:ascii="Cambria Math" w:hAnsi="Cambria Math"/>
                  </w:rPr>
                  <m:t>r</m:t>
                </m:r>
              </m:sub>
            </m:sSub>
          </m:num>
          <m:den>
            <m:r>
              <m:rPr>
                <m:sty m:val="p"/>
              </m:rPr>
              <w:rPr>
                <w:rFonts w:ascii="Cambria Math" w:hAnsi="Cambria Math"/>
              </w:rPr>
              <m:t>1000</m:t>
            </m:r>
          </m:den>
        </m:f>
      </m:oMath>
      <w:r w:rsidR="00913C78" w:rsidRPr="00913C78">
        <w:instrText xml:space="preserve"> </w:instrText>
      </w:r>
      <w:r w:rsidR="00913C78" w:rsidRPr="00913C78">
        <w:fldChar w:fldCharType="separate"/>
      </w:r>
      <m:oMath>
        <m:sSub>
          <m:sSubPr>
            <m:ctrlPr>
              <w:rPr>
                <w:rFonts w:ascii="Cambria Math" w:hAnsi="Cambria Math"/>
                <w:noProof/>
              </w:rPr>
            </m:ctrlPr>
          </m:sSubPr>
          <m:e>
            <m:r>
              <m:rPr>
                <m:sty m:val="p"/>
              </m:rPr>
              <w:rPr>
                <w:rFonts w:ascii="Cambria Math" w:hAnsi="Cambria Math"/>
                <w:noProof/>
              </w:rPr>
              <m:t>Q</m:t>
            </m:r>
          </m:e>
          <m:sub>
            <m:r>
              <m:rPr>
                <m:nor/>
              </m:rPr>
              <w:rPr>
                <w:noProof/>
              </w:rPr>
              <m:t>ra</m:t>
            </m:r>
          </m:sub>
        </m:sSub>
        <m:r>
          <m:rPr>
            <m:sty m:val="p"/>
          </m:rPr>
          <w:rPr>
            <w:rFonts w:ascii="Cambria Math" w:hAnsi="Cambria Math"/>
            <w:noProof/>
          </w:rPr>
          <m:t>=</m:t>
        </m:r>
        <m:nary>
          <m:naryPr>
            <m:chr m:val="∑"/>
            <m:subHide m:val="1"/>
            <m:supHide m:val="1"/>
            <m:ctrlPr>
              <w:rPr>
                <w:rFonts w:ascii="Cambria Math" w:hAnsi="Cambria Math"/>
                <w:noProof/>
              </w:rPr>
            </m:ctrlPr>
          </m:naryPr>
          <m:sub/>
          <m:sup/>
          <m:e>
            <m:f>
              <m:fPr>
                <m:ctrlPr>
                  <w:rPr>
                    <w:rFonts w:ascii="Cambria Math" w:hAnsi="Cambria Math"/>
                    <w:noProof/>
                  </w:rPr>
                </m:ctrlPr>
              </m:fPr>
              <m:num>
                <m:sSub>
                  <m:sSubPr>
                    <m:ctrlPr>
                      <w:rPr>
                        <w:rFonts w:ascii="Cambria Math" w:hAnsi="Cambria Math"/>
                        <w:noProof/>
                      </w:rPr>
                    </m:ctrlPr>
                  </m:sSubPr>
                  <m:e>
                    <m:r>
                      <m:rPr>
                        <m:sty m:val="p"/>
                      </m:rPr>
                      <w:rPr>
                        <w:rFonts w:ascii="Cambria Math" w:hAnsi="Cambria Math"/>
                        <w:noProof/>
                      </w:rPr>
                      <m:t>q</m:t>
                    </m:r>
                  </m:e>
                  <m:sub>
                    <m:r>
                      <m:rPr>
                        <m:sty m:val="p"/>
                      </m:rPr>
                      <w:rPr>
                        <w:rFonts w:ascii="Cambria Math" w:hAnsi="Cambria Math"/>
                        <w:noProof/>
                      </w:rPr>
                      <m:t>r</m:t>
                    </m:r>
                  </m:sub>
                </m:sSub>
                <m:sSub>
                  <m:sSubPr>
                    <m:ctrlPr>
                      <w:rPr>
                        <w:rFonts w:ascii="Cambria Math" w:hAnsi="Cambria Math"/>
                        <w:noProof/>
                      </w:rPr>
                    </m:ctrlPr>
                  </m:sSubPr>
                  <m:e>
                    <m:r>
                      <m:rPr>
                        <m:sty m:val="p"/>
                      </m:rPr>
                      <w:rPr>
                        <w:rFonts w:ascii="Cambria Math" w:hAnsi="Cambria Math"/>
                        <w:noProof/>
                      </w:rPr>
                      <m:t>n</m:t>
                    </m:r>
                  </m:e>
                  <m:sub>
                    <m:r>
                      <m:rPr>
                        <m:sty m:val="p"/>
                      </m:rPr>
                      <w:rPr>
                        <w:rFonts w:ascii="Cambria Math" w:hAnsi="Cambria Math"/>
                        <w:noProof/>
                      </w:rPr>
                      <m:t>r</m:t>
                    </m:r>
                  </m:sub>
                </m:sSub>
                <m:sSub>
                  <m:sSubPr>
                    <m:ctrlPr>
                      <w:rPr>
                        <w:rFonts w:ascii="Cambria Math" w:hAnsi="Cambria Math"/>
                        <w:noProof/>
                      </w:rPr>
                    </m:ctrlPr>
                  </m:sSubPr>
                  <m:e>
                    <m:r>
                      <m:rPr>
                        <m:sty m:val="p"/>
                      </m:rPr>
                      <w:rPr>
                        <w:rFonts w:ascii="Cambria Math" w:hAnsi="Cambria Math"/>
                        <w:noProof/>
                      </w:rPr>
                      <m:t>D</m:t>
                    </m:r>
                  </m:e>
                  <m:sub>
                    <m:r>
                      <m:rPr>
                        <m:sty m:val="p"/>
                      </m:rPr>
                      <w:rPr>
                        <w:rFonts w:ascii="Cambria Math" w:hAnsi="Cambria Math"/>
                        <w:noProof/>
                      </w:rPr>
                      <m:t>r</m:t>
                    </m:r>
                  </m:sub>
                </m:sSub>
              </m:num>
              <m:den>
                <m:r>
                  <m:rPr>
                    <m:sty m:val="p"/>
                  </m:rPr>
                  <w:rPr>
                    <w:rFonts w:ascii="Cambria Math" w:hAnsi="Cambria Math"/>
                    <w:noProof/>
                  </w:rPr>
                  <m:t>1000</m:t>
                </m:r>
              </m:den>
            </m:f>
          </m:e>
        </m:nary>
      </m:oMath>
      <w:r w:rsidR="00913C78" w:rsidRPr="00913C78">
        <w:fldChar w:fldCharType="end"/>
      </w:r>
      <w:r w:rsidR="00913C78" w:rsidRPr="00913C78">
        <w:rPr>
          <w:rFonts w:hint="eastAsia"/>
        </w:rPr>
        <w:tab/>
      </w:r>
      <w:r w:rsidR="00913C78" w:rsidRPr="00913C78">
        <w:rPr>
          <w:rFonts w:hint="eastAsia"/>
        </w:rPr>
        <w:t>（</w:t>
      </w:r>
      <w:r w:rsidR="00913C78" w:rsidRPr="00913C78">
        <w:rPr>
          <w:rFonts w:hint="eastAsia"/>
        </w:rPr>
        <w:t>B.2.1</w:t>
      </w:r>
      <w:r w:rsidR="00913C78" w:rsidRPr="00913C78">
        <w:rPr>
          <w:rFonts w:hint="eastAsia"/>
        </w:rPr>
        <w:t>）</w:t>
      </w:r>
    </w:p>
    <w:p w14:paraId="4F457904" w14:textId="6FE2705F" w:rsidR="00913C78" w:rsidRPr="00913C78" w:rsidRDefault="00913C78" w:rsidP="00A624AE">
      <w:pPr>
        <w:ind w:firstLine="420"/>
      </w:pPr>
      <w:r w:rsidRPr="00913C78">
        <w:t>式中：</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ra</m:t>
            </m:r>
            <m:ctrlPr>
              <w:rPr>
                <w:rFonts w:ascii="Cambria Math" w:hAnsi="Cambria Math"/>
                <w:noProof/>
              </w:rPr>
            </m:ctrlPr>
          </m:sub>
        </m:sSub>
      </m:oMath>
      <w:r w:rsidRPr="00913C78">
        <w:fldChar w:fldCharType="end"/>
      </w:r>
      <w:r w:rsidRPr="00913C78">
        <w:t>——</w:t>
      </w:r>
      <w:r w:rsidRPr="00913C78">
        <w:t>生活热水年节水用水量</w:t>
      </w:r>
      <w:r w:rsidRPr="00913C78">
        <w:rPr>
          <w:rFonts w:hint="eastAsia"/>
        </w:rPr>
        <w:t>，</w:t>
      </w:r>
      <w:r w:rsidRPr="00913C78">
        <w:t>m</w:t>
      </w:r>
      <w:r w:rsidRPr="00F83296">
        <w:rPr>
          <w:vertAlign w:val="superscript"/>
        </w:rPr>
        <w:t>3</w:t>
      </w:r>
      <w:r w:rsidRPr="00913C78">
        <w:t>/a</w:t>
      </w:r>
      <w:r w:rsidRPr="00913C78">
        <w:t>；</w:t>
      </w:r>
    </w:p>
    <w:p w14:paraId="37406D50" w14:textId="5CFDD27D"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r</m:t>
            </m:r>
          </m:sub>
        </m:sSub>
      </m:oMath>
      <w:r w:rsidRPr="00913C78">
        <w:fldChar w:fldCharType="end"/>
      </w:r>
      <w:r w:rsidRPr="00913C78">
        <w:t>——</w:t>
      </w:r>
      <w:r w:rsidRPr="00913C78">
        <w:t>热水节水用水定额，按</w:t>
      </w:r>
      <w:r w:rsidRPr="00913C78">
        <w:rPr>
          <w:rFonts w:hint="eastAsia"/>
        </w:rPr>
        <w:t>《民用建筑节水设计标准》（</w:t>
      </w:r>
      <w:r w:rsidRPr="00913C78">
        <w:rPr>
          <w:rFonts w:hint="eastAsia"/>
        </w:rPr>
        <w:t>GB 50555</w:t>
      </w:r>
      <w:r w:rsidRPr="00913C78">
        <w:rPr>
          <w:rFonts w:hint="eastAsia"/>
        </w:rPr>
        <w:t>—</w:t>
      </w:r>
      <w:r w:rsidRPr="00913C78">
        <w:rPr>
          <w:rFonts w:hint="eastAsia"/>
        </w:rPr>
        <w:t>2010</w:t>
      </w:r>
      <w:r w:rsidRPr="00913C78">
        <w:rPr>
          <w:rFonts w:hint="eastAsia"/>
        </w:rPr>
        <w:t>）</w:t>
      </w:r>
      <w:r w:rsidRPr="00913C78">
        <w:t>表</w:t>
      </w:r>
      <w:r w:rsidRPr="00913C78">
        <w:t> 3.1.7</w:t>
      </w:r>
      <w:r w:rsidRPr="00913C78">
        <w:t>的规定选用</w:t>
      </w:r>
      <w:r w:rsidRPr="00913C78">
        <w:rPr>
          <w:rFonts w:hint="eastAsia"/>
        </w:rPr>
        <w:t>［</w:t>
      </w:r>
      <w:r w:rsidRPr="00913C78">
        <w:t>L/</w:t>
      </w:r>
      <w:r w:rsidRPr="00913C78">
        <w:t>（人</w:t>
      </w:r>
      <w:r w:rsidRPr="00913C78">
        <w:rPr>
          <w:rFonts w:hint="eastAsia"/>
        </w:rPr>
        <w:t>·</w:t>
      </w:r>
      <w:r w:rsidRPr="00913C78">
        <w:t>d</w:t>
      </w:r>
      <w:r w:rsidRPr="00913C78">
        <w:rPr>
          <w:rFonts w:hint="eastAsia"/>
        </w:rPr>
        <w:t>）</w:t>
      </w:r>
      <w:r w:rsidRPr="00913C78">
        <w:t>或</w:t>
      </w:r>
      <w:r w:rsidRPr="00913C78">
        <w:t>L/</w:t>
      </w:r>
      <w:r w:rsidRPr="00913C78">
        <w:rPr>
          <w:rFonts w:hint="eastAsia"/>
        </w:rPr>
        <w:t>（</w:t>
      </w:r>
      <w:r w:rsidRPr="00913C78">
        <w:t>单位数</w:t>
      </w:r>
      <w:r w:rsidRPr="00913C78">
        <w:rPr>
          <w:rFonts w:hint="eastAsia"/>
        </w:rPr>
        <w:t>·</w:t>
      </w:r>
      <w:r w:rsidRPr="00913C78">
        <w:t>d</w:t>
      </w:r>
      <w:r w:rsidRPr="00913C78">
        <w:t>）</w:t>
      </w:r>
      <w:r w:rsidRPr="00913C78">
        <w:rPr>
          <w:rFonts w:hint="eastAsia"/>
        </w:rPr>
        <w:t>］</w:t>
      </w:r>
      <w:r w:rsidRPr="00913C78">
        <w:t>，表中未直接给出定额者，可通过人、次</w:t>
      </w:r>
      <w:r w:rsidRPr="00913C78">
        <w:t>/d</w:t>
      </w:r>
      <w:r w:rsidRPr="00913C78">
        <w:t>等进行换算；</w:t>
      </w:r>
    </w:p>
    <w:p w14:paraId="3DAE6E41" w14:textId="1080E77F"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n</m:t>
            </m:r>
          </m:e>
          <m:sub>
            <m:r>
              <m:rPr>
                <m:sty m:val="p"/>
              </m:rPr>
              <w:rPr>
                <w:rFonts w:ascii="Cambria Math"/>
                <w:noProof/>
              </w:rPr>
              <m:t>r</m:t>
            </m:r>
          </m:sub>
        </m:sSub>
      </m:oMath>
      <w:r w:rsidRPr="00913C78">
        <w:fldChar w:fldCharType="end"/>
      </w:r>
      <w:r w:rsidRPr="00913C78">
        <w:t>——</w:t>
      </w:r>
      <w:r w:rsidRPr="00913C78">
        <w:t>使用人数或单位数，以年平均值计算，住宅可</w:t>
      </w:r>
      <w:r w:rsidRPr="00913C78">
        <w:rPr>
          <w:rFonts w:hint="eastAsia"/>
        </w:rPr>
        <w:t>按</w:t>
      </w:r>
      <w:r w:rsidRPr="00913C78">
        <w:rPr>
          <w:rFonts w:hint="eastAsia"/>
        </w:rPr>
        <w:t>3</w:t>
      </w:r>
      <w:r w:rsidRPr="00913C78">
        <w:rPr>
          <w:rFonts w:hint="eastAsia"/>
        </w:rPr>
        <w:t>～</w:t>
      </w:r>
      <w:r w:rsidRPr="00913C78">
        <w:rPr>
          <w:rFonts w:hint="eastAsia"/>
        </w:rPr>
        <w:t>5</w:t>
      </w:r>
      <w:r w:rsidRPr="00913C78">
        <w:rPr>
          <w:rFonts w:hint="eastAsia"/>
        </w:rPr>
        <w:t>人</w:t>
      </w:r>
      <w:r w:rsidRPr="00913C78">
        <w:rPr>
          <w:rFonts w:hint="eastAsia"/>
        </w:rPr>
        <w:t>/</w:t>
      </w:r>
      <w:r w:rsidRPr="00913C78">
        <w:rPr>
          <w:rFonts w:hint="eastAsia"/>
        </w:rPr>
        <w:t>户，入住率</w:t>
      </w:r>
      <w:r w:rsidRPr="00913C78">
        <w:rPr>
          <w:rFonts w:hint="eastAsia"/>
        </w:rPr>
        <w:t>60%</w:t>
      </w:r>
      <w:r w:rsidRPr="00913C78">
        <w:rPr>
          <w:rFonts w:hint="eastAsia"/>
        </w:rPr>
        <w:t>～</w:t>
      </w:r>
      <w:r w:rsidRPr="00913C78">
        <w:rPr>
          <w:rFonts w:hint="eastAsia"/>
        </w:rPr>
        <w:t>80%</w:t>
      </w:r>
      <w:r w:rsidRPr="00913C78">
        <w:rPr>
          <w:rFonts w:hint="eastAsia"/>
        </w:rPr>
        <w:t>计算</w:t>
      </w:r>
      <w:r w:rsidRPr="00913C78">
        <w:t>；</w:t>
      </w:r>
    </w:p>
    <w:p w14:paraId="67C8856F" w14:textId="3C3D9DB2"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D</m:t>
            </m:r>
          </m:e>
          <m:sub>
            <m:r>
              <m:rPr>
                <m:sty m:val="p"/>
              </m:rPr>
              <w:rPr>
                <w:rFonts w:ascii="Cambria Math"/>
                <w:noProof/>
              </w:rPr>
              <m:t>r</m:t>
            </m:r>
          </m:sub>
        </m:sSub>
      </m:oMath>
      <w:r w:rsidRPr="00913C78">
        <w:fldChar w:fldCharType="end"/>
      </w:r>
      <w:r w:rsidRPr="00913C78">
        <w:t>——</w:t>
      </w:r>
      <w:r w:rsidRPr="00913C78">
        <w:t>年用水天数</w:t>
      </w:r>
      <w:r w:rsidRPr="00913C78">
        <w:rPr>
          <w:rFonts w:hint="eastAsia"/>
        </w:rPr>
        <w:t>，</w:t>
      </w:r>
      <w:r w:rsidRPr="00913C78">
        <w:t>d/a</w:t>
      </w:r>
      <w:r w:rsidRPr="00913C78">
        <w:t>，根据使用情况确定。</w:t>
      </w:r>
    </w:p>
    <w:p w14:paraId="12B3DAA7"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可再生能源提供热水量。</w:t>
      </w:r>
    </w:p>
    <w:p w14:paraId="18D7FEA7" w14:textId="77777777" w:rsidR="00913C78" w:rsidRPr="00913C78" w:rsidRDefault="00913C78" w:rsidP="00913C78">
      <w:pPr>
        <w:ind w:firstLine="420"/>
      </w:pPr>
      <w:r w:rsidRPr="00913C78">
        <w:rPr>
          <w:rFonts w:hint="eastAsia"/>
        </w:rPr>
        <w:t>太阳能光热系统年产热能力为</w:t>
      </w:r>
    </w:p>
    <w:p w14:paraId="3151192C" w14:textId="3F467097" w:rsidR="00913C78" w:rsidRPr="00913C78" w:rsidRDefault="008F38C5" w:rsidP="008F38C5">
      <w:pPr>
        <w:pStyle w:val="af8"/>
      </w:pPr>
      <w:r>
        <w:rPr>
          <w:rFonts w:hint="eastAsia"/>
        </w:rPr>
        <w:t xml:space="preserve"> </w:t>
      </w:r>
      <w:r>
        <w:t xml:space="preserve">                    </w:t>
      </w:r>
      <m:oMath>
        <m:sSub>
          <m:sSubPr>
            <m:ctrlPr>
              <w:rPr>
                <w:rFonts w:ascii="Cambria Math" w:hAnsi="Cambria Math"/>
                <w:noProof/>
              </w:rPr>
            </m:ctrlPr>
          </m:sSubPr>
          <m:e>
            <m:r>
              <w:rPr>
                <w:rFonts w:ascii="Cambria Math" w:hAnsi="Cambria Math"/>
                <w:noProof/>
              </w:rPr>
              <m:t>W</m:t>
            </m:r>
          </m:e>
          <m:sub>
            <m:r>
              <w:rPr>
                <w:rFonts w:ascii="Cambria Math" w:hAnsi="Cambria Math"/>
                <w:noProof/>
              </w:rPr>
              <m:t>a</m:t>
            </m:r>
          </m:sub>
        </m:sSub>
        <m:r>
          <m:rPr>
            <m:sty m:val="p"/>
          </m:rPr>
          <w:rPr>
            <w:rFonts w:ascii="Cambria Math" w:hAnsi="Cambria Math"/>
            <w:noProof/>
          </w:rPr>
          <m:t>=</m:t>
        </m:r>
        <m:r>
          <w:rPr>
            <w:rFonts w:ascii="Cambria Math" w:hAnsi="Cambria Math"/>
            <w:noProof/>
          </w:rPr>
          <m:t>A</m:t>
        </m:r>
        <m:r>
          <m:rPr>
            <m:sty m:val="p"/>
          </m:rPr>
          <w:rPr>
            <w:rFonts w:ascii="Cambria Math" w:hAnsi="Cambria Math"/>
            <w:noProof/>
          </w:rPr>
          <m:t> · </m:t>
        </m:r>
        <m:sSub>
          <m:sSubPr>
            <m:ctrlPr>
              <w:rPr>
                <w:rFonts w:ascii="Cambria Math" w:hAnsi="Cambria Math"/>
                <w:noProof/>
              </w:rPr>
            </m:ctrlPr>
          </m:sSubPr>
          <m:e>
            <m:r>
              <w:rPr>
                <w:rFonts w:ascii="Cambria Math" w:hAnsi="Cambria Math"/>
                <w:noProof/>
              </w:rPr>
              <m:t>F</m:t>
            </m:r>
          </m:e>
          <m:sub>
            <m:r>
              <m:rPr>
                <m:nor/>
              </m:rPr>
              <w:rPr>
                <w:noProof/>
              </w:rPr>
              <m:t>hx</m:t>
            </m:r>
          </m:sub>
        </m:sSub>
        <m:r>
          <m:rPr>
            <m:sty m:val="p"/>
          </m:rPr>
          <w:rPr>
            <w:rFonts w:ascii="Cambria Math" w:hAnsi="Cambria Math"/>
            <w:noProof/>
          </w:rPr>
          <m:t> · </m:t>
        </m:r>
        <m:sSub>
          <m:sSubPr>
            <m:ctrlPr>
              <w:rPr>
                <w:rFonts w:ascii="Cambria Math" w:hAnsi="Cambria Math"/>
                <w:noProof/>
              </w:rPr>
            </m:ctrlPr>
          </m:sSubPr>
          <m:e>
            <m:r>
              <w:rPr>
                <w:rFonts w:ascii="Cambria Math" w:hAnsi="Cambria Math"/>
                <w:noProof/>
              </w:rPr>
              <m:t>J</m:t>
            </m:r>
          </m:e>
          <m:sub>
            <m:r>
              <w:rPr>
                <w:rFonts w:ascii="Cambria Math" w:hAnsi="Cambria Math"/>
                <w:noProof/>
              </w:rPr>
              <m:t>d</m:t>
            </m:r>
          </m:sub>
        </m:sSub>
        <m:r>
          <m:rPr>
            <m:sty m:val="p"/>
          </m:rPr>
          <w:rPr>
            <w:rFonts w:ascii="Cambria Math" w:hAnsi="Cambria Math"/>
            <w:noProof/>
          </w:rPr>
          <m:t> · </m:t>
        </m:r>
        <m:sSub>
          <m:sSubPr>
            <m:ctrlPr>
              <w:rPr>
                <w:rFonts w:ascii="Cambria Math" w:hAnsi="Cambria Math"/>
                <w:noProof/>
              </w:rPr>
            </m:ctrlPr>
          </m:sSubPr>
          <m:e>
            <m:r>
              <w:rPr>
                <w:rFonts w:ascii="Cambria Math" w:hAnsi="Cambria Math"/>
                <w:noProof/>
              </w:rPr>
              <m:t>η</m:t>
            </m:r>
          </m:e>
          <m:sub>
            <m:r>
              <m:rPr>
                <m:nor/>
              </m:rPr>
              <w:rPr>
                <w:noProof/>
              </w:rPr>
              <m:t>cd</m:t>
            </m:r>
          </m:sub>
        </m:sSub>
        <m:r>
          <m:rPr>
            <m:sty m:val="p"/>
          </m:rPr>
          <w:rPr>
            <w:rFonts w:ascii="Cambria Math" w:hAnsi="Cambria Math"/>
            <w:noProof/>
          </w:rPr>
          <m:t> · (1-</m:t>
        </m:r>
        <m:sSub>
          <m:sSubPr>
            <m:ctrlPr>
              <w:rPr>
                <w:rFonts w:ascii="Cambria Math" w:hAnsi="Cambria Math"/>
                <w:noProof/>
              </w:rPr>
            </m:ctrlPr>
          </m:sSubPr>
          <m:e>
            <m:r>
              <w:rPr>
                <w:rFonts w:ascii="Cambria Math" w:hAnsi="Cambria Math"/>
                <w:noProof/>
              </w:rPr>
              <m:t>η</m:t>
            </m:r>
          </m:e>
          <m:sub>
            <m:r>
              <w:rPr>
                <w:rFonts w:ascii="Cambria Math" w:hAnsi="Cambria Math"/>
                <w:noProof/>
              </w:rPr>
              <m:t>L</m:t>
            </m:r>
          </m:sub>
        </m:sSub>
        <m:r>
          <m:rPr>
            <m:sty m:val="p"/>
          </m:rPr>
          <w:rPr>
            <w:rFonts w:ascii="Cambria Math" w:hAnsi="Cambria Math"/>
            <w:noProof/>
          </w:rPr>
          <m:t>) · </m:t>
        </m:r>
        <m:r>
          <w:rPr>
            <w:rFonts w:ascii="Cambria Math" w:hAnsi="Cambria Math"/>
            <w:noProof/>
          </w:rPr>
          <m:t>b</m:t>
        </m:r>
      </m:oMath>
      <w:r w:rsidR="00913C78" w:rsidRPr="00913C78">
        <w:rPr>
          <w:rFonts w:hint="eastAsia"/>
        </w:rPr>
        <w:t xml:space="preserve"> </w:t>
      </w:r>
      <w:r w:rsidR="00913C78" w:rsidRPr="00913C78">
        <w:t xml:space="preserve"> </w:t>
      </w:r>
      <w:r w:rsidR="00913C78" w:rsidRPr="00913C78">
        <w:rPr>
          <w:rFonts w:hint="eastAsia"/>
        </w:rPr>
        <w:tab/>
      </w:r>
      <w:r w:rsidR="00913C78" w:rsidRPr="00913C78">
        <w:t xml:space="preserve"> </w:t>
      </w:r>
      <w:r w:rsidR="00913C78" w:rsidRPr="00913C78">
        <w:rPr>
          <w:rFonts w:hint="eastAsia"/>
        </w:rPr>
        <w:t>（</w:t>
      </w:r>
      <w:r w:rsidR="00913C78" w:rsidRPr="00913C78">
        <w:rPr>
          <w:rFonts w:hint="eastAsia"/>
        </w:rPr>
        <w:t>B.2.2</w:t>
      </w:r>
      <w:r w:rsidR="00913C78" w:rsidRPr="00913C78">
        <w:rPr>
          <w:rFonts w:hint="eastAsia"/>
        </w:rPr>
        <w:t>）</w:t>
      </w:r>
    </w:p>
    <w:p w14:paraId="0F3F71EC" w14:textId="43A60E28" w:rsidR="00913C78" w:rsidRPr="00913C78" w:rsidRDefault="00913C78" w:rsidP="00A624AE">
      <w:pPr>
        <w:ind w:firstLine="420"/>
      </w:pPr>
      <w:r w:rsidRPr="00913C78">
        <w:t>式中：</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a</m:t>
            </m:r>
          </m:sub>
        </m:sSub>
      </m:oMath>
      <w:r w:rsidRPr="00913C78">
        <w:fldChar w:fldCharType="end"/>
      </w:r>
      <w:r w:rsidRPr="00913C78">
        <w:t>——</w:t>
      </w:r>
      <w:r w:rsidRPr="00913C78">
        <w:rPr>
          <w:rFonts w:hint="eastAsia"/>
        </w:rPr>
        <w:t>太阳能热水系统使用时间内集热器全年产热量，</w:t>
      </w:r>
      <w:r w:rsidRPr="00913C78">
        <w:t>kJ</w:t>
      </w:r>
      <w:r w:rsidRPr="00913C78">
        <w:t>；</w:t>
      </w:r>
    </w:p>
    <w:p w14:paraId="10022269" w14:textId="5479DC89" w:rsidR="00913C78" w:rsidRPr="00913C78" w:rsidRDefault="00913C78" w:rsidP="00A624AE">
      <w:pPr>
        <w:ind w:firstLineChars="400" w:firstLine="840"/>
      </w:pPr>
      <w:r w:rsidRPr="00913C78">
        <w:fldChar w:fldCharType="begin"/>
      </w:r>
      <w:r w:rsidRPr="00913C78">
        <w:instrText xml:space="preserve"> QUOTE </w:instrText>
      </w:r>
      <m:oMath>
        <m:r>
          <m:rPr>
            <m:sty m:val="p"/>
          </m:rPr>
          <w:rPr>
            <w:rFonts w:ascii="Cambria Math" w:hAnsi="Cambria Math"/>
          </w:rPr>
          <m:t>A</m:t>
        </m:r>
      </m:oMath>
      <w:r w:rsidRPr="00913C78">
        <w:instrText xml:space="preserve"> </w:instrText>
      </w:r>
      <w:r w:rsidRPr="00913C78">
        <w:fldChar w:fldCharType="separate"/>
      </w:r>
      <m:oMath>
        <m:r>
          <m:rPr>
            <m:sty m:val="p"/>
          </m:rPr>
          <w:rPr>
            <w:rFonts w:ascii="Cambria Math"/>
            <w:noProof/>
          </w:rPr>
          <m:t>A</m:t>
        </m:r>
      </m:oMath>
      <w:r w:rsidRPr="00913C78">
        <w:fldChar w:fldCharType="end"/>
      </w:r>
      <w:r w:rsidRPr="00913C78">
        <w:t>——</w:t>
      </w:r>
      <w:r w:rsidRPr="00913C78">
        <w:rPr>
          <w:rFonts w:hint="eastAsia"/>
        </w:rPr>
        <w:t>太阳能集热器总面积，</w:t>
      </w:r>
      <w:r w:rsidRPr="00913C78">
        <w:t>m2</w:t>
      </w:r>
      <w:r w:rsidRPr="00913C78">
        <w:rPr>
          <w:rFonts w:hint="eastAsia"/>
        </w:rPr>
        <w:t>；</w:t>
      </w:r>
    </w:p>
    <w:p w14:paraId="3CEEC80C" w14:textId="620E62F6" w:rsidR="00913C78" w:rsidRPr="00913C78" w:rsidRDefault="00D20A1F" w:rsidP="00A624AE">
      <w:pPr>
        <w:ind w:firstLineChars="400" w:firstLine="840"/>
      </w:pPr>
      <m:oMath>
        <m:sSub>
          <m:sSubPr>
            <m:ctrlPr>
              <w:rPr>
                <w:rFonts w:ascii="Cambria Math" w:hAnsi="Cambria Math"/>
                <w:i/>
                <w:noProof/>
              </w:rPr>
            </m:ctrlPr>
          </m:sSubPr>
          <m:e>
            <m:r>
              <w:rPr>
                <w:rFonts w:ascii="Cambria Math"/>
                <w:noProof/>
              </w:rPr>
              <m:t>F</m:t>
            </m:r>
          </m:e>
          <m:sub>
            <m:r>
              <m:rPr>
                <m:nor/>
              </m:rPr>
              <w:rPr>
                <w:rFonts w:ascii="Cambria Math"/>
                <w:noProof/>
              </w:rPr>
              <m:t>hx</m:t>
            </m:r>
            <m:ctrlPr>
              <w:rPr>
                <w:rFonts w:ascii="Cambria Math" w:hAnsi="Cambria Math"/>
                <w:noProof/>
              </w:rPr>
            </m:ctrlPr>
          </m:sub>
        </m:sSub>
      </m:oMath>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F</m:t>
            </m:r>
          </m:e>
          <m:sub>
            <m:r>
              <m:rPr>
                <m:sty m:val="p"/>
              </m:rPr>
              <w:rPr>
                <w:rFonts w:ascii="Cambria Math" w:hAnsi="Cambria Math"/>
              </w:rPr>
              <m:t>hx</m:t>
            </m:r>
          </m:sub>
        </m:sSub>
      </m:oMath>
      <w:r w:rsidR="00913C78" w:rsidRPr="00913C78">
        <w:instrText xml:space="preserve"> </w:instrText>
      </w:r>
      <w:r w:rsidR="00913C78" w:rsidRPr="00913C78">
        <w:fldChar w:fldCharType="end"/>
      </w:r>
      <w:r w:rsidR="00913C78" w:rsidRPr="00913C78">
        <w:t>——</w:t>
      </w:r>
      <w:r w:rsidR="00913C78" w:rsidRPr="00913C78">
        <w:rPr>
          <w:rFonts w:hint="eastAsia"/>
        </w:rPr>
        <w:t>换热器换热因子，直接加热系统取</w:t>
      </w:r>
      <w:r w:rsidR="00913C78" w:rsidRPr="00913C78">
        <w:t>1.0</w:t>
      </w:r>
      <w:r w:rsidR="00913C78" w:rsidRPr="00913C78">
        <w:rPr>
          <w:rFonts w:hint="eastAsia"/>
        </w:rPr>
        <w:t>，间接加热系统取</w:t>
      </w:r>
      <w:r w:rsidR="00913C78" w:rsidRPr="00913C78">
        <w:t>0.80</w:t>
      </w:r>
      <w:r w:rsidR="00913C78" w:rsidRPr="00913C78">
        <w:rPr>
          <w:rFonts w:hint="eastAsia"/>
        </w:rPr>
        <w:t>；</w:t>
      </w:r>
    </w:p>
    <w:p w14:paraId="2F7D4D27" w14:textId="5CF7667C" w:rsidR="00913C78" w:rsidRPr="00913C78" w:rsidRDefault="00913C78" w:rsidP="00A624AE">
      <w:pPr>
        <w:ind w:firstLineChars="400" w:firstLine="84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J</m:t>
            </m:r>
          </m:e>
          <m:sub>
            <m:r>
              <m:rPr>
                <m:sty m:val="p"/>
              </m:rPr>
              <w:rPr>
                <w:rFonts w:ascii="Cambria Math" w:hAnsi="Cambria Math"/>
              </w:rPr>
              <m:t>d</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J</m:t>
            </m:r>
          </m:e>
          <m:sub>
            <m:r>
              <m:rPr>
                <m:sty m:val="p"/>
              </m:rPr>
              <w:rPr>
                <w:rFonts w:ascii="Cambria Math"/>
                <w:noProof/>
              </w:rPr>
              <m:t>d</m:t>
            </m:r>
          </m:sub>
        </m:sSub>
      </m:oMath>
      <w:r w:rsidRPr="00913C78">
        <w:fldChar w:fldCharType="end"/>
      </w:r>
      <w:r w:rsidRPr="00913C78">
        <w:t>——</w:t>
      </w:r>
      <w:r w:rsidRPr="00913C78">
        <w:rPr>
          <w:rFonts w:hint="eastAsia"/>
        </w:rPr>
        <w:t>太阳能热水系统使用时间内集热器采光面上年均日辐照量，</w:t>
      </w:r>
      <w:r w:rsidRPr="00913C78">
        <w:t>kJ/</w:t>
      </w:r>
      <w:r w:rsidRPr="00913C78">
        <w:rPr>
          <w:rFonts w:hint="eastAsia"/>
        </w:rPr>
        <w:t>（</w:t>
      </w:r>
      <w:r w:rsidRPr="00913C78">
        <w:t>m</w:t>
      </w:r>
      <w:r w:rsidRPr="00F83296">
        <w:rPr>
          <w:vertAlign w:val="superscript"/>
        </w:rPr>
        <w:t>2</w:t>
      </w:r>
      <w:r w:rsidRPr="00913C78">
        <w:rPr>
          <w:rFonts w:hint="eastAsia"/>
        </w:rPr>
        <w:t>·</w:t>
      </w:r>
      <w:r w:rsidRPr="00913C78">
        <w:t>a</w:t>
      </w:r>
      <w:r w:rsidRPr="00913C78">
        <w:rPr>
          <w:rFonts w:hint="eastAsia"/>
        </w:rPr>
        <w:t>）；</w:t>
      </w:r>
    </w:p>
    <w:p w14:paraId="75058E02" w14:textId="1A238B33" w:rsidR="00913C78" w:rsidRPr="00913C78" w:rsidRDefault="00913C78" w:rsidP="00A624AE">
      <w:pPr>
        <w:ind w:firstLineChars="400" w:firstLine="84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η</m:t>
            </m:r>
          </m:e>
          <m:sub>
            <m:r>
              <m:rPr>
                <m:sty m:val="p"/>
              </m:rPr>
              <w:rPr>
                <w:rFonts w:ascii="Cambria Math" w:hAnsi="Cambria Math"/>
              </w:rPr>
              <m:t>cd</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η</m:t>
            </m:r>
          </m:e>
          <m:sub>
            <m:r>
              <m:rPr>
                <m:nor/>
              </m:rPr>
              <w:rPr>
                <w:rFonts w:ascii="Cambria Math"/>
                <w:noProof/>
              </w:rPr>
              <m:t>cd</m:t>
            </m:r>
            <m:ctrlPr>
              <w:rPr>
                <w:rFonts w:ascii="Cambria Math" w:hAnsi="Cambria Math"/>
                <w:noProof/>
              </w:rPr>
            </m:ctrlPr>
          </m:sub>
        </m:sSub>
      </m:oMath>
      <w:r w:rsidRPr="00913C78">
        <w:fldChar w:fldCharType="end"/>
      </w:r>
      <w:r w:rsidRPr="00913C78">
        <w:t>——</w:t>
      </w:r>
      <w:r w:rsidRPr="00913C78">
        <w:rPr>
          <w:rFonts w:hint="eastAsia"/>
        </w:rPr>
        <w:t>集热器全日集热效率，取值</w:t>
      </w:r>
      <w:r w:rsidRPr="00913C78">
        <w:t>0.50</w:t>
      </w:r>
      <w:r w:rsidRPr="00913C78">
        <w:rPr>
          <w:rFonts w:hint="eastAsia"/>
        </w:rPr>
        <w:t>；</w:t>
      </w:r>
    </w:p>
    <w:p w14:paraId="7125CF72" w14:textId="609FE96F" w:rsidR="00913C78" w:rsidRPr="00913C78" w:rsidRDefault="00913C78" w:rsidP="00A624AE">
      <w:pPr>
        <w:ind w:firstLineChars="400" w:firstLine="840"/>
      </w:pPr>
      <w:r w:rsidRPr="00913C78">
        <w:lastRenderedPageBreak/>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η</m:t>
            </m:r>
          </m:e>
          <m:sub>
            <m:r>
              <m:rPr>
                <m:sty m:val="p"/>
              </m:rPr>
              <w:rPr>
                <w:rFonts w:ascii="Cambria Math" w:hAnsi="Cambria Math"/>
              </w:rPr>
              <m:t>L</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η</m:t>
            </m:r>
          </m:e>
          <m:sub>
            <m:r>
              <m:rPr>
                <m:sty m:val="p"/>
              </m:rPr>
              <w:rPr>
                <w:rFonts w:ascii="Cambria Math"/>
                <w:noProof/>
              </w:rPr>
              <m:t>L</m:t>
            </m:r>
          </m:sub>
        </m:sSub>
      </m:oMath>
      <w:r w:rsidRPr="00913C78">
        <w:fldChar w:fldCharType="end"/>
      </w:r>
      <w:r w:rsidRPr="00913C78">
        <w:t>——</w:t>
      </w:r>
      <w:r w:rsidRPr="00913C78">
        <w:rPr>
          <w:rFonts w:hint="eastAsia"/>
        </w:rPr>
        <w:t>管路及储水箱热损失率，取值</w:t>
      </w:r>
      <w:r w:rsidRPr="00913C78">
        <w:t>0.20</w:t>
      </w:r>
      <w:r w:rsidRPr="00913C78">
        <w:rPr>
          <w:rFonts w:hint="eastAsia"/>
        </w:rPr>
        <w:t>；</w:t>
      </w:r>
    </w:p>
    <w:p w14:paraId="529437D5" w14:textId="71CB3338" w:rsidR="00913C78" w:rsidRPr="00913C78" w:rsidRDefault="00913C78" w:rsidP="00A624AE">
      <w:pPr>
        <w:ind w:firstLineChars="400" w:firstLine="840"/>
      </w:pPr>
      <w:r w:rsidRPr="00913C78">
        <w:fldChar w:fldCharType="begin"/>
      </w:r>
      <w:r w:rsidRPr="00913C78">
        <w:instrText xml:space="preserve"> QUOTE </w:instrText>
      </w:r>
      <m:oMath>
        <m:r>
          <m:rPr>
            <m:sty m:val="p"/>
          </m:rPr>
          <w:rPr>
            <w:rFonts w:ascii="Cambria Math" w:hAnsi="Cambria Math"/>
          </w:rPr>
          <m:t>b</m:t>
        </m:r>
      </m:oMath>
      <w:r w:rsidRPr="00913C78">
        <w:instrText xml:space="preserve"> </w:instrText>
      </w:r>
      <w:r w:rsidRPr="00913C78">
        <w:fldChar w:fldCharType="separate"/>
      </w:r>
      <m:oMath>
        <m:r>
          <m:rPr>
            <m:sty m:val="p"/>
          </m:rPr>
          <w:rPr>
            <w:rFonts w:ascii="Cambria Math"/>
            <w:noProof/>
          </w:rPr>
          <m:t>b</m:t>
        </m:r>
      </m:oMath>
      <w:r w:rsidRPr="00913C78">
        <w:fldChar w:fldCharType="end"/>
      </w:r>
      <w:r w:rsidRPr="00913C78">
        <w:t>——</w:t>
      </w:r>
      <w:r w:rsidRPr="00913C78">
        <w:rPr>
          <w:rFonts w:hint="eastAsia"/>
        </w:rPr>
        <w:t>太阳能集热系统的使用效率系数，取</w:t>
      </w:r>
      <w:r w:rsidRPr="00913C78">
        <w:t>0.8</w:t>
      </w:r>
      <w:r w:rsidRPr="00913C78">
        <w:rPr>
          <w:rFonts w:hint="eastAsia"/>
        </w:rPr>
        <w:t>。</w:t>
      </w:r>
    </w:p>
    <w:p w14:paraId="1B2EC41E" w14:textId="77777777" w:rsidR="00913C78" w:rsidRPr="00913C78" w:rsidRDefault="00913C78" w:rsidP="00913C78">
      <w:pPr>
        <w:ind w:firstLine="420"/>
      </w:pPr>
      <w:r w:rsidRPr="00913C78">
        <w:rPr>
          <w:rFonts w:hint="eastAsia"/>
        </w:rPr>
        <w:t>太阳能光热系统产生的热水量为</w:t>
      </w:r>
    </w:p>
    <w:p w14:paraId="6C266F4A" w14:textId="3D8A4C9F"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r>
          <m:rPr>
            <m:sty m:val="p"/>
          </m:rPr>
          <w:rPr>
            <w:rFonts w:ascii="Cambria Math" w:hAnsi="Cambria Math"/>
          </w:rPr>
          <m:t>=</m:t>
        </m:r>
        <m:f>
          <m:fPr>
            <m:ctrlPr>
              <w:rPr>
                <w:rFonts w:ascii="Cambria Math" w:hAnsi="Cambria Math"/>
                <w:i/>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a</m:t>
                </m:r>
              </m:sub>
            </m:sSub>
          </m:num>
          <m:den>
            <m:r>
              <m:rPr>
                <m:sty m:val="p"/>
              </m:rPr>
              <w:rPr>
                <w:rFonts w:ascii="Cambria Math" w:hAnsi="Cambria Math"/>
              </w:rPr>
              <m:t>C⋅</m:t>
            </m:r>
            <m:d>
              <m:dPr>
                <m:ctrlPr>
                  <w:rPr>
                    <w:rFonts w:ascii="Cambria Math" w:hAnsi="Cambria Math"/>
                    <w:i/>
                  </w:rPr>
                </m:ctrlPr>
              </m:dPr>
              <m:e>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r</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t</m:t>
                    </m:r>
                  </m:e>
                  <m:sub>
                    <m:r>
                      <m:rPr>
                        <m:sty m:val="p"/>
                      </m:rPr>
                      <w:rPr>
                        <w:rFonts w:ascii="Cambria Math" w:hAnsi="Cambria Math"/>
                      </w:rPr>
                      <m:t>l</m:t>
                    </m:r>
                  </m:sub>
                </m:sSub>
              </m:e>
            </m:d>
            <m:r>
              <m:rPr>
                <m:sty m:val="p"/>
              </m:rPr>
              <w:rPr>
                <w:rFonts w:ascii="Cambria Math" w:hAnsi="Cambria Math"/>
              </w:rPr>
              <m:t>⋅ρ</m:t>
            </m:r>
          </m:den>
        </m:f>
      </m:oMath>
      <w:r w:rsidR="00913C78" w:rsidRPr="00913C78">
        <w:instrText xml:space="preserve"> </w:instrText>
      </w:r>
      <w:r w:rsidR="00913C78" w:rsidRPr="00913C78">
        <w:fldChar w:fldCharType="separate"/>
      </w:r>
      <m:oMath>
        <m:sSubSup>
          <m:sSubSupPr>
            <m:ctrlPr>
              <w:rPr>
                <w:rFonts w:ascii="Cambria Math" w:hAnsi="Cambria Math"/>
                <w:i/>
                <w:noProof/>
              </w:rPr>
            </m:ctrlPr>
          </m:sSubSupPr>
          <m:e>
            <m:r>
              <m:rPr>
                <m:sty m:val="p"/>
              </m:rPr>
              <w:rPr>
                <w:rFonts w:ascii="Cambria Math" w:hAnsi="Cambria Math"/>
                <w:noProof/>
              </w:rPr>
              <m:t>Q</m:t>
            </m:r>
          </m:e>
          <m:sub>
            <m:r>
              <m:rPr>
                <m:nor/>
              </m:rPr>
              <w:rPr>
                <w:noProof/>
              </w:rPr>
              <m:t>ra</m:t>
            </m:r>
            <m:ctrlPr>
              <w:rPr>
                <w:rFonts w:ascii="Cambria Math" w:hAnsi="Cambria Math"/>
                <w:noProof/>
              </w:rPr>
            </m:ctrlPr>
          </m:sub>
          <m:sup>
            <m:r>
              <m:rPr>
                <m:sty m:val="p"/>
              </m:rPr>
              <w:rPr>
                <w:rFonts w:ascii="Cambria Math" w:hAnsi="Cambria Math"/>
                <w:noProof/>
              </w:rPr>
              <m:t>'</m:t>
            </m:r>
          </m:sup>
        </m:sSubSup>
        <m:r>
          <m:rPr>
            <m:sty m:val="p"/>
          </m:rP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noProof/>
                  </w:rPr>
                  <m:t>W</m:t>
                </m:r>
              </m:e>
              <m:sub>
                <m:r>
                  <m:rPr>
                    <m:sty m:val="p"/>
                  </m:rPr>
                  <w:rPr>
                    <w:rFonts w:ascii="Cambria Math" w:hAnsi="Cambria Math"/>
                    <w:noProof/>
                  </w:rPr>
                  <m:t>a</m:t>
                </m:r>
              </m:sub>
            </m:sSub>
          </m:num>
          <m:den>
            <m:r>
              <m:rPr>
                <m:sty m:val="p"/>
              </m:rPr>
              <w:rPr>
                <w:rFonts w:ascii="Cambria Math" w:hAnsi="Cambria Math"/>
                <w:noProof/>
              </w:rPr>
              <m:t>C · (</m:t>
            </m:r>
            <m:sSub>
              <m:sSubPr>
                <m:ctrlPr>
                  <w:rPr>
                    <w:rFonts w:ascii="Cambria Math" w:hAnsi="Cambria Math"/>
                    <w:i/>
                    <w:noProof/>
                  </w:rPr>
                </m:ctrlPr>
              </m:sSubPr>
              <m:e>
                <m:r>
                  <m:rPr>
                    <m:sty m:val="p"/>
                  </m:rPr>
                  <w:rPr>
                    <w:rFonts w:ascii="Cambria Math" w:hAnsi="Cambria Math"/>
                    <w:noProof/>
                  </w:rPr>
                  <m:t>t</m:t>
                </m:r>
              </m:e>
              <m:sub>
                <m:r>
                  <m:rPr>
                    <m:sty m:val="p"/>
                  </m:rPr>
                  <w:rPr>
                    <w:rFonts w:ascii="Cambria Math" w:hAnsi="Cambria Math"/>
                    <w:noProof/>
                  </w:rPr>
                  <m:t>r</m:t>
                </m:r>
              </m:sub>
            </m:sSub>
            <m:r>
              <m:rPr>
                <m:sty m:val="p"/>
              </m:rPr>
              <w:rPr>
                <w:rFonts w:ascii="Cambria Math" w:hAnsi="Cambria Math"/>
                <w:noProof/>
              </w:rPr>
              <m:t>-</m:t>
            </m:r>
            <m:sSub>
              <m:sSubPr>
                <m:ctrlPr>
                  <w:rPr>
                    <w:rFonts w:ascii="Cambria Math" w:hAnsi="Cambria Math"/>
                    <w:i/>
                    <w:noProof/>
                  </w:rPr>
                </m:ctrlPr>
              </m:sSubPr>
              <m:e>
                <m:r>
                  <m:rPr>
                    <m:sty m:val="p"/>
                  </m:rPr>
                  <w:rPr>
                    <w:rFonts w:ascii="Cambria Math" w:hAnsi="Cambria Math"/>
                    <w:noProof/>
                  </w:rPr>
                  <m:t>t</m:t>
                </m:r>
              </m:e>
              <m:sub>
                <m:r>
                  <m:rPr>
                    <m:sty m:val="p"/>
                  </m:rPr>
                  <w:rPr>
                    <w:rFonts w:ascii="Cambria Math" w:hAnsi="Cambria Math"/>
                    <w:noProof/>
                  </w:rPr>
                  <m:t>l</m:t>
                </m:r>
              </m:sub>
            </m:sSub>
            <m:r>
              <m:rPr>
                <m:sty m:val="p"/>
              </m:rPr>
              <w:rPr>
                <w:rFonts w:ascii="Cambria Math" w:hAnsi="Cambria Math"/>
                <w:noProof/>
              </w:rPr>
              <m:t>) · p</m:t>
            </m:r>
          </m:den>
        </m:f>
      </m:oMath>
      <w:r w:rsidR="00913C78" w:rsidRPr="00913C78">
        <w:fldChar w:fldCharType="end"/>
      </w:r>
      <w:r w:rsidR="00913C78" w:rsidRPr="00913C78">
        <w:rPr>
          <w:rFonts w:hint="eastAsia"/>
        </w:rPr>
        <w:t xml:space="preserve"> </w:t>
      </w:r>
      <w:r w:rsidR="00913C78" w:rsidRPr="00913C78">
        <w:t xml:space="preserve">     </w:t>
      </w:r>
      <w:r w:rsidR="00913C78" w:rsidRPr="00913C78">
        <w:rPr>
          <w:rFonts w:hint="eastAsia"/>
        </w:rPr>
        <w:tab/>
      </w:r>
      <w:r w:rsidR="00913C78" w:rsidRPr="00913C78">
        <w:rPr>
          <w:rFonts w:hint="eastAsia"/>
        </w:rPr>
        <w:t>（</w:t>
      </w:r>
      <w:r w:rsidR="00913C78" w:rsidRPr="00913C78">
        <w:rPr>
          <w:rFonts w:hint="eastAsia"/>
        </w:rPr>
        <w:t>B.2.3</w:t>
      </w:r>
      <w:r w:rsidR="00913C78" w:rsidRPr="00913C78">
        <w:rPr>
          <w:rFonts w:hint="eastAsia"/>
        </w:rPr>
        <w:t>）</w:t>
      </w:r>
    </w:p>
    <w:p w14:paraId="19885329" w14:textId="066D4894" w:rsidR="00913C78" w:rsidRPr="00913C78" w:rsidRDefault="00913C78" w:rsidP="00A624AE">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oMath>
      <w:r w:rsidRPr="00913C78">
        <w:instrText xml:space="preserve"> </w:instrText>
      </w:r>
      <w:r w:rsidRPr="00913C78">
        <w:fldChar w:fldCharType="separate"/>
      </w:r>
      <m:oMath>
        <m:sSubSup>
          <m:sSubSupPr>
            <m:ctrlPr>
              <w:rPr>
                <w:rFonts w:ascii="Cambria Math" w:hAnsi="Cambria Math"/>
                <w:i/>
                <w:noProof/>
              </w:rPr>
            </m:ctrlPr>
          </m:sSubSupPr>
          <m:e>
            <m:r>
              <m:rPr>
                <m:sty m:val="p"/>
              </m:rPr>
              <w:rPr>
                <w:rFonts w:ascii="Cambria Math"/>
                <w:noProof/>
              </w:rPr>
              <m:t>Q</m:t>
            </m:r>
          </m:e>
          <m:sub>
            <m:r>
              <m:rPr>
                <m:nor/>
              </m:rPr>
              <w:rPr>
                <w:rFonts w:ascii="Cambria Math"/>
                <w:noProof/>
              </w:rPr>
              <m:t>ra</m:t>
            </m:r>
            <m:ctrlPr>
              <w:rPr>
                <w:rFonts w:ascii="Cambria Math" w:hAnsi="Cambria Math"/>
                <w:noProof/>
              </w:rPr>
            </m:ctrlPr>
          </m:sub>
          <m:sup>
            <m:r>
              <m:rPr>
                <m:sty m:val="p"/>
              </m:rPr>
              <w:rPr>
                <w:rFonts w:ascii="Cambria Math"/>
                <w:noProof/>
              </w:rPr>
              <m:t>'</m:t>
            </m:r>
          </m:sup>
        </m:sSubSup>
      </m:oMath>
      <w:r w:rsidRPr="00913C78">
        <w:fldChar w:fldCharType="end"/>
      </w:r>
      <w:r w:rsidRPr="00913C78">
        <w:t>——</w:t>
      </w:r>
      <w:r w:rsidRPr="00913C78">
        <w:rPr>
          <w:rFonts w:hint="eastAsia"/>
        </w:rPr>
        <w:t>太阳能光热系统产生的热水量，</w:t>
      </w:r>
      <w:r w:rsidRPr="00913C78">
        <w:t>m</w:t>
      </w:r>
      <w:r w:rsidRPr="00F83296">
        <w:rPr>
          <w:vertAlign w:val="superscript"/>
        </w:rPr>
        <w:t>3</w:t>
      </w:r>
      <w:r w:rsidRPr="00913C78">
        <w:rPr>
          <w:rFonts w:hint="eastAsia"/>
        </w:rPr>
        <w:t>；</w:t>
      </w:r>
    </w:p>
    <w:p w14:paraId="1DEB0751" w14:textId="29861229" w:rsidR="00913C78" w:rsidRPr="00913C78" w:rsidRDefault="00913C78" w:rsidP="00A624AE">
      <w:pPr>
        <w:ind w:firstLineChars="500" w:firstLine="1050"/>
      </w:pPr>
      <w:r w:rsidRPr="00913C78">
        <w:fldChar w:fldCharType="begin"/>
      </w:r>
      <w:r w:rsidRPr="00913C78">
        <w:instrText xml:space="preserve"> QUOTE </w:instrText>
      </w:r>
      <m:oMath>
        <m:r>
          <m:rPr>
            <m:sty m:val="p"/>
          </m:rPr>
          <w:rPr>
            <w:rFonts w:ascii="Cambria Math" w:hAnsi="Cambria Math"/>
          </w:rPr>
          <m:t>C</m:t>
        </m:r>
      </m:oMath>
      <w:r w:rsidRPr="00913C78">
        <w:instrText xml:space="preserve"> </w:instrText>
      </w:r>
      <w:r w:rsidRPr="00913C78">
        <w:fldChar w:fldCharType="separate"/>
      </w:r>
      <m:oMath>
        <m:r>
          <m:rPr>
            <m:sty m:val="p"/>
          </m:rPr>
          <w:rPr>
            <w:rFonts w:ascii="Cambria Math"/>
            <w:noProof/>
          </w:rPr>
          <m:t>C</m:t>
        </m:r>
      </m:oMath>
      <w:r w:rsidRPr="00913C78">
        <w:fldChar w:fldCharType="end"/>
      </w:r>
      <w:r w:rsidRPr="00913C78">
        <w:t>——</w:t>
      </w:r>
      <w:r w:rsidRPr="00913C78">
        <w:rPr>
          <w:rFonts w:hint="eastAsia"/>
        </w:rPr>
        <w:t>水的比热，</w:t>
      </w:r>
      <w:r w:rsidRPr="00913C78">
        <w:t>4.187kJ/</w:t>
      </w:r>
      <w:r w:rsidRPr="00913C78">
        <w:rPr>
          <w:rFonts w:hint="eastAsia"/>
        </w:rPr>
        <w:t>（</w:t>
      </w:r>
      <w:r w:rsidRPr="00913C78">
        <w:t>kg</w:t>
      </w:r>
      <w:r w:rsidRPr="00913C78">
        <w:rPr>
          <w:rFonts w:hint="eastAsia"/>
        </w:rPr>
        <w:t>·℃）；</w:t>
      </w:r>
    </w:p>
    <w:p w14:paraId="5C846379" w14:textId="177371CF"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t</m:t>
            </m:r>
          </m:e>
          <m:sub>
            <m:r>
              <m:rPr>
                <m:sty m:val="p"/>
              </m:rPr>
              <w:rPr>
                <w:rFonts w:ascii="Cambria Math"/>
                <w:noProof/>
              </w:rPr>
              <m:t>r</m:t>
            </m:r>
          </m:sub>
        </m:sSub>
      </m:oMath>
      <w:r w:rsidRPr="00913C78">
        <w:fldChar w:fldCharType="end"/>
      </w:r>
      <w:r w:rsidRPr="00913C78">
        <w:t>——</w:t>
      </w:r>
      <w:r w:rsidRPr="00913C78">
        <w:rPr>
          <w:rFonts w:hint="eastAsia"/>
        </w:rPr>
        <w:t>设计热水温度，可取</w:t>
      </w:r>
      <w:r w:rsidRPr="00913C78">
        <w:t>60</w:t>
      </w:r>
      <w:r w:rsidRPr="00913C78">
        <w:rPr>
          <w:rFonts w:hint="eastAsia"/>
        </w:rPr>
        <w:t>℃；</w:t>
      </w:r>
    </w:p>
    <w:p w14:paraId="5DE909DF" w14:textId="42E1CD8B"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l</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t</m:t>
            </m:r>
          </m:e>
          <m:sub>
            <m:r>
              <m:rPr>
                <m:sty m:val="p"/>
              </m:rPr>
              <w:rPr>
                <w:rFonts w:ascii="Cambria Math"/>
                <w:noProof/>
              </w:rPr>
              <m:t>l</m:t>
            </m:r>
          </m:sub>
        </m:sSub>
      </m:oMath>
      <w:r w:rsidRPr="00913C78">
        <w:fldChar w:fldCharType="end"/>
      </w:r>
      <w:r w:rsidRPr="00913C78">
        <w:t>——</w:t>
      </w:r>
      <w:r w:rsidRPr="00913C78">
        <w:rPr>
          <w:rFonts w:hint="eastAsia"/>
        </w:rPr>
        <w:t>全年用水期间内冷水平均温度，取</w:t>
      </w:r>
      <w:r w:rsidRPr="00913C78">
        <w:t>15</w:t>
      </w:r>
      <w:r w:rsidRPr="00913C78">
        <w:rPr>
          <w:rFonts w:hint="eastAsia"/>
        </w:rPr>
        <w:t>℃；</w:t>
      </w:r>
    </w:p>
    <w:p w14:paraId="502CA5F3" w14:textId="6B9721F0" w:rsidR="00913C78" w:rsidRPr="00913C78" w:rsidRDefault="00913C78" w:rsidP="00A624AE">
      <w:pPr>
        <w:ind w:firstLineChars="500" w:firstLine="1050"/>
      </w:pPr>
      <w:r w:rsidRPr="00913C78">
        <w:fldChar w:fldCharType="begin"/>
      </w:r>
      <w:r w:rsidRPr="00913C78">
        <w:instrText xml:space="preserve"> QUOTE </w:instrText>
      </w:r>
      <m:oMath>
        <m:r>
          <m:rPr>
            <m:sty m:val="p"/>
          </m:rPr>
          <w:rPr>
            <w:rFonts w:ascii="Cambria Math" w:hAnsi="Cambria Math"/>
          </w:rPr>
          <m:t>ρ</m:t>
        </m:r>
      </m:oMath>
      <w:r w:rsidRPr="00913C78">
        <w:instrText xml:space="preserve"> </w:instrText>
      </w:r>
      <w:r w:rsidRPr="00913C78">
        <w:fldChar w:fldCharType="separate"/>
      </w:r>
      <m:oMath>
        <m:r>
          <m:rPr>
            <m:sty m:val="p"/>
          </m:rPr>
          <w:rPr>
            <w:rFonts w:ascii="Cambria Math"/>
            <w:noProof/>
          </w:rPr>
          <m:t>ρ</m:t>
        </m:r>
      </m:oMath>
      <w:r w:rsidRPr="00913C78">
        <w:fldChar w:fldCharType="end"/>
      </w:r>
      <w:r w:rsidRPr="00913C78">
        <w:t>——</w:t>
      </w:r>
      <w:r w:rsidRPr="00913C78">
        <w:t>热水密度，</w:t>
      </w:r>
      <w:r w:rsidRPr="00913C78">
        <w:rPr>
          <w:rFonts w:hint="eastAsia"/>
        </w:rPr>
        <w:t>取</w:t>
      </w:r>
      <w:r w:rsidRPr="00913C78">
        <w:t>1000kg/m</w:t>
      </w:r>
      <w:r w:rsidRPr="00F83296">
        <w:rPr>
          <w:vertAlign w:val="superscript"/>
        </w:rPr>
        <w:t>3</w:t>
      </w:r>
      <w:r w:rsidRPr="00913C78">
        <w:rPr>
          <w:rFonts w:hint="eastAsia"/>
        </w:rPr>
        <w:t>。</w:t>
      </w:r>
    </w:p>
    <w:p w14:paraId="5BE7315E"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可再生能源应用比例。</w:t>
      </w:r>
    </w:p>
    <w:p w14:paraId="4F5DD809" w14:textId="77777777" w:rsidR="00913C78" w:rsidRPr="00913C78" w:rsidRDefault="00913C78" w:rsidP="00913C78">
      <w:pPr>
        <w:ind w:firstLine="420"/>
      </w:pPr>
      <w:r w:rsidRPr="00913C78">
        <w:rPr>
          <w:rFonts w:hint="eastAsia"/>
        </w:rPr>
        <w:t>可再生能源提供生活用热水比例按第</w:t>
      </w:r>
      <w:r w:rsidRPr="00913C78">
        <w:rPr>
          <w:rFonts w:hint="eastAsia"/>
        </w:rPr>
        <w:t>B.2.1</w:t>
      </w:r>
      <w:r w:rsidRPr="00913C78">
        <w:rPr>
          <w:rFonts w:hint="eastAsia"/>
        </w:rPr>
        <w:t>节方法</w:t>
      </w:r>
      <w:r w:rsidRPr="00913C78">
        <w:t>计算</w:t>
      </w:r>
      <w:r w:rsidRPr="00913C78">
        <w:rPr>
          <w:rFonts w:hint="eastAsia"/>
        </w:rPr>
        <w:t>。</w:t>
      </w:r>
    </w:p>
    <w:p w14:paraId="5E35B8E5" w14:textId="77777777" w:rsidR="00913C78" w:rsidRPr="00913C78" w:rsidRDefault="00913C78" w:rsidP="00913C78">
      <w:pPr>
        <w:ind w:firstLine="420"/>
      </w:pPr>
      <w:bookmarkStart w:id="366" w:name="_Toc476236517"/>
      <w:r w:rsidRPr="00913C78">
        <w:rPr>
          <w:rFonts w:hint="eastAsia"/>
        </w:rPr>
        <w:t>（</w:t>
      </w:r>
      <w:r w:rsidRPr="00913C78">
        <w:rPr>
          <w:rFonts w:hint="eastAsia"/>
        </w:rPr>
        <w:t>2</w:t>
      </w:r>
      <w:r w:rsidRPr="00913C78">
        <w:rPr>
          <w:rFonts w:hint="eastAsia"/>
        </w:rPr>
        <w:t>）可再生能源提供空调冷热量比例</w:t>
      </w:r>
      <w:bookmarkEnd w:id="366"/>
    </w:p>
    <w:p w14:paraId="4E030B0C"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系统</w:t>
      </w:r>
      <w:r w:rsidRPr="00913C78">
        <w:t>设计</w:t>
      </w:r>
      <w:r w:rsidRPr="00913C78">
        <w:rPr>
          <w:rFonts w:hint="eastAsia"/>
        </w:rPr>
        <w:t>。结合场地的选址、建筑空调用冷热量、当地可再生资源情况等，</w:t>
      </w:r>
      <w:r w:rsidRPr="00913C78">
        <w:t>对</w:t>
      </w:r>
      <w:r w:rsidRPr="00913C78">
        <w:rPr>
          <w:rFonts w:hint="eastAsia"/>
        </w:rPr>
        <w:t>建筑空调</w:t>
      </w:r>
      <w:r w:rsidRPr="00913C78">
        <w:t>系统</w:t>
      </w:r>
      <w:r w:rsidRPr="00913C78">
        <w:rPr>
          <w:rFonts w:hint="eastAsia"/>
        </w:rPr>
        <w:t>及</w:t>
      </w:r>
      <w:r w:rsidRPr="00CC545E">
        <w:rPr>
          <w:rFonts w:hint="eastAsia"/>
        </w:rPr>
        <w:t>地源热泵系统</w:t>
      </w:r>
      <w:r w:rsidRPr="00913C78">
        <w:t>的设计情况</w:t>
      </w:r>
      <w:r w:rsidRPr="00913C78">
        <w:rPr>
          <w:rFonts w:hint="eastAsia"/>
        </w:rPr>
        <w:t>及</w:t>
      </w:r>
      <w:r w:rsidRPr="00913C78">
        <w:t>系统设备参数进行介绍</w:t>
      </w:r>
      <w:r w:rsidRPr="00913C78">
        <w:rPr>
          <w:rFonts w:hint="eastAsia"/>
        </w:rPr>
        <w:t>。</w:t>
      </w:r>
    </w:p>
    <w:p w14:paraId="65CBADBD"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项目空调总冷热量。简介</w:t>
      </w:r>
      <w:r w:rsidRPr="00913C78">
        <w:t>项目负荷计算使用软件，</w:t>
      </w:r>
      <w:r w:rsidRPr="00913C78">
        <w:rPr>
          <w:rFonts w:hint="eastAsia"/>
        </w:rPr>
        <w:t>根据项目供暖空调系统能耗模拟分析得到项目空调总冷热量数据</w:t>
      </w:r>
      <w:r w:rsidRPr="00913C78">
        <w:t>，具体要求参考《</w:t>
      </w:r>
      <w:r w:rsidRPr="00913C78">
        <w:rPr>
          <w:rFonts w:hint="eastAsia"/>
        </w:rPr>
        <w:t>供暖空调系统能耗模拟分析报告提纲及要求</w:t>
      </w:r>
      <w:r w:rsidRPr="00913C78">
        <w:t>》</w:t>
      </w:r>
      <w:r w:rsidRPr="00913C78">
        <w:rPr>
          <w:rFonts w:hint="eastAsia"/>
        </w:rPr>
        <w:t>。</w:t>
      </w:r>
    </w:p>
    <w:p w14:paraId="51D51875"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可再生能源提空调冷热量。</w:t>
      </w:r>
    </w:p>
    <w:p w14:paraId="77181073" w14:textId="77777777" w:rsidR="00913C78" w:rsidRPr="00913C78" w:rsidRDefault="00913C78" w:rsidP="00913C78">
      <w:pPr>
        <w:ind w:firstLine="420"/>
      </w:pPr>
      <w:r w:rsidRPr="00913C78">
        <w:rPr>
          <w:rFonts w:hint="eastAsia"/>
        </w:rPr>
        <w:t>①</w:t>
      </w:r>
      <w:r w:rsidRPr="00913C78">
        <w:rPr>
          <w:rFonts w:hint="eastAsia"/>
        </w:rPr>
        <w:t xml:space="preserve"> </w:t>
      </w:r>
      <w:r w:rsidRPr="00913C78">
        <w:rPr>
          <w:rFonts w:hint="eastAsia"/>
        </w:rPr>
        <w:t>根据负荷</w:t>
      </w:r>
      <w:r w:rsidRPr="00913C78">
        <w:t>计算结果和</w:t>
      </w:r>
      <w:r w:rsidRPr="00913C78">
        <w:rPr>
          <w:rFonts w:hint="eastAsia"/>
        </w:rPr>
        <w:t>项目空调</w:t>
      </w:r>
      <w:r w:rsidRPr="00913C78">
        <w:t>系统设计</w:t>
      </w:r>
      <w:r w:rsidRPr="00913C78">
        <w:rPr>
          <w:rFonts w:hint="eastAsia"/>
        </w:rPr>
        <w:t>方案，确定系统</w:t>
      </w:r>
      <w:r w:rsidRPr="00913C78">
        <w:t>的</w:t>
      </w:r>
      <w:r w:rsidRPr="00913C78">
        <w:rPr>
          <w:rFonts w:hint="eastAsia"/>
        </w:rPr>
        <w:t>机组</w:t>
      </w:r>
      <w:r w:rsidRPr="00913C78">
        <w:t>。</w:t>
      </w:r>
    </w:p>
    <w:p w14:paraId="713C04B5" w14:textId="77777777" w:rsidR="00913C78" w:rsidRPr="00913C78" w:rsidRDefault="00913C78" w:rsidP="00913C78">
      <w:pPr>
        <w:ind w:firstLine="420"/>
      </w:pPr>
      <w:r w:rsidRPr="00913C78">
        <w:rPr>
          <w:rFonts w:hint="eastAsia"/>
        </w:rPr>
        <w:t>②</w:t>
      </w:r>
      <w:r w:rsidRPr="00913C78">
        <w:rPr>
          <w:rFonts w:hint="eastAsia"/>
        </w:rPr>
        <w:t xml:space="preserve"> </w:t>
      </w:r>
      <w:r w:rsidRPr="00913C78">
        <w:rPr>
          <w:rFonts w:hint="eastAsia"/>
        </w:rPr>
        <w:t>根据重庆市《公共建筑节能（绿色建筑）设计标准》（</w:t>
      </w:r>
      <w:r w:rsidRPr="00913C78">
        <w:rPr>
          <w:rFonts w:hint="eastAsia"/>
        </w:rPr>
        <w:t>DBJ50/T-052</w:t>
      </w:r>
      <w:r w:rsidRPr="00913C78">
        <w:rPr>
          <w:rFonts w:hint="eastAsia"/>
        </w:rPr>
        <w:t>），结合项目自身的运营情况，确定本项目的运营时间表。可参考附</w:t>
      </w:r>
      <w:r w:rsidRPr="00913C78">
        <w:t>表</w:t>
      </w:r>
      <w:r w:rsidRPr="00913C78">
        <w:rPr>
          <w:rFonts w:hint="eastAsia"/>
        </w:rPr>
        <w:t>B.2.1</w:t>
      </w:r>
      <w:r w:rsidRPr="00913C78">
        <w:rPr>
          <w:rFonts w:hint="eastAsia"/>
        </w:rPr>
        <w:t>确定。</w:t>
      </w:r>
    </w:p>
    <w:p w14:paraId="268D9A8D" w14:textId="77777777" w:rsidR="00913C78" w:rsidRPr="00913C78" w:rsidRDefault="00913C78" w:rsidP="00CC545E">
      <w:pPr>
        <w:pStyle w:val="ae"/>
      </w:pPr>
      <w:r w:rsidRPr="00913C78">
        <w:rPr>
          <w:rFonts w:hint="eastAsia"/>
        </w:rPr>
        <w:t>附表</w:t>
      </w:r>
      <w:r w:rsidRPr="00913C78">
        <w:rPr>
          <w:rFonts w:hint="eastAsia"/>
        </w:rPr>
        <w:t>B.2.1</w:t>
      </w:r>
      <w:r w:rsidRPr="00913C78">
        <w:t xml:space="preserve"> </w:t>
      </w:r>
      <w:r w:rsidRPr="00913C78">
        <w:rPr>
          <w:rFonts w:hint="eastAsia"/>
        </w:rPr>
        <w:t xml:space="preserve"> </w:t>
      </w:r>
      <w:r w:rsidRPr="00913C78">
        <w:rPr>
          <w:rFonts w:hint="eastAsia"/>
        </w:rPr>
        <w:t>空气调节和供暖系统的日运行时间</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40" w:type="dxa"/>
        </w:tblCellMar>
        <w:tblLook w:val="04A0" w:firstRow="1" w:lastRow="0" w:firstColumn="1" w:lastColumn="0" w:noHBand="0" w:noVBand="1"/>
      </w:tblPr>
      <w:tblGrid>
        <w:gridCol w:w="3119"/>
        <w:gridCol w:w="2125"/>
        <w:gridCol w:w="2126"/>
      </w:tblGrid>
      <w:tr w:rsidR="00913C78" w:rsidRPr="00CC545E" w14:paraId="31F9831F" w14:textId="77777777" w:rsidTr="008F38C5">
        <w:trPr>
          <w:jc w:val="center"/>
        </w:trPr>
        <w:tc>
          <w:tcPr>
            <w:tcW w:w="3119" w:type="dxa"/>
            <w:shd w:val="clear" w:color="auto" w:fill="auto"/>
            <w:vAlign w:val="center"/>
            <w:hideMark/>
          </w:tcPr>
          <w:p w14:paraId="216EE45F" w14:textId="77777777" w:rsidR="00913C78" w:rsidRPr="00CC545E" w:rsidRDefault="00913C78" w:rsidP="00CC545E">
            <w:pPr>
              <w:pStyle w:val="ae"/>
              <w:rPr>
                <w:b w:val="0"/>
                <w:bCs/>
              </w:rPr>
            </w:pPr>
            <w:r w:rsidRPr="00CC545E">
              <w:rPr>
                <w:rFonts w:hint="eastAsia"/>
                <w:b w:val="0"/>
                <w:bCs/>
              </w:rPr>
              <w:t>建筑类别</w:t>
            </w:r>
          </w:p>
        </w:tc>
        <w:tc>
          <w:tcPr>
            <w:tcW w:w="4251" w:type="dxa"/>
            <w:gridSpan w:val="2"/>
            <w:shd w:val="clear" w:color="auto" w:fill="auto"/>
            <w:vAlign w:val="center"/>
            <w:hideMark/>
          </w:tcPr>
          <w:p w14:paraId="363BDF7D" w14:textId="77777777" w:rsidR="00913C78" w:rsidRPr="00CC545E" w:rsidRDefault="00913C78" w:rsidP="00CC545E">
            <w:pPr>
              <w:pStyle w:val="ae"/>
              <w:rPr>
                <w:b w:val="0"/>
                <w:bCs/>
              </w:rPr>
            </w:pPr>
            <w:r w:rsidRPr="00CC545E">
              <w:rPr>
                <w:rFonts w:hint="eastAsia"/>
                <w:b w:val="0"/>
                <w:bCs/>
              </w:rPr>
              <w:t>系统工作时间</w:t>
            </w:r>
          </w:p>
        </w:tc>
      </w:tr>
      <w:tr w:rsidR="00913C78" w:rsidRPr="00CC545E" w14:paraId="342E1CE4" w14:textId="77777777" w:rsidTr="008F38C5">
        <w:trPr>
          <w:jc w:val="center"/>
        </w:trPr>
        <w:tc>
          <w:tcPr>
            <w:tcW w:w="3119" w:type="dxa"/>
            <w:vMerge w:val="restart"/>
            <w:shd w:val="clear" w:color="auto" w:fill="auto"/>
            <w:vAlign w:val="center"/>
            <w:hideMark/>
          </w:tcPr>
          <w:p w14:paraId="4C280564" w14:textId="77777777" w:rsidR="00913C78" w:rsidRPr="00CC545E" w:rsidRDefault="00913C78" w:rsidP="00CC545E">
            <w:pPr>
              <w:pStyle w:val="ae"/>
              <w:rPr>
                <w:b w:val="0"/>
                <w:bCs/>
              </w:rPr>
            </w:pPr>
            <w:r w:rsidRPr="00CC545E">
              <w:rPr>
                <w:rFonts w:hint="eastAsia"/>
                <w:b w:val="0"/>
                <w:bCs/>
              </w:rPr>
              <w:t>办公建筑</w:t>
            </w:r>
          </w:p>
        </w:tc>
        <w:tc>
          <w:tcPr>
            <w:tcW w:w="2125" w:type="dxa"/>
            <w:shd w:val="clear" w:color="auto" w:fill="auto"/>
            <w:vAlign w:val="center"/>
            <w:hideMark/>
          </w:tcPr>
          <w:p w14:paraId="3663B1F5" w14:textId="77777777" w:rsidR="00913C78" w:rsidRPr="00CC545E" w:rsidRDefault="00913C78" w:rsidP="00CC545E">
            <w:pPr>
              <w:pStyle w:val="ae"/>
              <w:rPr>
                <w:b w:val="0"/>
                <w:bCs/>
              </w:rPr>
            </w:pPr>
            <w:r w:rsidRPr="00CC545E">
              <w:rPr>
                <w:rFonts w:hint="eastAsia"/>
                <w:b w:val="0"/>
                <w:bCs/>
              </w:rPr>
              <w:t>工作日</w:t>
            </w:r>
          </w:p>
        </w:tc>
        <w:tc>
          <w:tcPr>
            <w:tcW w:w="2126" w:type="dxa"/>
            <w:shd w:val="clear" w:color="auto" w:fill="auto"/>
            <w:vAlign w:val="center"/>
            <w:hideMark/>
          </w:tcPr>
          <w:p w14:paraId="29AEDBAC" w14:textId="77777777" w:rsidR="00913C78" w:rsidRPr="00CC545E" w:rsidRDefault="00913C78" w:rsidP="00CC545E">
            <w:pPr>
              <w:pStyle w:val="ae"/>
              <w:rPr>
                <w:b w:val="0"/>
                <w:bCs/>
              </w:rPr>
            </w:pPr>
            <w:r w:rsidRPr="00CC545E">
              <w:rPr>
                <w:rFonts w:hint="eastAsia"/>
                <w:b w:val="0"/>
                <w:bCs/>
              </w:rPr>
              <w:t>7:00</w:t>
            </w:r>
            <w:r w:rsidRPr="00CC545E">
              <w:rPr>
                <w:rFonts w:hint="eastAsia"/>
                <w:b w:val="0"/>
                <w:bCs/>
              </w:rPr>
              <w:t>～</w:t>
            </w:r>
            <w:r w:rsidRPr="00CC545E">
              <w:rPr>
                <w:rFonts w:hint="eastAsia"/>
                <w:b w:val="0"/>
                <w:bCs/>
              </w:rPr>
              <w:t>18:00</w:t>
            </w:r>
          </w:p>
        </w:tc>
      </w:tr>
      <w:tr w:rsidR="00913C78" w:rsidRPr="00CC545E" w14:paraId="4C6461B0" w14:textId="77777777" w:rsidTr="008F38C5">
        <w:trPr>
          <w:jc w:val="center"/>
        </w:trPr>
        <w:tc>
          <w:tcPr>
            <w:tcW w:w="3119" w:type="dxa"/>
            <w:vMerge/>
            <w:shd w:val="clear" w:color="auto" w:fill="auto"/>
            <w:vAlign w:val="center"/>
            <w:hideMark/>
          </w:tcPr>
          <w:p w14:paraId="681734A3" w14:textId="77777777" w:rsidR="00913C78" w:rsidRPr="00CC545E" w:rsidRDefault="00913C78" w:rsidP="00CC545E">
            <w:pPr>
              <w:pStyle w:val="ae"/>
              <w:rPr>
                <w:b w:val="0"/>
                <w:bCs/>
              </w:rPr>
            </w:pPr>
          </w:p>
        </w:tc>
        <w:tc>
          <w:tcPr>
            <w:tcW w:w="2125" w:type="dxa"/>
            <w:shd w:val="clear" w:color="auto" w:fill="auto"/>
            <w:vAlign w:val="center"/>
            <w:hideMark/>
          </w:tcPr>
          <w:p w14:paraId="5D4B3AF0" w14:textId="77777777" w:rsidR="00913C78" w:rsidRPr="00CC545E" w:rsidRDefault="00913C78" w:rsidP="00CC545E">
            <w:pPr>
              <w:pStyle w:val="ae"/>
              <w:rPr>
                <w:b w:val="0"/>
                <w:bCs/>
              </w:rPr>
            </w:pPr>
            <w:r w:rsidRPr="00CC545E">
              <w:rPr>
                <w:rFonts w:hint="eastAsia"/>
                <w:b w:val="0"/>
                <w:bCs/>
              </w:rPr>
              <w:t>节假日</w:t>
            </w:r>
          </w:p>
        </w:tc>
        <w:tc>
          <w:tcPr>
            <w:tcW w:w="2126" w:type="dxa"/>
            <w:shd w:val="clear" w:color="auto" w:fill="auto"/>
            <w:vAlign w:val="center"/>
            <w:hideMark/>
          </w:tcPr>
          <w:p w14:paraId="2A20EE58" w14:textId="77777777" w:rsidR="00913C78" w:rsidRPr="00CC545E" w:rsidRDefault="00913C78" w:rsidP="00CC545E">
            <w:pPr>
              <w:pStyle w:val="ae"/>
              <w:rPr>
                <w:b w:val="0"/>
                <w:bCs/>
              </w:rPr>
            </w:pPr>
            <w:r w:rsidRPr="00CC545E">
              <w:rPr>
                <w:rFonts w:hint="eastAsia"/>
                <w:b w:val="0"/>
                <w:bCs/>
              </w:rPr>
              <w:t>—</w:t>
            </w:r>
          </w:p>
        </w:tc>
      </w:tr>
      <w:tr w:rsidR="00913C78" w:rsidRPr="00CC545E" w14:paraId="4E9ABD5B" w14:textId="77777777" w:rsidTr="008F38C5">
        <w:trPr>
          <w:jc w:val="center"/>
        </w:trPr>
        <w:tc>
          <w:tcPr>
            <w:tcW w:w="3119" w:type="dxa"/>
            <w:vMerge w:val="restart"/>
            <w:shd w:val="clear" w:color="auto" w:fill="auto"/>
            <w:vAlign w:val="center"/>
            <w:hideMark/>
          </w:tcPr>
          <w:p w14:paraId="42046DDC" w14:textId="77777777" w:rsidR="00913C78" w:rsidRPr="00CC545E" w:rsidRDefault="00913C78" w:rsidP="00CC545E">
            <w:pPr>
              <w:pStyle w:val="ae"/>
              <w:rPr>
                <w:b w:val="0"/>
                <w:bCs/>
              </w:rPr>
            </w:pPr>
            <w:r w:rsidRPr="00CC545E">
              <w:rPr>
                <w:rFonts w:hint="eastAsia"/>
                <w:b w:val="0"/>
                <w:bCs/>
              </w:rPr>
              <w:t>校园建筑——教学楼</w:t>
            </w:r>
          </w:p>
        </w:tc>
        <w:tc>
          <w:tcPr>
            <w:tcW w:w="2125" w:type="dxa"/>
            <w:shd w:val="clear" w:color="auto" w:fill="auto"/>
            <w:vAlign w:val="center"/>
            <w:hideMark/>
          </w:tcPr>
          <w:p w14:paraId="3EF7715B" w14:textId="77777777" w:rsidR="00913C78" w:rsidRPr="00CC545E" w:rsidRDefault="00913C78" w:rsidP="00CC545E">
            <w:pPr>
              <w:pStyle w:val="ae"/>
              <w:rPr>
                <w:b w:val="0"/>
                <w:bCs/>
              </w:rPr>
            </w:pPr>
            <w:r w:rsidRPr="00CC545E">
              <w:rPr>
                <w:rFonts w:hint="eastAsia"/>
                <w:b w:val="0"/>
                <w:bCs/>
              </w:rPr>
              <w:t>工作日</w:t>
            </w:r>
          </w:p>
        </w:tc>
        <w:tc>
          <w:tcPr>
            <w:tcW w:w="2126" w:type="dxa"/>
            <w:shd w:val="clear" w:color="auto" w:fill="auto"/>
            <w:vAlign w:val="center"/>
            <w:hideMark/>
          </w:tcPr>
          <w:p w14:paraId="35C48122" w14:textId="77777777" w:rsidR="00913C78" w:rsidRPr="00CC545E" w:rsidRDefault="00913C78" w:rsidP="00CC545E">
            <w:pPr>
              <w:pStyle w:val="ae"/>
              <w:rPr>
                <w:b w:val="0"/>
                <w:bCs/>
              </w:rPr>
            </w:pPr>
            <w:r w:rsidRPr="00CC545E">
              <w:rPr>
                <w:rFonts w:hint="eastAsia"/>
                <w:b w:val="0"/>
                <w:bCs/>
              </w:rPr>
              <w:t>7:00</w:t>
            </w:r>
            <w:r w:rsidRPr="00CC545E">
              <w:rPr>
                <w:rFonts w:hint="eastAsia"/>
                <w:b w:val="0"/>
                <w:bCs/>
              </w:rPr>
              <w:t>～</w:t>
            </w:r>
            <w:r w:rsidRPr="00CC545E">
              <w:rPr>
                <w:rFonts w:hint="eastAsia"/>
                <w:b w:val="0"/>
                <w:bCs/>
              </w:rPr>
              <w:t>18:00</w:t>
            </w:r>
          </w:p>
        </w:tc>
      </w:tr>
      <w:tr w:rsidR="00913C78" w:rsidRPr="00CC545E" w14:paraId="032BF2E3" w14:textId="77777777" w:rsidTr="008F38C5">
        <w:trPr>
          <w:jc w:val="center"/>
        </w:trPr>
        <w:tc>
          <w:tcPr>
            <w:tcW w:w="3119" w:type="dxa"/>
            <w:vMerge/>
            <w:shd w:val="clear" w:color="auto" w:fill="auto"/>
            <w:vAlign w:val="center"/>
            <w:hideMark/>
          </w:tcPr>
          <w:p w14:paraId="215F3B41" w14:textId="77777777" w:rsidR="00913C78" w:rsidRPr="00CC545E" w:rsidRDefault="00913C78" w:rsidP="00CC545E">
            <w:pPr>
              <w:pStyle w:val="ae"/>
              <w:rPr>
                <w:b w:val="0"/>
                <w:bCs/>
              </w:rPr>
            </w:pPr>
          </w:p>
        </w:tc>
        <w:tc>
          <w:tcPr>
            <w:tcW w:w="2125" w:type="dxa"/>
            <w:shd w:val="clear" w:color="auto" w:fill="auto"/>
            <w:vAlign w:val="center"/>
            <w:hideMark/>
          </w:tcPr>
          <w:p w14:paraId="5D70F55E" w14:textId="77777777" w:rsidR="00913C78" w:rsidRPr="00CC545E" w:rsidRDefault="00913C78" w:rsidP="00CC545E">
            <w:pPr>
              <w:pStyle w:val="ae"/>
              <w:rPr>
                <w:b w:val="0"/>
                <w:bCs/>
              </w:rPr>
            </w:pPr>
            <w:r w:rsidRPr="00CC545E">
              <w:rPr>
                <w:rFonts w:hint="eastAsia"/>
                <w:b w:val="0"/>
                <w:bCs/>
              </w:rPr>
              <w:t>节假日</w:t>
            </w:r>
          </w:p>
        </w:tc>
        <w:tc>
          <w:tcPr>
            <w:tcW w:w="2126" w:type="dxa"/>
            <w:shd w:val="clear" w:color="auto" w:fill="auto"/>
            <w:vAlign w:val="center"/>
            <w:hideMark/>
          </w:tcPr>
          <w:p w14:paraId="5181FF4C" w14:textId="77777777" w:rsidR="00913C78" w:rsidRPr="00CC545E" w:rsidRDefault="00913C78" w:rsidP="00CC545E">
            <w:pPr>
              <w:pStyle w:val="ae"/>
              <w:rPr>
                <w:b w:val="0"/>
                <w:bCs/>
              </w:rPr>
            </w:pPr>
            <w:r w:rsidRPr="00CC545E">
              <w:rPr>
                <w:rFonts w:hint="eastAsia"/>
                <w:b w:val="0"/>
                <w:bCs/>
              </w:rPr>
              <w:t>—</w:t>
            </w:r>
          </w:p>
        </w:tc>
      </w:tr>
      <w:tr w:rsidR="00913C78" w:rsidRPr="00CC545E" w14:paraId="50563EA7" w14:textId="77777777" w:rsidTr="008F38C5">
        <w:trPr>
          <w:jc w:val="center"/>
        </w:trPr>
        <w:tc>
          <w:tcPr>
            <w:tcW w:w="3119" w:type="dxa"/>
            <w:shd w:val="clear" w:color="auto" w:fill="auto"/>
            <w:vAlign w:val="center"/>
            <w:hideMark/>
          </w:tcPr>
          <w:p w14:paraId="48118DA3" w14:textId="77777777" w:rsidR="00913C78" w:rsidRPr="00CC545E" w:rsidRDefault="00913C78" w:rsidP="00CC545E">
            <w:pPr>
              <w:pStyle w:val="ae"/>
              <w:rPr>
                <w:b w:val="0"/>
                <w:bCs/>
              </w:rPr>
            </w:pPr>
            <w:r w:rsidRPr="00CC545E">
              <w:rPr>
                <w:rFonts w:hint="eastAsia"/>
                <w:b w:val="0"/>
                <w:bCs/>
              </w:rPr>
              <w:t>商店建筑</w:t>
            </w:r>
          </w:p>
        </w:tc>
        <w:tc>
          <w:tcPr>
            <w:tcW w:w="2125" w:type="dxa"/>
            <w:shd w:val="clear" w:color="auto" w:fill="auto"/>
            <w:vAlign w:val="center"/>
            <w:hideMark/>
          </w:tcPr>
          <w:p w14:paraId="64736F45"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3B809EBB" w14:textId="77777777" w:rsidR="00913C78" w:rsidRPr="00CC545E" w:rsidRDefault="00913C78" w:rsidP="00CC545E">
            <w:pPr>
              <w:pStyle w:val="ae"/>
              <w:rPr>
                <w:b w:val="0"/>
                <w:bCs/>
              </w:rPr>
            </w:pPr>
            <w:r w:rsidRPr="00CC545E">
              <w:rPr>
                <w:rFonts w:hint="eastAsia"/>
                <w:b w:val="0"/>
                <w:bCs/>
              </w:rPr>
              <w:t>8:00</w:t>
            </w:r>
            <w:r w:rsidRPr="00CC545E">
              <w:rPr>
                <w:rFonts w:hint="eastAsia"/>
                <w:b w:val="0"/>
                <w:bCs/>
              </w:rPr>
              <w:t>～</w:t>
            </w:r>
            <w:r w:rsidRPr="00CC545E">
              <w:rPr>
                <w:rFonts w:hint="eastAsia"/>
                <w:b w:val="0"/>
                <w:bCs/>
              </w:rPr>
              <w:t>21:00</w:t>
            </w:r>
          </w:p>
        </w:tc>
      </w:tr>
      <w:tr w:rsidR="00913C78" w:rsidRPr="00CC545E" w14:paraId="22E6034B" w14:textId="77777777" w:rsidTr="008F38C5">
        <w:trPr>
          <w:jc w:val="center"/>
        </w:trPr>
        <w:tc>
          <w:tcPr>
            <w:tcW w:w="3119" w:type="dxa"/>
            <w:shd w:val="clear" w:color="auto" w:fill="auto"/>
            <w:vAlign w:val="center"/>
            <w:hideMark/>
          </w:tcPr>
          <w:p w14:paraId="17AE7AE4" w14:textId="77777777" w:rsidR="00913C78" w:rsidRPr="00CC545E" w:rsidRDefault="00913C78" w:rsidP="00CC545E">
            <w:pPr>
              <w:pStyle w:val="ae"/>
              <w:rPr>
                <w:b w:val="0"/>
                <w:bCs/>
              </w:rPr>
            </w:pPr>
            <w:r w:rsidRPr="00CC545E">
              <w:rPr>
                <w:rFonts w:hint="eastAsia"/>
                <w:b w:val="0"/>
                <w:bCs/>
              </w:rPr>
              <w:lastRenderedPageBreak/>
              <w:t>医疗建筑——门诊楼</w:t>
            </w:r>
          </w:p>
        </w:tc>
        <w:tc>
          <w:tcPr>
            <w:tcW w:w="2125" w:type="dxa"/>
            <w:shd w:val="clear" w:color="auto" w:fill="auto"/>
            <w:vAlign w:val="center"/>
            <w:hideMark/>
          </w:tcPr>
          <w:p w14:paraId="1BAD37B9"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5F3F8534" w14:textId="77777777" w:rsidR="00913C78" w:rsidRPr="00CC545E" w:rsidRDefault="00913C78" w:rsidP="00CC545E">
            <w:pPr>
              <w:pStyle w:val="ae"/>
              <w:rPr>
                <w:b w:val="0"/>
                <w:bCs/>
              </w:rPr>
            </w:pPr>
            <w:r w:rsidRPr="00CC545E">
              <w:rPr>
                <w:rFonts w:hint="eastAsia"/>
                <w:b w:val="0"/>
                <w:bCs/>
              </w:rPr>
              <w:t>8:00</w:t>
            </w:r>
            <w:r w:rsidRPr="00CC545E">
              <w:rPr>
                <w:rFonts w:hint="eastAsia"/>
                <w:b w:val="0"/>
                <w:bCs/>
              </w:rPr>
              <w:t>～</w:t>
            </w:r>
            <w:r w:rsidRPr="00CC545E">
              <w:rPr>
                <w:rFonts w:hint="eastAsia"/>
                <w:b w:val="0"/>
                <w:bCs/>
              </w:rPr>
              <w:t>21:00</w:t>
            </w:r>
          </w:p>
        </w:tc>
      </w:tr>
      <w:tr w:rsidR="00913C78" w:rsidRPr="00CC545E" w14:paraId="708E2EF8" w14:textId="77777777" w:rsidTr="008F38C5">
        <w:trPr>
          <w:jc w:val="center"/>
        </w:trPr>
        <w:tc>
          <w:tcPr>
            <w:tcW w:w="3119" w:type="dxa"/>
            <w:shd w:val="clear" w:color="auto" w:fill="auto"/>
            <w:vAlign w:val="center"/>
            <w:hideMark/>
          </w:tcPr>
          <w:p w14:paraId="6D192132" w14:textId="77777777" w:rsidR="00913C78" w:rsidRPr="00CC545E" w:rsidRDefault="00913C78" w:rsidP="00CC545E">
            <w:pPr>
              <w:pStyle w:val="ae"/>
              <w:rPr>
                <w:b w:val="0"/>
                <w:bCs/>
              </w:rPr>
            </w:pPr>
            <w:r w:rsidRPr="00CC545E">
              <w:rPr>
                <w:rFonts w:hint="eastAsia"/>
                <w:b w:val="0"/>
                <w:bCs/>
              </w:rPr>
              <w:t>宾馆建筑</w:t>
            </w:r>
          </w:p>
        </w:tc>
        <w:tc>
          <w:tcPr>
            <w:tcW w:w="2125" w:type="dxa"/>
            <w:shd w:val="clear" w:color="auto" w:fill="auto"/>
            <w:vAlign w:val="center"/>
            <w:hideMark/>
          </w:tcPr>
          <w:p w14:paraId="781B69E8"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4EBAD51A" w14:textId="77777777" w:rsidR="00913C78" w:rsidRPr="00CC545E" w:rsidRDefault="00913C78" w:rsidP="00CC545E">
            <w:pPr>
              <w:pStyle w:val="ae"/>
              <w:rPr>
                <w:b w:val="0"/>
                <w:bCs/>
              </w:rPr>
            </w:pPr>
            <w:r w:rsidRPr="00CC545E">
              <w:rPr>
                <w:rFonts w:hint="eastAsia"/>
                <w:b w:val="0"/>
                <w:bCs/>
              </w:rPr>
              <w:t>1:00</w:t>
            </w:r>
            <w:r w:rsidRPr="00CC545E">
              <w:rPr>
                <w:rFonts w:hint="eastAsia"/>
                <w:b w:val="0"/>
                <w:bCs/>
              </w:rPr>
              <w:t>～</w:t>
            </w:r>
            <w:r w:rsidRPr="00CC545E">
              <w:rPr>
                <w:rFonts w:hint="eastAsia"/>
                <w:b w:val="0"/>
                <w:bCs/>
              </w:rPr>
              <w:t>24:00</w:t>
            </w:r>
          </w:p>
        </w:tc>
      </w:tr>
      <w:tr w:rsidR="00913C78" w:rsidRPr="00CC545E" w14:paraId="28ABC167" w14:textId="77777777" w:rsidTr="008F38C5">
        <w:trPr>
          <w:jc w:val="center"/>
        </w:trPr>
        <w:tc>
          <w:tcPr>
            <w:tcW w:w="3119" w:type="dxa"/>
            <w:shd w:val="clear" w:color="auto" w:fill="auto"/>
            <w:vAlign w:val="center"/>
            <w:hideMark/>
          </w:tcPr>
          <w:p w14:paraId="19ACC8D9" w14:textId="77777777" w:rsidR="00913C78" w:rsidRPr="00CC545E" w:rsidRDefault="00913C78" w:rsidP="00CC545E">
            <w:pPr>
              <w:pStyle w:val="ae"/>
              <w:rPr>
                <w:b w:val="0"/>
                <w:bCs/>
              </w:rPr>
            </w:pPr>
            <w:r w:rsidRPr="00CC545E">
              <w:rPr>
                <w:rFonts w:hint="eastAsia"/>
                <w:b w:val="0"/>
                <w:bCs/>
              </w:rPr>
              <w:t>公路客运站</w:t>
            </w:r>
          </w:p>
        </w:tc>
        <w:tc>
          <w:tcPr>
            <w:tcW w:w="2125" w:type="dxa"/>
            <w:shd w:val="clear" w:color="auto" w:fill="auto"/>
            <w:vAlign w:val="center"/>
            <w:hideMark/>
          </w:tcPr>
          <w:p w14:paraId="14A1DDEA"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20CB0C83" w14:textId="77777777" w:rsidR="00913C78" w:rsidRPr="00CC545E" w:rsidRDefault="00913C78" w:rsidP="00CC545E">
            <w:pPr>
              <w:pStyle w:val="ae"/>
              <w:rPr>
                <w:b w:val="0"/>
                <w:bCs/>
              </w:rPr>
            </w:pPr>
            <w:r w:rsidRPr="00CC545E">
              <w:rPr>
                <w:rFonts w:hint="eastAsia"/>
                <w:b w:val="0"/>
                <w:bCs/>
              </w:rPr>
              <w:t>8:00</w:t>
            </w:r>
            <w:r w:rsidRPr="00CC545E">
              <w:rPr>
                <w:rFonts w:hint="eastAsia"/>
                <w:b w:val="0"/>
                <w:bCs/>
              </w:rPr>
              <w:t>～</w:t>
            </w:r>
            <w:r w:rsidRPr="00CC545E">
              <w:rPr>
                <w:rFonts w:hint="eastAsia"/>
                <w:b w:val="0"/>
                <w:bCs/>
              </w:rPr>
              <w:t>22:00</w:t>
            </w:r>
          </w:p>
        </w:tc>
      </w:tr>
      <w:tr w:rsidR="00913C78" w:rsidRPr="00CC545E" w14:paraId="50551B04" w14:textId="77777777" w:rsidTr="008F38C5">
        <w:trPr>
          <w:jc w:val="center"/>
        </w:trPr>
        <w:tc>
          <w:tcPr>
            <w:tcW w:w="3119" w:type="dxa"/>
            <w:shd w:val="clear" w:color="auto" w:fill="auto"/>
            <w:vAlign w:val="center"/>
            <w:hideMark/>
          </w:tcPr>
          <w:p w14:paraId="60274EA7" w14:textId="77777777" w:rsidR="00913C78" w:rsidRPr="00CC545E" w:rsidRDefault="00913C78" w:rsidP="00CC545E">
            <w:pPr>
              <w:pStyle w:val="ae"/>
              <w:rPr>
                <w:b w:val="0"/>
                <w:bCs/>
              </w:rPr>
            </w:pPr>
            <w:r w:rsidRPr="00CC545E">
              <w:rPr>
                <w:rFonts w:hint="eastAsia"/>
                <w:b w:val="0"/>
                <w:bCs/>
              </w:rPr>
              <w:t>铁路客运站</w:t>
            </w:r>
          </w:p>
        </w:tc>
        <w:tc>
          <w:tcPr>
            <w:tcW w:w="2125" w:type="dxa"/>
            <w:shd w:val="clear" w:color="auto" w:fill="auto"/>
            <w:vAlign w:val="center"/>
            <w:hideMark/>
          </w:tcPr>
          <w:p w14:paraId="5F014C62"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4FDC4522" w14:textId="77777777" w:rsidR="00913C78" w:rsidRPr="00CC545E" w:rsidRDefault="00913C78" w:rsidP="00CC545E">
            <w:pPr>
              <w:pStyle w:val="ae"/>
              <w:rPr>
                <w:b w:val="0"/>
                <w:bCs/>
              </w:rPr>
            </w:pPr>
            <w:r w:rsidRPr="00CC545E">
              <w:rPr>
                <w:rFonts w:hint="eastAsia"/>
                <w:b w:val="0"/>
                <w:bCs/>
              </w:rPr>
              <w:t>7:00</w:t>
            </w:r>
            <w:r w:rsidRPr="00CC545E">
              <w:rPr>
                <w:rFonts w:hint="eastAsia"/>
                <w:b w:val="0"/>
                <w:bCs/>
              </w:rPr>
              <w:t>～</w:t>
            </w:r>
            <w:r w:rsidRPr="00CC545E">
              <w:rPr>
                <w:rFonts w:hint="eastAsia"/>
                <w:b w:val="0"/>
                <w:bCs/>
              </w:rPr>
              <w:t>24:00</w:t>
            </w:r>
          </w:p>
        </w:tc>
      </w:tr>
      <w:tr w:rsidR="00913C78" w:rsidRPr="00CC545E" w14:paraId="3C7307FD" w14:textId="77777777" w:rsidTr="008F38C5">
        <w:trPr>
          <w:jc w:val="center"/>
        </w:trPr>
        <w:tc>
          <w:tcPr>
            <w:tcW w:w="3119" w:type="dxa"/>
            <w:shd w:val="clear" w:color="auto" w:fill="auto"/>
            <w:vAlign w:val="center"/>
            <w:hideMark/>
          </w:tcPr>
          <w:p w14:paraId="6BFA5758" w14:textId="77777777" w:rsidR="00913C78" w:rsidRPr="00CC545E" w:rsidRDefault="00913C78" w:rsidP="00CC545E">
            <w:pPr>
              <w:pStyle w:val="ae"/>
              <w:rPr>
                <w:b w:val="0"/>
                <w:bCs/>
              </w:rPr>
            </w:pPr>
            <w:r w:rsidRPr="00CC545E">
              <w:rPr>
                <w:rFonts w:hint="eastAsia"/>
                <w:b w:val="0"/>
                <w:bCs/>
              </w:rPr>
              <w:t>航空港——旅客公共区</w:t>
            </w:r>
          </w:p>
        </w:tc>
        <w:tc>
          <w:tcPr>
            <w:tcW w:w="2125" w:type="dxa"/>
            <w:shd w:val="clear" w:color="auto" w:fill="auto"/>
            <w:vAlign w:val="center"/>
            <w:hideMark/>
          </w:tcPr>
          <w:p w14:paraId="7DF5C493"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5883341C" w14:textId="77777777" w:rsidR="00913C78" w:rsidRPr="00CC545E" w:rsidRDefault="00913C78" w:rsidP="00CC545E">
            <w:pPr>
              <w:pStyle w:val="ae"/>
              <w:rPr>
                <w:b w:val="0"/>
                <w:bCs/>
              </w:rPr>
            </w:pPr>
            <w:r w:rsidRPr="00CC545E">
              <w:rPr>
                <w:rFonts w:hint="eastAsia"/>
                <w:b w:val="0"/>
                <w:bCs/>
              </w:rPr>
              <w:t>0:00</w:t>
            </w:r>
            <w:r w:rsidRPr="00CC545E">
              <w:rPr>
                <w:rFonts w:hint="eastAsia"/>
                <w:b w:val="0"/>
                <w:bCs/>
              </w:rPr>
              <w:t>～</w:t>
            </w:r>
            <w:r w:rsidRPr="00CC545E">
              <w:rPr>
                <w:rFonts w:hint="eastAsia"/>
                <w:b w:val="0"/>
                <w:bCs/>
              </w:rPr>
              <w:t>24:00</w:t>
            </w:r>
          </w:p>
        </w:tc>
      </w:tr>
      <w:tr w:rsidR="00913C78" w:rsidRPr="00CC545E" w14:paraId="4BA8AC3A" w14:textId="77777777" w:rsidTr="008F38C5">
        <w:trPr>
          <w:jc w:val="center"/>
        </w:trPr>
        <w:tc>
          <w:tcPr>
            <w:tcW w:w="3119" w:type="dxa"/>
            <w:shd w:val="clear" w:color="auto" w:fill="auto"/>
            <w:vAlign w:val="center"/>
            <w:hideMark/>
          </w:tcPr>
          <w:p w14:paraId="24064B61" w14:textId="77777777" w:rsidR="00913C78" w:rsidRPr="00CC545E" w:rsidRDefault="00913C78" w:rsidP="00CC545E">
            <w:pPr>
              <w:pStyle w:val="ae"/>
              <w:rPr>
                <w:b w:val="0"/>
                <w:bCs/>
              </w:rPr>
            </w:pPr>
            <w:r w:rsidRPr="00CC545E">
              <w:rPr>
                <w:rFonts w:hint="eastAsia"/>
                <w:b w:val="0"/>
                <w:bCs/>
              </w:rPr>
              <w:t>体育建筑</w:t>
            </w:r>
          </w:p>
        </w:tc>
        <w:tc>
          <w:tcPr>
            <w:tcW w:w="2125" w:type="dxa"/>
            <w:shd w:val="clear" w:color="auto" w:fill="auto"/>
            <w:vAlign w:val="center"/>
            <w:hideMark/>
          </w:tcPr>
          <w:p w14:paraId="2086933E"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65CB848B" w14:textId="77777777" w:rsidR="00913C78" w:rsidRPr="00CC545E" w:rsidRDefault="00913C78" w:rsidP="00CC545E">
            <w:pPr>
              <w:pStyle w:val="ae"/>
              <w:rPr>
                <w:b w:val="0"/>
                <w:bCs/>
              </w:rPr>
            </w:pPr>
            <w:r w:rsidRPr="00CC545E">
              <w:rPr>
                <w:rFonts w:hint="eastAsia"/>
                <w:b w:val="0"/>
                <w:bCs/>
              </w:rPr>
              <w:t>9:00</w:t>
            </w:r>
            <w:r w:rsidRPr="00CC545E">
              <w:rPr>
                <w:rFonts w:hint="eastAsia"/>
                <w:b w:val="0"/>
                <w:bCs/>
              </w:rPr>
              <w:t>～</w:t>
            </w:r>
            <w:r w:rsidRPr="00CC545E">
              <w:rPr>
                <w:rFonts w:hint="eastAsia"/>
                <w:b w:val="0"/>
                <w:bCs/>
              </w:rPr>
              <w:t>21:00</w:t>
            </w:r>
          </w:p>
        </w:tc>
      </w:tr>
      <w:tr w:rsidR="00913C78" w:rsidRPr="00CC545E" w14:paraId="2F007D9E" w14:textId="77777777" w:rsidTr="008F38C5">
        <w:trPr>
          <w:jc w:val="center"/>
        </w:trPr>
        <w:tc>
          <w:tcPr>
            <w:tcW w:w="3119" w:type="dxa"/>
            <w:shd w:val="clear" w:color="auto" w:fill="auto"/>
            <w:vAlign w:val="center"/>
            <w:hideMark/>
          </w:tcPr>
          <w:p w14:paraId="20E3FDD8" w14:textId="77777777" w:rsidR="00913C78" w:rsidRPr="00CC545E" w:rsidRDefault="00913C78" w:rsidP="00CC545E">
            <w:pPr>
              <w:pStyle w:val="ae"/>
              <w:rPr>
                <w:b w:val="0"/>
                <w:bCs/>
              </w:rPr>
            </w:pPr>
            <w:r w:rsidRPr="00CC545E">
              <w:rPr>
                <w:rFonts w:hint="eastAsia"/>
                <w:b w:val="0"/>
                <w:bCs/>
              </w:rPr>
              <w:t>观演建筑</w:t>
            </w:r>
          </w:p>
        </w:tc>
        <w:tc>
          <w:tcPr>
            <w:tcW w:w="2125" w:type="dxa"/>
            <w:shd w:val="clear" w:color="auto" w:fill="auto"/>
            <w:vAlign w:val="center"/>
            <w:hideMark/>
          </w:tcPr>
          <w:p w14:paraId="658E19F6"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1786F20C" w14:textId="77777777" w:rsidR="00913C78" w:rsidRPr="00CC545E" w:rsidRDefault="00913C78" w:rsidP="00CC545E">
            <w:pPr>
              <w:pStyle w:val="ae"/>
              <w:rPr>
                <w:b w:val="0"/>
                <w:bCs/>
              </w:rPr>
            </w:pPr>
            <w:r w:rsidRPr="00CC545E">
              <w:rPr>
                <w:rFonts w:hint="eastAsia"/>
                <w:b w:val="0"/>
                <w:bCs/>
              </w:rPr>
              <w:t>10:00</w:t>
            </w:r>
            <w:r w:rsidRPr="00CC545E">
              <w:rPr>
                <w:rFonts w:hint="eastAsia"/>
                <w:b w:val="0"/>
                <w:bCs/>
              </w:rPr>
              <w:t>～</w:t>
            </w:r>
            <w:r w:rsidRPr="00CC545E">
              <w:rPr>
                <w:rFonts w:hint="eastAsia"/>
                <w:b w:val="0"/>
                <w:bCs/>
              </w:rPr>
              <w:t>22:00</w:t>
            </w:r>
          </w:p>
        </w:tc>
      </w:tr>
      <w:tr w:rsidR="00913C78" w:rsidRPr="00CC545E" w14:paraId="35DDE9D3" w14:textId="77777777" w:rsidTr="008F38C5">
        <w:trPr>
          <w:jc w:val="center"/>
        </w:trPr>
        <w:tc>
          <w:tcPr>
            <w:tcW w:w="3119" w:type="dxa"/>
            <w:shd w:val="clear" w:color="auto" w:fill="auto"/>
            <w:vAlign w:val="center"/>
            <w:hideMark/>
          </w:tcPr>
          <w:p w14:paraId="40DFE646" w14:textId="77777777" w:rsidR="00913C78" w:rsidRPr="00CC545E" w:rsidRDefault="00913C78" w:rsidP="00CC545E">
            <w:pPr>
              <w:pStyle w:val="ae"/>
              <w:rPr>
                <w:b w:val="0"/>
                <w:bCs/>
              </w:rPr>
            </w:pPr>
            <w:r w:rsidRPr="00CC545E">
              <w:rPr>
                <w:rFonts w:hint="eastAsia"/>
                <w:b w:val="0"/>
                <w:bCs/>
              </w:rPr>
              <w:t>展览建筑</w:t>
            </w:r>
          </w:p>
        </w:tc>
        <w:tc>
          <w:tcPr>
            <w:tcW w:w="2125" w:type="dxa"/>
            <w:shd w:val="clear" w:color="auto" w:fill="auto"/>
            <w:vAlign w:val="center"/>
            <w:hideMark/>
          </w:tcPr>
          <w:p w14:paraId="6891D708" w14:textId="77777777" w:rsidR="00913C78" w:rsidRPr="00CC545E" w:rsidRDefault="00913C78" w:rsidP="00CC545E">
            <w:pPr>
              <w:pStyle w:val="ae"/>
              <w:rPr>
                <w:b w:val="0"/>
                <w:bCs/>
              </w:rPr>
            </w:pPr>
            <w:r w:rsidRPr="00CC545E">
              <w:rPr>
                <w:rFonts w:hint="eastAsia"/>
                <w:b w:val="0"/>
                <w:bCs/>
              </w:rPr>
              <w:t>全年</w:t>
            </w:r>
          </w:p>
        </w:tc>
        <w:tc>
          <w:tcPr>
            <w:tcW w:w="2126" w:type="dxa"/>
            <w:shd w:val="clear" w:color="auto" w:fill="auto"/>
            <w:vAlign w:val="center"/>
            <w:hideMark/>
          </w:tcPr>
          <w:p w14:paraId="3DF33250" w14:textId="77777777" w:rsidR="00913C78" w:rsidRPr="00CC545E" w:rsidRDefault="00913C78" w:rsidP="00CC545E">
            <w:pPr>
              <w:pStyle w:val="ae"/>
              <w:rPr>
                <w:b w:val="0"/>
                <w:bCs/>
              </w:rPr>
            </w:pPr>
            <w:r w:rsidRPr="00CC545E">
              <w:rPr>
                <w:rFonts w:hint="eastAsia"/>
                <w:b w:val="0"/>
                <w:bCs/>
              </w:rPr>
              <w:t>10:00</w:t>
            </w:r>
            <w:r w:rsidRPr="00CC545E">
              <w:rPr>
                <w:rFonts w:hint="eastAsia"/>
                <w:b w:val="0"/>
                <w:bCs/>
              </w:rPr>
              <w:t>～</w:t>
            </w:r>
            <w:r w:rsidRPr="00CC545E">
              <w:rPr>
                <w:rFonts w:hint="eastAsia"/>
                <w:b w:val="0"/>
                <w:bCs/>
              </w:rPr>
              <w:t>21:00</w:t>
            </w:r>
          </w:p>
        </w:tc>
      </w:tr>
    </w:tbl>
    <w:p w14:paraId="1D60176D" w14:textId="77777777" w:rsidR="00913C78" w:rsidRPr="00913C78" w:rsidRDefault="00913C78" w:rsidP="00913C78">
      <w:pPr>
        <w:ind w:firstLine="420"/>
      </w:pPr>
    </w:p>
    <w:p w14:paraId="0A6F66ED" w14:textId="77777777" w:rsidR="00913C78" w:rsidRPr="00913C78" w:rsidRDefault="00913C78" w:rsidP="00913C78">
      <w:pPr>
        <w:ind w:firstLine="420"/>
      </w:pPr>
      <w:r w:rsidRPr="00913C78">
        <w:rPr>
          <w:rFonts w:hint="eastAsia"/>
        </w:rPr>
        <w:t>③</w:t>
      </w:r>
      <w:r w:rsidRPr="00913C78">
        <w:rPr>
          <w:rFonts w:hint="eastAsia"/>
        </w:rPr>
        <w:t xml:space="preserve"> </w:t>
      </w:r>
      <w:r w:rsidRPr="00913C78">
        <w:rPr>
          <w:rFonts w:hint="eastAsia"/>
        </w:rPr>
        <w:t>根据</w:t>
      </w:r>
      <w:r w:rsidRPr="00913C78">
        <w:t>机组选择情况和</w:t>
      </w:r>
      <w:r w:rsidRPr="00913C78">
        <w:rPr>
          <w:rFonts w:hint="eastAsia"/>
        </w:rPr>
        <w:t>运行</w:t>
      </w:r>
      <w:r w:rsidRPr="00913C78">
        <w:t>时间</w:t>
      </w:r>
      <w:r w:rsidRPr="00913C78">
        <w:rPr>
          <w:rFonts w:hint="eastAsia"/>
        </w:rPr>
        <w:t>确定地源热泵和</w:t>
      </w:r>
      <w:r w:rsidRPr="00913C78">
        <w:t>常规系统的供冷供热量</w:t>
      </w:r>
      <w:r w:rsidRPr="00913C78">
        <w:rPr>
          <w:rFonts w:hint="eastAsia"/>
        </w:rPr>
        <w:t>，结果列入附表</w:t>
      </w:r>
      <w:r w:rsidRPr="00913C78">
        <w:rPr>
          <w:rFonts w:hint="eastAsia"/>
        </w:rPr>
        <w:t>B.2.2</w:t>
      </w:r>
      <w:r w:rsidRPr="00913C78">
        <w:rPr>
          <w:rFonts w:hint="eastAsia"/>
        </w:rPr>
        <w:t>。</w:t>
      </w:r>
    </w:p>
    <w:p w14:paraId="6ECC39A8" w14:textId="77777777" w:rsidR="00913C78" w:rsidRPr="00913C78" w:rsidRDefault="00913C78" w:rsidP="00CC545E">
      <w:pPr>
        <w:pStyle w:val="ae"/>
      </w:pPr>
      <w:r w:rsidRPr="00913C78">
        <w:rPr>
          <w:rFonts w:hint="eastAsia"/>
        </w:rPr>
        <w:t>附表</w:t>
      </w:r>
      <w:r w:rsidRPr="00913C78">
        <w:rPr>
          <w:rFonts w:hint="eastAsia"/>
        </w:rPr>
        <w:t>B.2.2</w:t>
      </w:r>
      <w:r w:rsidRPr="00913C78">
        <w:t xml:space="preserve"> </w:t>
      </w:r>
      <w:r w:rsidRPr="00913C78">
        <w:rPr>
          <w:rFonts w:hint="eastAsia"/>
        </w:rPr>
        <w:t xml:space="preserve"> </w:t>
      </w:r>
      <w:r w:rsidRPr="00913C78">
        <w:rPr>
          <w:rFonts w:hint="eastAsia"/>
        </w:rPr>
        <w:t>空调和供暖系统冷热量</w:t>
      </w:r>
      <w:r w:rsidRPr="00913C78">
        <w:t>统计</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7" w:type="dxa"/>
          <w:bottom w:w="37" w:type="dxa"/>
        </w:tblCellMar>
        <w:tblLook w:val="04A0" w:firstRow="1" w:lastRow="0" w:firstColumn="1" w:lastColumn="0" w:noHBand="0" w:noVBand="1"/>
      </w:tblPr>
      <w:tblGrid>
        <w:gridCol w:w="2456"/>
        <w:gridCol w:w="2457"/>
        <w:gridCol w:w="2457"/>
      </w:tblGrid>
      <w:tr w:rsidR="00913C78" w:rsidRPr="00CC545E" w14:paraId="5957E714" w14:textId="77777777" w:rsidTr="008F38C5">
        <w:trPr>
          <w:jc w:val="center"/>
        </w:trPr>
        <w:tc>
          <w:tcPr>
            <w:tcW w:w="1666" w:type="pct"/>
            <w:shd w:val="clear" w:color="auto" w:fill="auto"/>
            <w:vAlign w:val="center"/>
          </w:tcPr>
          <w:p w14:paraId="2BCCDEA3" w14:textId="77777777" w:rsidR="00913C78" w:rsidRPr="00CC545E" w:rsidRDefault="00913C78" w:rsidP="00CC545E">
            <w:pPr>
              <w:pStyle w:val="ae"/>
              <w:rPr>
                <w:b w:val="0"/>
                <w:bCs/>
              </w:rPr>
            </w:pPr>
            <w:r w:rsidRPr="00CC545E">
              <w:rPr>
                <w:b w:val="0"/>
                <w:bCs/>
              </w:rPr>
              <w:t>类型</w:t>
            </w:r>
          </w:p>
        </w:tc>
        <w:tc>
          <w:tcPr>
            <w:tcW w:w="1667" w:type="pct"/>
            <w:shd w:val="clear" w:color="auto" w:fill="auto"/>
            <w:vAlign w:val="center"/>
          </w:tcPr>
          <w:p w14:paraId="6D85EFC0" w14:textId="77777777" w:rsidR="00913C78" w:rsidRPr="00CC545E" w:rsidRDefault="00913C78" w:rsidP="00CC545E">
            <w:pPr>
              <w:pStyle w:val="ae"/>
              <w:rPr>
                <w:b w:val="0"/>
                <w:bCs/>
              </w:rPr>
            </w:pPr>
            <w:r w:rsidRPr="00CC545E">
              <w:rPr>
                <w:b w:val="0"/>
                <w:bCs/>
              </w:rPr>
              <w:t>地源热泵提供量</w:t>
            </w:r>
            <w:r w:rsidRPr="00CC545E">
              <w:rPr>
                <w:rFonts w:hint="eastAsia"/>
                <w:b w:val="0"/>
                <w:bCs/>
              </w:rPr>
              <w:t>/</w:t>
            </w:r>
            <w:r w:rsidRPr="00CC545E">
              <w:rPr>
                <w:b w:val="0"/>
                <w:bCs/>
              </w:rPr>
              <w:t>kW</w:t>
            </w:r>
          </w:p>
        </w:tc>
        <w:tc>
          <w:tcPr>
            <w:tcW w:w="1667" w:type="pct"/>
            <w:shd w:val="clear" w:color="auto" w:fill="auto"/>
            <w:vAlign w:val="center"/>
          </w:tcPr>
          <w:p w14:paraId="464B7F1A" w14:textId="77777777" w:rsidR="00913C78" w:rsidRPr="00CC545E" w:rsidRDefault="00913C78" w:rsidP="00CC545E">
            <w:pPr>
              <w:pStyle w:val="ae"/>
              <w:rPr>
                <w:b w:val="0"/>
                <w:bCs/>
              </w:rPr>
            </w:pPr>
            <w:r w:rsidRPr="00CC545E">
              <w:rPr>
                <w:b w:val="0"/>
                <w:bCs/>
              </w:rPr>
              <w:t>冷水机组提供量</w:t>
            </w:r>
            <w:r w:rsidRPr="00CC545E">
              <w:rPr>
                <w:rFonts w:hint="eastAsia"/>
                <w:b w:val="0"/>
                <w:bCs/>
              </w:rPr>
              <w:t>/</w:t>
            </w:r>
            <w:r w:rsidRPr="00CC545E">
              <w:rPr>
                <w:b w:val="0"/>
                <w:bCs/>
              </w:rPr>
              <w:t>kW</w:t>
            </w:r>
          </w:p>
        </w:tc>
      </w:tr>
      <w:tr w:rsidR="00913C78" w:rsidRPr="00CC545E" w14:paraId="5AF542E9" w14:textId="77777777" w:rsidTr="008F38C5">
        <w:trPr>
          <w:jc w:val="center"/>
        </w:trPr>
        <w:tc>
          <w:tcPr>
            <w:tcW w:w="1666" w:type="pct"/>
            <w:shd w:val="clear" w:color="auto" w:fill="auto"/>
            <w:vAlign w:val="center"/>
          </w:tcPr>
          <w:p w14:paraId="1C48D3EB" w14:textId="77777777" w:rsidR="00913C78" w:rsidRPr="00CC545E" w:rsidRDefault="00913C78" w:rsidP="00CC545E">
            <w:pPr>
              <w:pStyle w:val="ae"/>
              <w:rPr>
                <w:b w:val="0"/>
                <w:bCs/>
              </w:rPr>
            </w:pPr>
            <w:r w:rsidRPr="00CC545E">
              <w:rPr>
                <w:rFonts w:hint="eastAsia"/>
                <w:b w:val="0"/>
                <w:bCs/>
              </w:rPr>
              <w:t>空调</w:t>
            </w:r>
          </w:p>
        </w:tc>
        <w:tc>
          <w:tcPr>
            <w:tcW w:w="1667" w:type="pct"/>
            <w:shd w:val="clear" w:color="auto" w:fill="auto"/>
            <w:vAlign w:val="center"/>
          </w:tcPr>
          <w:p w14:paraId="30F69632" w14:textId="77777777" w:rsidR="00913C78" w:rsidRPr="00CC545E" w:rsidRDefault="00913C78" w:rsidP="00CC545E">
            <w:pPr>
              <w:pStyle w:val="ae"/>
              <w:rPr>
                <w:b w:val="0"/>
                <w:bCs/>
              </w:rPr>
            </w:pPr>
          </w:p>
        </w:tc>
        <w:tc>
          <w:tcPr>
            <w:tcW w:w="1667" w:type="pct"/>
            <w:shd w:val="clear" w:color="auto" w:fill="auto"/>
            <w:vAlign w:val="center"/>
          </w:tcPr>
          <w:p w14:paraId="7EECBC00" w14:textId="77777777" w:rsidR="00913C78" w:rsidRPr="00CC545E" w:rsidRDefault="00913C78" w:rsidP="00CC545E">
            <w:pPr>
              <w:pStyle w:val="ae"/>
              <w:rPr>
                <w:b w:val="0"/>
                <w:bCs/>
              </w:rPr>
            </w:pPr>
          </w:p>
        </w:tc>
      </w:tr>
      <w:tr w:rsidR="00913C78" w:rsidRPr="00CC545E" w14:paraId="62246F99" w14:textId="77777777" w:rsidTr="008F38C5">
        <w:trPr>
          <w:jc w:val="center"/>
        </w:trPr>
        <w:tc>
          <w:tcPr>
            <w:tcW w:w="1666" w:type="pct"/>
            <w:shd w:val="clear" w:color="auto" w:fill="auto"/>
            <w:vAlign w:val="center"/>
          </w:tcPr>
          <w:p w14:paraId="0E14C8AD" w14:textId="77777777" w:rsidR="00913C78" w:rsidRPr="00CC545E" w:rsidRDefault="00913C78" w:rsidP="00CC545E">
            <w:pPr>
              <w:pStyle w:val="ae"/>
              <w:rPr>
                <w:b w:val="0"/>
                <w:bCs/>
              </w:rPr>
            </w:pPr>
            <w:r w:rsidRPr="00CC545E">
              <w:rPr>
                <w:b w:val="0"/>
                <w:bCs/>
              </w:rPr>
              <w:t>供暖</w:t>
            </w:r>
          </w:p>
        </w:tc>
        <w:tc>
          <w:tcPr>
            <w:tcW w:w="1667" w:type="pct"/>
            <w:shd w:val="clear" w:color="auto" w:fill="auto"/>
            <w:vAlign w:val="center"/>
          </w:tcPr>
          <w:p w14:paraId="4E635B21" w14:textId="77777777" w:rsidR="00913C78" w:rsidRPr="00CC545E" w:rsidRDefault="00913C78" w:rsidP="00CC545E">
            <w:pPr>
              <w:pStyle w:val="ae"/>
              <w:rPr>
                <w:b w:val="0"/>
                <w:bCs/>
              </w:rPr>
            </w:pPr>
          </w:p>
        </w:tc>
        <w:tc>
          <w:tcPr>
            <w:tcW w:w="1667" w:type="pct"/>
            <w:shd w:val="clear" w:color="auto" w:fill="auto"/>
            <w:vAlign w:val="center"/>
          </w:tcPr>
          <w:p w14:paraId="54ABE95D" w14:textId="77777777" w:rsidR="00913C78" w:rsidRPr="00CC545E" w:rsidRDefault="00913C78" w:rsidP="00CC545E">
            <w:pPr>
              <w:pStyle w:val="ae"/>
              <w:rPr>
                <w:b w:val="0"/>
                <w:bCs/>
              </w:rPr>
            </w:pPr>
          </w:p>
        </w:tc>
      </w:tr>
      <w:tr w:rsidR="00913C78" w:rsidRPr="00CC545E" w14:paraId="62BFEF1E" w14:textId="77777777" w:rsidTr="008F38C5">
        <w:trPr>
          <w:jc w:val="center"/>
        </w:trPr>
        <w:tc>
          <w:tcPr>
            <w:tcW w:w="1666" w:type="pct"/>
            <w:shd w:val="clear" w:color="auto" w:fill="auto"/>
            <w:vAlign w:val="center"/>
          </w:tcPr>
          <w:p w14:paraId="2ADA201E" w14:textId="77777777" w:rsidR="00913C78" w:rsidRPr="00CC545E" w:rsidRDefault="00913C78" w:rsidP="00CC545E">
            <w:pPr>
              <w:pStyle w:val="ae"/>
              <w:rPr>
                <w:b w:val="0"/>
                <w:bCs/>
              </w:rPr>
            </w:pPr>
            <w:r w:rsidRPr="00CC545E">
              <w:rPr>
                <w:b w:val="0"/>
                <w:bCs/>
              </w:rPr>
              <w:t>运</w:t>
            </w:r>
            <w:r w:rsidRPr="00CC545E">
              <w:rPr>
                <w:rFonts w:hint="eastAsia"/>
                <w:b w:val="0"/>
                <w:bCs/>
              </w:rPr>
              <w:t>行</w:t>
            </w:r>
            <w:r w:rsidRPr="00CC545E">
              <w:rPr>
                <w:b w:val="0"/>
                <w:bCs/>
              </w:rPr>
              <w:t>时间</w:t>
            </w:r>
            <w:r w:rsidRPr="00CC545E">
              <w:rPr>
                <w:rFonts w:hint="eastAsia"/>
                <w:b w:val="0"/>
                <w:bCs/>
              </w:rPr>
              <w:t>/</w:t>
            </w:r>
            <w:r w:rsidRPr="00CC545E">
              <w:rPr>
                <w:b w:val="0"/>
                <w:bCs/>
              </w:rPr>
              <w:t>h</w:t>
            </w:r>
          </w:p>
        </w:tc>
        <w:tc>
          <w:tcPr>
            <w:tcW w:w="1667" w:type="pct"/>
            <w:shd w:val="clear" w:color="auto" w:fill="auto"/>
            <w:vAlign w:val="center"/>
          </w:tcPr>
          <w:p w14:paraId="0D0EE915" w14:textId="77777777" w:rsidR="00913C78" w:rsidRPr="00CC545E" w:rsidRDefault="00913C78" w:rsidP="00CC545E">
            <w:pPr>
              <w:pStyle w:val="ae"/>
              <w:rPr>
                <w:b w:val="0"/>
                <w:bCs/>
              </w:rPr>
            </w:pPr>
          </w:p>
        </w:tc>
        <w:tc>
          <w:tcPr>
            <w:tcW w:w="1667" w:type="pct"/>
            <w:shd w:val="clear" w:color="auto" w:fill="auto"/>
            <w:vAlign w:val="center"/>
          </w:tcPr>
          <w:p w14:paraId="1010775D" w14:textId="77777777" w:rsidR="00913C78" w:rsidRPr="00CC545E" w:rsidRDefault="00913C78" w:rsidP="00CC545E">
            <w:pPr>
              <w:pStyle w:val="ae"/>
              <w:rPr>
                <w:b w:val="0"/>
                <w:bCs/>
              </w:rPr>
            </w:pPr>
          </w:p>
        </w:tc>
      </w:tr>
      <w:tr w:rsidR="00913C78" w:rsidRPr="00CC545E" w14:paraId="76A8C229" w14:textId="77777777" w:rsidTr="008F38C5">
        <w:trPr>
          <w:jc w:val="center"/>
        </w:trPr>
        <w:tc>
          <w:tcPr>
            <w:tcW w:w="1666" w:type="pct"/>
            <w:shd w:val="clear" w:color="auto" w:fill="auto"/>
            <w:vAlign w:val="center"/>
          </w:tcPr>
          <w:p w14:paraId="784544E9" w14:textId="77777777" w:rsidR="00913C78" w:rsidRPr="00CC545E" w:rsidRDefault="00913C78" w:rsidP="00CC545E">
            <w:pPr>
              <w:pStyle w:val="ae"/>
              <w:rPr>
                <w:b w:val="0"/>
                <w:bCs/>
              </w:rPr>
            </w:pPr>
            <w:r w:rsidRPr="00CC545E">
              <w:rPr>
                <w:rFonts w:hint="eastAsia"/>
                <w:b w:val="0"/>
                <w:bCs/>
              </w:rPr>
              <w:t>合计</w:t>
            </w:r>
            <w:r w:rsidRPr="00CC545E">
              <w:rPr>
                <w:rFonts w:hint="eastAsia"/>
                <w:b w:val="0"/>
                <w:bCs/>
              </w:rPr>
              <w:t>/</w:t>
            </w:r>
            <w:r w:rsidRPr="00CC545E">
              <w:rPr>
                <w:rFonts w:hint="eastAsia"/>
                <w:b w:val="0"/>
                <w:bCs/>
              </w:rPr>
              <w:t>（</w:t>
            </w:r>
            <w:r w:rsidRPr="00CC545E">
              <w:rPr>
                <w:b w:val="0"/>
                <w:bCs/>
              </w:rPr>
              <w:t>kW</w:t>
            </w:r>
            <w:r w:rsidRPr="00CC545E">
              <w:rPr>
                <w:rFonts w:hint="eastAsia"/>
                <w:b w:val="0"/>
                <w:bCs/>
              </w:rPr>
              <w:t>·</w:t>
            </w:r>
            <w:r w:rsidRPr="00CC545E">
              <w:rPr>
                <w:b w:val="0"/>
                <w:bCs/>
              </w:rPr>
              <w:t>h</w:t>
            </w:r>
            <w:r w:rsidRPr="00CC545E">
              <w:rPr>
                <w:rFonts w:hint="eastAsia"/>
                <w:b w:val="0"/>
                <w:bCs/>
              </w:rPr>
              <w:t>）</w:t>
            </w:r>
          </w:p>
        </w:tc>
        <w:tc>
          <w:tcPr>
            <w:tcW w:w="1667" w:type="pct"/>
            <w:shd w:val="clear" w:color="auto" w:fill="auto"/>
            <w:vAlign w:val="center"/>
          </w:tcPr>
          <w:p w14:paraId="147197E2" w14:textId="77777777" w:rsidR="00913C78" w:rsidRPr="00CC545E" w:rsidRDefault="00913C78" w:rsidP="00CC545E">
            <w:pPr>
              <w:pStyle w:val="ae"/>
              <w:rPr>
                <w:b w:val="0"/>
                <w:bCs/>
              </w:rPr>
            </w:pPr>
          </w:p>
        </w:tc>
        <w:tc>
          <w:tcPr>
            <w:tcW w:w="1667" w:type="pct"/>
            <w:shd w:val="clear" w:color="auto" w:fill="auto"/>
            <w:vAlign w:val="center"/>
          </w:tcPr>
          <w:p w14:paraId="64DC68AE" w14:textId="77777777" w:rsidR="00913C78" w:rsidRPr="00CC545E" w:rsidRDefault="00913C78" w:rsidP="00CC545E">
            <w:pPr>
              <w:pStyle w:val="ae"/>
              <w:rPr>
                <w:b w:val="0"/>
                <w:bCs/>
              </w:rPr>
            </w:pPr>
          </w:p>
        </w:tc>
      </w:tr>
    </w:tbl>
    <w:p w14:paraId="432D8EC3" w14:textId="77777777" w:rsidR="00913C78" w:rsidRPr="00913C78" w:rsidRDefault="00913C78" w:rsidP="00913C78">
      <w:pPr>
        <w:ind w:firstLine="420"/>
      </w:pPr>
    </w:p>
    <w:p w14:paraId="45CAB006" w14:textId="77777777" w:rsidR="00913C78" w:rsidRPr="00913C78" w:rsidRDefault="00913C78" w:rsidP="00913C78">
      <w:pPr>
        <w:ind w:firstLine="420"/>
      </w:pPr>
      <w:r w:rsidRPr="00913C78">
        <w:rPr>
          <w:rFonts w:hint="eastAsia"/>
        </w:rPr>
        <w:t>4</w:t>
      </w:r>
      <w:r w:rsidRPr="00913C78">
        <w:rPr>
          <w:rFonts w:hint="eastAsia"/>
        </w:rPr>
        <w:t>）可再生能源应用比例。</w:t>
      </w:r>
    </w:p>
    <w:p w14:paraId="0BCFA036" w14:textId="77777777" w:rsidR="00913C78" w:rsidRPr="00913C78" w:rsidRDefault="00913C78" w:rsidP="00913C78">
      <w:pPr>
        <w:ind w:firstLine="420"/>
      </w:pPr>
      <w:r w:rsidRPr="00913C78">
        <w:rPr>
          <w:rFonts w:hint="eastAsia"/>
        </w:rPr>
        <w:t>可再生能源提供空调用冷热量比例按第</w:t>
      </w:r>
      <w:r w:rsidRPr="00913C78">
        <w:rPr>
          <w:rFonts w:hint="eastAsia"/>
        </w:rPr>
        <w:t>B.2.1</w:t>
      </w:r>
      <w:r w:rsidRPr="00913C78">
        <w:rPr>
          <w:rFonts w:hint="eastAsia"/>
        </w:rPr>
        <w:t>节方法计算。</w:t>
      </w:r>
    </w:p>
    <w:p w14:paraId="3741FCC7" w14:textId="77777777" w:rsidR="00913C78" w:rsidRPr="00913C78" w:rsidRDefault="00913C78" w:rsidP="00913C78">
      <w:pPr>
        <w:ind w:firstLine="420"/>
      </w:pPr>
      <w:bookmarkStart w:id="367" w:name="_Toc476236518"/>
      <w:r w:rsidRPr="00913C78">
        <w:rPr>
          <w:rFonts w:hint="eastAsia"/>
        </w:rPr>
        <w:t>（</w:t>
      </w:r>
      <w:r w:rsidRPr="00913C78">
        <w:rPr>
          <w:rFonts w:hint="eastAsia"/>
        </w:rPr>
        <w:t>3</w:t>
      </w:r>
      <w:r w:rsidRPr="00913C78">
        <w:rPr>
          <w:rFonts w:hint="eastAsia"/>
        </w:rPr>
        <w:t>）可再生能源提供电量比例</w:t>
      </w:r>
      <w:bookmarkEnd w:id="367"/>
    </w:p>
    <w:p w14:paraId="798B2ADE"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系统</w:t>
      </w:r>
      <w:r w:rsidRPr="00913C78">
        <w:t>设计</w:t>
      </w:r>
      <w:r w:rsidRPr="00913C78">
        <w:rPr>
          <w:rFonts w:hint="eastAsia"/>
        </w:rPr>
        <w:t>。结合场地的选址、当地可再生资源情况等，</w:t>
      </w:r>
      <w:r w:rsidRPr="00913C78">
        <w:t>对</w:t>
      </w:r>
      <w:r w:rsidRPr="00913C78">
        <w:rPr>
          <w:rFonts w:hint="eastAsia"/>
        </w:rPr>
        <w:t>太阳能光伏系统的设计情况及系统设备参数进行介绍。</w:t>
      </w:r>
    </w:p>
    <w:p w14:paraId="6AF878E9"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项目总电量。根据设备</w:t>
      </w:r>
      <w:r w:rsidRPr="00913C78">
        <w:t>功率、能耗模拟等基础数据，</w:t>
      </w:r>
      <w:r w:rsidRPr="00913C78">
        <w:rPr>
          <w:rFonts w:hint="eastAsia"/>
        </w:rPr>
        <w:t>使用能耗模拟</w:t>
      </w:r>
      <w:r w:rsidRPr="00913C78">
        <w:t>软件</w:t>
      </w:r>
      <w:r w:rsidRPr="00913C78">
        <w:rPr>
          <w:rFonts w:hint="eastAsia"/>
        </w:rPr>
        <w:t>计算</w:t>
      </w:r>
      <w:r w:rsidRPr="00913C78">
        <w:t>建筑的</w:t>
      </w:r>
      <w:r w:rsidRPr="00913C78">
        <w:rPr>
          <w:rFonts w:hint="eastAsia"/>
        </w:rPr>
        <w:t>年</w:t>
      </w:r>
      <w:r w:rsidRPr="00913C78">
        <w:t>耗电量</w:t>
      </w:r>
      <w:r w:rsidRPr="00913C78">
        <w:rPr>
          <w:rFonts w:hint="eastAsia"/>
        </w:rPr>
        <w:t>，应包括照明插座、空调、电力、特殊用电的</w:t>
      </w:r>
      <w:r w:rsidRPr="00913C78">
        <w:t>能耗模拟。</w:t>
      </w:r>
    </w:p>
    <w:p w14:paraId="594382FF"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可再生能源提供电量。</w:t>
      </w:r>
    </w:p>
    <w:p w14:paraId="0E055053" w14:textId="77777777" w:rsidR="00913C78" w:rsidRPr="00913C78" w:rsidRDefault="00913C78" w:rsidP="00913C78">
      <w:pPr>
        <w:ind w:firstLine="420"/>
      </w:pPr>
      <w:r w:rsidRPr="00913C78">
        <w:rPr>
          <w:rFonts w:hint="eastAsia"/>
        </w:rPr>
        <w:t>太阳能光伏系统的年发电量应分两种情况计算：</w:t>
      </w:r>
    </w:p>
    <w:p w14:paraId="4C725C22" w14:textId="77777777" w:rsidR="00913C78" w:rsidRPr="00913C78" w:rsidRDefault="00913C78" w:rsidP="00913C78">
      <w:pPr>
        <w:ind w:firstLine="420"/>
      </w:pPr>
      <w:r w:rsidRPr="00913C78">
        <w:rPr>
          <w:rFonts w:hint="eastAsia"/>
        </w:rPr>
        <w:lastRenderedPageBreak/>
        <w:t>长期测试的年发电量应按下式计算：</w:t>
      </w:r>
    </w:p>
    <w:p w14:paraId="5A456FDF" w14:textId="77777777" w:rsidR="00913C78" w:rsidRPr="00913C78" w:rsidRDefault="00D20A1F" w:rsidP="00913C78">
      <w:pPr>
        <w:ind w:firstLine="420"/>
      </w:pPr>
      <m:oMathPara>
        <m:oMath>
          <m:sSub>
            <m:sSubPr>
              <m:ctrlPr>
                <w:rPr>
                  <w:rFonts w:ascii="Cambria Math" w:hAnsi="Cambria Math"/>
                  <w:i/>
                </w:rPr>
              </m:ctrlPr>
            </m:sSubPr>
            <m:e>
              <m:r>
                <w:rPr>
                  <w:rFonts w:ascii="Cambria Math" w:hAnsi="Cambria Math"/>
                </w:rPr>
                <m:t>E</m:t>
              </m:r>
            </m:e>
            <m:sub>
              <m:r>
                <w:rPr>
                  <w:rFonts w:ascii="Cambria Math" w:hAnsi="Cambria Math" w:hint="eastAsia"/>
                </w:rPr>
                <m:t>n</m:t>
              </m:r>
            </m:sub>
          </m:sSub>
          <m:r>
            <w:rPr>
              <w:rFonts w:ascii="Cambria Math" w:hAnsi="Cambria Math" w:hint="eastAsia"/>
            </w:rPr>
            <m:t>=</m:t>
          </m:r>
          <m:f>
            <m:fPr>
              <m:ctrlPr>
                <w:rPr>
                  <w:rFonts w:ascii="Cambria Math" w:hAnsi="Cambria Math"/>
                  <w:i/>
                </w:rPr>
              </m:ctrlPr>
            </m:fPr>
            <m:num>
              <m:r>
                <w:rPr>
                  <w:rFonts w:ascii="Cambria Math" w:hAnsi="Cambria Math"/>
                </w:rPr>
                <m:t>365∙</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E</m:t>
                      </m:r>
                    </m:e>
                    <m:sub>
                      <m:r>
                        <w:rPr>
                          <w:rFonts w:ascii="Cambria Math" w:hAnsi="Cambria Math" w:hint="eastAsia"/>
                        </w:rPr>
                        <m:t>di</m:t>
                      </m:r>
                    </m:sub>
                  </m:sSub>
                </m:e>
              </m:nary>
            </m:num>
            <m:den>
              <m:r>
                <w:rPr>
                  <w:rFonts w:ascii="Cambria Math" w:hAnsi="Cambria Math"/>
                </w:rPr>
                <m:t>N</m:t>
              </m:r>
            </m:den>
          </m:f>
        </m:oMath>
      </m:oMathPara>
    </w:p>
    <w:p w14:paraId="34E1B0F4" w14:textId="77777777" w:rsidR="00913C78" w:rsidRPr="00913C78" w:rsidRDefault="00913C78" w:rsidP="00913C78">
      <w:pPr>
        <w:ind w:firstLine="420"/>
      </w:pPr>
      <w:r w:rsidRPr="00913C78">
        <w:rPr>
          <w:rFonts w:hint="eastAsia"/>
        </w:rPr>
        <w:t>式中：</w:t>
      </w:r>
      <m:oMath>
        <m:sSub>
          <m:sSubPr>
            <m:ctrlPr>
              <w:rPr>
                <w:rFonts w:ascii="Cambria Math" w:hAnsi="Cambria Math"/>
                <w:i/>
              </w:rPr>
            </m:ctrlPr>
          </m:sSubPr>
          <m:e>
            <m:r>
              <w:rPr>
                <w:rFonts w:ascii="Cambria Math" w:hAnsi="Cambria Math"/>
              </w:rPr>
              <m:t>E</m:t>
            </m:r>
          </m:e>
          <m:sub>
            <m:r>
              <w:rPr>
                <w:rFonts w:ascii="Cambria Math" w:hAnsi="Cambria Math" w:hint="eastAsia"/>
              </w:rPr>
              <m:t>n</m:t>
            </m:r>
          </m:sub>
        </m:sSub>
      </m:oMath>
      <w:r w:rsidRPr="00913C78">
        <w:rPr>
          <w:rFonts w:hint="eastAsia"/>
        </w:rPr>
        <w:t>太阳能光伏系统年发电量（</w:t>
      </w:r>
      <w:r w:rsidRPr="00913C78">
        <w:rPr>
          <w:rFonts w:hint="eastAsia"/>
        </w:rPr>
        <w:t>kWh</w:t>
      </w:r>
      <w:r w:rsidRPr="00913C78">
        <w:rPr>
          <w:rFonts w:hint="eastAsia"/>
        </w:rPr>
        <w:t>）；</w:t>
      </w:r>
    </w:p>
    <w:p w14:paraId="514E4C8B" w14:textId="77777777" w:rsidR="00913C78" w:rsidRPr="00913C78" w:rsidRDefault="00913C78" w:rsidP="00913C78">
      <w:pPr>
        <w:ind w:firstLine="420"/>
      </w:pPr>
      <w:r w:rsidRPr="00913C78">
        <w:rPr>
          <w:rFonts w:hint="eastAsia"/>
        </w:rPr>
        <w:t xml:space="preserve">      </w:t>
      </w:r>
      <m:oMath>
        <m:sSub>
          <m:sSubPr>
            <m:ctrlPr>
              <w:rPr>
                <w:rFonts w:ascii="Cambria Math" w:hAnsi="Cambria Math"/>
                <w:i/>
              </w:rPr>
            </m:ctrlPr>
          </m:sSubPr>
          <m:e>
            <m:r>
              <w:rPr>
                <w:rFonts w:ascii="Cambria Math" w:hAnsi="Cambria Math"/>
              </w:rPr>
              <m:t>E</m:t>
            </m:r>
          </m:e>
          <m:sub>
            <m:r>
              <w:rPr>
                <w:rFonts w:ascii="Cambria Math" w:hAnsi="Cambria Math" w:hint="eastAsia"/>
              </w:rPr>
              <m:t>di</m:t>
            </m:r>
          </m:sub>
        </m:sSub>
      </m:oMath>
      <w:r w:rsidRPr="00913C78">
        <w:rPr>
          <w:rFonts w:hint="eastAsia"/>
        </w:rPr>
        <w:t>—长期测试期间第</w:t>
      </w:r>
      <m:oMath>
        <m:r>
          <w:rPr>
            <w:rFonts w:ascii="Cambria Math" w:hAnsi="Cambria Math" w:hint="eastAsia"/>
          </w:rPr>
          <m:t>i</m:t>
        </m:r>
      </m:oMath>
      <w:r w:rsidRPr="00913C78">
        <w:rPr>
          <w:rFonts w:hint="eastAsia"/>
        </w:rPr>
        <w:t>日的发电量（</w:t>
      </w:r>
      <w:r w:rsidRPr="00913C78">
        <w:rPr>
          <w:rFonts w:hint="eastAsia"/>
        </w:rPr>
        <w:t>kWh</w:t>
      </w:r>
      <w:r w:rsidRPr="00913C78">
        <w:rPr>
          <w:rFonts w:hint="eastAsia"/>
        </w:rPr>
        <w:t>）；</w:t>
      </w:r>
    </w:p>
    <w:p w14:paraId="43DB4A69" w14:textId="77777777" w:rsidR="00913C78" w:rsidRPr="00913C78" w:rsidRDefault="00913C78" w:rsidP="00913C78">
      <w:pPr>
        <w:ind w:firstLine="420"/>
      </w:pPr>
      <w:r w:rsidRPr="00913C78">
        <w:rPr>
          <w:rFonts w:hint="eastAsia"/>
        </w:rPr>
        <w:t xml:space="preserve">      </w:t>
      </w:r>
      <m:oMath>
        <m:r>
          <w:rPr>
            <w:rFonts w:ascii="Cambria Math" w:hAnsi="Cambria Math"/>
          </w:rPr>
          <m:t>N</m:t>
        </m:r>
      </m:oMath>
      <w:r w:rsidRPr="00913C78">
        <w:rPr>
          <w:rFonts w:hint="eastAsia"/>
        </w:rPr>
        <w:t>—长期测试持续的天数。</w:t>
      </w:r>
    </w:p>
    <w:p w14:paraId="4EC276C9" w14:textId="77777777" w:rsidR="00913C78" w:rsidRPr="00913C78" w:rsidRDefault="00913C78" w:rsidP="00913C78">
      <w:pPr>
        <w:ind w:firstLine="420"/>
      </w:pPr>
      <w:r w:rsidRPr="00913C78">
        <w:rPr>
          <w:rFonts w:hint="eastAsia"/>
        </w:rPr>
        <w:t>短期测试的年发电量成按下式计算：</w:t>
      </w:r>
    </w:p>
    <w:p w14:paraId="1553D24A" w14:textId="77777777" w:rsidR="00913C78" w:rsidRPr="00913C78" w:rsidRDefault="00D20A1F" w:rsidP="00913C78">
      <w:pPr>
        <w:ind w:firstLine="420"/>
      </w:pPr>
      <m:oMathPara>
        <m:oMath>
          <m:sSub>
            <m:sSubPr>
              <m:ctrlPr>
                <w:rPr>
                  <w:rFonts w:ascii="Cambria Math" w:hAnsi="Cambria Math"/>
                  <w:i/>
                </w:rPr>
              </m:ctrlPr>
            </m:sSubPr>
            <m:e>
              <m:r>
                <w:rPr>
                  <w:rFonts w:ascii="Cambria Math" w:hAnsi="Cambria Math"/>
                </w:rPr>
                <m:t>E</m:t>
              </m:r>
            </m:e>
            <m:sub>
              <m:r>
                <w:rPr>
                  <w:rFonts w:ascii="Cambria Math" w:hAnsi="Cambria Math" w:hint="eastAsia"/>
                </w:rPr>
                <m:t>n</m:t>
              </m:r>
            </m:sub>
          </m:sSub>
          <m:r>
            <w:rPr>
              <w:rFonts w:ascii="Cambria Math" w:hAnsi="Cambria Math" w:hint="eastAsia"/>
            </w:rPr>
            <m:t>=</m:t>
          </m:r>
          <m:f>
            <m:fPr>
              <m:ctrlPr>
                <w:rPr>
                  <w:rFonts w:ascii="Cambria Math" w:hAnsi="Cambria Math"/>
                  <w:i/>
                </w:rPr>
              </m:ctrlPr>
            </m:fPr>
            <m:num>
              <m:r>
                <w:rPr>
                  <w:rFonts w:ascii="Cambria Math" w:hAnsi="Cambria Math"/>
                </w:rPr>
                <m:t>3.6×</m:t>
              </m:r>
              <m:sSub>
                <m:sSubPr>
                  <m:ctrlPr>
                    <w:rPr>
                      <w:rFonts w:ascii="Cambria Math" w:hAnsi="Cambria Math"/>
                      <w:i/>
                    </w:rPr>
                  </m:ctrlPr>
                </m:sSubPr>
                <m:e>
                  <m:r>
                    <w:rPr>
                      <w:rFonts w:ascii="Cambria Math" w:hAnsi="Cambria Math"/>
                    </w:rPr>
                    <m:t>η</m:t>
                  </m:r>
                </m:e>
                <m:sub>
                  <m:r>
                    <w:rPr>
                      <w:rFonts w:ascii="Cambria Math" w:hAnsi="Cambria Math"/>
                    </w:rPr>
                    <m:t>d</m:t>
                  </m:r>
                </m:sub>
              </m:sSub>
              <m:r>
                <w:rPr>
                  <w:rFonts w:ascii="Cambria Math" w:hAnsi="Cambria Math"/>
                </w:rPr>
                <m:t>∙</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H</m:t>
                      </m:r>
                    </m:e>
                    <m:sub>
                      <m:r>
                        <w:rPr>
                          <w:rFonts w:ascii="Cambria Math" w:hAnsi="Cambria Math"/>
                        </w:rPr>
                        <m:t>a</m:t>
                      </m:r>
                      <m:r>
                        <w:rPr>
                          <w:rFonts w:ascii="Cambria Math" w:hAnsi="Cambria Math" w:hint="eastAsia"/>
                        </w:rPr>
                        <m:t>i</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c</m:t>
                      </m:r>
                      <m:r>
                        <w:rPr>
                          <w:rFonts w:ascii="Cambria Math" w:hAnsi="Cambria Math" w:hint="eastAsia"/>
                        </w:rPr>
                        <m:t>i</m:t>
                      </m:r>
                    </m:sub>
                  </m:sSub>
                </m:e>
              </m:nary>
            </m:num>
            <m:den>
              <m:r>
                <w:rPr>
                  <w:rFonts w:ascii="Cambria Math" w:hAnsi="Cambria Math"/>
                </w:rPr>
                <m:t>100</m:t>
              </m:r>
            </m:den>
          </m:f>
        </m:oMath>
      </m:oMathPara>
    </w:p>
    <w:p w14:paraId="4BB72F7B" w14:textId="77777777" w:rsidR="00913C78" w:rsidRPr="00913C78" w:rsidRDefault="00913C78" w:rsidP="00913C78">
      <w:pPr>
        <w:ind w:firstLine="420"/>
      </w:pPr>
      <w:r w:rsidRPr="00913C78">
        <w:rPr>
          <w:rFonts w:hint="eastAsia"/>
        </w:rPr>
        <w:t>式中：</w:t>
      </w:r>
      <m:oMath>
        <m:sSub>
          <m:sSubPr>
            <m:ctrlPr>
              <w:rPr>
                <w:rFonts w:ascii="Cambria Math" w:hAnsi="Cambria Math"/>
                <w:i/>
              </w:rPr>
            </m:ctrlPr>
          </m:sSubPr>
          <m:e>
            <m:r>
              <w:rPr>
                <w:rFonts w:ascii="Cambria Math" w:hAnsi="Cambria Math"/>
              </w:rPr>
              <m:t>E</m:t>
            </m:r>
          </m:e>
          <m:sub>
            <m:r>
              <w:rPr>
                <w:rFonts w:ascii="Cambria Math" w:hAnsi="Cambria Math" w:hint="eastAsia"/>
              </w:rPr>
              <m:t>n</m:t>
            </m:r>
          </m:sub>
        </m:sSub>
      </m:oMath>
      <w:r w:rsidRPr="00913C78">
        <w:rPr>
          <w:rFonts w:hint="eastAsia"/>
        </w:rPr>
        <w:t>——太阳能光伏系统年发电量（</w:t>
      </w:r>
      <w:r w:rsidRPr="00913C78">
        <w:rPr>
          <w:rFonts w:hint="eastAsia"/>
        </w:rPr>
        <w:t>kWh</w:t>
      </w:r>
      <w:r w:rsidRPr="00913C78">
        <w:rPr>
          <w:rFonts w:hint="eastAsia"/>
        </w:rPr>
        <w:t>）；</w:t>
      </w:r>
    </w:p>
    <w:p w14:paraId="4DA57047" w14:textId="77777777" w:rsidR="00913C78" w:rsidRPr="00913C78" w:rsidRDefault="00913C78" w:rsidP="00913C78">
      <w:pPr>
        <w:ind w:firstLine="420"/>
      </w:pPr>
      <w:r w:rsidRPr="00913C78">
        <w:rPr>
          <w:rFonts w:hint="eastAsia"/>
        </w:rPr>
        <w:t xml:space="preserve">      </w:t>
      </w:r>
      <m:oMath>
        <m:sSub>
          <m:sSubPr>
            <m:ctrlPr>
              <w:rPr>
                <w:rFonts w:ascii="Cambria Math" w:hAnsi="Cambria Math"/>
                <w:i/>
              </w:rPr>
            </m:ctrlPr>
          </m:sSubPr>
          <m:e>
            <m:r>
              <w:rPr>
                <w:rFonts w:ascii="Cambria Math" w:hAnsi="Cambria Math"/>
              </w:rPr>
              <m:t>η</m:t>
            </m:r>
          </m:e>
          <m:sub>
            <m:r>
              <w:rPr>
                <w:rFonts w:ascii="Cambria Math" w:hAnsi="Cambria Math"/>
              </w:rPr>
              <m:t>d</m:t>
            </m:r>
          </m:sub>
        </m:sSub>
      </m:oMath>
      <w:r w:rsidRPr="00913C78">
        <w:rPr>
          <w:rFonts w:hint="eastAsia"/>
        </w:rPr>
        <w:t>——太阳能光伏系统光电转换效率（％）；</w:t>
      </w:r>
    </w:p>
    <w:p w14:paraId="5ED13187" w14:textId="77777777" w:rsidR="00913C78" w:rsidRPr="00913C78" w:rsidRDefault="00913C78" w:rsidP="00913C78">
      <w:pPr>
        <w:ind w:firstLine="420"/>
      </w:pPr>
      <w:r w:rsidRPr="00913C78">
        <w:rPr>
          <w:rFonts w:hint="eastAsia"/>
        </w:rPr>
        <w:t xml:space="preserve">      n</w:t>
      </w:r>
      <w:r w:rsidRPr="00913C78">
        <w:rPr>
          <w:rFonts w:hint="eastAsia"/>
        </w:rPr>
        <w:t>——不同朝向和倾角采光平面上的太阳能电池方阵个数；</w:t>
      </w:r>
    </w:p>
    <w:p w14:paraId="1A65EACD" w14:textId="77777777" w:rsidR="00913C78" w:rsidRPr="00913C78" w:rsidRDefault="00913C78" w:rsidP="00913C78">
      <w:pPr>
        <w:ind w:firstLine="420"/>
      </w:pPr>
      <w:r w:rsidRPr="00913C78">
        <w:rPr>
          <w:rFonts w:hint="eastAsia"/>
        </w:rPr>
        <w:t xml:space="preserve">      </w:t>
      </w:r>
      <m:oMath>
        <m:sSub>
          <m:sSubPr>
            <m:ctrlPr>
              <w:rPr>
                <w:rFonts w:ascii="Cambria Math" w:hAnsi="Cambria Math"/>
                <w:i/>
              </w:rPr>
            </m:ctrlPr>
          </m:sSubPr>
          <m:e>
            <m:r>
              <w:rPr>
                <w:rFonts w:ascii="Cambria Math" w:hAnsi="Cambria Math"/>
              </w:rPr>
              <m:t>H</m:t>
            </m:r>
          </m:e>
          <m:sub>
            <m:r>
              <w:rPr>
                <w:rFonts w:ascii="Cambria Math" w:hAnsi="Cambria Math"/>
              </w:rPr>
              <m:t>a</m:t>
            </m:r>
            <m:r>
              <w:rPr>
                <w:rFonts w:ascii="Cambria Math" w:hAnsi="Cambria Math" w:hint="eastAsia"/>
              </w:rPr>
              <m:t>i</m:t>
            </m:r>
          </m:sub>
        </m:sSub>
      </m:oMath>
      <w:r w:rsidRPr="00913C78">
        <w:rPr>
          <w:rFonts w:hint="eastAsia"/>
        </w:rPr>
        <w:t>——第</w:t>
      </w:r>
      <m:oMath>
        <m:r>
          <w:rPr>
            <w:rFonts w:ascii="Cambria Math" w:hAnsi="Cambria Math" w:hint="eastAsia"/>
          </w:rPr>
          <m:t>i</m:t>
        </m:r>
      </m:oMath>
      <w:r w:rsidRPr="00913C78">
        <w:rPr>
          <w:rFonts w:hint="eastAsia"/>
        </w:rPr>
        <w:t>个朝向和倾角采光平面上全年单位面积的总太阳辐射量（</w:t>
      </w:r>
      <w:r w:rsidRPr="00913C78">
        <w:rPr>
          <w:rFonts w:hint="eastAsia"/>
        </w:rPr>
        <w:t>MJ/m</w:t>
      </w:r>
      <w:r w:rsidRPr="00F83296">
        <w:rPr>
          <w:vertAlign w:val="superscript"/>
        </w:rPr>
        <w:t>2</w:t>
      </w:r>
      <w:r w:rsidRPr="00913C78">
        <w:rPr>
          <w:rFonts w:hint="eastAsia"/>
        </w:rPr>
        <w:t>），可按《可再生能源建筑应用工程评价标准》</w:t>
      </w:r>
      <w:r w:rsidRPr="00913C78">
        <w:t>GB/T 50801-2013</w:t>
      </w:r>
      <w:r w:rsidRPr="00913C78">
        <w:rPr>
          <w:rFonts w:hint="eastAsia"/>
        </w:rPr>
        <w:t>中附录</w:t>
      </w:r>
      <w:r w:rsidRPr="00913C78">
        <w:rPr>
          <w:rFonts w:hint="eastAsia"/>
        </w:rPr>
        <w:t>D</w:t>
      </w:r>
      <w:r w:rsidRPr="00913C78">
        <w:rPr>
          <w:rFonts w:hint="eastAsia"/>
        </w:rPr>
        <w:t>的方法计算；</w:t>
      </w:r>
    </w:p>
    <w:p w14:paraId="52ED7D62" w14:textId="77777777" w:rsidR="00913C78" w:rsidRPr="00913C78" w:rsidRDefault="00913C78" w:rsidP="00913C78">
      <w:pPr>
        <w:ind w:firstLine="420"/>
      </w:pPr>
      <w:r w:rsidRPr="00913C78">
        <w:rPr>
          <w:rFonts w:hint="eastAsia"/>
        </w:rPr>
        <w:t xml:space="preserve">      </w:t>
      </w:r>
      <m:oMath>
        <m:sSub>
          <m:sSubPr>
            <m:ctrlPr>
              <w:rPr>
                <w:rFonts w:ascii="Cambria Math" w:hAnsi="Cambria Math"/>
                <w:i/>
              </w:rPr>
            </m:ctrlPr>
          </m:sSubPr>
          <m:e>
            <m:r>
              <w:rPr>
                <w:rFonts w:ascii="Cambria Math" w:hAnsi="Cambria Math"/>
              </w:rPr>
              <m:t>A</m:t>
            </m:r>
          </m:e>
          <m:sub>
            <m:r>
              <w:rPr>
                <w:rFonts w:ascii="Cambria Math" w:hAnsi="Cambria Math"/>
              </w:rPr>
              <m:t>c</m:t>
            </m:r>
            <m:r>
              <w:rPr>
                <w:rFonts w:ascii="Cambria Math" w:hAnsi="Cambria Math" w:hint="eastAsia"/>
              </w:rPr>
              <m:t>i</m:t>
            </m:r>
          </m:sub>
        </m:sSub>
      </m:oMath>
      <w:r w:rsidRPr="00913C78">
        <w:rPr>
          <w:rFonts w:hint="eastAsia"/>
        </w:rPr>
        <w:t>——第</w:t>
      </w:r>
      <m:oMath>
        <m:r>
          <w:rPr>
            <w:rFonts w:ascii="Cambria Math" w:hAnsi="Cambria Math" w:hint="eastAsia"/>
          </w:rPr>
          <m:t>i</m:t>
        </m:r>
      </m:oMath>
      <w:r w:rsidRPr="00913C78">
        <w:rPr>
          <w:rFonts w:hint="eastAsia"/>
        </w:rPr>
        <w:t>个朝向和倾角采光平面上的太阳能电池面积（</w:t>
      </w:r>
      <w:r w:rsidRPr="00913C78">
        <w:rPr>
          <w:rFonts w:hint="eastAsia"/>
        </w:rPr>
        <w:t>m</w:t>
      </w:r>
      <w:r w:rsidRPr="00F83296">
        <w:rPr>
          <w:vertAlign w:val="superscript"/>
        </w:rPr>
        <w:t>2</w:t>
      </w:r>
      <w:r w:rsidRPr="00913C78">
        <w:rPr>
          <w:rFonts w:hint="eastAsia"/>
        </w:rPr>
        <w:t>）。</w:t>
      </w:r>
    </w:p>
    <w:p w14:paraId="7BEFFA4E"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可再生能源应用比例。</w:t>
      </w:r>
    </w:p>
    <w:p w14:paraId="40627D25" w14:textId="77777777" w:rsidR="00913C78" w:rsidRPr="00913C78" w:rsidRDefault="00913C78" w:rsidP="00913C78">
      <w:pPr>
        <w:ind w:firstLine="420"/>
      </w:pPr>
      <w:r w:rsidRPr="00913C78">
        <w:rPr>
          <w:rFonts w:hint="eastAsia"/>
        </w:rPr>
        <w:t>可再生能源提供电量比例按</w:t>
      </w:r>
      <w:r w:rsidRPr="00913C78">
        <w:rPr>
          <w:rFonts w:hint="eastAsia"/>
        </w:rPr>
        <w:t>B.2.1</w:t>
      </w:r>
      <w:r w:rsidRPr="00913C78">
        <w:rPr>
          <w:rFonts w:hint="eastAsia"/>
        </w:rPr>
        <w:t>节方法计算。</w:t>
      </w:r>
    </w:p>
    <w:p w14:paraId="1D67C332" w14:textId="77777777" w:rsidR="00913C78" w:rsidRPr="00913C78" w:rsidRDefault="00913C78" w:rsidP="00CC545E">
      <w:pPr>
        <w:pStyle w:val="32"/>
      </w:pPr>
      <w:bookmarkStart w:id="368" w:name="_Toc476236519"/>
      <w:bookmarkStart w:id="369" w:name="_Toc35364804"/>
      <w:r w:rsidRPr="00913C78">
        <w:rPr>
          <w:rFonts w:hint="eastAsia"/>
        </w:rPr>
        <w:t>B.2.3</w:t>
      </w:r>
      <w:r w:rsidRPr="00913C78">
        <w:t xml:space="preserve"> </w:t>
      </w:r>
      <w:r w:rsidRPr="00913C78">
        <w:rPr>
          <w:rFonts w:hint="eastAsia"/>
        </w:rPr>
        <w:t xml:space="preserve"> </w:t>
      </w:r>
      <w:r w:rsidRPr="00913C78">
        <w:rPr>
          <w:rFonts w:hint="eastAsia"/>
        </w:rPr>
        <w:t>结论</w:t>
      </w:r>
      <w:bookmarkEnd w:id="368"/>
      <w:bookmarkEnd w:id="369"/>
    </w:p>
    <w:p w14:paraId="30B804F8" w14:textId="77777777" w:rsidR="00913C78" w:rsidRPr="00913C78" w:rsidRDefault="00913C78" w:rsidP="00913C78">
      <w:pPr>
        <w:ind w:firstLine="420"/>
      </w:pPr>
      <w:r w:rsidRPr="00913C78">
        <w:rPr>
          <w:rFonts w:hint="eastAsia"/>
        </w:rPr>
        <w:t>对结果进行达标判定，</w:t>
      </w:r>
      <w:r w:rsidRPr="00913C78">
        <w:t>并</w:t>
      </w:r>
      <w:r w:rsidRPr="00913C78">
        <w:rPr>
          <w:rFonts w:hint="eastAsia"/>
        </w:rPr>
        <w:t>给出结论。</w:t>
      </w:r>
    </w:p>
    <w:p w14:paraId="1EA37397" w14:textId="77777777" w:rsidR="00913C78" w:rsidRPr="00913C78" w:rsidRDefault="00913C78" w:rsidP="00CC545E">
      <w:pPr>
        <w:pStyle w:val="32"/>
      </w:pPr>
      <w:bookmarkStart w:id="370" w:name="_Toc476236520"/>
      <w:bookmarkStart w:id="371" w:name="_Toc35364805"/>
      <w:r w:rsidRPr="00913C78">
        <w:rPr>
          <w:rFonts w:hint="eastAsia"/>
        </w:rPr>
        <w:t>B.2.</w:t>
      </w:r>
      <w:r w:rsidRPr="00913C78">
        <w:t>4</w:t>
      </w:r>
      <w:r w:rsidRPr="00913C78">
        <w:rPr>
          <w:rFonts w:hint="eastAsia"/>
        </w:rPr>
        <w:t xml:space="preserve">  </w:t>
      </w:r>
      <w:r w:rsidRPr="00913C78">
        <w:rPr>
          <w:rFonts w:hint="eastAsia"/>
        </w:rPr>
        <w:t>审查要点</w:t>
      </w:r>
      <w:bookmarkEnd w:id="370"/>
      <w:r w:rsidRPr="00913C78">
        <w:rPr>
          <w:rFonts w:hint="eastAsia"/>
        </w:rPr>
        <w:t>（附表</w:t>
      </w:r>
      <w:r w:rsidRPr="00913C78">
        <w:rPr>
          <w:rFonts w:hint="eastAsia"/>
        </w:rPr>
        <w:t>B.2.3</w:t>
      </w:r>
      <w:r w:rsidRPr="00913C78">
        <w:rPr>
          <w:rFonts w:hint="eastAsia"/>
        </w:rPr>
        <w:t>）</w:t>
      </w:r>
      <w:bookmarkEnd w:id="371"/>
    </w:p>
    <w:p w14:paraId="7F9624FE" w14:textId="77777777" w:rsidR="00913C78" w:rsidRPr="00913C78" w:rsidRDefault="00913C78" w:rsidP="00CC545E">
      <w:pPr>
        <w:pStyle w:val="ae"/>
      </w:pPr>
      <w:r w:rsidRPr="00913C78">
        <w:rPr>
          <w:rFonts w:hint="eastAsia"/>
        </w:rPr>
        <w:t>附表</w:t>
      </w:r>
      <w:r w:rsidRPr="00913C78">
        <w:rPr>
          <w:rFonts w:hint="eastAsia"/>
        </w:rPr>
        <w:t xml:space="preserve">B.2.3  </w:t>
      </w:r>
      <w:r w:rsidRPr="00913C78">
        <w:rPr>
          <w:rFonts w:hint="eastAsia"/>
        </w:rPr>
        <w:t>可再生能源利用率分析计算报告专家判断表</w:t>
      </w:r>
    </w:p>
    <w:tbl>
      <w:tblPr>
        <w:tblW w:w="7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40" w:type="dxa"/>
          <w:right w:w="57" w:type="dxa"/>
        </w:tblCellMar>
        <w:tblLook w:val="04A0" w:firstRow="1" w:lastRow="0" w:firstColumn="1" w:lastColumn="0" w:noHBand="0" w:noVBand="1"/>
      </w:tblPr>
      <w:tblGrid>
        <w:gridCol w:w="598"/>
        <w:gridCol w:w="1316"/>
        <w:gridCol w:w="4623"/>
        <w:gridCol w:w="1118"/>
      </w:tblGrid>
      <w:tr w:rsidR="00913C78" w:rsidRPr="00913C78" w14:paraId="5F057592" w14:textId="77777777" w:rsidTr="008F38C5">
        <w:trPr>
          <w:jc w:val="center"/>
        </w:trPr>
        <w:tc>
          <w:tcPr>
            <w:tcW w:w="598" w:type="dxa"/>
            <w:shd w:val="clear" w:color="auto" w:fill="auto"/>
            <w:vAlign w:val="center"/>
            <w:hideMark/>
          </w:tcPr>
          <w:p w14:paraId="3E162CDE" w14:textId="77777777" w:rsidR="00913C78" w:rsidRPr="00913C78" w:rsidRDefault="00913C78" w:rsidP="00CC545E">
            <w:pPr>
              <w:pStyle w:val="af7"/>
              <w:jc w:val="center"/>
            </w:pPr>
            <w:r w:rsidRPr="00913C78">
              <w:rPr>
                <w:rFonts w:hint="eastAsia"/>
              </w:rPr>
              <w:t>编号</w:t>
            </w:r>
          </w:p>
        </w:tc>
        <w:tc>
          <w:tcPr>
            <w:tcW w:w="1316" w:type="dxa"/>
            <w:shd w:val="clear" w:color="auto" w:fill="auto"/>
            <w:vAlign w:val="center"/>
            <w:hideMark/>
          </w:tcPr>
          <w:p w14:paraId="73C41F94" w14:textId="77777777" w:rsidR="00913C78" w:rsidRPr="00913C78" w:rsidRDefault="00913C78" w:rsidP="00CC545E">
            <w:pPr>
              <w:pStyle w:val="af7"/>
              <w:jc w:val="center"/>
            </w:pPr>
            <w:r w:rsidRPr="00913C78">
              <w:rPr>
                <w:rFonts w:hint="eastAsia"/>
              </w:rPr>
              <w:t>审查要点</w:t>
            </w:r>
          </w:p>
        </w:tc>
        <w:tc>
          <w:tcPr>
            <w:tcW w:w="4623" w:type="dxa"/>
            <w:shd w:val="clear" w:color="auto" w:fill="auto"/>
            <w:vAlign w:val="center"/>
            <w:hideMark/>
          </w:tcPr>
          <w:p w14:paraId="45FC764A" w14:textId="77777777" w:rsidR="00913C78" w:rsidRPr="00913C78" w:rsidRDefault="00913C78" w:rsidP="00CC545E">
            <w:pPr>
              <w:pStyle w:val="af7"/>
              <w:jc w:val="center"/>
            </w:pPr>
            <w:r w:rsidRPr="00913C78">
              <w:rPr>
                <w:rFonts w:hint="eastAsia"/>
              </w:rPr>
              <w:t>具体判断</w:t>
            </w:r>
          </w:p>
        </w:tc>
        <w:tc>
          <w:tcPr>
            <w:tcW w:w="1118" w:type="dxa"/>
            <w:shd w:val="clear" w:color="auto" w:fill="auto"/>
            <w:vAlign w:val="center"/>
            <w:hideMark/>
          </w:tcPr>
          <w:p w14:paraId="0152C2BD" w14:textId="77777777" w:rsidR="00913C78" w:rsidRPr="00913C78" w:rsidRDefault="00913C78" w:rsidP="00CC545E">
            <w:pPr>
              <w:pStyle w:val="af7"/>
              <w:jc w:val="center"/>
            </w:pPr>
            <w:r w:rsidRPr="00913C78">
              <w:rPr>
                <w:rFonts w:hint="eastAsia"/>
              </w:rPr>
              <w:t>是否满足</w:t>
            </w:r>
          </w:p>
        </w:tc>
      </w:tr>
      <w:tr w:rsidR="00913C78" w:rsidRPr="00913C78" w14:paraId="60E6C883" w14:textId="77777777" w:rsidTr="008F38C5">
        <w:trPr>
          <w:jc w:val="center"/>
        </w:trPr>
        <w:tc>
          <w:tcPr>
            <w:tcW w:w="598" w:type="dxa"/>
            <w:shd w:val="clear" w:color="auto" w:fill="auto"/>
            <w:vAlign w:val="center"/>
            <w:hideMark/>
          </w:tcPr>
          <w:p w14:paraId="6F7C429F" w14:textId="77777777" w:rsidR="00913C78" w:rsidRPr="00913C78" w:rsidRDefault="00913C78" w:rsidP="00CC545E">
            <w:pPr>
              <w:pStyle w:val="af7"/>
              <w:jc w:val="center"/>
            </w:pPr>
            <w:r w:rsidRPr="00913C78">
              <w:rPr>
                <w:rFonts w:hint="eastAsia"/>
              </w:rPr>
              <w:t>1</w:t>
            </w:r>
          </w:p>
        </w:tc>
        <w:tc>
          <w:tcPr>
            <w:tcW w:w="1316" w:type="dxa"/>
            <w:shd w:val="clear" w:color="auto" w:fill="auto"/>
            <w:vAlign w:val="center"/>
            <w:hideMark/>
          </w:tcPr>
          <w:p w14:paraId="0D14B83D" w14:textId="77777777" w:rsidR="00913C78" w:rsidRPr="00913C78" w:rsidRDefault="00913C78" w:rsidP="00CC545E">
            <w:pPr>
              <w:pStyle w:val="af7"/>
              <w:jc w:val="center"/>
            </w:pPr>
            <w:r w:rsidRPr="00913C78">
              <w:rPr>
                <w:rFonts w:hint="eastAsia"/>
              </w:rPr>
              <w:t>计算依据</w:t>
            </w:r>
          </w:p>
        </w:tc>
        <w:tc>
          <w:tcPr>
            <w:tcW w:w="4623" w:type="dxa"/>
            <w:shd w:val="clear" w:color="auto" w:fill="auto"/>
            <w:vAlign w:val="center"/>
            <w:hideMark/>
          </w:tcPr>
          <w:p w14:paraId="6EECB3FB" w14:textId="77777777" w:rsidR="00913C78" w:rsidRPr="00913C78" w:rsidRDefault="00913C78" w:rsidP="00CC545E">
            <w:pPr>
              <w:pStyle w:val="af7"/>
            </w:pPr>
            <w:r w:rsidRPr="00913C78">
              <w:rPr>
                <w:rFonts w:hint="eastAsia"/>
              </w:rPr>
              <w:t>计算基础数据有可靠来源，写明基础数据及来源、参考标准、资料。写明</w:t>
            </w:r>
            <w:r w:rsidRPr="00913C78">
              <w:t>项目</w:t>
            </w:r>
            <w:r w:rsidRPr="00913C78">
              <w:rPr>
                <w:rFonts w:hint="eastAsia"/>
              </w:rPr>
              <w:t>地理</w:t>
            </w:r>
            <w:r w:rsidRPr="00913C78">
              <w:t>位置</w:t>
            </w:r>
            <w:r w:rsidRPr="00913C78">
              <w:rPr>
                <w:rFonts w:hint="eastAsia"/>
              </w:rPr>
              <w:t>及</w:t>
            </w:r>
            <w:r w:rsidRPr="00913C78">
              <w:t>自然资源条件，</w:t>
            </w:r>
            <w:r w:rsidRPr="00913C78">
              <w:rPr>
                <w:rFonts w:hint="eastAsia"/>
              </w:rPr>
              <w:t>以便</w:t>
            </w:r>
            <w:r w:rsidRPr="00913C78">
              <w:t>计算</w:t>
            </w:r>
          </w:p>
        </w:tc>
        <w:tc>
          <w:tcPr>
            <w:tcW w:w="1118" w:type="dxa"/>
            <w:shd w:val="clear" w:color="auto" w:fill="auto"/>
            <w:vAlign w:val="center"/>
            <w:hideMark/>
          </w:tcPr>
          <w:p w14:paraId="09C18A64" w14:textId="77777777" w:rsidR="00913C78" w:rsidRPr="00913C78" w:rsidRDefault="00913C78" w:rsidP="00CC545E">
            <w:pPr>
              <w:pStyle w:val="af7"/>
              <w:jc w:val="center"/>
            </w:pPr>
          </w:p>
        </w:tc>
      </w:tr>
      <w:tr w:rsidR="00913C78" w:rsidRPr="00913C78" w14:paraId="6B9B1051" w14:textId="77777777" w:rsidTr="008F38C5">
        <w:trPr>
          <w:jc w:val="center"/>
        </w:trPr>
        <w:tc>
          <w:tcPr>
            <w:tcW w:w="598" w:type="dxa"/>
            <w:shd w:val="clear" w:color="auto" w:fill="auto"/>
            <w:vAlign w:val="center"/>
            <w:hideMark/>
          </w:tcPr>
          <w:p w14:paraId="10A72D8C" w14:textId="77777777" w:rsidR="00913C78" w:rsidRPr="00913C78" w:rsidRDefault="00913C78" w:rsidP="00CC545E">
            <w:pPr>
              <w:pStyle w:val="af7"/>
              <w:jc w:val="center"/>
            </w:pPr>
            <w:r w:rsidRPr="00913C78">
              <w:rPr>
                <w:rFonts w:hint="eastAsia"/>
              </w:rPr>
              <w:t>2</w:t>
            </w:r>
          </w:p>
        </w:tc>
        <w:tc>
          <w:tcPr>
            <w:tcW w:w="1316" w:type="dxa"/>
            <w:shd w:val="clear" w:color="auto" w:fill="auto"/>
            <w:vAlign w:val="center"/>
            <w:hideMark/>
          </w:tcPr>
          <w:p w14:paraId="788B132C" w14:textId="77777777" w:rsidR="00913C78" w:rsidRPr="00913C78" w:rsidRDefault="00913C78" w:rsidP="00CC545E">
            <w:pPr>
              <w:pStyle w:val="af7"/>
              <w:jc w:val="center"/>
            </w:pPr>
            <w:r w:rsidRPr="00913C78">
              <w:rPr>
                <w:rFonts w:hint="eastAsia"/>
              </w:rPr>
              <w:t>计算方法</w:t>
            </w:r>
          </w:p>
        </w:tc>
        <w:tc>
          <w:tcPr>
            <w:tcW w:w="4623" w:type="dxa"/>
            <w:shd w:val="clear" w:color="auto" w:fill="auto"/>
            <w:vAlign w:val="center"/>
            <w:hideMark/>
          </w:tcPr>
          <w:p w14:paraId="0A6B6B7C" w14:textId="77777777" w:rsidR="00913C78" w:rsidRPr="00913C78" w:rsidRDefault="00913C78" w:rsidP="00CC545E">
            <w:pPr>
              <w:pStyle w:val="af7"/>
            </w:pPr>
            <w:r w:rsidRPr="00913C78">
              <w:rPr>
                <w:rFonts w:hint="eastAsia"/>
              </w:rPr>
              <w:t>计算方法明确</w:t>
            </w:r>
            <w:r w:rsidRPr="00913C78">
              <w:t>，计算过程</w:t>
            </w:r>
            <w:r w:rsidRPr="00913C78">
              <w:rPr>
                <w:rFonts w:hint="eastAsia"/>
              </w:rPr>
              <w:t>清晰</w:t>
            </w:r>
          </w:p>
        </w:tc>
        <w:tc>
          <w:tcPr>
            <w:tcW w:w="1118" w:type="dxa"/>
            <w:shd w:val="clear" w:color="auto" w:fill="auto"/>
            <w:vAlign w:val="center"/>
            <w:hideMark/>
          </w:tcPr>
          <w:p w14:paraId="5607281F" w14:textId="77777777" w:rsidR="00913C78" w:rsidRPr="00913C78" w:rsidRDefault="00913C78" w:rsidP="00CC545E">
            <w:pPr>
              <w:pStyle w:val="af7"/>
              <w:jc w:val="center"/>
            </w:pPr>
          </w:p>
        </w:tc>
      </w:tr>
      <w:tr w:rsidR="00913C78" w:rsidRPr="00913C78" w14:paraId="0F3315C6" w14:textId="77777777" w:rsidTr="008F38C5">
        <w:trPr>
          <w:jc w:val="center"/>
        </w:trPr>
        <w:tc>
          <w:tcPr>
            <w:tcW w:w="598" w:type="dxa"/>
            <w:shd w:val="clear" w:color="auto" w:fill="auto"/>
            <w:vAlign w:val="center"/>
            <w:hideMark/>
          </w:tcPr>
          <w:p w14:paraId="36CDD236" w14:textId="77777777" w:rsidR="00913C78" w:rsidRPr="00913C78" w:rsidRDefault="00913C78" w:rsidP="00CC545E">
            <w:pPr>
              <w:pStyle w:val="af7"/>
              <w:jc w:val="center"/>
            </w:pPr>
            <w:r w:rsidRPr="00913C78">
              <w:rPr>
                <w:rFonts w:hint="eastAsia"/>
              </w:rPr>
              <w:lastRenderedPageBreak/>
              <w:t>3</w:t>
            </w:r>
          </w:p>
        </w:tc>
        <w:tc>
          <w:tcPr>
            <w:tcW w:w="1316" w:type="dxa"/>
            <w:shd w:val="clear" w:color="auto" w:fill="auto"/>
            <w:vAlign w:val="center"/>
            <w:hideMark/>
          </w:tcPr>
          <w:p w14:paraId="110632EB" w14:textId="77777777" w:rsidR="00913C78" w:rsidRPr="00913C78" w:rsidRDefault="00913C78" w:rsidP="00CC545E">
            <w:pPr>
              <w:pStyle w:val="af7"/>
              <w:jc w:val="center"/>
            </w:pPr>
            <w:r w:rsidRPr="00913C78">
              <w:rPr>
                <w:rFonts w:hint="eastAsia"/>
              </w:rPr>
              <w:t>系统</w:t>
            </w:r>
            <w:r w:rsidRPr="00913C78">
              <w:t>设计</w:t>
            </w:r>
          </w:p>
        </w:tc>
        <w:tc>
          <w:tcPr>
            <w:tcW w:w="4623" w:type="dxa"/>
            <w:shd w:val="clear" w:color="auto" w:fill="auto"/>
            <w:vAlign w:val="center"/>
            <w:hideMark/>
          </w:tcPr>
          <w:p w14:paraId="35DC17EB" w14:textId="77777777" w:rsidR="00913C78" w:rsidRPr="00913C78" w:rsidRDefault="00913C78" w:rsidP="00CC545E">
            <w:pPr>
              <w:pStyle w:val="af7"/>
            </w:pPr>
            <w:r w:rsidRPr="00913C78">
              <w:rPr>
                <w:rFonts w:hint="eastAsia"/>
              </w:rPr>
              <w:t>结合场地的选址、建筑设计情况、当地可再生资源情况等，对建筑可再生能源系统的设计情况及系统设备参数进行介绍</w:t>
            </w:r>
          </w:p>
        </w:tc>
        <w:tc>
          <w:tcPr>
            <w:tcW w:w="1118" w:type="dxa"/>
            <w:shd w:val="clear" w:color="auto" w:fill="auto"/>
            <w:vAlign w:val="center"/>
            <w:hideMark/>
          </w:tcPr>
          <w:p w14:paraId="578E7533" w14:textId="77777777" w:rsidR="00913C78" w:rsidRPr="00913C78" w:rsidRDefault="00913C78" w:rsidP="00CC545E">
            <w:pPr>
              <w:pStyle w:val="af7"/>
              <w:jc w:val="center"/>
            </w:pPr>
          </w:p>
        </w:tc>
      </w:tr>
      <w:tr w:rsidR="00913C78" w:rsidRPr="00913C78" w14:paraId="6C5CC69B" w14:textId="77777777" w:rsidTr="008F38C5">
        <w:trPr>
          <w:jc w:val="center"/>
        </w:trPr>
        <w:tc>
          <w:tcPr>
            <w:tcW w:w="598" w:type="dxa"/>
            <w:vMerge w:val="restart"/>
            <w:shd w:val="clear" w:color="auto" w:fill="auto"/>
            <w:vAlign w:val="center"/>
          </w:tcPr>
          <w:p w14:paraId="35D70427" w14:textId="77777777" w:rsidR="00913C78" w:rsidRPr="00913C78" w:rsidRDefault="00913C78" w:rsidP="00CC545E">
            <w:pPr>
              <w:pStyle w:val="af7"/>
              <w:jc w:val="center"/>
            </w:pPr>
            <w:r w:rsidRPr="00913C78">
              <w:rPr>
                <w:rFonts w:hint="eastAsia"/>
              </w:rPr>
              <w:t>4</w:t>
            </w:r>
          </w:p>
        </w:tc>
        <w:tc>
          <w:tcPr>
            <w:tcW w:w="1316" w:type="dxa"/>
            <w:vMerge w:val="restart"/>
            <w:shd w:val="clear" w:color="auto" w:fill="auto"/>
            <w:vAlign w:val="center"/>
          </w:tcPr>
          <w:p w14:paraId="14C720FD" w14:textId="77777777" w:rsidR="00913C78" w:rsidRPr="00913C78" w:rsidRDefault="00913C78" w:rsidP="00CC545E">
            <w:pPr>
              <w:pStyle w:val="af7"/>
              <w:jc w:val="center"/>
            </w:pPr>
            <w:r w:rsidRPr="00913C78">
              <w:rPr>
                <w:rFonts w:hint="eastAsia"/>
              </w:rPr>
              <w:t>可再生能源提供生活用热水比例</w:t>
            </w:r>
          </w:p>
        </w:tc>
        <w:tc>
          <w:tcPr>
            <w:tcW w:w="4623" w:type="dxa"/>
            <w:shd w:val="clear" w:color="auto" w:fill="auto"/>
            <w:vAlign w:val="center"/>
          </w:tcPr>
          <w:p w14:paraId="36495510" w14:textId="77777777" w:rsidR="00913C78" w:rsidRPr="00913C78" w:rsidRDefault="00913C78" w:rsidP="00CC545E">
            <w:pPr>
              <w:pStyle w:val="af7"/>
            </w:pPr>
            <w:r w:rsidRPr="00913C78">
              <w:rPr>
                <w:rFonts w:hint="eastAsia"/>
              </w:rPr>
              <w:t>项目全年用热水量为</w:t>
            </w:r>
          </w:p>
          <w:p w14:paraId="365127C5" w14:textId="1FFDE93A" w:rsidR="00913C78" w:rsidRPr="00913C78" w:rsidRDefault="00913C78" w:rsidP="00A624AE">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q</m:t>
                      </m:r>
                    </m:e>
                    <m:sub>
                      <m:r>
                        <m:rPr>
                          <m:sty m:val="p"/>
                        </m:rPr>
                        <w:rPr>
                          <w:rFonts w:ascii="Cambria Math" w:hAnsi="Cambria Math"/>
                        </w:rPr>
                        <m:t>r</m:t>
                      </m:r>
                    </m:sub>
                  </m:sSub>
                  <m:sSub>
                    <m:sSubPr>
                      <m:ctrlPr>
                        <w:rPr>
                          <w:rFonts w:ascii="Cambria Math" w:hAnsi="Cambria Math"/>
                        </w:rPr>
                      </m:ctrlPr>
                    </m:sSubPr>
                    <m:e>
                      <m:r>
                        <m:rPr>
                          <m:sty m:val="p"/>
                        </m:rPr>
                        <w:rPr>
                          <w:rFonts w:ascii="Cambria Math" w:hAnsi="Cambria Math"/>
                        </w:rPr>
                        <m:t>n</m:t>
                      </m:r>
                    </m:e>
                    <m:sub>
                      <m:r>
                        <m:rPr>
                          <m:sty m:val="p"/>
                        </m:rPr>
                        <w:rPr>
                          <w:rFonts w:ascii="Cambria Math" w:hAnsi="Cambria Math"/>
                        </w:rPr>
                        <m:t>r</m:t>
                      </m:r>
                    </m:sub>
                  </m:sSub>
                  <m:sSub>
                    <m:sSubPr>
                      <m:ctrlPr>
                        <w:rPr>
                          <w:rFonts w:ascii="Cambria Math" w:hAnsi="Cambria Math"/>
                        </w:rPr>
                      </m:ctrlPr>
                    </m:sSubPr>
                    <m:e>
                      <m:r>
                        <m:rPr>
                          <m:sty m:val="p"/>
                        </m:rPr>
                        <w:rPr>
                          <w:rFonts w:ascii="Cambria Math" w:hAnsi="Cambria Math"/>
                        </w:rPr>
                        <m:t>D</m:t>
                      </m:r>
                    </m:e>
                    <m:sub>
                      <m:r>
                        <m:rPr>
                          <m:sty m:val="p"/>
                        </m:rPr>
                        <w:rPr>
                          <w:rFonts w:ascii="Cambria Math" w:hAnsi="Cambria Math"/>
                        </w:rPr>
                        <m:t>r</m:t>
                      </m:r>
                    </m:sub>
                  </m:sSub>
                </m:num>
                <m:den>
                  <m:r>
                    <m:rPr>
                      <m:sty m:val="p"/>
                    </m:rPr>
                    <w:rPr>
                      <w:rFonts w:ascii="Cambria Math" w:hAnsi="Cambria Math"/>
                    </w:rPr>
                    <m:t>1000</m:t>
                  </m:r>
                </m:den>
              </m:f>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ra</m:t>
                  </m:r>
                  <m:ctrlPr>
                    <w:rPr>
                      <w:rFonts w:ascii="Cambria Math" w:hAnsi="Cambria Math"/>
                      <w:noProof/>
                    </w:rPr>
                  </m:ctrlPr>
                </m:sub>
              </m:sSub>
              <m:r>
                <m:rPr>
                  <m:sty m:val="p"/>
                </m:rPr>
                <w:rPr>
                  <w:rFonts w:ascii="Cambria Math"/>
                  <w:noProof/>
                </w:rPr>
                <m:t>=</m:t>
              </m:r>
              <m:nary>
                <m:naryPr>
                  <m:chr m:val="∑"/>
                  <m:subHide m:val="1"/>
                  <m:supHide m:val="1"/>
                  <m:ctrlPr>
                    <w:rPr>
                      <w:rFonts w:ascii="Cambria Math" w:hAnsi="Cambria Math"/>
                      <w:i/>
                      <w:noProof/>
                    </w:rPr>
                  </m:ctrlPr>
                </m:naryPr>
                <m:sub/>
                <m:sup/>
                <m:e>
                  <m:f>
                    <m:fPr>
                      <m:ctrlPr>
                        <w:rPr>
                          <w:rFonts w:ascii="Cambria Math" w:hAnsi="Cambria Math"/>
                          <w:i/>
                          <w:noProof/>
                        </w:rPr>
                      </m:ctrlPr>
                    </m:fPr>
                    <m:num>
                      <m:sSub>
                        <m:sSubPr>
                          <m:ctrlPr>
                            <w:rPr>
                              <w:rFonts w:ascii="Cambria Math" w:hAnsi="Cambria Math"/>
                              <w:i/>
                              <w:noProof/>
                            </w:rPr>
                          </m:ctrlPr>
                        </m:sSubPr>
                        <m:e>
                          <m:r>
                            <m:rPr>
                              <m:sty m:val="p"/>
                            </m:rPr>
                            <w:rPr>
                              <w:rFonts w:ascii="Cambria Math"/>
                              <w:noProof/>
                            </w:rPr>
                            <m:t>q</m:t>
                          </m:r>
                        </m:e>
                        <m:sub>
                          <m:r>
                            <m:rPr>
                              <m:sty m:val="p"/>
                            </m:rPr>
                            <w:rPr>
                              <w:rFonts w:ascii="Cambria Math"/>
                              <w:noProof/>
                            </w:rPr>
                            <m:t>r</m:t>
                          </m:r>
                        </m:sub>
                      </m:sSub>
                      <m:sSub>
                        <m:sSubPr>
                          <m:ctrlPr>
                            <w:rPr>
                              <w:rFonts w:ascii="Cambria Math" w:hAnsi="Cambria Math"/>
                              <w:i/>
                              <w:noProof/>
                            </w:rPr>
                          </m:ctrlPr>
                        </m:sSubPr>
                        <m:e>
                          <m:r>
                            <m:rPr>
                              <m:sty m:val="p"/>
                            </m:rPr>
                            <w:rPr>
                              <w:rFonts w:ascii="Cambria Math"/>
                              <w:noProof/>
                            </w:rPr>
                            <m:t>n</m:t>
                          </m:r>
                        </m:e>
                        <m:sub>
                          <m:r>
                            <m:rPr>
                              <m:sty m:val="p"/>
                            </m:rPr>
                            <w:rPr>
                              <w:rFonts w:ascii="Cambria Math"/>
                              <w:noProof/>
                            </w:rPr>
                            <m:t>r</m:t>
                          </m:r>
                        </m:sub>
                      </m:sSub>
                      <m:sSub>
                        <m:sSubPr>
                          <m:ctrlPr>
                            <w:rPr>
                              <w:rFonts w:ascii="Cambria Math" w:hAnsi="Cambria Math"/>
                              <w:i/>
                              <w:noProof/>
                            </w:rPr>
                          </m:ctrlPr>
                        </m:sSubPr>
                        <m:e>
                          <m:r>
                            <m:rPr>
                              <m:sty m:val="p"/>
                            </m:rPr>
                            <w:rPr>
                              <w:rFonts w:ascii="Cambria Math"/>
                              <w:noProof/>
                            </w:rPr>
                            <m:t>D</m:t>
                          </m:r>
                        </m:e>
                        <m:sub>
                          <m:r>
                            <m:rPr>
                              <m:sty m:val="p"/>
                            </m:rPr>
                            <w:rPr>
                              <w:rFonts w:ascii="Cambria Math"/>
                              <w:noProof/>
                            </w:rPr>
                            <m:t>r</m:t>
                          </m:r>
                        </m:sub>
                      </m:sSub>
                    </m:num>
                    <m:den>
                      <m:r>
                        <m:rPr>
                          <m:sty m:val="p"/>
                        </m:rPr>
                        <w:rPr>
                          <w:rFonts w:ascii="Cambria Math"/>
                          <w:noProof/>
                        </w:rPr>
                        <m:t>1000</m:t>
                      </m:r>
                    </m:den>
                  </m:f>
                </m:e>
              </m:nary>
            </m:oMath>
            <w:r w:rsidRPr="00913C78">
              <w:fldChar w:fldCharType="end"/>
            </w:r>
            <w:r w:rsidRPr="00913C78">
              <w:rPr>
                <w:rFonts w:hint="eastAsia"/>
              </w:rPr>
              <w:t xml:space="preserve"> </w:t>
            </w:r>
            <w:r w:rsidRPr="00913C78">
              <w:t xml:space="preserve"> </w:t>
            </w:r>
            <w:r w:rsidRPr="00913C78">
              <w:rPr>
                <w:rFonts w:hint="eastAsia"/>
              </w:rPr>
              <w:t xml:space="preserve">         </w:t>
            </w:r>
            <w:r w:rsidRPr="00913C78">
              <w:t xml:space="preserve">      </w:t>
            </w:r>
            <w:r w:rsidRPr="00913C78">
              <w:rPr>
                <w:rFonts w:hint="eastAsia"/>
              </w:rPr>
              <w:t>（</w:t>
            </w:r>
            <w:r w:rsidRPr="00913C78">
              <w:rPr>
                <w:rFonts w:hint="eastAsia"/>
              </w:rPr>
              <w:t>1</w:t>
            </w:r>
            <w:r w:rsidRPr="00913C78">
              <w:rPr>
                <w:rFonts w:hint="eastAsia"/>
              </w:rPr>
              <w:t>）</w:t>
            </w:r>
          </w:p>
        </w:tc>
        <w:tc>
          <w:tcPr>
            <w:tcW w:w="1118" w:type="dxa"/>
            <w:shd w:val="clear" w:color="auto" w:fill="auto"/>
            <w:vAlign w:val="center"/>
          </w:tcPr>
          <w:p w14:paraId="626F8C0D" w14:textId="77777777" w:rsidR="00913C78" w:rsidRPr="00913C78" w:rsidRDefault="00913C78" w:rsidP="00CC545E">
            <w:pPr>
              <w:pStyle w:val="af7"/>
              <w:jc w:val="center"/>
            </w:pPr>
          </w:p>
        </w:tc>
      </w:tr>
      <w:tr w:rsidR="00913C78" w:rsidRPr="00913C78" w14:paraId="2EC6539E" w14:textId="77777777" w:rsidTr="008F38C5">
        <w:trPr>
          <w:jc w:val="center"/>
        </w:trPr>
        <w:tc>
          <w:tcPr>
            <w:tcW w:w="598" w:type="dxa"/>
            <w:vMerge/>
            <w:shd w:val="clear" w:color="auto" w:fill="auto"/>
            <w:vAlign w:val="center"/>
          </w:tcPr>
          <w:p w14:paraId="3E3C1A20" w14:textId="77777777" w:rsidR="00913C78" w:rsidRPr="00913C78" w:rsidRDefault="00913C78" w:rsidP="00CC545E">
            <w:pPr>
              <w:pStyle w:val="af7"/>
              <w:jc w:val="center"/>
            </w:pPr>
          </w:p>
        </w:tc>
        <w:tc>
          <w:tcPr>
            <w:tcW w:w="1316" w:type="dxa"/>
            <w:vMerge/>
            <w:shd w:val="clear" w:color="auto" w:fill="auto"/>
            <w:vAlign w:val="center"/>
          </w:tcPr>
          <w:p w14:paraId="22C3142B" w14:textId="77777777" w:rsidR="00913C78" w:rsidRPr="00913C78" w:rsidRDefault="00913C78" w:rsidP="00CC545E">
            <w:pPr>
              <w:pStyle w:val="af7"/>
              <w:jc w:val="center"/>
            </w:pPr>
          </w:p>
        </w:tc>
        <w:tc>
          <w:tcPr>
            <w:tcW w:w="4623" w:type="dxa"/>
            <w:shd w:val="clear" w:color="auto" w:fill="auto"/>
            <w:vAlign w:val="center"/>
          </w:tcPr>
          <w:p w14:paraId="30E98798" w14:textId="77777777" w:rsidR="00913C78" w:rsidRPr="00913C78" w:rsidRDefault="00913C78" w:rsidP="00CC545E">
            <w:pPr>
              <w:pStyle w:val="af7"/>
            </w:pPr>
            <w:r w:rsidRPr="00913C78">
              <w:rPr>
                <w:rFonts w:hint="eastAsia"/>
              </w:rPr>
              <w:t>太阳能光热系统年产热能力为</w:t>
            </w:r>
          </w:p>
          <w:p w14:paraId="0A03A11F" w14:textId="6AE9256B" w:rsidR="00913C78" w:rsidRPr="00913C78" w:rsidRDefault="00913C78" w:rsidP="00A624AE">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a</m:t>
                  </m:r>
                </m:sub>
              </m:sSub>
              <m:r>
                <m:rPr>
                  <m:sty m:val="p"/>
                </m:rPr>
                <w:rPr>
                  <w:rFonts w:ascii="Cambria Math" w:hAnsi="Cambria Math"/>
                </w:rPr>
                <m:t>=A⋅</m:t>
              </m:r>
              <m:sSub>
                <m:sSubPr>
                  <m:ctrlPr>
                    <w:rPr>
                      <w:rFonts w:ascii="Cambria Math" w:hAnsi="Cambria Math"/>
                    </w:rPr>
                  </m:ctrlPr>
                </m:sSubPr>
                <m:e>
                  <m:r>
                    <m:rPr>
                      <m:sty m:val="p"/>
                    </m:rPr>
                    <w:rPr>
                      <w:rFonts w:ascii="Cambria Math" w:hAnsi="Cambria Math"/>
                    </w:rPr>
                    <m:t>F</m:t>
                  </m:r>
                </m:e>
                <m:sub>
                  <m:r>
                    <m:rPr>
                      <m:sty m:val="p"/>
                    </m:rPr>
                    <w:rPr>
                      <w:rFonts w:ascii="Cambria Math" w:hAnsi="Cambria Math"/>
                    </w:rPr>
                    <m:t>hx</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J</m:t>
                  </m:r>
                </m:e>
                <m:sub>
                  <m:r>
                    <m:rPr>
                      <m:sty m:val="p"/>
                    </m:rPr>
                    <w:rPr>
                      <w:rFonts w:ascii="Cambria Math" w:hAnsi="Cambria Math"/>
                    </w:rPr>
                    <m:t>d</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η</m:t>
                  </m:r>
                </m:e>
                <m:sub>
                  <m:r>
                    <m:rPr>
                      <m:sty m:val="p"/>
                    </m:rPr>
                    <w:rPr>
                      <w:rFonts w:ascii="Cambria Math" w:hAnsi="Cambria Math"/>
                    </w:rPr>
                    <m:t>cd</m:t>
                  </m:r>
                </m:sub>
              </m:sSub>
              <m:r>
                <m:rPr>
                  <m:sty m:val="p"/>
                </m:rPr>
                <w:rPr>
                  <w:rFonts w:ascii="Cambria Math" w:hAnsi="Cambria Math"/>
                </w:rPr>
                <m:t>⋅</m:t>
              </m:r>
              <m:d>
                <m:dPr>
                  <m:ctrlPr>
                    <w:rPr>
                      <w:rFonts w:ascii="Cambria Math" w:hAnsi="Cambria Math"/>
                    </w:rPr>
                  </m:ctrlPr>
                </m:dPr>
                <m:e>
                  <m:r>
                    <m:rPr>
                      <m:sty m:val="p"/>
                    </m:rPr>
                    <w:rPr>
                      <w:rFonts w:ascii="Cambria Math" w:hAnsi="Cambria Math"/>
                    </w:rPr>
                    <m:t>1-</m:t>
                  </m:r>
                  <m:sSub>
                    <m:sSubPr>
                      <m:ctrlPr>
                        <w:rPr>
                          <w:rFonts w:ascii="Cambria Math" w:hAnsi="Cambria Math"/>
                        </w:rPr>
                      </m:ctrlPr>
                    </m:sSubPr>
                    <m:e>
                      <m:r>
                        <m:rPr>
                          <m:sty m:val="p"/>
                        </m:rPr>
                        <w:rPr>
                          <w:rFonts w:ascii="Cambria Math" w:hAnsi="Cambria Math"/>
                        </w:rPr>
                        <m:t>η</m:t>
                      </m:r>
                    </m:e>
                    <m:sub>
                      <m:r>
                        <m:rPr>
                          <m:sty m:val="p"/>
                        </m:rPr>
                        <w:rPr>
                          <w:rFonts w:ascii="Cambria Math" w:hAnsi="Cambria Math"/>
                        </w:rPr>
                        <m:t>L</m:t>
                      </m:r>
                    </m:sub>
                  </m:sSub>
                </m:e>
              </m:d>
              <m:r>
                <m:rPr>
                  <m:sty m:val="p"/>
                </m:rPr>
                <w:rPr>
                  <w:rFonts w:ascii="Cambria Math" w:hAnsi="Cambria Math"/>
                </w:rPr>
                <m:t>⋅b</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a</m:t>
                  </m:r>
                </m:sub>
              </m:sSub>
              <m:r>
                <m:rPr>
                  <m:sty m:val="p"/>
                </m:rPr>
                <w:rPr>
                  <w:rFonts w:ascii="Cambria Math"/>
                  <w:noProof/>
                </w:rPr>
                <m:t>=A</m:t>
              </m:r>
              <m:r>
                <m:rPr>
                  <m:sty m:val="p"/>
                </m:rPr>
                <w:rPr>
                  <w:rFonts w:ascii="Cambria Math"/>
                  <w:noProof/>
                </w:rPr>
                <m:t> · </m:t>
              </m:r>
              <m:sSub>
                <m:sSubPr>
                  <m:ctrlPr>
                    <w:rPr>
                      <w:rFonts w:ascii="Cambria Math" w:hAnsi="Cambria Math"/>
                      <w:i/>
                      <w:noProof/>
                    </w:rPr>
                  </m:ctrlPr>
                </m:sSubPr>
                <m:e>
                  <m:r>
                    <m:rPr>
                      <m:sty m:val="p"/>
                    </m:rPr>
                    <w:rPr>
                      <w:rFonts w:ascii="Cambria Math"/>
                      <w:noProof/>
                    </w:rPr>
                    <m:t>F</m:t>
                  </m:r>
                </m:e>
                <m:sub>
                  <m:r>
                    <m:rPr>
                      <m:nor/>
                    </m:rPr>
                    <w:rPr>
                      <w:rFonts w:ascii="Cambria Math"/>
                      <w:noProof/>
                    </w:rPr>
                    <m:t>hx</m:t>
                  </m:r>
                  <m:ctrlPr>
                    <w:rPr>
                      <w:rFonts w:ascii="Cambria Math" w:hAnsi="Cambria Math"/>
                      <w:noProof/>
                    </w:rPr>
                  </m:ctrlPr>
                </m:sub>
              </m:sSub>
              <m:r>
                <m:rPr>
                  <m:sty m:val="p"/>
                </m:rPr>
                <w:rPr>
                  <w:rFonts w:ascii="Cambria Math"/>
                  <w:noProof/>
                </w:rPr>
                <m:t> · </m:t>
              </m:r>
              <m:sSub>
                <m:sSubPr>
                  <m:ctrlPr>
                    <w:rPr>
                      <w:rFonts w:ascii="Cambria Math" w:hAnsi="Cambria Math"/>
                      <w:i/>
                      <w:noProof/>
                    </w:rPr>
                  </m:ctrlPr>
                </m:sSubPr>
                <m:e>
                  <m:r>
                    <m:rPr>
                      <m:sty m:val="p"/>
                    </m:rPr>
                    <w:rPr>
                      <w:rFonts w:ascii="Cambria Math"/>
                      <w:noProof/>
                    </w:rPr>
                    <m:t>J</m:t>
                  </m:r>
                </m:e>
                <m:sub>
                  <m:r>
                    <m:rPr>
                      <m:sty m:val="p"/>
                    </m:rPr>
                    <w:rPr>
                      <w:rFonts w:ascii="Cambria Math"/>
                      <w:noProof/>
                    </w:rPr>
                    <m:t>d</m:t>
                  </m:r>
                </m:sub>
              </m:sSub>
              <m:r>
                <m:rPr>
                  <m:sty m:val="p"/>
                </m:rPr>
                <w:rPr>
                  <w:rFonts w:ascii="Cambria Math"/>
                  <w:noProof/>
                </w:rPr>
                <m:t> · </m:t>
              </m:r>
              <m:sSub>
                <m:sSubPr>
                  <m:ctrlPr>
                    <w:rPr>
                      <w:rFonts w:ascii="Cambria Math" w:hAnsi="Cambria Math"/>
                      <w:i/>
                      <w:noProof/>
                    </w:rPr>
                  </m:ctrlPr>
                </m:sSubPr>
                <m:e>
                  <m:r>
                    <m:rPr>
                      <m:sty m:val="p"/>
                    </m:rPr>
                    <w:rPr>
                      <w:rFonts w:ascii="Cambria Math"/>
                      <w:noProof/>
                    </w:rPr>
                    <m:t>η</m:t>
                  </m:r>
                </m:e>
                <m:sub>
                  <m:r>
                    <m:rPr>
                      <m:nor/>
                    </m:rPr>
                    <w:rPr>
                      <w:rFonts w:ascii="Cambria Math"/>
                      <w:noProof/>
                    </w:rPr>
                    <m:t>cd</m:t>
                  </m:r>
                  <m:ctrlPr>
                    <w:rPr>
                      <w:rFonts w:ascii="Cambria Math" w:hAnsi="Cambria Math"/>
                      <w:noProof/>
                    </w:rPr>
                  </m:ctrlPr>
                </m:sub>
              </m:sSub>
              <m:r>
                <m:rPr>
                  <m:sty m:val="p"/>
                </m:rPr>
                <w:rPr>
                  <w:rFonts w:ascii="Cambria Math"/>
                  <w:noProof/>
                </w:rPr>
                <m:t> · </m:t>
              </m:r>
              <m:r>
                <m:rPr>
                  <m:sty m:val="p"/>
                </m:rPr>
                <w:rPr>
                  <w:rFonts w:ascii="Cambria Math"/>
                  <w:noProof/>
                </w:rPr>
                <m:t>(1-</m:t>
              </m:r>
              <m:sSub>
                <m:sSubPr>
                  <m:ctrlPr>
                    <w:rPr>
                      <w:rFonts w:ascii="Cambria Math" w:hAnsi="Cambria Math"/>
                      <w:i/>
                      <w:noProof/>
                    </w:rPr>
                  </m:ctrlPr>
                </m:sSubPr>
                <m:e>
                  <m:r>
                    <m:rPr>
                      <m:sty m:val="p"/>
                    </m:rPr>
                    <w:rPr>
                      <w:rFonts w:ascii="Cambria Math"/>
                      <w:noProof/>
                    </w:rPr>
                    <m:t>η</m:t>
                  </m:r>
                </m:e>
                <m:sub>
                  <m:r>
                    <m:rPr>
                      <m:sty m:val="p"/>
                    </m:rPr>
                    <w:rPr>
                      <w:rFonts w:ascii="Cambria Math"/>
                      <w:noProof/>
                    </w:rPr>
                    <m:t>L</m:t>
                  </m:r>
                </m:sub>
              </m:sSub>
              <m:r>
                <m:rPr>
                  <m:sty m:val="p"/>
                </m:rPr>
                <w:rPr>
                  <w:rFonts w:ascii="Cambria Math"/>
                  <w:noProof/>
                </w:rPr>
                <m:t>)</m:t>
              </m:r>
              <m:r>
                <m:rPr>
                  <m:sty m:val="p"/>
                </m:rPr>
                <w:rPr>
                  <w:rFonts w:ascii="Cambria Math"/>
                  <w:noProof/>
                </w:rPr>
                <m:t> · </m:t>
              </m:r>
              <m:r>
                <m:rPr>
                  <m:sty m:val="p"/>
                </m:rPr>
                <w:rPr>
                  <w:rFonts w:ascii="Cambria Math"/>
                  <w:noProof/>
                </w:rPr>
                <m:t>b</m:t>
              </m:r>
            </m:oMath>
            <w:r w:rsidRPr="00913C78">
              <w:fldChar w:fldCharType="end"/>
            </w:r>
            <w:r w:rsidRPr="00913C78">
              <w:rPr>
                <w:rFonts w:hint="eastAsia"/>
              </w:rPr>
              <w:t xml:space="preserve">           </w:t>
            </w:r>
            <w:r w:rsidRPr="00913C78">
              <w:t xml:space="preserve"> </w:t>
            </w:r>
            <w:r w:rsidRPr="00913C78">
              <w:rPr>
                <w:rFonts w:hint="eastAsia"/>
              </w:rPr>
              <w:t>（</w:t>
            </w:r>
            <w:r w:rsidRPr="00913C78">
              <w:rPr>
                <w:rFonts w:hint="eastAsia"/>
              </w:rPr>
              <w:t>2</w:t>
            </w:r>
            <w:r w:rsidRPr="00913C78">
              <w:rPr>
                <w:rFonts w:hint="eastAsia"/>
              </w:rPr>
              <w:t>）</w:t>
            </w:r>
          </w:p>
        </w:tc>
        <w:tc>
          <w:tcPr>
            <w:tcW w:w="1118" w:type="dxa"/>
            <w:shd w:val="clear" w:color="auto" w:fill="auto"/>
            <w:vAlign w:val="center"/>
          </w:tcPr>
          <w:p w14:paraId="4848E001" w14:textId="77777777" w:rsidR="00913C78" w:rsidRPr="00913C78" w:rsidRDefault="00913C78" w:rsidP="00CC545E">
            <w:pPr>
              <w:pStyle w:val="af7"/>
              <w:jc w:val="center"/>
            </w:pPr>
          </w:p>
        </w:tc>
      </w:tr>
      <w:tr w:rsidR="00913C78" w:rsidRPr="00913C78" w14:paraId="6DE54CDC" w14:textId="77777777" w:rsidTr="008F38C5">
        <w:trPr>
          <w:jc w:val="center"/>
        </w:trPr>
        <w:tc>
          <w:tcPr>
            <w:tcW w:w="598" w:type="dxa"/>
            <w:vMerge w:val="restart"/>
            <w:shd w:val="clear" w:color="auto" w:fill="auto"/>
            <w:vAlign w:val="center"/>
          </w:tcPr>
          <w:p w14:paraId="0982924B" w14:textId="77777777" w:rsidR="00913C78" w:rsidRPr="00913C78" w:rsidRDefault="00913C78" w:rsidP="00CC545E">
            <w:pPr>
              <w:pStyle w:val="af7"/>
              <w:jc w:val="center"/>
            </w:pPr>
            <w:r w:rsidRPr="00913C78">
              <w:rPr>
                <w:rFonts w:hint="eastAsia"/>
              </w:rPr>
              <w:t>5</w:t>
            </w:r>
          </w:p>
        </w:tc>
        <w:tc>
          <w:tcPr>
            <w:tcW w:w="1316" w:type="dxa"/>
            <w:vMerge w:val="restart"/>
            <w:shd w:val="clear" w:color="auto" w:fill="auto"/>
            <w:vAlign w:val="center"/>
          </w:tcPr>
          <w:p w14:paraId="7132FC11" w14:textId="77777777" w:rsidR="00913C78" w:rsidRPr="00913C78" w:rsidRDefault="00913C78" w:rsidP="00CC545E">
            <w:pPr>
              <w:pStyle w:val="af7"/>
              <w:jc w:val="center"/>
            </w:pPr>
            <w:r w:rsidRPr="00913C78">
              <w:rPr>
                <w:rFonts w:hint="eastAsia"/>
              </w:rPr>
              <w:t>可再生能源提供空调冷热量比例</w:t>
            </w:r>
          </w:p>
        </w:tc>
        <w:tc>
          <w:tcPr>
            <w:tcW w:w="4623" w:type="dxa"/>
            <w:shd w:val="clear" w:color="auto" w:fill="auto"/>
            <w:vAlign w:val="center"/>
          </w:tcPr>
          <w:p w14:paraId="4BFD1A8D" w14:textId="77777777" w:rsidR="00913C78" w:rsidRPr="00913C78" w:rsidRDefault="00913C78" w:rsidP="00CC545E">
            <w:pPr>
              <w:pStyle w:val="af7"/>
            </w:pPr>
            <w:r w:rsidRPr="00913C78">
              <w:rPr>
                <w:rFonts w:hint="eastAsia"/>
              </w:rPr>
              <w:t>简介项目负荷计算使用软件，根据项目供暖空调系统能耗模拟分析得到项目空调总冷热量数据</w:t>
            </w:r>
          </w:p>
        </w:tc>
        <w:tc>
          <w:tcPr>
            <w:tcW w:w="1118" w:type="dxa"/>
            <w:shd w:val="clear" w:color="auto" w:fill="auto"/>
            <w:vAlign w:val="center"/>
          </w:tcPr>
          <w:p w14:paraId="47F06F29" w14:textId="77777777" w:rsidR="00913C78" w:rsidRPr="00913C78" w:rsidRDefault="00913C78" w:rsidP="00CC545E">
            <w:pPr>
              <w:pStyle w:val="af7"/>
              <w:jc w:val="center"/>
            </w:pPr>
          </w:p>
        </w:tc>
      </w:tr>
      <w:tr w:rsidR="00913C78" w:rsidRPr="00913C78" w14:paraId="6DCC0368" w14:textId="77777777" w:rsidTr="008F38C5">
        <w:trPr>
          <w:jc w:val="center"/>
        </w:trPr>
        <w:tc>
          <w:tcPr>
            <w:tcW w:w="598" w:type="dxa"/>
            <w:vMerge/>
            <w:shd w:val="clear" w:color="auto" w:fill="auto"/>
            <w:vAlign w:val="center"/>
          </w:tcPr>
          <w:p w14:paraId="10C29361" w14:textId="77777777" w:rsidR="00913C78" w:rsidRPr="00913C78" w:rsidRDefault="00913C78" w:rsidP="00CC545E">
            <w:pPr>
              <w:pStyle w:val="af7"/>
              <w:jc w:val="center"/>
            </w:pPr>
          </w:p>
        </w:tc>
        <w:tc>
          <w:tcPr>
            <w:tcW w:w="1316" w:type="dxa"/>
            <w:vMerge/>
            <w:shd w:val="clear" w:color="auto" w:fill="auto"/>
            <w:vAlign w:val="center"/>
          </w:tcPr>
          <w:p w14:paraId="139CA2AB" w14:textId="77777777" w:rsidR="00913C78" w:rsidRPr="00913C78" w:rsidRDefault="00913C78" w:rsidP="00CC545E">
            <w:pPr>
              <w:pStyle w:val="af7"/>
              <w:jc w:val="center"/>
            </w:pPr>
          </w:p>
        </w:tc>
        <w:tc>
          <w:tcPr>
            <w:tcW w:w="4623" w:type="dxa"/>
            <w:shd w:val="clear" w:color="auto" w:fill="auto"/>
            <w:vAlign w:val="center"/>
          </w:tcPr>
          <w:p w14:paraId="7B1936F6" w14:textId="77777777" w:rsidR="00913C78" w:rsidRPr="00913C78" w:rsidRDefault="00913C78" w:rsidP="00CC545E">
            <w:pPr>
              <w:pStyle w:val="af7"/>
            </w:pPr>
            <w:r w:rsidRPr="00913C78">
              <w:rPr>
                <w:rFonts w:hint="eastAsia"/>
              </w:rPr>
              <w:t>根据机组选择情况和运行时间确定地源热泵和常规系统的供冷供热量</w:t>
            </w:r>
          </w:p>
        </w:tc>
        <w:tc>
          <w:tcPr>
            <w:tcW w:w="1118" w:type="dxa"/>
            <w:shd w:val="clear" w:color="auto" w:fill="auto"/>
            <w:vAlign w:val="center"/>
          </w:tcPr>
          <w:p w14:paraId="115E6817" w14:textId="77777777" w:rsidR="00913C78" w:rsidRPr="00913C78" w:rsidRDefault="00913C78" w:rsidP="00CC545E">
            <w:pPr>
              <w:pStyle w:val="af7"/>
              <w:jc w:val="center"/>
            </w:pPr>
          </w:p>
        </w:tc>
      </w:tr>
      <w:tr w:rsidR="00913C78" w:rsidRPr="00913C78" w14:paraId="7B3974A7" w14:textId="77777777" w:rsidTr="008F38C5">
        <w:trPr>
          <w:jc w:val="center"/>
        </w:trPr>
        <w:tc>
          <w:tcPr>
            <w:tcW w:w="598" w:type="dxa"/>
            <w:vMerge w:val="restart"/>
            <w:shd w:val="clear" w:color="auto" w:fill="auto"/>
            <w:vAlign w:val="center"/>
          </w:tcPr>
          <w:p w14:paraId="46ABB0CE" w14:textId="77777777" w:rsidR="00913C78" w:rsidRPr="00913C78" w:rsidRDefault="00913C78" w:rsidP="00CC545E">
            <w:pPr>
              <w:pStyle w:val="af7"/>
              <w:jc w:val="center"/>
            </w:pPr>
            <w:r w:rsidRPr="00913C78">
              <w:rPr>
                <w:rFonts w:hint="eastAsia"/>
              </w:rPr>
              <w:t>6</w:t>
            </w:r>
          </w:p>
        </w:tc>
        <w:tc>
          <w:tcPr>
            <w:tcW w:w="1316" w:type="dxa"/>
            <w:vMerge w:val="restart"/>
            <w:shd w:val="clear" w:color="auto" w:fill="auto"/>
            <w:vAlign w:val="center"/>
          </w:tcPr>
          <w:p w14:paraId="43AAAAC6" w14:textId="77777777" w:rsidR="00913C78" w:rsidRPr="00913C78" w:rsidRDefault="00913C78" w:rsidP="00CC545E">
            <w:pPr>
              <w:pStyle w:val="af7"/>
              <w:jc w:val="center"/>
            </w:pPr>
            <w:r w:rsidRPr="00913C78">
              <w:rPr>
                <w:rFonts w:hint="eastAsia"/>
              </w:rPr>
              <w:t>可再生能源提供电量比例</w:t>
            </w:r>
          </w:p>
        </w:tc>
        <w:tc>
          <w:tcPr>
            <w:tcW w:w="4623" w:type="dxa"/>
            <w:shd w:val="clear" w:color="auto" w:fill="auto"/>
            <w:vAlign w:val="center"/>
          </w:tcPr>
          <w:p w14:paraId="056642E7" w14:textId="77777777" w:rsidR="00913C78" w:rsidRPr="00913C78" w:rsidRDefault="00913C78" w:rsidP="00CC545E">
            <w:pPr>
              <w:pStyle w:val="af7"/>
            </w:pPr>
            <w:r w:rsidRPr="00913C78">
              <w:rPr>
                <w:rFonts w:hint="eastAsia"/>
              </w:rPr>
              <w:t>根据设备</w:t>
            </w:r>
            <w:r w:rsidRPr="00913C78">
              <w:t>功率、能耗模拟等基础数据，</w:t>
            </w:r>
            <w:r w:rsidRPr="00913C78">
              <w:rPr>
                <w:rFonts w:hint="eastAsia"/>
              </w:rPr>
              <w:t>计算</w:t>
            </w:r>
            <w:r w:rsidRPr="00913C78">
              <w:t>建筑的</w:t>
            </w:r>
            <w:r w:rsidRPr="00913C78">
              <w:rPr>
                <w:rFonts w:hint="eastAsia"/>
              </w:rPr>
              <w:t>年</w:t>
            </w:r>
            <w:r w:rsidRPr="00913C78">
              <w:t>耗电量</w:t>
            </w:r>
          </w:p>
        </w:tc>
        <w:tc>
          <w:tcPr>
            <w:tcW w:w="1118" w:type="dxa"/>
            <w:shd w:val="clear" w:color="auto" w:fill="auto"/>
            <w:vAlign w:val="center"/>
          </w:tcPr>
          <w:p w14:paraId="3F214AA5" w14:textId="77777777" w:rsidR="00913C78" w:rsidRPr="00913C78" w:rsidRDefault="00913C78" w:rsidP="00CC545E">
            <w:pPr>
              <w:pStyle w:val="af7"/>
              <w:jc w:val="center"/>
            </w:pPr>
          </w:p>
        </w:tc>
      </w:tr>
      <w:tr w:rsidR="00913C78" w:rsidRPr="00913C78" w14:paraId="45739DD4" w14:textId="77777777" w:rsidTr="008F38C5">
        <w:trPr>
          <w:jc w:val="center"/>
        </w:trPr>
        <w:tc>
          <w:tcPr>
            <w:tcW w:w="598" w:type="dxa"/>
            <w:vMerge/>
            <w:shd w:val="clear" w:color="auto" w:fill="auto"/>
            <w:vAlign w:val="center"/>
          </w:tcPr>
          <w:p w14:paraId="663D2D44" w14:textId="77777777" w:rsidR="00913C78" w:rsidRPr="00913C78" w:rsidRDefault="00913C78" w:rsidP="00CC545E">
            <w:pPr>
              <w:pStyle w:val="af7"/>
              <w:jc w:val="center"/>
            </w:pPr>
          </w:p>
        </w:tc>
        <w:tc>
          <w:tcPr>
            <w:tcW w:w="1316" w:type="dxa"/>
            <w:vMerge/>
            <w:shd w:val="clear" w:color="auto" w:fill="auto"/>
            <w:vAlign w:val="center"/>
          </w:tcPr>
          <w:p w14:paraId="53FE7A9F" w14:textId="77777777" w:rsidR="00913C78" w:rsidRPr="00913C78" w:rsidRDefault="00913C78" w:rsidP="00CC545E">
            <w:pPr>
              <w:pStyle w:val="af7"/>
              <w:jc w:val="center"/>
            </w:pPr>
          </w:p>
        </w:tc>
        <w:tc>
          <w:tcPr>
            <w:tcW w:w="4623" w:type="dxa"/>
            <w:shd w:val="clear" w:color="auto" w:fill="auto"/>
            <w:vAlign w:val="center"/>
          </w:tcPr>
          <w:p w14:paraId="64B2F555" w14:textId="77777777" w:rsidR="00913C78" w:rsidRPr="00913C78" w:rsidRDefault="00913C78" w:rsidP="00CC545E">
            <w:pPr>
              <w:pStyle w:val="af7"/>
            </w:pPr>
            <w:r w:rsidRPr="00913C78">
              <w:rPr>
                <w:rFonts w:hint="eastAsia"/>
              </w:rPr>
              <w:t>太阳能</w:t>
            </w:r>
            <w:r w:rsidRPr="00913C78">
              <w:t>光伏</w:t>
            </w:r>
            <w:r w:rsidRPr="00913C78">
              <w:rPr>
                <w:rFonts w:hint="eastAsia"/>
              </w:rPr>
              <w:t>系统的年发电量为</w:t>
            </w:r>
          </w:p>
          <w:p w14:paraId="5CA23DDB" w14:textId="77777777" w:rsidR="00CC545E" w:rsidRDefault="00913C78" w:rsidP="00CC545E">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H</m:t>
                  </m:r>
                </m:e>
                <m:sub>
                  <m:r>
                    <m:rPr>
                      <m:sty m:val="p"/>
                    </m:rPr>
                    <w:rPr>
                      <w:rFonts w:ascii="Cambria Math" w:hAnsi="Cambria Math"/>
                    </w:rPr>
                    <m:t>y</m:t>
                  </m:r>
                </m:sub>
              </m:sSub>
              <m:r>
                <m:rPr>
                  <m:sty m:val="p"/>
                </m:rPr>
                <w:rPr>
                  <w:rFonts w:ascii="Cambria Math" w:hAnsi="Cambria Math"/>
                </w:rPr>
                <m:t>=W</m:t>
              </m:r>
              <m:sSub>
                <m:sSubPr>
                  <m:ctrlPr>
                    <w:rPr>
                      <w:rFonts w:ascii="Cambria Math" w:hAnsi="Cambria Math"/>
                    </w:rPr>
                  </m:ctrlPr>
                </m:sSubPr>
                <m:e>
                  <m:r>
                    <m:rPr>
                      <m:sty m:val="p"/>
                    </m:rPr>
                    <w:rPr>
                      <w:rFonts w:ascii="Cambria Math" w:hAnsi="Cambria Math"/>
                    </w:rPr>
                    <m:t>η</m:t>
                  </m:r>
                </m:e>
                <m:sub>
                  <m:r>
                    <m:rPr>
                      <m:sty m:val="p"/>
                    </m:rPr>
                    <w:rPr>
                      <w:rFonts w:ascii="Cambria Math" w:hAnsi="Cambria Math"/>
                    </w:rPr>
                    <m:t>b</m:t>
                  </m:r>
                </m:sub>
              </m:sSub>
              <m:sSub>
                <m:sSubPr>
                  <m:ctrlPr>
                    <w:rPr>
                      <w:rFonts w:ascii="Cambria Math" w:hAnsi="Cambria Math"/>
                    </w:rPr>
                  </m:ctrlPr>
                </m:sSubPr>
                <m:e>
                  <m:r>
                    <m:rPr>
                      <m:sty m:val="p"/>
                    </m:rPr>
                    <w:rPr>
                      <w:rFonts w:ascii="Cambria Math" w:hAnsi="Cambria Math"/>
                    </w:rPr>
                    <m:t>η</m:t>
                  </m:r>
                </m:e>
                <m:sub>
                  <m:r>
                    <m:rPr>
                      <m:sty m:val="p"/>
                    </m:rPr>
                    <w:rPr>
                      <w:rFonts w:ascii="Cambria Math" w:hAnsi="Cambria Math"/>
                    </w:rPr>
                    <m:t>i</m:t>
                  </m:r>
                </m:sub>
              </m:sSub>
              <m:r>
                <m:rPr>
                  <m:sty m:val="p"/>
                </m:rPr>
                <w:rPr>
                  <w:rFonts w:ascii="Cambria Math" w:hAnsi="Cambria Math"/>
                </w:rPr>
                <m:t>f</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T</m:t>
                  </m:r>
                </m:sub>
              </m:sSub>
            </m:oMath>
            <w:r w:rsidRPr="00913C78">
              <w:instrText xml:space="preserve"> </w:instrText>
            </w:r>
            <w:r w:rsidRPr="00913C78">
              <w:fldChar w:fldCharType="end"/>
            </w:r>
            <w:r w:rsidR="00CC545E">
              <w:rPr>
                <w:rFonts w:hint="eastAsia"/>
              </w:rPr>
              <w:t>长期测试：</w:t>
            </w:r>
            <m:oMath>
              <m:sSub>
                <m:sSubPr>
                  <m:ctrlPr>
                    <w:rPr>
                      <w:rFonts w:ascii="Cambria Math" w:hAnsi="Cambria Math"/>
                      <w:i/>
                    </w:rPr>
                  </m:ctrlPr>
                </m:sSubPr>
                <m:e>
                  <m:r>
                    <w:rPr>
                      <w:rFonts w:ascii="Cambria Math" w:hAnsi="Cambria Math"/>
                    </w:rPr>
                    <m:t>E</m:t>
                  </m:r>
                </m:e>
                <m:sub>
                  <m:r>
                    <w:rPr>
                      <w:rFonts w:ascii="Cambria Math" w:hAnsi="Cambria Math" w:hint="eastAsia"/>
                    </w:rPr>
                    <m:t>n</m:t>
                  </m:r>
                </m:sub>
              </m:sSub>
              <m:r>
                <w:rPr>
                  <w:rFonts w:ascii="Cambria Math" w:hAnsi="Cambria Math" w:hint="eastAsia"/>
                </w:rPr>
                <m:t>=</m:t>
              </m:r>
              <m:f>
                <m:fPr>
                  <m:ctrlPr>
                    <w:rPr>
                      <w:rFonts w:ascii="Cambria Math" w:hAnsi="Cambria Math"/>
                      <w:i/>
                    </w:rPr>
                  </m:ctrlPr>
                </m:fPr>
                <m:num>
                  <m:r>
                    <w:rPr>
                      <w:rFonts w:ascii="Cambria Math" w:hAnsi="Cambria Math"/>
                    </w:rPr>
                    <m:t>365∙</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E</m:t>
                          </m:r>
                        </m:e>
                        <m:sub>
                          <m:r>
                            <w:rPr>
                              <w:rFonts w:ascii="Cambria Math" w:hAnsi="Cambria Math" w:hint="eastAsia"/>
                            </w:rPr>
                            <m:t>di</m:t>
                          </m:r>
                        </m:sub>
                      </m:sSub>
                    </m:e>
                  </m:nary>
                </m:num>
                <m:den>
                  <m:r>
                    <w:rPr>
                      <w:rFonts w:ascii="Cambria Math" w:hAnsi="Cambria Math"/>
                    </w:rPr>
                    <m:t>N</m:t>
                  </m:r>
                </m:den>
              </m:f>
            </m:oMath>
            <w:r w:rsidRPr="00913C78">
              <w:t xml:space="preserve">   </w:t>
            </w:r>
          </w:p>
          <w:p w14:paraId="407ABA56" w14:textId="5F4C6E57" w:rsidR="00913C78" w:rsidRPr="00913C78" w:rsidRDefault="00CC545E" w:rsidP="00CC545E">
            <w:pPr>
              <w:pStyle w:val="af7"/>
            </w:pPr>
            <w:r>
              <w:rPr>
                <w:rFonts w:hint="eastAsia"/>
              </w:rPr>
              <w:t>短期测试：</w:t>
            </w:r>
            <m:oMath>
              <m:sSub>
                <m:sSubPr>
                  <m:ctrlPr>
                    <w:rPr>
                      <w:rFonts w:ascii="Cambria Math" w:hAnsi="Cambria Math"/>
                      <w:i/>
                    </w:rPr>
                  </m:ctrlPr>
                </m:sSubPr>
                <m:e>
                  <m:r>
                    <w:rPr>
                      <w:rFonts w:ascii="Cambria Math" w:hAnsi="Cambria Math"/>
                    </w:rPr>
                    <m:t>E</m:t>
                  </m:r>
                </m:e>
                <m:sub>
                  <m:r>
                    <w:rPr>
                      <w:rFonts w:ascii="Cambria Math" w:hAnsi="Cambria Math" w:hint="eastAsia"/>
                    </w:rPr>
                    <m:t>n</m:t>
                  </m:r>
                </m:sub>
              </m:sSub>
              <m:r>
                <w:rPr>
                  <w:rFonts w:ascii="Cambria Math" w:hAnsi="Cambria Math" w:hint="eastAsia"/>
                </w:rPr>
                <m:t>=</m:t>
              </m:r>
              <m:f>
                <m:fPr>
                  <m:ctrlPr>
                    <w:rPr>
                      <w:rFonts w:ascii="Cambria Math" w:hAnsi="Cambria Math"/>
                      <w:i/>
                    </w:rPr>
                  </m:ctrlPr>
                </m:fPr>
                <m:num>
                  <m:r>
                    <w:rPr>
                      <w:rFonts w:ascii="Cambria Math" w:hAnsi="Cambria Math"/>
                    </w:rPr>
                    <m:t>365∙</m:t>
                  </m:r>
                  <m:nary>
                    <m:naryPr>
                      <m:chr m:val="∑"/>
                      <m:limLoc m:val="undOvr"/>
                      <m:ctrlPr>
                        <w:rPr>
                          <w:rFonts w:ascii="Cambria Math" w:hAnsi="Cambria Math"/>
                          <w:i/>
                        </w:rPr>
                      </m:ctrlPr>
                    </m:naryPr>
                    <m:sub>
                      <m:r>
                        <w:rPr>
                          <w:rFonts w:ascii="Cambria Math" w:hAnsi="Cambria Math" w:hint="eastAsia"/>
                        </w:rPr>
                        <m:t>i=</m:t>
                      </m:r>
                      <m:r>
                        <w:rPr>
                          <w:rFonts w:ascii="Cambria Math" w:hAnsi="Cambria Math"/>
                        </w:rPr>
                        <m:t>1</m:t>
                      </m:r>
                    </m:sub>
                    <m:sup>
                      <m:r>
                        <w:rPr>
                          <w:rFonts w:ascii="Cambria Math" w:hAnsi="Cambria Math" w:hint="eastAsia"/>
                        </w:rPr>
                        <m:t>n</m:t>
                      </m:r>
                    </m:sup>
                    <m:e>
                      <m:sSub>
                        <m:sSubPr>
                          <m:ctrlPr>
                            <w:rPr>
                              <w:rFonts w:ascii="Cambria Math" w:hAnsi="Cambria Math"/>
                              <w:i/>
                            </w:rPr>
                          </m:ctrlPr>
                        </m:sSubPr>
                        <m:e>
                          <m:r>
                            <w:rPr>
                              <w:rFonts w:ascii="Cambria Math" w:hAnsi="Cambria Math"/>
                            </w:rPr>
                            <m:t>E</m:t>
                          </m:r>
                        </m:e>
                        <m:sub>
                          <m:r>
                            <w:rPr>
                              <w:rFonts w:ascii="Cambria Math" w:hAnsi="Cambria Math" w:hint="eastAsia"/>
                            </w:rPr>
                            <m:t>di</m:t>
                          </m:r>
                        </m:sub>
                      </m:sSub>
                    </m:e>
                  </m:nary>
                </m:num>
                <m:den>
                  <m:r>
                    <w:rPr>
                      <w:rFonts w:ascii="Cambria Math" w:hAnsi="Cambria Math"/>
                    </w:rPr>
                    <m:t>N</m:t>
                  </m:r>
                </m:den>
              </m:f>
            </m:oMath>
            <w:r>
              <w:rPr>
                <w:rFonts w:hint="eastAsia"/>
              </w:rPr>
              <w:t xml:space="preserve"> </w:t>
            </w:r>
            <w:r>
              <w:t xml:space="preserve">       </w:t>
            </w:r>
            <w:r w:rsidR="00913C78" w:rsidRPr="00913C78">
              <w:rPr>
                <w:rFonts w:hint="eastAsia"/>
              </w:rPr>
              <w:t>（</w:t>
            </w:r>
            <w:r w:rsidR="00913C78" w:rsidRPr="00913C78">
              <w:rPr>
                <w:rFonts w:hint="eastAsia"/>
              </w:rPr>
              <w:t>3</w:t>
            </w:r>
            <w:r w:rsidR="00913C78" w:rsidRPr="00913C78">
              <w:rPr>
                <w:rFonts w:hint="eastAsia"/>
              </w:rPr>
              <w:t>）</w:t>
            </w:r>
          </w:p>
        </w:tc>
        <w:tc>
          <w:tcPr>
            <w:tcW w:w="1118" w:type="dxa"/>
            <w:shd w:val="clear" w:color="auto" w:fill="auto"/>
            <w:vAlign w:val="center"/>
          </w:tcPr>
          <w:p w14:paraId="3F4B43C4" w14:textId="77777777" w:rsidR="00913C78" w:rsidRPr="00913C78" w:rsidRDefault="00913C78" w:rsidP="00CC545E">
            <w:pPr>
              <w:pStyle w:val="af7"/>
              <w:jc w:val="center"/>
            </w:pPr>
          </w:p>
        </w:tc>
      </w:tr>
    </w:tbl>
    <w:p w14:paraId="7F7AAFDE" w14:textId="77777777" w:rsidR="00913C78" w:rsidRPr="00913C78" w:rsidRDefault="00913C78" w:rsidP="00913C78">
      <w:pPr>
        <w:ind w:firstLine="420"/>
      </w:pPr>
    </w:p>
    <w:p w14:paraId="20B9E065" w14:textId="77777777" w:rsidR="00913C78" w:rsidRPr="00913C78" w:rsidRDefault="00913C78" w:rsidP="00CC545E">
      <w:pPr>
        <w:pStyle w:val="24"/>
      </w:pPr>
      <w:r w:rsidRPr="00913C78">
        <w:br w:type="page"/>
      </w:r>
      <w:bookmarkStart w:id="372" w:name="_Toc35364806"/>
      <w:r w:rsidRPr="00913C78">
        <w:rPr>
          <w:rFonts w:hint="eastAsia"/>
        </w:rPr>
        <w:lastRenderedPageBreak/>
        <w:t>附录</w:t>
      </w:r>
      <w:r w:rsidRPr="00913C78">
        <w:rPr>
          <w:rFonts w:hint="eastAsia"/>
        </w:rPr>
        <w:t xml:space="preserve">B.3  </w:t>
      </w:r>
      <w:r w:rsidRPr="00913C78">
        <w:rPr>
          <w:rFonts w:hint="eastAsia"/>
        </w:rPr>
        <w:t>重庆市</w:t>
      </w:r>
      <w:r w:rsidRPr="00913C78">
        <w:t>绿色建筑自评估报告性能分析要求</w:t>
      </w:r>
      <w:r w:rsidRPr="00913C78">
        <w:rPr>
          <w:rFonts w:hint="eastAsia"/>
        </w:rPr>
        <w:t>——非传统水源利用率计算报告提纲及要求</w:t>
      </w:r>
      <w:bookmarkEnd w:id="372"/>
    </w:p>
    <w:p w14:paraId="15E24934" w14:textId="77777777" w:rsidR="00913C78" w:rsidRPr="00913C78" w:rsidRDefault="00913C78" w:rsidP="00CC545E">
      <w:pPr>
        <w:pStyle w:val="32"/>
      </w:pPr>
      <w:bookmarkStart w:id="373" w:name="_Toc476142915"/>
      <w:bookmarkStart w:id="374" w:name="_Toc35364807"/>
      <w:r w:rsidRPr="00913C78">
        <w:rPr>
          <w:rFonts w:hint="eastAsia"/>
        </w:rPr>
        <w:t xml:space="preserve">B.3.1  </w:t>
      </w:r>
      <w:r w:rsidRPr="00913C78">
        <w:t>综合概况</w:t>
      </w:r>
      <w:bookmarkEnd w:id="373"/>
      <w:bookmarkEnd w:id="374"/>
    </w:p>
    <w:p w14:paraId="251F0072" w14:textId="77777777" w:rsidR="00913C78" w:rsidRPr="00913C78" w:rsidRDefault="00913C78" w:rsidP="00913C78">
      <w:pPr>
        <w:ind w:firstLine="420"/>
      </w:pPr>
      <w:bookmarkStart w:id="375" w:name="_Toc476142916"/>
      <w:r w:rsidRPr="00913C78">
        <w:rPr>
          <w:rFonts w:hint="eastAsia"/>
        </w:rPr>
        <w:t>◎</w:t>
      </w:r>
      <w:r w:rsidRPr="00913C78">
        <w:t xml:space="preserve"> </w:t>
      </w:r>
      <w:r w:rsidRPr="00913C78">
        <w:rPr>
          <w:rFonts w:hint="eastAsia"/>
        </w:rPr>
        <w:t>项目基本信息</w:t>
      </w:r>
      <w:bookmarkEnd w:id="375"/>
    </w:p>
    <w:p w14:paraId="3160E3DD" w14:textId="77777777" w:rsidR="00913C78" w:rsidRPr="00913C78" w:rsidRDefault="00913C78" w:rsidP="00913C78">
      <w:pPr>
        <w:ind w:firstLine="420"/>
      </w:pPr>
      <w:r w:rsidRPr="00913C78">
        <w:rPr>
          <w:rFonts w:hint="eastAsia"/>
        </w:rPr>
        <w:t>项目基本信息项目应包括但不限于：建筑类型、建筑位置、占地面积、建筑面积等。</w:t>
      </w:r>
    </w:p>
    <w:p w14:paraId="6D1275F1" w14:textId="77777777" w:rsidR="00913C78" w:rsidRPr="00913C78" w:rsidRDefault="00913C78" w:rsidP="00913C78">
      <w:pPr>
        <w:ind w:firstLine="420"/>
      </w:pPr>
      <w:r w:rsidRPr="00913C78">
        <w:rPr>
          <w:rFonts w:hint="eastAsia"/>
        </w:rPr>
        <w:t>当项目包含多种建筑类型，如住宅、办公建筑、旅馆、商场、会展等时，可统筹考虑项目内水资源的各种情况，确定综合利用方案。</w:t>
      </w:r>
    </w:p>
    <w:p w14:paraId="78438486" w14:textId="77777777" w:rsidR="00913C78" w:rsidRPr="00913C78" w:rsidRDefault="00913C78" w:rsidP="00913C78">
      <w:pPr>
        <w:ind w:firstLine="420"/>
      </w:pPr>
      <w:bookmarkStart w:id="376" w:name="_Toc476142917"/>
      <w:r w:rsidRPr="00913C78">
        <w:rPr>
          <w:rFonts w:hint="eastAsia"/>
        </w:rPr>
        <w:t>◎</w:t>
      </w:r>
      <w:r w:rsidRPr="00913C78">
        <w:t xml:space="preserve"> </w:t>
      </w:r>
      <w:r w:rsidRPr="00913C78">
        <w:rPr>
          <w:rFonts w:hint="eastAsia"/>
        </w:rPr>
        <w:t>标准要求</w:t>
      </w:r>
      <w:bookmarkEnd w:id="376"/>
    </w:p>
    <w:p w14:paraId="51401120" w14:textId="77777777" w:rsidR="00913C78" w:rsidRPr="00913C78" w:rsidRDefault="00913C78" w:rsidP="00913C78">
      <w:pPr>
        <w:ind w:firstLine="420"/>
      </w:pPr>
      <w:r w:rsidRPr="00913C78">
        <w:rPr>
          <w:rFonts w:hint="eastAsia"/>
        </w:rPr>
        <w:t>标准要求应</w:t>
      </w:r>
      <w:r w:rsidRPr="00913C78">
        <w:t>包括：</w:t>
      </w:r>
      <w:r w:rsidRPr="00913C78">
        <w:rPr>
          <w:rFonts w:hint="eastAsia"/>
        </w:rPr>
        <w:t>对应的绿色建筑标准及条款、标准规定的计算要求、评分要求及达标要求。</w:t>
      </w:r>
    </w:p>
    <w:p w14:paraId="21DDC9A0" w14:textId="77777777" w:rsidR="00913C78" w:rsidRPr="00913C78" w:rsidRDefault="00913C78" w:rsidP="00CC545E">
      <w:pPr>
        <w:pStyle w:val="32"/>
      </w:pPr>
      <w:bookmarkStart w:id="377" w:name="_Toc476142918"/>
      <w:bookmarkStart w:id="378" w:name="_Toc35364808"/>
      <w:r w:rsidRPr="00913C78">
        <w:rPr>
          <w:rFonts w:hint="eastAsia"/>
        </w:rPr>
        <w:t xml:space="preserve">B.3.2  </w:t>
      </w:r>
      <w:r w:rsidRPr="00913C78">
        <w:rPr>
          <w:rFonts w:hint="eastAsia"/>
        </w:rPr>
        <w:t>计算</w:t>
      </w:r>
      <w:bookmarkEnd w:id="377"/>
      <w:r w:rsidRPr="00913C78">
        <w:rPr>
          <w:rFonts w:hint="eastAsia"/>
        </w:rPr>
        <w:t>过程</w:t>
      </w:r>
      <w:bookmarkEnd w:id="378"/>
    </w:p>
    <w:p w14:paraId="548CC029" w14:textId="77777777" w:rsidR="00913C78" w:rsidRPr="00913C78" w:rsidRDefault="00913C78" w:rsidP="00913C78">
      <w:pPr>
        <w:ind w:firstLine="420"/>
      </w:pPr>
      <w:bookmarkStart w:id="379" w:name="_Toc476142919"/>
      <w:r w:rsidRPr="00913C78">
        <w:rPr>
          <w:rFonts w:hint="eastAsia"/>
        </w:rPr>
        <w:t>◎</w:t>
      </w:r>
      <w:r w:rsidRPr="00913C78">
        <w:t xml:space="preserve"> </w:t>
      </w:r>
      <w:r w:rsidRPr="00913C78">
        <w:rPr>
          <w:rFonts w:hint="eastAsia"/>
        </w:rPr>
        <w:t>计算依据</w:t>
      </w:r>
      <w:bookmarkEnd w:id="379"/>
    </w:p>
    <w:p w14:paraId="36B4D836" w14:textId="77777777" w:rsidR="00913C78" w:rsidRPr="00913C78" w:rsidRDefault="00913C78" w:rsidP="00913C78">
      <w:pPr>
        <w:ind w:firstLine="420"/>
      </w:pPr>
      <w:r w:rsidRPr="00913C78">
        <w:rPr>
          <w:rFonts w:hint="eastAsia"/>
        </w:rPr>
        <w:t>计算依据应包括但不限于：应</w:t>
      </w:r>
      <w:r w:rsidRPr="00913C78">
        <w:t>写明</w:t>
      </w:r>
      <w:r w:rsidRPr="00913C78">
        <w:rPr>
          <w:rFonts w:hint="eastAsia"/>
        </w:rPr>
        <w:t>基础</w:t>
      </w:r>
      <w:r w:rsidRPr="00913C78">
        <w:t>数据</w:t>
      </w:r>
      <w:r w:rsidRPr="00913C78">
        <w:rPr>
          <w:rFonts w:hint="eastAsia"/>
        </w:rPr>
        <w:t>及</w:t>
      </w:r>
      <w:r w:rsidRPr="00913C78">
        <w:t>来源</w:t>
      </w:r>
      <w:r w:rsidRPr="00913C78">
        <w:rPr>
          <w:rFonts w:hint="eastAsia"/>
        </w:rPr>
        <w:t>、</w:t>
      </w:r>
      <w:r w:rsidRPr="00913C78">
        <w:t>参考标准</w:t>
      </w:r>
      <w:r w:rsidRPr="00913C78">
        <w:rPr>
          <w:rFonts w:hint="eastAsia"/>
        </w:rPr>
        <w:t>、</w:t>
      </w:r>
      <w:r w:rsidRPr="00913C78">
        <w:t>资料</w:t>
      </w:r>
      <w:r w:rsidRPr="00913C78">
        <w:rPr>
          <w:rFonts w:hint="eastAsia"/>
        </w:rPr>
        <w:t>、例如等。</w:t>
      </w:r>
    </w:p>
    <w:p w14:paraId="52D757FF"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《建筑给水排水设计规范》（</w:t>
      </w:r>
      <w:r w:rsidRPr="00913C78">
        <w:rPr>
          <w:rFonts w:hint="eastAsia"/>
        </w:rPr>
        <w:t>GB</w:t>
      </w:r>
      <w:r w:rsidRPr="00913C78">
        <w:t> </w:t>
      </w:r>
      <w:r w:rsidRPr="00913C78">
        <w:rPr>
          <w:rFonts w:hint="eastAsia"/>
        </w:rPr>
        <w:t>50015</w:t>
      </w:r>
      <w:r w:rsidRPr="00913C78">
        <w:rPr>
          <w:rFonts w:hint="eastAsia"/>
        </w:rPr>
        <w:t>—</w:t>
      </w:r>
      <w:r w:rsidRPr="00913C78">
        <w:rPr>
          <w:rFonts w:hint="eastAsia"/>
        </w:rPr>
        <w:t>20</w:t>
      </w:r>
      <w:r w:rsidRPr="00913C78">
        <w:t>19</w:t>
      </w:r>
      <w:r w:rsidRPr="00913C78">
        <w:rPr>
          <w:rFonts w:hint="eastAsia"/>
        </w:rPr>
        <w:t>）。</w:t>
      </w:r>
    </w:p>
    <w:p w14:paraId="2A57BD4F"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《民用建筑节水设计标准》（</w:t>
      </w:r>
      <w:r w:rsidRPr="00913C78">
        <w:rPr>
          <w:rFonts w:hint="eastAsia"/>
        </w:rPr>
        <w:t>GB</w:t>
      </w:r>
      <w:r w:rsidRPr="00913C78">
        <w:t> </w:t>
      </w:r>
      <w:r w:rsidRPr="00913C78">
        <w:rPr>
          <w:rFonts w:hint="eastAsia"/>
        </w:rPr>
        <w:t>50555</w:t>
      </w:r>
      <w:r w:rsidRPr="00913C78">
        <w:rPr>
          <w:rFonts w:hint="eastAsia"/>
        </w:rPr>
        <w:t>—</w:t>
      </w:r>
      <w:r w:rsidRPr="00913C78">
        <w:rPr>
          <w:rFonts w:hint="eastAsia"/>
        </w:rPr>
        <w:t>2010</w:t>
      </w:r>
      <w:r w:rsidRPr="00913C78">
        <w:rPr>
          <w:rFonts w:hint="eastAsia"/>
        </w:rPr>
        <w:t>）。</w:t>
      </w:r>
    </w:p>
    <w:p w14:paraId="03065A37"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《城镇污水再生利用工程设计规范》（</w:t>
      </w:r>
      <w:r w:rsidRPr="00913C78">
        <w:t>GB 50335</w:t>
      </w:r>
      <w:r w:rsidRPr="00913C78">
        <w:rPr>
          <w:rFonts w:hint="eastAsia"/>
        </w:rPr>
        <w:t>—</w:t>
      </w:r>
      <w:r w:rsidRPr="00913C78">
        <w:rPr>
          <w:rFonts w:hint="eastAsia"/>
        </w:rPr>
        <w:t>2016</w:t>
      </w:r>
      <w:r w:rsidRPr="00913C78">
        <w:rPr>
          <w:rFonts w:hint="eastAsia"/>
        </w:rPr>
        <w:t>）。</w:t>
      </w:r>
    </w:p>
    <w:p w14:paraId="25BFB3A5" w14:textId="77777777" w:rsidR="00913C78" w:rsidRPr="00913C78" w:rsidRDefault="00913C78" w:rsidP="00913C78">
      <w:pPr>
        <w:ind w:firstLine="420"/>
      </w:pPr>
      <w:bookmarkStart w:id="380" w:name="_Toc476142920"/>
      <w:r w:rsidRPr="00913C78">
        <w:rPr>
          <w:rFonts w:hint="eastAsia"/>
        </w:rPr>
        <w:t>◎</w:t>
      </w:r>
      <w:r w:rsidRPr="00913C78">
        <w:t xml:space="preserve"> </w:t>
      </w:r>
      <w:r w:rsidRPr="00913C78">
        <w:rPr>
          <w:rFonts w:hint="eastAsia"/>
        </w:rPr>
        <w:t>计算方法</w:t>
      </w:r>
      <w:bookmarkEnd w:id="380"/>
    </w:p>
    <w:p w14:paraId="465B753E" w14:textId="77777777" w:rsidR="00913C78" w:rsidRPr="00913C78" w:rsidRDefault="00913C78" w:rsidP="00913C78">
      <w:pPr>
        <w:ind w:firstLine="420"/>
      </w:pPr>
      <w:r w:rsidRPr="00913C78">
        <w:rPr>
          <w:rFonts w:hint="eastAsia"/>
        </w:rPr>
        <w:t>计算方法应包括但不限于：介绍计算基本方法</w:t>
      </w:r>
      <w:r w:rsidRPr="00913C78">
        <w:t>和</w:t>
      </w:r>
      <w:r w:rsidRPr="00913C78">
        <w:rPr>
          <w:rFonts w:hint="eastAsia"/>
        </w:rPr>
        <w:t>流程。</w:t>
      </w:r>
    </w:p>
    <w:p w14:paraId="3DADB420" w14:textId="77777777" w:rsidR="00913C78" w:rsidRPr="00913C78" w:rsidRDefault="00913C78" w:rsidP="00913C78">
      <w:pPr>
        <w:ind w:firstLine="420"/>
      </w:pPr>
      <w:r w:rsidRPr="00913C78">
        <w:t>非传统水源利用率通过下列公式计算：</w:t>
      </w:r>
    </w:p>
    <w:p w14:paraId="4BE3F8FB" w14:textId="0D4D616D" w:rsidR="00913C78" w:rsidRPr="00913C78" w:rsidRDefault="00913C78" w:rsidP="00A624AE">
      <w:pPr>
        <w:pStyle w:val="af8"/>
        <w:jc w:val="center"/>
      </w:pPr>
      <w:r w:rsidRPr="00913C78">
        <w:fldChar w:fldCharType="begin"/>
      </w:r>
      <w:r w:rsidRPr="00913C78">
        <w:instrText xml:space="preserve"> QUOTE </w:instrText>
      </w:r>
      <m:oMath>
        <m:sSub>
          <m:sSubPr>
            <m:ctrlPr>
              <w:rPr>
                <w:rFonts w:ascii="Cambria Math" w:hAnsi="Cambria Math"/>
                <w:bCs/>
              </w:rPr>
            </m:ctrlPr>
          </m:sSubPr>
          <m:e>
            <m:r>
              <m:rPr>
                <m:sty m:val="p"/>
              </m:rPr>
              <w:rPr>
                <w:rFonts w:ascii="Cambria Math" w:hAnsi="Cambria Math"/>
              </w:rPr>
              <m:t>R</m:t>
            </m:r>
          </m:e>
          <m:sub>
            <m:r>
              <m:rPr>
                <m:sty m:val="p"/>
              </m:rPr>
              <w:rPr>
                <w:rFonts w:ascii="Cambria Math" w:hAnsi="Cambria Math"/>
              </w:rPr>
              <m:t>u</m:t>
            </m:r>
          </m:sub>
        </m:sSub>
        <m:r>
          <m:rPr>
            <m:sty m:val="p"/>
          </m:rPr>
          <w:rPr>
            <w:rFonts w:ascii="Cambria Math" w:hAnsi="Cambria Math"/>
          </w:rPr>
          <m:t>=</m:t>
        </m:r>
        <m:f>
          <m:fPr>
            <m:ctrlPr>
              <w:rPr>
                <w:rFonts w:ascii="Cambria Math" w:hAnsi="Cambria Math"/>
                <w:bCs/>
                <w:i/>
              </w:rPr>
            </m:ctrlPr>
          </m:fPr>
          <m:num>
            <m:sSub>
              <m:sSubPr>
                <m:ctrlPr>
                  <w:rPr>
                    <w:rFonts w:ascii="Cambria Math" w:hAnsi="Cambria Math"/>
                    <w:bCs/>
                    <w:i/>
                  </w:rPr>
                </m:ctrlPr>
              </m:sSubPr>
              <m:e>
                <m:r>
                  <m:rPr>
                    <m:sty m:val="p"/>
                  </m:rPr>
                  <w:rPr>
                    <w:rFonts w:ascii="Cambria Math" w:hAnsi="Cambria Math"/>
                  </w:rPr>
                  <m:t>W</m:t>
                </m:r>
              </m:e>
              <m:sub>
                <m:r>
                  <m:rPr>
                    <m:sty m:val="p"/>
                  </m:rPr>
                  <w:rPr>
                    <w:rFonts w:ascii="Cambria Math" w:hAnsi="Cambria Math"/>
                  </w:rPr>
                  <m:t>u</m:t>
                </m:r>
              </m:sub>
            </m:sSub>
          </m:num>
          <m:den>
            <m:sSub>
              <m:sSubPr>
                <m:ctrlPr>
                  <w:rPr>
                    <w:rFonts w:ascii="Cambria Math" w:hAnsi="Cambria Math"/>
                    <w:bCs/>
                    <w:i/>
                  </w:rPr>
                </m:ctrlPr>
              </m:sSubPr>
              <m:e>
                <m:r>
                  <m:rPr>
                    <m:sty m:val="p"/>
                  </m:rPr>
                  <w:rPr>
                    <w:rFonts w:ascii="Cambria Math" w:hAnsi="Cambria Math"/>
                  </w:rPr>
                  <m:t>W</m:t>
                </m:r>
              </m:e>
              <m:sub>
                <m:r>
                  <m:rPr>
                    <m:sty m:val="p"/>
                  </m:rPr>
                  <w:rPr>
                    <w:rFonts w:ascii="Cambria Math" w:hAnsi="Cambria Math"/>
                  </w:rPr>
                  <m:t>t</m:t>
                </m:r>
              </m:sub>
            </m:sSub>
          </m:den>
        </m:f>
        <m:r>
          <m:rPr>
            <m:sty m:val="p"/>
          </m:rPr>
          <w:rPr>
            <w:rFonts w:ascii="Cambria Math" w:hAnsi="Cambria Math"/>
          </w:rPr>
          <m:t>×100%</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R</m:t>
            </m:r>
          </m:e>
          <m:sub>
            <m:r>
              <m:rPr>
                <m:sty m:val="p"/>
              </m:rPr>
              <w:rPr>
                <w:rFonts w:ascii="Cambria Math"/>
                <w:noProof/>
              </w:rPr>
              <m:t>u</m:t>
            </m:r>
          </m:sub>
        </m:sSub>
        <m:r>
          <m:rPr>
            <m:sty m:val="p"/>
          </m:rPr>
          <w:rPr>
            <w:rFonts w:ascii="Cambria Math"/>
            <w:noProof/>
          </w:rPr>
          <m:t>=</m:t>
        </m:r>
        <m:f>
          <m:fPr>
            <m:ctrlPr>
              <w:rPr>
                <w:rFonts w:ascii="Cambria Math" w:hAnsi="Cambria Math"/>
                <w:i/>
                <w:noProof/>
              </w:rPr>
            </m:ctrlPr>
          </m:fPr>
          <m:num>
            <m:sSub>
              <m:sSubPr>
                <m:ctrlPr>
                  <w:rPr>
                    <w:rFonts w:ascii="Cambria Math" w:hAnsi="Cambria Math"/>
                    <w:i/>
                    <w:noProof/>
                  </w:rPr>
                </m:ctrlPr>
              </m:sSubPr>
              <m:e>
                <m:r>
                  <m:rPr>
                    <m:sty m:val="p"/>
                  </m:rPr>
                  <w:rPr>
                    <w:rFonts w:ascii="Cambria Math"/>
                    <w:noProof/>
                  </w:rPr>
                  <m:t>W</m:t>
                </m:r>
              </m:e>
              <m:sub>
                <m:r>
                  <m:rPr>
                    <m:sty m:val="p"/>
                  </m:rPr>
                  <w:rPr>
                    <w:rFonts w:ascii="Cambria Math"/>
                    <w:noProof/>
                  </w:rPr>
                  <m:t>u</m:t>
                </m:r>
              </m:sub>
            </m:sSub>
          </m:num>
          <m:den>
            <m:sSub>
              <m:sSubPr>
                <m:ctrlPr>
                  <w:rPr>
                    <w:rFonts w:ascii="Cambria Math" w:hAnsi="Cambria Math"/>
                    <w:i/>
                    <w:noProof/>
                  </w:rPr>
                </m:ctrlPr>
              </m:sSubPr>
              <m:e>
                <m:r>
                  <m:rPr>
                    <m:sty m:val="p"/>
                  </m:rPr>
                  <w:rPr>
                    <w:rFonts w:ascii="Cambria Math"/>
                    <w:noProof/>
                  </w:rPr>
                  <m:t>W</m:t>
                </m:r>
              </m:e>
              <m:sub>
                <m:r>
                  <m:rPr>
                    <m:sty m:val="p"/>
                  </m:rPr>
                  <w:rPr>
                    <w:rFonts w:ascii="Cambria Math"/>
                    <w:noProof/>
                  </w:rPr>
                  <m:t>t</m:t>
                </m:r>
              </m:sub>
            </m:sSub>
          </m:den>
        </m:f>
        <m:r>
          <m:rPr>
            <m:sty m:val="p"/>
          </m:rPr>
          <w:rPr>
            <w:rFonts w:ascii="Cambria Math"/>
            <w:noProof/>
          </w:rPr>
          <m:t>×</m:t>
        </m:r>
        <m:r>
          <m:rPr>
            <m:sty m:val="p"/>
          </m:rPr>
          <w:rPr>
            <w:rFonts w:ascii="Cambria Math"/>
            <w:noProof/>
          </w:rPr>
          <m:t>100%</m:t>
        </m:r>
      </m:oMath>
      <w:r w:rsidRPr="00913C78">
        <w:fldChar w:fldCharType="end"/>
      </w:r>
    </w:p>
    <w:p w14:paraId="03D3885C" w14:textId="6C9F4745" w:rsidR="00913C78" w:rsidRPr="00913C78" w:rsidRDefault="00D20A1F" w:rsidP="00A624AE">
      <w:pPr>
        <w:ind w:firstLine="420"/>
        <w:jc w:val="center"/>
      </w:pPr>
      <m:oMathPara>
        <m:oMath>
          <m:sSub>
            <m:sSubPr>
              <m:ctrlPr>
                <w:rPr>
                  <w:rFonts w:ascii="Cambria Math" w:hAnsi="Cambria Math"/>
                  <w:i/>
                  <w:noProof/>
                </w:rPr>
              </m:ctrlPr>
            </m:sSubPr>
            <m:e>
              <m:r>
                <w:rPr>
                  <w:rFonts w:ascii="Cambria Math"/>
                  <w:noProof/>
                </w:rPr>
                <m:t>W</m:t>
              </m:r>
            </m:e>
            <m:sub>
              <m:r>
                <w:rPr>
                  <w:rFonts w:ascii="Cambria Math"/>
                  <w:noProof/>
                </w:rPr>
                <m:t>u</m:t>
              </m:r>
            </m:sub>
          </m:sSub>
          <m:r>
            <w:rPr>
              <w:rFonts w:ascii="Cambria Math"/>
              <w:noProof/>
            </w:rPr>
            <m:t>=</m:t>
          </m:r>
          <m:sSub>
            <m:sSubPr>
              <m:ctrlPr>
                <w:rPr>
                  <w:rFonts w:ascii="Cambria Math" w:hAnsi="Cambria Math"/>
                  <w:i/>
                  <w:noProof/>
                </w:rPr>
              </m:ctrlPr>
            </m:sSubPr>
            <m:e>
              <m:r>
                <w:rPr>
                  <w:rFonts w:ascii="Cambria Math"/>
                  <w:noProof/>
                </w:rPr>
                <m:t>W</m:t>
              </m:r>
            </m:e>
            <m:sub>
              <m:r>
                <w:rPr>
                  <w:rFonts w:ascii="Cambria Math"/>
                  <w:noProof/>
                </w:rPr>
                <m:t>R</m:t>
              </m:r>
            </m:sub>
          </m:sSub>
          <m:r>
            <w:rPr>
              <w:rFonts w:ascii="Cambria Math"/>
              <w:noProof/>
            </w:rPr>
            <m:t>+</m:t>
          </m:r>
          <m:sSub>
            <m:sSubPr>
              <m:ctrlPr>
                <w:rPr>
                  <w:rFonts w:ascii="Cambria Math" w:hAnsi="Cambria Math"/>
                  <w:i/>
                  <w:noProof/>
                </w:rPr>
              </m:ctrlPr>
            </m:sSubPr>
            <m:e>
              <m:r>
                <w:rPr>
                  <w:rFonts w:ascii="Cambria Math"/>
                  <w:noProof/>
                </w:rPr>
                <m:t>W</m:t>
              </m:r>
            </m:e>
            <m:sub>
              <m:r>
                <w:rPr>
                  <w:rFonts w:ascii="Cambria Math"/>
                  <w:noProof/>
                </w:rPr>
                <m:t>r</m:t>
              </m:r>
            </m:sub>
          </m:sSub>
          <m:r>
            <w:rPr>
              <w:rFonts w:ascii="Cambria Math"/>
              <w:noProof/>
            </w:rPr>
            <m:t>+</m:t>
          </m:r>
          <m:sSub>
            <m:sSubPr>
              <m:ctrlPr>
                <w:rPr>
                  <w:rFonts w:ascii="Cambria Math" w:hAnsi="Cambria Math"/>
                  <w:i/>
                  <w:noProof/>
                </w:rPr>
              </m:ctrlPr>
            </m:sSubPr>
            <m:e>
              <m:r>
                <w:rPr>
                  <w:rFonts w:ascii="Cambria Math"/>
                  <w:noProof/>
                </w:rPr>
                <m:t>W</m:t>
              </m:r>
            </m:e>
            <m:sub>
              <m:r>
                <w:rPr>
                  <w:rFonts w:ascii="Cambria Math"/>
                  <w:noProof/>
                </w:rPr>
                <m:t>o</m:t>
              </m:r>
            </m:sub>
          </m:sSub>
        </m:oMath>
      </m:oMathPara>
    </w:p>
    <w:p w14:paraId="6522D65C" w14:textId="357E1682" w:rsidR="00913C78" w:rsidRPr="00913C78" w:rsidRDefault="00913C78" w:rsidP="00A624AE">
      <w:pPr>
        <w:ind w:firstLine="420"/>
      </w:pPr>
      <w:r w:rsidRPr="00913C78">
        <w:rPr>
          <w:rFonts w:hint="eastAsia"/>
        </w:rPr>
        <w:t>式中，</w:t>
      </w:r>
      <m:oMath>
        <m:sSub>
          <m:sSubPr>
            <m:ctrlPr>
              <w:rPr>
                <w:rFonts w:ascii="Cambria Math" w:hAnsi="Cambria Math"/>
                <w:i/>
                <w:noProof/>
              </w:rPr>
            </m:ctrlPr>
          </m:sSubPr>
          <m:e>
            <m:r>
              <w:rPr>
                <w:rFonts w:ascii="Cambria Math"/>
                <w:noProof/>
              </w:rPr>
              <m:t>R</m:t>
            </m:r>
          </m:e>
          <m:sub>
            <m:r>
              <w:rPr>
                <w:rFonts w:ascii="Cambria Math"/>
                <w:noProof/>
              </w:rPr>
              <m:t>u</m:t>
            </m:r>
          </m:sub>
        </m:sSub>
      </m:oMath>
      <w:r w:rsidRPr="00913C78">
        <w:rPr>
          <w:rFonts w:hint="eastAsia"/>
        </w:rPr>
        <w:t>——非传统水源利用率，</w:t>
      </w:r>
      <w:r w:rsidRPr="00913C78">
        <w:rPr>
          <w:rFonts w:hint="eastAsia"/>
        </w:rPr>
        <w:t>%</w:t>
      </w:r>
      <w:r w:rsidRPr="00913C78">
        <w:rPr>
          <w:rFonts w:hint="eastAsia"/>
        </w:rPr>
        <w:t>；</w:t>
      </w:r>
    </w:p>
    <w:p w14:paraId="04867652" w14:textId="41323731" w:rsidR="00913C78" w:rsidRPr="00913C78" w:rsidRDefault="00D20A1F" w:rsidP="00A624AE">
      <w:pPr>
        <w:ind w:firstLineChars="500" w:firstLine="1050"/>
      </w:pPr>
      <m:oMath>
        <m:sSub>
          <m:sSubPr>
            <m:ctrlPr>
              <w:rPr>
                <w:rFonts w:ascii="Cambria Math" w:hAnsi="Cambria Math"/>
                <w:i/>
                <w:noProof/>
              </w:rPr>
            </m:ctrlPr>
          </m:sSubPr>
          <m:e>
            <m:r>
              <w:rPr>
                <w:rFonts w:ascii="Cambria Math"/>
                <w:noProof/>
              </w:rPr>
              <m:t>W</m:t>
            </m:r>
          </m:e>
          <m:sub>
            <m:r>
              <w:rPr>
                <w:rFonts w:ascii="Cambria Math"/>
                <w:noProof/>
              </w:rPr>
              <m:t>u</m:t>
            </m:r>
          </m:sub>
        </m:sSub>
      </m:oMath>
      <w:r w:rsidR="00913C78" w:rsidRPr="00913C78">
        <w:rPr>
          <w:rFonts w:hint="eastAsia"/>
        </w:rPr>
        <w:t>——非传统水源设计使用量（设计阶段）或实际使用量（运行阶段），</w:t>
      </w:r>
      <w:r w:rsidR="00913C78" w:rsidRPr="00913C78">
        <w:rPr>
          <w:rFonts w:hint="eastAsia"/>
        </w:rPr>
        <w:t>m</w:t>
      </w:r>
      <w:r w:rsidR="00913C78" w:rsidRPr="00F83296">
        <w:rPr>
          <w:vertAlign w:val="superscript"/>
        </w:rPr>
        <w:t>3</w:t>
      </w:r>
      <w:r w:rsidR="00913C78" w:rsidRPr="00913C78">
        <w:rPr>
          <w:rFonts w:hint="eastAsia"/>
        </w:rPr>
        <w:t>/a</w:t>
      </w:r>
      <w:r w:rsidR="00913C78" w:rsidRPr="00913C78">
        <w:rPr>
          <w:rFonts w:hint="eastAsia"/>
        </w:rPr>
        <w:t>；</w:t>
      </w:r>
    </w:p>
    <w:p w14:paraId="3575D4AC" w14:textId="3E7C34F5" w:rsidR="00913C78" w:rsidRPr="00913C78" w:rsidRDefault="00D20A1F" w:rsidP="00A624AE">
      <w:pPr>
        <w:ind w:firstLineChars="500" w:firstLine="1050"/>
      </w:pPr>
      <m:oMath>
        <m:sSub>
          <m:sSubPr>
            <m:ctrlPr>
              <w:rPr>
                <w:rFonts w:ascii="Cambria Math" w:hAnsi="Cambria Math"/>
                <w:i/>
                <w:noProof/>
              </w:rPr>
            </m:ctrlPr>
          </m:sSubPr>
          <m:e>
            <m:r>
              <w:rPr>
                <w:rFonts w:ascii="Cambria Math"/>
                <w:noProof/>
              </w:rPr>
              <m:t>W</m:t>
            </m:r>
          </m:e>
          <m:sub>
            <m:r>
              <w:rPr>
                <w:rFonts w:ascii="Cambria Math"/>
                <w:noProof/>
              </w:rPr>
              <m:t>R</m:t>
            </m:r>
          </m:sub>
        </m:sSub>
      </m:oMath>
      <w:r w:rsidR="00913C78" w:rsidRPr="00913C78">
        <w:rPr>
          <w:rFonts w:hint="eastAsia"/>
        </w:rPr>
        <w:t>——再生水设计利用量（设计阶段）或实际利用量（运行阶段），</w:t>
      </w:r>
      <w:r w:rsidR="00913C78" w:rsidRPr="00913C78">
        <w:rPr>
          <w:rFonts w:hint="eastAsia"/>
        </w:rPr>
        <w:t>m</w:t>
      </w:r>
      <w:r w:rsidR="00913C78" w:rsidRPr="00F83296">
        <w:rPr>
          <w:vertAlign w:val="superscript"/>
        </w:rPr>
        <w:t>3</w:t>
      </w:r>
      <w:r w:rsidR="00913C78" w:rsidRPr="00913C78">
        <w:rPr>
          <w:rFonts w:hint="eastAsia"/>
        </w:rPr>
        <w:t>/a</w:t>
      </w:r>
      <w:r w:rsidR="00913C78" w:rsidRPr="00913C78">
        <w:rPr>
          <w:rFonts w:hint="eastAsia"/>
        </w:rPr>
        <w:t>；</w:t>
      </w:r>
    </w:p>
    <w:p w14:paraId="046C9CC2" w14:textId="3E0872E5" w:rsidR="00913C78" w:rsidRPr="00913C78" w:rsidRDefault="00D20A1F" w:rsidP="00A624AE">
      <w:pPr>
        <w:ind w:firstLineChars="500" w:firstLine="1050"/>
      </w:pPr>
      <m:oMath>
        <m:sSub>
          <m:sSubPr>
            <m:ctrlPr>
              <w:rPr>
                <w:rFonts w:ascii="Cambria Math" w:hAnsi="Cambria Math"/>
                <w:i/>
                <w:noProof/>
              </w:rPr>
            </m:ctrlPr>
          </m:sSubPr>
          <m:e>
            <m:r>
              <w:rPr>
                <w:rFonts w:ascii="Cambria Math"/>
                <w:noProof/>
              </w:rPr>
              <m:t>W</m:t>
            </m:r>
          </m:e>
          <m:sub>
            <m:r>
              <w:rPr>
                <w:rFonts w:ascii="Cambria Math"/>
                <w:noProof/>
              </w:rPr>
              <m:t>r</m:t>
            </m:r>
          </m:sub>
        </m:sSub>
      </m:oMath>
      <w:r w:rsidR="00913C78" w:rsidRPr="00913C78">
        <w:rPr>
          <w:rFonts w:hint="eastAsia"/>
        </w:rPr>
        <w:t>——雨水设计利用量（设计阶段）或实际利用量（运行阶段），</w:t>
      </w:r>
      <w:r w:rsidR="00913C78" w:rsidRPr="00913C78">
        <w:rPr>
          <w:rFonts w:hint="eastAsia"/>
        </w:rPr>
        <w:t>m</w:t>
      </w:r>
      <w:r w:rsidR="00913C78" w:rsidRPr="00F83296">
        <w:rPr>
          <w:vertAlign w:val="superscript"/>
        </w:rPr>
        <w:t>3</w:t>
      </w:r>
      <w:r w:rsidR="00913C78" w:rsidRPr="00913C78">
        <w:rPr>
          <w:rFonts w:hint="eastAsia"/>
        </w:rPr>
        <w:t>/a</w:t>
      </w:r>
      <w:r w:rsidR="00913C78" w:rsidRPr="00913C78">
        <w:rPr>
          <w:rFonts w:hint="eastAsia"/>
        </w:rPr>
        <w:t>；</w:t>
      </w:r>
    </w:p>
    <w:p w14:paraId="55C682E3" w14:textId="652C9780" w:rsidR="00913C78" w:rsidRPr="00913C78" w:rsidRDefault="00D20A1F" w:rsidP="00A624AE">
      <w:pPr>
        <w:ind w:firstLineChars="500" w:firstLine="1050"/>
      </w:pPr>
      <m:oMath>
        <m:sSub>
          <m:sSubPr>
            <m:ctrlPr>
              <w:rPr>
                <w:rFonts w:ascii="Cambria Math" w:hAnsi="Cambria Math"/>
                <w:i/>
                <w:noProof/>
              </w:rPr>
            </m:ctrlPr>
          </m:sSubPr>
          <m:e>
            <m:r>
              <w:rPr>
                <w:rFonts w:ascii="Cambria Math"/>
                <w:noProof/>
              </w:rPr>
              <m:t>W</m:t>
            </m:r>
          </m:e>
          <m:sub>
            <m:r>
              <w:rPr>
                <w:rFonts w:ascii="Cambria Math"/>
                <w:noProof/>
              </w:rPr>
              <m:t>o</m:t>
            </m:r>
          </m:sub>
        </m:sSub>
      </m:oMath>
      <w:r w:rsidR="00913C78" w:rsidRPr="00913C78">
        <w:rPr>
          <w:rFonts w:hint="eastAsia"/>
        </w:rPr>
        <w:t>——其他非传统水源利用量（设计阶段）或实际利用量（运行阶段），</w:t>
      </w:r>
      <w:r w:rsidR="00913C78" w:rsidRPr="00913C78">
        <w:rPr>
          <w:rFonts w:hint="eastAsia"/>
        </w:rPr>
        <w:t>m</w:t>
      </w:r>
      <w:r w:rsidR="00913C78" w:rsidRPr="00F83296">
        <w:rPr>
          <w:vertAlign w:val="superscript"/>
        </w:rPr>
        <w:t>3</w:t>
      </w:r>
      <w:r w:rsidR="00913C78" w:rsidRPr="00913C78">
        <w:rPr>
          <w:rFonts w:hint="eastAsia"/>
        </w:rPr>
        <w:t>/a</w:t>
      </w:r>
      <w:r w:rsidR="00913C78" w:rsidRPr="00913C78">
        <w:rPr>
          <w:rFonts w:hint="eastAsia"/>
        </w:rPr>
        <w:t>；</w:t>
      </w:r>
    </w:p>
    <w:p w14:paraId="3B981216" w14:textId="7ABD014F" w:rsidR="00913C78" w:rsidRPr="00913C78" w:rsidRDefault="00D20A1F" w:rsidP="00A624AE">
      <w:pPr>
        <w:ind w:firstLineChars="500" w:firstLine="1050"/>
      </w:pPr>
      <m:oMath>
        <m:sSub>
          <m:sSubPr>
            <m:ctrlPr>
              <w:rPr>
                <w:rFonts w:ascii="Cambria Math" w:hAnsi="Cambria Math"/>
                <w:i/>
                <w:noProof/>
              </w:rPr>
            </m:ctrlPr>
          </m:sSubPr>
          <m:e>
            <m:r>
              <w:rPr>
                <w:rFonts w:ascii="Cambria Math"/>
                <w:noProof/>
              </w:rPr>
              <m:t>W</m:t>
            </m:r>
          </m:e>
          <m:sub>
            <m:r>
              <w:rPr>
                <w:rFonts w:ascii="Cambria Math"/>
                <w:noProof/>
              </w:rPr>
              <m:t>t</m:t>
            </m:r>
          </m:sub>
        </m:sSub>
      </m:oMath>
      <w:r w:rsidR="00913C78" w:rsidRPr="00913C78">
        <w:rPr>
          <w:rFonts w:hint="eastAsia"/>
        </w:rPr>
        <w:t>——设计用水总量（设计阶段）或实际用水总量（运行阶段），</w:t>
      </w:r>
      <w:r w:rsidR="00913C78" w:rsidRPr="00913C78">
        <w:rPr>
          <w:rFonts w:hint="eastAsia"/>
        </w:rPr>
        <w:t>m</w:t>
      </w:r>
      <w:r w:rsidR="00913C78" w:rsidRPr="00F83296">
        <w:rPr>
          <w:vertAlign w:val="superscript"/>
        </w:rPr>
        <w:t>3</w:t>
      </w:r>
      <w:r w:rsidR="00913C78" w:rsidRPr="00913C78">
        <w:rPr>
          <w:rFonts w:hint="eastAsia"/>
        </w:rPr>
        <w:t>/a</w:t>
      </w:r>
      <w:r w:rsidR="00913C78" w:rsidRPr="00913C78">
        <w:rPr>
          <w:rFonts w:hint="eastAsia"/>
        </w:rPr>
        <w:t>。</w:t>
      </w:r>
    </w:p>
    <w:p w14:paraId="53FAA4BE" w14:textId="77777777" w:rsidR="00913C78" w:rsidRPr="00913C78" w:rsidRDefault="00913C78" w:rsidP="00913C78">
      <w:pPr>
        <w:ind w:firstLine="420"/>
      </w:pPr>
      <w:r w:rsidRPr="00913C78">
        <w:rPr>
          <w:rFonts w:hint="eastAsia"/>
        </w:rPr>
        <w:t>式中设计使用量为年用水量，由平均日用水量和用水时间计算得出。实际使用量应通过统计全年水表计量的情况计算得出。</w:t>
      </w:r>
      <w:r w:rsidRPr="00CC545E">
        <w:rPr>
          <w:rFonts w:hint="eastAsia"/>
        </w:rPr>
        <w:t>式中用水量计算不包含冷却用水量和室外景观水体补水量。</w:t>
      </w:r>
    </w:p>
    <w:p w14:paraId="518EE331" w14:textId="77777777" w:rsidR="00913C78" w:rsidRPr="00913C78" w:rsidRDefault="00913C78" w:rsidP="00913C78">
      <w:pPr>
        <w:ind w:firstLine="420"/>
      </w:pPr>
      <w:bookmarkStart w:id="381" w:name="_Toc476142921"/>
      <w:r w:rsidRPr="00913C78">
        <w:rPr>
          <w:rFonts w:hint="eastAsia"/>
        </w:rPr>
        <w:t>◎</w:t>
      </w:r>
      <w:r w:rsidRPr="00913C78">
        <w:t xml:space="preserve"> </w:t>
      </w:r>
      <w:r w:rsidRPr="00913C78">
        <w:rPr>
          <w:rFonts w:hint="eastAsia"/>
        </w:rPr>
        <w:t>计算内</w:t>
      </w:r>
      <w:r w:rsidRPr="00913C78">
        <w:t>容</w:t>
      </w:r>
      <w:bookmarkEnd w:id="381"/>
    </w:p>
    <w:p w14:paraId="71AEA44B" w14:textId="77777777" w:rsidR="00913C78" w:rsidRPr="00913C78" w:rsidRDefault="00913C78" w:rsidP="00913C78">
      <w:pPr>
        <w:ind w:firstLine="420"/>
      </w:pPr>
      <w:r w:rsidRPr="00913C78">
        <w:rPr>
          <w:rFonts w:hint="eastAsia"/>
        </w:rPr>
        <w:t>计算内容包括但不限于：设计用水总量、再生水设计利用量、雨水设计利用量、其他非传统水源利用量（如</w:t>
      </w:r>
      <w:r w:rsidRPr="00913C78">
        <w:t>无其他</w:t>
      </w:r>
      <w:r w:rsidRPr="00913C78">
        <w:rPr>
          <w:rFonts w:hint="eastAsia"/>
        </w:rPr>
        <w:t>非传统水源</w:t>
      </w:r>
      <w:r w:rsidRPr="00913C78">
        <w:t>利用可</w:t>
      </w:r>
      <w:r w:rsidRPr="00913C78">
        <w:rPr>
          <w:rFonts w:hint="eastAsia"/>
        </w:rPr>
        <w:t>不</w:t>
      </w:r>
      <w:r w:rsidRPr="00913C78">
        <w:t>计算</w:t>
      </w:r>
      <w:r w:rsidRPr="00913C78">
        <w:rPr>
          <w:rFonts w:hint="eastAsia"/>
        </w:rPr>
        <w:t>）。</w:t>
      </w:r>
    </w:p>
    <w:p w14:paraId="53E1B4C0" w14:textId="77777777" w:rsidR="00913C78" w:rsidRPr="00913C78" w:rsidRDefault="00913C78" w:rsidP="00913C78">
      <w:pPr>
        <w:ind w:firstLine="420"/>
      </w:pPr>
      <w:bookmarkStart w:id="382" w:name="_Toc476142922"/>
      <w:r w:rsidRPr="00913C78">
        <w:rPr>
          <w:rFonts w:hint="eastAsia"/>
        </w:rPr>
        <w:t>（</w:t>
      </w:r>
      <w:r w:rsidRPr="00913C78">
        <w:rPr>
          <w:rFonts w:hint="eastAsia"/>
        </w:rPr>
        <w:t>1</w:t>
      </w:r>
      <w:r w:rsidRPr="00913C78">
        <w:rPr>
          <w:rFonts w:hint="eastAsia"/>
        </w:rPr>
        <w:t>）设计用水总量</w:t>
      </w:r>
      <w:bookmarkEnd w:id="382"/>
    </w:p>
    <w:p w14:paraId="14E00BFC" w14:textId="77777777" w:rsidR="00913C78" w:rsidRPr="00913C78" w:rsidRDefault="00913C78" w:rsidP="00913C78">
      <w:pPr>
        <w:ind w:firstLine="420"/>
      </w:pPr>
      <w:r w:rsidRPr="00913C78">
        <w:rPr>
          <w:rFonts w:hint="eastAsia"/>
        </w:rPr>
        <w:t>生活用水年节水用水量</w:t>
      </w:r>
      <w:r w:rsidRPr="00913C78">
        <w:rPr>
          <w:rFonts w:hint="eastAsia"/>
        </w:rPr>
        <w:t>W</w:t>
      </w:r>
      <w:r w:rsidRPr="00913C78">
        <w:t>t</w:t>
      </w:r>
      <w:r w:rsidRPr="00913C78">
        <w:rPr>
          <w:rFonts w:hint="eastAsia"/>
        </w:rPr>
        <w:t>的计算应符合下列规定。</w:t>
      </w:r>
    </w:p>
    <w:p w14:paraId="72387B0A"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住宅的生活用水年节水用水量，即</w:t>
      </w:r>
    </w:p>
    <w:p w14:paraId="7BD52D2F" w14:textId="53726528"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za</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z</m:t>
                </m:r>
              </m:sub>
            </m:sSub>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z</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z</m:t>
                </m:r>
              </m:sub>
            </m:sSub>
          </m:num>
          <m:den>
            <m:r>
              <m:rPr>
                <m:sty m:val="p"/>
              </m:rPr>
              <w:rPr>
                <w:rFonts w:ascii="Cambria Math" w:hAnsi="Cambria Math"/>
              </w:rPr>
              <m:t>1000</m:t>
            </m:r>
          </m:den>
        </m:f>
      </m:oMath>
      <w:r w:rsidR="00913C78" w:rsidRPr="00913C78">
        <w:instrText xml:space="preserve"> </w:instrText>
      </w:r>
      <w:r w:rsidR="00913C78" w:rsidRPr="00913C78">
        <w:fldChar w:fldCharType="separate"/>
      </w:r>
      <m:oMath>
        <m:sSub>
          <m:sSubPr>
            <m:ctrlPr>
              <w:rPr>
                <w:rFonts w:ascii="Cambria Math" w:hAnsi="Cambria Math"/>
                <w:i/>
                <w:noProof/>
              </w:rPr>
            </m:ctrlPr>
          </m:sSubPr>
          <m:e>
            <m:r>
              <m:rPr>
                <m:sty m:val="p"/>
              </m:rPr>
              <w:rPr>
                <w:rFonts w:ascii="Cambria Math" w:hAnsi="Cambria Math"/>
                <w:noProof/>
              </w:rPr>
              <m:t>Q</m:t>
            </m:r>
          </m:e>
          <m:sub>
            <m:r>
              <m:rPr>
                <m:nor/>
              </m:rPr>
              <w:rPr>
                <w:noProof/>
              </w:rPr>
              <m:t>za</m:t>
            </m:r>
            <m:ctrlPr>
              <w:rPr>
                <w:rFonts w:ascii="Cambria Math" w:hAnsi="Cambria Math"/>
                <w:noProof/>
              </w:rPr>
            </m:ctrlPr>
          </m:sub>
        </m:sSub>
        <m:r>
          <m:rPr>
            <m:sty m:val="p"/>
          </m:rPr>
          <w:rPr>
            <w:rFonts w:ascii="Cambria Math" w:hAnsi="Cambria Math"/>
            <w:noProof/>
          </w:rPr>
          <m:t>=</m:t>
        </m:r>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noProof/>
                  </w:rPr>
                  <m:t>q</m:t>
                </m:r>
              </m:e>
              <m:sub>
                <m:r>
                  <m:rPr>
                    <m:sty m:val="p"/>
                  </m:rPr>
                  <w:rPr>
                    <w:rFonts w:ascii="Cambria Math" w:hAnsi="Cambria Math"/>
                    <w:noProof/>
                  </w:rPr>
                  <m:t>z</m:t>
                </m:r>
              </m:sub>
            </m:sSub>
            <m:sSub>
              <m:sSubPr>
                <m:ctrlPr>
                  <w:rPr>
                    <w:rFonts w:ascii="Cambria Math" w:hAnsi="Cambria Math"/>
                    <w:i/>
                    <w:noProof/>
                  </w:rPr>
                </m:ctrlPr>
              </m:sSubPr>
              <m:e>
                <m:r>
                  <m:rPr>
                    <m:sty m:val="p"/>
                  </m:rPr>
                  <w:rPr>
                    <w:rFonts w:ascii="Cambria Math" w:hAnsi="Cambria Math"/>
                    <w:noProof/>
                  </w:rPr>
                  <m:t>n</m:t>
                </m:r>
              </m:e>
              <m:sub>
                <m:r>
                  <m:rPr>
                    <m:sty m:val="p"/>
                  </m:rPr>
                  <w:rPr>
                    <w:rFonts w:ascii="Cambria Math" w:hAnsi="Cambria Math"/>
                    <w:noProof/>
                  </w:rPr>
                  <m:t>z</m:t>
                </m:r>
              </m:sub>
            </m:sSub>
            <m:sSub>
              <m:sSubPr>
                <m:ctrlPr>
                  <w:rPr>
                    <w:rFonts w:ascii="Cambria Math" w:hAnsi="Cambria Math"/>
                    <w:i/>
                    <w:noProof/>
                  </w:rPr>
                </m:ctrlPr>
              </m:sSubPr>
              <m:e>
                <m:r>
                  <m:rPr>
                    <m:sty m:val="p"/>
                  </m:rPr>
                  <w:rPr>
                    <w:rFonts w:ascii="Cambria Math" w:hAnsi="Cambria Math"/>
                    <w:noProof/>
                  </w:rPr>
                  <m:t>D</m:t>
                </m:r>
              </m:e>
              <m:sub>
                <m:r>
                  <m:rPr>
                    <m:sty m:val="p"/>
                  </m:rPr>
                  <w:rPr>
                    <w:rFonts w:ascii="Cambria Math" w:hAnsi="Cambria Math"/>
                    <w:noProof/>
                  </w:rPr>
                  <m:t>z</m:t>
                </m:r>
              </m:sub>
            </m:sSub>
          </m:num>
          <m:den>
            <m:r>
              <m:rPr>
                <m:sty m:val="p"/>
              </m:rPr>
              <w:rPr>
                <w:rFonts w:ascii="Cambria Math" w:hAnsi="Cambria Math"/>
                <w:noProof/>
              </w:rPr>
              <m:t>1000</m:t>
            </m:r>
          </m:den>
        </m:f>
      </m:oMath>
      <w:r w:rsidR="00913C78" w:rsidRPr="00913C78">
        <w:fldChar w:fldCharType="end"/>
      </w:r>
      <w:r w:rsidR="00913C78" w:rsidRPr="00913C78">
        <w:rPr>
          <w:rFonts w:hint="eastAsia"/>
        </w:rPr>
        <w:t xml:space="preserve"> </w:t>
      </w:r>
      <w:r w:rsidR="00913C78" w:rsidRPr="00913C78">
        <w:t xml:space="preserve">    </w:t>
      </w:r>
      <w:r w:rsidR="00913C78" w:rsidRPr="00913C78">
        <w:rPr>
          <w:rFonts w:hint="eastAsia"/>
        </w:rPr>
        <w:tab/>
      </w:r>
      <w:r w:rsidR="00913C78" w:rsidRPr="00913C78">
        <w:rPr>
          <w:rFonts w:hint="eastAsia"/>
        </w:rPr>
        <w:t>（</w:t>
      </w:r>
      <w:r w:rsidR="00913C78" w:rsidRPr="00913C78">
        <w:rPr>
          <w:rFonts w:hint="eastAsia"/>
        </w:rPr>
        <w:t>B.3.1</w:t>
      </w:r>
      <w:r w:rsidR="00913C78" w:rsidRPr="00913C78">
        <w:rPr>
          <w:rFonts w:hint="eastAsia"/>
        </w:rPr>
        <w:t>）</w:t>
      </w:r>
    </w:p>
    <w:p w14:paraId="3C335C56" w14:textId="46E8BB99" w:rsidR="00913C78" w:rsidRPr="00913C78" w:rsidRDefault="00913C78" w:rsidP="00A624AE">
      <w:pPr>
        <w:ind w:firstLine="420"/>
      </w:pPr>
      <w:r w:rsidRPr="00913C78">
        <w:t>式中</w:t>
      </w:r>
      <w:r w:rsidRPr="00913C78">
        <w:rPr>
          <w:rFonts w:hint="eastAsia"/>
        </w:rPr>
        <w:t>，</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za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za</m:t>
            </m:r>
            <m:ctrlPr>
              <w:rPr>
                <w:rFonts w:ascii="Cambria Math" w:hAnsi="Cambria Math"/>
                <w:noProof/>
              </w:rPr>
            </m:ctrlPr>
          </m:sub>
        </m:sSub>
      </m:oMath>
      <w:r w:rsidRPr="00913C78">
        <w:fldChar w:fldCharType="end"/>
      </w:r>
      <w:r w:rsidRPr="00913C78">
        <w:t>——</w:t>
      </w:r>
      <w:r w:rsidRPr="00913C78">
        <w:t>住宅生活用水年节水用水量</w:t>
      </w:r>
      <w:r w:rsidRPr="00913C78">
        <w:rPr>
          <w:rFonts w:hint="eastAsia"/>
        </w:rPr>
        <w:t>，</w:t>
      </w:r>
      <w:r w:rsidRPr="00913C78">
        <w:t>m3/a</w:t>
      </w:r>
      <w:r w:rsidRPr="00913C78">
        <w:t>；</w:t>
      </w:r>
    </w:p>
    <w:p w14:paraId="196A1740" w14:textId="6971B525"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z</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z</m:t>
            </m:r>
          </m:sub>
        </m:sSub>
      </m:oMath>
      <w:r w:rsidRPr="00913C78">
        <w:fldChar w:fldCharType="end"/>
      </w:r>
      <w:r w:rsidRPr="00913C78">
        <w:t>——</w:t>
      </w:r>
      <w:r w:rsidRPr="00913C78">
        <w:t>节水用水定额，按</w:t>
      </w:r>
      <w:r w:rsidRPr="00913C78">
        <w:rPr>
          <w:rFonts w:hint="eastAsia"/>
        </w:rPr>
        <w:t>《民用建筑节水设计标准》（</w:t>
      </w:r>
      <w:r w:rsidRPr="00913C78">
        <w:rPr>
          <w:rFonts w:hint="eastAsia"/>
        </w:rPr>
        <w:t>GB</w:t>
      </w:r>
      <w:r w:rsidRPr="00913C78">
        <w:t> </w:t>
      </w:r>
      <w:r w:rsidRPr="00913C78">
        <w:rPr>
          <w:rFonts w:hint="eastAsia"/>
        </w:rPr>
        <w:t>50555</w:t>
      </w:r>
      <w:r w:rsidRPr="00913C78">
        <w:rPr>
          <w:rFonts w:hint="eastAsia"/>
        </w:rPr>
        <w:t>—</w:t>
      </w:r>
      <w:r w:rsidRPr="00913C78">
        <w:rPr>
          <w:rFonts w:hint="eastAsia"/>
        </w:rPr>
        <w:t>2010</w:t>
      </w:r>
      <w:r w:rsidRPr="00913C78">
        <w:rPr>
          <w:rFonts w:hint="eastAsia"/>
        </w:rPr>
        <w:t>）</w:t>
      </w:r>
      <w:r w:rsidRPr="00913C78">
        <w:t>表</w:t>
      </w:r>
      <w:r w:rsidRPr="00913C78">
        <w:t>3.1.1</w:t>
      </w:r>
      <w:r w:rsidR="00CC545E">
        <w:t xml:space="preserve"> </w:t>
      </w:r>
      <w:r w:rsidRPr="00913C78">
        <w:t>的规定选用</w:t>
      </w:r>
      <w:r w:rsidRPr="00913C78">
        <w:rPr>
          <w:rFonts w:hint="eastAsia"/>
        </w:rPr>
        <w:t>，</w:t>
      </w:r>
      <w:r w:rsidRPr="00913C78">
        <w:t>L/</w:t>
      </w:r>
      <w:r w:rsidRPr="00913C78">
        <w:t>（人</w:t>
      </w:r>
      <w:r w:rsidRPr="00913C78">
        <w:rPr>
          <w:rFonts w:hint="eastAsia"/>
        </w:rPr>
        <w:t>·</w:t>
      </w:r>
      <w:r w:rsidRPr="00913C78">
        <w:t>d</w:t>
      </w:r>
      <w:r w:rsidRPr="00913C78">
        <w:t>）；</w:t>
      </w:r>
    </w:p>
    <w:p w14:paraId="160ABB15" w14:textId="4A3F411B"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z</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n</m:t>
            </m:r>
          </m:e>
          <m:sub>
            <m:r>
              <m:rPr>
                <m:sty m:val="p"/>
              </m:rPr>
              <w:rPr>
                <w:rFonts w:ascii="Cambria Math"/>
                <w:noProof/>
              </w:rPr>
              <m:t>z</m:t>
            </m:r>
          </m:sub>
        </m:sSub>
      </m:oMath>
      <w:r w:rsidRPr="00913C78">
        <w:fldChar w:fldCharType="end"/>
      </w:r>
      <w:r w:rsidRPr="00913C78">
        <w:t>——</w:t>
      </w:r>
      <w:r w:rsidRPr="00913C78">
        <w:t>居住人数，按</w:t>
      </w:r>
      <w:r w:rsidRPr="00913C78">
        <w:t>3</w:t>
      </w:r>
      <w:r w:rsidRPr="00913C78">
        <w:t>～</w:t>
      </w:r>
      <w:r w:rsidRPr="00913C78">
        <w:t>5</w:t>
      </w:r>
      <w:r w:rsidRPr="00913C78">
        <w:t>人</w:t>
      </w:r>
      <w:r w:rsidRPr="00913C78">
        <w:t>/</w:t>
      </w:r>
      <w:r w:rsidRPr="00913C78">
        <w:t>户，入住率</w:t>
      </w:r>
      <w:r w:rsidRPr="00913C78">
        <w:t>60%</w:t>
      </w:r>
      <w:r w:rsidRPr="00913C78">
        <w:t>～</w:t>
      </w:r>
      <w:r w:rsidRPr="00913C78">
        <w:t xml:space="preserve">80% </w:t>
      </w:r>
      <w:r w:rsidRPr="00913C78">
        <w:t>计算；</w:t>
      </w:r>
    </w:p>
    <w:p w14:paraId="34B7DD63" w14:textId="77B17B87"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z</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D</m:t>
            </m:r>
          </m:e>
          <m:sub>
            <m:r>
              <m:rPr>
                <m:sty m:val="p"/>
              </m:rPr>
              <w:rPr>
                <w:rFonts w:ascii="Cambria Math"/>
                <w:noProof/>
              </w:rPr>
              <m:t>z</m:t>
            </m:r>
          </m:sub>
        </m:sSub>
      </m:oMath>
      <w:r w:rsidRPr="00913C78">
        <w:fldChar w:fldCharType="end"/>
      </w:r>
      <w:r w:rsidRPr="00913C78">
        <w:t>——</w:t>
      </w:r>
      <w:r w:rsidRPr="00913C78">
        <w:t>年用水天数</w:t>
      </w:r>
      <w:r w:rsidRPr="00913C78">
        <w:rPr>
          <w:rFonts w:hint="eastAsia"/>
        </w:rPr>
        <w:t>，</w:t>
      </w:r>
      <w:r w:rsidRPr="00913C78">
        <w:t>d/a</w:t>
      </w:r>
      <w:r w:rsidRPr="00913C78">
        <w:t>，可取</w:t>
      </w:r>
      <w:r w:rsidRPr="00913C78">
        <w:t>Dz=365d/a</w:t>
      </w:r>
      <w:r w:rsidRPr="00913C78">
        <w:t>。</w:t>
      </w:r>
    </w:p>
    <w:p w14:paraId="0CB4E0C1" w14:textId="77777777" w:rsidR="00913C78" w:rsidRPr="00913C78" w:rsidRDefault="00913C78" w:rsidP="00913C78">
      <w:pPr>
        <w:ind w:firstLine="420"/>
      </w:pPr>
      <w:r w:rsidRPr="00913C78">
        <w:rPr>
          <w:rFonts w:hint="eastAsia"/>
        </w:rPr>
        <w:t>2</w:t>
      </w:r>
      <w:r w:rsidRPr="00913C78">
        <w:rPr>
          <w:rFonts w:hint="eastAsia"/>
        </w:rPr>
        <w:t>）公共建筑的生活用水年节水用水量，即</w:t>
      </w:r>
    </w:p>
    <w:p w14:paraId="121F1206" w14:textId="669F8B51"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ga</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g</m:t>
                </m:r>
              </m:sub>
            </m:sSub>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g</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g</m:t>
                </m:r>
              </m:sub>
            </m:sSub>
          </m:num>
          <m:den>
            <m:r>
              <m:rPr>
                <m:sty m:val="p"/>
              </m:rPr>
              <w:rPr>
                <w:rFonts w:ascii="Cambria Math" w:hAnsi="Cambria Math"/>
              </w:rPr>
              <m:t>1000</m:t>
            </m:r>
          </m:den>
        </m:f>
      </m:oMath>
      <w:r w:rsidR="00913C78" w:rsidRPr="00913C78">
        <w:instrText xml:space="preserve"> </w:instrText>
      </w:r>
      <w:r w:rsidR="00913C78" w:rsidRPr="00913C78">
        <w:fldChar w:fldCharType="separate"/>
      </w:r>
      <m:oMath>
        <m:sSub>
          <m:sSubPr>
            <m:ctrlPr>
              <w:rPr>
                <w:rFonts w:ascii="Cambria Math" w:hAnsi="Cambria Math"/>
                <w:i/>
                <w:noProof/>
              </w:rPr>
            </m:ctrlPr>
          </m:sSubPr>
          <m:e>
            <m:r>
              <m:rPr>
                <m:sty m:val="p"/>
              </m:rPr>
              <w:rPr>
                <w:rFonts w:ascii="Cambria Math" w:hAnsi="Cambria Math"/>
                <w:noProof/>
              </w:rPr>
              <m:t>Q</m:t>
            </m:r>
          </m:e>
          <m:sub>
            <m:r>
              <m:rPr>
                <m:nor/>
              </m:rPr>
              <w:rPr>
                <w:noProof/>
              </w:rPr>
              <m:t>ga</m:t>
            </m:r>
            <m:ctrlPr>
              <w:rPr>
                <w:rFonts w:ascii="Cambria Math" w:hAnsi="Cambria Math"/>
                <w:noProof/>
              </w:rPr>
            </m:ctrlPr>
          </m:sub>
        </m:sSub>
        <m:r>
          <m:rPr>
            <m:sty m:val="p"/>
          </m:rPr>
          <w:rPr>
            <w:rFonts w:ascii="Cambria Math" w:hAnsi="Cambria Math"/>
            <w:noProof/>
          </w:rPr>
          <m:t>=</m:t>
        </m:r>
        <m:nary>
          <m:naryPr>
            <m:chr m:val="∑"/>
            <m:subHide m:val="1"/>
            <m:supHide m:val="1"/>
            <m:ctrlPr>
              <w:rPr>
                <w:rFonts w:ascii="Cambria Math" w:hAnsi="Cambria Math"/>
                <w:i/>
                <w:noProof/>
              </w:rPr>
            </m:ctrlPr>
          </m:naryPr>
          <m:sub/>
          <m:sup/>
          <m:e>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noProof/>
                      </w:rPr>
                      <m:t>q</m:t>
                    </m:r>
                  </m:e>
                  <m:sub>
                    <m:r>
                      <m:rPr>
                        <m:sty m:val="p"/>
                      </m:rPr>
                      <w:rPr>
                        <w:rFonts w:ascii="Cambria Math" w:hAnsi="Cambria Math"/>
                        <w:noProof/>
                      </w:rPr>
                      <m:t>g</m:t>
                    </m:r>
                  </m:sub>
                </m:sSub>
                <m:sSub>
                  <m:sSubPr>
                    <m:ctrlPr>
                      <w:rPr>
                        <w:rFonts w:ascii="Cambria Math" w:hAnsi="Cambria Math"/>
                        <w:i/>
                        <w:noProof/>
                      </w:rPr>
                    </m:ctrlPr>
                  </m:sSubPr>
                  <m:e>
                    <m:r>
                      <m:rPr>
                        <m:sty m:val="p"/>
                      </m:rPr>
                      <w:rPr>
                        <w:rFonts w:ascii="Cambria Math" w:hAnsi="Cambria Math"/>
                        <w:noProof/>
                      </w:rPr>
                      <m:t>n</m:t>
                    </m:r>
                  </m:e>
                  <m:sub>
                    <m:r>
                      <m:rPr>
                        <m:sty m:val="p"/>
                      </m:rPr>
                      <w:rPr>
                        <w:rFonts w:ascii="Cambria Math" w:hAnsi="Cambria Math"/>
                        <w:noProof/>
                      </w:rPr>
                      <m:t>g</m:t>
                    </m:r>
                  </m:sub>
                </m:sSub>
                <m:sSub>
                  <m:sSubPr>
                    <m:ctrlPr>
                      <w:rPr>
                        <w:rFonts w:ascii="Cambria Math" w:hAnsi="Cambria Math"/>
                        <w:i/>
                        <w:noProof/>
                      </w:rPr>
                    </m:ctrlPr>
                  </m:sSubPr>
                  <m:e>
                    <m:r>
                      <m:rPr>
                        <m:sty m:val="p"/>
                      </m:rPr>
                      <w:rPr>
                        <w:rFonts w:ascii="Cambria Math" w:hAnsi="Cambria Math"/>
                        <w:noProof/>
                      </w:rPr>
                      <m:t>D</m:t>
                    </m:r>
                  </m:e>
                  <m:sub>
                    <m:r>
                      <m:rPr>
                        <m:sty m:val="p"/>
                      </m:rPr>
                      <w:rPr>
                        <w:rFonts w:ascii="Cambria Math" w:hAnsi="Cambria Math"/>
                        <w:noProof/>
                      </w:rPr>
                      <m:t>g</m:t>
                    </m:r>
                  </m:sub>
                </m:sSub>
              </m:num>
              <m:den>
                <m:r>
                  <m:rPr>
                    <m:sty m:val="p"/>
                  </m:rPr>
                  <w:rPr>
                    <w:rFonts w:ascii="Cambria Math" w:hAnsi="Cambria Math"/>
                    <w:noProof/>
                  </w:rPr>
                  <m:t>1000</m:t>
                </m:r>
              </m:den>
            </m:f>
          </m:e>
        </m:nary>
      </m:oMath>
      <w:r w:rsidR="00913C78" w:rsidRPr="00913C78">
        <w:fldChar w:fldCharType="end"/>
      </w:r>
      <w:r w:rsidR="00913C78" w:rsidRPr="00913C78">
        <w:rPr>
          <w:rFonts w:hint="eastAsia"/>
        </w:rPr>
        <w:t xml:space="preserve"> </w:t>
      </w:r>
      <w:r w:rsidR="00913C78" w:rsidRPr="00913C78">
        <w:t xml:space="preserve">      </w:t>
      </w:r>
      <w:r w:rsidR="00913C78" w:rsidRPr="00913C78">
        <w:rPr>
          <w:rFonts w:hint="eastAsia"/>
        </w:rPr>
        <w:tab/>
      </w:r>
      <w:r w:rsidR="00913C78" w:rsidRPr="00913C78">
        <w:t xml:space="preserve"> </w:t>
      </w:r>
      <w:r w:rsidR="00913C78" w:rsidRPr="00913C78">
        <w:rPr>
          <w:rFonts w:hint="eastAsia"/>
        </w:rPr>
        <w:t>（</w:t>
      </w:r>
      <w:r w:rsidR="00913C78" w:rsidRPr="00913C78">
        <w:rPr>
          <w:rFonts w:hint="eastAsia"/>
        </w:rPr>
        <w:t>B.3.2</w:t>
      </w:r>
      <w:r w:rsidR="00913C78" w:rsidRPr="00913C78">
        <w:rPr>
          <w:rFonts w:hint="eastAsia"/>
        </w:rPr>
        <w:t>）</w:t>
      </w:r>
    </w:p>
    <w:p w14:paraId="4D0335B6" w14:textId="296163AC" w:rsidR="00913C78" w:rsidRPr="00913C78" w:rsidRDefault="00913C78" w:rsidP="00A624AE">
      <w:pPr>
        <w:ind w:firstLine="420"/>
      </w:pPr>
      <w:r w:rsidRPr="00913C78">
        <w:t>式中</w:t>
      </w:r>
      <w:r w:rsidRPr="00913C78">
        <w:rPr>
          <w:rFonts w:hint="eastAsia"/>
        </w:rPr>
        <w:t>，</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ga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ga</m:t>
            </m:r>
            <m:ctrlPr>
              <w:rPr>
                <w:rFonts w:ascii="Cambria Math" w:hAnsi="Cambria Math"/>
                <w:noProof/>
              </w:rPr>
            </m:ctrlPr>
          </m:sub>
        </m:sSub>
      </m:oMath>
      <w:r w:rsidRPr="00913C78">
        <w:fldChar w:fldCharType="end"/>
      </w:r>
      <w:r w:rsidRPr="00913C78">
        <w:t>——</w:t>
      </w:r>
      <w:r w:rsidRPr="00913C78">
        <w:t>宿舍、旅馆等公共建筑的生活用水年节水用水量</w:t>
      </w:r>
      <w:r w:rsidRPr="00913C78">
        <w:rPr>
          <w:rFonts w:hint="eastAsia"/>
        </w:rPr>
        <w:t>，</w:t>
      </w:r>
      <w:r w:rsidRPr="00913C78">
        <w:t>m</w:t>
      </w:r>
      <w:r w:rsidRPr="00F83296">
        <w:rPr>
          <w:vertAlign w:val="superscript"/>
        </w:rPr>
        <w:t>3</w:t>
      </w:r>
      <w:r w:rsidRPr="00913C78">
        <w:t>/a</w:t>
      </w:r>
      <w:r w:rsidRPr="00913C78">
        <w:t>；</w:t>
      </w:r>
    </w:p>
    <w:p w14:paraId="0F30768A" w14:textId="18399587"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g</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g</m:t>
            </m:r>
          </m:sub>
        </m:sSub>
      </m:oMath>
      <w:r w:rsidRPr="00913C78">
        <w:fldChar w:fldCharType="end"/>
      </w:r>
      <w:r w:rsidRPr="00913C78">
        <w:t>——</w:t>
      </w:r>
      <w:r w:rsidRPr="00913C78">
        <w:t>节水用水定额，按</w:t>
      </w:r>
      <w:r w:rsidRPr="00913C78">
        <w:rPr>
          <w:rFonts w:hint="eastAsia"/>
        </w:rPr>
        <w:t>《民用建筑节水设计标准》（</w:t>
      </w:r>
      <w:r w:rsidRPr="00913C78">
        <w:rPr>
          <w:rFonts w:hint="eastAsia"/>
        </w:rPr>
        <w:t>GB</w:t>
      </w:r>
      <w:r w:rsidRPr="00913C78">
        <w:t> </w:t>
      </w:r>
      <w:r w:rsidRPr="00913C78">
        <w:rPr>
          <w:rFonts w:hint="eastAsia"/>
        </w:rPr>
        <w:t>50555</w:t>
      </w:r>
      <w:r w:rsidRPr="00913C78">
        <w:rPr>
          <w:rFonts w:hint="eastAsia"/>
        </w:rPr>
        <w:t>—</w:t>
      </w:r>
      <w:r w:rsidRPr="00913C78">
        <w:rPr>
          <w:rFonts w:hint="eastAsia"/>
        </w:rPr>
        <w:t>2010</w:t>
      </w:r>
      <w:r w:rsidRPr="00913C78">
        <w:rPr>
          <w:rFonts w:hint="eastAsia"/>
        </w:rPr>
        <w:t>）</w:t>
      </w:r>
      <w:r w:rsidRPr="00913C78">
        <w:t>表</w:t>
      </w:r>
      <w:r w:rsidRPr="00913C78">
        <w:t>3.1.2</w:t>
      </w:r>
      <w:r w:rsidR="00CC545E">
        <w:t xml:space="preserve"> </w:t>
      </w:r>
      <w:r w:rsidRPr="00913C78">
        <w:t>的规定选用</w:t>
      </w:r>
      <w:r w:rsidRPr="00913C78">
        <w:rPr>
          <w:rFonts w:hint="eastAsia"/>
        </w:rPr>
        <w:t>，</w:t>
      </w:r>
      <w:r w:rsidRPr="00913C78">
        <w:t>L/</w:t>
      </w:r>
      <w:r w:rsidRPr="00913C78">
        <w:t>（人</w:t>
      </w:r>
      <w:r w:rsidRPr="00913C78">
        <w:rPr>
          <w:rFonts w:hint="eastAsia"/>
        </w:rPr>
        <w:t>·</w:t>
      </w:r>
      <w:r w:rsidRPr="00913C78">
        <w:t>d</w:t>
      </w:r>
      <w:r w:rsidRPr="00913C78">
        <w:rPr>
          <w:rFonts w:hint="eastAsia"/>
        </w:rPr>
        <w:t>）</w:t>
      </w:r>
      <w:r w:rsidRPr="00913C78">
        <w:t>或</w:t>
      </w:r>
      <w:r w:rsidRPr="00913C78">
        <w:t>L/</w:t>
      </w:r>
      <w:r w:rsidRPr="00913C78">
        <w:rPr>
          <w:rFonts w:hint="eastAsia"/>
        </w:rPr>
        <w:t>（</w:t>
      </w:r>
      <w:r w:rsidRPr="00913C78">
        <w:t>单位数</w:t>
      </w:r>
      <w:r w:rsidRPr="00913C78">
        <w:rPr>
          <w:rFonts w:hint="eastAsia"/>
        </w:rPr>
        <w:t>·</w:t>
      </w:r>
      <w:r w:rsidRPr="00913C78">
        <w:t>d</w:t>
      </w:r>
      <w:r w:rsidRPr="00913C78">
        <w:t>），表中未直接给出定额者，可通过人、次</w:t>
      </w:r>
      <w:r w:rsidRPr="00913C78">
        <w:t>/d</w:t>
      </w:r>
      <w:r w:rsidRPr="00913C78">
        <w:t>等进行换算；</w:t>
      </w:r>
    </w:p>
    <w:p w14:paraId="5140436E" w14:textId="742A1FED"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n</m:t>
            </m:r>
          </m:e>
          <m:sub>
            <m:r>
              <m:rPr>
                <m:sty m:val="p"/>
              </m:rPr>
              <w:rPr>
                <w:rFonts w:ascii="Cambria Math" w:hAnsi="Cambria Math"/>
              </w:rPr>
              <m:t>g</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n</m:t>
            </m:r>
          </m:e>
          <m:sub>
            <m:r>
              <m:rPr>
                <m:sty m:val="p"/>
              </m:rPr>
              <w:rPr>
                <w:rFonts w:ascii="Cambria Math"/>
                <w:noProof/>
              </w:rPr>
              <m:t>g</m:t>
            </m:r>
          </m:sub>
        </m:sSub>
      </m:oMath>
      <w:r w:rsidRPr="00913C78">
        <w:fldChar w:fldCharType="end"/>
      </w:r>
      <w:r w:rsidRPr="00913C78">
        <w:t>——</w:t>
      </w:r>
      <w:r w:rsidRPr="00913C78">
        <w:t>使用人数或单位数，以年平均值计算；</w:t>
      </w:r>
    </w:p>
    <w:p w14:paraId="2967AEC0" w14:textId="0F17B6AB"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g</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D</m:t>
            </m:r>
          </m:e>
          <m:sub>
            <m:r>
              <m:rPr>
                <m:sty m:val="p"/>
              </m:rPr>
              <w:rPr>
                <w:rFonts w:ascii="Cambria Math"/>
                <w:noProof/>
              </w:rPr>
              <m:t>g</m:t>
            </m:r>
          </m:sub>
        </m:sSub>
      </m:oMath>
      <w:r w:rsidRPr="00913C78">
        <w:fldChar w:fldCharType="end"/>
      </w:r>
      <w:r w:rsidRPr="00913C78">
        <w:t>——</w:t>
      </w:r>
      <w:r w:rsidRPr="00913C78">
        <w:t>年用水天数</w:t>
      </w:r>
      <w:r w:rsidRPr="00913C78">
        <w:rPr>
          <w:rFonts w:hint="eastAsia"/>
        </w:rPr>
        <w:t>，</w:t>
      </w:r>
      <w:r w:rsidRPr="00913C78">
        <w:t>d/a</w:t>
      </w:r>
      <w:r w:rsidRPr="00913C78">
        <w:t>，根据使用情况确定。</w:t>
      </w:r>
    </w:p>
    <w:p w14:paraId="09A7C2C9"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生活热水年节水用水量，即</w:t>
      </w:r>
    </w:p>
    <w:p w14:paraId="03E853FE" w14:textId="11B08FD3"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r</m:t>
                </m:r>
              </m:sub>
            </m:sSub>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r</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r</m:t>
                </m:r>
              </m:sub>
            </m:sSub>
          </m:num>
          <m:den>
            <m:r>
              <m:rPr>
                <m:sty m:val="p"/>
              </m:rPr>
              <w:rPr>
                <w:rFonts w:ascii="Cambria Math" w:hAnsi="Cambria Math"/>
              </w:rPr>
              <m:t>1000</m:t>
            </m:r>
          </m:den>
        </m:f>
      </m:oMath>
      <w:r w:rsidR="00913C78" w:rsidRPr="00913C78">
        <w:instrText xml:space="preserve"> </w:instrText>
      </w:r>
      <w:r w:rsidR="00913C78" w:rsidRPr="00913C78">
        <w:fldChar w:fldCharType="separate"/>
      </w:r>
      <m:oMath>
        <m:sSub>
          <m:sSubPr>
            <m:ctrlPr>
              <w:rPr>
                <w:rFonts w:ascii="Cambria Math" w:hAnsi="Cambria Math"/>
                <w:i/>
                <w:noProof/>
              </w:rPr>
            </m:ctrlPr>
          </m:sSubPr>
          <m:e>
            <m:r>
              <m:rPr>
                <m:sty m:val="p"/>
              </m:rPr>
              <w:rPr>
                <w:rFonts w:ascii="Cambria Math" w:hAnsi="Cambria Math"/>
                <w:noProof/>
              </w:rPr>
              <m:t>Q</m:t>
            </m:r>
          </m:e>
          <m:sub>
            <m:r>
              <m:rPr>
                <m:nor/>
              </m:rPr>
              <w:rPr>
                <w:noProof/>
              </w:rPr>
              <m:t>ra</m:t>
            </m:r>
            <m:ctrlPr>
              <w:rPr>
                <w:rFonts w:ascii="Cambria Math" w:hAnsi="Cambria Math"/>
                <w:noProof/>
              </w:rPr>
            </m:ctrlPr>
          </m:sub>
        </m:sSub>
        <m:r>
          <m:rPr>
            <m:sty m:val="p"/>
          </m:rPr>
          <w:rPr>
            <w:rFonts w:ascii="Cambria Math" w:hAnsi="Cambria Math"/>
            <w:noProof/>
          </w:rPr>
          <m:t>=</m:t>
        </m:r>
        <m:nary>
          <m:naryPr>
            <m:chr m:val="∑"/>
            <m:subHide m:val="1"/>
            <m:supHide m:val="1"/>
            <m:ctrlPr>
              <w:rPr>
                <w:rFonts w:ascii="Cambria Math" w:hAnsi="Cambria Math"/>
                <w:i/>
                <w:noProof/>
              </w:rPr>
            </m:ctrlPr>
          </m:naryPr>
          <m:sub/>
          <m:sup/>
          <m:e>
            <m:f>
              <m:fPr>
                <m:ctrlPr>
                  <w:rPr>
                    <w:rFonts w:ascii="Cambria Math" w:hAnsi="Cambria Math"/>
                    <w:i/>
                    <w:noProof/>
                  </w:rPr>
                </m:ctrlPr>
              </m:fPr>
              <m:num>
                <m:sSub>
                  <m:sSubPr>
                    <m:ctrlPr>
                      <w:rPr>
                        <w:rFonts w:ascii="Cambria Math" w:hAnsi="Cambria Math"/>
                        <w:i/>
                        <w:noProof/>
                      </w:rPr>
                    </m:ctrlPr>
                  </m:sSubPr>
                  <m:e>
                    <m:r>
                      <m:rPr>
                        <m:sty m:val="p"/>
                      </m:rPr>
                      <w:rPr>
                        <w:rFonts w:ascii="Cambria Math" w:hAnsi="Cambria Math"/>
                        <w:noProof/>
                      </w:rPr>
                      <m:t>q</m:t>
                    </m:r>
                  </m:e>
                  <m:sub>
                    <m:r>
                      <m:rPr>
                        <m:sty m:val="p"/>
                      </m:rPr>
                      <w:rPr>
                        <w:rFonts w:ascii="Cambria Math" w:hAnsi="Cambria Math"/>
                        <w:noProof/>
                      </w:rPr>
                      <m:t>r</m:t>
                    </m:r>
                  </m:sub>
                </m:sSub>
                <m:sSub>
                  <m:sSubPr>
                    <m:ctrlPr>
                      <w:rPr>
                        <w:rFonts w:ascii="Cambria Math" w:hAnsi="Cambria Math"/>
                        <w:i/>
                        <w:noProof/>
                      </w:rPr>
                    </m:ctrlPr>
                  </m:sSubPr>
                  <m:e>
                    <m:r>
                      <m:rPr>
                        <m:sty m:val="p"/>
                      </m:rPr>
                      <w:rPr>
                        <w:rFonts w:ascii="Cambria Math" w:hAnsi="Cambria Math"/>
                        <w:noProof/>
                      </w:rPr>
                      <m:t>n</m:t>
                    </m:r>
                  </m:e>
                  <m:sub>
                    <m:r>
                      <m:rPr>
                        <m:sty m:val="p"/>
                      </m:rPr>
                      <w:rPr>
                        <w:rFonts w:ascii="Cambria Math" w:hAnsi="Cambria Math"/>
                        <w:noProof/>
                      </w:rPr>
                      <m:t>r</m:t>
                    </m:r>
                  </m:sub>
                </m:sSub>
                <m:sSub>
                  <m:sSubPr>
                    <m:ctrlPr>
                      <w:rPr>
                        <w:rFonts w:ascii="Cambria Math" w:hAnsi="Cambria Math"/>
                        <w:i/>
                        <w:noProof/>
                      </w:rPr>
                    </m:ctrlPr>
                  </m:sSubPr>
                  <m:e>
                    <m:r>
                      <m:rPr>
                        <m:sty m:val="p"/>
                      </m:rPr>
                      <w:rPr>
                        <w:rFonts w:ascii="Cambria Math" w:hAnsi="Cambria Math"/>
                        <w:noProof/>
                      </w:rPr>
                      <m:t>D</m:t>
                    </m:r>
                  </m:e>
                  <m:sub>
                    <m:r>
                      <m:rPr>
                        <m:sty m:val="p"/>
                      </m:rPr>
                      <w:rPr>
                        <w:rFonts w:ascii="Cambria Math" w:hAnsi="Cambria Math"/>
                        <w:noProof/>
                      </w:rPr>
                      <m:t>r</m:t>
                    </m:r>
                  </m:sub>
                </m:sSub>
              </m:num>
              <m:den>
                <m:r>
                  <m:rPr>
                    <m:sty m:val="p"/>
                  </m:rPr>
                  <w:rPr>
                    <w:rFonts w:ascii="Cambria Math" w:hAnsi="Cambria Math"/>
                    <w:noProof/>
                  </w:rPr>
                  <m:t>1000</m:t>
                </m:r>
              </m:den>
            </m:f>
          </m:e>
        </m:nary>
      </m:oMath>
      <w:r w:rsidR="00913C78" w:rsidRPr="00913C78">
        <w:fldChar w:fldCharType="end"/>
      </w:r>
      <w:r w:rsidR="00913C78" w:rsidRPr="00913C78">
        <w:rPr>
          <w:rFonts w:hint="eastAsia"/>
        </w:rPr>
        <w:t xml:space="preserve"> </w:t>
      </w:r>
      <w:r w:rsidR="00913C78" w:rsidRPr="00913C78">
        <w:t xml:space="preserve">     </w:t>
      </w:r>
      <w:r w:rsidR="00913C78" w:rsidRPr="00913C78">
        <w:rPr>
          <w:rFonts w:hint="eastAsia"/>
        </w:rPr>
        <w:tab/>
      </w:r>
      <w:r w:rsidR="00913C78" w:rsidRPr="00913C78">
        <w:rPr>
          <w:rFonts w:hint="eastAsia"/>
        </w:rPr>
        <w:t>（</w:t>
      </w:r>
      <w:r w:rsidR="00913C78" w:rsidRPr="00913C78">
        <w:rPr>
          <w:rFonts w:hint="eastAsia"/>
        </w:rPr>
        <w:t>B.3.3</w:t>
      </w:r>
      <w:r w:rsidR="00913C78" w:rsidRPr="00913C78">
        <w:rPr>
          <w:rFonts w:hint="eastAsia"/>
        </w:rPr>
        <w:t>）</w:t>
      </w:r>
    </w:p>
    <w:p w14:paraId="02EAE8E1" w14:textId="5009ED79" w:rsidR="00913C78" w:rsidRPr="00913C78" w:rsidRDefault="00913C78" w:rsidP="00A624AE">
      <w:pPr>
        <w:ind w:firstLine="420"/>
      </w:pPr>
      <w:r w:rsidRPr="00913C78">
        <w:lastRenderedPageBreak/>
        <w:t>式中</w:t>
      </w:r>
      <w:r w:rsidRPr="00913C78">
        <w:rPr>
          <w:rFonts w:hint="eastAsia"/>
        </w:rPr>
        <w:t>，</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ra</m:t>
            </m:r>
            <m:ctrlPr>
              <w:rPr>
                <w:rFonts w:ascii="Cambria Math" w:hAnsi="Cambria Math"/>
                <w:noProof/>
              </w:rPr>
            </m:ctrlPr>
          </m:sub>
        </m:sSub>
      </m:oMath>
      <w:r w:rsidRPr="00913C78">
        <w:fldChar w:fldCharType="end"/>
      </w:r>
      <w:r w:rsidRPr="00913C78">
        <w:t>——</w:t>
      </w:r>
      <w:r w:rsidRPr="00913C78">
        <w:t>生活热水年节水用水量</w:t>
      </w:r>
      <w:r w:rsidRPr="00913C78">
        <w:rPr>
          <w:rFonts w:hint="eastAsia"/>
        </w:rPr>
        <w:t>，</w:t>
      </w:r>
      <w:r w:rsidRPr="00913C78">
        <w:t>m</w:t>
      </w:r>
      <w:r w:rsidRPr="00F83296">
        <w:rPr>
          <w:vertAlign w:val="superscript"/>
        </w:rPr>
        <w:t>3</w:t>
      </w:r>
      <w:r w:rsidRPr="00913C78">
        <w:t>/a</w:t>
      </w:r>
      <w:r w:rsidRPr="00913C78">
        <w:t>；</w:t>
      </w:r>
    </w:p>
    <w:p w14:paraId="08F4BCA9" w14:textId="27E824FB"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r</m:t>
            </m:r>
          </m:sub>
        </m:sSub>
      </m:oMath>
      <w:r w:rsidRPr="00913C78">
        <w:fldChar w:fldCharType="end"/>
      </w:r>
      <w:r w:rsidRPr="00913C78">
        <w:t>——</w:t>
      </w:r>
      <w:r w:rsidRPr="00913C78">
        <w:t>热水节水用水定额，按</w:t>
      </w:r>
      <w:r w:rsidRPr="00913C78">
        <w:rPr>
          <w:rFonts w:hint="eastAsia"/>
        </w:rPr>
        <w:t>《民用建筑节水设计标准》（</w:t>
      </w:r>
      <w:r w:rsidRPr="00913C78">
        <w:rPr>
          <w:rFonts w:hint="eastAsia"/>
        </w:rPr>
        <w:t>GB</w:t>
      </w:r>
      <w:r w:rsidRPr="00913C78">
        <w:t> </w:t>
      </w:r>
      <w:r w:rsidRPr="00913C78">
        <w:rPr>
          <w:rFonts w:hint="eastAsia"/>
        </w:rPr>
        <w:t>50555</w:t>
      </w:r>
      <w:r w:rsidRPr="00913C78">
        <w:rPr>
          <w:rFonts w:hint="eastAsia"/>
        </w:rPr>
        <w:t>—</w:t>
      </w:r>
      <w:r w:rsidRPr="00913C78">
        <w:rPr>
          <w:rFonts w:hint="eastAsia"/>
        </w:rPr>
        <w:t>2010</w:t>
      </w:r>
      <w:r w:rsidRPr="00913C78">
        <w:rPr>
          <w:rFonts w:hint="eastAsia"/>
        </w:rPr>
        <w:t>）</w:t>
      </w:r>
      <w:r w:rsidRPr="00913C78">
        <w:t>表</w:t>
      </w:r>
      <w:r w:rsidRPr="00913C78">
        <w:t>3.1.7</w:t>
      </w:r>
      <w:r w:rsidRPr="00913C78">
        <w:t>的规定选用</w:t>
      </w:r>
      <w:r w:rsidRPr="00913C78">
        <w:rPr>
          <w:rFonts w:hint="eastAsia"/>
        </w:rPr>
        <w:t>，</w:t>
      </w:r>
      <w:r w:rsidRPr="00913C78">
        <w:t>L/</w:t>
      </w:r>
      <w:r w:rsidRPr="00913C78">
        <w:t>（人</w:t>
      </w:r>
      <w:r w:rsidRPr="00913C78">
        <w:rPr>
          <w:rFonts w:hint="eastAsia"/>
        </w:rPr>
        <w:t>·</w:t>
      </w:r>
      <w:r w:rsidRPr="00913C78">
        <w:t>d</w:t>
      </w:r>
      <w:r w:rsidRPr="00913C78">
        <w:rPr>
          <w:rFonts w:hint="eastAsia"/>
        </w:rPr>
        <w:t>）</w:t>
      </w:r>
      <w:r w:rsidRPr="00913C78">
        <w:t>或</w:t>
      </w:r>
      <w:r w:rsidRPr="00913C78">
        <w:t>L/</w:t>
      </w:r>
      <w:r w:rsidRPr="00913C78">
        <w:rPr>
          <w:rFonts w:hint="eastAsia"/>
        </w:rPr>
        <w:t>（</w:t>
      </w:r>
      <w:r w:rsidRPr="00913C78">
        <w:t>单位数</w:t>
      </w:r>
      <w:r w:rsidRPr="00913C78">
        <w:rPr>
          <w:rFonts w:hint="eastAsia"/>
        </w:rPr>
        <w:t>·</w:t>
      </w:r>
      <w:r w:rsidRPr="00913C78">
        <w:t>d</w:t>
      </w:r>
      <w:r w:rsidRPr="00913C78">
        <w:t>），表中未直接给出定额者，可通过人、次</w:t>
      </w:r>
      <w:r w:rsidRPr="00913C78">
        <w:t>/d</w:t>
      </w:r>
      <w:r w:rsidRPr="00913C78">
        <w:t>等进行换算；</w:t>
      </w:r>
    </w:p>
    <w:p w14:paraId="2FF6465C" w14:textId="0E04D56F"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n</m:t>
            </m:r>
          </m:e>
          <m:sub>
            <m:r>
              <m:rPr>
                <m:sty m:val="p"/>
              </m:rPr>
              <w:rPr>
                <w:rFonts w:ascii="Cambria Math"/>
                <w:noProof/>
              </w:rPr>
              <m:t>r</m:t>
            </m:r>
          </m:sub>
        </m:sSub>
      </m:oMath>
      <w:r w:rsidRPr="00913C78">
        <w:fldChar w:fldCharType="end"/>
      </w:r>
      <w:r w:rsidRPr="00913C78">
        <w:t>——</w:t>
      </w:r>
      <w:r w:rsidRPr="00913C78">
        <w:t>使用人数或单位数，以年平均值计算，住宅可按</w:t>
      </w:r>
      <w:r w:rsidRPr="00913C78">
        <w:rPr>
          <w:rFonts w:hint="eastAsia"/>
        </w:rPr>
        <w:t>式（</w:t>
      </w:r>
      <w:r w:rsidRPr="00913C78">
        <w:rPr>
          <w:rFonts w:hint="eastAsia"/>
        </w:rPr>
        <w:t>B.3.1</w:t>
      </w:r>
      <w:r w:rsidRPr="00913C78">
        <w:rPr>
          <w:rFonts w:hint="eastAsia"/>
        </w:rPr>
        <w:t>）</w:t>
      </w:r>
      <w:r w:rsidRPr="00913C78">
        <w:t>的</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z</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n</m:t>
            </m:r>
          </m:e>
          <m:sub>
            <m:r>
              <m:rPr>
                <m:sty m:val="p"/>
              </m:rPr>
              <w:rPr>
                <w:rFonts w:ascii="Cambria Math"/>
                <w:noProof/>
              </w:rPr>
              <m:t>z</m:t>
            </m:r>
          </m:sub>
        </m:sSub>
      </m:oMath>
      <w:r w:rsidRPr="00913C78">
        <w:fldChar w:fldCharType="end"/>
      </w:r>
      <w:r w:rsidRPr="00913C78">
        <w:t>计算；</w:t>
      </w:r>
    </w:p>
    <w:p w14:paraId="15F61347" w14:textId="6A7CAF61"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D</m:t>
            </m:r>
          </m:e>
          <m:sub>
            <m:r>
              <m:rPr>
                <m:sty m:val="p"/>
              </m:rPr>
              <w:rPr>
                <w:rFonts w:ascii="Cambria Math"/>
                <w:noProof/>
              </w:rPr>
              <m:t>r</m:t>
            </m:r>
          </m:sub>
        </m:sSub>
      </m:oMath>
      <w:r w:rsidRPr="00913C78">
        <w:fldChar w:fldCharType="end"/>
      </w:r>
      <w:r w:rsidRPr="00913C78">
        <w:t>——</w:t>
      </w:r>
      <w:r w:rsidRPr="00913C78">
        <w:t>年用水天数</w:t>
      </w:r>
      <w:r w:rsidRPr="00913C78">
        <w:rPr>
          <w:rFonts w:hint="eastAsia"/>
        </w:rPr>
        <w:t>，</w:t>
      </w:r>
      <w:r w:rsidRPr="00913C78">
        <w:t>d/a</w:t>
      </w:r>
      <w:r w:rsidRPr="00913C78">
        <w:t>，根据使用情况确定。</w:t>
      </w:r>
    </w:p>
    <w:p w14:paraId="1C4E498C"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浇洒草坪、绿化年均灌水定额可按附表</w:t>
      </w:r>
      <w:r w:rsidRPr="00913C78">
        <w:rPr>
          <w:rFonts w:hint="eastAsia"/>
        </w:rPr>
        <w:t>B.3.1</w:t>
      </w:r>
      <w:r w:rsidRPr="00913C78">
        <w:rPr>
          <w:rFonts w:hint="eastAsia"/>
        </w:rPr>
        <w:t>的规定确定。</w:t>
      </w:r>
    </w:p>
    <w:p w14:paraId="02684B47" w14:textId="77777777" w:rsidR="00913C78" w:rsidRPr="00913C78" w:rsidRDefault="00913C78" w:rsidP="00CC545E">
      <w:pPr>
        <w:pStyle w:val="ae"/>
      </w:pPr>
      <w:r w:rsidRPr="00913C78">
        <w:rPr>
          <w:rFonts w:hint="eastAsia"/>
        </w:rPr>
        <w:t>附表</w:t>
      </w:r>
      <w:r w:rsidRPr="00913C78">
        <w:rPr>
          <w:rFonts w:hint="eastAsia"/>
        </w:rPr>
        <w:t xml:space="preserve">B.3.1 </w:t>
      </w:r>
      <w:r w:rsidRPr="00913C78">
        <w:t xml:space="preserve"> </w:t>
      </w:r>
      <w:r w:rsidRPr="00913C78">
        <w:rPr>
          <w:rFonts w:hint="eastAsia"/>
        </w:rPr>
        <w:t>浇洒草坪、绿化年均灌水定额</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1832"/>
        <w:gridCol w:w="1847"/>
        <w:gridCol w:w="1846"/>
        <w:gridCol w:w="1846"/>
      </w:tblGrid>
      <w:tr w:rsidR="00913C78" w:rsidRPr="00CC545E" w14:paraId="7FF19C1A" w14:textId="77777777" w:rsidTr="008F38C5">
        <w:trPr>
          <w:jc w:val="center"/>
        </w:trPr>
        <w:tc>
          <w:tcPr>
            <w:tcW w:w="1985" w:type="dxa"/>
            <w:vMerge w:val="restart"/>
            <w:shd w:val="clear" w:color="auto" w:fill="auto"/>
            <w:vAlign w:val="center"/>
          </w:tcPr>
          <w:p w14:paraId="761CA297" w14:textId="77777777" w:rsidR="00913C78" w:rsidRPr="00CC545E" w:rsidRDefault="00913C78" w:rsidP="00CC545E">
            <w:pPr>
              <w:pStyle w:val="ae"/>
              <w:rPr>
                <w:b w:val="0"/>
                <w:bCs/>
              </w:rPr>
            </w:pPr>
            <w:r w:rsidRPr="00CC545E">
              <w:rPr>
                <w:rFonts w:hint="eastAsia"/>
                <w:b w:val="0"/>
                <w:bCs/>
              </w:rPr>
              <w:t>草坪种类</w:t>
            </w:r>
          </w:p>
        </w:tc>
        <w:tc>
          <w:tcPr>
            <w:tcW w:w="5953" w:type="dxa"/>
            <w:gridSpan w:val="3"/>
            <w:shd w:val="clear" w:color="auto" w:fill="auto"/>
            <w:vAlign w:val="center"/>
          </w:tcPr>
          <w:p w14:paraId="43968177" w14:textId="77777777" w:rsidR="00913C78" w:rsidRPr="00CC545E" w:rsidRDefault="00913C78" w:rsidP="00CC545E">
            <w:pPr>
              <w:pStyle w:val="ae"/>
              <w:rPr>
                <w:b w:val="0"/>
                <w:bCs/>
              </w:rPr>
            </w:pPr>
            <w:r w:rsidRPr="00CC545E">
              <w:rPr>
                <w:rFonts w:hint="eastAsia"/>
                <w:b w:val="0"/>
                <w:bCs/>
              </w:rPr>
              <w:t>灌水定额［</w:t>
            </w:r>
            <w:r w:rsidRPr="00CC545E">
              <w:rPr>
                <w:rFonts w:hint="eastAsia"/>
                <w:b w:val="0"/>
                <w:bCs/>
              </w:rPr>
              <w:t>m</w:t>
            </w:r>
            <w:r w:rsidRPr="00CC545E">
              <w:rPr>
                <w:b w:val="0"/>
                <w:bCs/>
                <w:vertAlign w:val="superscript"/>
              </w:rPr>
              <w:t>3</w:t>
            </w:r>
            <w:r w:rsidRPr="00CC545E">
              <w:rPr>
                <w:b w:val="0"/>
                <w:bCs/>
              </w:rPr>
              <w:t>/</w:t>
            </w:r>
            <w:r w:rsidRPr="00CC545E">
              <w:rPr>
                <w:rFonts w:hint="eastAsia"/>
                <w:b w:val="0"/>
                <w:bCs/>
              </w:rPr>
              <w:t>（</w:t>
            </w:r>
            <w:r w:rsidRPr="00CC545E">
              <w:rPr>
                <w:b w:val="0"/>
                <w:bCs/>
              </w:rPr>
              <w:t>m</w:t>
            </w:r>
            <w:r w:rsidRPr="00CC545E">
              <w:rPr>
                <w:b w:val="0"/>
                <w:bCs/>
                <w:vertAlign w:val="superscript"/>
              </w:rPr>
              <w:t>2</w:t>
            </w:r>
            <w:r w:rsidRPr="00CC545E">
              <w:rPr>
                <w:rFonts w:hint="eastAsia"/>
                <w:b w:val="0"/>
                <w:bCs/>
              </w:rPr>
              <w:t>·</w:t>
            </w:r>
            <w:r w:rsidRPr="00CC545E">
              <w:rPr>
                <w:b w:val="0"/>
                <w:bCs/>
              </w:rPr>
              <w:t>a</w:t>
            </w:r>
            <w:r w:rsidRPr="00CC545E">
              <w:rPr>
                <w:rFonts w:hint="eastAsia"/>
                <w:b w:val="0"/>
                <w:bCs/>
              </w:rPr>
              <w:t>）］</w:t>
            </w:r>
          </w:p>
        </w:tc>
      </w:tr>
      <w:tr w:rsidR="00913C78" w:rsidRPr="00CC545E" w14:paraId="6CD63189" w14:textId="77777777" w:rsidTr="008F38C5">
        <w:trPr>
          <w:jc w:val="center"/>
        </w:trPr>
        <w:tc>
          <w:tcPr>
            <w:tcW w:w="1985" w:type="dxa"/>
            <w:vMerge/>
            <w:shd w:val="clear" w:color="auto" w:fill="auto"/>
            <w:vAlign w:val="center"/>
          </w:tcPr>
          <w:p w14:paraId="72FE8488" w14:textId="77777777" w:rsidR="00913C78" w:rsidRPr="00CC545E" w:rsidRDefault="00913C78" w:rsidP="00CC545E">
            <w:pPr>
              <w:pStyle w:val="ae"/>
              <w:rPr>
                <w:b w:val="0"/>
                <w:bCs/>
              </w:rPr>
            </w:pPr>
          </w:p>
        </w:tc>
        <w:tc>
          <w:tcPr>
            <w:tcW w:w="1985" w:type="dxa"/>
            <w:shd w:val="clear" w:color="auto" w:fill="auto"/>
            <w:vAlign w:val="center"/>
          </w:tcPr>
          <w:p w14:paraId="292F559C" w14:textId="77777777" w:rsidR="00913C78" w:rsidRPr="00CC545E" w:rsidRDefault="00913C78" w:rsidP="00CC545E">
            <w:pPr>
              <w:pStyle w:val="ae"/>
              <w:rPr>
                <w:b w:val="0"/>
                <w:bCs/>
              </w:rPr>
            </w:pPr>
            <w:r w:rsidRPr="00CC545E">
              <w:rPr>
                <w:rFonts w:hint="eastAsia"/>
                <w:b w:val="0"/>
                <w:bCs/>
              </w:rPr>
              <w:t>特级养护</w:t>
            </w:r>
          </w:p>
        </w:tc>
        <w:tc>
          <w:tcPr>
            <w:tcW w:w="1984" w:type="dxa"/>
            <w:shd w:val="clear" w:color="auto" w:fill="auto"/>
            <w:vAlign w:val="center"/>
          </w:tcPr>
          <w:p w14:paraId="17F4136C" w14:textId="77777777" w:rsidR="00913C78" w:rsidRPr="00CC545E" w:rsidRDefault="00913C78" w:rsidP="00CC545E">
            <w:pPr>
              <w:pStyle w:val="ae"/>
              <w:rPr>
                <w:b w:val="0"/>
                <w:bCs/>
              </w:rPr>
            </w:pPr>
            <w:r w:rsidRPr="00CC545E">
              <w:rPr>
                <w:rFonts w:hint="eastAsia"/>
                <w:b w:val="0"/>
                <w:bCs/>
              </w:rPr>
              <w:t>一级养护</w:t>
            </w:r>
          </w:p>
        </w:tc>
        <w:tc>
          <w:tcPr>
            <w:tcW w:w="1984" w:type="dxa"/>
            <w:shd w:val="clear" w:color="auto" w:fill="auto"/>
            <w:vAlign w:val="center"/>
          </w:tcPr>
          <w:p w14:paraId="0999D03C" w14:textId="77777777" w:rsidR="00913C78" w:rsidRPr="00CC545E" w:rsidRDefault="00913C78" w:rsidP="00CC545E">
            <w:pPr>
              <w:pStyle w:val="ae"/>
              <w:rPr>
                <w:b w:val="0"/>
                <w:bCs/>
              </w:rPr>
            </w:pPr>
            <w:r w:rsidRPr="00CC545E">
              <w:rPr>
                <w:rFonts w:hint="eastAsia"/>
                <w:b w:val="0"/>
                <w:bCs/>
              </w:rPr>
              <w:t>二级养护</w:t>
            </w:r>
          </w:p>
        </w:tc>
      </w:tr>
      <w:tr w:rsidR="00913C78" w:rsidRPr="00CC545E" w14:paraId="259D5259" w14:textId="77777777" w:rsidTr="008F38C5">
        <w:trPr>
          <w:jc w:val="center"/>
        </w:trPr>
        <w:tc>
          <w:tcPr>
            <w:tcW w:w="1985" w:type="dxa"/>
            <w:shd w:val="clear" w:color="auto" w:fill="auto"/>
            <w:vAlign w:val="center"/>
          </w:tcPr>
          <w:p w14:paraId="70374742" w14:textId="77777777" w:rsidR="00913C78" w:rsidRPr="00CC545E" w:rsidRDefault="00913C78" w:rsidP="00CC545E">
            <w:pPr>
              <w:pStyle w:val="ae"/>
              <w:rPr>
                <w:b w:val="0"/>
                <w:bCs/>
              </w:rPr>
            </w:pPr>
            <w:r w:rsidRPr="00CC545E">
              <w:rPr>
                <w:rFonts w:hint="eastAsia"/>
                <w:b w:val="0"/>
                <w:bCs/>
              </w:rPr>
              <w:t>冷季型</w:t>
            </w:r>
          </w:p>
        </w:tc>
        <w:tc>
          <w:tcPr>
            <w:tcW w:w="1985" w:type="dxa"/>
            <w:shd w:val="clear" w:color="auto" w:fill="auto"/>
            <w:vAlign w:val="center"/>
          </w:tcPr>
          <w:p w14:paraId="13B59DCC" w14:textId="77777777" w:rsidR="00913C78" w:rsidRPr="00CC545E" w:rsidRDefault="00913C78" w:rsidP="00CC545E">
            <w:pPr>
              <w:pStyle w:val="ae"/>
              <w:rPr>
                <w:b w:val="0"/>
                <w:bCs/>
              </w:rPr>
            </w:pPr>
            <w:r w:rsidRPr="00CC545E">
              <w:rPr>
                <w:rFonts w:hint="eastAsia"/>
                <w:b w:val="0"/>
                <w:bCs/>
              </w:rPr>
              <w:t>0.66</w:t>
            </w:r>
          </w:p>
        </w:tc>
        <w:tc>
          <w:tcPr>
            <w:tcW w:w="1984" w:type="dxa"/>
            <w:shd w:val="clear" w:color="auto" w:fill="auto"/>
            <w:vAlign w:val="center"/>
          </w:tcPr>
          <w:p w14:paraId="39736776" w14:textId="77777777" w:rsidR="00913C78" w:rsidRPr="00CC545E" w:rsidRDefault="00913C78" w:rsidP="00CC545E">
            <w:pPr>
              <w:pStyle w:val="ae"/>
              <w:rPr>
                <w:b w:val="0"/>
                <w:bCs/>
              </w:rPr>
            </w:pPr>
            <w:r w:rsidRPr="00CC545E">
              <w:rPr>
                <w:rFonts w:hint="eastAsia"/>
                <w:b w:val="0"/>
                <w:bCs/>
              </w:rPr>
              <w:t>0.50</w:t>
            </w:r>
          </w:p>
        </w:tc>
        <w:tc>
          <w:tcPr>
            <w:tcW w:w="1984" w:type="dxa"/>
            <w:shd w:val="clear" w:color="auto" w:fill="auto"/>
            <w:vAlign w:val="center"/>
          </w:tcPr>
          <w:p w14:paraId="1B54F73B" w14:textId="77777777" w:rsidR="00913C78" w:rsidRPr="00CC545E" w:rsidRDefault="00913C78" w:rsidP="00CC545E">
            <w:pPr>
              <w:pStyle w:val="ae"/>
              <w:rPr>
                <w:b w:val="0"/>
                <w:bCs/>
              </w:rPr>
            </w:pPr>
            <w:r w:rsidRPr="00CC545E">
              <w:rPr>
                <w:rFonts w:hint="eastAsia"/>
                <w:b w:val="0"/>
                <w:bCs/>
              </w:rPr>
              <w:t>0.28</w:t>
            </w:r>
          </w:p>
        </w:tc>
      </w:tr>
      <w:tr w:rsidR="00913C78" w:rsidRPr="00CC545E" w14:paraId="4EFA2C2E" w14:textId="77777777" w:rsidTr="008F38C5">
        <w:trPr>
          <w:jc w:val="center"/>
        </w:trPr>
        <w:tc>
          <w:tcPr>
            <w:tcW w:w="1985" w:type="dxa"/>
            <w:shd w:val="clear" w:color="auto" w:fill="auto"/>
            <w:vAlign w:val="center"/>
          </w:tcPr>
          <w:p w14:paraId="1F6CF7DA" w14:textId="77777777" w:rsidR="00913C78" w:rsidRPr="00CC545E" w:rsidRDefault="00913C78" w:rsidP="00CC545E">
            <w:pPr>
              <w:pStyle w:val="ae"/>
              <w:rPr>
                <w:b w:val="0"/>
                <w:bCs/>
              </w:rPr>
            </w:pPr>
            <w:r w:rsidRPr="00CC545E">
              <w:rPr>
                <w:rFonts w:hint="eastAsia"/>
                <w:b w:val="0"/>
                <w:bCs/>
              </w:rPr>
              <w:t>暖季型</w:t>
            </w:r>
          </w:p>
        </w:tc>
        <w:tc>
          <w:tcPr>
            <w:tcW w:w="1985" w:type="dxa"/>
            <w:shd w:val="clear" w:color="auto" w:fill="auto"/>
            <w:vAlign w:val="center"/>
          </w:tcPr>
          <w:p w14:paraId="326D1FAB" w14:textId="77777777" w:rsidR="00913C78" w:rsidRPr="00CC545E" w:rsidRDefault="00913C78" w:rsidP="00CC545E">
            <w:pPr>
              <w:pStyle w:val="ae"/>
              <w:rPr>
                <w:b w:val="0"/>
                <w:bCs/>
              </w:rPr>
            </w:pPr>
            <w:r w:rsidRPr="00CC545E">
              <w:rPr>
                <w:rFonts w:hint="eastAsia"/>
                <w:b w:val="0"/>
                <w:bCs/>
              </w:rPr>
              <w:t>—</w:t>
            </w:r>
          </w:p>
        </w:tc>
        <w:tc>
          <w:tcPr>
            <w:tcW w:w="1984" w:type="dxa"/>
            <w:shd w:val="clear" w:color="auto" w:fill="auto"/>
            <w:vAlign w:val="center"/>
          </w:tcPr>
          <w:p w14:paraId="1F64A2D0" w14:textId="77777777" w:rsidR="00913C78" w:rsidRPr="00CC545E" w:rsidRDefault="00913C78" w:rsidP="00CC545E">
            <w:pPr>
              <w:pStyle w:val="ae"/>
              <w:rPr>
                <w:b w:val="0"/>
                <w:bCs/>
              </w:rPr>
            </w:pPr>
            <w:r w:rsidRPr="00CC545E">
              <w:rPr>
                <w:rFonts w:hint="eastAsia"/>
                <w:b w:val="0"/>
                <w:bCs/>
              </w:rPr>
              <w:t>0.28</w:t>
            </w:r>
          </w:p>
        </w:tc>
        <w:tc>
          <w:tcPr>
            <w:tcW w:w="1984" w:type="dxa"/>
            <w:shd w:val="clear" w:color="auto" w:fill="auto"/>
            <w:vAlign w:val="center"/>
          </w:tcPr>
          <w:p w14:paraId="72C6C82C" w14:textId="77777777" w:rsidR="00913C78" w:rsidRPr="00CC545E" w:rsidRDefault="00913C78" w:rsidP="00CC545E">
            <w:pPr>
              <w:pStyle w:val="ae"/>
              <w:rPr>
                <w:b w:val="0"/>
                <w:bCs/>
              </w:rPr>
            </w:pPr>
            <w:r w:rsidRPr="00CC545E">
              <w:rPr>
                <w:rFonts w:hint="eastAsia"/>
                <w:b w:val="0"/>
                <w:bCs/>
              </w:rPr>
              <w:t>0.12</w:t>
            </w:r>
          </w:p>
        </w:tc>
      </w:tr>
    </w:tbl>
    <w:p w14:paraId="6E7DC5A3" w14:textId="77777777" w:rsidR="00913C78" w:rsidRPr="00913C78" w:rsidRDefault="00913C78" w:rsidP="00913C78">
      <w:pPr>
        <w:ind w:firstLine="420"/>
      </w:pPr>
    </w:p>
    <w:p w14:paraId="6A13F1C1" w14:textId="77777777" w:rsidR="00913C78" w:rsidRPr="00913C78" w:rsidRDefault="00913C78" w:rsidP="00913C78">
      <w:pPr>
        <w:ind w:firstLine="420"/>
      </w:pPr>
      <w:r w:rsidRPr="00913C78">
        <w:t>5</w:t>
      </w:r>
      <w:r w:rsidRPr="00913C78">
        <w:rPr>
          <w:rFonts w:hint="eastAsia"/>
        </w:rPr>
        <w:t>）</w:t>
      </w:r>
      <w:r w:rsidRPr="00913C78">
        <w:t> </w:t>
      </w:r>
      <w:r w:rsidRPr="00913C78">
        <w:rPr>
          <w:rFonts w:hint="eastAsia"/>
        </w:rPr>
        <w:t>冲洗路面、地面等用水量。浇洒道路用水定额可根据路面性质按附表</w:t>
      </w:r>
      <w:r w:rsidRPr="00913C78">
        <w:rPr>
          <w:rFonts w:hint="eastAsia"/>
        </w:rPr>
        <w:t>B</w:t>
      </w:r>
      <w:r w:rsidRPr="00913C78">
        <w:t>.3.</w:t>
      </w:r>
      <w:r w:rsidRPr="00913C78">
        <w:rPr>
          <w:rFonts w:hint="eastAsia"/>
        </w:rPr>
        <w:t>2</w:t>
      </w:r>
      <w:r w:rsidRPr="00913C78">
        <w:rPr>
          <w:rFonts w:hint="eastAsia"/>
        </w:rPr>
        <w:t>的规定选用，并应考虑气象条件因素后综合确定。</w:t>
      </w:r>
    </w:p>
    <w:p w14:paraId="1A2E568D" w14:textId="77777777" w:rsidR="00913C78" w:rsidRPr="00913C78" w:rsidRDefault="00913C78" w:rsidP="00CC545E">
      <w:pPr>
        <w:pStyle w:val="ae"/>
      </w:pPr>
      <w:r w:rsidRPr="00913C78">
        <w:rPr>
          <w:rFonts w:hint="eastAsia"/>
        </w:rPr>
        <w:t>附表</w:t>
      </w:r>
      <w:r w:rsidRPr="00913C78">
        <w:rPr>
          <w:rFonts w:hint="eastAsia"/>
        </w:rPr>
        <w:t>B</w:t>
      </w:r>
      <w:r w:rsidRPr="00913C78">
        <w:t>.3.</w:t>
      </w:r>
      <w:r w:rsidRPr="00913C78">
        <w:rPr>
          <w:rFonts w:hint="eastAsia"/>
        </w:rPr>
        <w:t>2</w:t>
      </w:r>
      <w:r w:rsidRPr="00913C78">
        <w:t xml:space="preserve"> </w:t>
      </w:r>
      <w:r w:rsidRPr="00913C78">
        <w:rPr>
          <w:rFonts w:hint="eastAsia"/>
        </w:rPr>
        <w:t xml:space="preserve"> </w:t>
      </w:r>
      <w:r w:rsidRPr="00913C78">
        <w:rPr>
          <w:rFonts w:hint="eastAsia"/>
        </w:rPr>
        <w:t>浇洒道路用水定额</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3591"/>
        <w:gridCol w:w="3780"/>
      </w:tblGrid>
      <w:tr w:rsidR="00913C78" w:rsidRPr="00CC545E" w14:paraId="774E842C" w14:textId="77777777" w:rsidTr="008F38C5">
        <w:trPr>
          <w:jc w:val="center"/>
        </w:trPr>
        <w:tc>
          <w:tcPr>
            <w:tcW w:w="4264" w:type="dxa"/>
            <w:shd w:val="clear" w:color="auto" w:fill="auto"/>
            <w:vAlign w:val="center"/>
          </w:tcPr>
          <w:p w14:paraId="7EBB261A" w14:textId="77777777" w:rsidR="00913C78" w:rsidRPr="00CC545E" w:rsidRDefault="00913C78" w:rsidP="00CC545E">
            <w:pPr>
              <w:pStyle w:val="ae"/>
              <w:rPr>
                <w:b w:val="0"/>
                <w:bCs/>
              </w:rPr>
            </w:pPr>
            <w:r w:rsidRPr="00CC545E">
              <w:rPr>
                <w:rFonts w:hint="eastAsia"/>
                <w:b w:val="0"/>
                <w:bCs/>
              </w:rPr>
              <w:t>路面性质</w:t>
            </w:r>
          </w:p>
        </w:tc>
        <w:tc>
          <w:tcPr>
            <w:tcW w:w="4264" w:type="dxa"/>
            <w:shd w:val="clear" w:color="auto" w:fill="auto"/>
            <w:vAlign w:val="center"/>
          </w:tcPr>
          <w:p w14:paraId="6CB1AD34" w14:textId="77777777" w:rsidR="00913C78" w:rsidRPr="00CC545E" w:rsidRDefault="00913C78" w:rsidP="00CC545E">
            <w:pPr>
              <w:pStyle w:val="ae"/>
              <w:rPr>
                <w:b w:val="0"/>
                <w:bCs/>
              </w:rPr>
            </w:pPr>
            <w:r w:rsidRPr="00CC545E">
              <w:rPr>
                <w:rFonts w:hint="eastAsia"/>
                <w:b w:val="0"/>
                <w:bCs/>
              </w:rPr>
              <w:t>用水定额</w:t>
            </w:r>
            <w:r w:rsidRPr="00CC545E">
              <w:rPr>
                <w:rFonts w:hint="eastAsia"/>
                <w:b w:val="0"/>
                <w:bCs/>
              </w:rPr>
              <w:t>/</w:t>
            </w:r>
            <w:r w:rsidRPr="00CC545E">
              <w:rPr>
                <w:rFonts w:hint="eastAsia"/>
                <w:b w:val="0"/>
                <w:bCs/>
              </w:rPr>
              <w:t>［</w:t>
            </w:r>
            <w:r w:rsidRPr="00CC545E">
              <w:rPr>
                <w:rFonts w:hint="eastAsia"/>
                <w:b w:val="0"/>
                <w:bCs/>
              </w:rPr>
              <w:t>L/</w:t>
            </w:r>
            <w:r w:rsidRPr="00CC545E">
              <w:rPr>
                <w:rFonts w:hint="eastAsia"/>
                <w:b w:val="0"/>
                <w:bCs/>
              </w:rPr>
              <w:t>（</w:t>
            </w:r>
            <w:r w:rsidRPr="00CC545E">
              <w:rPr>
                <w:b w:val="0"/>
                <w:bCs/>
              </w:rPr>
              <w:t>m</w:t>
            </w:r>
            <w:r w:rsidRPr="00643310">
              <w:rPr>
                <w:b w:val="0"/>
                <w:bCs/>
                <w:vertAlign w:val="superscript"/>
              </w:rPr>
              <w:t>2</w:t>
            </w:r>
            <w:r w:rsidRPr="00CC545E">
              <w:rPr>
                <w:rFonts w:hint="eastAsia"/>
                <w:b w:val="0"/>
                <w:bCs/>
              </w:rPr>
              <w:t>·次）］</w:t>
            </w:r>
          </w:p>
        </w:tc>
      </w:tr>
      <w:tr w:rsidR="00913C78" w:rsidRPr="00CC545E" w14:paraId="6BFD0373" w14:textId="77777777" w:rsidTr="008F38C5">
        <w:trPr>
          <w:jc w:val="center"/>
        </w:trPr>
        <w:tc>
          <w:tcPr>
            <w:tcW w:w="4264" w:type="dxa"/>
            <w:shd w:val="clear" w:color="auto" w:fill="auto"/>
            <w:vAlign w:val="center"/>
          </w:tcPr>
          <w:p w14:paraId="1A317590" w14:textId="77777777" w:rsidR="00913C78" w:rsidRPr="00CC545E" w:rsidRDefault="00913C78" w:rsidP="00CC545E">
            <w:pPr>
              <w:pStyle w:val="ae"/>
              <w:rPr>
                <w:b w:val="0"/>
                <w:bCs/>
              </w:rPr>
            </w:pPr>
            <w:r w:rsidRPr="00CC545E">
              <w:rPr>
                <w:rFonts w:hint="eastAsia"/>
                <w:b w:val="0"/>
                <w:bCs/>
              </w:rPr>
              <w:t>碎石路面</w:t>
            </w:r>
          </w:p>
        </w:tc>
        <w:tc>
          <w:tcPr>
            <w:tcW w:w="4264" w:type="dxa"/>
            <w:shd w:val="clear" w:color="auto" w:fill="auto"/>
            <w:vAlign w:val="center"/>
          </w:tcPr>
          <w:p w14:paraId="7677C63D" w14:textId="77777777" w:rsidR="00913C78" w:rsidRPr="00CC545E" w:rsidRDefault="00913C78" w:rsidP="00CC545E">
            <w:pPr>
              <w:pStyle w:val="ae"/>
              <w:rPr>
                <w:b w:val="0"/>
                <w:bCs/>
              </w:rPr>
            </w:pPr>
            <w:r w:rsidRPr="00CC545E">
              <w:rPr>
                <w:rFonts w:hint="eastAsia"/>
                <w:b w:val="0"/>
                <w:bCs/>
              </w:rPr>
              <w:t>0.40</w:t>
            </w:r>
            <w:r w:rsidRPr="00CC545E">
              <w:rPr>
                <w:rFonts w:hint="eastAsia"/>
                <w:b w:val="0"/>
                <w:bCs/>
              </w:rPr>
              <w:t>～</w:t>
            </w:r>
            <w:r w:rsidRPr="00CC545E">
              <w:rPr>
                <w:rFonts w:hint="eastAsia"/>
                <w:b w:val="0"/>
                <w:bCs/>
              </w:rPr>
              <w:t>0.70</w:t>
            </w:r>
          </w:p>
        </w:tc>
      </w:tr>
      <w:tr w:rsidR="00913C78" w:rsidRPr="00CC545E" w14:paraId="16CEC6F1" w14:textId="77777777" w:rsidTr="008F38C5">
        <w:trPr>
          <w:jc w:val="center"/>
        </w:trPr>
        <w:tc>
          <w:tcPr>
            <w:tcW w:w="4264" w:type="dxa"/>
            <w:shd w:val="clear" w:color="auto" w:fill="auto"/>
            <w:vAlign w:val="center"/>
          </w:tcPr>
          <w:p w14:paraId="647A4531" w14:textId="77777777" w:rsidR="00913C78" w:rsidRPr="00CC545E" w:rsidRDefault="00913C78" w:rsidP="00CC545E">
            <w:pPr>
              <w:pStyle w:val="ae"/>
              <w:rPr>
                <w:b w:val="0"/>
                <w:bCs/>
              </w:rPr>
            </w:pPr>
            <w:r w:rsidRPr="00CC545E">
              <w:rPr>
                <w:rFonts w:hint="eastAsia"/>
                <w:b w:val="0"/>
                <w:bCs/>
              </w:rPr>
              <w:t>土路面</w:t>
            </w:r>
          </w:p>
        </w:tc>
        <w:tc>
          <w:tcPr>
            <w:tcW w:w="4264" w:type="dxa"/>
            <w:shd w:val="clear" w:color="auto" w:fill="auto"/>
            <w:vAlign w:val="center"/>
          </w:tcPr>
          <w:p w14:paraId="41BD50BA" w14:textId="77777777" w:rsidR="00913C78" w:rsidRPr="00CC545E" w:rsidRDefault="00913C78" w:rsidP="00CC545E">
            <w:pPr>
              <w:pStyle w:val="ae"/>
              <w:rPr>
                <w:b w:val="0"/>
                <w:bCs/>
              </w:rPr>
            </w:pPr>
            <w:r w:rsidRPr="00CC545E">
              <w:rPr>
                <w:rFonts w:hint="eastAsia"/>
                <w:b w:val="0"/>
                <w:bCs/>
              </w:rPr>
              <w:t>1.00</w:t>
            </w:r>
            <w:r w:rsidRPr="00CC545E">
              <w:rPr>
                <w:rFonts w:hint="eastAsia"/>
                <w:b w:val="0"/>
                <w:bCs/>
              </w:rPr>
              <w:t>～</w:t>
            </w:r>
            <w:r w:rsidRPr="00CC545E">
              <w:rPr>
                <w:rFonts w:hint="eastAsia"/>
                <w:b w:val="0"/>
                <w:bCs/>
              </w:rPr>
              <w:t>1.50</w:t>
            </w:r>
          </w:p>
        </w:tc>
      </w:tr>
      <w:tr w:rsidR="00913C78" w:rsidRPr="00CC545E" w14:paraId="5645DBF5" w14:textId="77777777" w:rsidTr="008F38C5">
        <w:trPr>
          <w:jc w:val="center"/>
        </w:trPr>
        <w:tc>
          <w:tcPr>
            <w:tcW w:w="4264" w:type="dxa"/>
            <w:shd w:val="clear" w:color="auto" w:fill="auto"/>
            <w:vAlign w:val="center"/>
          </w:tcPr>
          <w:p w14:paraId="15B2B716" w14:textId="77777777" w:rsidR="00913C78" w:rsidRPr="00CC545E" w:rsidRDefault="00913C78" w:rsidP="00CC545E">
            <w:pPr>
              <w:pStyle w:val="ae"/>
              <w:rPr>
                <w:b w:val="0"/>
                <w:bCs/>
              </w:rPr>
            </w:pPr>
            <w:r w:rsidRPr="00CC545E">
              <w:rPr>
                <w:rFonts w:hint="eastAsia"/>
                <w:b w:val="0"/>
                <w:bCs/>
              </w:rPr>
              <w:t>水泥或沥青路面</w:t>
            </w:r>
          </w:p>
        </w:tc>
        <w:tc>
          <w:tcPr>
            <w:tcW w:w="4264" w:type="dxa"/>
            <w:shd w:val="clear" w:color="auto" w:fill="auto"/>
            <w:vAlign w:val="center"/>
          </w:tcPr>
          <w:p w14:paraId="04268EED" w14:textId="77777777" w:rsidR="00913C78" w:rsidRPr="00CC545E" w:rsidRDefault="00913C78" w:rsidP="00CC545E">
            <w:pPr>
              <w:pStyle w:val="ae"/>
              <w:rPr>
                <w:b w:val="0"/>
                <w:bCs/>
              </w:rPr>
            </w:pPr>
            <w:r w:rsidRPr="00CC545E">
              <w:rPr>
                <w:rFonts w:hint="eastAsia"/>
                <w:b w:val="0"/>
                <w:bCs/>
              </w:rPr>
              <w:t>0.20</w:t>
            </w:r>
            <w:r w:rsidRPr="00CC545E">
              <w:rPr>
                <w:rFonts w:hint="eastAsia"/>
                <w:b w:val="0"/>
                <w:bCs/>
              </w:rPr>
              <w:t>～</w:t>
            </w:r>
            <w:r w:rsidRPr="00CC545E">
              <w:rPr>
                <w:rFonts w:hint="eastAsia"/>
                <w:b w:val="0"/>
                <w:bCs/>
              </w:rPr>
              <w:t>0.50</w:t>
            </w:r>
          </w:p>
        </w:tc>
      </w:tr>
    </w:tbl>
    <w:p w14:paraId="5114393E" w14:textId="77777777" w:rsidR="00913C78" w:rsidRPr="00913C78" w:rsidRDefault="00913C78" w:rsidP="00913C78">
      <w:pPr>
        <w:ind w:firstLine="420"/>
      </w:pPr>
      <w:r w:rsidRPr="00913C78">
        <w:rPr>
          <w:rFonts w:hint="eastAsia"/>
        </w:rPr>
        <w:t>注</w:t>
      </w:r>
      <w:r w:rsidRPr="00913C78">
        <w:t>：</w:t>
      </w:r>
      <w:r w:rsidRPr="00913C78">
        <w:rPr>
          <w:rFonts w:hint="eastAsia"/>
        </w:rPr>
        <w:t xml:space="preserve">1. </w:t>
      </w:r>
      <w:r w:rsidRPr="00913C78">
        <w:rPr>
          <w:rFonts w:hint="eastAsia"/>
        </w:rPr>
        <w:t>广场浇洒用水定额亦可参照本表选用。</w:t>
      </w:r>
    </w:p>
    <w:p w14:paraId="0FE4E74D" w14:textId="27952B7D" w:rsidR="00913C78" w:rsidRPr="00913C78" w:rsidRDefault="00913C78" w:rsidP="00CC545E">
      <w:pPr>
        <w:ind w:firstLineChars="400" w:firstLine="840"/>
      </w:pPr>
      <w:r w:rsidRPr="00913C78">
        <w:rPr>
          <w:rFonts w:hint="eastAsia"/>
        </w:rPr>
        <w:t xml:space="preserve">2. </w:t>
      </w:r>
      <w:r w:rsidRPr="00913C78">
        <w:rPr>
          <w:rFonts w:hint="eastAsia"/>
        </w:rPr>
        <w:t>每年浇洒天数按当地情况确定，如</w:t>
      </w:r>
      <w:r w:rsidRPr="00913C78">
        <w:t>无数据</w:t>
      </w:r>
      <w:r w:rsidRPr="00913C78">
        <w:rPr>
          <w:rFonts w:hint="eastAsia"/>
        </w:rPr>
        <w:t>年浇洒次数可按</w:t>
      </w:r>
      <w:r w:rsidRPr="00913C78">
        <w:rPr>
          <w:rFonts w:hint="eastAsia"/>
        </w:rPr>
        <w:t>30</w:t>
      </w:r>
      <w:r w:rsidRPr="00913C78">
        <w:rPr>
          <w:rFonts w:hint="eastAsia"/>
        </w:rPr>
        <w:t>次计。</w:t>
      </w:r>
    </w:p>
    <w:p w14:paraId="5B8A3E67" w14:textId="77777777" w:rsidR="00913C78" w:rsidRPr="00913C78" w:rsidRDefault="00913C78" w:rsidP="00913C78">
      <w:pPr>
        <w:ind w:firstLine="420"/>
      </w:pPr>
    </w:p>
    <w:p w14:paraId="6188CF8E" w14:textId="77777777" w:rsidR="00913C78" w:rsidRPr="00913C78" w:rsidRDefault="00913C78" w:rsidP="00913C78">
      <w:pPr>
        <w:ind w:firstLine="420"/>
      </w:pPr>
      <w:r w:rsidRPr="00913C78">
        <w:t>6</w:t>
      </w:r>
      <w:r w:rsidRPr="00913C78">
        <w:rPr>
          <w:rFonts w:hint="eastAsia"/>
        </w:rPr>
        <w:t>）</w:t>
      </w:r>
      <w:r w:rsidRPr="00913C78">
        <w:t> </w:t>
      </w:r>
      <w:r w:rsidRPr="00913C78">
        <w:rPr>
          <w:rFonts w:hint="eastAsia"/>
        </w:rPr>
        <w:t>洗车场洗车用水量。</w:t>
      </w:r>
      <w:r w:rsidRPr="00913C78">
        <w:t>汽车冲洗用水定额应根据冲洗方式按</w:t>
      </w:r>
      <w:r w:rsidRPr="00913C78">
        <w:rPr>
          <w:rFonts w:hint="eastAsia"/>
        </w:rPr>
        <w:t>附</w:t>
      </w:r>
      <w:r w:rsidRPr="00913C78">
        <w:t>表</w:t>
      </w:r>
      <w:r w:rsidRPr="00913C78">
        <w:rPr>
          <w:rFonts w:hint="eastAsia"/>
        </w:rPr>
        <w:t>B</w:t>
      </w:r>
      <w:r w:rsidRPr="00913C78">
        <w:t>.3.</w:t>
      </w:r>
      <w:r w:rsidRPr="00913C78">
        <w:rPr>
          <w:rFonts w:hint="eastAsia"/>
        </w:rPr>
        <w:t>3</w:t>
      </w:r>
      <w:r w:rsidRPr="00913C78">
        <w:t>的规定选用，并应考虑车辆用途、道路路面等级和污染程度等因素后综合确定。附设在民用建筑中停车库抹车用水可按</w:t>
      </w:r>
      <w:r w:rsidRPr="00913C78">
        <w:t>10%</w:t>
      </w:r>
      <w:r w:rsidRPr="00913C78">
        <w:t>～</w:t>
      </w:r>
      <w:r w:rsidRPr="00913C78">
        <w:t>15%</w:t>
      </w:r>
      <w:r w:rsidRPr="00913C78">
        <w:t>轿车车位计。</w:t>
      </w:r>
    </w:p>
    <w:p w14:paraId="588F6821" w14:textId="77777777" w:rsidR="00913C78" w:rsidRPr="00913C78" w:rsidRDefault="00913C78" w:rsidP="00CC545E">
      <w:pPr>
        <w:pStyle w:val="ae"/>
      </w:pPr>
      <w:r w:rsidRPr="00913C78">
        <w:rPr>
          <w:rFonts w:hint="eastAsia"/>
        </w:rPr>
        <w:t>附</w:t>
      </w:r>
      <w:r w:rsidRPr="00913C78">
        <w:t>表</w:t>
      </w:r>
      <w:r w:rsidRPr="00913C78">
        <w:rPr>
          <w:rFonts w:hint="eastAsia"/>
        </w:rPr>
        <w:t>B</w:t>
      </w:r>
      <w:r w:rsidRPr="00913C78">
        <w:t>.3.</w:t>
      </w:r>
      <w:r w:rsidRPr="00913C78">
        <w:rPr>
          <w:rFonts w:hint="eastAsia"/>
        </w:rPr>
        <w:t xml:space="preserve">3 </w:t>
      </w:r>
      <w:r w:rsidRPr="00913C78">
        <w:t xml:space="preserve"> </w:t>
      </w:r>
      <w:r w:rsidRPr="00913C78">
        <w:rPr>
          <w:rFonts w:hint="eastAsia"/>
        </w:rPr>
        <w:t>汽车冲洗用水定额</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bottom w:w="28" w:type="dxa"/>
          <w:right w:w="28" w:type="dxa"/>
        </w:tblCellMar>
        <w:tblLook w:val="04A0" w:firstRow="1" w:lastRow="0" w:firstColumn="1" w:lastColumn="0" w:noHBand="0" w:noVBand="1"/>
      </w:tblPr>
      <w:tblGrid>
        <w:gridCol w:w="1410"/>
        <w:gridCol w:w="2408"/>
        <w:gridCol w:w="2674"/>
        <w:gridCol w:w="1876"/>
      </w:tblGrid>
      <w:tr w:rsidR="00913C78" w:rsidRPr="00CC545E" w14:paraId="0C31E650" w14:textId="77777777" w:rsidTr="008F38C5">
        <w:trPr>
          <w:jc w:val="center"/>
        </w:trPr>
        <w:tc>
          <w:tcPr>
            <w:tcW w:w="842" w:type="pct"/>
            <w:shd w:val="clear" w:color="auto" w:fill="auto"/>
            <w:vAlign w:val="center"/>
          </w:tcPr>
          <w:p w14:paraId="109AA943" w14:textId="77777777" w:rsidR="00913C78" w:rsidRPr="00CC545E" w:rsidRDefault="00913C78" w:rsidP="00CC545E">
            <w:pPr>
              <w:pStyle w:val="ae"/>
              <w:rPr>
                <w:b w:val="0"/>
                <w:bCs/>
              </w:rPr>
            </w:pPr>
            <w:r w:rsidRPr="00CC545E">
              <w:rPr>
                <w:rFonts w:hint="eastAsia"/>
                <w:b w:val="0"/>
                <w:bCs/>
              </w:rPr>
              <w:t>冲洗方式</w:t>
            </w:r>
          </w:p>
        </w:tc>
        <w:tc>
          <w:tcPr>
            <w:tcW w:w="1439" w:type="pct"/>
            <w:shd w:val="clear" w:color="auto" w:fill="auto"/>
            <w:vAlign w:val="center"/>
          </w:tcPr>
          <w:p w14:paraId="185C18B4" w14:textId="77777777" w:rsidR="00913C78" w:rsidRPr="00CC545E" w:rsidRDefault="00913C78" w:rsidP="00CC545E">
            <w:pPr>
              <w:pStyle w:val="ae"/>
              <w:rPr>
                <w:b w:val="0"/>
                <w:bCs/>
              </w:rPr>
            </w:pPr>
            <w:r w:rsidRPr="00CC545E">
              <w:rPr>
                <w:rFonts w:hint="eastAsia"/>
                <w:b w:val="0"/>
                <w:bCs/>
              </w:rPr>
              <w:t>高压水枪冲洗</w:t>
            </w:r>
            <w:r w:rsidRPr="00CC545E">
              <w:rPr>
                <w:rFonts w:hint="eastAsia"/>
                <w:b w:val="0"/>
                <w:bCs/>
              </w:rPr>
              <w:t>/</w:t>
            </w:r>
            <w:r w:rsidRPr="00CC545E">
              <w:rPr>
                <w:rFonts w:hint="eastAsia"/>
                <w:b w:val="0"/>
                <w:bCs/>
              </w:rPr>
              <w:t>［</w:t>
            </w:r>
            <w:r w:rsidRPr="00CC545E">
              <w:rPr>
                <w:rFonts w:hint="eastAsia"/>
                <w:b w:val="0"/>
                <w:bCs/>
              </w:rPr>
              <w:t>L/</w:t>
            </w:r>
            <w:r w:rsidRPr="00CC545E">
              <w:rPr>
                <w:rFonts w:hint="eastAsia"/>
                <w:b w:val="0"/>
                <w:bCs/>
              </w:rPr>
              <w:lastRenderedPageBreak/>
              <w:t>（辆·次）］</w:t>
            </w:r>
          </w:p>
        </w:tc>
        <w:tc>
          <w:tcPr>
            <w:tcW w:w="1598" w:type="pct"/>
            <w:shd w:val="clear" w:color="auto" w:fill="auto"/>
            <w:vAlign w:val="center"/>
          </w:tcPr>
          <w:p w14:paraId="202C6F0F" w14:textId="77777777" w:rsidR="00913C78" w:rsidRPr="00CC545E" w:rsidRDefault="00913C78" w:rsidP="00CC545E">
            <w:pPr>
              <w:pStyle w:val="ae"/>
              <w:rPr>
                <w:b w:val="0"/>
                <w:bCs/>
              </w:rPr>
            </w:pPr>
            <w:r w:rsidRPr="00CC545E">
              <w:rPr>
                <w:rFonts w:hint="eastAsia"/>
                <w:b w:val="0"/>
                <w:bCs/>
              </w:rPr>
              <w:lastRenderedPageBreak/>
              <w:t>循环用水冲洗补水</w:t>
            </w:r>
            <w:r w:rsidRPr="00CC545E">
              <w:rPr>
                <w:rFonts w:hint="eastAsia"/>
                <w:b w:val="0"/>
                <w:bCs/>
              </w:rPr>
              <w:t>/</w:t>
            </w:r>
            <w:r w:rsidRPr="00CC545E">
              <w:rPr>
                <w:rFonts w:hint="eastAsia"/>
                <w:b w:val="0"/>
                <w:bCs/>
              </w:rPr>
              <w:t>［</w:t>
            </w:r>
            <w:r w:rsidRPr="00CC545E">
              <w:rPr>
                <w:rFonts w:hint="eastAsia"/>
                <w:b w:val="0"/>
                <w:bCs/>
              </w:rPr>
              <w:t>L/</w:t>
            </w:r>
            <w:r w:rsidRPr="00CC545E">
              <w:rPr>
                <w:rFonts w:hint="eastAsia"/>
                <w:b w:val="0"/>
                <w:bCs/>
              </w:rPr>
              <w:lastRenderedPageBreak/>
              <w:t>（辆·次）］</w:t>
            </w:r>
          </w:p>
        </w:tc>
        <w:tc>
          <w:tcPr>
            <w:tcW w:w="1122" w:type="pct"/>
            <w:shd w:val="clear" w:color="auto" w:fill="auto"/>
            <w:vAlign w:val="center"/>
          </w:tcPr>
          <w:p w14:paraId="63AD58BB" w14:textId="77777777" w:rsidR="00913C78" w:rsidRPr="00CC545E" w:rsidRDefault="00913C78" w:rsidP="00CC545E">
            <w:pPr>
              <w:pStyle w:val="ae"/>
              <w:rPr>
                <w:b w:val="0"/>
                <w:bCs/>
              </w:rPr>
            </w:pPr>
            <w:r w:rsidRPr="00CC545E">
              <w:rPr>
                <w:rFonts w:hint="eastAsia"/>
                <w:b w:val="0"/>
                <w:bCs/>
              </w:rPr>
              <w:lastRenderedPageBreak/>
              <w:t>抹车</w:t>
            </w:r>
            <w:r w:rsidRPr="00CC545E">
              <w:rPr>
                <w:rFonts w:hint="eastAsia"/>
                <w:b w:val="0"/>
                <w:bCs/>
              </w:rPr>
              <w:t>/</w:t>
            </w:r>
            <w:r w:rsidRPr="00CC545E">
              <w:rPr>
                <w:rFonts w:hint="eastAsia"/>
                <w:b w:val="0"/>
                <w:bCs/>
              </w:rPr>
              <w:t>［</w:t>
            </w:r>
            <w:r w:rsidRPr="00CC545E">
              <w:rPr>
                <w:rFonts w:hint="eastAsia"/>
                <w:b w:val="0"/>
                <w:bCs/>
              </w:rPr>
              <w:t>L/</w:t>
            </w:r>
            <w:r w:rsidRPr="00CC545E">
              <w:rPr>
                <w:rFonts w:hint="eastAsia"/>
                <w:b w:val="0"/>
                <w:bCs/>
              </w:rPr>
              <w:t>（辆·次）］</w:t>
            </w:r>
          </w:p>
        </w:tc>
      </w:tr>
      <w:tr w:rsidR="00913C78" w:rsidRPr="00CC545E" w14:paraId="7C4F3D0C" w14:textId="77777777" w:rsidTr="008F38C5">
        <w:trPr>
          <w:jc w:val="center"/>
        </w:trPr>
        <w:tc>
          <w:tcPr>
            <w:tcW w:w="842" w:type="pct"/>
            <w:shd w:val="clear" w:color="auto" w:fill="auto"/>
            <w:vAlign w:val="center"/>
          </w:tcPr>
          <w:p w14:paraId="715D3F82" w14:textId="77777777" w:rsidR="00913C78" w:rsidRPr="00CC545E" w:rsidRDefault="00913C78" w:rsidP="00CC545E">
            <w:pPr>
              <w:pStyle w:val="ae"/>
              <w:rPr>
                <w:b w:val="0"/>
                <w:bCs/>
              </w:rPr>
            </w:pPr>
            <w:r w:rsidRPr="00CC545E">
              <w:rPr>
                <w:rFonts w:hint="eastAsia"/>
                <w:b w:val="0"/>
                <w:bCs/>
              </w:rPr>
              <w:lastRenderedPageBreak/>
              <w:t>轿车</w:t>
            </w:r>
          </w:p>
        </w:tc>
        <w:tc>
          <w:tcPr>
            <w:tcW w:w="1439" w:type="pct"/>
            <w:shd w:val="clear" w:color="auto" w:fill="auto"/>
            <w:vAlign w:val="center"/>
          </w:tcPr>
          <w:p w14:paraId="215A6420" w14:textId="77777777" w:rsidR="00913C78" w:rsidRPr="00CC545E" w:rsidRDefault="00913C78" w:rsidP="00CC545E">
            <w:pPr>
              <w:pStyle w:val="ae"/>
              <w:rPr>
                <w:b w:val="0"/>
                <w:bCs/>
              </w:rPr>
            </w:pPr>
            <w:r w:rsidRPr="00CC545E">
              <w:rPr>
                <w:rFonts w:hint="eastAsia"/>
                <w:b w:val="0"/>
                <w:bCs/>
              </w:rPr>
              <w:t>40</w:t>
            </w:r>
            <w:r w:rsidRPr="00CC545E">
              <w:rPr>
                <w:rFonts w:hint="eastAsia"/>
                <w:b w:val="0"/>
                <w:bCs/>
              </w:rPr>
              <w:t>～</w:t>
            </w:r>
            <w:r w:rsidRPr="00CC545E">
              <w:rPr>
                <w:rFonts w:hint="eastAsia"/>
                <w:b w:val="0"/>
                <w:bCs/>
              </w:rPr>
              <w:t>60</w:t>
            </w:r>
          </w:p>
        </w:tc>
        <w:tc>
          <w:tcPr>
            <w:tcW w:w="1598" w:type="pct"/>
            <w:shd w:val="clear" w:color="auto" w:fill="auto"/>
            <w:vAlign w:val="center"/>
          </w:tcPr>
          <w:p w14:paraId="23BFE9E2" w14:textId="77777777" w:rsidR="00913C78" w:rsidRPr="00CC545E" w:rsidRDefault="00913C78" w:rsidP="00CC545E">
            <w:pPr>
              <w:pStyle w:val="ae"/>
              <w:rPr>
                <w:b w:val="0"/>
                <w:bCs/>
              </w:rPr>
            </w:pPr>
            <w:r w:rsidRPr="00CC545E">
              <w:rPr>
                <w:rFonts w:hint="eastAsia"/>
                <w:b w:val="0"/>
                <w:bCs/>
              </w:rPr>
              <w:t>20</w:t>
            </w:r>
            <w:r w:rsidRPr="00CC545E">
              <w:rPr>
                <w:rFonts w:hint="eastAsia"/>
                <w:b w:val="0"/>
                <w:bCs/>
              </w:rPr>
              <w:t>～</w:t>
            </w:r>
            <w:r w:rsidRPr="00CC545E">
              <w:rPr>
                <w:rFonts w:hint="eastAsia"/>
                <w:b w:val="0"/>
                <w:bCs/>
              </w:rPr>
              <w:t>30</w:t>
            </w:r>
          </w:p>
        </w:tc>
        <w:tc>
          <w:tcPr>
            <w:tcW w:w="1122" w:type="pct"/>
            <w:shd w:val="clear" w:color="auto" w:fill="auto"/>
            <w:vAlign w:val="center"/>
          </w:tcPr>
          <w:p w14:paraId="147C36CE" w14:textId="77777777" w:rsidR="00913C78" w:rsidRPr="00CC545E" w:rsidRDefault="00913C78" w:rsidP="00CC545E">
            <w:pPr>
              <w:pStyle w:val="ae"/>
              <w:rPr>
                <w:b w:val="0"/>
                <w:bCs/>
              </w:rPr>
            </w:pPr>
            <w:r w:rsidRPr="00CC545E">
              <w:rPr>
                <w:rFonts w:hint="eastAsia"/>
                <w:b w:val="0"/>
                <w:bCs/>
              </w:rPr>
              <w:t>10</w:t>
            </w:r>
            <w:r w:rsidRPr="00CC545E">
              <w:rPr>
                <w:rFonts w:hint="eastAsia"/>
                <w:b w:val="0"/>
                <w:bCs/>
              </w:rPr>
              <w:t>～</w:t>
            </w:r>
            <w:r w:rsidRPr="00CC545E">
              <w:rPr>
                <w:rFonts w:hint="eastAsia"/>
                <w:b w:val="0"/>
                <w:bCs/>
              </w:rPr>
              <w:t>15</w:t>
            </w:r>
          </w:p>
        </w:tc>
      </w:tr>
      <w:tr w:rsidR="00913C78" w:rsidRPr="00CC545E" w14:paraId="546EDD29" w14:textId="77777777" w:rsidTr="008F38C5">
        <w:trPr>
          <w:jc w:val="center"/>
        </w:trPr>
        <w:tc>
          <w:tcPr>
            <w:tcW w:w="842" w:type="pct"/>
            <w:shd w:val="clear" w:color="auto" w:fill="auto"/>
            <w:vAlign w:val="center"/>
          </w:tcPr>
          <w:p w14:paraId="06E5E8C1" w14:textId="77777777" w:rsidR="00913C78" w:rsidRPr="00CC545E" w:rsidRDefault="00913C78" w:rsidP="00CC545E">
            <w:pPr>
              <w:pStyle w:val="ae"/>
              <w:rPr>
                <w:b w:val="0"/>
                <w:bCs/>
              </w:rPr>
            </w:pPr>
            <w:r w:rsidRPr="00CC545E">
              <w:rPr>
                <w:rFonts w:hint="eastAsia"/>
                <w:b w:val="0"/>
                <w:bCs/>
              </w:rPr>
              <w:t>公共汽车、载重汽车</w:t>
            </w:r>
          </w:p>
        </w:tc>
        <w:tc>
          <w:tcPr>
            <w:tcW w:w="1439" w:type="pct"/>
            <w:shd w:val="clear" w:color="auto" w:fill="auto"/>
            <w:vAlign w:val="center"/>
          </w:tcPr>
          <w:p w14:paraId="3D1EDD19" w14:textId="77777777" w:rsidR="00913C78" w:rsidRPr="00CC545E" w:rsidRDefault="00913C78" w:rsidP="00CC545E">
            <w:pPr>
              <w:pStyle w:val="ae"/>
              <w:rPr>
                <w:b w:val="0"/>
                <w:bCs/>
              </w:rPr>
            </w:pPr>
            <w:r w:rsidRPr="00CC545E">
              <w:rPr>
                <w:rFonts w:hint="eastAsia"/>
                <w:b w:val="0"/>
                <w:bCs/>
              </w:rPr>
              <w:t>80</w:t>
            </w:r>
            <w:r w:rsidRPr="00CC545E">
              <w:rPr>
                <w:rFonts w:hint="eastAsia"/>
                <w:b w:val="0"/>
                <w:bCs/>
              </w:rPr>
              <w:t>～</w:t>
            </w:r>
            <w:r w:rsidRPr="00CC545E">
              <w:rPr>
                <w:rFonts w:hint="eastAsia"/>
                <w:b w:val="0"/>
                <w:bCs/>
              </w:rPr>
              <w:t>120</w:t>
            </w:r>
          </w:p>
        </w:tc>
        <w:tc>
          <w:tcPr>
            <w:tcW w:w="1598" w:type="pct"/>
            <w:shd w:val="clear" w:color="auto" w:fill="auto"/>
            <w:vAlign w:val="center"/>
          </w:tcPr>
          <w:p w14:paraId="6414EFA2" w14:textId="77777777" w:rsidR="00913C78" w:rsidRPr="00CC545E" w:rsidRDefault="00913C78" w:rsidP="00CC545E">
            <w:pPr>
              <w:pStyle w:val="ae"/>
              <w:rPr>
                <w:b w:val="0"/>
                <w:bCs/>
              </w:rPr>
            </w:pPr>
            <w:r w:rsidRPr="00CC545E">
              <w:rPr>
                <w:rFonts w:hint="eastAsia"/>
                <w:b w:val="0"/>
                <w:bCs/>
              </w:rPr>
              <w:t>40</w:t>
            </w:r>
            <w:r w:rsidRPr="00CC545E">
              <w:rPr>
                <w:rFonts w:hint="eastAsia"/>
                <w:b w:val="0"/>
                <w:bCs/>
              </w:rPr>
              <w:t>～</w:t>
            </w:r>
            <w:r w:rsidRPr="00CC545E">
              <w:rPr>
                <w:rFonts w:hint="eastAsia"/>
                <w:b w:val="0"/>
                <w:bCs/>
              </w:rPr>
              <w:t>60</w:t>
            </w:r>
          </w:p>
        </w:tc>
        <w:tc>
          <w:tcPr>
            <w:tcW w:w="1122" w:type="pct"/>
            <w:shd w:val="clear" w:color="auto" w:fill="auto"/>
            <w:vAlign w:val="center"/>
          </w:tcPr>
          <w:p w14:paraId="1239F4BE" w14:textId="77777777" w:rsidR="00913C78" w:rsidRPr="00CC545E" w:rsidRDefault="00913C78" w:rsidP="00CC545E">
            <w:pPr>
              <w:pStyle w:val="ae"/>
              <w:rPr>
                <w:b w:val="0"/>
                <w:bCs/>
              </w:rPr>
            </w:pPr>
            <w:r w:rsidRPr="00CC545E">
              <w:rPr>
                <w:rFonts w:hint="eastAsia"/>
                <w:b w:val="0"/>
                <w:bCs/>
              </w:rPr>
              <w:t>15</w:t>
            </w:r>
            <w:r w:rsidRPr="00CC545E">
              <w:rPr>
                <w:rFonts w:hint="eastAsia"/>
                <w:b w:val="0"/>
                <w:bCs/>
              </w:rPr>
              <w:t>～</w:t>
            </w:r>
            <w:r w:rsidRPr="00CC545E">
              <w:rPr>
                <w:rFonts w:hint="eastAsia"/>
                <w:b w:val="0"/>
                <w:bCs/>
              </w:rPr>
              <w:t>30</w:t>
            </w:r>
          </w:p>
        </w:tc>
      </w:tr>
    </w:tbl>
    <w:p w14:paraId="3C275A51" w14:textId="77777777" w:rsidR="00913C78" w:rsidRPr="00913C78" w:rsidRDefault="00913C78" w:rsidP="00913C78">
      <w:pPr>
        <w:ind w:firstLine="420"/>
      </w:pPr>
      <w:r w:rsidRPr="00913C78">
        <w:rPr>
          <w:rFonts w:hint="eastAsia"/>
        </w:rPr>
        <w:t>注</w:t>
      </w:r>
      <w:r w:rsidRPr="00913C78">
        <w:t>：</w:t>
      </w:r>
      <w:r w:rsidRPr="00913C78">
        <w:rPr>
          <w:rFonts w:hint="eastAsia"/>
        </w:rPr>
        <w:t xml:space="preserve">1. </w:t>
      </w:r>
      <w:r w:rsidRPr="00913C78">
        <w:rPr>
          <w:rFonts w:hint="eastAsia"/>
        </w:rPr>
        <w:t>同时冲洗汽车数量按洗车台数量确定。</w:t>
      </w:r>
    </w:p>
    <w:p w14:paraId="4CC0A8E5" w14:textId="589E77DA" w:rsidR="00913C78" w:rsidRPr="00913C78" w:rsidRDefault="00913C78" w:rsidP="00532D0F">
      <w:pPr>
        <w:ind w:leftChars="202" w:left="424" w:firstLine="420"/>
      </w:pPr>
      <w:r w:rsidRPr="00913C78">
        <w:rPr>
          <w:rFonts w:hint="eastAsia"/>
        </w:rPr>
        <w:t xml:space="preserve">2. </w:t>
      </w:r>
      <w:r w:rsidRPr="00913C78">
        <w:rPr>
          <w:rFonts w:hint="eastAsia"/>
        </w:rPr>
        <w:t>在水泥和沥青路面行驶的汽车，宜选用下限值；路面等级较低时，宜选用上限值。</w:t>
      </w:r>
    </w:p>
    <w:p w14:paraId="161C405F" w14:textId="1CD5281D" w:rsidR="00913C78" w:rsidRPr="00913C78" w:rsidRDefault="00913C78" w:rsidP="00532D0F">
      <w:pPr>
        <w:ind w:leftChars="202" w:left="424" w:firstLine="420"/>
      </w:pPr>
      <w:r w:rsidRPr="00913C78">
        <w:rPr>
          <w:rFonts w:hint="eastAsia"/>
        </w:rPr>
        <w:t xml:space="preserve">3. </w:t>
      </w:r>
      <w:r w:rsidRPr="00913C78">
        <w:rPr>
          <w:rFonts w:hint="eastAsia"/>
        </w:rPr>
        <w:t>冲洗一辆车可按</w:t>
      </w:r>
      <w:r w:rsidRPr="00913C78">
        <w:rPr>
          <w:rFonts w:hint="eastAsia"/>
        </w:rPr>
        <w:t>10min</w:t>
      </w:r>
      <w:r w:rsidRPr="00913C78">
        <w:rPr>
          <w:rFonts w:hint="eastAsia"/>
        </w:rPr>
        <w:t>考虑。</w:t>
      </w:r>
    </w:p>
    <w:p w14:paraId="54DE348F" w14:textId="5050B88A" w:rsidR="00913C78" w:rsidRPr="00913C78" w:rsidRDefault="00913C78" w:rsidP="00532D0F">
      <w:pPr>
        <w:ind w:leftChars="202" w:left="424" w:firstLine="420"/>
      </w:pPr>
      <w:r w:rsidRPr="00913C78">
        <w:rPr>
          <w:rFonts w:hint="eastAsia"/>
        </w:rPr>
        <w:t xml:space="preserve">4. </w:t>
      </w:r>
      <w:r w:rsidRPr="00913C78">
        <w:rPr>
          <w:rFonts w:hint="eastAsia"/>
        </w:rPr>
        <w:t>软管冲洗时耗水量大，不推荐采用。</w:t>
      </w:r>
    </w:p>
    <w:p w14:paraId="6B9326B1" w14:textId="77777777" w:rsidR="00913C78" w:rsidRPr="00913C78" w:rsidRDefault="00913C78" w:rsidP="00913C78">
      <w:pPr>
        <w:ind w:firstLine="420"/>
      </w:pPr>
    </w:p>
    <w:p w14:paraId="07403EDA" w14:textId="77777777" w:rsidR="00913C78" w:rsidRPr="00913C78" w:rsidRDefault="00913C78" w:rsidP="00913C78">
      <w:pPr>
        <w:ind w:firstLine="420"/>
      </w:pPr>
      <w:r w:rsidRPr="00913C78">
        <w:t>7</w:t>
      </w:r>
      <w:r w:rsidRPr="00913C78">
        <w:rPr>
          <w:rFonts w:hint="eastAsia"/>
        </w:rPr>
        <w:t>）</w:t>
      </w:r>
      <w:r w:rsidRPr="00913C78">
        <w:t> </w:t>
      </w:r>
      <w:r w:rsidRPr="00913C78">
        <w:rPr>
          <w:rFonts w:hint="eastAsia"/>
        </w:rPr>
        <w:t>冲厕用水量。</w:t>
      </w:r>
    </w:p>
    <w:p w14:paraId="46B7F00F" w14:textId="77777777" w:rsidR="00913C78" w:rsidRPr="00913C78" w:rsidRDefault="00913C78" w:rsidP="00913C78">
      <w:pPr>
        <w:ind w:firstLine="420"/>
      </w:pPr>
      <w:r w:rsidRPr="00913C78">
        <w:rPr>
          <w:rFonts w:hint="eastAsia"/>
        </w:rPr>
        <w:t>冲厕用水年用水量为</w:t>
      </w:r>
    </w:p>
    <w:p w14:paraId="19815880" w14:textId="4C6114F3" w:rsidR="00913C78" w:rsidRPr="00913C78" w:rsidRDefault="00913C78" w:rsidP="00A624AE">
      <w:pPr>
        <w:pStyle w:val="af8"/>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ca</m:t>
            </m:r>
          </m:sub>
        </m:sSub>
        <m:r>
          <m:rPr>
            <m:sty m:val="p"/>
          </m:rPr>
          <w:rPr>
            <w:rFonts w:ascii="Cambria Math" w:hAnsi="Cambria Math"/>
          </w:rPr>
          <m:t>=</m:t>
        </m:r>
        <m:f>
          <m:fPr>
            <m:ctrlPr>
              <w:rPr>
                <w:rFonts w:ascii="Cambria Math" w:hAnsi="Cambria Math"/>
                <w:i/>
              </w:rPr>
            </m:ctrlPr>
          </m:fPr>
          <m:num>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c</m:t>
                </m:r>
              </m:sub>
            </m:sSub>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sSub>
              <m:sSubPr>
                <m:ctrlPr>
                  <w:rPr>
                    <w:rFonts w:ascii="Cambria Math" w:hAnsi="Cambria Math"/>
                    <w:i/>
                  </w:rPr>
                </m:ctrlPr>
              </m:sSubPr>
              <m:e>
                <m:r>
                  <m:rPr>
                    <m:sty m:val="p"/>
                  </m:rPr>
                  <w:rPr>
                    <w:rFonts w:ascii="Cambria Math" w:hAnsi="Cambria Math"/>
                  </w:rPr>
                  <m:t>D</m:t>
                </m:r>
              </m:e>
              <m:sub>
                <m:r>
                  <m:rPr>
                    <m:sty m:val="p"/>
                  </m:rPr>
                  <w:rPr>
                    <w:rFonts w:ascii="Cambria Math" w:hAnsi="Cambria Math"/>
                  </w:rPr>
                  <m:t>c</m:t>
                </m:r>
              </m:sub>
            </m:sSub>
          </m:num>
          <m:den>
            <m:r>
              <m:rPr>
                <m:sty m:val="p"/>
              </m:rPr>
              <w:rPr>
                <w:rFonts w:ascii="Cambria Math" w:hAnsi="Cambria Math"/>
              </w:rPr>
              <m:t>1000</m:t>
            </m:r>
          </m:den>
        </m:f>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nor/>
              </m:rPr>
              <w:rPr>
                <w:rFonts w:ascii="Cambria Math"/>
                <w:noProof/>
              </w:rPr>
              <m:t>ca</m:t>
            </m:r>
            <m:ctrlPr>
              <w:rPr>
                <w:rFonts w:ascii="Cambria Math" w:hAnsi="Cambria Math"/>
                <w:noProof/>
              </w:rPr>
            </m:ctrlPr>
          </m:sub>
        </m:sSub>
        <m:r>
          <m:rPr>
            <m:sty m:val="p"/>
          </m:rPr>
          <w:rPr>
            <w:rFonts w:ascii="Cambria Math"/>
            <w:noProof/>
          </w:rPr>
          <m:t>=</m:t>
        </m:r>
        <m:f>
          <m:fPr>
            <m:ctrlPr>
              <w:rPr>
                <w:rFonts w:ascii="Cambria Math" w:hAnsi="Cambria Math"/>
                <w:i/>
                <w:noProof/>
              </w:rPr>
            </m:ctrlPr>
          </m:fPr>
          <m:num>
            <m:sSub>
              <m:sSubPr>
                <m:ctrlPr>
                  <w:rPr>
                    <w:rFonts w:ascii="Cambria Math" w:hAnsi="Cambria Math"/>
                    <w:i/>
                    <w:noProof/>
                  </w:rPr>
                </m:ctrlPr>
              </m:sSubPr>
              <m:e>
                <m:r>
                  <m:rPr>
                    <m:sty m:val="p"/>
                  </m:rPr>
                  <w:rPr>
                    <w:rFonts w:ascii="Cambria Math"/>
                    <w:noProof/>
                  </w:rPr>
                  <m:t>q</m:t>
                </m:r>
              </m:e>
              <m:sub>
                <m:r>
                  <m:rPr>
                    <m:sty m:val="p"/>
                  </m:rPr>
                  <w:rPr>
                    <w:rFonts w:ascii="Cambria Math"/>
                    <w:noProof/>
                  </w:rPr>
                  <m:t>c</m:t>
                </m:r>
              </m:sub>
            </m:sSub>
            <m:sSub>
              <m:sSubPr>
                <m:ctrlPr>
                  <w:rPr>
                    <w:rFonts w:ascii="Cambria Math" w:hAnsi="Cambria Math"/>
                    <w:i/>
                    <w:noProof/>
                  </w:rPr>
                </m:ctrlPr>
              </m:sSubPr>
              <m:e>
                <m:r>
                  <m:rPr>
                    <m:sty m:val="p"/>
                  </m:rPr>
                  <w:rPr>
                    <w:rFonts w:ascii="Cambria Math"/>
                    <w:noProof/>
                  </w:rPr>
                  <m:t>n</m:t>
                </m:r>
              </m:e>
              <m:sub>
                <m:r>
                  <m:rPr>
                    <m:sty m:val="p"/>
                  </m:rPr>
                  <w:rPr>
                    <w:rFonts w:ascii="Cambria Math"/>
                    <w:noProof/>
                  </w:rPr>
                  <m:t>c</m:t>
                </m:r>
              </m:sub>
            </m:sSub>
            <m:sSub>
              <m:sSubPr>
                <m:ctrlPr>
                  <w:rPr>
                    <w:rFonts w:ascii="Cambria Math" w:hAnsi="Cambria Math"/>
                    <w:i/>
                    <w:noProof/>
                  </w:rPr>
                </m:ctrlPr>
              </m:sSubPr>
              <m:e>
                <m:r>
                  <m:rPr>
                    <m:sty m:val="p"/>
                  </m:rPr>
                  <w:rPr>
                    <w:rFonts w:ascii="Cambria Math"/>
                    <w:noProof/>
                  </w:rPr>
                  <m:t>D</m:t>
                </m:r>
              </m:e>
              <m:sub>
                <m:r>
                  <m:rPr>
                    <m:sty m:val="p"/>
                  </m:rPr>
                  <w:rPr>
                    <w:rFonts w:ascii="Cambria Math"/>
                    <w:noProof/>
                  </w:rPr>
                  <m:t>c</m:t>
                </m:r>
              </m:sub>
            </m:sSub>
          </m:num>
          <m:den>
            <m:r>
              <m:rPr>
                <m:sty m:val="p"/>
              </m:rPr>
              <w:rPr>
                <w:rFonts w:ascii="Cambria Math"/>
                <w:noProof/>
              </w:rPr>
              <m:t>1000</m:t>
            </m:r>
          </m:den>
        </m:f>
      </m:oMath>
      <w:r w:rsidRPr="00913C78">
        <w:fldChar w:fldCharType="end"/>
      </w:r>
      <w:r w:rsidRPr="00913C78">
        <w:rPr>
          <w:rFonts w:hint="eastAsia"/>
        </w:rPr>
        <w:t xml:space="preserve"> </w:t>
      </w:r>
      <w:r w:rsidRPr="00913C78">
        <w:t xml:space="preserve">  </w:t>
      </w:r>
      <w:r w:rsidRPr="00913C78">
        <w:rPr>
          <w:rFonts w:hint="eastAsia"/>
        </w:rPr>
        <w:tab/>
      </w:r>
      <w:r w:rsidRPr="00913C78">
        <w:rPr>
          <w:rFonts w:hint="eastAsia"/>
        </w:rPr>
        <w:t>（</w:t>
      </w:r>
      <w:r w:rsidRPr="00913C78">
        <w:rPr>
          <w:rFonts w:hint="eastAsia"/>
        </w:rPr>
        <w:t>B.3.4</w:t>
      </w:r>
      <w:r w:rsidRPr="00913C78">
        <w:rPr>
          <w:rFonts w:hint="eastAsia"/>
        </w:rPr>
        <w:t>）</w:t>
      </w:r>
    </w:p>
    <w:p w14:paraId="122CF34E" w14:textId="436D79A8" w:rsidR="00913C78" w:rsidRPr="00913C78" w:rsidRDefault="00913C78" w:rsidP="00A624AE">
      <w:pPr>
        <w:ind w:firstLine="420"/>
      </w:pPr>
      <w:r w:rsidRPr="00913C78">
        <w:t>式中</w:t>
      </w:r>
      <w:r w:rsidRPr="00913C78">
        <w:rPr>
          <w:rFonts w:hint="eastAsia"/>
        </w:rPr>
        <w:t>，</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ca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nor/>
              </m:rPr>
              <w:rPr>
                <w:rFonts w:ascii="Cambria Math"/>
                <w:noProof/>
              </w:rPr>
              <m:t>ca</m:t>
            </m:r>
            <m:ctrlPr>
              <w:rPr>
                <w:rFonts w:ascii="Cambria Math" w:hAnsi="Cambria Math"/>
                <w:noProof/>
              </w:rPr>
            </m:ctrlPr>
          </m:sub>
        </m:sSub>
      </m:oMath>
      <w:r w:rsidRPr="00913C78">
        <w:fldChar w:fldCharType="end"/>
      </w:r>
      <w:r w:rsidRPr="00913C78">
        <w:t>——</w:t>
      </w:r>
      <w:r w:rsidRPr="00913C78">
        <w:t>年冲厕用水量</w:t>
      </w:r>
      <w:r w:rsidRPr="00913C78">
        <w:rPr>
          <w:rFonts w:hint="eastAsia"/>
        </w:rPr>
        <w:t>，</w:t>
      </w:r>
      <w:r w:rsidRPr="00913C78">
        <w:t>m</w:t>
      </w:r>
      <w:r w:rsidRPr="00F83296">
        <w:rPr>
          <w:vertAlign w:val="superscript"/>
        </w:rPr>
        <w:t>3</w:t>
      </w:r>
      <w:r w:rsidRPr="00913C78">
        <w:t>/a</w:t>
      </w:r>
      <w:r w:rsidRPr="00913C78">
        <w:t>；</w:t>
      </w:r>
    </w:p>
    <w:p w14:paraId="617EB1C7" w14:textId="59E0F187"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q</m:t>
            </m:r>
          </m:e>
          <m:sub>
            <m:r>
              <m:rPr>
                <m:sty m:val="p"/>
              </m:rPr>
              <w:rPr>
                <w:rFonts w:ascii="Cambria Math" w:hAnsi="Cambria Math"/>
              </w:rPr>
              <m:t>c</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sty m:val="p"/>
              </m:rPr>
              <w:rPr>
                <w:rFonts w:ascii="Cambria Math"/>
                <w:noProof/>
              </w:rPr>
              <m:t>c</m:t>
            </m:r>
          </m:sub>
        </m:sSub>
      </m:oMath>
      <w:r w:rsidRPr="00913C78">
        <w:fldChar w:fldCharType="end"/>
      </w:r>
      <w:r w:rsidRPr="00913C78">
        <w:t>——</w:t>
      </w:r>
      <w:r w:rsidRPr="00913C78">
        <w:t>日均用水定额，按</w:t>
      </w:r>
      <w:r w:rsidRPr="00913C78">
        <w:rPr>
          <w:rFonts w:hint="eastAsia"/>
        </w:rPr>
        <w:t>《民用建筑节水设计标准》（</w:t>
      </w:r>
      <w:r w:rsidRPr="00913C78">
        <w:rPr>
          <w:rFonts w:hint="eastAsia"/>
        </w:rPr>
        <w:t>GB</w:t>
      </w:r>
      <w:r w:rsidRPr="00913C78">
        <w:t> </w:t>
      </w:r>
      <w:r w:rsidRPr="00913C78">
        <w:rPr>
          <w:rFonts w:hint="eastAsia"/>
        </w:rPr>
        <w:t>50555</w:t>
      </w:r>
      <w:r w:rsidRPr="00913C78">
        <w:rPr>
          <w:rFonts w:hint="eastAsia"/>
        </w:rPr>
        <w:t>—</w:t>
      </w:r>
      <w:r w:rsidRPr="00913C78">
        <w:rPr>
          <w:rFonts w:hint="eastAsia"/>
        </w:rPr>
        <w:t>2010</w:t>
      </w:r>
      <w:r w:rsidRPr="00913C78">
        <w:rPr>
          <w:rFonts w:hint="eastAsia"/>
        </w:rPr>
        <w:t>）</w:t>
      </w:r>
      <w:r w:rsidRPr="00913C78">
        <w:t>的规定采用</w:t>
      </w:r>
      <w:r w:rsidRPr="00913C78">
        <w:rPr>
          <w:rFonts w:hint="eastAsia"/>
        </w:rPr>
        <w:t>，</w:t>
      </w:r>
      <w:r w:rsidRPr="00913C78">
        <w:t>L/</w:t>
      </w:r>
      <w:r w:rsidRPr="00913C78">
        <w:rPr>
          <w:rFonts w:hint="eastAsia"/>
        </w:rPr>
        <w:t>（</w:t>
      </w:r>
      <w:r w:rsidRPr="00913C78">
        <w:t>人</w:t>
      </w:r>
      <w:r w:rsidRPr="00913C78">
        <w:rPr>
          <w:rFonts w:hint="eastAsia"/>
        </w:rPr>
        <w:t>·</w:t>
      </w:r>
      <w:r w:rsidRPr="00913C78">
        <w:t>d</w:t>
      </w:r>
      <w:r w:rsidRPr="00913C78">
        <w:t>）</w:t>
      </w:r>
      <w:r w:rsidRPr="00913C78">
        <w:rPr>
          <w:rFonts w:hint="eastAsia"/>
        </w:rPr>
        <w:t>。</w:t>
      </w:r>
    </w:p>
    <w:p w14:paraId="54771335" w14:textId="259EBD88"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n</m:t>
            </m:r>
          </m:e>
          <m:sub>
            <m:r>
              <m:rPr>
                <m:sty m:val="p"/>
              </m:rPr>
              <w:rPr>
                <w:rFonts w:ascii="Cambria Math" w:hAnsi="Cambria Math"/>
              </w:rPr>
              <m:t>c</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n</m:t>
            </m:r>
          </m:e>
          <m:sub>
            <m:r>
              <m:rPr>
                <m:sty m:val="p"/>
              </m:rPr>
              <w:rPr>
                <w:rFonts w:ascii="Cambria Math"/>
                <w:noProof/>
              </w:rPr>
              <m:t>c</m:t>
            </m:r>
          </m:sub>
        </m:sSub>
      </m:oMath>
      <w:r w:rsidRPr="00913C78">
        <w:fldChar w:fldCharType="end"/>
      </w:r>
      <w:r w:rsidRPr="00913C78">
        <w:t>——</w:t>
      </w:r>
      <w:r w:rsidRPr="00913C78">
        <w:t>年平均使用人数</w:t>
      </w:r>
      <w:r w:rsidRPr="00913C78">
        <w:rPr>
          <w:rFonts w:hint="eastAsia"/>
        </w:rPr>
        <w:t>，</w:t>
      </w:r>
      <w:r w:rsidRPr="00913C78">
        <w:t>人。对于酒店客房，应考虑年入住率；对于住宅，应按</w:t>
      </w:r>
      <w:r w:rsidRPr="00913C78">
        <w:rPr>
          <w:rFonts w:hint="eastAsia"/>
        </w:rPr>
        <w:t>居住人数，按</w:t>
      </w:r>
      <w:r w:rsidRPr="00913C78">
        <w:rPr>
          <w:rFonts w:hint="eastAsia"/>
        </w:rPr>
        <w:t>3</w:t>
      </w:r>
      <w:r w:rsidRPr="00913C78">
        <w:rPr>
          <w:rFonts w:hint="eastAsia"/>
        </w:rPr>
        <w:t>～</w:t>
      </w:r>
      <w:r w:rsidRPr="00913C78">
        <w:rPr>
          <w:rFonts w:hint="eastAsia"/>
        </w:rPr>
        <w:t>5</w:t>
      </w:r>
      <w:r w:rsidRPr="00913C78">
        <w:rPr>
          <w:rFonts w:hint="eastAsia"/>
        </w:rPr>
        <w:t>人</w:t>
      </w:r>
      <w:r w:rsidRPr="00913C78">
        <w:rPr>
          <w:rFonts w:hint="eastAsia"/>
        </w:rPr>
        <w:t>/</w:t>
      </w:r>
      <w:r w:rsidRPr="00913C78">
        <w:rPr>
          <w:rFonts w:hint="eastAsia"/>
        </w:rPr>
        <w:t>户，一般情况可按</w:t>
      </w:r>
      <w:r w:rsidRPr="00913C78">
        <w:rPr>
          <w:rFonts w:hint="eastAsia"/>
        </w:rPr>
        <w:t>3.2</w:t>
      </w:r>
      <w:r w:rsidRPr="00913C78">
        <w:rPr>
          <w:rFonts w:hint="eastAsia"/>
        </w:rPr>
        <w:t>人</w:t>
      </w:r>
      <w:r w:rsidRPr="00913C78">
        <w:rPr>
          <w:rFonts w:hint="eastAsia"/>
        </w:rPr>
        <w:t>/</w:t>
      </w:r>
      <w:r w:rsidRPr="00913C78">
        <w:rPr>
          <w:rFonts w:hint="eastAsia"/>
        </w:rPr>
        <w:t>户选取，入住率</w:t>
      </w:r>
      <w:r w:rsidRPr="00913C78">
        <w:rPr>
          <w:rFonts w:hint="eastAsia"/>
        </w:rPr>
        <w:t>60%</w:t>
      </w:r>
      <w:r w:rsidRPr="00913C78">
        <w:rPr>
          <w:rFonts w:hint="eastAsia"/>
        </w:rPr>
        <w:t>～</w:t>
      </w:r>
      <w:r w:rsidRPr="00913C78">
        <w:rPr>
          <w:rFonts w:hint="eastAsia"/>
        </w:rPr>
        <w:t>80%</w:t>
      </w:r>
      <w:r w:rsidRPr="00913C78">
        <w:rPr>
          <w:rFonts w:hint="eastAsia"/>
        </w:rPr>
        <w:t>计</w:t>
      </w:r>
      <w:r w:rsidRPr="00913C78">
        <w:t>算</w:t>
      </w:r>
      <w:r w:rsidRPr="00913C78">
        <w:rPr>
          <w:rFonts w:hint="eastAsia"/>
        </w:rPr>
        <w:t>。</w:t>
      </w:r>
    </w:p>
    <w:p w14:paraId="7728B204" w14:textId="55D9DD0D"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D</m:t>
            </m:r>
          </m:e>
          <m:sub>
            <m:r>
              <m:rPr>
                <m:sty m:val="p"/>
              </m:rPr>
              <w:rPr>
                <w:rFonts w:ascii="Cambria Math" w:hAnsi="Cambria Math"/>
              </w:rPr>
              <m:t>c</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D</m:t>
            </m:r>
          </m:e>
          <m:sub>
            <m:r>
              <m:rPr>
                <m:sty m:val="p"/>
              </m:rPr>
              <w:rPr>
                <w:rFonts w:ascii="Cambria Math"/>
                <w:noProof/>
              </w:rPr>
              <m:t>c</m:t>
            </m:r>
          </m:sub>
        </m:sSub>
      </m:oMath>
      <w:r w:rsidRPr="00913C78">
        <w:fldChar w:fldCharType="end"/>
      </w:r>
      <w:r w:rsidRPr="00913C78">
        <w:rPr>
          <w:rFonts w:hint="eastAsia"/>
        </w:rPr>
        <w:t>——</w:t>
      </w:r>
      <w:r w:rsidRPr="00913C78">
        <w:t>年平均使用天数</w:t>
      </w:r>
      <w:r w:rsidRPr="00913C78">
        <w:rPr>
          <w:rFonts w:hint="eastAsia"/>
        </w:rPr>
        <w:t>，</w:t>
      </w:r>
      <w:r w:rsidRPr="00913C78">
        <w:t>d/a</w:t>
      </w:r>
      <w:r w:rsidRPr="00913C78">
        <w:rPr>
          <w:rFonts w:hint="eastAsia"/>
        </w:rPr>
        <w:t>，与生活用水的</w:t>
      </w:r>
      <w:r w:rsidRPr="00913C78">
        <w:t>使用天数相同。</w:t>
      </w:r>
    </w:p>
    <w:p w14:paraId="6F423484" w14:textId="77777777" w:rsidR="00913C78" w:rsidRPr="00913C78" w:rsidRDefault="00913C78" w:rsidP="00913C78">
      <w:pPr>
        <w:ind w:firstLine="420"/>
      </w:pPr>
      <w:bookmarkStart w:id="383" w:name="_Toc476142923"/>
      <w:r w:rsidRPr="00913C78">
        <w:rPr>
          <w:rFonts w:hint="eastAsia"/>
        </w:rPr>
        <w:t>（</w:t>
      </w:r>
      <w:r w:rsidRPr="00913C78">
        <w:rPr>
          <w:rFonts w:hint="eastAsia"/>
        </w:rPr>
        <w:t>2</w:t>
      </w:r>
      <w:r w:rsidRPr="00913C78">
        <w:rPr>
          <w:rFonts w:hint="eastAsia"/>
        </w:rPr>
        <w:t>）再生水设计利用量</w:t>
      </w:r>
      <w:bookmarkEnd w:id="383"/>
    </w:p>
    <w:p w14:paraId="59E5AFE7" w14:textId="77777777" w:rsidR="00913C78" w:rsidRPr="00913C78" w:rsidRDefault="00913C78" w:rsidP="00913C78">
      <w:pPr>
        <w:ind w:firstLine="420"/>
      </w:pPr>
      <w:r w:rsidRPr="00913C78">
        <w:rPr>
          <w:rFonts w:hint="eastAsia"/>
        </w:rPr>
        <w:t>当再生水由建筑再生水处理站供应时，建筑再生水系统的年回用再生水量应按下列公式进行计算，并应选取三个水量中的最小数值，即</w:t>
      </w:r>
    </w:p>
    <w:p w14:paraId="5B9A05CF" w14:textId="3C875515"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=0.8×</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sa</m:t>
            </m:r>
          </m:sub>
        </m:sSub>
      </m:oMath>
      <w:r w:rsidR="00913C78" w:rsidRPr="00913C78">
        <w:instrText xml:space="preserve"> </w:instrText>
      </w:r>
      <w:r w:rsidR="00913C78" w:rsidRPr="00913C78">
        <w:fldChar w:fldCharType="separate"/>
      </w:r>
      <m:oMath>
        <m:sSub>
          <m:sSubPr>
            <m:ctrlPr>
              <w:rPr>
                <w:rFonts w:ascii="Cambria Math" w:hAnsi="Cambria Math"/>
                <w:i/>
                <w:noProof/>
              </w:rPr>
            </m:ctrlPr>
          </m:sSubPr>
          <m:e>
            <m:r>
              <m:rPr>
                <m:sty m:val="p"/>
              </m:rPr>
              <w:rPr>
                <w:rFonts w:ascii="Cambria Math" w:hAnsi="Cambria Math"/>
                <w:noProof/>
              </w:rPr>
              <m:t>W</m:t>
            </m:r>
          </m:e>
          <m:sub>
            <m:r>
              <m:rPr>
                <m:sty m:val="p"/>
              </m:rPr>
              <w:rPr>
                <w:rFonts w:ascii="Cambria Math" w:hAnsi="Cambria Math"/>
                <w:noProof/>
              </w:rPr>
              <m:t>R</m:t>
            </m:r>
          </m:sub>
        </m:sSub>
        <m:r>
          <m:rPr>
            <m:sty m:val="p"/>
          </m:rPr>
          <w:rPr>
            <w:rFonts w:ascii="Cambria Math" w:hAnsi="Cambria Math"/>
            <w:noProof/>
          </w:rPr>
          <m:t>=0.8×</m:t>
        </m:r>
        <m:sSub>
          <m:sSubPr>
            <m:ctrlPr>
              <w:rPr>
                <w:rFonts w:ascii="Cambria Math" w:hAnsi="Cambria Math"/>
                <w:i/>
                <w:noProof/>
              </w:rPr>
            </m:ctrlPr>
          </m:sSubPr>
          <m:e>
            <m:r>
              <m:rPr>
                <m:sty m:val="p"/>
              </m:rPr>
              <w:rPr>
                <w:rFonts w:ascii="Cambria Math" w:hAnsi="Cambria Math"/>
                <w:noProof/>
              </w:rPr>
              <m:t>Q</m:t>
            </m:r>
          </m:e>
          <m:sub>
            <m:r>
              <m:rPr>
                <m:nor/>
              </m:rPr>
              <w:rPr>
                <w:noProof/>
              </w:rPr>
              <m:t>sa</m:t>
            </m:r>
            <m:ctrlPr>
              <w:rPr>
                <w:rFonts w:ascii="Cambria Math" w:hAnsi="Cambria Math"/>
                <w:noProof/>
              </w:rPr>
            </m:ctrlPr>
          </m:sub>
        </m:sSub>
      </m:oMath>
      <w:r w:rsidR="00913C78" w:rsidRPr="00913C78">
        <w:fldChar w:fldCharType="end"/>
      </w:r>
      <w:r w:rsidR="00913C78" w:rsidRPr="00913C78">
        <w:rPr>
          <w:rFonts w:hint="eastAsia"/>
        </w:rPr>
        <w:t xml:space="preserve"> </w:t>
      </w:r>
      <w:r w:rsidR="00913C78" w:rsidRPr="00913C78">
        <w:rPr>
          <w:rFonts w:hint="eastAsia"/>
        </w:rPr>
        <w:tab/>
      </w:r>
      <w:r w:rsidR="00913C78" w:rsidRPr="00913C78">
        <w:rPr>
          <w:rFonts w:hint="eastAsia"/>
        </w:rPr>
        <w:t>（</w:t>
      </w:r>
      <w:r w:rsidR="00913C78" w:rsidRPr="00913C78">
        <w:rPr>
          <w:rFonts w:hint="eastAsia"/>
        </w:rPr>
        <w:t>B.3.5</w:t>
      </w:r>
      <w:r w:rsidR="00913C78" w:rsidRPr="00913C78">
        <w:rPr>
          <w:rFonts w:hint="eastAsia"/>
        </w:rPr>
        <w:t>）</w:t>
      </w:r>
    </w:p>
    <w:p w14:paraId="3EDDCEAF" w14:textId="5BC3A1E4"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=0.8×365</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cd</m:t>
            </m:r>
          </m:sub>
        </m:sSub>
      </m:oMath>
      <w:r w:rsidR="00913C78" w:rsidRPr="00913C78">
        <w:instrText xml:space="preserve"> </w:instrText>
      </w:r>
      <w:r w:rsidR="00913C78" w:rsidRPr="00913C78">
        <w:fldChar w:fldCharType="separate"/>
      </w:r>
      <m:oMath>
        <m:sSub>
          <m:sSubPr>
            <m:ctrlPr>
              <w:rPr>
                <w:rFonts w:ascii="Cambria Math" w:hAnsi="Cambria Math"/>
                <w:i/>
                <w:noProof/>
              </w:rPr>
            </m:ctrlPr>
          </m:sSubPr>
          <m:e>
            <m:r>
              <m:rPr>
                <m:sty m:val="p"/>
              </m:rPr>
              <w:rPr>
                <w:rFonts w:ascii="Cambria Math" w:hAnsi="Cambria Math"/>
                <w:noProof/>
              </w:rPr>
              <m:t>W</m:t>
            </m:r>
          </m:e>
          <m:sub>
            <m:r>
              <m:rPr>
                <m:sty m:val="p"/>
              </m:rPr>
              <w:rPr>
                <w:rFonts w:ascii="Cambria Math" w:hAnsi="Cambria Math"/>
                <w:noProof/>
              </w:rPr>
              <m:t>R</m:t>
            </m:r>
          </m:sub>
        </m:sSub>
        <m:r>
          <m:rPr>
            <m:sty m:val="p"/>
          </m:rPr>
          <w:rPr>
            <w:rFonts w:ascii="Cambria Math" w:hAnsi="Cambria Math"/>
            <w:noProof/>
          </w:rPr>
          <m:t>=0.8×365</m:t>
        </m:r>
        <m:sSub>
          <m:sSubPr>
            <m:ctrlPr>
              <w:rPr>
                <w:rFonts w:ascii="Cambria Math" w:hAnsi="Cambria Math"/>
                <w:i/>
                <w:noProof/>
              </w:rPr>
            </m:ctrlPr>
          </m:sSubPr>
          <m:e>
            <m:r>
              <m:rPr>
                <m:sty m:val="p"/>
              </m:rPr>
              <w:rPr>
                <w:rFonts w:ascii="Cambria Math" w:hAnsi="Cambria Math"/>
                <w:noProof/>
              </w:rPr>
              <m:t>Q</m:t>
            </m:r>
          </m:e>
          <m:sub>
            <m:r>
              <m:rPr>
                <m:nor/>
              </m:rPr>
              <w:rPr>
                <w:noProof/>
              </w:rPr>
              <m:t>cd</m:t>
            </m:r>
            <m:ctrlPr>
              <w:rPr>
                <w:rFonts w:ascii="Cambria Math" w:hAnsi="Cambria Math"/>
                <w:noProof/>
              </w:rPr>
            </m:ctrlPr>
          </m:sub>
        </m:sSub>
      </m:oMath>
      <w:r w:rsidR="00913C78" w:rsidRPr="00913C78">
        <w:fldChar w:fldCharType="end"/>
      </w:r>
      <w:r w:rsidR="00913C78" w:rsidRPr="00913C78">
        <w:rPr>
          <w:rFonts w:hint="eastAsia"/>
        </w:rPr>
        <w:t xml:space="preserve"> </w:t>
      </w:r>
      <w:r w:rsidR="00913C78" w:rsidRPr="00913C78">
        <w:rPr>
          <w:rFonts w:hint="eastAsia"/>
        </w:rPr>
        <w:tab/>
      </w:r>
      <w:r w:rsidR="00913C78" w:rsidRPr="00913C78">
        <w:rPr>
          <w:rFonts w:hint="eastAsia"/>
        </w:rPr>
        <w:t>（</w:t>
      </w:r>
      <w:r w:rsidR="00913C78" w:rsidRPr="00913C78">
        <w:rPr>
          <w:rFonts w:hint="eastAsia"/>
        </w:rPr>
        <w:t>B.3.6</w:t>
      </w:r>
      <w:r w:rsidR="00913C78" w:rsidRPr="00913C78">
        <w:rPr>
          <w:rFonts w:hint="eastAsia"/>
        </w:rPr>
        <w:t>）</w:t>
      </w:r>
    </w:p>
    <w:p w14:paraId="5E4EEC69" w14:textId="7B268B08" w:rsidR="00913C78" w:rsidRPr="00913C78" w:rsidRDefault="00E7216A" w:rsidP="00E7216A">
      <w:pPr>
        <w:pStyle w:val="af8"/>
      </w:pPr>
      <w:r>
        <w:tab/>
      </w:r>
      <w:r w:rsidR="00913C78" w:rsidRPr="00913C78">
        <w:fldChar w:fldCharType="begin"/>
      </w:r>
      <w:r w:rsidR="00913C78"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=0.9×</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xa</m:t>
            </m:r>
          </m:sub>
        </m:sSub>
      </m:oMath>
      <w:r w:rsidR="00913C78" w:rsidRPr="00913C78">
        <w:instrText xml:space="preserve"> </w:instrText>
      </w:r>
      <w:r w:rsidR="00913C78" w:rsidRPr="00913C78">
        <w:fldChar w:fldCharType="separate"/>
      </w:r>
      <m:oMath>
        <m:sSub>
          <m:sSubPr>
            <m:ctrlPr>
              <w:rPr>
                <w:rFonts w:ascii="Cambria Math" w:hAnsi="Cambria Math"/>
                <w:i/>
                <w:noProof/>
              </w:rPr>
            </m:ctrlPr>
          </m:sSubPr>
          <m:e>
            <m:r>
              <m:rPr>
                <m:sty m:val="p"/>
              </m:rPr>
              <w:rPr>
                <w:rFonts w:ascii="Cambria Math" w:hAnsi="Cambria Math"/>
                <w:noProof/>
              </w:rPr>
              <m:t>W</m:t>
            </m:r>
          </m:e>
          <m:sub>
            <m:r>
              <m:rPr>
                <m:sty m:val="p"/>
              </m:rPr>
              <w:rPr>
                <w:rFonts w:ascii="Cambria Math" w:hAnsi="Cambria Math"/>
                <w:noProof/>
              </w:rPr>
              <m:t>R</m:t>
            </m:r>
          </m:sub>
        </m:sSub>
        <m:r>
          <m:rPr>
            <m:sty m:val="p"/>
          </m:rPr>
          <w:rPr>
            <w:rFonts w:ascii="Cambria Math" w:hAnsi="Cambria Math"/>
            <w:noProof/>
          </w:rPr>
          <m:t>=0.9×</m:t>
        </m:r>
        <m:sSub>
          <m:sSubPr>
            <m:ctrlPr>
              <w:rPr>
                <w:rFonts w:ascii="Cambria Math" w:hAnsi="Cambria Math"/>
                <w:i/>
                <w:noProof/>
              </w:rPr>
            </m:ctrlPr>
          </m:sSubPr>
          <m:e>
            <m:r>
              <m:rPr>
                <m:sty m:val="p"/>
              </m:rPr>
              <w:rPr>
                <w:rFonts w:ascii="Cambria Math" w:hAnsi="Cambria Math"/>
                <w:noProof/>
              </w:rPr>
              <m:t>Q</m:t>
            </m:r>
          </m:e>
          <m:sub>
            <m:r>
              <m:rPr>
                <m:nor/>
              </m:rPr>
              <w:rPr>
                <w:noProof/>
              </w:rPr>
              <m:t>xa</m:t>
            </m:r>
            <m:ctrlPr>
              <w:rPr>
                <w:rFonts w:ascii="Cambria Math" w:hAnsi="Cambria Math"/>
                <w:noProof/>
              </w:rPr>
            </m:ctrlPr>
          </m:sub>
        </m:sSub>
      </m:oMath>
      <w:r w:rsidR="00913C78" w:rsidRPr="00913C78">
        <w:fldChar w:fldCharType="end"/>
      </w:r>
      <w:r w:rsidR="00913C78" w:rsidRPr="00913C78">
        <w:rPr>
          <w:rFonts w:hint="eastAsia"/>
        </w:rPr>
        <w:t xml:space="preserve"> </w:t>
      </w:r>
      <w:r w:rsidR="00913C78" w:rsidRPr="00913C78">
        <w:t xml:space="preserve">   </w:t>
      </w:r>
      <w:r w:rsidR="00913C78" w:rsidRPr="00913C78">
        <w:rPr>
          <w:rFonts w:hint="eastAsia"/>
        </w:rPr>
        <w:tab/>
      </w:r>
      <w:r w:rsidR="00913C78" w:rsidRPr="00913C78">
        <w:rPr>
          <w:rFonts w:hint="eastAsia"/>
        </w:rPr>
        <w:t>（</w:t>
      </w:r>
      <w:r w:rsidR="00913C78" w:rsidRPr="00913C78">
        <w:rPr>
          <w:rFonts w:hint="eastAsia"/>
        </w:rPr>
        <w:t>B.3.7</w:t>
      </w:r>
      <w:r w:rsidR="00913C78" w:rsidRPr="00913C78">
        <w:rPr>
          <w:rFonts w:hint="eastAsia"/>
        </w:rPr>
        <w:t>）</w:t>
      </w:r>
    </w:p>
    <w:p w14:paraId="14D05402" w14:textId="751C3BB4" w:rsidR="00913C78" w:rsidRPr="00913C78" w:rsidRDefault="00913C78" w:rsidP="00A624AE">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R</m:t>
            </m:r>
          </m:sub>
        </m:sSub>
      </m:oMath>
      <w:r w:rsidRPr="00913C78">
        <w:fldChar w:fldCharType="end"/>
      </w:r>
      <w:r w:rsidRPr="00913C78">
        <w:rPr>
          <w:rFonts w:hint="eastAsia"/>
        </w:rPr>
        <w:t>—再生水的年回用量，</w:t>
      </w:r>
      <w:r w:rsidRPr="00913C78">
        <w:rPr>
          <w:rFonts w:hint="eastAsia"/>
        </w:rPr>
        <w:t>m</w:t>
      </w:r>
      <w:r w:rsidRPr="00F83296">
        <w:rPr>
          <w:vertAlign w:val="superscript"/>
        </w:rPr>
        <w:t>3</w:t>
      </w:r>
      <w:r w:rsidRPr="00913C78">
        <w:t>/a</w:t>
      </w:r>
      <w:r w:rsidRPr="00913C78">
        <w:rPr>
          <w:rFonts w:hint="eastAsia"/>
        </w:rPr>
        <w:t>；</w:t>
      </w:r>
    </w:p>
    <w:p w14:paraId="17339EBB" w14:textId="388073B8" w:rsidR="00913C78" w:rsidRPr="00913C78" w:rsidRDefault="00913C78" w:rsidP="00A624AE">
      <w:pPr>
        <w:ind w:firstLineChars="500" w:firstLine="105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sa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sa</m:t>
            </m:r>
            <m:ctrlPr>
              <w:rPr>
                <w:rFonts w:ascii="Cambria Math" w:hAnsi="Cambria Math"/>
                <w:noProof/>
              </w:rPr>
            </m:ctrlPr>
          </m:sub>
        </m:sSub>
      </m:oMath>
      <w:r w:rsidRPr="00913C78">
        <w:fldChar w:fldCharType="end"/>
      </w:r>
      <w:r w:rsidRPr="00913C78">
        <w:rPr>
          <w:rFonts w:hint="eastAsia"/>
        </w:rPr>
        <w:t>—再生水原水的年收集量，</w:t>
      </w:r>
      <w:r w:rsidRPr="00913C78">
        <w:rPr>
          <w:rFonts w:hint="eastAsia"/>
        </w:rPr>
        <w:t>m</w:t>
      </w:r>
      <w:r w:rsidRPr="00F83296">
        <w:rPr>
          <w:vertAlign w:val="superscript"/>
        </w:rPr>
        <w:t>3</w:t>
      </w:r>
      <w:r w:rsidRPr="00913C78">
        <w:t>/a</w:t>
      </w:r>
      <w:r w:rsidRPr="00913C78">
        <w:rPr>
          <w:rFonts w:hint="eastAsia"/>
        </w:rPr>
        <w:t>；应根据上面计算的年用水量</w:t>
      </w:r>
      <m:oMath>
        <m:sSub>
          <m:sSubPr>
            <m:ctrlPr>
              <w:rPr>
                <w:rFonts w:ascii="Cambria Math" w:hAnsi="Cambria Math"/>
                <w:i/>
                <w:noProof/>
              </w:rPr>
            </m:ctrlPr>
          </m:sSubPr>
          <m:e>
            <m:r>
              <w:rPr>
                <w:rFonts w:ascii="Cambria Math"/>
                <w:noProof/>
              </w:rPr>
              <m:t>ω</m:t>
            </m:r>
          </m:e>
          <m:sub>
            <m:r>
              <w:rPr>
                <w:rFonts w:ascii="Cambria Math"/>
                <w:noProof/>
              </w:rPr>
              <m:t>t</m:t>
            </m:r>
          </m:sub>
        </m:sSub>
      </m:oMath>
      <w:r w:rsidRPr="00913C78">
        <w:rPr>
          <w:rFonts w:hint="eastAsia"/>
        </w:rPr>
        <w:t>乘</w:t>
      </w:r>
      <w:r w:rsidRPr="00913C78">
        <w:rPr>
          <w:rFonts w:hint="eastAsia"/>
        </w:rPr>
        <w:t>0</w:t>
      </w:r>
      <w:r w:rsidRPr="00913C78">
        <w:t>.</w:t>
      </w:r>
      <w:r w:rsidRPr="00913C78">
        <w:rPr>
          <w:rFonts w:hint="eastAsia"/>
        </w:rPr>
        <w:t>9</w:t>
      </w:r>
      <w:r w:rsidRPr="00913C78">
        <w:rPr>
          <w:rFonts w:hint="eastAsia"/>
        </w:rPr>
        <w:t>计算；</w:t>
      </w:r>
    </w:p>
    <w:p w14:paraId="325D22C8" w14:textId="32E43EB3"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cd</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cd</m:t>
            </m:r>
            <m:ctrlPr>
              <w:rPr>
                <w:rFonts w:ascii="Cambria Math" w:hAnsi="Cambria Math"/>
                <w:noProof/>
              </w:rPr>
            </m:ctrlPr>
          </m:sub>
        </m:sSub>
      </m:oMath>
      <w:r w:rsidRPr="00913C78">
        <w:fldChar w:fldCharType="end"/>
      </w:r>
      <w:r w:rsidRPr="00913C78">
        <w:rPr>
          <w:rFonts w:hint="eastAsia"/>
        </w:rPr>
        <w:t>—再生水处理设施的日处理水量，应按经过水量平衡计算后的再生水原水量取值，</w:t>
      </w:r>
      <w:r w:rsidRPr="00913C78">
        <w:rPr>
          <w:rFonts w:hint="eastAsia"/>
        </w:rPr>
        <w:t>m3/d</w:t>
      </w:r>
      <w:r w:rsidRPr="00913C78">
        <w:rPr>
          <w:rFonts w:hint="eastAsia"/>
        </w:rPr>
        <w:t>；</w:t>
      </w:r>
    </w:p>
    <w:p w14:paraId="3A0C2AFF" w14:textId="79461F3B" w:rsidR="00913C78" w:rsidRPr="00913C78" w:rsidRDefault="00913C78" w:rsidP="00A624AE">
      <w:pPr>
        <w:ind w:leftChars="500" w:left="1680" w:hangingChars="300" w:hanging="63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xa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xa</m:t>
            </m:r>
            <m:ctrlPr>
              <w:rPr>
                <w:rFonts w:ascii="Cambria Math" w:hAnsi="Cambria Math"/>
                <w:noProof/>
              </w:rPr>
            </m:ctrlPr>
          </m:sub>
        </m:sSub>
      </m:oMath>
      <w:r w:rsidRPr="00913C78">
        <w:fldChar w:fldCharType="end"/>
      </w:r>
      <w:r w:rsidRPr="00913C78">
        <w:rPr>
          <w:rFonts w:hint="eastAsia"/>
        </w:rPr>
        <w:t>—再生水供应管网系统的年需水量，</w:t>
      </w:r>
      <w:r w:rsidRPr="00913C78">
        <w:rPr>
          <w:rFonts w:hint="eastAsia"/>
        </w:rPr>
        <w:t>m</w:t>
      </w:r>
      <w:r w:rsidRPr="00643310">
        <w:rPr>
          <w:vertAlign w:val="superscript"/>
        </w:rPr>
        <w:t>3</w:t>
      </w:r>
      <w:r w:rsidRPr="00913C78">
        <w:t>/a</w:t>
      </w:r>
      <w:r w:rsidRPr="00913C78">
        <w:rPr>
          <w:rFonts w:hint="eastAsia"/>
        </w:rPr>
        <w:t>，应根据《民用建筑节水设计标准》</w:t>
      </w:r>
      <w:r w:rsidR="00CC545E">
        <w:rPr>
          <w:rFonts w:hint="eastAsia"/>
        </w:rPr>
        <w:t xml:space="preserve"> </w:t>
      </w:r>
      <w:r w:rsidR="00CC545E">
        <w:t xml:space="preserve">  </w:t>
      </w:r>
      <w:r w:rsidRPr="00913C78">
        <w:rPr>
          <w:rFonts w:hint="eastAsia"/>
        </w:rPr>
        <w:lastRenderedPageBreak/>
        <w:t>(GB</w:t>
      </w:r>
      <w:r w:rsidRPr="00913C78">
        <w:t> </w:t>
      </w:r>
      <w:r w:rsidRPr="00913C78">
        <w:rPr>
          <w:rFonts w:hint="eastAsia"/>
        </w:rPr>
        <w:t>50555</w:t>
      </w:r>
      <w:r w:rsidRPr="00913C78">
        <w:rPr>
          <w:rFonts w:hint="eastAsia"/>
        </w:rPr>
        <w:t>—</w:t>
      </w:r>
      <w:r w:rsidRPr="00913C78">
        <w:rPr>
          <w:rFonts w:hint="eastAsia"/>
        </w:rPr>
        <w:t>2010)</w:t>
      </w:r>
      <w:r w:rsidRPr="00913C78">
        <w:rPr>
          <w:rFonts w:hint="eastAsia"/>
        </w:rPr>
        <w:t>的规定计算。</w:t>
      </w:r>
    </w:p>
    <w:p w14:paraId="7FDA5864" w14:textId="77777777" w:rsidR="00913C78" w:rsidRPr="00913C78" w:rsidRDefault="00913C78" w:rsidP="00913C78">
      <w:pPr>
        <w:ind w:firstLine="420"/>
      </w:pPr>
      <w:bookmarkStart w:id="384" w:name="_Toc476142924"/>
      <w:r w:rsidRPr="00913C78">
        <w:rPr>
          <w:rFonts w:hint="eastAsia"/>
        </w:rPr>
        <w:t>（</w:t>
      </w:r>
      <w:r w:rsidRPr="00913C78">
        <w:rPr>
          <w:rFonts w:hint="eastAsia"/>
        </w:rPr>
        <w:t>3</w:t>
      </w:r>
      <w:r w:rsidRPr="00913C78">
        <w:rPr>
          <w:rFonts w:hint="eastAsia"/>
        </w:rPr>
        <w:t>）雨水设计利用量</w:t>
      </w:r>
      <w:bookmarkEnd w:id="384"/>
    </w:p>
    <w:p w14:paraId="767DF9C6"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雨水回用系统的年用雨水量为</w:t>
      </w:r>
    </w:p>
    <w:p w14:paraId="59E40E19" w14:textId="12292235" w:rsidR="00913C78" w:rsidRPr="00913C78" w:rsidRDefault="00913C78" w:rsidP="008F38C5">
      <w:pPr>
        <w:pStyle w:val="af8"/>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m:t>
        </m:r>
        <m:d>
          <m:dPr>
            <m:ctrlPr>
              <w:rPr>
                <w:rFonts w:ascii="Cambria Math" w:hAnsi="Cambria Math"/>
                <w:i/>
              </w:rPr>
            </m:ctrlPr>
          </m:dPr>
          <m:e>
            <m:r>
              <m:rPr>
                <m:sty m:val="p"/>
              </m:rPr>
              <w:rPr>
                <w:rFonts w:ascii="Cambria Math" w:hAnsi="Cambria Math"/>
              </w:rPr>
              <m:t>0.6~0.7</m:t>
            </m:r>
          </m:e>
        </m:d>
        <m:r>
          <m:rPr>
            <m:sty m:val="p"/>
          </m:rPr>
          <w:rPr>
            <w:rFonts w:ascii="Cambria Math" w:hAnsi="Cambria Math"/>
          </w:rPr>
          <m:t>×10</m:t>
        </m:r>
        <m:sSub>
          <m:sSubPr>
            <m:ctrlPr>
              <w:rPr>
                <w:rFonts w:ascii="Cambria Math" w:hAnsi="Cambria Math"/>
                <w:i/>
              </w:rPr>
            </m:ctrlPr>
          </m:sSubPr>
          <m:e>
            <m:r>
              <m:rPr>
                <m:sty m:val="p"/>
              </m:rPr>
              <w:rPr>
                <w:rFonts w:ascii="Cambria Math" w:hAnsi="Cambria Math"/>
              </w:rPr>
              <m:t>ψ</m:t>
            </m:r>
          </m:e>
          <m:sub>
            <m:r>
              <m:rPr>
                <m:sty m:val="p"/>
              </m:rPr>
              <w:rPr>
                <w:rFonts w:ascii="Cambria Math" w:hAnsi="Cambria Math"/>
              </w:rPr>
              <m:t>c</m:t>
            </m:r>
          </m:sub>
        </m:sSub>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a</m:t>
            </m:r>
          </m:sub>
        </m:sSub>
        <m:r>
          <m:rPr>
            <m:sty m:val="p"/>
          </m:rPr>
          <w:rPr>
            <w:rFonts w:ascii="Cambria Math" w:hAnsi="Cambria Math"/>
          </w:rPr>
          <m:t>F</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hAnsi="Cambria Math"/>
                <w:noProof/>
              </w:rPr>
              <m:t>W</m:t>
            </m:r>
          </m:e>
          <m:sub>
            <m:r>
              <m:rPr>
                <m:sty m:val="p"/>
              </m:rPr>
              <w:rPr>
                <w:rFonts w:ascii="Cambria Math" w:hAnsi="Cambria Math"/>
                <w:noProof/>
              </w:rPr>
              <m:t>r</m:t>
            </m:r>
          </m:sub>
        </m:sSub>
        <m:r>
          <m:rPr>
            <m:sty m:val="p"/>
          </m:rPr>
          <w:rPr>
            <w:rFonts w:ascii="Cambria Math" w:hAnsi="Cambria Math"/>
            <w:noProof/>
          </w:rPr>
          <m:t>=(0.6</m:t>
        </m:r>
        <m:r>
          <m:rPr>
            <m:sty m:val="p"/>
          </m:rPr>
          <w:rPr>
            <w:rFonts w:ascii="Cambria Math" w:hAnsi="Cambria Math"/>
            <w:noProof/>
          </w:rPr>
          <m:t>～</m:t>
        </m:r>
        <m:r>
          <m:rPr>
            <m:sty m:val="p"/>
          </m:rPr>
          <w:rPr>
            <w:rFonts w:ascii="Cambria Math" w:hAnsi="Cambria Math"/>
            <w:noProof/>
          </w:rPr>
          <m:t>0.7)×10</m:t>
        </m:r>
        <m:sSub>
          <m:sSubPr>
            <m:ctrlPr>
              <w:rPr>
                <w:rFonts w:ascii="Cambria Math" w:hAnsi="Cambria Math"/>
                <w:i/>
                <w:noProof/>
              </w:rPr>
            </m:ctrlPr>
          </m:sSubPr>
          <m:e>
            <m:r>
              <m:rPr>
                <m:sty m:val="p"/>
              </m:rPr>
              <w:rPr>
                <w:rFonts w:ascii="Cambria Math" w:hAnsi="Cambria Math"/>
                <w:noProof/>
              </w:rPr>
              <m:t>ψ</m:t>
            </m:r>
          </m:e>
          <m:sub>
            <m:r>
              <m:rPr>
                <m:sty m:val="p"/>
              </m:rPr>
              <w:rPr>
                <w:rFonts w:ascii="Cambria Math" w:hAnsi="Cambria Math"/>
                <w:noProof/>
              </w:rPr>
              <m:t>c</m:t>
            </m:r>
          </m:sub>
        </m:sSub>
        <m:sSub>
          <m:sSubPr>
            <m:ctrlPr>
              <w:rPr>
                <w:rFonts w:ascii="Cambria Math" w:hAnsi="Cambria Math"/>
                <w:i/>
                <w:noProof/>
              </w:rPr>
            </m:ctrlPr>
          </m:sSubPr>
          <m:e>
            <m:r>
              <m:rPr>
                <m:sty m:val="p"/>
              </m:rPr>
              <w:rPr>
                <w:rFonts w:ascii="Cambria Math" w:hAnsi="Cambria Math"/>
                <w:noProof/>
              </w:rPr>
              <m:t>h</m:t>
            </m:r>
          </m:e>
          <m:sub>
            <m:r>
              <m:rPr>
                <m:sty m:val="p"/>
              </m:rPr>
              <w:rPr>
                <w:rFonts w:ascii="Cambria Math" w:hAnsi="Cambria Math"/>
                <w:noProof/>
              </w:rPr>
              <m:t>a</m:t>
            </m:r>
          </m:sub>
        </m:sSub>
        <m:r>
          <m:rPr>
            <m:sty m:val="p"/>
          </m:rPr>
          <w:rPr>
            <w:rFonts w:ascii="Cambria Math" w:hAnsi="Cambria Math"/>
            <w:noProof/>
          </w:rPr>
          <m:t>F</m:t>
        </m:r>
      </m:oMath>
      <w:r w:rsidRPr="00913C78">
        <w:fldChar w:fldCharType="end"/>
      </w:r>
      <w:r w:rsidRPr="00913C78">
        <w:rPr>
          <w:rFonts w:hint="eastAsia"/>
        </w:rPr>
        <w:t xml:space="preserve"> </w:t>
      </w:r>
      <w:r w:rsidRPr="00913C78">
        <w:t xml:space="preserve"> </w:t>
      </w:r>
      <w:r w:rsidRPr="00913C78">
        <w:rPr>
          <w:rFonts w:hint="eastAsia"/>
        </w:rPr>
        <w:t xml:space="preserve"> </w:t>
      </w:r>
      <w:r w:rsidRPr="00913C78">
        <w:rPr>
          <w:rFonts w:hint="eastAsia"/>
        </w:rPr>
        <w:tab/>
      </w:r>
      <w:r w:rsidRPr="00913C78">
        <w:rPr>
          <w:rFonts w:hint="eastAsia"/>
        </w:rPr>
        <w:t>（</w:t>
      </w:r>
      <w:r w:rsidRPr="00913C78">
        <w:rPr>
          <w:rFonts w:hint="eastAsia"/>
        </w:rPr>
        <w:t>B.3.8</w:t>
      </w:r>
      <w:r w:rsidRPr="00913C78">
        <w:rPr>
          <w:rFonts w:hint="eastAsia"/>
        </w:rPr>
        <w:t>）</w:t>
      </w:r>
    </w:p>
    <w:p w14:paraId="1CFDC7F3" w14:textId="4F1203D3" w:rsidR="00913C78" w:rsidRPr="00913C78" w:rsidRDefault="00913C78" w:rsidP="00A624AE">
      <w:pPr>
        <w:ind w:firstLine="420"/>
      </w:pPr>
      <w:r w:rsidRPr="00913C78">
        <w:t>式中</w:t>
      </w:r>
      <w:r w:rsidRPr="00913C78">
        <w:rPr>
          <w:rFonts w:hint="eastAsia"/>
        </w:rPr>
        <w:t>，</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r</m:t>
            </m:r>
          </m:sub>
        </m:sSub>
      </m:oMath>
      <w:r w:rsidRPr="00913C78">
        <w:fldChar w:fldCharType="end"/>
      </w:r>
      <w:r w:rsidRPr="00913C78">
        <w:rPr>
          <w:rFonts w:hint="eastAsia"/>
        </w:rPr>
        <w:t>—</w:t>
      </w:r>
      <w:r w:rsidRPr="00913C78">
        <w:t>年用雨水量</w:t>
      </w:r>
      <w:r w:rsidRPr="00913C78">
        <w:rPr>
          <w:rFonts w:hint="eastAsia"/>
        </w:rPr>
        <w:t>，</w:t>
      </w:r>
      <w:r w:rsidRPr="00913C78">
        <w:t>m</w:t>
      </w:r>
      <w:r w:rsidRPr="00F83296">
        <w:rPr>
          <w:vertAlign w:val="superscript"/>
        </w:rPr>
        <w:t>3</w:t>
      </w:r>
      <w:r w:rsidRPr="00913C78">
        <w:t>；</w:t>
      </w:r>
    </w:p>
    <w:p w14:paraId="4EEC7A36" w14:textId="012994D1" w:rsidR="00913C78" w:rsidRPr="00913C78" w:rsidRDefault="00913C78" w:rsidP="00A624AE">
      <w:pPr>
        <w:ind w:firstLineChars="540" w:firstLine="1134"/>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ψ</m:t>
            </m:r>
          </m:e>
          <m:sub>
            <m:r>
              <m:rPr>
                <m:sty m:val="p"/>
              </m:rPr>
              <w:rPr>
                <w:rFonts w:ascii="Cambria Math" w:hAnsi="Cambria Math"/>
              </w:rPr>
              <m:t>c</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ψ</m:t>
            </m:r>
          </m:e>
          <m:sub>
            <m:r>
              <m:rPr>
                <m:sty m:val="p"/>
              </m:rPr>
              <w:rPr>
                <w:rFonts w:ascii="Cambria Math"/>
                <w:noProof/>
              </w:rPr>
              <m:t>c</m:t>
            </m:r>
          </m:sub>
        </m:sSub>
      </m:oMath>
      <w:r w:rsidRPr="00913C78">
        <w:fldChar w:fldCharType="end"/>
      </w:r>
      <w:r w:rsidRPr="00913C78">
        <w:rPr>
          <w:rFonts w:hint="eastAsia"/>
        </w:rPr>
        <w:t>—</w:t>
      </w:r>
      <w:r w:rsidRPr="00913C78">
        <w:t>雨量径流系数；</w:t>
      </w:r>
    </w:p>
    <w:p w14:paraId="611947A7" w14:textId="333EBD44" w:rsidR="00913C78" w:rsidRPr="00913C78" w:rsidRDefault="00913C78" w:rsidP="00A624AE">
      <w:pPr>
        <w:ind w:firstLineChars="540" w:firstLine="1134"/>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h</m:t>
            </m:r>
          </m:e>
          <m:sub>
            <m:r>
              <m:rPr>
                <m:sty m:val="p"/>
              </m:rPr>
              <w:rPr>
                <w:rFonts w:ascii="Cambria Math"/>
                <w:noProof/>
              </w:rPr>
              <m:t>a</m:t>
            </m:r>
          </m:sub>
        </m:sSub>
      </m:oMath>
      <w:r w:rsidRPr="00913C78">
        <w:fldChar w:fldCharType="end"/>
      </w:r>
      <w:r w:rsidRPr="00913C78">
        <w:rPr>
          <w:rFonts w:hint="eastAsia"/>
        </w:rPr>
        <w:t>—</w:t>
      </w:r>
      <w:r w:rsidRPr="00913C78">
        <w:t>常年降雨厚度</w:t>
      </w:r>
      <w:r w:rsidRPr="00913C78">
        <w:rPr>
          <w:rFonts w:hint="eastAsia"/>
        </w:rPr>
        <w:t>，</w:t>
      </w:r>
      <w:r w:rsidRPr="00913C78">
        <w:t>mm</w:t>
      </w:r>
      <w:r w:rsidRPr="00913C78">
        <w:t>；</w:t>
      </w:r>
    </w:p>
    <w:p w14:paraId="21DEA9F0" w14:textId="08EF9B0C" w:rsidR="00913C78" w:rsidRPr="00913C78" w:rsidRDefault="00913C78" w:rsidP="00A624AE">
      <w:pPr>
        <w:ind w:firstLineChars="540" w:firstLine="1134"/>
      </w:pPr>
      <w:r w:rsidRPr="00913C78">
        <w:fldChar w:fldCharType="begin"/>
      </w:r>
      <w:r w:rsidRPr="00913C78">
        <w:instrText xml:space="preserve"> QUOTE </w:instrText>
      </w:r>
      <m:oMath>
        <m:r>
          <m:rPr>
            <m:sty m:val="p"/>
          </m:rPr>
          <w:rPr>
            <w:rFonts w:ascii="Cambria Math" w:hAnsi="Cambria Math"/>
          </w:rPr>
          <m:t>F</m:t>
        </m:r>
      </m:oMath>
      <w:r w:rsidRPr="00913C78">
        <w:instrText xml:space="preserve"> </w:instrText>
      </w:r>
      <w:r w:rsidRPr="00913C78">
        <w:fldChar w:fldCharType="separate"/>
      </w:r>
      <m:oMath>
        <m:r>
          <m:rPr>
            <m:sty m:val="p"/>
          </m:rPr>
          <w:rPr>
            <w:rFonts w:ascii="Cambria Math"/>
            <w:noProof/>
          </w:rPr>
          <m:t>F</m:t>
        </m:r>
      </m:oMath>
      <w:r w:rsidRPr="00913C78">
        <w:fldChar w:fldCharType="end"/>
      </w:r>
      <w:r w:rsidRPr="00913C78">
        <w:rPr>
          <w:rFonts w:hint="eastAsia"/>
        </w:rPr>
        <w:t>—</w:t>
      </w:r>
      <w:r w:rsidRPr="00913C78">
        <w:t>计算汇水面积</w:t>
      </w:r>
      <w:r w:rsidRPr="00913C78">
        <w:rPr>
          <w:rFonts w:hint="eastAsia"/>
        </w:rPr>
        <w:t>，</w:t>
      </w:r>
      <w:r w:rsidRPr="00913C78">
        <w:t>hm</w:t>
      </w:r>
      <w:r w:rsidRPr="00F83296">
        <w:rPr>
          <w:vertAlign w:val="superscript"/>
        </w:rPr>
        <w:t>2</w:t>
      </w:r>
      <w:r w:rsidRPr="00913C78">
        <w:t>，按</w:t>
      </w:r>
      <w:r w:rsidRPr="00913C78">
        <w:rPr>
          <w:rFonts w:hint="eastAsia"/>
        </w:rPr>
        <w:t>2</w:t>
      </w:r>
      <w:r w:rsidRPr="00913C78">
        <w:rPr>
          <w:rFonts w:hint="eastAsia"/>
        </w:rPr>
        <w:t>）</w:t>
      </w:r>
      <w:r w:rsidRPr="00913C78">
        <w:t>确定；</w:t>
      </w:r>
    </w:p>
    <w:p w14:paraId="762A0E9C" w14:textId="77777777" w:rsidR="00913C78" w:rsidRPr="00913C78" w:rsidRDefault="00913C78" w:rsidP="00913C78">
      <w:pPr>
        <w:ind w:firstLine="420"/>
      </w:pPr>
      <w:r w:rsidRPr="00913C78">
        <w:fldChar w:fldCharType="begin"/>
      </w:r>
      <w:r w:rsidRPr="00913C78">
        <w:instrText xml:space="preserve"> QUOTE </w:instrText>
      </w:r>
      <m:oMath>
        <m:r>
          <m:rPr>
            <m:sty m:val="p"/>
          </m:rPr>
          <w:rPr>
            <w:rFonts w:ascii="Cambria Math" w:hAnsi="Cambria Math"/>
          </w:rPr>
          <m:t>0.6~0.7</m:t>
        </m:r>
      </m:oMath>
      <w:r w:rsidRPr="00913C78">
        <w:instrText xml:space="preserve"> </w:instrText>
      </w:r>
      <w:r w:rsidRPr="00913C78">
        <w:fldChar w:fldCharType="separate"/>
      </w:r>
      <w:r w:rsidRPr="00913C78">
        <w:rPr>
          <w:rFonts w:hint="eastAsia"/>
        </w:rPr>
        <w:t>0.6</w:t>
      </w:r>
      <w:r w:rsidRPr="00913C78">
        <w:rPr>
          <w:rFonts w:hint="eastAsia"/>
        </w:rPr>
        <w:t>～</w:t>
      </w:r>
      <w:r w:rsidRPr="00913C78">
        <w:rPr>
          <w:rFonts w:hint="eastAsia"/>
        </w:rPr>
        <w:t>0.7</w:t>
      </w:r>
      <w:r w:rsidRPr="00913C78">
        <w:fldChar w:fldCharType="end"/>
      </w:r>
      <w:r w:rsidRPr="00913C78">
        <w:rPr>
          <w:rFonts w:hint="eastAsia"/>
        </w:rPr>
        <w:t>—</w:t>
      </w:r>
      <w:r w:rsidRPr="00913C78">
        <w:t>除去不能形成径流的降雨、弃流雨水等外的可回用系数。</w:t>
      </w:r>
    </w:p>
    <w:p w14:paraId="467F803D"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汇水面积。计算汇水面积</w:t>
      </w:r>
      <w:r w:rsidRPr="00913C78">
        <w:rPr>
          <w:rFonts w:hint="eastAsia"/>
        </w:rPr>
        <w:t>F</w:t>
      </w:r>
      <w:r w:rsidRPr="00913C78">
        <w:rPr>
          <w:rFonts w:hint="eastAsia"/>
        </w:rPr>
        <w:t>可按下列公式进行计算，并可与雨水蓄水池汇水面积相比较后取三者中最小值，即</w:t>
      </w:r>
    </w:p>
    <w:p w14:paraId="246790E2" w14:textId="6B1BC2F5" w:rsidR="00913C78" w:rsidRPr="00913C78" w:rsidRDefault="00194A28" w:rsidP="00A624AE">
      <w:pPr>
        <w:pStyle w:val="af8"/>
      </w:pPr>
      <w:r>
        <w:tab/>
      </w:r>
      <w:r w:rsidR="00913C78" w:rsidRPr="00913C78">
        <w:fldChar w:fldCharType="begin"/>
      </w:r>
      <w:r w:rsidR="00913C78" w:rsidRPr="00913C78">
        <w:instrText xml:space="preserve"> QUOTE </w:instrText>
      </w:r>
      <m:oMath>
        <m:r>
          <m:rPr>
            <m:sty m:val="p"/>
          </m:rPr>
          <w:rPr>
            <w:rFonts w:ascii="Cambria Math" w:hAnsi="Cambria Math"/>
          </w:rPr>
          <m:t>F=</m:t>
        </m:r>
        <m:f>
          <m:fPr>
            <m:ctrlPr>
              <w:rPr>
                <w:rFonts w:ascii="Cambria Math" w:hAnsi="Cambria Math"/>
                <w:i/>
              </w:rPr>
            </m:ctrlPr>
          </m:fPr>
          <m:num>
            <m:r>
              <m:rPr>
                <m:sty m:val="p"/>
              </m:rPr>
              <w:rPr>
                <w:rFonts w:ascii="Cambria Math" w:hAnsi="Cambria Math"/>
              </w:rPr>
              <m:t>V</m:t>
            </m:r>
          </m:num>
          <m:den>
            <m:r>
              <m:rPr>
                <m:sty m:val="p"/>
              </m:rPr>
              <w:rPr>
                <w:rFonts w:ascii="Cambria Math" w:hAnsi="Cambria Math"/>
              </w:rPr>
              <m:t>10</m:t>
            </m:r>
            <m:sSub>
              <m:sSubPr>
                <m:ctrlPr>
                  <w:rPr>
                    <w:rFonts w:ascii="Cambria Math" w:hAnsi="Cambria Math"/>
                    <w:i/>
                  </w:rPr>
                </m:ctrlPr>
              </m:sSubPr>
              <m:e>
                <m:r>
                  <m:rPr>
                    <m:sty m:val="p"/>
                  </m:rPr>
                  <w:rPr>
                    <w:rFonts w:ascii="Cambria Math" w:hAnsi="Cambria Math"/>
                  </w:rPr>
                  <m:t>ψ</m:t>
                </m:r>
              </m:e>
              <m:sub>
                <m:r>
                  <m:rPr>
                    <m:sty m:val="p"/>
                  </m:rPr>
                  <w:rPr>
                    <w:rFonts w:ascii="Cambria Math" w:hAnsi="Cambria Math"/>
                  </w:rPr>
                  <m:t>c</m:t>
                </m:r>
              </m:sub>
            </m:sSub>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d</m:t>
                </m:r>
              </m:sub>
            </m:sSub>
          </m:den>
        </m:f>
      </m:oMath>
      <w:r w:rsidR="00913C78" w:rsidRPr="00913C78">
        <w:instrText xml:space="preserve"> </w:instrText>
      </w:r>
      <w:r w:rsidR="00913C78" w:rsidRPr="00913C78">
        <w:fldChar w:fldCharType="separate"/>
      </w:r>
      <m:oMath>
        <m:r>
          <m:rPr>
            <m:sty m:val="p"/>
          </m:rPr>
          <w:rPr>
            <w:rFonts w:ascii="Cambria Math"/>
            <w:noProof/>
          </w:rPr>
          <m:t>F=</m:t>
        </m:r>
        <m:f>
          <m:fPr>
            <m:ctrlPr>
              <w:rPr>
                <w:rFonts w:ascii="Cambria Math" w:hAnsi="Cambria Math"/>
                <w:i/>
                <w:noProof/>
              </w:rPr>
            </m:ctrlPr>
          </m:fPr>
          <m:num>
            <m:r>
              <m:rPr>
                <m:sty m:val="p"/>
              </m:rPr>
              <w:rPr>
                <w:rFonts w:ascii="Cambria Math"/>
                <w:noProof/>
              </w:rPr>
              <m:t>V</m:t>
            </m:r>
          </m:num>
          <m:den>
            <m:r>
              <m:rPr>
                <m:sty m:val="p"/>
              </m:rPr>
              <w:rPr>
                <w:rFonts w:ascii="Cambria Math"/>
                <w:noProof/>
              </w:rPr>
              <m:t>10</m:t>
            </m:r>
            <m:sSub>
              <m:sSubPr>
                <m:ctrlPr>
                  <w:rPr>
                    <w:rFonts w:ascii="Cambria Math" w:hAnsi="Cambria Math"/>
                    <w:i/>
                    <w:noProof/>
                  </w:rPr>
                </m:ctrlPr>
              </m:sSubPr>
              <m:e>
                <m:r>
                  <m:rPr>
                    <m:sty m:val="p"/>
                  </m:rPr>
                  <w:rPr>
                    <w:rFonts w:ascii="Cambria Math"/>
                    <w:noProof/>
                  </w:rPr>
                  <m:t>ψ</m:t>
                </m:r>
              </m:e>
              <m:sub>
                <m:r>
                  <m:rPr>
                    <m:sty m:val="p"/>
                  </m:rPr>
                  <w:rPr>
                    <w:rFonts w:ascii="Cambria Math"/>
                    <w:noProof/>
                  </w:rPr>
                  <m:t>c</m:t>
                </m:r>
              </m:sub>
            </m:sSub>
            <m:sSub>
              <m:sSubPr>
                <m:ctrlPr>
                  <w:rPr>
                    <w:rFonts w:ascii="Cambria Math" w:hAnsi="Cambria Math"/>
                    <w:i/>
                    <w:noProof/>
                  </w:rPr>
                </m:ctrlPr>
              </m:sSubPr>
              <m:e>
                <m:r>
                  <m:rPr>
                    <m:sty m:val="p"/>
                  </m:rPr>
                  <w:rPr>
                    <w:rFonts w:ascii="Cambria Math"/>
                    <w:noProof/>
                  </w:rPr>
                  <m:t>h</m:t>
                </m:r>
              </m:e>
              <m:sub>
                <m:r>
                  <m:rPr>
                    <m:sty m:val="p"/>
                  </m:rPr>
                  <w:rPr>
                    <w:rFonts w:ascii="Cambria Math"/>
                    <w:noProof/>
                  </w:rPr>
                  <m:t>d</m:t>
                </m:r>
              </m:sub>
            </m:sSub>
          </m:den>
        </m:f>
      </m:oMath>
      <w:r w:rsidR="00913C78" w:rsidRPr="00913C78">
        <w:fldChar w:fldCharType="end"/>
      </w:r>
      <w:r w:rsidR="00913C78" w:rsidRPr="00913C78">
        <w:rPr>
          <w:rFonts w:hint="eastAsia"/>
        </w:rPr>
        <w:t xml:space="preserve"> </w:t>
      </w:r>
      <w:r w:rsidR="00913C78" w:rsidRPr="00913C78">
        <w:t xml:space="preserve">     </w:t>
      </w:r>
      <w:r w:rsidR="00913C78" w:rsidRPr="00913C78">
        <w:rPr>
          <w:rFonts w:hint="eastAsia"/>
        </w:rPr>
        <w:tab/>
      </w:r>
      <w:r w:rsidR="00913C78" w:rsidRPr="00913C78">
        <w:rPr>
          <w:rFonts w:hint="eastAsia"/>
        </w:rPr>
        <w:t>（</w:t>
      </w:r>
      <w:r w:rsidR="00913C78" w:rsidRPr="00913C78">
        <w:rPr>
          <w:rFonts w:hint="eastAsia"/>
        </w:rPr>
        <w:t>B.3.9</w:t>
      </w:r>
      <w:r w:rsidR="00913C78" w:rsidRPr="00913C78">
        <w:rPr>
          <w:rFonts w:hint="eastAsia"/>
        </w:rPr>
        <w:t>）</w:t>
      </w:r>
    </w:p>
    <w:p w14:paraId="342DF715" w14:textId="23131DEA" w:rsidR="00913C78" w:rsidRPr="00913C78" w:rsidRDefault="00913C78" w:rsidP="00A624AE">
      <w:pPr>
        <w:pStyle w:val="af8"/>
      </w:pPr>
      <w:r w:rsidRPr="00913C78">
        <w:fldChar w:fldCharType="begin"/>
      </w:r>
      <w:r w:rsidRPr="00913C78">
        <w:instrText xml:space="preserve"> QUOTE </w:instrText>
      </w:r>
      <m:oMath>
        <m:r>
          <m:rPr>
            <m:sty m:val="p"/>
          </m:rPr>
          <w:rPr>
            <w:rFonts w:ascii="Cambria Math" w:hAnsi="Cambria Math"/>
          </w:rPr>
          <m:t>F=</m:t>
        </m:r>
        <m:f>
          <m:fPr>
            <m:ctrlPr>
              <w:rPr>
                <w:rFonts w:ascii="Cambria Math" w:hAnsi="Cambria Math"/>
                <w:i/>
              </w:rPr>
            </m:ctrlPr>
          </m:fPr>
          <m:num>
            <m:r>
              <m:rPr>
                <m:sty m:val="p"/>
              </m:rPr>
              <w:rPr>
                <w:rFonts w:ascii="Cambria Math" w:hAnsi="Cambria Math"/>
              </w:rPr>
              <m:t>3</m:t>
            </m:r>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hd</m:t>
                </m:r>
              </m:sub>
            </m:sSub>
          </m:num>
          <m:den>
            <m:r>
              <m:rPr>
                <m:sty m:val="p"/>
              </m:rPr>
              <w:rPr>
                <w:rFonts w:ascii="Cambria Math" w:hAnsi="Cambria Math"/>
              </w:rPr>
              <m:t>10</m:t>
            </m:r>
            <m:sSub>
              <m:sSubPr>
                <m:ctrlPr>
                  <w:rPr>
                    <w:rFonts w:ascii="Cambria Math" w:hAnsi="Cambria Math"/>
                    <w:i/>
                  </w:rPr>
                </m:ctrlPr>
              </m:sSubPr>
              <m:e>
                <m:r>
                  <m:rPr>
                    <m:sty m:val="p"/>
                  </m:rPr>
                  <w:rPr>
                    <w:rFonts w:ascii="Cambria Math" w:hAnsi="Cambria Math"/>
                  </w:rPr>
                  <m:t>ψ</m:t>
                </m:r>
              </m:e>
              <m:sub>
                <m:r>
                  <m:rPr>
                    <m:sty m:val="p"/>
                  </m:rPr>
                  <w:rPr>
                    <w:rFonts w:ascii="Cambria Math" w:hAnsi="Cambria Math"/>
                  </w:rPr>
                  <m:t>c</m:t>
                </m:r>
              </m:sub>
            </m:sSub>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d</m:t>
                </m:r>
              </m:sub>
            </m:sSub>
          </m:den>
        </m:f>
      </m:oMath>
      <w:r w:rsidRPr="00913C78">
        <w:instrText xml:space="preserve"> </w:instrText>
      </w:r>
      <w:r w:rsidRPr="00913C78">
        <w:fldChar w:fldCharType="separate"/>
      </w:r>
      <m:oMath>
        <m:r>
          <m:rPr>
            <m:sty m:val="p"/>
          </m:rPr>
          <w:rPr>
            <w:rFonts w:ascii="Cambria Math" w:hAnsi="Cambria Math"/>
            <w:noProof/>
          </w:rPr>
          <m:t>F=</m:t>
        </m:r>
        <m:f>
          <m:fPr>
            <m:ctrlPr>
              <w:rPr>
                <w:rFonts w:ascii="Cambria Math" w:hAnsi="Cambria Math"/>
                <w:i/>
                <w:noProof/>
              </w:rPr>
            </m:ctrlPr>
          </m:fPr>
          <m:num>
            <m:r>
              <m:rPr>
                <m:sty m:val="p"/>
              </m:rPr>
              <w:rPr>
                <w:rFonts w:ascii="Cambria Math" w:hAnsi="Cambria Math"/>
                <w:noProof/>
              </w:rPr>
              <m:t>3</m:t>
            </m:r>
            <m:sSub>
              <m:sSubPr>
                <m:ctrlPr>
                  <w:rPr>
                    <w:rFonts w:ascii="Cambria Math" w:hAnsi="Cambria Math"/>
                    <w:i/>
                    <w:noProof/>
                  </w:rPr>
                </m:ctrlPr>
              </m:sSubPr>
              <m:e>
                <m:r>
                  <m:rPr>
                    <m:sty m:val="p"/>
                  </m:rPr>
                  <w:rPr>
                    <w:rFonts w:ascii="Cambria Math" w:hAnsi="Cambria Math"/>
                    <w:noProof/>
                  </w:rPr>
                  <m:t>Q</m:t>
                </m:r>
              </m:e>
              <m:sub>
                <m:r>
                  <m:rPr>
                    <m:nor/>
                  </m:rPr>
                  <w:rPr>
                    <w:noProof/>
                  </w:rPr>
                  <m:t>hd</m:t>
                </m:r>
                <m:ctrlPr>
                  <w:rPr>
                    <w:rFonts w:ascii="Cambria Math" w:hAnsi="Cambria Math"/>
                    <w:noProof/>
                  </w:rPr>
                </m:ctrlPr>
              </m:sub>
            </m:sSub>
          </m:num>
          <m:den>
            <m:r>
              <m:rPr>
                <m:sty m:val="p"/>
              </m:rPr>
              <w:rPr>
                <w:rFonts w:ascii="Cambria Math" w:hAnsi="Cambria Math"/>
                <w:noProof/>
              </w:rPr>
              <m:t>10</m:t>
            </m:r>
            <m:sSub>
              <m:sSubPr>
                <m:ctrlPr>
                  <w:rPr>
                    <w:rFonts w:ascii="Cambria Math" w:hAnsi="Cambria Math"/>
                    <w:i/>
                    <w:noProof/>
                  </w:rPr>
                </m:ctrlPr>
              </m:sSubPr>
              <m:e>
                <m:r>
                  <m:rPr>
                    <m:sty m:val="p"/>
                  </m:rPr>
                  <w:rPr>
                    <w:rFonts w:ascii="Cambria Math" w:hAnsi="Cambria Math"/>
                    <w:noProof/>
                  </w:rPr>
                  <m:t>ψ</m:t>
                </m:r>
              </m:e>
              <m:sub>
                <m:r>
                  <m:rPr>
                    <m:sty m:val="p"/>
                  </m:rPr>
                  <w:rPr>
                    <w:rFonts w:ascii="Cambria Math" w:hAnsi="Cambria Math"/>
                    <w:noProof/>
                  </w:rPr>
                  <m:t>c</m:t>
                </m:r>
              </m:sub>
            </m:sSub>
            <m:sSub>
              <m:sSubPr>
                <m:ctrlPr>
                  <w:rPr>
                    <w:rFonts w:ascii="Cambria Math" w:hAnsi="Cambria Math"/>
                    <w:i/>
                    <w:noProof/>
                  </w:rPr>
                </m:ctrlPr>
              </m:sSubPr>
              <m:e>
                <m:r>
                  <m:rPr>
                    <m:sty m:val="p"/>
                  </m:rPr>
                  <w:rPr>
                    <w:rFonts w:ascii="Cambria Math" w:hAnsi="Cambria Math"/>
                    <w:noProof/>
                  </w:rPr>
                  <m:t>h</m:t>
                </m:r>
              </m:e>
              <m:sub>
                <m:r>
                  <m:rPr>
                    <m:sty m:val="p"/>
                  </m:rPr>
                  <w:rPr>
                    <w:rFonts w:ascii="Cambria Math" w:hAnsi="Cambria Math"/>
                    <w:noProof/>
                  </w:rPr>
                  <m:t>d</m:t>
                </m:r>
              </m:sub>
            </m:sSub>
          </m:den>
        </m:f>
      </m:oMath>
      <w:r w:rsidRPr="00913C78">
        <w:fldChar w:fldCharType="end"/>
      </w:r>
      <w:r w:rsidRPr="00913C78">
        <w:rPr>
          <w:rFonts w:hint="eastAsia"/>
        </w:rPr>
        <w:t xml:space="preserve"> </w:t>
      </w:r>
      <w:r w:rsidRPr="00913C78">
        <w:t xml:space="preserve"> </w:t>
      </w:r>
      <w:r w:rsidRPr="00913C78">
        <w:rPr>
          <w:rFonts w:hint="eastAsia"/>
        </w:rPr>
        <w:tab/>
      </w:r>
      <w:r w:rsidR="007F25A4">
        <w:t xml:space="preserve">     </w:t>
      </w:r>
      <w:r w:rsidRPr="00913C78">
        <w:rPr>
          <w:rFonts w:hint="eastAsia"/>
        </w:rPr>
        <w:t>（</w:t>
      </w:r>
      <w:r w:rsidRPr="00913C78">
        <w:rPr>
          <w:rFonts w:hint="eastAsia"/>
        </w:rPr>
        <w:t>B.3.10</w:t>
      </w:r>
      <w:r w:rsidRPr="00913C78">
        <w:rPr>
          <w:rFonts w:hint="eastAsia"/>
        </w:rPr>
        <w:t>）</w:t>
      </w:r>
    </w:p>
    <w:p w14:paraId="626CB752" w14:textId="2F6F6144" w:rsidR="00913C78" w:rsidRPr="00913C78" w:rsidRDefault="00913C78" w:rsidP="00A624AE">
      <w:pPr>
        <w:ind w:firstLine="420"/>
      </w:pPr>
      <w:r w:rsidRPr="00913C78">
        <w:t>式中</w:t>
      </w:r>
      <w:r w:rsidRPr="00913C78">
        <w:rPr>
          <w:rFonts w:hint="eastAsia"/>
        </w:rPr>
        <w:t>，</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h</m:t>
            </m:r>
          </m:e>
          <m:sub>
            <m:r>
              <m:rPr>
                <m:sty m:val="p"/>
              </m:rPr>
              <w:rPr>
                <w:rFonts w:ascii="Cambria Math" w:hAnsi="Cambria Math"/>
              </w:rPr>
              <m:t>d</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h</m:t>
            </m:r>
          </m:e>
          <m:sub>
            <m:r>
              <m:rPr>
                <m:sty m:val="p"/>
              </m:rPr>
              <w:rPr>
                <w:rFonts w:ascii="Cambria Math"/>
                <w:noProof/>
              </w:rPr>
              <m:t>d</m:t>
            </m:r>
          </m:sub>
        </m:sSub>
      </m:oMath>
      <w:r w:rsidRPr="00913C78">
        <w:fldChar w:fldCharType="end"/>
      </w:r>
      <w:r w:rsidRPr="00913C78">
        <w:rPr>
          <w:rFonts w:hint="eastAsia"/>
        </w:rPr>
        <w:t>—</w:t>
      </w:r>
      <w:r w:rsidRPr="00913C78">
        <w:t>常年最大日降雨厚度</w:t>
      </w:r>
      <w:r w:rsidRPr="00913C78">
        <w:rPr>
          <w:rFonts w:hint="eastAsia"/>
        </w:rPr>
        <w:t>，</w:t>
      </w:r>
      <w:r w:rsidRPr="00913C78">
        <w:t>mm</w:t>
      </w:r>
      <w:r w:rsidRPr="00913C78">
        <w:t>；</w:t>
      </w:r>
    </w:p>
    <w:p w14:paraId="7FC1A4B2" w14:textId="5EF33D93" w:rsidR="00913C78" w:rsidRPr="00913C78" w:rsidRDefault="00913C78" w:rsidP="00A624AE">
      <w:pPr>
        <w:ind w:firstLineChars="540" w:firstLine="1134"/>
      </w:pPr>
      <w:r w:rsidRPr="00913C78">
        <w:fldChar w:fldCharType="begin"/>
      </w:r>
      <w:r w:rsidRPr="00913C78">
        <w:instrText xml:space="preserve"> QUOTE </w:instrText>
      </w:r>
      <m:oMath>
        <m:r>
          <m:rPr>
            <m:sty m:val="p"/>
          </m:rPr>
          <w:rPr>
            <w:rFonts w:ascii="Cambria Math" w:hAnsi="Cambria Math"/>
          </w:rPr>
          <m:t>V</m:t>
        </m:r>
      </m:oMath>
      <w:r w:rsidRPr="00913C78">
        <w:instrText xml:space="preserve"> </w:instrText>
      </w:r>
      <w:r w:rsidRPr="00913C78">
        <w:fldChar w:fldCharType="separate"/>
      </w:r>
      <m:oMath>
        <m:r>
          <m:rPr>
            <m:sty m:val="p"/>
          </m:rPr>
          <w:rPr>
            <w:rFonts w:ascii="Cambria Math"/>
            <w:noProof/>
          </w:rPr>
          <m:t>V</m:t>
        </m:r>
      </m:oMath>
      <w:r w:rsidRPr="00913C78">
        <w:fldChar w:fldCharType="end"/>
      </w:r>
      <w:r w:rsidRPr="00913C78">
        <w:rPr>
          <w:rFonts w:hint="eastAsia"/>
        </w:rPr>
        <w:t>—</w:t>
      </w:r>
      <w:r w:rsidRPr="00913C78">
        <w:t>蓄水池有效容积</w:t>
      </w:r>
      <w:r w:rsidRPr="00913C78">
        <w:rPr>
          <w:rFonts w:hint="eastAsia"/>
        </w:rPr>
        <w:t>，</w:t>
      </w:r>
      <w:r w:rsidRPr="00913C78">
        <w:t>m</w:t>
      </w:r>
      <w:r w:rsidRPr="00194A28">
        <w:rPr>
          <w:vertAlign w:val="superscript"/>
        </w:rPr>
        <w:t>3</w:t>
      </w:r>
      <w:r w:rsidRPr="00913C78">
        <w:t>；</w:t>
      </w:r>
    </w:p>
    <w:p w14:paraId="42D82DAF" w14:textId="348E225F" w:rsidR="00913C78" w:rsidRPr="00913C78" w:rsidRDefault="00913C78" w:rsidP="00A624AE">
      <w:pPr>
        <w:ind w:firstLineChars="540" w:firstLine="1134"/>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Q</m:t>
            </m:r>
          </m:e>
          <m:sub>
            <m:r>
              <m:rPr>
                <m:sty m:val="p"/>
              </m:rPr>
              <w:rPr>
                <w:rFonts w:ascii="Cambria Math" w:hAnsi="Cambria Math"/>
              </w:rPr>
              <m:t>hd</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Q</m:t>
            </m:r>
          </m:e>
          <m:sub>
            <m:r>
              <m:rPr>
                <m:nor/>
              </m:rPr>
              <w:rPr>
                <w:rFonts w:ascii="Cambria Math"/>
                <w:noProof/>
              </w:rPr>
              <m:t>hd</m:t>
            </m:r>
            <m:ctrlPr>
              <w:rPr>
                <w:rFonts w:ascii="Cambria Math" w:hAnsi="Cambria Math"/>
                <w:noProof/>
              </w:rPr>
            </m:ctrlPr>
          </m:sub>
        </m:sSub>
      </m:oMath>
      <w:r w:rsidRPr="00913C78">
        <w:fldChar w:fldCharType="end"/>
      </w:r>
      <w:r w:rsidRPr="00913C78">
        <w:rPr>
          <w:rFonts w:hint="eastAsia"/>
        </w:rPr>
        <w:t>—</w:t>
      </w:r>
      <w:r w:rsidRPr="00913C78">
        <w:t>雨水回用系统的平均日用水量</w:t>
      </w:r>
      <w:r w:rsidRPr="00913C78">
        <w:rPr>
          <w:rFonts w:hint="eastAsia"/>
        </w:rPr>
        <w:t>，</w:t>
      </w:r>
      <w:r w:rsidRPr="00913C78">
        <w:t>m</w:t>
      </w:r>
      <w:r w:rsidRPr="00194A28">
        <w:rPr>
          <w:vertAlign w:val="superscript"/>
        </w:rPr>
        <w:t>3</w:t>
      </w:r>
      <w:r w:rsidRPr="00913C78">
        <w:t>。</w:t>
      </w:r>
    </w:p>
    <w:p w14:paraId="7A5D7780"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径流系数。径流系数可按附表</w:t>
      </w:r>
      <w:r w:rsidRPr="00913C78">
        <w:rPr>
          <w:rFonts w:hint="eastAsia"/>
        </w:rPr>
        <w:t>B.3.4</w:t>
      </w:r>
      <w:r w:rsidRPr="00913C78">
        <w:rPr>
          <w:rFonts w:hint="eastAsia"/>
        </w:rPr>
        <w:t>的规定取值。</w:t>
      </w:r>
    </w:p>
    <w:p w14:paraId="6EBE5D09" w14:textId="77777777" w:rsidR="00913C78" w:rsidRPr="00913C78" w:rsidRDefault="00913C78" w:rsidP="00194A28">
      <w:pPr>
        <w:pStyle w:val="ae"/>
      </w:pPr>
      <w:r w:rsidRPr="00913C78">
        <w:rPr>
          <w:rFonts w:hint="eastAsia"/>
        </w:rPr>
        <w:t>附表</w:t>
      </w:r>
      <w:r w:rsidRPr="00913C78">
        <w:rPr>
          <w:rFonts w:hint="eastAsia"/>
        </w:rPr>
        <w:t>B.3.4</w:t>
      </w:r>
      <w:r w:rsidRPr="00913C78">
        <w:t xml:space="preserve"> </w:t>
      </w:r>
      <w:r w:rsidRPr="00913C78">
        <w:rPr>
          <w:rFonts w:hint="eastAsia"/>
        </w:rPr>
        <w:t xml:space="preserve"> </w:t>
      </w:r>
      <w:r w:rsidRPr="00913C78">
        <w:rPr>
          <w:rFonts w:hint="eastAsia"/>
        </w:rPr>
        <w:t>径流系数表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000" w:firstRow="0" w:lastRow="0" w:firstColumn="0" w:lastColumn="0" w:noHBand="0" w:noVBand="0"/>
      </w:tblPr>
      <w:tblGrid>
        <w:gridCol w:w="4446"/>
        <w:gridCol w:w="2924"/>
      </w:tblGrid>
      <w:tr w:rsidR="00913C78" w:rsidRPr="00194A28" w14:paraId="0104AD81" w14:textId="77777777" w:rsidTr="008F38C5">
        <w:trPr>
          <w:jc w:val="center"/>
        </w:trPr>
        <w:tc>
          <w:tcPr>
            <w:tcW w:w="5039" w:type="dxa"/>
            <w:shd w:val="clear" w:color="auto" w:fill="auto"/>
            <w:vAlign w:val="center"/>
          </w:tcPr>
          <w:p w14:paraId="18042612" w14:textId="77777777" w:rsidR="00913C78" w:rsidRPr="00194A28" w:rsidRDefault="00913C78" w:rsidP="00194A28">
            <w:pPr>
              <w:pStyle w:val="ae"/>
              <w:rPr>
                <w:b w:val="0"/>
                <w:bCs/>
              </w:rPr>
            </w:pPr>
            <w:r w:rsidRPr="00194A28">
              <w:rPr>
                <w:b w:val="0"/>
                <w:bCs/>
              </w:rPr>
              <w:t>地面种类</w:t>
            </w:r>
          </w:p>
        </w:tc>
        <w:tc>
          <w:tcPr>
            <w:tcW w:w="3302" w:type="dxa"/>
            <w:shd w:val="clear" w:color="auto" w:fill="auto"/>
            <w:vAlign w:val="center"/>
          </w:tcPr>
          <w:p w14:paraId="7235477E" w14:textId="4BC9548D" w:rsidR="00913C78" w:rsidRPr="00194A28" w:rsidRDefault="00D20A1F" w:rsidP="00A624AE">
            <w:pPr>
              <w:pStyle w:val="ae"/>
              <w:rPr>
                <w:b w:val="0"/>
                <w:bCs/>
              </w:rPr>
            </w:pPr>
            <m:oMathPara>
              <m:oMath>
                <m:sSub>
                  <m:sSubPr>
                    <m:ctrlPr>
                      <w:rPr>
                        <w:rFonts w:ascii="Cambria Math" w:hAnsi="Cambria Math"/>
                        <w:b w:val="0"/>
                        <w:bCs/>
                        <w:i/>
                        <w:noProof/>
                      </w:rPr>
                    </m:ctrlPr>
                  </m:sSubPr>
                  <m:e>
                    <m:r>
                      <m:rPr>
                        <m:sty m:val="bi"/>
                      </m:rPr>
                      <w:rPr>
                        <w:rFonts w:ascii="Cambria Math"/>
                        <w:noProof/>
                      </w:rPr>
                      <m:t>ψ</m:t>
                    </m:r>
                  </m:e>
                  <m:sub>
                    <m:r>
                      <m:rPr>
                        <m:sty m:val="bi"/>
                      </m:rPr>
                      <w:rPr>
                        <w:rFonts w:ascii="Cambria Math"/>
                        <w:noProof/>
                      </w:rPr>
                      <m:t>c</m:t>
                    </m:r>
                  </m:sub>
                </m:sSub>
              </m:oMath>
            </m:oMathPara>
          </w:p>
        </w:tc>
      </w:tr>
      <w:tr w:rsidR="00913C78" w:rsidRPr="00194A28" w14:paraId="4018FD2F" w14:textId="77777777" w:rsidTr="008F38C5">
        <w:trPr>
          <w:jc w:val="center"/>
        </w:trPr>
        <w:tc>
          <w:tcPr>
            <w:tcW w:w="5039" w:type="dxa"/>
            <w:shd w:val="clear" w:color="auto" w:fill="auto"/>
            <w:vAlign w:val="center"/>
          </w:tcPr>
          <w:p w14:paraId="2B80E3BD" w14:textId="77777777" w:rsidR="00913C78" w:rsidRPr="00194A28" w:rsidRDefault="00913C78" w:rsidP="00194A28">
            <w:pPr>
              <w:pStyle w:val="ae"/>
              <w:rPr>
                <w:b w:val="0"/>
                <w:bCs/>
              </w:rPr>
            </w:pPr>
            <w:r w:rsidRPr="00194A28">
              <w:rPr>
                <w:b w:val="0"/>
                <w:bCs/>
              </w:rPr>
              <w:t>各种屋面、混凝土或沥青路面</w:t>
            </w:r>
          </w:p>
        </w:tc>
        <w:tc>
          <w:tcPr>
            <w:tcW w:w="3302" w:type="dxa"/>
            <w:shd w:val="clear" w:color="auto" w:fill="auto"/>
            <w:vAlign w:val="center"/>
          </w:tcPr>
          <w:p w14:paraId="0AAD9425" w14:textId="77777777" w:rsidR="00913C78" w:rsidRPr="00194A28" w:rsidRDefault="00913C78" w:rsidP="00194A28">
            <w:pPr>
              <w:pStyle w:val="ae"/>
              <w:rPr>
                <w:b w:val="0"/>
                <w:bCs/>
              </w:rPr>
            </w:pPr>
            <w:r w:rsidRPr="00194A28">
              <w:rPr>
                <w:b w:val="0"/>
                <w:bCs/>
              </w:rPr>
              <w:t>0.85</w:t>
            </w:r>
            <w:r w:rsidRPr="00194A28">
              <w:rPr>
                <w:b w:val="0"/>
                <w:bCs/>
              </w:rPr>
              <w:t>～</w:t>
            </w:r>
            <w:r w:rsidRPr="00194A28">
              <w:rPr>
                <w:b w:val="0"/>
                <w:bCs/>
              </w:rPr>
              <w:t>0.95</w:t>
            </w:r>
          </w:p>
        </w:tc>
      </w:tr>
      <w:tr w:rsidR="00913C78" w:rsidRPr="00194A28" w14:paraId="50537ABE" w14:textId="77777777" w:rsidTr="008F38C5">
        <w:trPr>
          <w:jc w:val="center"/>
        </w:trPr>
        <w:tc>
          <w:tcPr>
            <w:tcW w:w="5039" w:type="dxa"/>
            <w:shd w:val="clear" w:color="auto" w:fill="auto"/>
            <w:vAlign w:val="center"/>
          </w:tcPr>
          <w:p w14:paraId="19B5DCF0" w14:textId="77777777" w:rsidR="00913C78" w:rsidRPr="00194A28" w:rsidRDefault="00913C78" w:rsidP="00194A28">
            <w:pPr>
              <w:pStyle w:val="ae"/>
              <w:rPr>
                <w:b w:val="0"/>
                <w:bCs/>
              </w:rPr>
            </w:pPr>
            <w:r w:rsidRPr="00194A28">
              <w:rPr>
                <w:b w:val="0"/>
                <w:bCs/>
              </w:rPr>
              <w:t>大块石铺砌路面或沥青表面处理的碎石路面</w:t>
            </w:r>
          </w:p>
        </w:tc>
        <w:tc>
          <w:tcPr>
            <w:tcW w:w="3302" w:type="dxa"/>
            <w:shd w:val="clear" w:color="auto" w:fill="auto"/>
            <w:vAlign w:val="center"/>
          </w:tcPr>
          <w:p w14:paraId="70E9B1B6" w14:textId="77777777" w:rsidR="00913C78" w:rsidRPr="00194A28" w:rsidRDefault="00913C78" w:rsidP="00194A28">
            <w:pPr>
              <w:pStyle w:val="ae"/>
              <w:rPr>
                <w:b w:val="0"/>
                <w:bCs/>
              </w:rPr>
            </w:pPr>
            <w:r w:rsidRPr="00194A28">
              <w:rPr>
                <w:b w:val="0"/>
                <w:bCs/>
              </w:rPr>
              <w:t>0.55</w:t>
            </w:r>
            <w:r w:rsidRPr="00194A28">
              <w:rPr>
                <w:b w:val="0"/>
                <w:bCs/>
              </w:rPr>
              <w:t>～</w:t>
            </w:r>
            <w:r w:rsidRPr="00194A28">
              <w:rPr>
                <w:b w:val="0"/>
                <w:bCs/>
              </w:rPr>
              <w:t>0.65</w:t>
            </w:r>
          </w:p>
        </w:tc>
      </w:tr>
      <w:tr w:rsidR="00913C78" w:rsidRPr="00194A28" w14:paraId="2BFCD396" w14:textId="77777777" w:rsidTr="008F38C5">
        <w:trPr>
          <w:jc w:val="center"/>
        </w:trPr>
        <w:tc>
          <w:tcPr>
            <w:tcW w:w="5039" w:type="dxa"/>
            <w:shd w:val="clear" w:color="auto" w:fill="auto"/>
            <w:vAlign w:val="center"/>
          </w:tcPr>
          <w:p w14:paraId="2D98ACF5" w14:textId="77777777" w:rsidR="00913C78" w:rsidRPr="00194A28" w:rsidRDefault="00913C78" w:rsidP="00194A28">
            <w:pPr>
              <w:pStyle w:val="ae"/>
              <w:rPr>
                <w:b w:val="0"/>
                <w:bCs/>
              </w:rPr>
            </w:pPr>
            <w:r w:rsidRPr="00194A28">
              <w:rPr>
                <w:b w:val="0"/>
                <w:bCs/>
              </w:rPr>
              <w:t>级配碎石路面</w:t>
            </w:r>
          </w:p>
        </w:tc>
        <w:tc>
          <w:tcPr>
            <w:tcW w:w="3302" w:type="dxa"/>
            <w:shd w:val="clear" w:color="auto" w:fill="auto"/>
            <w:vAlign w:val="center"/>
          </w:tcPr>
          <w:p w14:paraId="552FF5FD" w14:textId="77777777" w:rsidR="00913C78" w:rsidRPr="00194A28" w:rsidRDefault="00913C78" w:rsidP="00194A28">
            <w:pPr>
              <w:pStyle w:val="ae"/>
              <w:rPr>
                <w:b w:val="0"/>
                <w:bCs/>
              </w:rPr>
            </w:pPr>
            <w:r w:rsidRPr="00194A28">
              <w:rPr>
                <w:b w:val="0"/>
                <w:bCs/>
              </w:rPr>
              <w:t>0.40</w:t>
            </w:r>
            <w:r w:rsidRPr="00194A28">
              <w:rPr>
                <w:b w:val="0"/>
                <w:bCs/>
              </w:rPr>
              <w:t>～</w:t>
            </w:r>
            <w:r w:rsidRPr="00194A28">
              <w:rPr>
                <w:b w:val="0"/>
                <w:bCs/>
              </w:rPr>
              <w:t>0.50</w:t>
            </w:r>
          </w:p>
        </w:tc>
      </w:tr>
      <w:tr w:rsidR="00913C78" w:rsidRPr="00194A28" w14:paraId="63191B7F" w14:textId="77777777" w:rsidTr="008F38C5">
        <w:trPr>
          <w:jc w:val="center"/>
        </w:trPr>
        <w:tc>
          <w:tcPr>
            <w:tcW w:w="5039" w:type="dxa"/>
            <w:shd w:val="clear" w:color="auto" w:fill="auto"/>
            <w:vAlign w:val="center"/>
          </w:tcPr>
          <w:p w14:paraId="1D4DF1D1" w14:textId="77777777" w:rsidR="00913C78" w:rsidRPr="00194A28" w:rsidRDefault="00913C78" w:rsidP="00194A28">
            <w:pPr>
              <w:pStyle w:val="ae"/>
              <w:rPr>
                <w:b w:val="0"/>
                <w:bCs/>
              </w:rPr>
            </w:pPr>
            <w:r w:rsidRPr="00194A28">
              <w:rPr>
                <w:b w:val="0"/>
                <w:bCs/>
              </w:rPr>
              <w:t>干砌砖石或碎石路面</w:t>
            </w:r>
          </w:p>
        </w:tc>
        <w:tc>
          <w:tcPr>
            <w:tcW w:w="3302" w:type="dxa"/>
            <w:shd w:val="clear" w:color="auto" w:fill="auto"/>
            <w:vAlign w:val="center"/>
          </w:tcPr>
          <w:p w14:paraId="5242ADF9" w14:textId="77777777" w:rsidR="00913C78" w:rsidRPr="00194A28" w:rsidRDefault="00913C78" w:rsidP="00194A28">
            <w:pPr>
              <w:pStyle w:val="ae"/>
              <w:rPr>
                <w:b w:val="0"/>
                <w:bCs/>
              </w:rPr>
            </w:pPr>
            <w:r w:rsidRPr="00194A28">
              <w:rPr>
                <w:b w:val="0"/>
                <w:bCs/>
              </w:rPr>
              <w:t>0.35</w:t>
            </w:r>
            <w:r w:rsidRPr="00194A28">
              <w:rPr>
                <w:b w:val="0"/>
                <w:bCs/>
              </w:rPr>
              <w:t>～</w:t>
            </w:r>
            <w:r w:rsidRPr="00194A28">
              <w:rPr>
                <w:b w:val="0"/>
                <w:bCs/>
              </w:rPr>
              <w:t>0.40</w:t>
            </w:r>
          </w:p>
        </w:tc>
      </w:tr>
      <w:tr w:rsidR="00913C78" w:rsidRPr="00194A28" w14:paraId="412ADD94" w14:textId="77777777" w:rsidTr="008F38C5">
        <w:trPr>
          <w:jc w:val="center"/>
        </w:trPr>
        <w:tc>
          <w:tcPr>
            <w:tcW w:w="5039" w:type="dxa"/>
            <w:shd w:val="clear" w:color="auto" w:fill="auto"/>
            <w:vAlign w:val="center"/>
          </w:tcPr>
          <w:p w14:paraId="5540C282" w14:textId="77777777" w:rsidR="00913C78" w:rsidRPr="00194A28" w:rsidRDefault="00913C78" w:rsidP="00194A28">
            <w:pPr>
              <w:pStyle w:val="ae"/>
              <w:rPr>
                <w:b w:val="0"/>
                <w:bCs/>
              </w:rPr>
            </w:pPr>
            <w:r w:rsidRPr="00194A28">
              <w:rPr>
                <w:b w:val="0"/>
                <w:bCs/>
              </w:rPr>
              <w:t>非铺砌土路面</w:t>
            </w:r>
          </w:p>
        </w:tc>
        <w:tc>
          <w:tcPr>
            <w:tcW w:w="3302" w:type="dxa"/>
            <w:shd w:val="clear" w:color="auto" w:fill="auto"/>
            <w:vAlign w:val="center"/>
          </w:tcPr>
          <w:p w14:paraId="3072DA3B" w14:textId="77777777" w:rsidR="00913C78" w:rsidRPr="00194A28" w:rsidRDefault="00913C78" w:rsidP="00194A28">
            <w:pPr>
              <w:pStyle w:val="ae"/>
              <w:rPr>
                <w:b w:val="0"/>
                <w:bCs/>
              </w:rPr>
            </w:pPr>
            <w:r w:rsidRPr="00194A28">
              <w:rPr>
                <w:b w:val="0"/>
                <w:bCs/>
              </w:rPr>
              <w:t>0.25</w:t>
            </w:r>
            <w:r w:rsidRPr="00194A28">
              <w:rPr>
                <w:b w:val="0"/>
                <w:bCs/>
              </w:rPr>
              <w:t>～</w:t>
            </w:r>
            <w:r w:rsidRPr="00194A28">
              <w:rPr>
                <w:b w:val="0"/>
                <w:bCs/>
              </w:rPr>
              <w:t>0.35</w:t>
            </w:r>
          </w:p>
        </w:tc>
      </w:tr>
      <w:tr w:rsidR="00913C78" w:rsidRPr="00194A28" w14:paraId="3D9C8C8F" w14:textId="77777777" w:rsidTr="008F38C5">
        <w:trPr>
          <w:jc w:val="center"/>
        </w:trPr>
        <w:tc>
          <w:tcPr>
            <w:tcW w:w="5039" w:type="dxa"/>
            <w:shd w:val="clear" w:color="auto" w:fill="auto"/>
            <w:vAlign w:val="center"/>
          </w:tcPr>
          <w:p w14:paraId="24834FEF" w14:textId="77777777" w:rsidR="00913C78" w:rsidRPr="00194A28" w:rsidRDefault="00913C78" w:rsidP="00194A28">
            <w:pPr>
              <w:pStyle w:val="ae"/>
              <w:rPr>
                <w:b w:val="0"/>
                <w:bCs/>
              </w:rPr>
            </w:pPr>
            <w:r w:rsidRPr="00194A28">
              <w:rPr>
                <w:b w:val="0"/>
                <w:bCs/>
              </w:rPr>
              <w:t>公园或绿地</w:t>
            </w:r>
          </w:p>
        </w:tc>
        <w:tc>
          <w:tcPr>
            <w:tcW w:w="3302" w:type="dxa"/>
            <w:shd w:val="clear" w:color="auto" w:fill="auto"/>
            <w:vAlign w:val="center"/>
          </w:tcPr>
          <w:p w14:paraId="5C9E3D25" w14:textId="77777777" w:rsidR="00913C78" w:rsidRPr="00194A28" w:rsidRDefault="00913C78" w:rsidP="00194A28">
            <w:pPr>
              <w:pStyle w:val="ae"/>
              <w:rPr>
                <w:b w:val="0"/>
                <w:bCs/>
              </w:rPr>
            </w:pPr>
            <w:r w:rsidRPr="00194A28">
              <w:rPr>
                <w:b w:val="0"/>
                <w:bCs/>
              </w:rPr>
              <w:t>0.10</w:t>
            </w:r>
            <w:r w:rsidRPr="00194A28">
              <w:rPr>
                <w:b w:val="0"/>
                <w:bCs/>
              </w:rPr>
              <w:t>～</w:t>
            </w:r>
            <w:r w:rsidRPr="00194A28">
              <w:rPr>
                <w:b w:val="0"/>
                <w:bCs/>
              </w:rPr>
              <w:t>0.20</w:t>
            </w:r>
          </w:p>
        </w:tc>
      </w:tr>
    </w:tbl>
    <w:p w14:paraId="39C914CE" w14:textId="77777777" w:rsidR="00913C78" w:rsidRPr="00913C78" w:rsidRDefault="00913C78" w:rsidP="00913C78">
      <w:pPr>
        <w:ind w:firstLine="420"/>
      </w:pPr>
    </w:p>
    <w:p w14:paraId="722FE7EB"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降雨量基础资料。根据统计资料，重庆降雨资料见附表</w:t>
      </w:r>
      <w:r w:rsidRPr="00913C78">
        <w:rPr>
          <w:rFonts w:hint="eastAsia"/>
        </w:rPr>
        <w:t>B.3.5</w:t>
      </w:r>
      <w:r w:rsidRPr="00913C78">
        <w:rPr>
          <w:rFonts w:hint="eastAsia"/>
        </w:rPr>
        <w:t>（如有</w:t>
      </w:r>
      <w:r w:rsidRPr="00913C78">
        <w:t>最新资料</w:t>
      </w:r>
      <w:r w:rsidRPr="00913C78">
        <w:rPr>
          <w:rFonts w:hint="eastAsia"/>
        </w:rPr>
        <w:t>可</w:t>
      </w:r>
      <w:r w:rsidRPr="00913C78">
        <w:t>更新</w:t>
      </w:r>
      <w:r w:rsidRPr="00913C78">
        <w:rPr>
          <w:rFonts w:hint="eastAsia"/>
        </w:rPr>
        <w:t>）。</w:t>
      </w:r>
    </w:p>
    <w:p w14:paraId="32E10E58" w14:textId="77777777" w:rsidR="00913C78" w:rsidRPr="00913C78" w:rsidRDefault="00913C78" w:rsidP="00194A28">
      <w:pPr>
        <w:pStyle w:val="ae"/>
      </w:pPr>
      <w:bookmarkStart w:id="385" w:name="_Toc476142925"/>
      <w:r w:rsidRPr="00913C78">
        <w:rPr>
          <w:rFonts w:hint="eastAsia"/>
        </w:rPr>
        <w:lastRenderedPageBreak/>
        <w:t>附表</w:t>
      </w:r>
      <w:r w:rsidRPr="00913C78">
        <w:rPr>
          <w:rFonts w:hint="eastAsia"/>
        </w:rPr>
        <w:t xml:space="preserve">B.3.5  </w:t>
      </w:r>
      <w:r w:rsidRPr="00913C78">
        <w:rPr>
          <w:rFonts w:hint="eastAsia"/>
        </w:rPr>
        <w:t>重庆</w:t>
      </w:r>
      <w:r w:rsidRPr="00913C78">
        <w:rPr>
          <w:rFonts w:hint="eastAsia"/>
        </w:rPr>
        <w:t>19</w:t>
      </w:r>
      <w:r w:rsidRPr="00913C78">
        <w:t>7</w:t>
      </w:r>
      <w:r w:rsidRPr="00913C78">
        <w:rPr>
          <w:rFonts w:hint="eastAsia"/>
        </w:rPr>
        <w:t>1</w:t>
      </w:r>
      <w:r w:rsidRPr="00913C78">
        <w:rPr>
          <w:rFonts w:hint="eastAsia"/>
        </w:rPr>
        <w:t>～</w:t>
      </w:r>
      <w:r w:rsidRPr="00913C78">
        <w:t>2000</w:t>
      </w:r>
      <w:r w:rsidRPr="00913C78">
        <w:rPr>
          <w:rFonts w:hint="eastAsia"/>
        </w:rPr>
        <w:t>年的降雨资料</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28" w:type="dxa"/>
          <w:right w:w="57" w:type="dxa"/>
        </w:tblCellMar>
        <w:tblLook w:val="0000" w:firstRow="0" w:lastRow="0" w:firstColumn="0" w:lastColumn="0" w:noHBand="0" w:noVBand="0"/>
      </w:tblPr>
      <w:tblGrid>
        <w:gridCol w:w="1195"/>
        <w:gridCol w:w="514"/>
        <w:gridCol w:w="515"/>
        <w:gridCol w:w="514"/>
        <w:gridCol w:w="515"/>
        <w:gridCol w:w="514"/>
        <w:gridCol w:w="515"/>
        <w:gridCol w:w="515"/>
        <w:gridCol w:w="514"/>
        <w:gridCol w:w="515"/>
        <w:gridCol w:w="514"/>
        <w:gridCol w:w="515"/>
        <w:gridCol w:w="515"/>
      </w:tblGrid>
      <w:tr w:rsidR="00913C78" w:rsidRPr="00194A28" w14:paraId="1DE70A0F" w14:textId="77777777" w:rsidTr="008F38C5">
        <w:trPr>
          <w:jc w:val="center"/>
        </w:trPr>
        <w:tc>
          <w:tcPr>
            <w:tcW w:w="1195" w:type="dxa"/>
            <w:shd w:val="clear" w:color="auto" w:fill="auto"/>
            <w:vAlign w:val="center"/>
          </w:tcPr>
          <w:p w14:paraId="7EF01610" w14:textId="77777777" w:rsidR="00913C78" w:rsidRPr="00194A28" w:rsidRDefault="00913C78" w:rsidP="00194A28">
            <w:pPr>
              <w:pStyle w:val="ae"/>
              <w:rPr>
                <w:b w:val="0"/>
                <w:bCs/>
              </w:rPr>
            </w:pPr>
            <w:r w:rsidRPr="00194A28">
              <w:rPr>
                <w:rFonts w:hint="eastAsia"/>
                <w:b w:val="0"/>
                <w:bCs/>
              </w:rPr>
              <w:t>月份</w:t>
            </w:r>
          </w:p>
        </w:tc>
        <w:tc>
          <w:tcPr>
            <w:tcW w:w="514" w:type="dxa"/>
            <w:shd w:val="clear" w:color="auto" w:fill="auto"/>
            <w:vAlign w:val="center"/>
          </w:tcPr>
          <w:p w14:paraId="5B8B6AAF" w14:textId="77777777" w:rsidR="00913C78" w:rsidRPr="00194A28" w:rsidRDefault="00913C78" w:rsidP="00194A28">
            <w:pPr>
              <w:pStyle w:val="ae"/>
              <w:rPr>
                <w:b w:val="0"/>
                <w:bCs/>
              </w:rPr>
            </w:pPr>
            <w:r w:rsidRPr="00194A28">
              <w:rPr>
                <w:b w:val="0"/>
                <w:bCs/>
              </w:rPr>
              <w:t>1</w:t>
            </w:r>
          </w:p>
        </w:tc>
        <w:tc>
          <w:tcPr>
            <w:tcW w:w="515" w:type="dxa"/>
            <w:shd w:val="clear" w:color="auto" w:fill="auto"/>
            <w:vAlign w:val="center"/>
          </w:tcPr>
          <w:p w14:paraId="0E88939E" w14:textId="77777777" w:rsidR="00913C78" w:rsidRPr="00194A28" w:rsidRDefault="00913C78" w:rsidP="00194A28">
            <w:pPr>
              <w:pStyle w:val="ae"/>
              <w:rPr>
                <w:b w:val="0"/>
                <w:bCs/>
              </w:rPr>
            </w:pPr>
            <w:r w:rsidRPr="00194A28">
              <w:rPr>
                <w:b w:val="0"/>
                <w:bCs/>
              </w:rPr>
              <w:t>2</w:t>
            </w:r>
          </w:p>
        </w:tc>
        <w:tc>
          <w:tcPr>
            <w:tcW w:w="514" w:type="dxa"/>
            <w:shd w:val="clear" w:color="auto" w:fill="auto"/>
            <w:vAlign w:val="center"/>
          </w:tcPr>
          <w:p w14:paraId="2893D849" w14:textId="77777777" w:rsidR="00913C78" w:rsidRPr="00194A28" w:rsidRDefault="00913C78" w:rsidP="00194A28">
            <w:pPr>
              <w:pStyle w:val="ae"/>
              <w:rPr>
                <w:b w:val="0"/>
                <w:bCs/>
              </w:rPr>
            </w:pPr>
            <w:r w:rsidRPr="00194A28">
              <w:rPr>
                <w:b w:val="0"/>
                <w:bCs/>
              </w:rPr>
              <w:t>3</w:t>
            </w:r>
          </w:p>
        </w:tc>
        <w:tc>
          <w:tcPr>
            <w:tcW w:w="515" w:type="dxa"/>
            <w:shd w:val="clear" w:color="auto" w:fill="auto"/>
            <w:vAlign w:val="center"/>
          </w:tcPr>
          <w:p w14:paraId="4ADD31B9" w14:textId="77777777" w:rsidR="00913C78" w:rsidRPr="00194A28" w:rsidRDefault="00913C78" w:rsidP="00194A28">
            <w:pPr>
              <w:pStyle w:val="ae"/>
              <w:rPr>
                <w:b w:val="0"/>
                <w:bCs/>
              </w:rPr>
            </w:pPr>
            <w:r w:rsidRPr="00194A28">
              <w:rPr>
                <w:b w:val="0"/>
                <w:bCs/>
              </w:rPr>
              <w:t>4</w:t>
            </w:r>
          </w:p>
        </w:tc>
        <w:tc>
          <w:tcPr>
            <w:tcW w:w="514" w:type="dxa"/>
            <w:shd w:val="clear" w:color="auto" w:fill="auto"/>
            <w:vAlign w:val="center"/>
          </w:tcPr>
          <w:p w14:paraId="22C971CE" w14:textId="77777777" w:rsidR="00913C78" w:rsidRPr="00194A28" w:rsidRDefault="00913C78" w:rsidP="00194A28">
            <w:pPr>
              <w:pStyle w:val="ae"/>
              <w:rPr>
                <w:b w:val="0"/>
                <w:bCs/>
              </w:rPr>
            </w:pPr>
            <w:r w:rsidRPr="00194A28">
              <w:rPr>
                <w:b w:val="0"/>
                <w:bCs/>
              </w:rPr>
              <w:t>5</w:t>
            </w:r>
          </w:p>
        </w:tc>
        <w:tc>
          <w:tcPr>
            <w:tcW w:w="515" w:type="dxa"/>
            <w:shd w:val="clear" w:color="auto" w:fill="auto"/>
            <w:vAlign w:val="center"/>
          </w:tcPr>
          <w:p w14:paraId="251FBF62" w14:textId="77777777" w:rsidR="00913C78" w:rsidRPr="00194A28" w:rsidRDefault="00913C78" w:rsidP="00194A28">
            <w:pPr>
              <w:pStyle w:val="ae"/>
              <w:rPr>
                <w:b w:val="0"/>
                <w:bCs/>
              </w:rPr>
            </w:pPr>
            <w:r w:rsidRPr="00194A28">
              <w:rPr>
                <w:b w:val="0"/>
                <w:bCs/>
              </w:rPr>
              <w:t>6</w:t>
            </w:r>
          </w:p>
        </w:tc>
        <w:tc>
          <w:tcPr>
            <w:tcW w:w="515" w:type="dxa"/>
            <w:shd w:val="clear" w:color="auto" w:fill="auto"/>
            <w:vAlign w:val="center"/>
          </w:tcPr>
          <w:p w14:paraId="4DFDDA62" w14:textId="77777777" w:rsidR="00913C78" w:rsidRPr="00194A28" w:rsidRDefault="00913C78" w:rsidP="00194A28">
            <w:pPr>
              <w:pStyle w:val="ae"/>
              <w:rPr>
                <w:b w:val="0"/>
                <w:bCs/>
              </w:rPr>
            </w:pPr>
            <w:r w:rsidRPr="00194A28">
              <w:rPr>
                <w:b w:val="0"/>
                <w:bCs/>
              </w:rPr>
              <w:t>7</w:t>
            </w:r>
          </w:p>
        </w:tc>
        <w:tc>
          <w:tcPr>
            <w:tcW w:w="514" w:type="dxa"/>
            <w:shd w:val="clear" w:color="auto" w:fill="auto"/>
            <w:vAlign w:val="center"/>
          </w:tcPr>
          <w:p w14:paraId="1EAFBBE4" w14:textId="77777777" w:rsidR="00913C78" w:rsidRPr="00194A28" w:rsidRDefault="00913C78" w:rsidP="00194A28">
            <w:pPr>
              <w:pStyle w:val="ae"/>
              <w:rPr>
                <w:b w:val="0"/>
                <w:bCs/>
              </w:rPr>
            </w:pPr>
            <w:r w:rsidRPr="00194A28">
              <w:rPr>
                <w:b w:val="0"/>
                <w:bCs/>
              </w:rPr>
              <w:t>8</w:t>
            </w:r>
          </w:p>
        </w:tc>
        <w:tc>
          <w:tcPr>
            <w:tcW w:w="515" w:type="dxa"/>
            <w:shd w:val="clear" w:color="auto" w:fill="auto"/>
            <w:vAlign w:val="center"/>
          </w:tcPr>
          <w:p w14:paraId="56C7EEF2" w14:textId="77777777" w:rsidR="00913C78" w:rsidRPr="00194A28" w:rsidRDefault="00913C78" w:rsidP="00194A28">
            <w:pPr>
              <w:pStyle w:val="ae"/>
              <w:rPr>
                <w:b w:val="0"/>
                <w:bCs/>
              </w:rPr>
            </w:pPr>
            <w:r w:rsidRPr="00194A28">
              <w:rPr>
                <w:b w:val="0"/>
                <w:bCs/>
              </w:rPr>
              <w:t>9</w:t>
            </w:r>
          </w:p>
        </w:tc>
        <w:tc>
          <w:tcPr>
            <w:tcW w:w="514" w:type="dxa"/>
            <w:shd w:val="clear" w:color="auto" w:fill="auto"/>
            <w:vAlign w:val="center"/>
          </w:tcPr>
          <w:p w14:paraId="4F26A0F1" w14:textId="77777777" w:rsidR="00913C78" w:rsidRPr="00194A28" w:rsidRDefault="00913C78" w:rsidP="00194A28">
            <w:pPr>
              <w:pStyle w:val="ae"/>
              <w:rPr>
                <w:b w:val="0"/>
                <w:bCs/>
              </w:rPr>
            </w:pPr>
            <w:r w:rsidRPr="00194A28">
              <w:rPr>
                <w:b w:val="0"/>
                <w:bCs/>
              </w:rPr>
              <w:t>10</w:t>
            </w:r>
          </w:p>
        </w:tc>
        <w:tc>
          <w:tcPr>
            <w:tcW w:w="515" w:type="dxa"/>
            <w:shd w:val="clear" w:color="auto" w:fill="auto"/>
            <w:vAlign w:val="center"/>
          </w:tcPr>
          <w:p w14:paraId="17F90E07" w14:textId="77777777" w:rsidR="00913C78" w:rsidRPr="00194A28" w:rsidRDefault="00913C78" w:rsidP="00194A28">
            <w:pPr>
              <w:pStyle w:val="ae"/>
              <w:rPr>
                <w:b w:val="0"/>
                <w:bCs/>
              </w:rPr>
            </w:pPr>
            <w:r w:rsidRPr="00194A28">
              <w:rPr>
                <w:b w:val="0"/>
                <w:bCs/>
              </w:rPr>
              <w:t>11</w:t>
            </w:r>
          </w:p>
        </w:tc>
        <w:tc>
          <w:tcPr>
            <w:tcW w:w="515" w:type="dxa"/>
            <w:shd w:val="clear" w:color="auto" w:fill="auto"/>
            <w:vAlign w:val="center"/>
          </w:tcPr>
          <w:p w14:paraId="489BD92A" w14:textId="77777777" w:rsidR="00913C78" w:rsidRPr="00194A28" w:rsidRDefault="00913C78" w:rsidP="00194A28">
            <w:pPr>
              <w:pStyle w:val="ae"/>
              <w:rPr>
                <w:b w:val="0"/>
                <w:bCs/>
              </w:rPr>
            </w:pPr>
            <w:r w:rsidRPr="00194A28">
              <w:rPr>
                <w:b w:val="0"/>
                <w:bCs/>
              </w:rPr>
              <w:t>12</w:t>
            </w:r>
          </w:p>
        </w:tc>
      </w:tr>
      <w:tr w:rsidR="00913C78" w:rsidRPr="00194A28" w14:paraId="0FA1DE89" w14:textId="77777777" w:rsidTr="008F38C5">
        <w:trPr>
          <w:jc w:val="center"/>
        </w:trPr>
        <w:tc>
          <w:tcPr>
            <w:tcW w:w="1195" w:type="dxa"/>
            <w:shd w:val="clear" w:color="auto" w:fill="auto"/>
            <w:vAlign w:val="center"/>
          </w:tcPr>
          <w:p w14:paraId="4379A735" w14:textId="77777777" w:rsidR="00913C78" w:rsidRPr="00194A28" w:rsidRDefault="00913C78" w:rsidP="00194A28">
            <w:pPr>
              <w:pStyle w:val="ae"/>
              <w:rPr>
                <w:b w:val="0"/>
                <w:bCs/>
              </w:rPr>
            </w:pPr>
            <w:r w:rsidRPr="00194A28">
              <w:rPr>
                <w:b w:val="0"/>
                <w:bCs/>
              </w:rPr>
              <w:t>降雨量</w:t>
            </w:r>
            <w:r w:rsidRPr="00194A28">
              <w:rPr>
                <w:rFonts w:hint="eastAsia"/>
                <w:b w:val="0"/>
                <w:bCs/>
              </w:rPr>
              <w:t>/</w:t>
            </w:r>
            <w:r w:rsidRPr="00194A28">
              <w:rPr>
                <w:b w:val="0"/>
                <w:bCs/>
              </w:rPr>
              <w:t>mm</w:t>
            </w:r>
          </w:p>
        </w:tc>
        <w:tc>
          <w:tcPr>
            <w:tcW w:w="514" w:type="dxa"/>
            <w:shd w:val="clear" w:color="auto" w:fill="auto"/>
            <w:vAlign w:val="center"/>
          </w:tcPr>
          <w:p w14:paraId="2D107A37" w14:textId="77777777" w:rsidR="00913C78" w:rsidRPr="00194A28" w:rsidRDefault="00913C78" w:rsidP="00194A28">
            <w:pPr>
              <w:pStyle w:val="ae"/>
              <w:rPr>
                <w:b w:val="0"/>
                <w:bCs/>
              </w:rPr>
            </w:pPr>
            <w:r w:rsidRPr="00194A28">
              <w:rPr>
                <w:b w:val="0"/>
                <w:bCs/>
              </w:rPr>
              <w:t>19.5</w:t>
            </w:r>
          </w:p>
        </w:tc>
        <w:tc>
          <w:tcPr>
            <w:tcW w:w="515" w:type="dxa"/>
            <w:shd w:val="clear" w:color="auto" w:fill="auto"/>
            <w:vAlign w:val="center"/>
          </w:tcPr>
          <w:p w14:paraId="6C2D6146" w14:textId="77777777" w:rsidR="00913C78" w:rsidRPr="00194A28" w:rsidRDefault="00913C78" w:rsidP="00194A28">
            <w:pPr>
              <w:pStyle w:val="ae"/>
              <w:rPr>
                <w:b w:val="0"/>
                <w:bCs/>
              </w:rPr>
            </w:pPr>
            <w:r w:rsidRPr="00194A28">
              <w:rPr>
                <w:b w:val="0"/>
                <w:bCs/>
              </w:rPr>
              <w:t>20.6</w:t>
            </w:r>
          </w:p>
        </w:tc>
        <w:tc>
          <w:tcPr>
            <w:tcW w:w="514" w:type="dxa"/>
            <w:shd w:val="clear" w:color="auto" w:fill="auto"/>
            <w:vAlign w:val="center"/>
          </w:tcPr>
          <w:p w14:paraId="23F9BDB5" w14:textId="77777777" w:rsidR="00913C78" w:rsidRPr="00194A28" w:rsidRDefault="00913C78" w:rsidP="00194A28">
            <w:pPr>
              <w:pStyle w:val="ae"/>
              <w:rPr>
                <w:b w:val="0"/>
                <w:bCs/>
              </w:rPr>
            </w:pPr>
            <w:r w:rsidRPr="00194A28">
              <w:rPr>
                <w:b w:val="0"/>
                <w:bCs/>
              </w:rPr>
              <w:t>36.2</w:t>
            </w:r>
          </w:p>
        </w:tc>
        <w:tc>
          <w:tcPr>
            <w:tcW w:w="515" w:type="dxa"/>
            <w:shd w:val="clear" w:color="auto" w:fill="auto"/>
            <w:vAlign w:val="center"/>
          </w:tcPr>
          <w:p w14:paraId="3EEF8539" w14:textId="77777777" w:rsidR="00913C78" w:rsidRPr="00194A28" w:rsidRDefault="00913C78" w:rsidP="00194A28">
            <w:pPr>
              <w:pStyle w:val="ae"/>
              <w:rPr>
                <w:b w:val="0"/>
                <w:bCs/>
              </w:rPr>
            </w:pPr>
            <w:r w:rsidRPr="00194A28">
              <w:rPr>
                <w:b w:val="0"/>
                <w:bCs/>
              </w:rPr>
              <w:t>104.6</w:t>
            </w:r>
          </w:p>
        </w:tc>
        <w:tc>
          <w:tcPr>
            <w:tcW w:w="514" w:type="dxa"/>
            <w:shd w:val="clear" w:color="auto" w:fill="auto"/>
            <w:vAlign w:val="center"/>
          </w:tcPr>
          <w:p w14:paraId="05D6A597" w14:textId="77777777" w:rsidR="00913C78" w:rsidRPr="00194A28" w:rsidRDefault="00913C78" w:rsidP="00194A28">
            <w:pPr>
              <w:pStyle w:val="ae"/>
              <w:rPr>
                <w:b w:val="0"/>
                <w:bCs/>
              </w:rPr>
            </w:pPr>
            <w:r w:rsidRPr="00194A28">
              <w:rPr>
                <w:b w:val="0"/>
                <w:bCs/>
              </w:rPr>
              <w:t>151.7</w:t>
            </w:r>
          </w:p>
        </w:tc>
        <w:tc>
          <w:tcPr>
            <w:tcW w:w="515" w:type="dxa"/>
            <w:shd w:val="clear" w:color="auto" w:fill="auto"/>
            <w:vAlign w:val="center"/>
          </w:tcPr>
          <w:p w14:paraId="169B4915" w14:textId="77777777" w:rsidR="00913C78" w:rsidRPr="00194A28" w:rsidRDefault="00913C78" w:rsidP="00194A28">
            <w:pPr>
              <w:pStyle w:val="ae"/>
              <w:rPr>
                <w:b w:val="0"/>
                <w:bCs/>
              </w:rPr>
            </w:pPr>
            <w:r w:rsidRPr="00194A28">
              <w:rPr>
                <w:b w:val="0"/>
                <w:bCs/>
              </w:rPr>
              <w:t>171.2</w:t>
            </w:r>
          </w:p>
        </w:tc>
        <w:tc>
          <w:tcPr>
            <w:tcW w:w="515" w:type="dxa"/>
            <w:shd w:val="clear" w:color="auto" w:fill="auto"/>
            <w:vAlign w:val="center"/>
          </w:tcPr>
          <w:p w14:paraId="5E4F5915" w14:textId="77777777" w:rsidR="00913C78" w:rsidRPr="00194A28" w:rsidRDefault="00913C78" w:rsidP="00194A28">
            <w:pPr>
              <w:pStyle w:val="ae"/>
              <w:rPr>
                <w:b w:val="0"/>
                <w:bCs/>
              </w:rPr>
            </w:pPr>
            <w:r w:rsidRPr="00194A28">
              <w:rPr>
                <w:b w:val="0"/>
                <w:bCs/>
              </w:rPr>
              <w:t>175.4</w:t>
            </w:r>
          </w:p>
        </w:tc>
        <w:tc>
          <w:tcPr>
            <w:tcW w:w="514" w:type="dxa"/>
            <w:shd w:val="clear" w:color="auto" w:fill="auto"/>
            <w:vAlign w:val="center"/>
          </w:tcPr>
          <w:p w14:paraId="25196C26" w14:textId="77777777" w:rsidR="00913C78" w:rsidRPr="00194A28" w:rsidRDefault="00913C78" w:rsidP="00194A28">
            <w:pPr>
              <w:pStyle w:val="ae"/>
              <w:rPr>
                <w:b w:val="0"/>
                <w:bCs/>
              </w:rPr>
            </w:pPr>
            <w:r w:rsidRPr="00194A28">
              <w:rPr>
                <w:b w:val="0"/>
                <w:bCs/>
              </w:rPr>
              <w:t>134.4</w:t>
            </w:r>
          </w:p>
        </w:tc>
        <w:tc>
          <w:tcPr>
            <w:tcW w:w="515" w:type="dxa"/>
            <w:shd w:val="clear" w:color="auto" w:fill="auto"/>
            <w:vAlign w:val="center"/>
          </w:tcPr>
          <w:p w14:paraId="5B56A866" w14:textId="77777777" w:rsidR="00913C78" w:rsidRPr="00194A28" w:rsidRDefault="00913C78" w:rsidP="00194A28">
            <w:pPr>
              <w:pStyle w:val="ae"/>
              <w:rPr>
                <w:b w:val="0"/>
                <w:bCs/>
              </w:rPr>
            </w:pPr>
            <w:r w:rsidRPr="00194A28">
              <w:rPr>
                <w:b w:val="0"/>
                <w:bCs/>
              </w:rPr>
              <w:t>127.6</w:t>
            </w:r>
          </w:p>
        </w:tc>
        <w:tc>
          <w:tcPr>
            <w:tcW w:w="514" w:type="dxa"/>
            <w:shd w:val="clear" w:color="auto" w:fill="auto"/>
            <w:vAlign w:val="center"/>
          </w:tcPr>
          <w:p w14:paraId="26872C8B" w14:textId="77777777" w:rsidR="00913C78" w:rsidRPr="00194A28" w:rsidRDefault="00913C78" w:rsidP="00194A28">
            <w:pPr>
              <w:pStyle w:val="ae"/>
              <w:rPr>
                <w:b w:val="0"/>
                <w:bCs/>
              </w:rPr>
            </w:pPr>
            <w:r w:rsidRPr="00194A28">
              <w:rPr>
                <w:b w:val="0"/>
                <w:bCs/>
              </w:rPr>
              <w:t>92.4</w:t>
            </w:r>
          </w:p>
        </w:tc>
        <w:tc>
          <w:tcPr>
            <w:tcW w:w="515" w:type="dxa"/>
            <w:shd w:val="clear" w:color="auto" w:fill="auto"/>
            <w:vAlign w:val="center"/>
          </w:tcPr>
          <w:p w14:paraId="2AC4A205" w14:textId="77777777" w:rsidR="00913C78" w:rsidRPr="00194A28" w:rsidRDefault="00913C78" w:rsidP="00194A28">
            <w:pPr>
              <w:pStyle w:val="ae"/>
              <w:rPr>
                <w:b w:val="0"/>
                <w:bCs/>
              </w:rPr>
            </w:pPr>
            <w:r w:rsidRPr="00194A28">
              <w:rPr>
                <w:b w:val="0"/>
                <w:bCs/>
              </w:rPr>
              <w:t>45.9</w:t>
            </w:r>
          </w:p>
        </w:tc>
        <w:tc>
          <w:tcPr>
            <w:tcW w:w="515" w:type="dxa"/>
            <w:shd w:val="clear" w:color="auto" w:fill="auto"/>
            <w:vAlign w:val="center"/>
          </w:tcPr>
          <w:p w14:paraId="54886545" w14:textId="77777777" w:rsidR="00913C78" w:rsidRPr="00194A28" w:rsidRDefault="00913C78" w:rsidP="00194A28">
            <w:pPr>
              <w:pStyle w:val="ae"/>
              <w:rPr>
                <w:b w:val="0"/>
                <w:bCs/>
              </w:rPr>
            </w:pPr>
            <w:r w:rsidRPr="00194A28">
              <w:rPr>
                <w:b w:val="0"/>
                <w:bCs/>
              </w:rPr>
              <w:t>24.9</w:t>
            </w:r>
          </w:p>
        </w:tc>
      </w:tr>
      <w:tr w:rsidR="00913C78" w:rsidRPr="00194A28" w14:paraId="485474E2" w14:textId="77777777" w:rsidTr="008F38C5">
        <w:trPr>
          <w:jc w:val="center"/>
        </w:trPr>
        <w:tc>
          <w:tcPr>
            <w:tcW w:w="1195" w:type="dxa"/>
            <w:shd w:val="clear" w:color="auto" w:fill="auto"/>
            <w:vAlign w:val="center"/>
          </w:tcPr>
          <w:p w14:paraId="4FE2F8C6" w14:textId="77777777" w:rsidR="00913C78" w:rsidRPr="00194A28" w:rsidRDefault="00913C78" w:rsidP="00194A28">
            <w:pPr>
              <w:pStyle w:val="ae"/>
              <w:rPr>
                <w:b w:val="0"/>
                <w:bCs/>
              </w:rPr>
            </w:pPr>
            <w:r w:rsidRPr="00194A28">
              <w:rPr>
                <w:b w:val="0"/>
                <w:bCs/>
              </w:rPr>
              <w:t>降雨日数</w:t>
            </w:r>
          </w:p>
        </w:tc>
        <w:tc>
          <w:tcPr>
            <w:tcW w:w="514" w:type="dxa"/>
            <w:shd w:val="clear" w:color="auto" w:fill="auto"/>
            <w:vAlign w:val="center"/>
          </w:tcPr>
          <w:p w14:paraId="516E96F3" w14:textId="77777777" w:rsidR="00913C78" w:rsidRPr="00194A28" w:rsidRDefault="00913C78" w:rsidP="00194A28">
            <w:pPr>
              <w:pStyle w:val="ae"/>
              <w:rPr>
                <w:b w:val="0"/>
                <w:bCs/>
              </w:rPr>
            </w:pPr>
            <w:r w:rsidRPr="00194A28">
              <w:rPr>
                <w:b w:val="0"/>
                <w:bCs/>
              </w:rPr>
              <w:t>10.2</w:t>
            </w:r>
          </w:p>
        </w:tc>
        <w:tc>
          <w:tcPr>
            <w:tcW w:w="515" w:type="dxa"/>
            <w:shd w:val="clear" w:color="auto" w:fill="auto"/>
            <w:vAlign w:val="center"/>
          </w:tcPr>
          <w:p w14:paraId="1AA1CC02" w14:textId="77777777" w:rsidR="00913C78" w:rsidRPr="00194A28" w:rsidRDefault="00913C78" w:rsidP="00194A28">
            <w:pPr>
              <w:pStyle w:val="ae"/>
              <w:rPr>
                <w:b w:val="0"/>
                <w:bCs/>
              </w:rPr>
            </w:pPr>
            <w:r w:rsidRPr="00194A28">
              <w:rPr>
                <w:b w:val="0"/>
                <w:bCs/>
              </w:rPr>
              <w:t>9.9</w:t>
            </w:r>
          </w:p>
        </w:tc>
        <w:tc>
          <w:tcPr>
            <w:tcW w:w="514" w:type="dxa"/>
            <w:shd w:val="clear" w:color="auto" w:fill="auto"/>
            <w:vAlign w:val="center"/>
          </w:tcPr>
          <w:p w14:paraId="4C1C3980" w14:textId="77777777" w:rsidR="00913C78" w:rsidRPr="00194A28" w:rsidRDefault="00913C78" w:rsidP="00194A28">
            <w:pPr>
              <w:pStyle w:val="ae"/>
              <w:rPr>
                <w:b w:val="0"/>
                <w:bCs/>
              </w:rPr>
            </w:pPr>
            <w:r w:rsidRPr="00194A28">
              <w:rPr>
                <w:b w:val="0"/>
                <w:bCs/>
              </w:rPr>
              <w:t>11.3</w:t>
            </w:r>
          </w:p>
        </w:tc>
        <w:tc>
          <w:tcPr>
            <w:tcW w:w="515" w:type="dxa"/>
            <w:shd w:val="clear" w:color="auto" w:fill="auto"/>
            <w:vAlign w:val="center"/>
          </w:tcPr>
          <w:p w14:paraId="71D6B5FE" w14:textId="77777777" w:rsidR="00913C78" w:rsidRPr="00194A28" w:rsidRDefault="00913C78" w:rsidP="00194A28">
            <w:pPr>
              <w:pStyle w:val="ae"/>
              <w:rPr>
                <w:b w:val="0"/>
                <w:bCs/>
              </w:rPr>
            </w:pPr>
            <w:r w:rsidRPr="00194A28">
              <w:rPr>
                <w:b w:val="0"/>
                <w:bCs/>
              </w:rPr>
              <w:t>14.9</w:t>
            </w:r>
          </w:p>
        </w:tc>
        <w:tc>
          <w:tcPr>
            <w:tcW w:w="514" w:type="dxa"/>
            <w:shd w:val="clear" w:color="auto" w:fill="auto"/>
            <w:vAlign w:val="center"/>
          </w:tcPr>
          <w:p w14:paraId="5510D0F3" w14:textId="77777777" w:rsidR="00913C78" w:rsidRPr="00194A28" w:rsidRDefault="00913C78" w:rsidP="00194A28">
            <w:pPr>
              <w:pStyle w:val="ae"/>
              <w:rPr>
                <w:b w:val="0"/>
                <w:bCs/>
              </w:rPr>
            </w:pPr>
            <w:r w:rsidRPr="00194A28">
              <w:rPr>
                <w:b w:val="0"/>
                <w:bCs/>
              </w:rPr>
              <w:t>15.6</w:t>
            </w:r>
          </w:p>
        </w:tc>
        <w:tc>
          <w:tcPr>
            <w:tcW w:w="515" w:type="dxa"/>
            <w:shd w:val="clear" w:color="auto" w:fill="auto"/>
            <w:vAlign w:val="center"/>
          </w:tcPr>
          <w:p w14:paraId="012CE7E7" w14:textId="77777777" w:rsidR="00913C78" w:rsidRPr="00194A28" w:rsidRDefault="00913C78" w:rsidP="00194A28">
            <w:pPr>
              <w:pStyle w:val="ae"/>
              <w:rPr>
                <w:b w:val="0"/>
                <w:bCs/>
              </w:rPr>
            </w:pPr>
            <w:r w:rsidRPr="00194A28">
              <w:rPr>
                <w:b w:val="0"/>
                <w:bCs/>
              </w:rPr>
              <w:t>15.7</w:t>
            </w:r>
          </w:p>
        </w:tc>
        <w:tc>
          <w:tcPr>
            <w:tcW w:w="515" w:type="dxa"/>
            <w:shd w:val="clear" w:color="auto" w:fill="auto"/>
            <w:vAlign w:val="center"/>
          </w:tcPr>
          <w:p w14:paraId="32C9326E" w14:textId="77777777" w:rsidR="00913C78" w:rsidRPr="00194A28" w:rsidRDefault="00913C78" w:rsidP="00194A28">
            <w:pPr>
              <w:pStyle w:val="ae"/>
              <w:rPr>
                <w:b w:val="0"/>
                <w:bCs/>
              </w:rPr>
            </w:pPr>
            <w:r w:rsidRPr="00194A28">
              <w:rPr>
                <w:b w:val="0"/>
                <w:bCs/>
              </w:rPr>
              <w:t>12.4</w:t>
            </w:r>
          </w:p>
        </w:tc>
        <w:tc>
          <w:tcPr>
            <w:tcW w:w="514" w:type="dxa"/>
            <w:shd w:val="clear" w:color="auto" w:fill="auto"/>
            <w:vAlign w:val="center"/>
          </w:tcPr>
          <w:p w14:paraId="6BA07190" w14:textId="77777777" w:rsidR="00913C78" w:rsidRPr="00194A28" w:rsidRDefault="00913C78" w:rsidP="00194A28">
            <w:pPr>
              <w:pStyle w:val="ae"/>
              <w:rPr>
                <w:b w:val="0"/>
                <w:bCs/>
              </w:rPr>
            </w:pPr>
            <w:r w:rsidRPr="00194A28">
              <w:rPr>
                <w:b w:val="0"/>
                <w:bCs/>
              </w:rPr>
              <w:t>10.5</w:t>
            </w:r>
          </w:p>
        </w:tc>
        <w:tc>
          <w:tcPr>
            <w:tcW w:w="515" w:type="dxa"/>
            <w:shd w:val="clear" w:color="auto" w:fill="auto"/>
            <w:vAlign w:val="center"/>
          </w:tcPr>
          <w:p w14:paraId="05319139" w14:textId="77777777" w:rsidR="00913C78" w:rsidRPr="00194A28" w:rsidRDefault="00913C78" w:rsidP="00194A28">
            <w:pPr>
              <w:pStyle w:val="ae"/>
              <w:rPr>
                <w:b w:val="0"/>
                <w:bCs/>
              </w:rPr>
            </w:pPr>
            <w:r w:rsidRPr="00194A28">
              <w:rPr>
                <w:b w:val="0"/>
                <w:bCs/>
              </w:rPr>
              <w:t>14.4</w:t>
            </w:r>
          </w:p>
        </w:tc>
        <w:tc>
          <w:tcPr>
            <w:tcW w:w="514" w:type="dxa"/>
            <w:shd w:val="clear" w:color="auto" w:fill="auto"/>
            <w:vAlign w:val="center"/>
          </w:tcPr>
          <w:p w14:paraId="599CE2CA" w14:textId="77777777" w:rsidR="00913C78" w:rsidRPr="00194A28" w:rsidRDefault="00913C78" w:rsidP="00194A28">
            <w:pPr>
              <w:pStyle w:val="ae"/>
              <w:rPr>
                <w:b w:val="0"/>
                <w:bCs/>
              </w:rPr>
            </w:pPr>
            <w:r w:rsidRPr="00194A28">
              <w:rPr>
                <w:b w:val="0"/>
                <w:bCs/>
              </w:rPr>
              <w:t>15.4</w:t>
            </w:r>
          </w:p>
        </w:tc>
        <w:tc>
          <w:tcPr>
            <w:tcW w:w="515" w:type="dxa"/>
            <w:shd w:val="clear" w:color="auto" w:fill="auto"/>
            <w:vAlign w:val="center"/>
          </w:tcPr>
          <w:p w14:paraId="72B54A3A" w14:textId="77777777" w:rsidR="00913C78" w:rsidRPr="00194A28" w:rsidRDefault="00913C78" w:rsidP="00194A28">
            <w:pPr>
              <w:pStyle w:val="ae"/>
              <w:rPr>
                <w:b w:val="0"/>
                <w:bCs/>
              </w:rPr>
            </w:pPr>
            <w:r w:rsidRPr="00194A28">
              <w:rPr>
                <w:b w:val="0"/>
                <w:bCs/>
              </w:rPr>
              <w:t>12.2</w:t>
            </w:r>
          </w:p>
        </w:tc>
        <w:tc>
          <w:tcPr>
            <w:tcW w:w="515" w:type="dxa"/>
            <w:shd w:val="clear" w:color="auto" w:fill="auto"/>
            <w:vAlign w:val="center"/>
          </w:tcPr>
          <w:p w14:paraId="2FED9406" w14:textId="77777777" w:rsidR="00913C78" w:rsidRPr="00194A28" w:rsidRDefault="00913C78" w:rsidP="00194A28">
            <w:pPr>
              <w:pStyle w:val="ae"/>
              <w:rPr>
                <w:b w:val="0"/>
                <w:bCs/>
              </w:rPr>
            </w:pPr>
            <w:r w:rsidRPr="00194A28">
              <w:rPr>
                <w:b w:val="0"/>
                <w:bCs/>
              </w:rPr>
              <w:t>9.5</w:t>
            </w:r>
          </w:p>
        </w:tc>
      </w:tr>
      <w:tr w:rsidR="00913C78" w:rsidRPr="00194A28" w14:paraId="5A06F5E9" w14:textId="77777777" w:rsidTr="008F38C5">
        <w:trPr>
          <w:jc w:val="center"/>
        </w:trPr>
        <w:tc>
          <w:tcPr>
            <w:tcW w:w="1195" w:type="dxa"/>
            <w:shd w:val="clear" w:color="auto" w:fill="auto"/>
            <w:vAlign w:val="center"/>
          </w:tcPr>
          <w:p w14:paraId="6B14DF9C" w14:textId="77777777" w:rsidR="00913C78" w:rsidRPr="00194A28" w:rsidRDefault="00913C78" w:rsidP="00194A28">
            <w:pPr>
              <w:pStyle w:val="ae"/>
              <w:rPr>
                <w:b w:val="0"/>
                <w:bCs/>
              </w:rPr>
            </w:pPr>
            <w:r w:rsidRPr="00194A28">
              <w:rPr>
                <w:b w:val="0"/>
                <w:bCs/>
              </w:rPr>
              <w:t>日降雨量</w:t>
            </w:r>
            <w:r w:rsidRPr="00194A28">
              <w:rPr>
                <w:rFonts w:hint="eastAsia"/>
                <w:b w:val="0"/>
                <w:bCs/>
              </w:rPr>
              <w:t>/</w:t>
            </w:r>
            <w:r w:rsidRPr="00194A28">
              <w:rPr>
                <w:b w:val="0"/>
                <w:bCs/>
              </w:rPr>
              <w:t>mm</w:t>
            </w:r>
          </w:p>
        </w:tc>
        <w:tc>
          <w:tcPr>
            <w:tcW w:w="514" w:type="dxa"/>
            <w:shd w:val="clear" w:color="auto" w:fill="auto"/>
            <w:vAlign w:val="center"/>
          </w:tcPr>
          <w:p w14:paraId="1AD357E3" w14:textId="77777777" w:rsidR="00913C78" w:rsidRPr="00194A28" w:rsidRDefault="00913C78" w:rsidP="00194A28">
            <w:pPr>
              <w:pStyle w:val="ae"/>
              <w:rPr>
                <w:b w:val="0"/>
                <w:bCs/>
              </w:rPr>
            </w:pPr>
            <w:r w:rsidRPr="00194A28">
              <w:rPr>
                <w:b w:val="0"/>
                <w:bCs/>
              </w:rPr>
              <w:t>2</w:t>
            </w:r>
          </w:p>
        </w:tc>
        <w:tc>
          <w:tcPr>
            <w:tcW w:w="515" w:type="dxa"/>
            <w:shd w:val="clear" w:color="auto" w:fill="auto"/>
            <w:vAlign w:val="center"/>
          </w:tcPr>
          <w:p w14:paraId="38DF6ED1" w14:textId="77777777" w:rsidR="00913C78" w:rsidRPr="00194A28" w:rsidRDefault="00913C78" w:rsidP="00194A28">
            <w:pPr>
              <w:pStyle w:val="ae"/>
              <w:rPr>
                <w:b w:val="0"/>
                <w:bCs/>
              </w:rPr>
            </w:pPr>
            <w:r w:rsidRPr="00194A28">
              <w:rPr>
                <w:b w:val="0"/>
                <w:bCs/>
              </w:rPr>
              <w:t>2.1</w:t>
            </w:r>
          </w:p>
        </w:tc>
        <w:tc>
          <w:tcPr>
            <w:tcW w:w="514" w:type="dxa"/>
            <w:shd w:val="clear" w:color="auto" w:fill="auto"/>
            <w:vAlign w:val="center"/>
          </w:tcPr>
          <w:p w14:paraId="6EAB091C" w14:textId="77777777" w:rsidR="00913C78" w:rsidRPr="00194A28" w:rsidRDefault="00913C78" w:rsidP="00194A28">
            <w:pPr>
              <w:pStyle w:val="ae"/>
              <w:rPr>
                <w:b w:val="0"/>
                <w:bCs/>
              </w:rPr>
            </w:pPr>
            <w:r w:rsidRPr="00194A28">
              <w:rPr>
                <w:b w:val="0"/>
                <w:bCs/>
              </w:rPr>
              <w:t>3.4</w:t>
            </w:r>
          </w:p>
        </w:tc>
        <w:tc>
          <w:tcPr>
            <w:tcW w:w="515" w:type="dxa"/>
            <w:shd w:val="clear" w:color="auto" w:fill="auto"/>
            <w:vAlign w:val="center"/>
          </w:tcPr>
          <w:p w14:paraId="3289786D" w14:textId="77777777" w:rsidR="00913C78" w:rsidRPr="00194A28" w:rsidRDefault="00913C78" w:rsidP="00194A28">
            <w:pPr>
              <w:pStyle w:val="ae"/>
              <w:rPr>
                <w:b w:val="0"/>
                <w:bCs/>
              </w:rPr>
            </w:pPr>
            <w:r w:rsidRPr="00194A28">
              <w:rPr>
                <w:b w:val="0"/>
                <w:bCs/>
              </w:rPr>
              <w:t>7.3</w:t>
            </w:r>
          </w:p>
        </w:tc>
        <w:tc>
          <w:tcPr>
            <w:tcW w:w="514" w:type="dxa"/>
            <w:shd w:val="clear" w:color="auto" w:fill="auto"/>
            <w:vAlign w:val="center"/>
          </w:tcPr>
          <w:p w14:paraId="5EDDADCF" w14:textId="77777777" w:rsidR="00913C78" w:rsidRPr="00194A28" w:rsidRDefault="00913C78" w:rsidP="00194A28">
            <w:pPr>
              <w:pStyle w:val="ae"/>
              <w:rPr>
                <w:b w:val="0"/>
                <w:bCs/>
              </w:rPr>
            </w:pPr>
            <w:r w:rsidRPr="00194A28">
              <w:rPr>
                <w:b w:val="0"/>
                <w:bCs/>
              </w:rPr>
              <w:t>9.4</w:t>
            </w:r>
          </w:p>
        </w:tc>
        <w:tc>
          <w:tcPr>
            <w:tcW w:w="515" w:type="dxa"/>
            <w:shd w:val="clear" w:color="auto" w:fill="auto"/>
            <w:vAlign w:val="center"/>
          </w:tcPr>
          <w:p w14:paraId="7961D196" w14:textId="77777777" w:rsidR="00913C78" w:rsidRPr="00194A28" w:rsidRDefault="00913C78" w:rsidP="00194A28">
            <w:pPr>
              <w:pStyle w:val="ae"/>
              <w:rPr>
                <w:b w:val="0"/>
                <w:bCs/>
              </w:rPr>
            </w:pPr>
            <w:r w:rsidRPr="00194A28">
              <w:rPr>
                <w:b w:val="0"/>
                <w:bCs/>
              </w:rPr>
              <w:t>10.4</w:t>
            </w:r>
          </w:p>
        </w:tc>
        <w:tc>
          <w:tcPr>
            <w:tcW w:w="515" w:type="dxa"/>
            <w:shd w:val="clear" w:color="auto" w:fill="auto"/>
            <w:vAlign w:val="center"/>
          </w:tcPr>
          <w:p w14:paraId="38B25D35" w14:textId="77777777" w:rsidR="00913C78" w:rsidRPr="00194A28" w:rsidRDefault="00913C78" w:rsidP="00194A28">
            <w:pPr>
              <w:pStyle w:val="ae"/>
              <w:rPr>
                <w:b w:val="0"/>
                <w:bCs/>
              </w:rPr>
            </w:pPr>
            <w:r w:rsidRPr="00194A28">
              <w:rPr>
                <w:b w:val="0"/>
                <w:bCs/>
              </w:rPr>
              <w:t>13.2</w:t>
            </w:r>
          </w:p>
        </w:tc>
        <w:tc>
          <w:tcPr>
            <w:tcW w:w="514" w:type="dxa"/>
            <w:shd w:val="clear" w:color="auto" w:fill="auto"/>
            <w:vAlign w:val="center"/>
          </w:tcPr>
          <w:p w14:paraId="2DAE7B85" w14:textId="77777777" w:rsidR="00913C78" w:rsidRPr="00194A28" w:rsidRDefault="00913C78" w:rsidP="00194A28">
            <w:pPr>
              <w:pStyle w:val="ae"/>
              <w:rPr>
                <w:b w:val="0"/>
                <w:bCs/>
              </w:rPr>
            </w:pPr>
            <w:r w:rsidRPr="00194A28">
              <w:rPr>
                <w:b w:val="0"/>
                <w:bCs/>
              </w:rPr>
              <w:t>12.5</w:t>
            </w:r>
          </w:p>
        </w:tc>
        <w:tc>
          <w:tcPr>
            <w:tcW w:w="515" w:type="dxa"/>
            <w:shd w:val="clear" w:color="auto" w:fill="auto"/>
            <w:vAlign w:val="center"/>
          </w:tcPr>
          <w:p w14:paraId="19C558D0" w14:textId="77777777" w:rsidR="00913C78" w:rsidRPr="00194A28" w:rsidRDefault="00913C78" w:rsidP="00194A28">
            <w:pPr>
              <w:pStyle w:val="ae"/>
              <w:rPr>
                <w:b w:val="0"/>
                <w:bCs/>
              </w:rPr>
            </w:pPr>
            <w:r w:rsidRPr="00194A28">
              <w:rPr>
                <w:b w:val="0"/>
                <w:bCs/>
              </w:rPr>
              <w:t>9.3</w:t>
            </w:r>
          </w:p>
        </w:tc>
        <w:tc>
          <w:tcPr>
            <w:tcW w:w="514" w:type="dxa"/>
            <w:shd w:val="clear" w:color="auto" w:fill="auto"/>
            <w:vAlign w:val="center"/>
          </w:tcPr>
          <w:p w14:paraId="42ECDF95" w14:textId="77777777" w:rsidR="00913C78" w:rsidRPr="00194A28" w:rsidRDefault="00913C78" w:rsidP="00194A28">
            <w:pPr>
              <w:pStyle w:val="ae"/>
              <w:rPr>
                <w:b w:val="0"/>
                <w:bCs/>
              </w:rPr>
            </w:pPr>
            <w:r w:rsidRPr="00194A28">
              <w:rPr>
                <w:b w:val="0"/>
                <w:bCs/>
              </w:rPr>
              <w:t>6.4</w:t>
            </w:r>
          </w:p>
        </w:tc>
        <w:tc>
          <w:tcPr>
            <w:tcW w:w="515" w:type="dxa"/>
            <w:shd w:val="clear" w:color="auto" w:fill="auto"/>
            <w:vAlign w:val="center"/>
          </w:tcPr>
          <w:p w14:paraId="144A1D91" w14:textId="77777777" w:rsidR="00913C78" w:rsidRPr="00194A28" w:rsidRDefault="00913C78" w:rsidP="00194A28">
            <w:pPr>
              <w:pStyle w:val="ae"/>
              <w:rPr>
                <w:b w:val="0"/>
                <w:bCs/>
              </w:rPr>
            </w:pPr>
            <w:r w:rsidRPr="00194A28">
              <w:rPr>
                <w:b w:val="0"/>
                <w:bCs/>
              </w:rPr>
              <w:t>3.8</w:t>
            </w:r>
          </w:p>
        </w:tc>
        <w:tc>
          <w:tcPr>
            <w:tcW w:w="515" w:type="dxa"/>
            <w:shd w:val="clear" w:color="auto" w:fill="auto"/>
            <w:vAlign w:val="center"/>
          </w:tcPr>
          <w:p w14:paraId="7A5CED42" w14:textId="77777777" w:rsidR="00913C78" w:rsidRPr="00194A28" w:rsidRDefault="00913C78" w:rsidP="00194A28">
            <w:pPr>
              <w:pStyle w:val="ae"/>
              <w:rPr>
                <w:b w:val="0"/>
                <w:bCs/>
              </w:rPr>
            </w:pPr>
            <w:r w:rsidRPr="00194A28">
              <w:rPr>
                <w:b w:val="0"/>
                <w:bCs/>
              </w:rPr>
              <w:t>2.4</w:t>
            </w:r>
          </w:p>
        </w:tc>
      </w:tr>
    </w:tbl>
    <w:p w14:paraId="5814CC13" w14:textId="77777777" w:rsidR="00913C78" w:rsidRPr="00913C78" w:rsidRDefault="00913C78" w:rsidP="00913C78">
      <w:pPr>
        <w:ind w:firstLine="420"/>
      </w:pPr>
    </w:p>
    <w:p w14:paraId="30E5EC57" w14:textId="77777777" w:rsidR="00913C78" w:rsidRPr="00913C78" w:rsidRDefault="00913C78" w:rsidP="00913C78">
      <w:pPr>
        <w:ind w:firstLine="420"/>
      </w:pPr>
      <w:r w:rsidRPr="00913C78">
        <w:rPr>
          <w:rFonts w:hint="eastAsia"/>
        </w:rPr>
        <w:t>（</w:t>
      </w:r>
      <w:r w:rsidRPr="00913C78">
        <w:rPr>
          <w:rFonts w:hint="eastAsia"/>
        </w:rPr>
        <w:t>4</w:t>
      </w:r>
      <w:r w:rsidRPr="00913C78">
        <w:rPr>
          <w:rFonts w:hint="eastAsia"/>
        </w:rPr>
        <w:t>）其他非传统水源利用量</w:t>
      </w:r>
      <w:bookmarkEnd w:id="385"/>
    </w:p>
    <w:p w14:paraId="7FA88D9C" w14:textId="77777777" w:rsidR="00913C78" w:rsidRPr="00913C78" w:rsidRDefault="00913C78" w:rsidP="00913C78">
      <w:pPr>
        <w:ind w:firstLine="420"/>
      </w:pPr>
      <w:r w:rsidRPr="00913C78">
        <w:rPr>
          <w:rFonts w:hint="eastAsia"/>
        </w:rPr>
        <w:t>其他</w:t>
      </w:r>
      <w:r w:rsidRPr="00913C78">
        <w:t>非传统水源利用量应按实际情况计算。</w:t>
      </w:r>
    </w:p>
    <w:p w14:paraId="004D88DF" w14:textId="77777777" w:rsidR="00913C78" w:rsidRPr="00913C78" w:rsidRDefault="00913C78" w:rsidP="00913C78">
      <w:pPr>
        <w:ind w:firstLine="420"/>
      </w:pPr>
      <w:bookmarkStart w:id="386" w:name="_Toc476142926"/>
      <w:r w:rsidRPr="00913C78">
        <w:rPr>
          <w:rFonts w:hint="eastAsia"/>
        </w:rPr>
        <w:t>◎</w:t>
      </w:r>
      <w:r w:rsidRPr="00913C78">
        <w:rPr>
          <w:rFonts w:hint="eastAsia"/>
        </w:rPr>
        <w:t xml:space="preserve"> </w:t>
      </w:r>
      <w:r w:rsidRPr="00913C78">
        <w:rPr>
          <w:rFonts w:hint="eastAsia"/>
        </w:rPr>
        <w:t>计算</w:t>
      </w:r>
      <w:r w:rsidRPr="00913C78">
        <w:t>结果</w:t>
      </w:r>
      <w:bookmarkEnd w:id="386"/>
    </w:p>
    <w:p w14:paraId="39887568" w14:textId="77777777" w:rsidR="00913C78" w:rsidRPr="00913C78" w:rsidRDefault="00913C78" w:rsidP="00913C78">
      <w:pPr>
        <w:ind w:firstLine="420"/>
      </w:pPr>
      <w:r w:rsidRPr="00913C78">
        <w:rPr>
          <w:rFonts w:hint="eastAsia"/>
        </w:rPr>
        <w:t>非传统水源</w:t>
      </w:r>
      <w:r w:rsidRPr="00913C78">
        <w:t>利用率</w:t>
      </w:r>
      <w:r w:rsidRPr="00913C78">
        <w:rPr>
          <w:rFonts w:hint="eastAsia"/>
        </w:rPr>
        <w:t>计算结果应包括：非传统水源利用率计算</w:t>
      </w:r>
      <w:r w:rsidRPr="00913C78">
        <w:t>结果</w:t>
      </w:r>
      <w:r w:rsidRPr="00913C78">
        <w:rPr>
          <w:rFonts w:hint="eastAsia"/>
        </w:rPr>
        <w:t>。</w:t>
      </w:r>
    </w:p>
    <w:p w14:paraId="430CD892" w14:textId="77777777" w:rsidR="00913C78" w:rsidRPr="00913C78" w:rsidRDefault="00913C78" w:rsidP="00913C78">
      <w:pPr>
        <w:ind w:firstLine="420"/>
      </w:pPr>
      <w:r w:rsidRPr="00913C78">
        <w:rPr>
          <w:rFonts w:hint="eastAsia"/>
        </w:rPr>
        <w:t>应列表逐月计算需水量及可收集水量，进行水量平衡分析（附表</w:t>
      </w:r>
      <w:r w:rsidRPr="00913C78">
        <w:rPr>
          <w:rFonts w:hint="eastAsia"/>
        </w:rPr>
        <w:t>B.3.6</w:t>
      </w:r>
      <w:r w:rsidRPr="00913C78">
        <w:rPr>
          <w:rFonts w:hint="eastAsia"/>
        </w:rPr>
        <w:t>）。</w:t>
      </w:r>
    </w:p>
    <w:p w14:paraId="5EDD2D55" w14:textId="77777777" w:rsidR="00913C78" w:rsidRPr="00913C78" w:rsidRDefault="00913C78" w:rsidP="00194A28">
      <w:pPr>
        <w:pStyle w:val="ae"/>
      </w:pPr>
      <w:r w:rsidRPr="00913C78">
        <w:rPr>
          <w:rFonts w:hint="eastAsia"/>
        </w:rPr>
        <w:t>附表</w:t>
      </w:r>
      <w:r w:rsidRPr="00913C78">
        <w:rPr>
          <w:rFonts w:hint="eastAsia"/>
        </w:rPr>
        <w:t xml:space="preserve">B.3.6 </w:t>
      </w:r>
      <w:r w:rsidRPr="00913C78">
        <w:t xml:space="preserve"> </w:t>
      </w:r>
      <w:r w:rsidRPr="00913C78">
        <w:rPr>
          <w:rFonts w:hint="eastAsia"/>
        </w:rPr>
        <w:t>非传统水源水量平衡计算表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bottom w:w="28" w:type="dxa"/>
          <w:right w:w="57" w:type="dxa"/>
        </w:tblCellMar>
        <w:tblLook w:val="04A0" w:firstRow="1" w:lastRow="0" w:firstColumn="1" w:lastColumn="0" w:noHBand="0" w:noVBand="1"/>
      </w:tblPr>
      <w:tblGrid>
        <w:gridCol w:w="1652"/>
        <w:gridCol w:w="476"/>
        <w:gridCol w:w="447"/>
        <w:gridCol w:w="29"/>
        <w:gridCol w:w="367"/>
        <w:gridCol w:w="111"/>
        <w:gridCol w:w="354"/>
        <w:gridCol w:w="122"/>
        <w:gridCol w:w="342"/>
        <w:gridCol w:w="136"/>
        <w:gridCol w:w="329"/>
        <w:gridCol w:w="147"/>
        <w:gridCol w:w="317"/>
        <w:gridCol w:w="159"/>
        <w:gridCol w:w="305"/>
        <w:gridCol w:w="172"/>
        <w:gridCol w:w="292"/>
        <w:gridCol w:w="184"/>
        <w:gridCol w:w="354"/>
        <w:gridCol w:w="124"/>
        <w:gridCol w:w="414"/>
        <w:gridCol w:w="62"/>
        <w:gridCol w:w="475"/>
      </w:tblGrid>
      <w:tr w:rsidR="00913C78" w:rsidRPr="00194A28" w14:paraId="738CAD93" w14:textId="77777777" w:rsidTr="003D3C65">
        <w:trPr>
          <w:jc w:val="center"/>
        </w:trPr>
        <w:tc>
          <w:tcPr>
            <w:tcW w:w="1121" w:type="pct"/>
            <w:shd w:val="clear" w:color="auto" w:fill="auto"/>
            <w:noWrap/>
            <w:vAlign w:val="center"/>
            <w:hideMark/>
          </w:tcPr>
          <w:p w14:paraId="6620FCFA" w14:textId="77777777" w:rsidR="00913C78" w:rsidRPr="00194A28" w:rsidRDefault="00913C78" w:rsidP="003D3C65">
            <w:pPr>
              <w:pStyle w:val="ae"/>
              <w:rPr>
                <w:b w:val="0"/>
                <w:bCs/>
              </w:rPr>
            </w:pPr>
            <w:r w:rsidRPr="00194A28">
              <w:rPr>
                <w:rFonts w:hint="eastAsia"/>
                <w:b w:val="0"/>
                <w:bCs/>
              </w:rPr>
              <w:t>月份</w:t>
            </w:r>
          </w:p>
        </w:tc>
        <w:tc>
          <w:tcPr>
            <w:tcW w:w="323" w:type="pct"/>
            <w:shd w:val="clear" w:color="auto" w:fill="auto"/>
            <w:noWrap/>
            <w:vAlign w:val="center"/>
            <w:hideMark/>
          </w:tcPr>
          <w:p w14:paraId="1A9600A1" w14:textId="77777777" w:rsidR="00913C78" w:rsidRPr="00194A28" w:rsidRDefault="00913C78" w:rsidP="003D3C65">
            <w:pPr>
              <w:pStyle w:val="ae"/>
              <w:rPr>
                <w:b w:val="0"/>
                <w:bCs/>
              </w:rPr>
            </w:pPr>
            <w:r w:rsidRPr="00194A28">
              <w:rPr>
                <w:b w:val="0"/>
                <w:bCs/>
              </w:rPr>
              <w:t>1</w:t>
            </w:r>
          </w:p>
        </w:tc>
        <w:tc>
          <w:tcPr>
            <w:tcW w:w="303" w:type="pct"/>
            <w:shd w:val="clear" w:color="auto" w:fill="auto"/>
            <w:noWrap/>
            <w:vAlign w:val="center"/>
            <w:hideMark/>
          </w:tcPr>
          <w:p w14:paraId="07A2D2FE" w14:textId="77777777" w:rsidR="00913C78" w:rsidRPr="00194A28" w:rsidRDefault="00913C78" w:rsidP="003D3C65">
            <w:pPr>
              <w:pStyle w:val="ae"/>
              <w:rPr>
                <w:b w:val="0"/>
                <w:bCs/>
              </w:rPr>
            </w:pPr>
            <w:r w:rsidRPr="00194A28">
              <w:rPr>
                <w:b w:val="0"/>
                <w:bCs/>
              </w:rPr>
              <w:t>2</w:t>
            </w:r>
          </w:p>
        </w:tc>
        <w:tc>
          <w:tcPr>
            <w:tcW w:w="269" w:type="pct"/>
            <w:gridSpan w:val="2"/>
            <w:shd w:val="clear" w:color="auto" w:fill="auto"/>
            <w:noWrap/>
            <w:vAlign w:val="center"/>
            <w:hideMark/>
          </w:tcPr>
          <w:p w14:paraId="0C851E16" w14:textId="77777777" w:rsidR="00913C78" w:rsidRPr="00194A28" w:rsidRDefault="00913C78" w:rsidP="003D3C65">
            <w:pPr>
              <w:pStyle w:val="ae"/>
              <w:rPr>
                <w:b w:val="0"/>
                <w:bCs/>
              </w:rPr>
            </w:pPr>
            <w:r w:rsidRPr="00194A28">
              <w:rPr>
                <w:b w:val="0"/>
                <w:bCs/>
              </w:rPr>
              <w:t>3</w:t>
            </w:r>
          </w:p>
        </w:tc>
        <w:tc>
          <w:tcPr>
            <w:tcW w:w="315" w:type="pct"/>
            <w:gridSpan w:val="2"/>
            <w:shd w:val="clear" w:color="auto" w:fill="auto"/>
            <w:noWrap/>
            <w:vAlign w:val="center"/>
            <w:hideMark/>
          </w:tcPr>
          <w:p w14:paraId="69DFF43A" w14:textId="77777777" w:rsidR="00913C78" w:rsidRPr="00194A28" w:rsidRDefault="00913C78" w:rsidP="003D3C65">
            <w:pPr>
              <w:pStyle w:val="ae"/>
              <w:rPr>
                <w:b w:val="0"/>
                <w:bCs/>
              </w:rPr>
            </w:pPr>
            <w:r w:rsidRPr="00194A28">
              <w:rPr>
                <w:b w:val="0"/>
                <w:bCs/>
              </w:rPr>
              <w:t>4</w:t>
            </w:r>
          </w:p>
        </w:tc>
        <w:tc>
          <w:tcPr>
            <w:tcW w:w="315" w:type="pct"/>
            <w:gridSpan w:val="2"/>
            <w:shd w:val="clear" w:color="auto" w:fill="auto"/>
            <w:noWrap/>
            <w:vAlign w:val="center"/>
            <w:hideMark/>
          </w:tcPr>
          <w:p w14:paraId="4FA944CA" w14:textId="77777777" w:rsidR="00913C78" w:rsidRPr="00194A28" w:rsidRDefault="00913C78" w:rsidP="003D3C65">
            <w:pPr>
              <w:pStyle w:val="ae"/>
              <w:rPr>
                <w:b w:val="0"/>
                <w:bCs/>
              </w:rPr>
            </w:pPr>
            <w:r w:rsidRPr="00194A28">
              <w:rPr>
                <w:b w:val="0"/>
                <w:bCs/>
              </w:rPr>
              <w:t>5</w:t>
            </w:r>
          </w:p>
        </w:tc>
        <w:tc>
          <w:tcPr>
            <w:tcW w:w="315" w:type="pct"/>
            <w:gridSpan w:val="2"/>
            <w:shd w:val="clear" w:color="auto" w:fill="auto"/>
            <w:noWrap/>
            <w:vAlign w:val="center"/>
            <w:hideMark/>
          </w:tcPr>
          <w:p w14:paraId="2BC0CC8E" w14:textId="77777777" w:rsidR="00913C78" w:rsidRPr="00194A28" w:rsidRDefault="00913C78" w:rsidP="003D3C65">
            <w:pPr>
              <w:pStyle w:val="ae"/>
              <w:rPr>
                <w:b w:val="0"/>
                <w:bCs/>
              </w:rPr>
            </w:pPr>
            <w:r w:rsidRPr="00194A28">
              <w:rPr>
                <w:b w:val="0"/>
                <w:bCs/>
              </w:rPr>
              <w:t>6</w:t>
            </w:r>
          </w:p>
        </w:tc>
        <w:tc>
          <w:tcPr>
            <w:tcW w:w="315" w:type="pct"/>
            <w:gridSpan w:val="2"/>
            <w:shd w:val="clear" w:color="auto" w:fill="auto"/>
            <w:noWrap/>
            <w:vAlign w:val="center"/>
            <w:hideMark/>
          </w:tcPr>
          <w:p w14:paraId="1E742EE4" w14:textId="77777777" w:rsidR="00913C78" w:rsidRPr="00194A28" w:rsidRDefault="00913C78" w:rsidP="003D3C65">
            <w:pPr>
              <w:pStyle w:val="ae"/>
              <w:rPr>
                <w:b w:val="0"/>
                <w:bCs/>
              </w:rPr>
            </w:pPr>
            <w:r w:rsidRPr="00194A28">
              <w:rPr>
                <w:b w:val="0"/>
                <w:bCs/>
              </w:rPr>
              <w:t>7</w:t>
            </w:r>
          </w:p>
        </w:tc>
        <w:tc>
          <w:tcPr>
            <w:tcW w:w="315" w:type="pct"/>
            <w:gridSpan w:val="2"/>
            <w:shd w:val="clear" w:color="auto" w:fill="auto"/>
            <w:noWrap/>
            <w:vAlign w:val="center"/>
            <w:hideMark/>
          </w:tcPr>
          <w:p w14:paraId="6A37A95B" w14:textId="77777777" w:rsidR="00913C78" w:rsidRPr="00194A28" w:rsidRDefault="00913C78" w:rsidP="003D3C65">
            <w:pPr>
              <w:pStyle w:val="ae"/>
              <w:rPr>
                <w:b w:val="0"/>
                <w:bCs/>
              </w:rPr>
            </w:pPr>
            <w:r w:rsidRPr="00194A28">
              <w:rPr>
                <w:b w:val="0"/>
                <w:bCs/>
              </w:rPr>
              <w:t>8</w:t>
            </w:r>
          </w:p>
        </w:tc>
        <w:tc>
          <w:tcPr>
            <w:tcW w:w="315" w:type="pct"/>
            <w:gridSpan w:val="2"/>
            <w:shd w:val="clear" w:color="auto" w:fill="auto"/>
            <w:noWrap/>
            <w:vAlign w:val="center"/>
            <w:hideMark/>
          </w:tcPr>
          <w:p w14:paraId="746901AA" w14:textId="77777777" w:rsidR="00913C78" w:rsidRPr="00194A28" w:rsidRDefault="00913C78" w:rsidP="003D3C65">
            <w:pPr>
              <w:pStyle w:val="ae"/>
              <w:rPr>
                <w:b w:val="0"/>
                <w:bCs/>
              </w:rPr>
            </w:pPr>
            <w:r w:rsidRPr="00194A28">
              <w:rPr>
                <w:b w:val="0"/>
                <w:bCs/>
              </w:rPr>
              <w:t>9</w:t>
            </w:r>
          </w:p>
        </w:tc>
        <w:tc>
          <w:tcPr>
            <w:tcW w:w="365" w:type="pct"/>
            <w:gridSpan w:val="2"/>
            <w:shd w:val="clear" w:color="auto" w:fill="auto"/>
            <w:noWrap/>
            <w:vAlign w:val="center"/>
            <w:hideMark/>
          </w:tcPr>
          <w:p w14:paraId="7B71CF64" w14:textId="77777777" w:rsidR="00913C78" w:rsidRPr="00194A28" w:rsidRDefault="00913C78" w:rsidP="003D3C65">
            <w:pPr>
              <w:pStyle w:val="ae"/>
              <w:rPr>
                <w:b w:val="0"/>
                <w:bCs/>
              </w:rPr>
            </w:pPr>
            <w:r w:rsidRPr="00194A28">
              <w:rPr>
                <w:b w:val="0"/>
                <w:bCs/>
              </w:rPr>
              <w:t>10</w:t>
            </w:r>
          </w:p>
        </w:tc>
        <w:tc>
          <w:tcPr>
            <w:tcW w:w="365" w:type="pct"/>
            <w:gridSpan w:val="2"/>
            <w:shd w:val="clear" w:color="auto" w:fill="auto"/>
            <w:noWrap/>
            <w:vAlign w:val="center"/>
            <w:hideMark/>
          </w:tcPr>
          <w:p w14:paraId="582E1A40" w14:textId="77777777" w:rsidR="00913C78" w:rsidRPr="00194A28" w:rsidRDefault="00913C78" w:rsidP="003D3C65">
            <w:pPr>
              <w:pStyle w:val="ae"/>
              <w:rPr>
                <w:b w:val="0"/>
                <w:bCs/>
              </w:rPr>
            </w:pPr>
            <w:r w:rsidRPr="00194A28">
              <w:rPr>
                <w:b w:val="0"/>
                <w:bCs/>
              </w:rPr>
              <w:t>11</w:t>
            </w:r>
          </w:p>
        </w:tc>
        <w:tc>
          <w:tcPr>
            <w:tcW w:w="364" w:type="pct"/>
            <w:gridSpan w:val="2"/>
            <w:shd w:val="clear" w:color="auto" w:fill="auto"/>
            <w:noWrap/>
            <w:vAlign w:val="center"/>
            <w:hideMark/>
          </w:tcPr>
          <w:p w14:paraId="7BB1EAE1" w14:textId="77777777" w:rsidR="00913C78" w:rsidRPr="00194A28" w:rsidRDefault="00913C78" w:rsidP="003D3C65">
            <w:pPr>
              <w:pStyle w:val="ae"/>
              <w:rPr>
                <w:b w:val="0"/>
                <w:bCs/>
              </w:rPr>
            </w:pPr>
            <w:r w:rsidRPr="00194A28">
              <w:rPr>
                <w:b w:val="0"/>
                <w:bCs/>
              </w:rPr>
              <w:t>12</w:t>
            </w:r>
          </w:p>
        </w:tc>
      </w:tr>
      <w:tr w:rsidR="00913C78" w:rsidRPr="00194A28" w14:paraId="4A7CFDE7" w14:textId="77777777" w:rsidTr="003D3C65">
        <w:trPr>
          <w:jc w:val="center"/>
        </w:trPr>
        <w:tc>
          <w:tcPr>
            <w:tcW w:w="1121" w:type="pct"/>
            <w:shd w:val="clear" w:color="auto" w:fill="auto"/>
            <w:noWrap/>
            <w:vAlign w:val="center"/>
            <w:hideMark/>
          </w:tcPr>
          <w:p w14:paraId="76EBD9B5" w14:textId="77777777" w:rsidR="00913C78" w:rsidRPr="00194A28" w:rsidRDefault="00913C78" w:rsidP="003D3C65">
            <w:pPr>
              <w:pStyle w:val="ae"/>
              <w:rPr>
                <w:b w:val="0"/>
                <w:bCs/>
              </w:rPr>
            </w:pPr>
            <w:r w:rsidRPr="00194A28">
              <w:rPr>
                <w:rFonts w:hint="eastAsia"/>
                <w:b w:val="0"/>
                <w:bCs/>
              </w:rPr>
              <w:t>降雨量</w:t>
            </w:r>
            <w:r w:rsidRPr="00194A28">
              <w:rPr>
                <w:b w:val="0"/>
                <w:bCs/>
              </w:rPr>
              <w:t>/mm</w:t>
            </w:r>
          </w:p>
        </w:tc>
        <w:tc>
          <w:tcPr>
            <w:tcW w:w="323" w:type="pct"/>
            <w:shd w:val="clear" w:color="auto" w:fill="auto"/>
            <w:noWrap/>
            <w:vAlign w:val="center"/>
          </w:tcPr>
          <w:p w14:paraId="510BF7F4" w14:textId="77777777" w:rsidR="00913C78" w:rsidRPr="00194A28" w:rsidRDefault="00913C78" w:rsidP="003D3C65">
            <w:pPr>
              <w:pStyle w:val="ae"/>
              <w:rPr>
                <w:b w:val="0"/>
                <w:bCs/>
              </w:rPr>
            </w:pPr>
          </w:p>
        </w:tc>
        <w:tc>
          <w:tcPr>
            <w:tcW w:w="303" w:type="pct"/>
            <w:shd w:val="clear" w:color="auto" w:fill="auto"/>
            <w:noWrap/>
            <w:vAlign w:val="center"/>
          </w:tcPr>
          <w:p w14:paraId="53342794" w14:textId="77777777" w:rsidR="00913C78" w:rsidRPr="00194A28" w:rsidRDefault="00913C78" w:rsidP="003D3C65">
            <w:pPr>
              <w:pStyle w:val="ae"/>
              <w:rPr>
                <w:b w:val="0"/>
                <w:bCs/>
              </w:rPr>
            </w:pPr>
          </w:p>
        </w:tc>
        <w:tc>
          <w:tcPr>
            <w:tcW w:w="269" w:type="pct"/>
            <w:gridSpan w:val="2"/>
            <w:shd w:val="clear" w:color="auto" w:fill="auto"/>
            <w:noWrap/>
            <w:vAlign w:val="center"/>
          </w:tcPr>
          <w:p w14:paraId="12DF2DBD" w14:textId="77777777" w:rsidR="00913C78" w:rsidRPr="00194A28" w:rsidRDefault="00913C78" w:rsidP="003D3C65">
            <w:pPr>
              <w:pStyle w:val="ae"/>
              <w:rPr>
                <w:b w:val="0"/>
                <w:bCs/>
              </w:rPr>
            </w:pPr>
          </w:p>
        </w:tc>
        <w:tc>
          <w:tcPr>
            <w:tcW w:w="315" w:type="pct"/>
            <w:gridSpan w:val="2"/>
            <w:shd w:val="clear" w:color="auto" w:fill="auto"/>
            <w:noWrap/>
            <w:vAlign w:val="center"/>
          </w:tcPr>
          <w:p w14:paraId="16EA5E64" w14:textId="77777777" w:rsidR="00913C78" w:rsidRPr="00194A28" w:rsidRDefault="00913C78" w:rsidP="003D3C65">
            <w:pPr>
              <w:pStyle w:val="ae"/>
              <w:rPr>
                <w:b w:val="0"/>
                <w:bCs/>
              </w:rPr>
            </w:pPr>
          </w:p>
        </w:tc>
        <w:tc>
          <w:tcPr>
            <w:tcW w:w="315" w:type="pct"/>
            <w:gridSpan w:val="2"/>
            <w:shd w:val="clear" w:color="auto" w:fill="auto"/>
            <w:noWrap/>
            <w:vAlign w:val="center"/>
          </w:tcPr>
          <w:p w14:paraId="3833D4AE" w14:textId="77777777" w:rsidR="00913C78" w:rsidRPr="00194A28" w:rsidRDefault="00913C78" w:rsidP="003D3C65">
            <w:pPr>
              <w:pStyle w:val="ae"/>
              <w:rPr>
                <w:b w:val="0"/>
                <w:bCs/>
              </w:rPr>
            </w:pPr>
          </w:p>
        </w:tc>
        <w:tc>
          <w:tcPr>
            <w:tcW w:w="315" w:type="pct"/>
            <w:gridSpan w:val="2"/>
            <w:shd w:val="clear" w:color="auto" w:fill="auto"/>
            <w:noWrap/>
            <w:vAlign w:val="center"/>
          </w:tcPr>
          <w:p w14:paraId="3772F373" w14:textId="77777777" w:rsidR="00913C78" w:rsidRPr="00194A28" w:rsidRDefault="00913C78" w:rsidP="003D3C65">
            <w:pPr>
              <w:pStyle w:val="ae"/>
              <w:rPr>
                <w:b w:val="0"/>
                <w:bCs/>
              </w:rPr>
            </w:pPr>
          </w:p>
        </w:tc>
        <w:tc>
          <w:tcPr>
            <w:tcW w:w="315" w:type="pct"/>
            <w:gridSpan w:val="2"/>
            <w:shd w:val="clear" w:color="auto" w:fill="auto"/>
            <w:noWrap/>
            <w:vAlign w:val="center"/>
          </w:tcPr>
          <w:p w14:paraId="4FF24D41" w14:textId="77777777" w:rsidR="00913C78" w:rsidRPr="00194A28" w:rsidRDefault="00913C78" w:rsidP="003D3C65">
            <w:pPr>
              <w:pStyle w:val="ae"/>
              <w:rPr>
                <w:b w:val="0"/>
                <w:bCs/>
              </w:rPr>
            </w:pPr>
          </w:p>
        </w:tc>
        <w:tc>
          <w:tcPr>
            <w:tcW w:w="315" w:type="pct"/>
            <w:gridSpan w:val="2"/>
            <w:shd w:val="clear" w:color="auto" w:fill="auto"/>
            <w:noWrap/>
            <w:vAlign w:val="center"/>
          </w:tcPr>
          <w:p w14:paraId="1D8AA596" w14:textId="77777777" w:rsidR="00913C78" w:rsidRPr="00194A28" w:rsidRDefault="00913C78" w:rsidP="003D3C65">
            <w:pPr>
              <w:pStyle w:val="ae"/>
              <w:rPr>
                <w:b w:val="0"/>
                <w:bCs/>
              </w:rPr>
            </w:pPr>
          </w:p>
        </w:tc>
        <w:tc>
          <w:tcPr>
            <w:tcW w:w="315" w:type="pct"/>
            <w:gridSpan w:val="2"/>
            <w:shd w:val="clear" w:color="auto" w:fill="auto"/>
            <w:noWrap/>
            <w:vAlign w:val="center"/>
          </w:tcPr>
          <w:p w14:paraId="6AFF1F57" w14:textId="77777777" w:rsidR="00913C78" w:rsidRPr="00194A28" w:rsidRDefault="00913C78" w:rsidP="003D3C65">
            <w:pPr>
              <w:pStyle w:val="ae"/>
              <w:rPr>
                <w:b w:val="0"/>
                <w:bCs/>
              </w:rPr>
            </w:pPr>
          </w:p>
        </w:tc>
        <w:tc>
          <w:tcPr>
            <w:tcW w:w="365" w:type="pct"/>
            <w:gridSpan w:val="2"/>
            <w:shd w:val="clear" w:color="auto" w:fill="auto"/>
            <w:noWrap/>
            <w:vAlign w:val="center"/>
          </w:tcPr>
          <w:p w14:paraId="5862411E" w14:textId="77777777" w:rsidR="00913C78" w:rsidRPr="00194A28" w:rsidRDefault="00913C78" w:rsidP="003D3C65">
            <w:pPr>
              <w:pStyle w:val="ae"/>
              <w:rPr>
                <w:b w:val="0"/>
                <w:bCs/>
              </w:rPr>
            </w:pPr>
          </w:p>
        </w:tc>
        <w:tc>
          <w:tcPr>
            <w:tcW w:w="365" w:type="pct"/>
            <w:gridSpan w:val="2"/>
            <w:shd w:val="clear" w:color="auto" w:fill="auto"/>
            <w:noWrap/>
            <w:vAlign w:val="center"/>
          </w:tcPr>
          <w:p w14:paraId="4C69071F" w14:textId="77777777" w:rsidR="00913C78" w:rsidRPr="00194A28" w:rsidRDefault="00913C78" w:rsidP="003D3C65">
            <w:pPr>
              <w:pStyle w:val="ae"/>
              <w:rPr>
                <w:b w:val="0"/>
                <w:bCs/>
              </w:rPr>
            </w:pPr>
          </w:p>
        </w:tc>
        <w:tc>
          <w:tcPr>
            <w:tcW w:w="364" w:type="pct"/>
            <w:gridSpan w:val="2"/>
            <w:shd w:val="clear" w:color="auto" w:fill="auto"/>
            <w:noWrap/>
            <w:vAlign w:val="center"/>
          </w:tcPr>
          <w:p w14:paraId="74430753" w14:textId="77777777" w:rsidR="00913C78" w:rsidRPr="00194A28" w:rsidRDefault="00913C78" w:rsidP="003D3C65">
            <w:pPr>
              <w:pStyle w:val="ae"/>
              <w:rPr>
                <w:b w:val="0"/>
                <w:bCs/>
              </w:rPr>
            </w:pPr>
          </w:p>
        </w:tc>
      </w:tr>
      <w:tr w:rsidR="00913C78" w:rsidRPr="00194A28" w14:paraId="253D2F96" w14:textId="77777777" w:rsidTr="003D3C65">
        <w:trPr>
          <w:jc w:val="center"/>
        </w:trPr>
        <w:tc>
          <w:tcPr>
            <w:tcW w:w="1121" w:type="pct"/>
            <w:shd w:val="clear" w:color="auto" w:fill="auto"/>
            <w:noWrap/>
            <w:vAlign w:val="center"/>
            <w:hideMark/>
          </w:tcPr>
          <w:p w14:paraId="38255F69" w14:textId="77777777" w:rsidR="00913C78" w:rsidRPr="00194A28" w:rsidRDefault="00913C78" w:rsidP="003D3C65">
            <w:pPr>
              <w:pStyle w:val="ae"/>
              <w:rPr>
                <w:b w:val="0"/>
                <w:bCs/>
              </w:rPr>
            </w:pPr>
            <w:r w:rsidRPr="00194A28">
              <w:rPr>
                <w:rFonts w:hint="eastAsia"/>
                <w:b w:val="0"/>
                <w:bCs/>
              </w:rPr>
              <w:t>屋面收集</w:t>
            </w:r>
            <w:r w:rsidRPr="00194A28">
              <w:rPr>
                <w:b w:val="0"/>
                <w:bCs/>
              </w:rPr>
              <w:t>/m</w:t>
            </w:r>
            <w:r w:rsidRPr="00F83296">
              <w:rPr>
                <w:b w:val="0"/>
                <w:bCs/>
                <w:vertAlign w:val="superscript"/>
              </w:rPr>
              <w:t>3</w:t>
            </w:r>
          </w:p>
        </w:tc>
        <w:tc>
          <w:tcPr>
            <w:tcW w:w="323" w:type="pct"/>
            <w:shd w:val="clear" w:color="auto" w:fill="auto"/>
            <w:noWrap/>
            <w:vAlign w:val="center"/>
          </w:tcPr>
          <w:p w14:paraId="0CCA067B" w14:textId="77777777" w:rsidR="00913C78" w:rsidRPr="00194A28" w:rsidRDefault="00913C78" w:rsidP="003D3C65">
            <w:pPr>
              <w:pStyle w:val="ae"/>
              <w:rPr>
                <w:b w:val="0"/>
                <w:bCs/>
              </w:rPr>
            </w:pPr>
          </w:p>
        </w:tc>
        <w:tc>
          <w:tcPr>
            <w:tcW w:w="303" w:type="pct"/>
            <w:shd w:val="clear" w:color="auto" w:fill="auto"/>
            <w:noWrap/>
            <w:vAlign w:val="center"/>
          </w:tcPr>
          <w:p w14:paraId="3D674D2A" w14:textId="77777777" w:rsidR="00913C78" w:rsidRPr="00194A28" w:rsidRDefault="00913C78" w:rsidP="003D3C65">
            <w:pPr>
              <w:pStyle w:val="ae"/>
              <w:rPr>
                <w:b w:val="0"/>
                <w:bCs/>
              </w:rPr>
            </w:pPr>
          </w:p>
        </w:tc>
        <w:tc>
          <w:tcPr>
            <w:tcW w:w="269" w:type="pct"/>
            <w:gridSpan w:val="2"/>
            <w:shd w:val="clear" w:color="auto" w:fill="auto"/>
            <w:noWrap/>
            <w:vAlign w:val="center"/>
          </w:tcPr>
          <w:p w14:paraId="3F080BBD" w14:textId="77777777" w:rsidR="00913C78" w:rsidRPr="00194A28" w:rsidRDefault="00913C78" w:rsidP="003D3C65">
            <w:pPr>
              <w:pStyle w:val="ae"/>
              <w:rPr>
                <w:b w:val="0"/>
                <w:bCs/>
              </w:rPr>
            </w:pPr>
          </w:p>
        </w:tc>
        <w:tc>
          <w:tcPr>
            <w:tcW w:w="315" w:type="pct"/>
            <w:gridSpan w:val="2"/>
            <w:shd w:val="clear" w:color="auto" w:fill="auto"/>
            <w:noWrap/>
            <w:vAlign w:val="center"/>
          </w:tcPr>
          <w:p w14:paraId="32B73671" w14:textId="77777777" w:rsidR="00913C78" w:rsidRPr="00194A28" w:rsidRDefault="00913C78" w:rsidP="003D3C65">
            <w:pPr>
              <w:pStyle w:val="ae"/>
              <w:rPr>
                <w:b w:val="0"/>
                <w:bCs/>
              </w:rPr>
            </w:pPr>
          </w:p>
        </w:tc>
        <w:tc>
          <w:tcPr>
            <w:tcW w:w="315" w:type="pct"/>
            <w:gridSpan w:val="2"/>
            <w:shd w:val="clear" w:color="auto" w:fill="auto"/>
            <w:noWrap/>
            <w:vAlign w:val="center"/>
          </w:tcPr>
          <w:p w14:paraId="39B04C4A" w14:textId="77777777" w:rsidR="00913C78" w:rsidRPr="00194A28" w:rsidRDefault="00913C78" w:rsidP="003D3C65">
            <w:pPr>
              <w:pStyle w:val="ae"/>
              <w:rPr>
                <w:b w:val="0"/>
                <w:bCs/>
              </w:rPr>
            </w:pPr>
          </w:p>
        </w:tc>
        <w:tc>
          <w:tcPr>
            <w:tcW w:w="315" w:type="pct"/>
            <w:gridSpan w:val="2"/>
            <w:shd w:val="clear" w:color="auto" w:fill="auto"/>
            <w:noWrap/>
            <w:vAlign w:val="center"/>
          </w:tcPr>
          <w:p w14:paraId="3B6B9869" w14:textId="77777777" w:rsidR="00913C78" w:rsidRPr="00194A28" w:rsidRDefault="00913C78" w:rsidP="003D3C65">
            <w:pPr>
              <w:pStyle w:val="ae"/>
              <w:rPr>
                <w:b w:val="0"/>
                <w:bCs/>
              </w:rPr>
            </w:pPr>
          </w:p>
        </w:tc>
        <w:tc>
          <w:tcPr>
            <w:tcW w:w="315" w:type="pct"/>
            <w:gridSpan w:val="2"/>
            <w:shd w:val="clear" w:color="auto" w:fill="auto"/>
            <w:noWrap/>
            <w:vAlign w:val="center"/>
          </w:tcPr>
          <w:p w14:paraId="29C2D2B5" w14:textId="77777777" w:rsidR="00913C78" w:rsidRPr="00194A28" w:rsidRDefault="00913C78" w:rsidP="003D3C65">
            <w:pPr>
              <w:pStyle w:val="ae"/>
              <w:rPr>
                <w:b w:val="0"/>
                <w:bCs/>
              </w:rPr>
            </w:pPr>
          </w:p>
        </w:tc>
        <w:tc>
          <w:tcPr>
            <w:tcW w:w="315" w:type="pct"/>
            <w:gridSpan w:val="2"/>
            <w:shd w:val="clear" w:color="auto" w:fill="auto"/>
            <w:noWrap/>
            <w:vAlign w:val="center"/>
          </w:tcPr>
          <w:p w14:paraId="321A2613" w14:textId="77777777" w:rsidR="00913C78" w:rsidRPr="00194A28" w:rsidRDefault="00913C78" w:rsidP="003D3C65">
            <w:pPr>
              <w:pStyle w:val="ae"/>
              <w:rPr>
                <w:b w:val="0"/>
                <w:bCs/>
              </w:rPr>
            </w:pPr>
          </w:p>
        </w:tc>
        <w:tc>
          <w:tcPr>
            <w:tcW w:w="315" w:type="pct"/>
            <w:gridSpan w:val="2"/>
            <w:shd w:val="clear" w:color="auto" w:fill="auto"/>
            <w:noWrap/>
            <w:vAlign w:val="center"/>
          </w:tcPr>
          <w:p w14:paraId="303362D9" w14:textId="77777777" w:rsidR="00913C78" w:rsidRPr="00194A28" w:rsidRDefault="00913C78" w:rsidP="003D3C65">
            <w:pPr>
              <w:pStyle w:val="ae"/>
              <w:rPr>
                <w:b w:val="0"/>
                <w:bCs/>
              </w:rPr>
            </w:pPr>
          </w:p>
        </w:tc>
        <w:tc>
          <w:tcPr>
            <w:tcW w:w="365" w:type="pct"/>
            <w:gridSpan w:val="2"/>
            <w:shd w:val="clear" w:color="auto" w:fill="auto"/>
            <w:noWrap/>
            <w:vAlign w:val="center"/>
          </w:tcPr>
          <w:p w14:paraId="3E63DE4C" w14:textId="77777777" w:rsidR="00913C78" w:rsidRPr="00194A28" w:rsidRDefault="00913C78" w:rsidP="003D3C65">
            <w:pPr>
              <w:pStyle w:val="ae"/>
              <w:rPr>
                <w:b w:val="0"/>
                <w:bCs/>
              </w:rPr>
            </w:pPr>
          </w:p>
        </w:tc>
        <w:tc>
          <w:tcPr>
            <w:tcW w:w="365" w:type="pct"/>
            <w:gridSpan w:val="2"/>
            <w:shd w:val="clear" w:color="auto" w:fill="auto"/>
            <w:noWrap/>
            <w:vAlign w:val="center"/>
          </w:tcPr>
          <w:p w14:paraId="1853DDAF" w14:textId="77777777" w:rsidR="00913C78" w:rsidRPr="00194A28" w:rsidRDefault="00913C78" w:rsidP="003D3C65">
            <w:pPr>
              <w:pStyle w:val="ae"/>
              <w:rPr>
                <w:b w:val="0"/>
                <w:bCs/>
              </w:rPr>
            </w:pPr>
          </w:p>
        </w:tc>
        <w:tc>
          <w:tcPr>
            <w:tcW w:w="364" w:type="pct"/>
            <w:gridSpan w:val="2"/>
            <w:shd w:val="clear" w:color="auto" w:fill="auto"/>
            <w:noWrap/>
            <w:vAlign w:val="center"/>
          </w:tcPr>
          <w:p w14:paraId="646C2E68" w14:textId="77777777" w:rsidR="00913C78" w:rsidRPr="00194A28" w:rsidRDefault="00913C78" w:rsidP="003D3C65">
            <w:pPr>
              <w:pStyle w:val="ae"/>
              <w:rPr>
                <w:b w:val="0"/>
                <w:bCs/>
              </w:rPr>
            </w:pPr>
          </w:p>
        </w:tc>
      </w:tr>
      <w:tr w:rsidR="00913C78" w:rsidRPr="00194A28" w14:paraId="6409183D" w14:textId="77777777" w:rsidTr="003D3C65">
        <w:trPr>
          <w:jc w:val="center"/>
        </w:trPr>
        <w:tc>
          <w:tcPr>
            <w:tcW w:w="1121" w:type="pct"/>
            <w:shd w:val="clear" w:color="auto" w:fill="auto"/>
            <w:noWrap/>
            <w:vAlign w:val="center"/>
            <w:hideMark/>
          </w:tcPr>
          <w:p w14:paraId="3757653C" w14:textId="77777777" w:rsidR="00913C78" w:rsidRPr="00194A28" w:rsidRDefault="00913C78" w:rsidP="003D3C65">
            <w:pPr>
              <w:pStyle w:val="ae"/>
              <w:rPr>
                <w:b w:val="0"/>
                <w:bCs/>
              </w:rPr>
            </w:pPr>
            <w:r w:rsidRPr="00194A28">
              <w:rPr>
                <w:rFonts w:hint="eastAsia"/>
                <w:b w:val="0"/>
                <w:bCs/>
              </w:rPr>
              <w:t>绿地收集</w:t>
            </w:r>
            <w:r w:rsidRPr="00194A28">
              <w:rPr>
                <w:b w:val="0"/>
                <w:bCs/>
              </w:rPr>
              <w:t>/m</w:t>
            </w:r>
            <w:r w:rsidRPr="00F83296">
              <w:rPr>
                <w:b w:val="0"/>
                <w:bCs/>
                <w:vertAlign w:val="superscript"/>
              </w:rPr>
              <w:t>3</w:t>
            </w:r>
          </w:p>
        </w:tc>
        <w:tc>
          <w:tcPr>
            <w:tcW w:w="323" w:type="pct"/>
            <w:shd w:val="clear" w:color="auto" w:fill="auto"/>
            <w:noWrap/>
            <w:vAlign w:val="center"/>
          </w:tcPr>
          <w:p w14:paraId="2ED37D2C" w14:textId="77777777" w:rsidR="00913C78" w:rsidRPr="00194A28" w:rsidRDefault="00913C78" w:rsidP="003D3C65">
            <w:pPr>
              <w:pStyle w:val="ae"/>
              <w:rPr>
                <w:b w:val="0"/>
                <w:bCs/>
              </w:rPr>
            </w:pPr>
          </w:p>
        </w:tc>
        <w:tc>
          <w:tcPr>
            <w:tcW w:w="303" w:type="pct"/>
            <w:shd w:val="clear" w:color="auto" w:fill="auto"/>
            <w:noWrap/>
            <w:vAlign w:val="center"/>
          </w:tcPr>
          <w:p w14:paraId="0275DAAD" w14:textId="77777777" w:rsidR="00913C78" w:rsidRPr="00194A28" w:rsidRDefault="00913C78" w:rsidP="003D3C65">
            <w:pPr>
              <w:pStyle w:val="ae"/>
              <w:rPr>
                <w:b w:val="0"/>
                <w:bCs/>
              </w:rPr>
            </w:pPr>
          </w:p>
        </w:tc>
        <w:tc>
          <w:tcPr>
            <w:tcW w:w="269" w:type="pct"/>
            <w:gridSpan w:val="2"/>
            <w:shd w:val="clear" w:color="auto" w:fill="auto"/>
            <w:noWrap/>
            <w:vAlign w:val="center"/>
          </w:tcPr>
          <w:p w14:paraId="7E52E294" w14:textId="77777777" w:rsidR="00913C78" w:rsidRPr="00194A28" w:rsidRDefault="00913C78" w:rsidP="003D3C65">
            <w:pPr>
              <w:pStyle w:val="ae"/>
              <w:rPr>
                <w:b w:val="0"/>
                <w:bCs/>
              </w:rPr>
            </w:pPr>
          </w:p>
        </w:tc>
        <w:tc>
          <w:tcPr>
            <w:tcW w:w="315" w:type="pct"/>
            <w:gridSpan w:val="2"/>
            <w:shd w:val="clear" w:color="auto" w:fill="auto"/>
            <w:noWrap/>
            <w:vAlign w:val="center"/>
          </w:tcPr>
          <w:p w14:paraId="4CCB4FC3" w14:textId="77777777" w:rsidR="00913C78" w:rsidRPr="00194A28" w:rsidRDefault="00913C78" w:rsidP="003D3C65">
            <w:pPr>
              <w:pStyle w:val="ae"/>
              <w:rPr>
                <w:b w:val="0"/>
                <w:bCs/>
              </w:rPr>
            </w:pPr>
          </w:p>
        </w:tc>
        <w:tc>
          <w:tcPr>
            <w:tcW w:w="315" w:type="pct"/>
            <w:gridSpan w:val="2"/>
            <w:shd w:val="clear" w:color="auto" w:fill="auto"/>
            <w:noWrap/>
            <w:vAlign w:val="center"/>
          </w:tcPr>
          <w:p w14:paraId="2EBFD052" w14:textId="77777777" w:rsidR="00913C78" w:rsidRPr="00194A28" w:rsidRDefault="00913C78" w:rsidP="003D3C65">
            <w:pPr>
              <w:pStyle w:val="ae"/>
              <w:rPr>
                <w:b w:val="0"/>
                <w:bCs/>
              </w:rPr>
            </w:pPr>
          </w:p>
        </w:tc>
        <w:tc>
          <w:tcPr>
            <w:tcW w:w="315" w:type="pct"/>
            <w:gridSpan w:val="2"/>
            <w:shd w:val="clear" w:color="auto" w:fill="auto"/>
            <w:noWrap/>
            <w:vAlign w:val="center"/>
          </w:tcPr>
          <w:p w14:paraId="0FA7A386" w14:textId="77777777" w:rsidR="00913C78" w:rsidRPr="00194A28" w:rsidRDefault="00913C78" w:rsidP="003D3C65">
            <w:pPr>
              <w:pStyle w:val="ae"/>
              <w:rPr>
                <w:b w:val="0"/>
                <w:bCs/>
              </w:rPr>
            </w:pPr>
          </w:p>
        </w:tc>
        <w:tc>
          <w:tcPr>
            <w:tcW w:w="315" w:type="pct"/>
            <w:gridSpan w:val="2"/>
            <w:shd w:val="clear" w:color="auto" w:fill="auto"/>
            <w:noWrap/>
            <w:vAlign w:val="center"/>
          </w:tcPr>
          <w:p w14:paraId="2D38F4F7" w14:textId="77777777" w:rsidR="00913C78" w:rsidRPr="00194A28" w:rsidRDefault="00913C78" w:rsidP="003D3C65">
            <w:pPr>
              <w:pStyle w:val="ae"/>
              <w:rPr>
                <w:b w:val="0"/>
                <w:bCs/>
              </w:rPr>
            </w:pPr>
          </w:p>
        </w:tc>
        <w:tc>
          <w:tcPr>
            <w:tcW w:w="315" w:type="pct"/>
            <w:gridSpan w:val="2"/>
            <w:shd w:val="clear" w:color="auto" w:fill="auto"/>
            <w:noWrap/>
            <w:vAlign w:val="center"/>
          </w:tcPr>
          <w:p w14:paraId="7D1A84CA" w14:textId="77777777" w:rsidR="00913C78" w:rsidRPr="00194A28" w:rsidRDefault="00913C78" w:rsidP="003D3C65">
            <w:pPr>
              <w:pStyle w:val="ae"/>
              <w:rPr>
                <w:b w:val="0"/>
                <w:bCs/>
              </w:rPr>
            </w:pPr>
          </w:p>
        </w:tc>
        <w:tc>
          <w:tcPr>
            <w:tcW w:w="315" w:type="pct"/>
            <w:gridSpan w:val="2"/>
            <w:shd w:val="clear" w:color="auto" w:fill="auto"/>
            <w:noWrap/>
            <w:vAlign w:val="center"/>
          </w:tcPr>
          <w:p w14:paraId="7D652A25" w14:textId="77777777" w:rsidR="00913C78" w:rsidRPr="00194A28" w:rsidRDefault="00913C78" w:rsidP="003D3C65">
            <w:pPr>
              <w:pStyle w:val="ae"/>
              <w:rPr>
                <w:b w:val="0"/>
                <w:bCs/>
              </w:rPr>
            </w:pPr>
          </w:p>
        </w:tc>
        <w:tc>
          <w:tcPr>
            <w:tcW w:w="365" w:type="pct"/>
            <w:gridSpan w:val="2"/>
            <w:shd w:val="clear" w:color="auto" w:fill="auto"/>
            <w:noWrap/>
            <w:vAlign w:val="center"/>
          </w:tcPr>
          <w:p w14:paraId="2D0EDBE2" w14:textId="77777777" w:rsidR="00913C78" w:rsidRPr="00194A28" w:rsidRDefault="00913C78" w:rsidP="003D3C65">
            <w:pPr>
              <w:pStyle w:val="ae"/>
              <w:rPr>
                <w:b w:val="0"/>
                <w:bCs/>
              </w:rPr>
            </w:pPr>
          </w:p>
        </w:tc>
        <w:tc>
          <w:tcPr>
            <w:tcW w:w="365" w:type="pct"/>
            <w:gridSpan w:val="2"/>
            <w:shd w:val="clear" w:color="auto" w:fill="auto"/>
            <w:noWrap/>
            <w:vAlign w:val="center"/>
          </w:tcPr>
          <w:p w14:paraId="2E162C1E" w14:textId="77777777" w:rsidR="00913C78" w:rsidRPr="00194A28" w:rsidRDefault="00913C78" w:rsidP="003D3C65">
            <w:pPr>
              <w:pStyle w:val="ae"/>
              <w:rPr>
                <w:b w:val="0"/>
                <w:bCs/>
              </w:rPr>
            </w:pPr>
          </w:p>
        </w:tc>
        <w:tc>
          <w:tcPr>
            <w:tcW w:w="364" w:type="pct"/>
            <w:gridSpan w:val="2"/>
            <w:shd w:val="clear" w:color="auto" w:fill="auto"/>
            <w:noWrap/>
            <w:vAlign w:val="center"/>
          </w:tcPr>
          <w:p w14:paraId="23A74B86" w14:textId="77777777" w:rsidR="00913C78" w:rsidRPr="00194A28" w:rsidRDefault="00913C78" w:rsidP="003D3C65">
            <w:pPr>
              <w:pStyle w:val="ae"/>
              <w:rPr>
                <w:b w:val="0"/>
                <w:bCs/>
              </w:rPr>
            </w:pPr>
          </w:p>
        </w:tc>
      </w:tr>
      <w:tr w:rsidR="00913C78" w:rsidRPr="00194A28" w14:paraId="20F65D85" w14:textId="77777777" w:rsidTr="003D3C65">
        <w:trPr>
          <w:jc w:val="center"/>
        </w:trPr>
        <w:tc>
          <w:tcPr>
            <w:tcW w:w="1121" w:type="pct"/>
            <w:shd w:val="clear" w:color="auto" w:fill="auto"/>
            <w:noWrap/>
            <w:vAlign w:val="center"/>
            <w:hideMark/>
          </w:tcPr>
          <w:p w14:paraId="4BF3BDB7" w14:textId="77777777" w:rsidR="00913C78" w:rsidRPr="00194A28" w:rsidRDefault="00913C78" w:rsidP="003D3C65">
            <w:pPr>
              <w:pStyle w:val="ae"/>
              <w:rPr>
                <w:b w:val="0"/>
                <w:bCs/>
              </w:rPr>
            </w:pPr>
            <w:r w:rsidRPr="00194A28">
              <w:rPr>
                <w:rFonts w:hint="eastAsia"/>
                <w:b w:val="0"/>
                <w:bCs/>
              </w:rPr>
              <w:t>月总收集</w:t>
            </w:r>
            <w:r w:rsidRPr="00194A28">
              <w:rPr>
                <w:b w:val="0"/>
                <w:bCs/>
              </w:rPr>
              <w:t>/m</w:t>
            </w:r>
            <w:r w:rsidRPr="00F83296">
              <w:rPr>
                <w:b w:val="0"/>
                <w:bCs/>
                <w:vertAlign w:val="superscript"/>
              </w:rPr>
              <w:t>3</w:t>
            </w:r>
          </w:p>
        </w:tc>
        <w:tc>
          <w:tcPr>
            <w:tcW w:w="323" w:type="pct"/>
            <w:shd w:val="clear" w:color="auto" w:fill="auto"/>
            <w:noWrap/>
            <w:vAlign w:val="center"/>
          </w:tcPr>
          <w:p w14:paraId="60C20259" w14:textId="77777777" w:rsidR="00913C78" w:rsidRPr="00194A28" w:rsidRDefault="00913C78" w:rsidP="003D3C65">
            <w:pPr>
              <w:pStyle w:val="ae"/>
              <w:rPr>
                <w:b w:val="0"/>
                <w:bCs/>
              </w:rPr>
            </w:pPr>
          </w:p>
        </w:tc>
        <w:tc>
          <w:tcPr>
            <w:tcW w:w="303" w:type="pct"/>
            <w:shd w:val="clear" w:color="auto" w:fill="auto"/>
            <w:noWrap/>
            <w:vAlign w:val="center"/>
          </w:tcPr>
          <w:p w14:paraId="0DE10D9E" w14:textId="77777777" w:rsidR="00913C78" w:rsidRPr="00194A28" w:rsidRDefault="00913C78" w:rsidP="003D3C65">
            <w:pPr>
              <w:pStyle w:val="ae"/>
              <w:rPr>
                <w:b w:val="0"/>
                <w:bCs/>
              </w:rPr>
            </w:pPr>
          </w:p>
        </w:tc>
        <w:tc>
          <w:tcPr>
            <w:tcW w:w="269" w:type="pct"/>
            <w:gridSpan w:val="2"/>
            <w:shd w:val="clear" w:color="auto" w:fill="auto"/>
            <w:noWrap/>
            <w:vAlign w:val="center"/>
          </w:tcPr>
          <w:p w14:paraId="0DD40E7D" w14:textId="77777777" w:rsidR="00913C78" w:rsidRPr="00194A28" w:rsidRDefault="00913C78" w:rsidP="003D3C65">
            <w:pPr>
              <w:pStyle w:val="ae"/>
              <w:rPr>
                <w:b w:val="0"/>
                <w:bCs/>
              </w:rPr>
            </w:pPr>
          </w:p>
        </w:tc>
        <w:tc>
          <w:tcPr>
            <w:tcW w:w="315" w:type="pct"/>
            <w:gridSpan w:val="2"/>
            <w:shd w:val="clear" w:color="auto" w:fill="auto"/>
            <w:noWrap/>
            <w:vAlign w:val="center"/>
          </w:tcPr>
          <w:p w14:paraId="1B3C8BB5" w14:textId="77777777" w:rsidR="00913C78" w:rsidRPr="00194A28" w:rsidRDefault="00913C78" w:rsidP="003D3C65">
            <w:pPr>
              <w:pStyle w:val="ae"/>
              <w:rPr>
                <w:b w:val="0"/>
                <w:bCs/>
              </w:rPr>
            </w:pPr>
          </w:p>
        </w:tc>
        <w:tc>
          <w:tcPr>
            <w:tcW w:w="315" w:type="pct"/>
            <w:gridSpan w:val="2"/>
            <w:shd w:val="clear" w:color="auto" w:fill="auto"/>
            <w:noWrap/>
            <w:vAlign w:val="center"/>
          </w:tcPr>
          <w:p w14:paraId="7CC85E5D" w14:textId="77777777" w:rsidR="00913C78" w:rsidRPr="00194A28" w:rsidRDefault="00913C78" w:rsidP="003D3C65">
            <w:pPr>
              <w:pStyle w:val="ae"/>
              <w:rPr>
                <w:b w:val="0"/>
                <w:bCs/>
              </w:rPr>
            </w:pPr>
          </w:p>
        </w:tc>
        <w:tc>
          <w:tcPr>
            <w:tcW w:w="315" w:type="pct"/>
            <w:gridSpan w:val="2"/>
            <w:shd w:val="clear" w:color="auto" w:fill="auto"/>
            <w:noWrap/>
            <w:vAlign w:val="center"/>
          </w:tcPr>
          <w:p w14:paraId="2DD91E28" w14:textId="77777777" w:rsidR="00913C78" w:rsidRPr="00194A28" w:rsidRDefault="00913C78" w:rsidP="003D3C65">
            <w:pPr>
              <w:pStyle w:val="ae"/>
              <w:rPr>
                <w:b w:val="0"/>
                <w:bCs/>
              </w:rPr>
            </w:pPr>
          </w:p>
        </w:tc>
        <w:tc>
          <w:tcPr>
            <w:tcW w:w="315" w:type="pct"/>
            <w:gridSpan w:val="2"/>
            <w:shd w:val="clear" w:color="auto" w:fill="auto"/>
            <w:noWrap/>
            <w:vAlign w:val="center"/>
          </w:tcPr>
          <w:p w14:paraId="7D66AE7B" w14:textId="77777777" w:rsidR="00913C78" w:rsidRPr="00194A28" w:rsidRDefault="00913C78" w:rsidP="003D3C65">
            <w:pPr>
              <w:pStyle w:val="ae"/>
              <w:rPr>
                <w:b w:val="0"/>
                <w:bCs/>
              </w:rPr>
            </w:pPr>
          </w:p>
        </w:tc>
        <w:tc>
          <w:tcPr>
            <w:tcW w:w="315" w:type="pct"/>
            <w:gridSpan w:val="2"/>
            <w:shd w:val="clear" w:color="auto" w:fill="auto"/>
            <w:noWrap/>
            <w:vAlign w:val="center"/>
          </w:tcPr>
          <w:p w14:paraId="6740AF99" w14:textId="77777777" w:rsidR="00913C78" w:rsidRPr="00194A28" w:rsidRDefault="00913C78" w:rsidP="003D3C65">
            <w:pPr>
              <w:pStyle w:val="ae"/>
              <w:rPr>
                <w:b w:val="0"/>
                <w:bCs/>
              </w:rPr>
            </w:pPr>
          </w:p>
        </w:tc>
        <w:tc>
          <w:tcPr>
            <w:tcW w:w="315" w:type="pct"/>
            <w:gridSpan w:val="2"/>
            <w:shd w:val="clear" w:color="auto" w:fill="auto"/>
            <w:noWrap/>
            <w:vAlign w:val="center"/>
          </w:tcPr>
          <w:p w14:paraId="379D77CB" w14:textId="77777777" w:rsidR="00913C78" w:rsidRPr="00194A28" w:rsidRDefault="00913C78" w:rsidP="003D3C65">
            <w:pPr>
              <w:pStyle w:val="ae"/>
              <w:rPr>
                <w:b w:val="0"/>
                <w:bCs/>
              </w:rPr>
            </w:pPr>
          </w:p>
        </w:tc>
        <w:tc>
          <w:tcPr>
            <w:tcW w:w="365" w:type="pct"/>
            <w:gridSpan w:val="2"/>
            <w:shd w:val="clear" w:color="auto" w:fill="auto"/>
            <w:noWrap/>
            <w:vAlign w:val="center"/>
          </w:tcPr>
          <w:p w14:paraId="2F098036" w14:textId="77777777" w:rsidR="00913C78" w:rsidRPr="00194A28" w:rsidRDefault="00913C78" w:rsidP="003D3C65">
            <w:pPr>
              <w:pStyle w:val="ae"/>
              <w:rPr>
                <w:b w:val="0"/>
                <w:bCs/>
              </w:rPr>
            </w:pPr>
          </w:p>
        </w:tc>
        <w:tc>
          <w:tcPr>
            <w:tcW w:w="365" w:type="pct"/>
            <w:gridSpan w:val="2"/>
            <w:shd w:val="clear" w:color="auto" w:fill="auto"/>
            <w:noWrap/>
            <w:vAlign w:val="center"/>
          </w:tcPr>
          <w:p w14:paraId="1A886CD0" w14:textId="77777777" w:rsidR="00913C78" w:rsidRPr="00194A28" w:rsidRDefault="00913C78" w:rsidP="003D3C65">
            <w:pPr>
              <w:pStyle w:val="ae"/>
              <w:rPr>
                <w:b w:val="0"/>
                <w:bCs/>
              </w:rPr>
            </w:pPr>
          </w:p>
        </w:tc>
        <w:tc>
          <w:tcPr>
            <w:tcW w:w="364" w:type="pct"/>
            <w:gridSpan w:val="2"/>
            <w:shd w:val="clear" w:color="auto" w:fill="auto"/>
            <w:noWrap/>
            <w:vAlign w:val="center"/>
          </w:tcPr>
          <w:p w14:paraId="7EC32F31" w14:textId="77777777" w:rsidR="00913C78" w:rsidRPr="00194A28" w:rsidRDefault="00913C78" w:rsidP="003D3C65">
            <w:pPr>
              <w:pStyle w:val="ae"/>
              <w:rPr>
                <w:b w:val="0"/>
                <w:bCs/>
              </w:rPr>
            </w:pPr>
          </w:p>
        </w:tc>
      </w:tr>
      <w:tr w:rsidR="00913C78" w:rsidRPr="00194A28" w14:paraId="59072003" w14:textId="77777777" w:rsidTr="003D3C65">
        <w:trPr>
          <w:jc w:val="center"/>
        </w:trPr>
        <w:tc>
          <w:tcPr>
            <w:tcW w:w="1121" w:type="pct"/>
            <w:shd w:val="clear" w:color="auto" w:fill="auto"/>
            <w:noWrap/>
            <w:vAlign w:val="center"/>
            <w:hideMark/>
          </w:tcPr>
          <w:p w14:paraId="266E6E64" w14:textId="77777777" w:rsidR="00913C78" w:rsidRPr="00194A28" w:rsidRDefault="00913C78" w:rsidP="003D3C65">
            <w:pPr>
              <w:pStyle w:val="ae"/>
              <w:rPr>
                <w:b w:val="0"/>
                <w:bCs/>
              </w:rPr>
            </w:pPr>
            <w:r w:rsidRPr="00194A28">
              <w:rPr>
                <w:rFonts w:hint="eastAsia"/>
                <w:b w:val="0"/>
                <w:bCs/>
              </w:rPr>
              <w:t>雨水年总收集</w:t>
            </w:r>
            <w:r w:rsidRPr="00194A28">
              <w:rPr>
                <w:b w:val="0"/>
                <w:bCs/>
              </w:rPr>
              <w:t>/m</w:t>
            </w:r>
            <w:r w:rsidRPr="00F83296">
              <w:rPr>
                <w:b w:val="0"/>
                <w:bCs/>
                <w:vertAlign w:val="superscript"/>
              </w:rPr>
              <w:t>3</w:t>
            </w:r>
          </w:p>
        </w:tc>
        <w:tc>
          <w:tcPr>
            <w:tcW w:w="3879" w:type="pct"/>
            <w:gridSpan w:val="22"/>
            <w:shd w:val="clear" w:color="auto" w:fill="auto"/>
            <w:noWrap/>
            <w:vAlign w:val="center"/>
          </w:tcPr>
          <w:p w14:paraId="758DB935" w14:textId="77777777" w:rsidR="00913C78" w:rsidRPr="00194A28" w:rsidRDefault="00913C78" w:rsidP="003D3C65">
            <w:pPr>
              <w:pStyle w:val="ae"/>
              <w:rPr>
                <w:b w:val="0"/>
                <w:bCs/>
              </w:rPr>
            </w:pPr>
          </w:p>
        </w:tc>
      </w:tr>
      <w:tr w:rsidR="003D3C65" w:rsidRPr="00194A28" w14:paraId="243D9FB2" w14:textId="77777777" w:rsidTr="003D3C65">
        <w:trPr>
          <w:jc w:val="center"/>
        </w:trPr>
        <w:tc>
          <w:tcPr>
            <w:tcW w:w="1121" w:type="pct"/>
            <w:shd w:val="clear" w:color="auto" w:fill="auto"/>
            <w:noWrap/>
            <w:vAlign w:val="center"/>
          </w:tcPr>
          <w:p w14:paraId="2CA7CA77" w14:textId="4CD740E9" w:rsidR="003D3C65" w:rsidRPr="00194A28" w:rsidRDefault="003D3C65" w:rsidP="003D3C65">
            <w:pPr>
              <w:pStyle w:val="ae"/>
              <w:rPr>
                <w:b w:val="0"/>
                <w:bCs/>
              </w:rPr>
            </w:pPr>
            <w:r w:rsidRPr="00194A28">
              <w:rPr>
                <w:rFonts w:hint="eastAsia"/>
                <w:b w:val="0"/>
                <w:bCs/>
              </w:rPr>
              <w:t>办公盥洗</w:t>
            </w:r>
            <w:r w:rsidRPr="00194A28">
              <w:rPr>
                <w:b w:val="0"/>
                <w:bCs/>
              </w:rPr>
              <w:t>/m</w:t>
            </w:r>
            <w:r w:rsidRPr="00F83296">
              <w:rPr>
                <w:b w:val="0"/>
                <w:bCs/>
                <w:vertAlign w:val="superscript"/>
              </w:rPr>
              <w:t>3</w:t>
            </w:r>
          </w:p>
        </w:tc>
        <w:tc>
          <w:tcPr>
            <w:tcW w:w="323" w:type="pct"/>
            <w:shd w:val="clear" w:color="auto" w:fill="auto"/>
            <w:noWrap/>
            <w:vAlign w:val="center"/>
          </w:tcPr>
          <w:p w14:paraId="663A3F0F" w14:textId="77777777" w:rsidR="003D3C65" w:rsidRPr="00194A28" w:rsidRDefault="003D3C65" w:rsidP="003D3C65">
            <w:pPr>
              <w:pStyle w:val="ae"/>
              <w:rPr>
                <w:b w:val="0"/>
                <w:bCs/>
              </w:rPr>
            </w:pPr>
          </w:p>
        </w:tc>
        <w:tc>
          <w:tcPr>
            <w:tcW w:w="323" w:type="pct"/>
            <w:gridSpan w:val="2"/>
            <w:shd w:val="clear" w:color="auto" w:fill="auto"/>
            <w:vAlign w:val="center"/>
          </w:tcPr>
          <w:p w14:paraId="63920966" w14:textId="77777777" w:rsidR="003D3C65" w:rsidRPr="00194A28" w:rsidRDefault="003D3C65" w:rsidP="003D3C65">
            <w:pPr>
              <w:pStyle w:val="ae"/>
              <w:rPr>
                <w:b w:val="0"/>
                <w:bCs/>
              </w:rPr>
            </w:pPr>
          </w:p>
        </w:tc>
        <w:tc>
          <w:tcPr>
            <w:tcW w:w="324" w:type="pct"/>
            <w:gridSpan w:val="2"/>
            <w:shd w:val="clear" w:color="auto" w:fill="auto"/>
            <w:vAlign w:val="center"/>
          </w:tcPr>
          <w:p w14:paraId="747F7DEB" w14:textId="77777777" w:rsidR="003D3C65" w:rsidRPr="00194A28" w:rsidRDefault="003D3C65" w:rsidP="003D3C65">
            <w:pPr>
              <w:pStyle w:val="ae"/>
              <w:rPr>
                <w:b w:val="0"/>
                <w:bCs/>
              </w:rPr>
            </w:pPr>
          </w:p>
        </w:tc>
        <w:tc>
          <w:tcPr>
            <w:tcW w:w="323" w:type="pct"/>
            <w:gridSpan w:val="2"/>
            <w:shd w:val="clear" w:color="auto" w:fill="auto"/>
            <w:vAlign w:val="center"/>
          </w:tcPr>
          <w:p w14:paraId="5A0EA7D7" w14:textId="77777777" w:rsidR="003D3C65" w:rsidRPr="00194A28" w:rsidRDefault="003D3C65" w:rsidP="003D3C65">
            <w:pPr>
              <w:pStyle w:val="ae"/>
              <w:rPr>
                <w:b w:val="0"/>
                <w:bCs/>
              </w:rPr>
            </w:pPr>
          </w:p>
        </w:tc>
        <w:tc>
          <w:tcPr>
            <w:tcW w:w="324" w:type="pct"/>
            <w:gridSpan w:val="2"/>
            <w:shd w:val="clear" w:color="auto" w:fill="auto"/>
            <w:vAlign w:val="center"/>
          </w:tcPr>
          <w:p w14:paraId="7F49CC87" w14:textId="77777777" w:rsidR="003D3C65" w:rsidRPr="00194A28" w:rsidRDefault="003D3C65" w:rsidP="003D3C65">
            <w:pPr>
              <w:pStyle w:val="ae"/>
              <w:rPr>
                <w:b w:val="0"/>
                <w:bCs/>
              </w:rPr>
            </w:pPr>
          </w:p>
        </w:tc>
        <w:tc>
          <w:tcPr>
            <w:tcW w:w="323" w:type="pct"/>
            <w:gridSpan w:val="2"/>
            <w:shd w:val="clear" w:color="auto" w:fill="auto"/>
            <w:vAlign w:val="center"/>
          </w:tcPr>
          <w:p w14:paraId="4D3846B0" w14:textId="77777777" w:rsidR="003D3C65" w:rsidRPr="00194A28" w:rsidRDefault="003D3C65" w:rsidP="003D3C65">
            <w:pPr>
              <w:pStyle w:val="ae"/>
              <w:rPr>
                <w:b w:val="0"/>
                <w:bCs/>
              </w:rPr>
            </w:pPr>
          </w:p>
        </w:tc>
        <w:tc>
          <w:tcPr>
            <w:tcW w:w="323" w:type="pct"/>
            <w:gridSpan w:val="2"/>
            <w:shd w:val="clear" w:color="auto" w:fill="auto"/>
            <w:vAlign w:val="center"/>
          </w:tcPr>
          <w:p w14:paraId="02FC9A4B" w14:textId="77777777" w:rsidR="003D3C65" w:rsidRPr="00194A28" w:rsidRDefault="003D3C65" w:rsidP="003D3C65">
            <w:pPr>
              <w:pStyle w:val="ae"/>
              <w:rPr>
                <w:b w:val="0"/>
                <w:bCs/>
              </w:rPr>
            </w:pPr>
          </w:p>
        </w:tc>
        <w:tc>
          <w:tcPr>
            <w:tcW w:w="324" w:type="pct"/>
            <w:gridSpan w:val="2"/>
            <w:shd w:val="clear" w:color="auto" w:fill="auto"/>
            <w:vAlign w:val="center"/>
          </w:tcPr>
          <w:p w14:paraId="2FB7E63F" w14:textId="77777777" w:rsidR="003D3C65" w:rsidRPr="00194A28" w:rsidRDefault="003D3C65" w:rsidP="003D3C65">
            <w:pPr>
              <w:pStyle w:val="ae"/>
              <w:rPr>
                <w:b w:val="0"/>
                <w:bCs/>
              </w:rPr>
            </w:pPr>
          </w:p>
        </w:tc>
        <w:tc>
          <w:tcPr>
            <w:tcW w:w="323" w:type="pct"/>
            <w:gridSpan w:val="2"/>
            <w:shd w:val="clear" w:color="auto" w:fill="auto"/>
            <w:vAlign w:val="center"/>
          </w:tcPr>
          <w:p w14:paraId="3D08BECE" w14:textId="77777777" w:rsidR="003D3C65" w:rsidRPr="00194A28" w:rsidRDefault="003D3C65" w:rsidP="003D3C65">
            <w:pPr>
              <w:pStyle w:val="ae"/>
              <w:rPr>
                <w:b w:val="0"/>
                <w:bCs/>
              </w:rPr>
            </w:pPr>
          </w:p>
        </w:tc>
        <w:tc>
          <w:tcPr>
            <w:tcW w:w="324" w:type="pct"/>
            <w:gridSpan w:val="2"/>
            <w:shd w:val="clear" w:color="auto" w:fill="auto"/>
            <w:vAlign w:val="center"/>
          </w:tcPr>
          <w:p w14:paraId="138CACFF" w14:textId="77777777" w:rsidR="003D3C65" w:rsidRPr="00194A28" w:rsidRDefault="003D3C65" w:rsidP="003D3C65">
            <w:pPr>
              <w:pStyle w:val="ae"/>
              <w:rPr>
                <w:b w:val="0"/>
                <w:bCs/>
              </w:rPr>
            </w:pPr>
          </w:p>
        </w:tc>
        <w:tc>
          <w:tcPr>
            <w:tcW w:w="323" w:type="pct"/>
            <w:gridSpan w:val="2"/>
            <w:shd w:val="clear" w:color="auto" w:fill="auto"/>
            <w:vAlign w:val="center"/>
          </w:tcPr>
          <w:p w14:paraId="16D5630B" w14:textId="77777777" w:rsidR="003D3C65" w:rsidRPr="00194A28" w:rsidRDefault="003D3C65" w:rsidP="003D3C65">
            <w:pPr>
              <w:pStyle w:val="ae"/>
              <w:rPr>
                <w:b w:val="0"/>
                <w:bCs/>
              </w:rPr>
            </w:pPr>
          </w:p>
        </w:tc>
        <w:tc>
          <w:tcPr>
            <w:tcW w:w="322" w:type="pct"/>
            <w:shd w:val="clear" w:color="auto" w:fill="auto"/>
            <w:vAlign w:val="center"/>
          </w:tcPr>
          <w:p w14:paraId="3C0EF0EE" w14:textId="43927FB6" w:rsidR="003D3C65" w:rsidRPr="00194A28" w:rsidRDefault="003D3C65" w:rsidP="003D3C65">
            <w:pPr>
              <w:pStyle w:val="ae"/>
              <w:rPr>
                <w:b w:val="0"/>
                <w:bCs/>
              </w:rPr>
            </w:pPr>
          </w:p>
        </w:tc>
      </w:tr>
      <w:tr w:rsidR="003D3C65" w:rsidRPr="00194A28" w14:paraId="6221ADB7" w14:textId="77777777" w:rsidTr="003D3C65">
        <w:trPr>
          <w:jc w:val="center"/>
        </w:trPr>
        <w:tc>
          <w:tcPr>
            <w:tcW w:w="1121" w:type="pct"/>
            <w:shd w:val="clear" w:color="auto" w:fill="auto"/>
            <w:noWrap/>
            <w:vAlign w:val="center"/>
          </w:tcPr>
          <w:p w14:paraId="12B21B10" w14:textId="41122983" w:rsidR="003D3C65" w:rsidRPr="00194A28" w:rsidRDefault="003D3C65" w:rsidP="003D3C65">
            <w:pPr>
              <w:pStyle w:val="ae"/>
              <w:rPr>
                <w:b w:val="0"/>
                <w:bCs/>
              </w:rPr>
            </w:pPr>
            <w:r w:rsidRPr="00194A28">
              <w:rPr>
                <w:rFonts w:hint="eastAsia"/>
                <w:b w:val="0"/>
                <w:bCs/>
              </w:rPr>
              <w:t>直饮水</w:t>
            </w:r>
            <w:r w:rsidRPr="00194A28">
              <w:rPr>
                <w:b w:val="0"/>
                <w:bCs/>
              </w:rPr>
              <w:t>/m</w:t>
            </w:r>
            <w:r w:rsidRPr="00F83296">
              <w:rPr>
                <w:b w:val="0"/>
                <w:bCs/>
                <w:vertAlign w:val="superscript"/>
              </w:rPr>
              <w:t>3</w:t>
            </w:r>
          </w:p>
        </w:tc>
        <w:tc>
          <w:tcPr>
            <w:tcW w:w="323" w:type="pct"/>
            <w:shd w:val="clear" w:color="auto" w:fill="auto"/>
            <w:noWrap/>
            <w:vAlign w:val="center"/>
          </w:tcPr>
          <w:p w14:paraId="55C4EECE" w14:textId="77777777" w:rsidR="003D3C65" w:rsidRPr="00194A28" w:rsidRDefault="003D3C65" w:rsidP="003D3C65">
            <w:pPr>
              <w:pStyle w:val="ae"/>
              <w:rPr>
                <w:b w:val="0"/>
                <w:bCs/>
              </w:rPr>
            </w:pPr>
          </w:p>
        </w:tc>
        <w:tc>
          <w:tcPr>
            <w:tcW w:w="323" w:type="pct"/>
            <w:gridSpan w:val="2"/>
            <w:shd w:val="clear" w:color="auto" w:fill="auto"/>
            <w:vAlign w:val="center"/>
          </w:tcPr>
          <w:p w14:paraId="7F0A454D" w14:textId="77777777" w:rsidR="003D3C65" w:rsidRPr="00194A28" w:rsidRDefault="003D3C65" w:rsidP="003D3C65">
            <w:pPr>
              <w:pStyle w:val="ae"/>
              <w:rPr>
                <w:b w:val="0"/>
                <w:bCs/>
              </w:rPr>
            </w:pPr>
          </w:p>
        </w:tc>
        <w:tc>
          <w:tcPr>
            <w:tcW w:w="324" w:type="pct"/>
            <w:gridSpan w:val="2"/>
            <w:shd w:val="clear" w:color="auto" w:fill="auto"/>
            <w:vAlign w:val="center"/>
          </w:tcPr>
          <w:p w14:paraId="48118D77" w14:textId="77777777" w:rsidR="003D3C65" w:rsidRPr="00194A28" w:rsidRDefault="003D3C65" w:rsidP="003D3C65">
            <w:pPr>
              <w:pStyle w:val="ae"/>
              <w:rPr>
                <w:b w:val="0"/>
                <w:bCs/>
              </w:rPr>
            </w:pPr>
          </w:p>
        </w:tc>
        <w:tc>
          <w:tcPr>
            <w:tcW w:w="323" w:type="pct"/>
            <w:gridSpan w:val="2"/>
            <w:shd w:val="clear" w:color="auto" w:fill="auto"/>
            <w:vAlign w:val="center"/>
          </w:tcPr>
          <w:p w14:paraId="646CD6AF" w14:textId="77777777" w:rsidR="003D3C65" w:rsidRPr="00194A28" w:rsidRDefault="003D3C65" w:rsidP="003D3C65">
            <w:pPr>
              <w:pStyle w:val="ae"/>
              <w:rPr>
                <w:b w:val="0"/>
                <w:bCs/>
              </w:rPr>
            </w:pPr>
          </w:p>
        </w:tc>
        <w:tc>
          <w:tcPr>
            <w:tcW w:w="324" w:type="pct"/>
            <w:gridSpan w:val="2"/>
            <w:shd w:val="clear" w:color="auto" w:fill="auto"/>
            <w:vAlign w:val="center"/>
          </w:tcPr>
          <w:p w14:paraId="3E74EA37" w14:textId="77777777" w:rsidR="003D3C65" w:rsidRPr="00194A28" w:rsidRDefault="003D3C65" w:rsidP="003D3C65">
            <w:pPr>
              <w:pStyle w:val="ae"/>
              <w:rPr>
                <w:b w:val="0"/>
                <w:bCs/>
              </w:rPr>
            </w:pPr>
          </w:p>
        </w:tc>
        <w:tc>
          <w:tcPr>
            <w:tcW w:w="323" w:type="pct"/>
            <w:gridSpan w:val="2"/>
            <w:shd w:val="clear" w:color="auto" w:fill="auto"/>
            <w:vAlign w:val="center"/>
          </w:tcPr>
          <w:p w14:paraId="264A1660" w14:textId="77777777" w:rsidR="003D3C65" w:rsidRPr="00194A28" w:rsidRDefault="003D3C65" w:rsidP="003D3C65">
            <w:pPr>
              <w:pStyle w:val="ae"/>
              <w:rPr>
                <w:b w:val="0"/>
                <w:bCs/>
              </w:rPr>
            </w:pPr>
          </w:p>
        </w:tc>
        <w:tc>
          <w:tcPr>
            <w:tcW w:w="323" w:type="pct"/>
            <w:gridSpan w:val="2"/>
            <w:shd w:val="clear" w:color="auto" w:fill="auto"/>
            <w:vAlign w:val="center"/>
          </w:tcPr>
          <w:p w14:paraId="034924EA" w14:textId="77777777" w:rsidR="003D3C65" w:rsidRPr="00194A28" w:rsidRDefault="003D3C65" w:rsidP="003D3C65">
            <w:pPr>
              <w:pStyle w:val="ae"/>
              <w:rPr>
                <w:b w:val="0"/>
                <w:bCs/>
              </w:rPr>
            </w:pPr>
          </w:p>
        </w:tc>
        <w:tc>
          <w:tcPr>
            <w:tcW w:w="324" w:type="pct"/>
            <w:gridSpan w:val="2"/>
            <w:shd w:val="clear" w:color="auto" w:fill="auto"/>
            <w:vAlign w:val="center"/>
          </w:tcPr>
          <w:p w14:paraId="2819D5CA" w14:textId="77777777" w:rsidR="003D3C65" w:rsidRPr="00194A28" w:rsidRDefault="003D3C65" w:rsidP="003D3C65">
            <w:pPr>
              <w:pStyle w:val="ae"/>
              <w:rPr>
                <w:b w:val="0"/>
                <w:bCs/>
              </w:rPr>
            </w:pPr>
          </w:p>
        </w:tc>
        <w:tc>
          <w:tcPr>
            <w:tcW w:w="323" w:type="pct"/>
            <w:gridSpan w:val="2"/>
            <w:shd w:val="clear" w:color="auto" w:fill="auto"/>
            <w:vAlign w:val="center"/>
          </w:tcPr>
          <w:p w14:paraId="022B6362" w14:textId="77777777" w:rsidR="003D3C65" w:rsidRPr="00194A28" w:rsidRDefault="003D3C65" w:rsidP="003D3C65">
            <w:pPr>
              <w:pStyle w:val="ae"/>
              <w:rPr>
                <w:b w:val="0"/>
                <w:bCs/>
              </w:rPr>
            </w:pPr>
          </w:p>
        </w:tc>
        <w:tc>
          <w:tcPr>
            <w:tcW w:w="324" w:type="pct"/>
            <w:gridSpan w:val="2"/>
            <w:shd w:val="clear" w:color="auto" w:fill="auto"/>
            <w:vAlign w:val="center"/>
          </w:tcPr>
          <w:p w14:paraId="5590452C" w14:textId="77777777" w:rsidR="003D3C65" w:rsidRPr="00194A28" w:rsidRDefault="003D3C65" w:rsidP="003D3C65">
            <w:pPr>
              <w:pStyle w:val="ae"/>
              <w:rPr>
                <w:b w:val="0"/>
                <w:bCs/>
              </w:rPr>
            </w:pPr>
          </w:p>
        </w:tc>
        <w:tc>
          <w:tcPr>
            <w:tcW w:w="323" w:type="pct"/>
            <w:gridSpan w:val="2"/>
            <w:shd w:val="clear" w:color="auto" w:fill="auto"/>
            <w:vAlign w:val="center"/>
          </w:tcPr>
          <w:p w14:paraId="1ABA8706" w14:textId="77777777" w:rsidR="003D3C65" w:rsidRPr="00194A28" w:rsidRDefault="003D3C65" w:rsidP="003D3C65">
            <w:pPr>
              <w:pStyle w:val="ae"/>
              <w:rPr>
                <w:b w:val="0"/>
                <w:bCs/>
              </w:rPr>
            </w:pPr>
          </w:p>
        </w:tc>
        <w:tc>
          <w:tcPr>
            <w:tcW w:w="322" w:type="pct"/>
            <w:shd w:val="clear" w:color="auto" w:fill="auto"/>
            <w:vAlign w:val="center"/>
          </w:tcPr>
          <w:p w14:paraId="00DABA17" w14:textId="77777777" w:rsidR="003D3C65" w:rsidRPr="00194A28" w:rsidRDefault="003D3C65" w:rsidP="003D3C65">
            <w:pPr>
              <w:pStyle w:val="ae"/>
              <w:rPr>
                <w:b w:val="0"/>
                <w:bCs/>
              </w:rPr>
            </w:pPr>
          </w:p>
        </w:tc>
      </w:tr>
      <w:tr w:rsidR="003D3C65" w:rsidRPr="00194A28" w14:paraId="053C11DB" w14:textId="77777777" w:rsidTr="003D3C65">
        <w:trPr>
          <w:jc w:val="center"/>
        </w:trPr>
        <w:tc>
          <w:tcPr>
            <w:tcW w:w="1121" w:type="pct"/>
            <w:shd w:val="clear" w:color="auto" w:fill="auto"/>
            <w:noWrap/>
            <w:vAlign w:val="center"/>
          </w:tcPr>
          <w:p w14:paraId="57960569" w14:textId="6C85A658" w:rsidR="003D3C65" w:rsidRPr="00194A28" w:rsidRDefault="003D3C65" w:rsidP="003D3C65">
            <w:pPr>
              <w:pStyle w:val="ae"/>
              <w:rPr>
                <w:b w:val="0"/>
                <w:bCs/>
              </w:rPr>
            </w:pPr>
            <w:r w:rsidRPr="00194A28">
              <w:rPr>
                <w:rFonts w:hint="eastAsia"/>
                <w:b w:val="0"/>
                <w:bCs/>
              </w:rPr>
              <w:t>冷凝水</w:t>
            </w:r>
            <w:r w:rsidRPr="00194A28">
              <w:rPr>
                <w:b w:val="0"/>
                <w:bCs/>
              </w:rPr>
              <w:t>/m</w:t>
            </w:r>
            <w:r w:rsidRPr="00F83296">
              <w:rPr>
                <w:b w:val="0"/>
                <w:bCs/>
                <w:vertAlign w:val="superscript"/>
              </w:rPr>
              <w:t>3</w:t>
            </w:r>
          </w:p>
        </w:tc>
        <w:tc>
          <w:tcPr>
            <w:tcW w:w="323" w:type="pct"/>
            <w:shd w:val="clear" w:color="auto" w:fill="auto"/>
            <w:noWrap/>
            <w:vAlign w:val="center"/>
          </w:tcPr>
          <w:p w14:paraId="315A61E4" w14:textId="77777777" w:rsidR="003D3C65" w:rsidRPr="00194A28" w:rsidRDefault="003D3C65" w:rsidP="003D3C65">
            <w:pPr>
              <w:pStyle w:val="ae"/>
              <w:rPr>
                <w:b w:val="0"/>
                <w:bCs/>
              </w:rPr>
            </w:pPr>
          </w:p>
        </w:tc>
        <w:tc>
          <w:tcPr>
            <w:tcW w:w="323" w:type="pct"/>
            <w:gridSpan w:val="2"/>
            <w:shd w:val="clear" w:color="auto" w:fill="auto"/>
            <w:vAlign w:val="center"/>
          </w:tcPr>
          <w:p w14:paraId="736A2C03" w14:textId="77777777" w:rsidR="003D3C65" w:rsidRPr="00194A28" w:rsidRDefault="003D3C65" w:rsidP="003D3C65">
            <w:pPr>
              <w:pStyle w:val="ae"/>
              <w:rPr>
                <w:b w:val="0"/>
                <w:bCs/>
              </w:rPr>
            </w:pPr>
          </w:p>
        </w:tc>
        <w:tc>
          <w:tcPr>
            <w:tcW w:w="324" w:type="pct"/>
            <w:gridSpan w:val="2"/>
            <w:shd w:val="clear" w:color="auto" w:fill="auto"/>
            <w:vAlign w:val="center"/>
          </w:tcPr>
          <w:p w14:paraId="4B27542B" w14:textId="77777777" w:rsidR="003D3C65" w:rsidRPr="00194A28" w:rsidRDefault="003D3C65" w:rsidP="003D3C65">
            <w:pPr>
              <w:pStyle w:val="ae"/>
              <w:rPr>
                <w:b w:val="0"/>
                <w:bCs/>
              </w:rPr>
            </w:pPr>
          </w:p>
        </w:tc>
        <w:tc>
          <w:tcPr>
            <w:tcW w:w="323" w:type="pct"/>
            <w:gridSpan w:val="2"/>
            <w:shd w:val="clear" w:color="auto" w:fill="auto"/>
            <w:vAlign w:val="center"/>
          </w:tcPr>
          <w:p w14:paraId="3ED4D0CF" w14:textId="77777777" w:rsidR="003D3C65" w:rsidRPr="00194A28" w:rsidRDefault="003D3C65" w:rsidP="003D3C65">
            <w:pPr>
              <w:pStyle w:val="ae"/>
              <w:rPr>
                <w:b w:val="0"/>
                <w:bCs/>
              </w:rPr>
            </w:pPr>
          </w:p>
        </w:tc>
        <w:tc>
          <w:tcPr>
            <w:tcW w:w="324" w:type="pct"/>
            <w:gridSpan w:val="2"/>
            <w:shd w:val="clear" w:color="auto" w:fill="auto"/>
            <w:vAlign w:val="center"/>
          </w:tcPr>
          <w:p w14:paraId="055B7137" w14:textId="77777777" w:rsidR="003D3C65" w:rsidRPr="00194A28" w:rsidRDefault="003D3C65" w:rsidP="003D3C65">
            <w:pPr>
              <w:pStyle w:val="ae"/>
              <w:rPr>
                <w:b w:val="0"/>
                <w:bCs/>
              </w:rPr>
            </w:pPr>
          </w:p>
        </w:tc>
        <w:tc>
          <w:tcPr>
            <w:tcW w:w="323" w:type="pct"/>
            <w:gridSpan w:val="2"/>
            <w:shd w:val="clear" w:color="auto" w:fill="auto"/>
            <w:vAlign w:val="center"/>
          </w:tcPr>
          <w:p w14:paraId="2013008E" w14:textId="77777777" w:rsidR="003D3C65" w:rsidRPr="00194A28" w:rsidRDefault="003D3C65" w:rsidP="003D3C65">
            <w:pPr>
              <w:pStyle w:val="ae"/>
              <w:rPr>
                <w:b w:val="0"/>
                <w:bCs/>
              </w:rPr>
            </w:pPr>
          </w:p>
        </w:tc>
        <w:tc>
          <w:tcPr>
            <w:tcW w:w="323" w:type="pct"/>
            <w:gridSpan w:val="2"/>
            <w:shd w:val="clear" w:color="auto" w:fill="auto"/>
            <w:vAlign w:val="center"/>
          </w:tcPr>
          <w:p w14:paraId="14091C8F" w14:textId="77777777" w:rsidR="003D3C65" w:rsidRPr="00194A28" w:rsidRDefault="003D3C65" w:rsidP="003D3C65">
            <w:pPr>
              <w:pStyle w:val="ae"/>
              <w:rPr>
                <w:b w:val="0"/>
                <w:bCs/>
              </w:rPr>
            </w:pPr>
          </w:p>
        </w:tc>
        <w:tc>
          <w:tcPr>
            <w:tcW w:w="324" w:type="pct"/>
            <w:gridSpan w:val="2"/>
            <w:shd w:val="clear" w:color="auto" w:fill="auto"/>
            <w:vAlign w:val="center"/>
          </w:tcPr>
          <w:p w14:paraId="3C994CAD" w14:textId="77777777" w:rsidR="003D3C65" w:rsidRPr="00194A28" w:rsidRDefault="003D3C65" w:rsidP="003D3C65">
            <w:pPr>
              <w:pStyle w:val="ae"/>
              <w:rPr>
                <w:b w:val="0"/>
                <w:bCs/>
              </w:rPr>
            </w:pPr>
          </w:p>
        </w:tc>
        <w:tc>
          <w:tcPr>
            <w:tcW w:w="323" w:type="pct"/>
            <w:gridSpan w:val="2"/>
            <w:shd w:val="clear" w:color="auto" w:fill="auto"/>
            <w:vAlign w:val="center"/>
          </w:tcPr>
          <w:p w14:paraId="601F6190" w14:textId="77777777" w:rsidR="003D3C65" w:rsidRPr="00194A28" w:rsidRDefault="003D3C65" w:rsidP="003D3C65">
            <w:pPr>
              <w:pStyle w:val="ae"/>
              <w:rPr>
                <w:b w:val="0"/>
                <w:bCs/>
              </w:rPr>
            </w:pPr>
          </w:p>
        </w:tc>
        <w:tc>
          <w:tcPr>
            <w:tcW w:w="324" w:type="pct"/>
            <w:gridSpan w:val="2"/>
            <w:shd w:val="clear" w:color="auto" w:fill="auto"/>
            <w:vAlign w:val="center"/>
          </w:tcPr>
          <w:p w14:paraId="2EEEAD8D" w14:textId="77777777" w:rsidR="003D3C65" w:rsidRPr="00194A28" w:rsidRDefault="003D3C65" w:rsidP="003D3C65">
            <w:pPr>
              <w:pStyle w:val="ae"/>
              <w:rPr>
                <w:b w:val="0"/>
                <w:bCs/>
              </w:rPr>
            </w:pPr>
          </w:p>
        </w:tc>
        <w:tc>
          <w:tcPr>
            <w:tcW w:w="323" w:type="pct"/>
            <w:gridSpan w:val="2"/>
            <w:shd w:val="clear" w:color="auto" w:fill="auto"/>
            <w:vAlign w:val="center"/>
          </w:tcPr>
          <w:p w14:paraId="1584C4B4" w14:textId="77777777" w:rsidR="003D3C65" w:rsidRPr="00194A28" w:rsidRDefault="003D3C65" w:rsidP="003D3C65">
            <w:pPr>
              <w:pStyle w:val="ae"/>
              <w:rPr>
                <w:b w:val="0"/>
                <w:bCs/>
              </w:rPr>
            </w:pPr>
          </w:p>
        </w:tc>
        <w:tc>
          <w:tcPr>
            <w:tcW w:w="322" w:type="pct"/>
            <w:shd w:val="clear" w:color="auto" w:fill="auto"/>
            <w:vAlign w:val="center"/>
          </w:tcPr>
          <w:p w14:paraId="217AF600" w14:textId="77777777" w:rsidR="003D3C65" w:rsidRPr="00194A28" w:rsidRDefault="003D3C65" w:rsidP="003D3C65">
            <w:pPr>
              <w:pStyle w:val="ae"/>
              <w:rPr>
                <w:b w:val="0"/>
                <w:bCs/>
              </w:rPr>
            </w:pPr>
          </w:p>
        </w:tc>
      </w:tr>
      <w:tr w:rsidR="003D3C65" w:rsidRPr="00194A28" w14:paraId="44D71614" w14:textId="77777777" w:rsidTr="003D3C65">
        <w:trPr>
          <w:jc w:val="center"/>
        </w:trPr>
        <w:tc>
          <w:tcPr>
            <w:tcW w:w="1121" w:type="pct"/>
            <w:shd w:val="clear" w:color="auto" w:fill="auto"/>
            <w:noWrap/>
            <w:vAlign w:val="center"/>
          </w:tcPr>
          <w:p w14:paraId="7E99ED34" w14:textId="0A76CB92" w:rsidR="003D3C65" w:rsidRPr="00194A28" w:rsidRDefault="003D3C65" w:rsidP="003D3C65">
            <w:pPr>
              <w:pStyle w:val="ae"/>
              <w:rPr>
                <w:b w:val="0"/>
                <w:bCs/>
              </w:rPr>
            </w:pPr>
            <w:r w:rsidRPr="00194A28">
              <w:rPr>
                <w:rFonts w:hint="eastAsia"/>
                <w:b w:val="0"/>
                <w:bCs/>
              </w:rPr>
              <w:t>月总收集</w:t>
            </w:r>
            <w:r w:rsidRPr="00194A28">
              <w:rPr>
                <w:b w:val="0"/>
                <w:bCs/>
              </w:rPr>
              <w:t>/m</w:t>
            </w:r>
            <w:r w:rsidRPr="00F83296">
              <w:rPr>
                <w:b w:val="0"/>
                <w:bCs/>
                <w:vertAlign w:val="superscript"/>
              </w:rPr>
              <w:t>3</w:t>
            </w:r>
          </w:p>
        </w:tc>
        <w:tc>
          <w:tcPr>
            <w:tcW w:w="323" w:type="pct"/>
            <w:shd w:val="clear" w:color="auto" w:fill="auto"/>
            <w:noWrap/>
            <w:vAlign w:val="center"/>
          </w:tcPr>
          <w:p w14:paraId="722DF27A" w14:textId="77777777" w:rsidR="003D3C65" w:rsidRPr="00194A28" w:rsidRDefault="003D3C65" w:rsidP="003D3C65">
            <w:pPr>
              <w:pStyle w:val="ae"/>
              <w:rPr>
                <w:b w:val="0"/>
                <w:bCs/>
              </w:rPr>
            </w:pPr>
          </w:p>
        </w:tc>
        <w:tc>
          <w:tcPr>
            <w:tcW w:w="323" w:type="pct"/>
            <w:gridSpan w:val="2"/>
            <w:shd w:val="clear" w:color="auto" w:fill="auto"/>
            <w:vAlign w:val="center"/>
          </w:tcPr>
          <w:p w14:paraId="67BC25A2" w14:textId="77777777" w:rsidR="003D3C65" w:rsidRPr="00194A28" w:rsidRDefault="003D3C65" w:rsidP="003D3C65">
            <w:pPr>
              <w:pStyle w:val="ae"/>
              <w:rPr>
                <w:b w:val="0"/>
                <w:bCs/>
              </w:rPr>
            </w:pPr>
          </w:p>
        </w:tc>
        <w:tc>
          <w:tcPr>
            <w:tcW w:w="324" w:type="pct"/>
            <w:gridSpan w:val="2"/>
            <w:shd w:val="clear" w:color="auto" w:fill="auto"/>
            <w:vAlign w:val="center"/>
          </w:tcPr>
          <w:p w14:paraId="37FCA6AC" w14:textId="77777777" w:rsidR="003D3C65" w:rsidRPr="00194A28" w:rsidRDefault="003D3C65" w:rsidP="003D3C65">
            <w:pPr>
              <w:pStyle w:val="ae"/>
              <w:rPr>
                <w:b w:val="0"/>
                <w:bCs/>
              </w:rPr>
            </w:pPr>
          </w:p>
        </w:tc>
        <w:tc>
          <w:tcPr>
            <w:tcW w:w="323" w:type="pct"/>
            <w:gridSpan w:val="2"/>
            <w:shd w:val="clear" w:color="auto" w:fill="auto"/>
            <w:vAlign w:val="center"/>
          </w:tcPr>
          <w:p w14:paraId="7292E0C2" w14:textId="77777777" w:rsidR="003D3C65" w:rsidRPr="00194A28" w:rsidRDefault="003D3C65" w:rsidP="003D3C65">
            <w:pPr>
              <w:pStyle w:val="ae"/>
              <w:rPr>
                <w:b w:val="0"/>
                <w:bCs/>
              </w:rPr>
            </w:pPr>
          </w:p>
        </w:tc>
        <w:tc>
          <w:tcPr>
            <w:tcW w:w="324" w:type="pct"/>
            <w:gridSpan w:val="2"/>
            <w:shd w:val="clear" w:color="auto" w:fill="auto"/>
            <w:vAlign w:val="center"/>
          </w:tcPr>
          <w:p w14:paraId="07C56F3C" w14:textId="77777777" w:rsidR="003D3C65" w:rsidRPr="00194A28" w:rsidRDefault="003D3C65" w:rsidP="003D3C65">
            <w:pPr>
              <w:pStyle w:val="ae"/>
              <w:rPr>
                <w:b w:val="0"/>
                <w:bCs/>
              </w:rPr>
            </w:pPr>
          </w:p>
        </w:tc>
        <w:tc>
          <w:tcPr>
            <w:tcW w:w="323" w:type="pct"/>
            <w:gridSpan w:val="2"/>
            <w:shd w:val="clear" w:color="auto" w:fill="auto"/>
            <w:vAlign w:val="center"/>
          </w:tcPr>
          <w:p w14:paraId="3C4914E8" w14:textId="77777777" w:rsidR="003D3C65" w:rsidRPr="00194A28" w:rsidRDefault="003D3C65" w:rsidP="003D3C65">
            <w:pPr>
              <w:pStyle w:val="ae"/>
              <w:rPr>
                <w:b w:val="0"/>
                <w:bCs/>
              </w:rPr>
            </w:pPr>
          </w:p>
        </w:tc>
        <w:tc>
          <w:tcPr>
            <w:tcW w:w="323" w:type="pct"/>
            <w:gridSpan w:val="2"/>
            <w:shd w:val="clear" w:color="auto" w:fill="auto"/>
            <w:vAlign w:val="center"/>
          </w:tcPr>
          <w:p w14:paraId="5AB3E664" w14:textId="77777777" w:rsidR="003D3C65" w:rsidRPr="00194A28" w:rsidRDefault="003D3C65" w:rsidP="003D3C65">
            <w:pPr>
              <w:pStyle w:val="ae"/>
              <w:rPr>
                <w:b w:val="0"/>
                <w:bCs/>
              </w:rPr>
            </w:pPr>
          </w:p>
        </w:tc>
        <w:tc>
          <w:tcPr>
            <w:tcW w:w="324" w:type="pct"/>
            <w:gridSpan w:val="2"/>
            <w:shd w:val="clear" w:color="auto" w:fill="auto"/>
            <w:vAlign w:val="center"/>
          </w:tcPr>
          <w:p w14:paraId="429A6990" w14:textId="77777777" w:rsidR="003D3C65" w:rsidRPr="00194A28" w:rsidRDefault="003D3C65" w:rsidP="003D3C65">
            <w:pPr>
              <w:pStyle w:val="ae"/>
              <w:rPr>
                <w:b w:val="0"/>
                <w:bCs/>
              </w:rPr>
            </w:pPr>
          </w:p>
        </w:tc>
        <w:tc>
          <w:tcPr>
            <w:tcW w:w="323" w:type="pct"/>
            <w:gridSpan w:val="2"/>
            <w:shd w:val="clear" w:color="auto" w:fill="auto"/>
            <w:vAlign w:val="center"/>
          </w:tcPr>
          <w:p w14:paraId="38D08DFB" w14:textId="77777777" w:rsidR="003D3C65" w:rsidRPr="00194A28" w:rsidRDefault="003D3C65" w:rsidP="003D3C65">
            <w:pPr>
              <w:pStyle w:val="ae"/>
              <w:rPr>
                <w:b w:val="0"/>
                <w:bCs/>
              </w:rPr>
            </w:pPr>
          </w:p>
        </w:tc>
        <w:tc>
          <w:tcPr>
            <w:tcW w:w="324" w:type="pct"/>
            <w:gridSpan w:val="2"/>
            <w:shd w:val="clear" w:color="auto" w:fill="auto"/>
            <w:vAlign w:val="center"/>
          </w:tcPr>
          <w:p w14:paraId="33E3B9C4" w14:textId="77777777" w:rsidR="003D3C65" w:rsidRPr="00194A28" w:rsidRDefault="003D3C65" w:rsidP="003D3C65">
            <w:pPr>
              <w:pStyle w:val="ae"/>
              <w:rPr>
                <w:b w:val="0"/>
                <w:bCs/>
              </w:rPr>
            </w:pPr>
          </w:p>
        </w:tc>
        <w:tc>
          <w:tcPr>
            <w:tcW w:w="323" w:type="pct"/>
            <w:gridSpan w:val="2"/>
            <w:shd w:val="clear" w:color="auto" w:fill="auto"/>
            <w:vAlign w:val="center"/>
          </w:tcPr>
          <w:p w14:paraId="425A570A" w14:textId="77777777" w:rsidR="003D3C65" w:rsidRPr="00194A28" w:rsidRDefault="003D3C65" w:rsidP="003D3C65">
            <w:pPr>
              <w:pStyle w:val="ae"/>
              <w:rPr>
                <w:b w:val="0"/>
                <w:bCs/>
              </w:rPr>
            </w:pPr>
          </w:p>
        </w:tc>
        <w:tc>
          <w:tcPr>
            <w:tcW w:w="322" w:type="pct"/>
            <w:shd w:val="clear" w:color="auto" w:fill="auto"/>
            <w:vAlign w:val="center"/>
          </w:tcPr>
          <w:p w14:paraId="1EC9F560" w14:textId="77777777" w:rsidR="003D3C65" w:rsidRPr="00194A28" w:rsidRDefault="003D3C65" w:rsidP="003D3C65">
            <w:pPr>
              <w:pStyle w:val="ae"/>
              <w:rPr>
                <w:b w:val="0"/>
                <w:bCs/>
              </w:rPr>
            </w:pPr>
          </w:p>
        </w:tc>
      </w:tr>
      <w:tr w:rsidR="003D3C65" w:rsidRPr="00194A28" w14:paraId="37A793DC" w14:textId="77777777" w:rsidTr="003D3C65">
        <w:trPr>
          <w:jc w:val="center"/>
        </w:trPr>
        <w:tc>
          <w:tcPr>
            <w:tcW w:w="1121" w:type="pct"/>
            <w:shd w:val="clear" w:color="auto" w:fill="auto"/>
            <w:noWrap/>
            <w:vAlign w:val="center"/>
          </w:tcPr>
          <w:p w14:paraId="6F31803E" w14:textId="32E02CC6" w:rsidR="003D3C65" w:rsidRPr="00194A28" w:rsidRDefault="003D3C65" w:rsidP="003D3C65">
            <w:pPr>
              <w:pStyle w:val="ae"/>
              <w:rPr>
                <w:b w:val="0"/>
                <w:bCs/>
              </w:rPr>
            </w:pPr>
            <w:r w:rsidRPr="00194A28">
              <w:rPr>
                <w:rFonts w:hint="eastAsia"/>
                <w:b w:val="0"/>
                <w:bCs/>
              </w:rPr>
              <w:t>中水年总收集</w:t>
            </w:r>
            <w:r w:rsidRPr="00194A28">
              <w:rPr>
                <w:b w:val="0"/>
                <w:bCs/>
              </w:rPr>
              <w:t>/m</w:t>
            </w:r>
            <w:r w:rsidRPr="00F83296">
              <w:rPr>
                <w:b w:val="0"/>
                <w:bCs/>
                <w:vertAlign w:val="superscript"/>
              </w:rPr>
              <w:t>3</w:t>
            </w:r>
          </w:p>
        </w:tc>
        <w:tc>
          <w:tcPr>
            <w:tcW w:w="3879" w:type="pct"/>
            <w:gridSpan w:val="22"/>
            <w:shd w:val="clear" w:color="auto" w:fill="auto"/>
            <w:noWrap/>
            <w:vAlign w:val="center"/>
          </w:tcPr>
          <w:p w14:paraId="0EB4582E" w14:textId="77777777" w:rsidR="003D3C65" w:rsidRPr="00194A28" w:rsidRDefault="003D3C65" w:rsidP="003D3C65">
            <w:pPr>
              <w:pStyle w:val="ae"/>
              <w:rPr>
                <w:b w:val="0"/>
                <w:bCs/>
              </w:rPr>
            </w:pPr>
          </w:p>
        </w:tc>
      </w:tr>
      <w:tr w:rsidR="003D3C65" w:rsidRPr="00194A28" w14:paraId="25517DFF" w14:textId="77777777" w:rsidTr="003D3C65">
        <w:trPr>
          <w:jc w:val="center"/>
        </w:trPr>
        <w:tc>
          <w:tcPr>
            <w:tcW w:w="1121" w:type="pct"/>
            <w:shd w:val="clear" w:color="auto" w:fill="auto"/>
            <w:noWrap/>
            <w:vAlign w:val="center"/>
          </w:tcPr>
          <w:p w14:paraId="76C6C53E" w14:textId="0F950FA9" w:rsidR="003D3C65" w:rsidRPr="00194A28" w:rsidRDefault="003D3C65" w:rsidP="003D3C65">
            <w:pPr>
              <w:pStyle w:val="ae"/>
              <w:rPr>
                <w:b w:val="0"/>
                <w:bCs/>
              </w:rPr>
            </w:pPr>
            <w:r w:rsidRPr="00194A28">
              <w:rPr>
                <w:rFonts w:hint="eastAsia"/>
                <w:b w:val="0"/>
                <w:bCs/>
              </w:rPr>
              <w:t>办公冲厕</w:t>
            </w:r>
            <w:r w:rsidRPr="00194A28">
              <w:rPr>
                <w:b w:val="0"/>
                <w:bCs/>
              </w:rPr>
              <w:t>/m</w:t>
            </w:r>
            <w:r w:rsidRPr="00F83296">
              <w:rPr>
                <w:b w:val="0"/>
                <w:bCs/>
                <w:vertAlign w:val="superscript"/>
              </w:rPr>
              <w:t>3</w:t>
            </w:r>
          </w:p>
        </w:tc>
        <w:tc>
          <w:tcPr>
            <w:tcW w:w="323" w:type="pct"/>
            <w:shd w:val="clear" w:color="auto" w:fill="auto"/>
            <w:noWrap/>
            <w:vAlign w:val="center"/>
          </w:tcPr>
          <w:p w14:paraId="4289D43C" w14:textId="77777777" w:rsidR="003D3C65" w:rsidRPr="00194A28" w:rsidRDefault="003D3C65" w:rsidP="003D3C65">
            <w:pPr>
              <w:pStyle w:val="ae"/>
              <w:rPr>
                <w:b w:val="0"/>
                <w:bCs/>
              </w:rPr>
            </w:pPr>
          </w:p>
        </w:tc>
        <w:tc>
          <w:tcPr>
            <w:tcW w:w="323" w:type="pct"/>
            <w:gridSpan w:val="2"/>
            <w:shd w:val="clear" w:color="auto" w:fill="auto"/>
            <w:vAlign w:val="center"/>
          </w:tcPr>
          <w:p w14:paraId="3C9FCD40" w14:textId="77777777" w:rsidR="003D3C65" w:rsidRPr="00194A28" w:rsidRDefault="003D3C65" w:rsidP="003D3C65">
            <w:pPr>
              <w:pStyle w:val="ae"/>
              <w:rPr>
                <w:b w:val="0"/>
                <w:bCs/>
              </w:rPr>
            </w:pPr>
          </w:p>
        </w:tc>
        <w:tc>
          <w:tcPr>
            <w:tcW w:w="324" w:type="pct"/>
            <w:gridSpan w:val="2"/>
            <w:shd w:val="clear" w:color="auto" w:fill="auto"/>
            <w:vAlign w:val="center"/>
          </w:tcPr>
          <w:p w14:paraId="5991E6B7" w14:textId="77777777" w:rsidR="003D3C65" w:rsidRPr="00194A28" w:rsidRDefault="003D3C65" w:rsidP="003D3C65">
            <w:pPr>
              <w:pStyle w:val="ae"/>
              <w:rPr>
                <w:b w:val="0"/>
                <w:bCs/>
              </w:rPr>
            </w:pPr>
          </w:p>
        </w:tc>
        <w:tc>
          <w:tcPr>
            <w:tcW w:w="323" w:type="pct"/>
            <w:gridSpan w:val="2"/>
            <w:shd w:val="clear" w:color="auto" w:fill="auto"/>
            <w:vAlign w:val="center"/>
          </w:tcPr>
          <w:p w14:paraId="4D4CEBD9" w14:textId="77777777" w:rsidR="003D3C65" w:rsidRPr="00194A28" w:rsidRDefault="003D3C65" w:rsidP="003D3C65">
            <w:pPr>
              <w:pStyle w:val="ae"/>
              <w:rPr>
                <w:b w:val="0"/>
                <w:bCs/>
              </w:rPr>
            </w:pPr>
          </w:p>
        </w:tc>
        <w:tc>
          <w:tcPr>
            <w:tcW w:w="324" w:type="pct"/>
            <w:gridSpan w:val="2"/>
            <w:shd w:val="clear" w:color="auto" w:fill="auto"/>
            <w:vAlign w:val="center"/>
          </w:tcPr>
          <w:p w14:paraId="1B00B6DB" w14:textId="77777777" w:rsidR="003D3C65" w:rsidRPr="00194A28" w:rsidRDefault="003D3C65" w:rsidP="003D3C65">
            <w:pPr>
              <w:pStyle w:val="ae"/>
              <w:rPr>
                <w:b w:val="0"/>
                <w:bCs/>
              </w:rPr>
            </w:pPr>
          </w:p>
        </w:tc>
        <w:tc>
          <w:tcPr>
            <w:tcW w:w="323" w:type="pct"/>
            <w:gridSpan w:val="2"/>
            <w:shd w:val="clear" w:color="auto" w:fill="auto"/>
            <w:vAlign w:val="center"/>
          </w:tcPr>
          <w:p w14:paraId="0573ACEE" w14:textId="77777777" w:rsidR="003D3C65" w:rsidRPr="00194A28" w:rsidRDefault="003D3C65" w:rsidP="003D3C65">
            <w:pPr>
              <w:pStyle w:val="ae"/>
              <w:rPr>
                <w:b w:val="0"/>
                <w:bCs/>
              </w:rPr>
            </w:pPr>
          </w:p>
        </w:tc>
        <w:tc>
          <w:tcPr>
            <w:tcW w:w="323" w:type="pct"/>
            <w:gridSpan w:val="2"/>
            <w:shd w:val="clear" w:color="auto" w:fill="auto"/>
            <w:vAlign w:val="center"/>
          </w:tcPr>
          <w:p w14:paraId="41BDD0DF" w14:textId="77777777" w:rsidR="003D3C65" w:rsidRPr="00194A28" w:rsidRDefault="003D3C65" w:rsidP="003D3C65">
            <w:pPr>
              <w:pStyle w:val="ae"/>
              <w:rPr>
                <w:b w:val="0"/>
                <w:bCs/>
              </w:rPr>
            </w:pPr>
          </w:p>
        </w:tc>
        <w:tc>
          <w:tcPr>
            <w:tcW w:w="324" w:type="pct"/>
            <w:gridSpan w:val="2"/>
            <w:shd w:val="clear" w:color="auto" w:fill="auto"/>
            <w:vAlign w:val="center"/>
          </w:tcPr>
          <w:p w14:paraId="2A02CD82" w14:textId="77777777" w:rsidR="003D3C65" w:rsidRPr="00194A28" w:rsidRDefault="003D3C65" w:rsidP="003D3C65">
            <w:pPr>
              <w:pStyle w:val="ae"/>
              <w:rPr>
                <w:b w:val="0"/>
                <w:bCs/>
              </w:rPr>
            </w:pPr>
          </w:p>
        </w:tc>
        <w:tc>
          <w:tcPr>
            <w:tcW w:w="323" w:type="pct"/>
            <w:gridSpan w:val="2"/>
            <w:shd w:val="clear" w:color="auto" w:fill="auto"/>
            <w:vAlign w:val="center"/>
          </w:tcPr>
          <w:p w14:paraId="4892CD8A" w14:textId="77777777" w:rsidR="003D3C65" w:rsidRPr="00194A28" w:rsidRDefault="003D3C65" w:rsidP="003D3C65">
            <w:pPr>
              <w:pStyle w:val="ae"/>
              <w:rPr>
                <w:b w:val="0"/>
                <w:bCs/>
              </w:rPr>
            </w:pPr>
          </w:p>
        </w:tc>
        <w:tc>
          <w:tcPr>
            <w:tcW w:w="324" w:type="pct"/>
            <w:gridSpan w:val="2"/>
            <w:shd w:val="clear" w:color="auto" w:fill="auto"/>
            <w:vAlign w:val="center"/>
          </w:tcPr>
          <w:p w14:paraId="42E414C1" w14:textId="77777777" w:rsidR="003D3C65" w:rsidRPr="00194A28" w:rsidRDefault="003D3C65" w:rsidP="003D3C65">
            <w:pPr>
              <w:pStyle w:val="ae"/>
              <w:rPr>
                <w:b w:val="0"/>
                <w:bCs/>
              </w:rPr>
            </w:pPr>
          </w:p>
        </w:tc>
        <w:tc>
          <w:tcPr>
            <w:tcW w:w="323" w:type="pct"/>
            <w:gridSpan w:val="2"/>
            <w:shd w:val="clear" w:color="auto" w:fill="auto"/>
            <w:vAlign w:val="center"/>
          </w:tcPr>
          <w:p w14:paraId="42FCFFFD" w14:textId="77777777" w:rsidR="003D3C65" w:rsidRPr="00194A28" w:rsidRDefault="003D3C65" w:rsidP="003D3C65">
            <w:pPr>
              <w:pStyle w:val="ae"/>
              <w:rPr>
                <w:b w:val="0"/>
                <w:bCs/>
              </w:rPr>
            </w:pPr>
          </w:p>
        </w:tc>
        <w:tc>
          <w:tcPr>
            <w:tcW w:w="322" w:type="pct"/>
            <w:shd w:val="clear" w:color="auto" w:fill="auto"/>
            <w:vAlign w:val="center"/>
          </w:tcPr>
          <w:p w14:paraId="7EF55882" w14:textId="77777777" w:rsidR="003D3C65" w:rsidRPr="00194A28" w:rsidRDefault="003D3C65" w:rsidP="003D3C65">
            <w:pPr>
              <w:pStyle w:val="ae"/>
              <w:rPr>
                <w:b w:val="0"/>
                <w:bCs/>
              </w:rPr>
            </w:pPr>
          </w:p>
        </w:tc>
      </w:tr>
      <w:tr w:rsidR="003D3C65" w:rsidRPr="00194A28" w14:paraId="47E2FD9B" w14:textId="77777777" w:rsidTr="003D3C65">
        <w:trPr>
          <w:jc w:val="center"/>
        </w:trPr>
        <w:tc>
          <w:tcPr>
            <w:tcW w:w="1121" w:type="pct"/>
            <w:shd w:val="clear" w:color="auto" w:fill="auto"/>
            <w:noWrap/>
            <w:vAlign w:val="center"/>
          </w:tcPr>
          <w:p w14:paraId="7E176C6C" w14:textId="6A280DA1" w:rsidR="003D3C65" w:rsidRPr="00194A28" w:rsidRDefault="003D3C65" w:rsidP="003D3C65">
            <w:pPr>
              <w:pStyle w:val="ae"/>
              <w:rPr>
                <w:b w:val="0"/>
                <w:bCs/>
              </w:rPr>
            </w:pPr>
            <w:r w:rsidRPr="00194A28">
              <w:rPr>
                <w:rFonts w:hint="eastAsia"/>
                <w:b w:val="0"/>
                <w:bCs/>
              </w:rPr>
              <w:lastRenderedPageBreak/>
              <w:t>汽车抹车</w:t>
            </w:r>
            <w:r w:rsidRPr="00194A28">
              <w:rPr>
                <w:b w:val="0"/>
                <w:bCs/>
              </w:rPr>
              <w:t>/m</w:t>
            </w:r>
            <w:r w:rsidRPr="00F83296">
              <w:rPr>
                <w:b w:val="0"/>
                <w:bCs/>
                <w:vertAlign w:val="superscript"/>
              </w:rPr>
              <w:t>3</w:t>
            </w:r>
          </w:p>
        </w:tc>
        <w:tc>
          <w:tcPr>
            <w:tcW w:w="323" w:type="pct"/>
            <w:shd w:val="clear" w:color="auto" w:fill="auto"/>
            <w:noWrap/>
            <w:vAlign w:val="center"/>
          </w:tcPr>
          <w:p w14:paraId="63A7691D" w14:textId="77777777" w:rsidR="003D3C65" w:rsidRPr="00194A28" w:rsidRDefault="003D3C65" w:rsidP="003D3C65">
            <w:pPr>
              <w:pStyle w:val="ae"/>
              <w:rPr>
                <w:b w:val="0"/>
                <w:bCs/>
              </w:rPr>
            </w:pPr>
          </w:p>
        </w:tc>
        <w:tc>
          <w:tcPr>
            <w:tcW w:w="323" w:type="pct"/>
            <w:gridSpan w:val="2"/>
            <w:shd w:val="clear" w:color="auto" w:fill="auto"/>
            <w:vAlign w:val="center"/>
          </w:tcPr>
          <w:p w14:paraId="28785D5F" w14:textId="77777777" w:rsidR="003D3C65" w:rsidRPr="00194A28" w:rsidRDefault="003D3C65" w:rsidP="003D3C65">
            <w:pPr>
              <w:pStyle w:val="ae"/>
              <w:rPr>
                <w:b w:val="0"/>
                <w:bCs/>
              </w:rPr>
            </w:pPr>
          </w:p>
        </w:tc>
        <w:tc>
          <w:tcPr>
            <w:tcW w:w="324" w:type="pct"/>
            <w:gridSpan w:val="2"/>
            <w:shd w:val="clear" w:color="auto" w:fill="auto"/>
            <w:vAlign w:val="center"/>
          </w:tcPr>
          <w:p w14:paraId="2CA2C534" w14:textId="77777777" w:rsidR="003D3C65" w:rsidRPr="00194A28" w:rsidRDefault="003D3C65" w:rsidP="003D3C65">
            <w:pPr>
              <w:pStyle w:val="ae"/>
              <w:rPr>
                <w:b w:val="0"/>
                <w:bCs/>
              </w:rPr>
            </w:pPr>
          </w:p>
        </w:tc>
        <w:tc>
          <w:tcPr>
            <w:tcW w:w="323" w:type="pct"/>
            <w:gridSpan w:val="2"/>
            <w:shd w:val="clear" w:color="auto" w:fill="auto"/>
            <w:vAlign w:val="center"/>
          </w:tcPr>
          <w:p w14:paraId="7B741E80" w14:textId="77777777" w:rsidR="003D3C65" w:rsidRPr="00194A28" w:rsidRDefault="003D3C65" w:rsidP="003D3C65">
            <w:pPr>
              <w:pStyle w:val="ae"/>
              <w:rPr>
                <w:b w:val="0"/>
                <w:bCs/>
              </w:rPr>
            </w:pPr>
          </w:p>
        </w:tc>
        <w:tc>
          <w:tcPr>
            <w:tcW w:w="324" w:type="pct"/>
            <w:gridSpan w:val="2"/>
            <w:shd w:val="clear" w:color="auto" w:fill="auto"/>
            <w:vAlign w:val="center"/>
          </w:tcPr>
          <w:p w14:paraId="30C300B3" w14:textId="77777777" w:rsidR="003D3C65" w:rsidRPr="00194A28" w:rsidRDefault="003D3C65" w:rsidP="003D3C65">
            <w:pPr>
              <w:pStyle w:val="ae"/>
              <w:rPr>
                <w:b w:val="0"/>
                <w:bCs/>
              </w:rPr>
            </w:pPr>
          </w:p>
        </w:tc>
        <w:tc>
          <w:tcPr>
            <w:tcW w:w="323" w:type="pct"/>
            <w:gridSpan w:val="2"/>
            <w:shd w:val="clear" w:color="auto" w:fill="auto"/>
            <w:vAlign w:val="center"/>
          </w:tcPr>
          <w:p w14:paraId="43FE9198" w14:textId="77777777" w:rsidR="003D3C65" w:rsidRPr="00194A28" w:rsidRDefault="003D3C65" w:rsidP="003D3C65">
            <w:pPr>
              <w:pStyle w:val="ae"/>
              <w:rPr>
                <w:b w:val="0"/>
                <w:bCs/>
              </w:rPr>
            </w:pPr>
          </w:p>
        </w:tc>
        <w:tc>
          <w:tcPr>
            <w:tcW w:w="323" w:type="pct"/>
            <w:gridSpan w:val="2"/>
            <w:shd w:val="clear" w:color="auto" w:fill="auto"/>
            <w:vAlign w:val="center"/>
          </w:tcPr>
          <w:p w14:paraId="18244166" w14:textId="77777777" w:rsidR="003D3C65" w:rsidRPr="00194A28" w:rsidRDefault="003D3C65" w:rsidP="003D3C65">
            <w:pPr>
              <w:pStyle w:val="ae"/>
              <w:rPr>
                <w:b w:val="0"/>
                <w:bCs/>
              </w:rPr>
            </w:pPr>
          </w:p>
        </w:tc>
        <w:tc>
          <w:tcPr>
            <w:tcW w:w="324" w:type="pct"/>
            <w:gridSpan w:val="2"/>
            <w:shd w:val="clear" w:color="auto" w:fill="auto"/>
            <w:vAlign w:val="center"/>
          </w:tcPr>
          <w:p w14:paraId="41ED9CFA" w14:textId="77777777" w:rsidR="003D3C65" w:rsidRPr="00194A28" w:rsidRDefault="003D3C65" w:rsidP="003D3C65">
            <w:pPr>
              <w:pStyle w:val="ae"/>
              <w:rPr>
                <w:b w:val="0"/>
                <w:bCs/>
              </w:rPr>
            </w:pPr>
          </w:p>
        </w:tc>
        <w:tc>
          <w:tcPr>
            <w:tcW w:w="323" w:type="pct"/>
            <w:gridSpan w:val="2"/>
            <w:shd w:val="clear" w:color="auto" w:fill="auto"/>
            <w:vAlign w:val="center"/>
          </w:tcPr>
          <w:p w14:paraId="53AC0221" w14:textId="77777777" w:rsidR="003D3C65" w:rsidRPr="00194A28" w:rsidRDefault="003D3C65" w:rsidP="003D3C65">
            <w:pPr>
              <w:pStyle w:val="ae"/>
              <w:rPr>
                <w:b w:val="0"/>
                <w:bCs/>
              </w:rPr>
            </w:pPr>
          </w:p>
        </w:tc>
        <w:tc>
          <w:tcPr>
            <w:tcW w:w="324" w:type="pct"/>
            <w:gridSpan w:val="2"/>
            <w:shd w:val="clear" w:color="auto" w:fill="auto"/>
            <w:vAlign w:val="center"/>
          </w:tcPr>
          <w:p w14:paraId="08DA87A1" w14:textId="77777777" w:rsidR="003D3C65" w:rsidRPr="00194A28" w:rsidRDefault="003D3C65" w:rsidP="003D3C65">
            <w:pPr>
              <w:pStyle w:val="ae"/>
              <w:rPr>
                <w:b w:val="0"/>
                <w:bCs/>
              </w:rPr>
            </w:pPr>
          </w:p>
        </w:tc>
        <w:tc>
          <w:tcPr>
            <w:tcW w:w="323" w:type="pct"/>
            <w:gridSpan w:val="2"/>
            <w:shd w:val="clear" w:color="auto" w:fill="auto"/>
            <w:vAlign w:val="center"/>
          </w:tcPr>
          <w:p w14:paraId="4291E495" w14:textId="77777777" w:rsidR="003D3C65" w:rsidRPr="00194A28" w:rsidRDefault="003D3C65" w:rsidP="003D3C65">
            <w:pPr>
              <w:pStyle w:val="ae"/>
              <w:rPr>
                <w:b w:val="0"/>
                <w:bCs/>
              </w:rPr>
            </w:pPr>
          </w:p>
        </w:tc>
        <w:tc>
          <w:tcPr>
            <w:tcW w:w="322" w:type="pct"/>
            <w:shd w:val="clear" w:color="auto" w:fill="auto"/>
            <w:vAlign w:val="center"/>
          </w:tcPr>
          <w:p w14:paraId="71FB11B3" w14:textId="77777777" w:rsidR="003D3C65" w:rsidRPr="00194A28" w:rsidRDefault="003D3C65" w:rsidP="003D3C65">
            <w:pPr>
              <w:pStyle w:val="ae"/>
              <w:rPr>
                <w:b w:val="0"/>
                <w:bCs/>
              </w:rPr>
            </w:pPr>
          </w:p>
        </w:tc>
      </w:tr>
      <w:tr w:rsidR="003D3C65" w:rsidRPr="00194A28" w14:paraId="14F48CD2" w14:textId="77777777" w:rsidTr="003D3C65">
        <w:trPr>
          <w:jc w:val="center"/>
        </w:trPr>
        <w:tc>
          <w:tcPr>
            <w:tcW w:w="1121" w:type="pct"/>
            <w:shd w:val="clear" w:color="auto" w:fill="auto"/>
            <w:noWrap/>
            <w:vAlign w:val="center"/>
          </w:tcPr>
          <w:p w14:paraId="5AAC27CF" w14:textId="04CB10FC" w:rsidR="003D3C65" w:rsidRPr="00194A28" w:rsidRDefault="003D3C65" w:rsidP="003D3C65">
            <w:pPr>
              <w:pStyle w:val="ae"/>
              <w:rPr>
                <w:b w:val="0"/>
                <w:bCs/>
              </w:rPr>
            </w:pPr>
            <w:r w:rsidRPr="00194A28">
              <w:rPr>
                <w:rFonts w:hint="eastAsia"/>
                <w:b w:val="0"/>
                <w:bCs/>
              </w:rPr>
              <w:t>道路浇洒</w:t>
            </w:r>
            <w:r w:rsidRPr="00194A28">
              <w:rPr>
                <w:b w:val="0"/>
                <w:bCs/>
              </w:rPr>
              <w:t>/m</w:t>
            </w:r>
            <w:r w:rsidRPr="00F83296">
              <w:rPr>
                <w:b w:val="0"/>
                <w:bCs/>
                <w:vertAlign w:val="superscript"/>
              </w:rPr>
              <w:t>3</w:t>
            </w:r>
          </w:p>
        </w:tc>
        <w:tc>
          <w:tcPr>
            <w:tcW w:w="323" w:type="pct"/>
            <w:shd w:val="clear" w:color="auto" w:fill="auto"/>
            <w:noWrap/>
            <w:vAlign w:val="center"/>
          </w:tcPr>
          <w:p w14:paraId="19800E89" w14:textId="77777777" w:rsidR="003D3C65" w:rsidRPr="00194A28" w:rsidRDefault="003D3C65" w:rsidP="003D3C65">
            <w:pPr>
              <w:pStyle w:val="ae"/>
              <w:rPr>
                <w:b w:val="0"/>
                <w:bCs/>
              </w:rPr>
            </w:pPr>
          </w:p>
        </w:tc>
        <w:tc>
          <w:tcPr>
            <w:tcW w:w="323" w:type="pct"/>
            <w:gridSpan w:val="2"/>
            <w:shd w:val="clear" w:color="auto" w:fill="auto"/>
            <w:vAlign w:val="center"/>
          </w:tcPr>
          <w:p w14:paraId="60BA6B8B" w14:textId="77777777" w:rsidR="003D3C65" w:rsidRPr="00194A28" w:rsidRDefault="003D3C65" w:rsidP="003D3C65">
            <w:pPr>
              <w:pStyle w:val="ae"/>
              <w:rPr>
                <w:b w:val="0"/>
                <w:bCs/>
              </w:rPr>
            </w:pPr>
          </w:p>
        </w:tc>
        <w:tc>
          <w:tcPr>
            <w:tcW w:w="324" w:type="pct"/>
            <w:gridSpan w:val="2"/>
            <w:shd w:val="clear" w:color="auto" w:fill="auto"/>
            <w:vAlign w:val="center"/>
          </w:tcPr>
          <w:p w14:paraId="6ABCA22A" w14:textId="77777777" w:rsidR="003D3C65" w:rsidRPr="00194A28" w:rsidRDefault="003D3C65" w:rsidP="003D3C65">
            <w:pPr>
              <w:pStyle w:val="ae"/>
              <w:rPr>
                <w:b w:val="0"/>
                <w:bCs/>
              </w:rPr>
            </w:pPr>
          </w:p>
        </w:tc>
        <w:tc>
          <w:tcPr>
            <w:tcW w:w="323" w:type="pct"/>
            <w:gridSpan w:val="2"/>
            <w:shd w:val="clear" w:color="auto" w:fill="auto"/>
            <w:vAlign w:val="center"/>
          </w:tcPr>
          <w:p w14:paraId="61A609F6" w14:textId="77777777" w:rsidR="003D3C65" w:rsidRPr="00194A28" w:rsidRDefault="003D3C65" w:rsidP="003D3C65">
            <w:pPr>
              <w:pStyle w:val="ae"/>
              <w:rPr>
                <w:b w:val="0"/>
                <w:bCs/>
              </w:rPr>
            </w:pPr>
          </w:p>
        </w:tc>
        <w:tc>
          <w:tcPr>
            <w:tcW w:w="324" w:type="pct"/>
            <w:gridSpan w:val="2"/>
            <w:shd w:val="clear" w:color="auto" w:fill="auto"/>
            <w:vAlign w:val="center"/>
          </w:tcPr>
          <w:p w14:paraId="39D90101" w14:textId="77777777" w:rsidR="003D3C65" w:rsidRPr="00194A28" w:rsidRDefault="003D3C65" w:rsidP="003D3C65">
            <w:pPr>
              <w:pStyle w:val="ae"/>
              <w:rPr>
                <w:b w:val="0"/>
                <w:bCs/>
              </w:rPr>
            </w:pPr>
          </w:p>
        </w:tc>
        <w:tc>
          <w:tcPr>
            <w:tcW w:w="323" w:type="pct"/>
            <w:gridSpan w:val="2"/>
            <w:shd w:val="clear" w:color="auto" w:fill="auto"/>
            <w:vAlign w:val="center"/>
          </w:tcPr>
          <w:p w14:paraId="550846A6" w14:textId="77777777" w:rsidR="003D3C65" w:rsidRPr="00194A28" w:rsidRDefault="003D3C65" w:rsidP="003D3C65">
            <w:pPr>
              <w:pStyle w:val="ae"/>
              <w:rPr>
                <w:b w:val="0"/>
                <w:bCs/>
              </w:rPr>
            </w:pPr>
          </w:p>
        </w:tc>
        <w:tc>
          <w:tcPr>
            <w:tcW w:w="323" w:type="pct"/>
            <w:gridSpan w:val="2"/>
            <w:shd w:val="clear" w:color="auto" w:fill="auto"/>
            <w:vAlign w:val="center"/>
          </w:tcPr>
          <w:p w14:paraId="398B2C7E" w14:textId="77777777" w:rsidR="003D3C65" w:rsidRPr="00194A28" w:rsidRDefault="003D3C65" w:rsidP="003D3C65">
            <w:pPr>
              <w:pStyle w:val="ae"/>
              <w:rPr>
                <w:b w:val="0"/>
                <w:bCs/>
              </w:rPr>
            </w:pPr>
          </w:p>
        </w:tc>
        <w:tc>
          <w:tcPr>
            <w:tcW w:w="324" w:type="pct"/>
            <w:gridSpan w:val="2"/>
            <w:shd w:val="clear" w:color="auto" w:fill="auto"/>
            <w:vAlign w:val="center"/>
          </w:tcPr>
          <w:p w14:paraId="2B369D9D" w14:textId="77777777" w:rsidR="003D3C65" w:rsidRPr="00194A28" w:rsidRDefault="003D3C65" w:rsidP="003D3C65">
            <w:pPr>
              <w:pStyle w:val="ae"/>
              <w:rPr>
                <w:b w:val="0"/>
                <w:bCs/>
              </w:rPr>
            </w:pPr>
          </w:p>
        </w:tc>
        <w:tc>
          <w:tcPr>
            <w:tcW w:w="323" w:type="pct"/>
            <w:gridSpan w:val="2"/>
            <w:shd w:val="clear" w:color="auto" w:fill="auto"/>
            <w:vAlign w:val="center"/>
          </w:tcPr>
          <w:p w14:paraId="69496095" w14:textId="77777777" w:rsidR="003D3C65" w:rsidRPr="00194A28" w:rsidRDefault="003D3C65" w:rsidP="003D3C65">
            <w:pPr>
              <w:pStyle w:val="ae"/>
              <w:rPr>
                <w:b w:val="0"/>
                <w:bCs/>
              </w:rPr>
            </w:pPr>
          </w:p>
        </w:tc>
        <w:tc>
          <w:tcPr>
            <w:tcW w:w="324" w:type="pct"/>
            <w:gridSpan w:val="2"/>
            <w:shd w:val="clear" w:color="auto" w:fill="auto"/>
            <w:vAlign w:val="center"/>
          </w:tcPr>
          <w:p w14:paraId="3F0B1815" w14:textId="77777777" w:rsidR="003D3C65" w:rsidRPr="00194A28" w:rsidRDefault="003D3C65" w:rsidP="003D3C65">
            <w:pPr>
              <w:pStyle w:val="ae"/>
              <w:rPr>
                <w:b w:val="0"/>
                <w:bCs/>
              </w:rPr>
            </w:pPr>
          </w:p>
        </w:tc>
        <w:tc>
          <w:tcPr>
            <w:tcW w:w="323" w:type="pct"/>
            <w:gridSpan w:val="2"/>
            <w:shd w:val="clear" w:color="auto" w:fill="auto"/>
            <w:vAlign w:val="center"/>
          </w:tcPr>
          <w:p w14:paraId="27A7C34F" w14:textId="77777777" w:rsidR="003D3C65" w:rsidRPr="00194A28" w:rsidRDefault="003D3C65" w:rsidP="003D3C65">
            <w:pPr>
              <w:pStyle w:val="ae"/>
              <w:rPr>
                <w:b w:val="0"/>
                <w:bCs/>
              </w:rPr>
            </w:pPr>
          </w:p>
        </w:tc>
        <w:tc>
          <w:tcPr>
            <w:tcW w:w="322" w:type="pct"/>
            <w:shd w:val="clear" w:color="auto" w:fill="auto"/>
            <w:vAlign w:val="center"/>
          </w:tcPr>
          <w:p w14:paraId="69FC73D4" w14:textId="77777777" w:rsidR="003D3C65" w:rsidRPr="00194A28" w:rsidRDefault="003D3C65" w:rsidP="003D3C65">
            <w:pPr>
              <w:pStyle w:val="ae"/>
              <w:rPr>
                <w:b w:val="0"/>
                <w:bCs/>
              </w:rPr>
            </w:pPr>
          </w:p>
        </w:tc>
      </w:tr>
      <w:tr w:rsidR="003D3C65" w:rsidRPr="00194A28" w14:paraId="30F89252" w14:textId="77777777" w:rsidTr="003D3C65">
        <w:trPr>
          <w:jc w:val="center"/>
        </w:trPr>
        <w:tc>
          <w:tcPr>
            <w:tcW w:w="1121" w:type="pct"/>
            <w:shd w:val="clear" w:color="auto" w:fill="auto"/>
            <w:noWrap/>
            <w:vAlign w:val="center"/>
          </w:tcPr>
          <w:p w14:paraId="3EA20FD6" w14:textId="4B1214E7" w:rsidR="003D3C65" w:rsidRPr="00194A28" w:rsidRDefault="003D3C65" w:rsidP="003D3C65">
            <w:pPr>
              <w:pStyle w:val="ae"/>
              <w:rPr>
                <w:b w:val="0"/>
                <w:bCs/>
              </w:rPr>
            </w:pPr>
            <w:r w:rsidRPr="00194A28">
              <w:rPr>
                <w:rFonts w:hint="eastAsia"/>
                <w:b w:val="0"/>
                <w:bCs/>
              </w:rPr>
              <w:t>绿化浇灌</w:t>
            </w:r>
            <w:r w:rsidRPr="00194A28">
              <w:rPr>
                <w:b w:val="0"/>
                <w:bCs/>
              </w:rPr>
              <w:t>/m</w:t>
            </w:r>
            <w:r w:rsidRPr="00F83296">
              <w:rPr>
                <w:b w:val="0"/>
                <w:bCs/>
                <w:vertAlign w:val="superscript"/>
              </w:rPr>
              <w:t>3</w:t>
            </w:r>
          </w:p>
        </w:tc>
        <w:tc>
          <w:tcPr>
            <w:tcW w:w="323" w:type="pct"/>
            <w:shd w:val="clear" w:color="auto" w:fill="auto"/>
            <w:noWrap/>
            <w:vAlign w:val="center"/>
          </w:tcPr>
          <w:p w14:paraId="6A46585C" w14:textId="77777777" w:rsidR="003D3C65" w:rsidRPr="00194A28" w:rsidRDefault="003D3C65" w:rsidP="003D3C65">
            <w:pPr>
              <w:pStyle w:val="ae"/>
              <w:rPr>
                <w:b w:val="0"/>
                <w:bCs/>
              </w:rPr>
            </w:pPr>
          </w:p>
        </w:tc>
        <w:tc>
          <w:tcPr>
            <w:tcW w:w="323" w:type="pct"/>
            <w:gridSpan w:val="2"/>
            <w:shd w:val="clear" w:color="auto" w:fill="auto"/>
            <w:vAlign w:val="center"/>
          </w:tcPr>
          <w:p w14:paraId="27B8B689" w14:textId="77777777" w:rsidR="003D3C65" w:rsidRPr="00194A28" w:rsidRDefault="003D3C65" w:rsidP="003D3C65">
            <w:pPr>
              <w:pStyle w:val="ae"/>
              <w:rPr>
                <w:b w:val="0"/>
                <w:bCs/>
              </w:rPr>
            </w:pPr>
          </w:p>
        </w:tc>
        <w:tc>
          <w:tcPr>
            <w:tcW w:w="324" w:type="pct"/>
            <w:gridSpan w:val="2"/>
            <w:shd w:val="clear" w:color="auto" w:fill="auto"/>
            <w:vAlign w:val="center"/>
          </w:tcPr>
          <w:p w14:paraId="743F7BEF" w14:textId="77777777" w:rsidR="003D3C65" w:rsidRPr="00194A28" w:rsidRDefault="003D3C65" w:rsidP="003D3C65">
            <w:pPr>
              <w:pStyle w:val="ae"/>
              <w:rPr>
                <w:b w:val="0"/>
                <w:bCs/>
              </w:rPr>
            </w:pPr>
          </w:p>
        </w:tc>
        <w:tc>
          <w:tcPr>
            <w:tcW w:w="323" w:type="pct"/>
            <w:gridSpan w:val="2"/>
            <w:shd w:val="clear" w:color="auto" w:fill="auto"/>
            <w:vAlign w:val="center"/>
          </w:tcPr>
          <w:p w14:paraId="42827BAE" w14:textId="77777777" w:rsidR="003D3C65" w:rsidRPr="00194A28" w:rsidRDefault="003D3C65" w:rsidP="003D3C65">
            <w:pPr>
              <w:pStyle w:val="ae"/>
              <w:rPr>
                <w:b w:val="0"/>
                <w:bCs/>
              </w:rPr>
            </w:pPr>
          </w:p>
        </w:tc>
        <w:tc>
          <w:tcPr>
            <w:tcW w:w="324" w:type="pct"/>
            <w:gridSpan w:val="2"/>
            <w:shd w:val="clear" w:color="auto" w:fill="auto"/>
            <w:vAlign w:val="center"/>
          </w:tcPr>
          <w:p w14:paraId="22CFA5CB" w14:textId="77777777" w:rsidR="003D3C65" w:rsidRPr="00194A28" w:rsidRDefault="003D3C65" w:rsidP="003D3C65">
            <w:pPr>
              <w:pStyle w:val="ae"/>
              <w:rPr>
                <w:b w:val="0"/>
                <w:bCs/>
              </w:rPr>
            </w:pPr>
          </w:p>
        </w:tc>
        <w:tc>
          <w:tcPr>
            <w:tcW w:w="323" w:type="pct"/>
            <w:gridSpan w:val="2"/>
            <w:shd w:val="clear" w:color="auto" w:fill="auto"/>
            <w:vAlign w:val="center"/>
          </w:tcPr>
          <w:p w14:paraId="13181F96" w14:textId="77777777" w:rsidR="003D3C65" w:rsidRPr="00194A28" w:rsidRDefault="003D3C65" w:rsidP="003D3C65">
            <w:pPr>
              <w:pStyle w:val="ae"/>
              <w:rPr>
                <w:b w:val="0"/>
                <w:bCs/>
              </w:rPr>
            </w:pPr>
          </w:p>
        </w:tc>
        <w:tc>
          <w:tcPr>
            <w:tcW w:w="323" w:type="pct"/>
            <w:gridSpan w:val="2"/>
            <w:shd w:val="clear" w:color="auto" w:fill="auto"/>
            <w:vAlign w:val="center"/>
          </w:tcPr>
          <w:p w14:paraId="1F8071DF" w14:textId="77777777" w:rsidR="003D3C65" w:rsidRPr="00194A28" w:rsidRDefault="003D3C65" w:rsidP="003D3C65">
            <w:pPr>
              <w:pStyle w:val="ae"/>
              <w:rPr>
                <w:b w:val="0"/>
                <w:bCs/>
              </w:rPr>
            </w:pPr>
          </w:p>
        </w:tc>
        <w:tc>
          <w:tcPr>
            <w:tcW w:w="324" w:type="pct"/>
            <w:gridSpan w:val="2"/>
            <w:shd w:val="clear" w:color="auto" w:fill="auto"/>
            <w:vAlign w:val="center"/>
          </w:tcPr>
          <w:p w14:paraId="1D9D2A37" w14:textId="77777777" w:rsidR="003D3C65" w:rsidRPr="00194A28" w:rsidRDefault="003D3C65" w:rsidP="003D3C65">
            <w:pPr>
              <w:pStyle w:val="ae"/>
              <w:rPr>
                <w:b w:val="0"/>
                <w:bCs/>
              </w:rPr>
            </w:pPr>
          </w:p>
        </w:tc>
        <w:tc>
          <w:tcPr>
            <w:tcW w:w="323" w:type="pct"/>
            <w:gridSpan w:val="2"/>
            <w:shd w:val="clear" w:color="auto" w:fill="auto"/>
            <w:vAlign w:val="center"/>
          </w:tcPr>
          <w:p w14:paraId="31694E48" w14:textId="77777777" w:rsidR="003D3C65" w:rsidRPr="00194A28" w:rsidRDefault="003D3C65" w:rsidP="003D3C65">
            <w:pPr>
              <w:pStyle w:val="ae"/>
              <w:rPr>
                <w:b w:val="0"/>
                <w:bCs/>
              </w:rPr>
            </w:pPr>
          </w:p>
        </w:tc>
        <w:tc>
          <w:tcPr>
            <w:tcW w:w="324" w:type="pct"/>
            <w:gridSpan w:val="2"/>
            <w:shd w:val="clear" w:color="auto" w:fill="auto"/>
            <w:vAlign w:val="center"/>
          </w:tcPr>
          <w:p w14:paraId="2FECF2E1" w14:textId="77777777" w:rsidR="003D3C65" w:rsidRPr="00194A28" w:rsidRDefault="003D3C65" w:rsidP="003D3C65">
            <w:pPr>
              <w:pStyle w:val="ae"/>
              <w:rPr>
                <w:b w:val="0"/>
                <w:bCs/>
              </w:rPr>
            </w:pPr>
          </w:p>
        </w:tc>
        <w:tc>
          <w:tcPr>
            <w:tcW w:w="323" w:type="pct"/>
            <w:gridSpan w:val="2"/>
            <w:shd w:val="clear" w:color="auto" w:fill="auto"/>
            <w:vAlign w:val="center"/>
          </w:tcPr>
          <w:p w14:paraId="302E6999" w14:textId="77777777" w:rsidR="003D3C65" w:rsidRPr="00194A28" w:rsidRDefault="003D3C65" w:rsidP="003D3C65">
            <w:pPr>
              <w:pStyle w:val="ae"/>
              <w:rPr>
                <w:b w:val="0"/>
                <w:bCs/>
              </w:rPr>
            </w:pPr>
          </w:p>
        </w:tc>
        <w:tc>
          <w:tcPr>
            <w:tcW w:w="322" w:type="pct"/>
            <w:shd w:val="clear" w:color="auto" w:fill="auto"/>
            <w:vAlign w:val="center"/>
          </w:tcPr>
          <w:p w14:paraId="7F95CD79" w14:textId="77777777" w:rsidR="003D3C65" w:rsidRPr="00194A28" w:rsidRDefault="003D3C65" w:rsidP="003D3C65">
            <w:pPr>
              <w:pStyle w:val="ae"/>
              <w:rPr>
                <w:b w:val="0"/>
                <w:bCs/>
              </w:rPr>
            </w:pPr>
          </w:p>
        </w:tc>
      </w:tr>
      <w:tr w:rsidR="003D3C65" w:rsidRPr="00194A28" w14:paraId="5730E1CD" w14:textId="77777777" w:rsidTr="003D3C65">
        <w:trPr>
          <w:jc w:val="center"/>
        </w:trPr>
        <w:tc>
          <w:tcPr>
            <w:tcW w:w="1121" w:type="pct"/>
            <w:shd w:val="clear" w:color="auto" w:fill="auto"/>
            <w:noWrap/>
            <w:vAlign w:val="center"/>
          </w:tcPr>
          <w:p w14:paraId="0A6C9F0E" w14:textId="09535D07" w:rsidR="003D3C65" w:rsidRPr="00194A28" w:rsidRDefault="003D3C65" w:rsidP="003D3C65">
            <w:pPr>
              <w:pStyle w:val="ae"/>
              <w:rPr>
                <w:b w:val="0"/>
                <w:bCs/>
              </w:rPr>
            </w:pPr>
            <w:r w:rsidRPr="00194A28">
              <w:rPr>
                <w:rFonts w:hint="eastAsia"/>
                <w:b w:val="0"/>
                <w:bCs/>
              </w:rPr>
              <w:t>月总用水量</w:t>
            </w:r>
            <w:r w:rsidRPr="00194A28">
              <w:rPr>
                <w:b w:val="0"/>
                <w:bCs/>
              </w:rPr>
              <w:t>/m</w:t>
            </w:r>
            <w:r w:rsidRPr="00F83296">
              <w:rPr>
                <w:b w:val="0"/>
                <w:bCs/>
                <w:vertAlign w:val="superscript"/>
              </w:rPr>
              <w:t>3</w:t>
            </w:r>
          </w:p>
        </w:tc>
        <w:tc>
          <w:tcPr>
            <w:tcW w:w="323" w:type="pct"/>
            <w:shd w:val="clear" w:color="auto" w:fill="auto"/>
            <w:noWrap/>
            <w:vAlign w:val="center"/>
          </w:tcPr>
          <w:p w14:paraId="041E88D2" w14:textId="77777777" w:rsidR="003D3C65" w:rsidRPr="00194A28" w:rsidRDefault="003D3C65" w:rsidP="003D3C65">
            <w:pPr>
              <w:pStyle w:val="ae"/>
              <w:rPr>
                <w:b w:val="0"/>
                <w:bCs/>
              </w:rPr>
            </w:pPr>
          </w:p>
        </w:tc>
        <w:tc>
          <w:tcPr>
            <w:tcW w:w="323" w:type="pct"/>
            <w:gridSpan w:val="2"/>
            <w:shd w:val="clear" w:color="auto" w:fill="auto"/>
            <w:vAlign w:val="center"/>
          </w:tcPr>
          <w:p w14:paraId="2273A4A0" w14:textId="77777777" w:rsidR="003D3C65" w:rsidRPr="00194A28" w:rsidRDefault="003D3C65" w:rsidP="003D3C65">
            <w:pPr>
              <w:pStyle w:val="ae"/>
              <w:rPr>
                <w:b w:val="0"/>
                <w:bCs/>
              </w:rPr>
            </w:pPr>
          </w:p>
        </w:tc>
        <w:tc>
          <w:tcPr>
            <w:tcW w:w="324" w:type="pct"/>
            <w:gridSpan w:val="2"/>
            <w:shd w:val="clear" w:color="auto" w:fill="auto"/>
            <w:vAlign w:val="center"/>
          </w:tcPr>
          <w:p w14:paraId="497F5AC7" w14:textId="77777777" w:rsidR="003D3C65" w:rsidRPr="00194A28" w:rsidRDefault="003D3C65" w:rsidP="003D3C65">
            <w:pPr>
              <w:pStyle w:val="ae"/>
              <w:rPr>
                <w:b w:val="0"/>
                <w:bCs/>
              </w:rPr>
            </w:pPr>
          </w:p>
        </w:tc>
        <w:tc>
          <w:tcPr>
            <w:tcW w:w="323" w:type="pct"/>
            <w:gridSpan w:val="2"/>
            <w:shd w:val="clear" w:color="auto" w:fill="auto"/>
            <w:vAlign w:val="center"/>
          </w:tcPr>
          <w:p w14:paraId="35CA572A" w14:textId="77777777" w:rsidR="003D3C65" w:rsidRPr="00194A28" w:rsidRDefault="003D3C65" w:rsidP="003D3C65">
            <w:pPr>
              <w:pStyle w:val="ae"/>
              <w:rPr>
                <w:b w:val="0"/>
                <w:bCs/>
              </w:rPr>
            </w:pPr>
          </w:p>
        </w:tc>
        <w:tc>
          <w:tcPr>
            <w:tcW w:w="324" w:type="pct"/>
            <w:gridSpan w:val="2"/>
            <w:shd w:val="clear" w:color="auto" w:fill="auto"/>
            <w:vAlign w:val="center"/>
          </w:tcPr>
          <w:p w14:paraId="2E7EBC0D" w14:textId="77777777" w:rsidR="003D3C65" w:rsidRPr="00194A28" w:rsidRDefault="003D3C65" w:rsidP="003D3C65">
            <w:pPr>
              <w:pStyle w:val="ae"/>
              <w:rPr>
                <w:b w:val="0"/>
                <w:bCs/>
              </w:rPr>
            </w:pPr>
          </w:p>
        </w:tc>
        <w:tc>
          <w:tcPr>
            <w:tcW w:w="323" w:type="pct"/>
            <w:gridSpan w:val="2"/>
            <w:shd w:val="clear" w:color="auto" w:fill="auto"/>
            <w:vAlign w:val="center"/>
          </w:tcPr>
          <w:p w14:paraId="4F0117BD" w14:textId="77777777" w:rsidR="003D3C65" w:rsidRPr="00194A28" w:rsidRDefault="003D3C65" w:rsidP="003D3C65">
            <w:pPr>
              <w:pStyle w:val="ae"/>
              <w:rPr>
                <w:b w:val="0"/>
                <w:bCs/>
              </w:rPr>
            </w:pPr>
          </w:p>
        </w:tc>
        <w:tc>
          <w:tcPr>
            <w:tcW w:w="323" w:type="pct"/>
            <w:gridSpan w:val="2"/>
            <w:shd w:val="clear" w:color="auto" w:fill="auto"/>
            <w:vAlign w:val="center"/>
          </w:tcPr>
          <w:p w14:paraId="77F87F67" w14:textId="77777777" w:rsidR="003D3C65" w:rsidRPr="00194A28" w:rsidRDefault="003D3C65" w:rsidP="003D3C65">
            <w:pPr>
              <w:pStyle w:val="ae"/>
              <w:rPr>
                <w:b w:val="0"/>
                <w:bCs/>
              </w:rPr>
            </w:pPr>
          </w:p>
        </w:tc>
        <w:tc>
          <w:tcPr>
            <w:tcW w:w="324" w:type="pct"/>
            <w:gridSpan w:val="2"/>
            <w:shd w:val="clear" w:color="auto" w:fill="auto"/>
            <w:vAlign w:val="center"/>
          </w:tcPr>
          <w:p w14:paraId="133C9924" w14:textId="77777777" w:rsidR="003D3C65" w:rsidRPr="00194A28" w:rsidRDefault="003D3C65" w:rsidP="003D3C65">
            <w:pPr>
              <w:pStyle w:val="ae"/>
              <w:rPr>
                <w:b w:val="0"/>
                <w:bCs/>
              </w:rPr>
            </w:pPr>
          </w:p>
        </w:tc>
        <w:tc>
          <w:tcPr>
            <w:tcW w:w="323" w:type="pct"/>
            <w:gridSpan w:val="2"/>
            <w:shd w:val="clear" w:color="auto" w:fill="auto"/>
            <w:vAlign w:val="center"/>
          </w:tcPr>
          <w:p w14:paraId="16CBC456" w14:textId="77777777" w:rsidR="003D3C65" w:rsidRPr="00194A28" w:rsidRDefault="003D3C65" w:rsidP="003D3C65">
            <w:pPr>
              <w:pStyle w:val="ae"/>
              <w:rPr>
                <w:b w:val="0"/>
                <w:bCs/>
              </w:rPr>
            </w:pPr>
          </w:p>
        </w:tc>
        <w:tc>
          <w:tcPr>
            <w:tcW w:w="324" w:type="pct"/>
            <w:gridSpan w:val="2"/>
            <w:shd w:val="clear" w:color="auto" w:fill="auto"/>
            <w:vAlign w:val="center"/>
          </w:tcPr>
          <w:p w14:paraId="2237CAF2" w14:textId="77777777" w:rsidR="003D3C65" w:rsidRPr="00194A28" w:rsidRDefault="003D3C65" w:rsidP="003D3C65">
            <w:pPr>
              <w:pStyle w:val="ae"/>
              <w:rPr>
                <w:b w:val="0"/>
                <w:bCs/>
              </w:rPr>
            </w:pPr>
          </w:p>
        </w:tc>
        <w:tc>
          <w:tcPr>
            <w:tcW w:w="323" w:type="pct"/>
            <w:gridSpan w:val="2"/>
            <w:shd w:val="clear" w:color="auto" w:fill="auto"/>
            <w:vAlign w:val="center"/>
          </w:tcPr>
          <w:p w14:paraId="51716620" w14:textId="77777777" w:rsidR="003D3C65" w:rsidRPr="00194A28" w:rsidRDefault="003D3C65" w:rsidP="003D3C65">
            <w:pPr>
              <w:pStyle w:val="ae"/>
              <w:rPr>
                <w:b w:val="0"/>
                <w:bCs/>
              </w:rPr>
            </w:pPr>
          </w:p>
        </w:tc>
        <w:tc>
          <w:tcPr>
            <w:tcW w:w="322" w:type="pct"/>
            <w:shd w:val="clear" w:color="auto" w:fill="auto"/>
            <w:vAlign w:val="center"/>
          </w:tcPr>
          <w:p w14:paraId="0667CD05" w14:textId="77777777" w:rsidR="003D3C65" w:rsidRPr="00194A28" w:rsidRDefault="003D3C65" w:rsidP="003D3C65">
            <w:pPr>
              <w:pStyle w:val="ae"/>
              <w:rPr>
                <w:b w:val="0"/>
                <w:bCs/>
              </w:rPr>
            </w:pPr>
          </w:p>
        </w:tc>
      </w:tr>
      <w:tr w:rsidR="003D3C65" w:rsidRPr="00194A28" w14:paraId="20015EF4" w14:textId="77777777" w:rsidTr="003D3C65">
        <w:trPr>
          <w:jc w:val="center"/>
        </w:trPr>
        <w:tc>
          <w:tcPr>
            <w:tcW w:w="1121" w:type="pct"/>
            <w:shd w:val="clear" w:color="auto" w:fill="auto"/>
            <w:noWrap/>
            <w:vAlign w:val="center"/>
          </w:tcPr>
          <w:p w14:paraId="6C653B48" w14:textId="6FA47A26" w:rsidR="003D3C65" w:rsidRPr="00194A28" w:rsidRDefault="003D3C65" w:rsidP="003D3C65">
            <w:pPr>
              <w:pStyle w:val="ae"/>
              <w:rPr>
                <w:b w:val="0"/>
                <w:bCs/>
              </w:rPr>
            </w:pPr>
            <w:r w:rsidRPr="00194A28">
              <w:rPr>
                <w:rFonts w:hint="eastAsia"/>
                <w:b w:val="0"/>
                <w:bCs/>
              </w:rPr>
              <w:t>总用水量</w:t>
            </w:r>
            <w:r w:rsidRPr="00194A28">
              <w:rPr>
                <w:b w:val="0"/>
                <w:bCs/>
              </w:rPr>
              <w:t>/m</w:t>
            </w:r>
            <w:r w:rsidRPr="00F83296">
              <w:rPr>
                <w:b w:val="0"/>
                <w:bCs/>
                <w:vertAlign w:val="superscript"/>
              </w:rPr>
              <w:t>3</w:t>
            </w:r>
          </w:p>
        </w:tc>
        <w:tc>
          <w:tcPr>
            <w:tcW w:w="3879" w:type="pct"/>
            <w:gridSpan w:val="22"/>
            <w:shd w:val="clear" w:color="auto" w:fill="auto"/>
            <w:noWrap/>
            <w:vAlign w:val="center"/>
          </w:tcPr>
          <w:p w14:paraId="44738D52" w14:textId="77777777" w:rsidR="003D3C65" w:rsidRPr="00194A28" w:rsidRDefault="003D3C65" w:rsidP="003D3C65">
            <w:pPr>
              <w:pStyle w:val="ae"/>
              <w:rPr>
                <w:b w:val="0"/>
                <w:bCs/>
              </w:rPr>
            </w:pPr>
          </w:p>
        </w:tc>
      </w:tr>
      <w:tr w:rsidR="003D3C65" w:rsidRPr="00194A28" w14:paraId="2AE25BA4" w14:textId="77777777" w:rsidTr="003D3C65">
        <w:trPr>
          <w:jc w:val="center"/>
        </w:trPr>
        <w:tc>
          <w:tcPr>
            <w:tcW w:w="1121" w:type="pct"/>
            <w:shd w:val="clear" w:color="auto" w:fill="auto"/>
            <w:noWrap/>
            <w:vAlign w:val="center"/>
          </w:tcPr>
          <w:p w14:paraId="23003507" w14:textId="48E26171" w:rsidR="003D3C65" w:rsidRPr="00194A28" w:rsidRDefault="003D3C65" w:rsidP="003D3C65">
            <w:pPr>
              <w:pStyle w:val="ae"/>
              <w:rPr>
                <w:b w:val="0"/>
                <w:bCs/>
              </w:rPr>
            </w:pPr>
            <w:r w:rsidRPr="00194A28">
              <w:rPr>
                <w:rFonts w:hint="eastAsia"/>
                <w:b w:val="0"/>
                <w:bCs/>
              </w:rPr>
              <w:t>非传统水富余量</w:t>
            </w:r>
            <w:r w:rsidRPr="00194A28">
              <w:rPr>
                <w:b w:val="0"/>
                <w:bCs/>
              </w:rPr>
              <w:t>/m</w:t>
            </w:r>
            <w:r w:rsidRPr="00F83296">
              <w:rPr>
                <w:b w:val="0"/>
                <w:bCs/>
                <w:vertAlign w:val="superscript"/>
              </w:rPr>
              <w:t>3</w:t>
            </w:r>
          </w:p>
        </w:tc>
        <w:tc>
          <w:tcPr>
            <w:tcW w:w="323" w:type="pct"/>
            <w:shd w:val="clear" w:color="auto" w:fill="auto"/>
            <w:noWrap/>
            <w:vAlign w:val="center"/>
          </w:tcPr>
          <w:p w14:paraId="59FF1925" w14:textId="77777777" w:rsidR="003D3C65" w:rsidRPr="00194A28" w:rsidRDefault="003D3C65" w:rsidP="003D3C65">
            <w:pPr>
              <w:pStyle w:val="ae"/>
              <w:rPr>
                <w:b w:val="0"/>
                <w:bCs/>
              </w:rPr>
            </w:pPr>
          </w:p>
        </w:tc>
        <w:tc>
          <w:tcPr>
            <w:tcW w:w="323" w:type="pct"/>
            <w:gridSpan w:val="2"/>
            <w:shd w:val="clear" w:color="auto" w:fill="auto"/>
            <w:vAlign w:val="center"/>
          </w:tcPr>
          <w:p w14:paraId="2A7484D9" w14:textId="77777777" w:rsidR="003D3C65" w:rsidRPr="00194A28" w:rsidRDefault="003D3C65" w:rsidP="003D3C65">
            <w:pPr>
              <w:pStyle w:val="ae"/>
              <w:rPr>
                <w:b w:val="0"/>
                <w:bCs/>
              </w:rPr>
            </w:pPr>
          </w:p>
        </w:tc>
        <w:tc>
          <w:tcPr>
            <w:tcW w:w="324" w:type="pct"/>
            <w:gridSpan w:val="2"/>
            <w:shd w:val="clear" w:color="auto" w:fill="auto"/>
            <w:vAlign w:val="center"/>
          </w:tcPr>
          <w:p w14:paraId="53193B98" w14:textId="77777777" w:rsidR="003D3C65" w:rsidRPr="00194A28" w:rsidRDefault="003D3C65" w:rsidP="003D3C65">
            <w:pPr>
              <w:pStyle w:val="ae"/>
              <w:rPr>
                <w:b w:val="0"/>
                <w:bCs/>
              </w:rPr>
            </w:pPr>
          </w:p>
        </w:tc>
        <w:tc>
          <w:tcPr>
            <w:tcW w:w="323" w:type="pct"/>
            <w:gridSpan w:val="2"/>
            <w:shd w:val="clear" w:color="auto" w:fill="auto"/>
            <w:vAlign w:val="center"/>
          </w:tcPr>
          <w:p w14:paraId="0A1009FE" w14:textId="77777777" w:rsidR="003D3C65" w:rsidRPr="00194A28" w:rsidRDefault="003D3C65" w:rsidP="003D3C65">
            <w:pPr>
              <w:pStyle w:val="ae"/>
              <w:rPr>
                <w:b w:val="0"/>
                <w:bCs/>
              </w:rPr>
            </w:pPr>
          </w:p>
        </w:tc>
        <w:tc>
          <w:tcPr>
            <w:tcW w:w="324" w:type="pct"/>
            <w:gridSpan w:val="2"/>
            <w:shd w:val="clear" w:color="auto" w:fill="auto"/>
            <w:vAlign w:val="center"/>
          </w:tcPr>
          <w:p w14:paraId="245C0B99" w14:textId="77777777" w:rsidR="003D3C65" w:rsidRPr="00194A28" w:rsidRDefault="003D3C65" w:rsidP="003D3C65">
            <w:pPr>
              <w:pStyle w:val="ae"/>
              <w:rPr>
                <w:b w:val="0"/>
                <w:bCs/>
              </w:rPr>
            </w:pPr>
          </w:p>
        </w:tc>
        <w:tc>
          <w:tcPr>
            <w:tcW w:w="323" w:type="pct"/>
            <w:gridSpan w:val="2"/>
            <w:shd w:val="clear" w:color="auto" w:fill="auto"/>
            <w:vAlign w:val="center"/>
          </w:tcPr>
          <w:p w14:paraId="7A35BA81" w14:textId="77777777" w:rsidR="003D3C65" w:rsidRPr="00194A28" w:rsidRDefault="003D3C65" w:rsidP="003D3C65">
            <w:pPr>
              <w:pStyle w:val="ae"/>
              <w:rPr>
                <w:b w:val="0"/>
                <w:bCs/>
              </w:rPr>
            </w:pPr>
          </w:p>
        </w:tc>
        <w:tc>
          <w:tcPr>
            <w:tcW w:w="323" w:type="pct"/>
            <w:gridSpan w:val="2"/>
            <w:shd w:val="clear" w:color="auto" w:fill="auto"/>
            <w:vAlign w:val="center"/>
          </w:tcPr>
          <w:p w14:paraId="7A40E377" w14:textId="77777777" w:rsidR="003D3C65" w:rsidRPr="00194A28" w:rsidRDefault="003D3C65" w:rsidP="003D3C65">
            <w:pPr>
              <w:pStyle w:val="ae"/>
              <w:rPr>
                <w:b w:val="0"/>
                <w:bCs/>
              </w:rPr>
            </w:pPr>
          </w:p>
        </w:tc>
        <w:tc>
          <w:tcPr>
            <w:tcW w:w="324" w:type="pct"/>
            <w:gridSpan w:val="2"/>
            <w:shd w:val="clear" w:color="auto" w:fill="auto"/>
            <w:vAlign w:val="center"/>
          </w:tcPr>
          <w:p w14:paraId="26634F22" w14:textId="77777777" w:rsidR="003D3C65" w:rsidRPr="00194A28" w:rsidRDefault="003D3C65" w:rsidP="003D3C65">
            <w:pPr>
              <w:pStyle w:val="ae"/>
              <w:rPr>
                <w:b w:val="0"/>
                <w:bCs/>
              </w:rPr>
            </w:pPr>
          </w:p>
        </w:tc>
        <w:tc>
          <w:tcPr>
            <w:tcW w:w="323" w:type="pct"/>
            <w:gridSpan w:val="2"/>
            <w:shd w:val="clear" w:color="auto" w:fill="auto"/>
            <w:vAlign w:val="center"/>
          </w:tcPr>
          <w:p w14:paraId="4ADF8B6A" w14:textId="77777777" w:rsidR="003D3C65" w:rsidRPr="00194A28" w:rsidRDefault="003D3C65" w:rsidP="003D3C65">
            <w:pPr>
              <w:pStyle w:val="ae"/>
              <w:rPr>
                <w:b w:val="0"/>
                <w:bCs/>
              </w:rPr>
            </w:pPr>
          </w:p>
        </w:tc>
        <w:tc>
          <w:tcPr>
            <w:tcW w:w="324" w:type="pct"/>
            <w:gridSpan w:val="2"/>
            <w:shd w:val="clear" w:color="auto" w:fill="auto"/>
            <w:vAlign w:val="center"/>
          </w:tcPr>
          <w:p w14:paraId="7CF446F5" w14:textId="77777777" w:rsidR="003D3C65" w:rsidRPr="00194A28" w:rsidRDefault="003D3C65" w:rsidP="003D3C65">
            <w:pPr>
              <w:pStyle w:val="ae"/>
              <w:rPr>
                <w:b w:val="0"/>
                <w:bCs/>
              </w:rPr>
            </w:pPr>
          </w:p>
        </w:tc>
        <w:tc>
          <w:tcPr>
            <w:tcW w:w="323" w:type="pct"/>
            <w:gridSpan w:val="2"/>
            <w:shd w:val="clear" w:color="auto" w:fill="auto"/>
            <w:vAlign w:val="center"/>
          </w:tcPr>
          <w:p w14:paraId="425322F5" w14:textId="77777777" w:rsidR="003D3C65" w:rsidRPr="00194A28" w:rsidRDefault="003D3C65" w:rsidP="003D3C65">
            <w:pPr>
              <w:pStyle w:val="ae"/>
              <w:rPr>
                <w:b w:val="0"/>
                <w:bCs/>
              </w:rPr>
            </w:pPr>
          </w:p>
        </w:tc>
        <w:tc>
          <w:tcPr>
            <w:tcW w:w="322" w:type="pct"/>
            <w:shd w:val="clear" w:color="auto" w:fill="auto"/>
            <w:vAlign w:val="center"/>
          </w:tcPr>
          <w:p w14:paraId="0A70F7E2" w14:textId="77777777" w:rsidR="003D3C65" w:rsidRPr="00194A28" w:rsidRDefault="003D3C65" w:rsidP="003D3C65">
            <w:pPr>
              <w:pStyle w:val="ae"/>
              <w:rPr>
                <w:b w:val="0"/>
                <w:bCs/>
              </w:rPr>
            </w:pPr>
          </w:p>
        </w:tc>
      </w:tr>
      <w:tr w:rsidR="003D3C65" w:rsidRPr="00194A28" w14:paraId="0380AC35" w14:textId="77777777" w:rsidTr="003D3C65">
        <w:trPr>
          <w:jc w:val="center"/>
        </w:trPr>
        <w:tc>
          <w:tcPr>
            <w:tcW w:w="1121" w:type="pct"/>
            <w:shd w:val="clear" w:color="auto" w:fill="auto"/>
            <w:noWrap/>
            <w:vAlign w:val="center"/>
          </w:tcPr>
          <w:p w14:paraId="2CB33BBE" w14:textId="7A5B27D8" w:rsidR="003D3C65" w:rsidRPr="00194A28" w:rsidRDefault="003D3C65" w:rsidP="003D3C65">
            <w:pPr>
              <w:pStyle w:val="ae"/>
              <w:rPr>
                <w:b w:val="0"/>
                <w:bCs/>
              </w:rPr>
            </w:pPr>
            <w:r w:rsidRPr="00194A28">
              <w:rPr>
                <w:rFonts w:hint="eastAsia"/>
                <w:b w:val="0"/>
                <w:bCs/>
              </w:rPr>
              <w:t>非传统水利用量</w:t>
            </w:r>
            <w:r w:rsidRPr="00194A28">
              <w:rPr>
                <w:b w:val="0"/>
                <w:bCs/>
              </w:rPr>
              <w:t>/m</w:t>
            </w:r>
            <w:r w:rsidRPr="00F83296">
              <w:rPr>
                <w:b w:val="0"/>
                <w:bCs/>
                <w:vertAlign w:val="superscript"/>
              </w:rPr>
              <w:t>3</w:t>
            </w:r>
          </w:p>
        </w:tc>
        <w:tc>
          <w:tcPr>
            <w:tcW w:w="323" w:type="pct"/>
            <w:shd w:val="clear" w:color="auto" w:fill="auto"/>
            <w:noWrap/>
            <w:vAlign w:val="center"/>
          </w:tcPr>
          <w:p w14:paraId="7307A6F6" w14:textId="77777777" w:rsidR="003D3C65" w:rsidRPr="00194A28" w:rsidRDefault="003D3C65" w:rsidP="003D3C65">
            <w:pPr>
              <w:pStyle w:val="ae"/>
              <w:rPr>
                <w:b w:val="0"/>
                <w:bCs/>
              </w:rPr>
            </w:pPr>
          </w:p>
        </w:tc>
        <w:tc>
          <w:tcPr>
            <w:tcW w:w="323" w:type="pct"/>
            <w:gridSpan w:val="2"/>
            <w:shd w:val="clear" w:color="auto" w:fill="auto"/>
            <w:vAlign w:val="center"/>
          </w:tcPr>
          <w:p w14:paraId="079D1B64" w14:textId="77777777" w:rsidR="003D3C65" w:rsidRPr="00194A28" w:rsidRDefault="003D3C65" w:rsidP="003D3C65">
            <w:pPr>
              <w:pStyle w:val="ae"/>
              <w:rPr>
                <w:b w:val="0"/>
                <w:bCs/>
              </w:rPr>
            </w:pPr>
          </w:p>
        </w:tc>
        <w:tc>
          <w:tcPr>
            <w:tcW w:w="324" w:type="pct"/>
            <w:gridSpan w:val="2"/>
            <w:shd w:val="clear" w:color="auto" w:fill="auto"/>
            <w:vAlign w:val="center"/>
          </w:tcPr>
          <w:p w14:paraId="31306DB9" w14:textId="77777777" w:rsidR="003D3C65" w:rsidRPr="00194A28" w:rsidRDefault="003D3C65" w:rsidP="003D3C65">
            <w:pPr>
              <w:pStyle w:val="ae"/>
              <w:rPr>
                <w:b w:val="0"/>
                <w:bCs/>
              </w:rPr>
            </w:pPr>
          </w:p>
        </w:tc>
        <w:tc>
          <w:tcPr>
            <w:tcW w:w="323" w:type="pct"/>
            <w:gridSpan w:val="2"/>
            <w:shd w:val="clear" w:color="auto" w:fill="auto"/>
            <w:vAlign w:val="center"/>
          </w:tcPr>
          <w:p w14:paraId="29EE13FF" w14:textId="77777777" w:rsidR="003D3C65" w:rsidRPr="00194A28" w:rsidRDefault="003D3C65" w:rsidP="003D3C65">
            <w:pPr>
              <w:pStyle w:val="ae"/>
              <w:rPr>
                <w:b w:val="0"/>
                <w:bCs/>
              </w:rPr>
            </w:pPr>
          </w:p>
        </w:tc>
        <w:tc>
          <w:tcPr>
            <w:tcW w:w="324" w:type="pct"/>
            <w:gridSpan w:val="2"/>
            <w:shd w:val="clear" w:color="auto" w:fill="auto"/>
            <w:vAlign w:val="center"/>
          </w:tcPr>
          <w:p w14:paraId="2D81E38C" w14:textId="77777777" w:rsidR="003D3C65" w:rsidRPr="00194A28" w:rsidRDefault="003D3C65" w:rsidP="003D3C65">
            <w:pPr>
              <w:pStyle w:val="ae"/>
              <w:rPr>
                <w:b w:val="0"/>
                <w:bCs/>
              </w:rPr>
            </w:pPr>
          </w:p>
        </w:tc>
        <w:tc>
          <w:tcPr>
            <w:tcW w:w="323" w:type="pct"/>
            <w:gridSpan w:val="2"/>
            <w:shd w:val="clear" w:color="auto" w:fill="auto"/>
            <w:vAlign w:val="center"/>
          </w:tcPr>
          <w:p w14:paraId="6B033764" w14:textId="77777777" w:rsidR="003D3C65" w:rsidRPr="00194A28" w:rsidRDefault="003D3C65" w:rsidP="003D3C65">
            <w:pPr>
              <w:pStyle w:val="ae"/>
              <w:rPr>
                <w:b w:val="0"/>
                <w:bCs/>
              </w:rPr>
            </w:pPr>
          </w:p>
        </w:tc>
        <w:tc>
          <w:tcPr>
            <w:tcW w:w="323" w:type="pct"/>
            <w:gridSpan w:val="2"/>
            <w:shd w:val="clear" w:color="auto" w:fill="auto"/>
            <w:vAlign w:val="center"/>
          </w:tcPr>
          <w:p w14:paraId="7570E6BE" w14:textId="77777777" w:rsidR="003D3C65" w:rsidRPr="00194A28" w:rsidRDefault="003D3C65" w:rsidP="003D3C65">
            <w:pPr>
              <w:pStyle w:val="ae"/>
              <w:rPr>
                <w:b w:val="0"/>
                <w:bCs/>
              </w:rPr>
            </w:pPr>
          </w:p>
        </w:tc>
        <w:tc>
          <w:tcPr>
            <w:tcW w:w="324" w:type="pct"/>
            <w:gridSpan w:val="2"/>
            <w:shd w:val="clear" w:color="auto" w:fill="auto"/>
            <w:vAlign w:val="center"/>
          </w:tcPr>
          <w:p w14:paraId="07510B20" w14:textId="77777777" w:rsidR="003D3C65" w:rsidRPr="00194A28" w:rsidRDefault="003D3C65" w:rsidP="003D3C65">
            <w:pPr>
              <w:pStyle w:val="ae"/>
              <w:rPr>
                <w:b w:val="0"/>
                <w:bCs/>
              </w:rPr>
            </w:pPr>
          </w:p>
        </w:tc>
        <w:tc>
          <w:tcPr>
            <w:tcW w:w="323" w:type="pct"/>
            <w:gridSpan w:val="2"/>
            <w:shd w:val="clear" w:color="auto" w:fill="auto"/>
            <w:vAlign w:val="center"/>
          </w:tcPr>
          <w:p w14:paraId="4B248717" w14:textId="77777777" w:rsidR="003D3C65" w:rsidRPr="00194A28" w:rsidRDefault="003D3C65" w:rsidP="003D3C65">
            <w:pPr>
              <w:pStyle w:val="ae"/>
              <w:rPr>
                <w:b w:val="0"/>
                <w:bCs/>
              </w:rPr>
            </w:pPr>
          </w:p>
        </w:tc>
        <w:tc>
          <w:tcPr>
            <w:tcW w:w="324" w:type="pct"/>
            <w:gridSpan w:val="2"/>
            <w:shd w:val="clear" w:color="auto" w:fill="auto"/>
            <w:vAlign w:val="center"/>
          </w:tcPr>
          <w:p w14:paraId="535F6D99" w14:textId="77777777" w:rsidR="003D3C65" w:rsidRPr="00194A28" w:rsidRDefault="003D3C65" w:rsidP="003D3C65">
            <w:pPr>
              <w:pStyle w:val="ae"/>
              <w:rPr>
                <w:b w:val="0"/>
                <w:bCs/>
              </w:rPr>
            </w:pPr>
          </w:p>
        </w:tc>
        <w:tc>
          <w:tcPr>
            <w:tcW w:w="323" w:type="pct"/>
            <w:gridSpan w:val="2"/>
            <w:shd w:val="clear" w:color="auto" w:fill="auto"/>
            <w:vAlign w:val="center"/>
          </w:tcPr>
          <w:p w14:paraId="0EFC642C" w14:textId="77777777" w:rsidR="003D3C65" w:rsidRPr="00194A28" w:rsidRDefault="003D3C65" w:rsidP="003D3C65">
            <w:pPr>
              <w:pStyle w:val="ae"/>
              <w:rPr>
                <w:b w:val="0"/>
                <w:bCs/>
              </w:rPr>
            </w:pPr>
          </w:p>
        </w:tc>
        <w:tc>
          <w:tcPr>
            <w:tcW w:w="322" w:type="pct"/>
            <w:shd w:val="clear" w:color="auto" w:fill="auto"/>
            <w:vAlign w:val="center"/>
          </w:tcPr>
          <w:p w14:paraId="039B9A72" w14:textId="77777777" w:rsidR="003D3C65" w:rsidRPr="00194A28" w:rsidRDefault="003D3C65" w:rsidP="003D3C65">
            <w:pPr>
              <w:pStyle w:val="ae"/>
              <w:rPr>
                <w:b w:val="0"/>
                <w:bCs/>
              </w:rPr>
            </w:pPr>
          </w:p>
        </w:tc>
      </w:tr>
      <w:tr w:rsidR="003D3C65" w:rsidRPr="00194A28" w14:paraId="414A1204" w14:textId="77777777" w:rsidTr="003D3C65">
        <w:trPr>
          <w:jc w:val="center"/>
        </w:trPr>
        <w:tc>
          <w:tcPr>
            <w:tcW w:w="1121" w:type="pct"/>
            <w:shd w:val="clear" w:color="auto" w:fill="auto"/>
            <w:noWrap/>
            <w:vAlign w:val="center"/>
          </w:tcPr>
          <w:p w14:paraId="37D6B09F" w14:textId="51A1E89C" w:rsidR="003D3C65" w:rsidRPr="00194A28" w:rsidRDefault="003D3C65" w:rsidP="003D3C65">
            <w:pPr>
              <w:pStyle w:val="ae"/>
              <w:rPr>
                <w:b w:val="0"/>
                <w:bCs/>
              </w:rPr>
            </w:pPr>
            <w:r w:rsidRPr="00194A28">
              <w:rPr>
                <w:rFonts w:hint="eastAsia"/>
                <w:b w:val="0"/>
                <w:bCs/>
              </w:rPr>
              <w:t>非传统水利用总量</w:t>
            </w:r>
            <w:r w:rsidRPr="00194A28">
              <w:rPr>
                <w:b w:val="0"/>
                <w:bCs/>
              </w:rPr>
              <w:t>/m</w:t>
            </w:r>
            <w:r w:rsidRPr="00F83296">
              <w:rPr>
                <w:b w:val="0"/>
                <w:bCs/>
                <w:vertAlign w:val="superscript"/>
              </w:rPr>
              <w:t>3</w:t>
            </w:r>
          </w:p>
        </w:tc>
        <w:tc>
          <w:tcPr>
            <w:tcW w:w="3879" w:type="pct"/>
            <w:gridSpan w:val="22"/>
            <w:shd w:val="clear" w:color="auto" w:fill="auto"/>
            <w:noWrap/>
            <w:vAlign w:val="center"/>
          </w:tcPr>
          <w:p w14:paraId="7846702B" w14:textId="77777777" w:rsidR="003D3C65" w:rsidRPr="00194A28" w:rsidRDefault="003D3C65" w:rsidP="003D3C65">
            <w:pPr>
              <w:pStyle w:val="ae"/>
              <w:rPr>
                <w:b w:val="0"/>
                <w:bCs/>
              </w:rPr>
            </w:pPr>
          </w:p>
        </w:tc>
      </w:tr>
    </w:tbl>
    <w:p w14:paraId="0163F360" w14:textId="5CDDCA22" w:rsidR="00913C78" w:rsidRPr="00913C78" w:rsidRDefault="00913C78" w:rsidP="00194A28">
      <w:pPr>
        <w:ind w:firstLine="420"/>
        <w:jc w:val="right"/>
      </w:pPr>
    </w:p>
    <w:p w14:paraId="68D2FF31" w14:textId="77777777" w:rsidR="00913C78" w:rsidRPr="00913C78" w:rsidRDefault="00913C78" w:rsidP="00913C78">
      <w:pPr>
        <w:ind w:firstLine="420"/>
      </w:pPr>
      <w:r w:rsidRPr="00913C78">
        <w:rPr>
          <w:rFonts w:hint="eastAsia"/>
        </w:rPr>
        <w:t>设计用水总量计算</w:t>
      </w:r>
      <w:r w:rsidRPr="00913C78">
        <w:t>结果</w:t>
      </w:r>
      <w:r w:rsidRPr="00913C78">
        <w:rPr>
          <w:rFonts w:hint="eastAsia"/>
        </w:rPr>
        <w:t>应包括项目所有用途的用水量，</w:t>
      </w:r>
      <w:r w:rsidRPr="00913C78">
        <w:t>无相应用途时可以不做计算</w:t>
      </w:r>
      <w:r w:rsidRPr="00913C78">
        <w:rPr>
          <w:rFonts w:hint="eastAsia"/>
        </w:rPr>
        <w:t>（附表</w:t>
      </w:r>
      <w:r w:rsidRPr="00913C78">
        <w:rPr>
          <w:rFonts w:hint="eastAsia"/>
        </w:rPr>
        <w:t>B.3.7</w:t>
      </w:r>
      <w:r w:rsidRPr="00913C78">
        <w:rPr>
          <w:rFonts w:hint="eastAsia"/>
        </w:rPr>
        <w:t>）。</w:t>
      </w:r>
    </w:p>
    <w:p w14:paraId="0194DDDC" w14:textId="77777777" w:rsidR="00913C78" w:rsidRPr="00913C78" w:rsidRDefault="00913C78" w:rsidP="00194A28">
      <w:pPr>
        <w:pStyle w:val="ae"/>
      </w:pPr>
      <w:r w:rsidRPr="00913C78">
        <w:rPr>
          <w:rFonts w:hint="eastAsia"/>
        </w:rPr>
        <w:t>附表</w:t>
      </w:r>
      <w:r w:rsidRPr="00913C78">
        <w:rPr>
          <w:rFonts w:hint="eastAsia"/>
        </w:rPr>
        <w:t>B.3.7</w:t>
      </w:r>
      <w:r w:rsidRPr="00913C78">
        <w:t xml:space="preserve"> </w:t>
      </w:r>
      <w:r w:rsidRPr="00913C78">
        <w:rPr>
          <w:rFonts w:hint="eastAsia"/>
        </w:rPr>
        <w:t xml:space="preserve"> </w:t>
      </w:r>
      <w:r w:rsidRPr="00913C78">
        <w:rPr>
          <w:rFonts w:hint="eastAsia"/>
        </w:rPr>
        <w:t>设计用水总量计算结果统计</w:t>
      </w:r>
      <w:r w:rsidRPr="00913C78">
        <w:t>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4" w:type="dxa"/>
        </w:tblCellMar>
        <w:tblLook w:val="04A0" w:firstRow="1" w:lastRow="0" w:firstColumn="1" w:lastColumn="0" w:noHBand="0" w:noVBand="1"/>
      </w:tblPr>
      <w:tblGrid>
        <w:gridCol w:w="2574"/>
        <w:gridCol w:w="1426"/>
        <w:gridCol w:w="1386"/>
        <w:gridCol w:w="1984"/>
      </w:tblGrid>
      <w:tr w:rsidR="00913C78" w:rsidRPr="00194A28" w14:paraId="4ADD7631" w14:textId="77777777" w:rsidTr="003D3C65">
        <w:trPr>
          <w:jc w:val="center"/>
        </w:trPr>
        <w:tc>
          <w:tcPr>
            <w:tcW w:w="8084" w:type="dxa"/>
            <w:gridSpan w:val="4"/>
            <w:shd w:val="clear" w:color="auto" w:fill="auto"/>
            <w:vAlign w:val="center"/>
            <w:hideMark/>
          </w:tcPr>
          <w:p w14:paraId="470FF958" w14:textId="77777777" w:rsidR="00913C78" w:rsidRPr="00194A28" w:rsidRDefault="00913C78" w:rsidP="00194A28">
            <w:pPr>
              <w:pStyle w:val="ae"/>
              <w:rPr>
                <w:b w:val="0"/>
                <w:bCs/>
              </w:rPr>
            </w:pPr>
            <w:r w:rsidRPr="00194A28">
              <w:rPr>
                <w:rFonts w:hint="eastAsia"/>
                <w:b w:val="0"/>
                <w:bCs/>
              </w:rPr>
              <w:t>设计用水总量</w:t>
            </w:r>
          </w:p>
        </w:tc>
      </w:tr>
      <w:tr w:rsidR="00913C78" w:rsidRPr="00194A28" w14:paraId="056D07F0" w14:textId="77777777" w:rsidTr="003D3C65">
        <w:trPr>
          <w:jc w:val="center"/>
        </w:trPr>
        <w:tc>
          <w:tcPr>
            <w:tcW w:w="2835" w:type="dxa"/>
            <w:shd w:val="clear" w:color="auto" w:fill="auto"/>
            <w:vAlign w:val="center"/>
            <w:hideMark/>
          </w:tcPr>
          <w:p w14:paraId="2D0C1736" w14:textId="77777777" w:rsidR="00913C78" w:rsidRPr="00194A28" w:rsidRDefault="00913C78" w:rsidP="00194A28">
            <w:pPr>
              <w:pStyle w:val="ae"/>
              <w:rPr>
                <w:b w:val="0"/>
                <w:bCs/>
              </w:rPr>
            </w:pPr>
            <w:r w:rsidRPr="00194A28">
              <w:rPr>
                <w:rFonts w:hint="eastAsia"/>
                <w:b w:val="0"/>
                <w:bCs/>
              </w:rPr>
              <w:t>用途</w:t>
            </w:r>
          </w:p>
        </w:tc>
        <w:tc>
          <w:tcPr>
            <w:tcW w:w="1561" w:type="dxa"/>
            <w:shd w:val="clear" w:color="auto" w:fill="auto"/>
            <w:vAlign w:val="center"/>
            <w:hideMark/>
          </w:tcPr>
          <w:p w14:paraId="43E32B30" w14:textId="77777777" w:rsidR="00913C78" w:rsidRPr="00194A28" w:rsidRDefault="00913C78" w:rsidP="00194A28">
            <w:pPr>
              <w:pStyle w:val="ae"/>
              <w:rPr>
                <w:b w:val="0"/>
                <w:bCs/>
              </w:rPr>
            </w:pPr>
            <w:r w:rsidRPr="00194A28">
              <w:rPr>
                <w:rFonts w:hint="eastAsia"/>
                <w:b w:val="0"/>
                <w:bCs/>
              </w:rPr>
              <w:t>人数</w:t>
            </w:r>
            <w:r w:rsidRPr="00194A28">
              <w:rPr>
                <w:b w:val="0"/>
                <w:bCs/>
              </w:rPr>
              <w:t>/</w:t>
            </w:r>
            <w:r w:rsidRPr="00194A28">
              <w:rPr>
                <w:rFonts w:hint="eastAsia"/>
                <w:b w:val="0"/>
                <w:bCs/>
              </w:rPr>
              <w:t>面积</w:t>
            </w:r>
          </w:p>
        </w:tc>
        <w:tc>
          <w:tcPr>
            <w:tcW w:w="1516" w:type="dxa"/>
            <w:shd w:val="clear" w:color="auto" w:fill="auto"/>
            <w:vAlign w:val="center"/>
            <w:hideMark/>
          </w:tcPr>
          <w:p w14:paraId="7CFCAF98" w14:textId="77777777" w:rsidR="00913C78" w:rsidRPr="00194A28" w:rsidRDefault="00913C78" w:rsidP="00194A28">
            <w:pPr>
              <w:pStyle w:val="ae"/>
              <w:rPr>
                <w:b w:val="0"/>
                <w:bCs/>
              </w:rPr>
            </w:pPr>
            <w:r w:rsidRPr="00194A28">
              <w:rPr>
                <w:rFonts w:hint="eastAsia"/>
                <w:b w:val="0"/>
                <w:bCs/>
              </w:rPr>
              <w:t>用水定额</w:t>
            </w:r>
          </w:p>
        </w:tc>
        <w:tc>
          <w:tcPr>
            <w:tcW w:w="2172" w:type="dxa"/>
            <w:shd w:val="clear" w:color="auto" w:fill="auto"/>
            <w:vAlign w:val="center"/>
            <w:hideMark/>
          </w:tcPr>
          <w:p w14:paraId="04E94E49" w14:textId="77777777" w:rsidR="00913C78" w:rsidRPr="00194A28" w:rsidRDefault="00913C78" w:rsidP="00194A28">
            <w:pPr>
              <w:pStyle w:val="ae"/>
              <w:rPr>
                <w:b w:val="0"/>
                <w:bCs/>
              </w:rPr>
            </w:pPr>
            <w:r w:rsidRPr="00194A28">
              <w:rPr>
                <w:rFonts w:hint="eastAsia"/>
                <w:b w:val="0"/>
                <w:bCs/>
              </w:rPr>
              <w:t>年用水量</w:t>
            </w:r>
            <w:r w:rsidRPr="00194A28">
              <w:rPr>
                <w:rFonts w:hint="eastAsia"/>
                <w:b w:val="0"/>
                <w:bCs/>
              </w:rPr>
              <w:t>/</w:t>
            </w:r>
            <w:r w:rsidRPr="00194A28">
              <w:rPr>
                <w:rFonts w:hint="eastAsia"/>
                <w:b w:val="0"/>
                <w:bCs/>
              </w:rPr>
              <w:t>（</w:t>
            </w:r>
            <w:r w:rsidRPr="00194A28">
              <w:rPr>
                <w:b w:val="0"/>
                <w:bCs/>
              </w:rPr>
              <w:t>m</w:t>
            </w:r>
            <w:r w:rsidRPr="00194A28">
              <w:rPr>
                <w:rFonts w:hint="eastAsia"/>
                <w:b w:val="0"/>
                <w:bCs/>
              </w:rPr>
              <w:t>³</w:t>
            </w:r>
            <w:r w:rsidRPr="00194A28">
              <w:rPr>
                <w:rFonts w:hint="eastAsia"/>
                <w:b w:val="0"/>
                <w:bCs/>
              </w:rPr>
              <w:t>/</w:t>
            </w:r>
            <w:r w:rsidRPr="00194A28">
              <w:rPr>
                <w:b w:val="0"/>
                <w:bCs/>
              </w:rPr>
              <w:t>a</w:t>
            </w:r>
            <w:r w:rsidRPr="00194A28">
              <w:rPr>
                <w:rFonts w:hint="eastAsia"/>
                <w:b w:val="0"/>
                <w:bCs/>
              </w:rPr>
              <w:t>）</w:t>
            </w:r>
          </w:p>
        </w:tc>
      </w:tr>
      <w:tr w:rsidR="00913C78" w:rsidRPr="00194A28" w14:paraId="2F7546C1" w14:textId="77777777" w:rsidTr="003D3C65">
        <w:trPr>
          <w:jc w:val="center"/>
        </w:trPr>
        <w:tc>
          <w:tcPr>
            <w:tcW w:w="2835" w:type="dxa"/>
            <w:shd w:val="clear" w:color="auto" w:fill="auto"/>
            <w:vAlign w:val="center"/>
            <w:hideMark/>
          </w:tcPr>
          <w:p w14:paraId="42D62541" w14:textId="77777777" w:rsidR="00913C78" w:rsidRPr="00194A28" w:rsidRDefault="00913C78" w:rsidP="00194A28">
            <w:pPr>
              <w:pStyle w:val="ae"/>
              <w:rPr>
                <w:b w:val="0"/>
                <w:bCs/>
              </w:rPr>
            </w:pPr>
            <w:r w:rsidRPr="00194A28">
              <w:rPr>
                <w:rFonts w:hint="eastAsia"/>
                <w:b w:val="0"/>
                <w:bCs/>
              </w:rPr>
              <w:t>生活用水年节水用水量</w:t>
            </w:r>
          </w:p>
        </w:tc>
        <w:tc>
          <w:tcPr>
            <w:tcW w:w="1561" w:type="dxa"/>
            <w:shd w:val="clear" w:color="auto" w:fill="auto"/>
            <w:vAlign w:val="center"/>
            <w:hideMark/>
          </w:tcPr>
          <w:p w14:paraId="2C6008C1" w14:textId="77777777" w:rsidR="00913C78" w:rsidRPr="00194A28" w:rsidRDefault="00913C78" w:rsidP="00194A28">
            <w:pPr>
              <w:pStyle w:val="ae"/>
              <w:rPr>
                <w:b w:val="0"/>
                <w:bCs/>
              </w:rPr>
            </w:pPr>
          </w:p>
        </w:tc>
        <w:tc>
          <w:tcPr>
            <w:tcW w:w="1516" w:type="dxa"/>
            <w:shd w:val="clear" w:color="auto" w:fill="auto"/>
            <w:vAlign w:val="center"/>
            <w:hideMark/>
          </w:tcPr>
          <w:p w14:paraId="7B3C9B4B" w14:textId="77777777" w:rsidR="00913C78" w:rsidRPr="00194A28" w:rsidRDefault="00913C78" w:rsidP="00194A28">
            <w:pPr>
              <w:pStyle w:val="ae"/>
              <w:rPr>
                <w:b w:val="0"/>
                <w:bCs/>
              </w:rPr>
            </w:pPr>
          </w:p>
        </w:tc>
        <w:tc>
          <w:tcPr>
            <w:tcW w:w="2172" w:type="dxa"/>
            <w:shd w:val="clear" w:color="auto" w:fill="auto"/>
            <w:vAlign w:val="center"/>
            <w:hideMark/>
          </w:tcPr>
          <w:p w14:paraId="5F1E7B83" w14:textId="77777777" w:rsidR="00913C78" w:rsidRPr="00194A28" w:rsidRDefault="00913C78" w:rsidP="00194A28">
            <w:pPr>
              <w:pStyle w:val="ae"/>
              <w:rPr>
                <w:b w:val="0"/>
                <w:bCs/>
              </w:rPr>
            </w:pPr>
          </w:p>
        </w:tc>
      </w:tr>
      <w:tr w:rsidR="00913C78" w:rsidRPr="00194A28" w14:paraId="03BFCF7B" w14:textId="77777777" w:rsidTr="003D3C65">
        <w:trPr>
          <w:jc w:val="center"/>
        </w:trPr>
        <w:tc>
          <w:tcPr>
            <w:tcW w:w="2835" w:type="dxa"/>
            <w:shd w:val="clear" w:color="auto" w:fill="auto"/>
            <w:vAlign w:val="center"/>
            <w:hideMark/>
          </w:tcPr>
          <w:p w14:paraId="41281EBF" w14:textId="77777777" w:rsidR="00913C78" w:rsidRPr="00194A28" w:rsidRDefault="00913C78" w:rsidP="00194A28">
            <w:pPr>
              <w:pStyle w:val="ae"/>
              <w:rPr>
                <w:b w:val="0"/>
                <w:bCs/>
              </w:rPr>
            </w:pPr>
            <w:r w:rsidRPr="00194A28">
              <w:rPr>
                <w:rFonts w:hint="eastAsia"/>
                <w:b w:val="0"/>
                <w:bCs/>
              </w:rPr>
              <w:t>生活热水年节水用水量</w:t>
            </w:r>
          </w:p>
        </w:tc>
        <w:tc>
          <w:tcPr>
            <w:tcW w:w="1561" w:type="dxa"/>
            <w:shd w:val="clear" w:color="auto" w:fill="auto"/>
            <w:vAlign w:val="center"/>
            <w:hideMark/>
          </w:tcPr>
          <w:p w14:paraId="3B306DEA" w14:textId="77777777" w:rsidR="00913C78" w:rsidRPr="00194A28" w:rsidRDefault="00913C78" w:rsidP="00194A28">
            <w:pPr>
              <w:pStyle w:val="ae"/>
              <w:rPr>
                <w:b w:val="0"/>
                <w:bCs/>
              </w:rPr>
            </w:pPr>
          </w:p>
        </w:tc>
        <w:tc>
          <w:tcPr>
            <w:tcW w:w="1516" w:type="dxa"/>
            <w:shd w:val="clear" w:color="auto" w:fill="auto"/>
            <w:vAlign w:val="center"/>
            <w:hideMark/>
          </w:tcPr>
          <w:p w14:paraId="4BF56C65" w14:textId="77777777" w:rsidR="00913C78" w:rsidRPr="00194A28" w:rsidRDefault="00913C78" w:rsidP="00194A28">
            <w:pPr>
              <w:pStyle w:val="ae"/>
              <w:rPr>
                <w:b w:val="0"/>
                <w:bCs/>
              </w:rPr>
            </w:pPr>
          </w:p>
        </w:tc>
        <w:tc>
          <w:tcPr>
            <w:tcW w:w="2172" w:type="dxa"/>
            <w:shd w:val="clear" w:color="auto" w:fill="auto"/>
            <w:vAlign w:val="center"/>
            <w:hideMark/>
          </w:tcPr>
          <w:p w14:paraId="214C35FC" w14:textId="77777777" w:rsidR="00913C78" w:rsidRPr="00194A28" w:rsidRDefault="00913C78" w:rsidP="00194A28">
            <w:pPr>
              <w:pStyle w:val="ae"/>
              <w:rPr>
                <w:b w:val="0"/>
                <w:bCs/>
              </w:rPr>
            </w:pPr>
          </w:p>
        </w:tc>
      </w:tr>
      <w:tr w:rsidR="00913C78" w:rsidRPr="00194A28" w14:paraId="1CA65C0F" w14:textId="77777777" w:rsidTr="003D3C65">
        <w:trPr>
          <w:jc w:val="center"/>
        </w:trPr>
        <w:tc>
          <w:tcPr>
            <w:tcW w:w="2835" w:type="dxa"/>
            <w:shd w:val="clear" w:color="auto" w:fill="auto"/>
            <w:vAlign w:val="center"/>
            <w:hideMark/>
          </w:tcPr>
          <w:p w14:paraId="7087475F" w14:textId="77777777" w:rsidR="00913C78" w:rsidRPr="00194A28" w:rsidRDefault="00913C78" w:rsidP="00194A28">
            <w:pPr>
              <w:pStyle w:val="ae"/>
              <w:rPr>
                <w:b w:val="0"/>
                <w:bCs/>
              </w:rPr>
            </w:pPr>
            <w:r w:rsidRPr="00194A28">
              <w:rPr>
                <w:rFonts w:hint="eastAsia"/>
                <w:b w:val="0"/>
                <w:bCs/>
              </w:rPr>
              <w:t>浇洒草坪、绿化年均灌水</w:t>
            </w:r>
          </w:p>
        </w:tc>
        <w:tc>
          <w:tcPr>
            <w:tcW w:w="1561" w:type="dxa"/>
            <w:shd w:val="clear" w:color="auto" w:fill="auto"/>
            <w:vAlign w:val="center"/>
            <w:hideMark/>
          </w:tcPr>
          <w:p w14:paraId="10C9EF5E" w14:textId="77777777" w:rsidR="00913C78" w:rsidRPr="00194A28" w:rsidRDefault="00913C78" w:rsidP="00194A28">
            <w:pPr>
              <w:pStyle w:val="ae"/>
              <w:rPr>
                <w:b w:val="0"/>
                <w:bCs/>
              </w:rPr>
            </w:pPr>
          </w:p>
        </w:tc>
        <w:tc>
          <w:tcPr>
            <w:tcW w:w="1516" w:type="dxa"/>
            <w:shd w:val="clear" w:color="auto" w:fill="auto"/>
            <w:vAlign w:val="center"/>
            <w:hideMark/>
          </w:tcPr>
          <w:p w14:paraId="2DF09356" w14:textId="77777777" w:rsidR="00913C78" w:rsidRPr="00194A28" w:rsidRDefault="00913C78" w:rsidP="00194A28">
            <w:pPr>
              <w:pStyle w:val="ae"/>
              <w:rPr>
                <w:b w:val="0"/>
                <w:bCs/>
              </w:rPr>
            </w:pPr>
          </w:p>
        </w:tc>
        <w:tc>
          <w:tcPr>
            <w:tcW w:w="2172" w:type="dxa"/>
            <w:shd w:val="clear" w:color="auto" w:fill="auto"/>
            <w:vAlign w:val="center"/>
            <w:hideMark/>
          </w:tcPr>
          <w:p w14:paraId="015107D6" w14:textId="77777777" w:rsidR="00913C78" w:rsidRPr="00194A28" w:rsidRDefault="00913C78" w:rsidP="00194A28">
            <w:pPr>
              <w:pStyle w:val="ae"/>
              <w:rPr>
                <w:b w:val="0"/>
                <w:bCs/>
              </w:rPr>
            </w:pPr>
          </w:p>
        </w:tc>
      </w:tr>
      <w:tr w:rsidR="00913C78" w:rsidRPr="00194A28" w14:paraId="2DACBB31" w14:textId="77777777" w:rsidTr="003D3C65">
        <w:trPr>
          <w:jc w:val="center"/>
        </w:trPr>
        <w:tc>
          <w:tcPr>
            <w:tcW w:w="2835" w:type="dxa"/>
            <w:shd w:val="clear" w:color="auto" w:fill="auto"/>
            <w:vAlign w:val="center"/>
            <w:hideMark/>
          </w:tcPr>
          <w:p w14:paraId="35267196" w14:textId="77777777" w:rsidR="00913C78" w:rsidRPr="00194A28" w:rsidRDefault="00913C78" w:rsidP="00194A28">
            <w:pPr>
              <w:pStyle w:val="ae"/>
              <w:rPr>
                <w:b w:val="0"/>
                <w:bCs/>
              </w:rPr>
            </w:pPr>
            <w:r w:rsidRPr="00194A28">
              <w:rPr>
                <w:rFonts w:hint="eastAsia"/>
                <w:b w:val="0"/>
                <w:bCs/>
              </w:rPr>
              <w:t>洗车场洗车用水量</w:t>
            </w:r>
          </w:p>
        </w:tc>
        <w:tc>
          <w:tcPr>
            <w:tcW w:w="1561" w:type="dxa"/>
            <w:shd w:val="clear" w:color="auto" w:fill="auto"/>
            <w:vAlign w:val="center"/>
            <w:hideMark/>
          </w:tcPr>
          <w:p w14:paraId="1EE04712" w14:textId="77777777" w:rsidR="00913C78" w:rsidRPr="00194A28" w:rsidRDefault="00913C78" w:rsidP="00194A28">
            <w:pPr>
              <w:pStyle w:val="ae"/>
              <w:rPr>
                <w:b w:val="0"/>
                <w:bCs/>
              </w:rPr>
            </w:pPr>
          </w:p>
        </w:tc>
        <w:tc>
          <w:tcPr>
            <w:tcW w:w="1516" w:type="dxa"/>
            <w:shd w:val="clear" w:color="auto" w:fill="auto"/>
            <w:vAlign w:val="center"/>
            <w:hideMark/>
          </w:tcPr>
          <w:p w14:paraId="1D1348E2" w14:textId="77777777" w:rsidR="00913C78" w:rsidRPr="00194A28" w:rsidRDefault="00913C78" w:rsidP="00194A28">
            <w:pPr>
              <w:pStyle w:val="ae"/>
              <w:rPr>
                <w:b w:val="0"/>
                <w:bCs/>
              </w:rPr>
            </w:pPr>
          </w:p>
        </w:tc>
        <w:tc>
          <w:tcPr>
            <w:tcW w:w="2172" w:type="dxa"/>
            <w:shd w:val="clear" w:color="auto" w:fill="auto"/>
            <w:vAlign w:val="center"/>
            <w:hideMark/>
          </w:tcPr>
          <w:p w14:paraId="07DFBEF0" w14:textId="77777777" w:rsidR="00913C78" w:rsidRPr="00194A28" w:rsidRDefault="00913C78" w:rsidP="00194A28">
            <w:pPr>
              <w:pStyle w:val="ae"/>
              <w:rPr>
                <w:b w:val="0"/>
                <w:bCs/>
              </w:rPr>
            </w:pPr>
          </w:p>
        </w:tc>
      </w:tr>
      <w:tr w:rsidR="00913C78" w:rsidRPr="00194A28" w14:paraId="3A80DDCC" w14:textId="77777777" w:rsidTr="003D3C65">
        <w:trPr>
          <w:jc w:val="center"/>
        </w:trPr>
        <w:tc>
          <w:tcPr>
            <w:tcW w:w="2835" w:type="dxa"/>
            <w:shd w:val="clear" w:color="auto" w:fill="auto"/>
            <w:vAlign w:val="center"/>
          </w:tcPr>
          <w:p w14:paraId="56961942" w14:textId="77777777" w:rsidR="00913C78" w:rsidRPr="00194A28" w:rsidRDefault="00913C78" w:rsidP="00194A28">
            <w:pPr>
              <w:pStyle w:val="ae"/>
              <w:rPr>
                <w:b w:val="0"/>
                <w:bCs/>
              </w:rPr>
            </w:pPr>
            <w:r w:rsidRPr="00194A28">
              <w:rPr>
                <w:rFonts w:hint="eastAsia"/>
                <w:b w:val="0"/>
                <w:bCs/>
              </w:rPr>
              <w:t>冲厕用水量</w:t>
            </w:r>
          </w:p>
        </w:tc>
        <w:tc>
          <w:tcPr>
            <w:tcW w:w="1561" w:type="dxa"/>
            <w:shd w:val="clear" w:color="auto" w:fill="auto"/>
            <w:vAlign w:val="center"/>
          </w:tcPr>
          <w:p w14:paraId="5753E1FD" w14:textId="77777777" w:rsidR="00913C78" w:rsidRPr="00194A28" w:rsidRDefault="00913C78" w:rsidP="00194A28">
            <w:pPr>
              <w:pStyle w:val="ae"/>
              <w:rPr>
                <w:b w:val="0"/>
                <w:bCs/>
              </w:rPr>
            </w:pPr>
          </w:p>
        </w:tc>
        <w:tc>
          <w:tcPr>
            <w:tcW w:w="1516" w:type="dxa"/>
            <w:shd w:val="clear" w:color="auto" w:fill="auto"/>
            <w:vAlign w:val="center"/>
          </w:tcPr>
          <w:p w14:paraId="4811835F" w14:textId="77777777" w:rsidR="00913C78" w:rsidRPr="00194A28" w:rsidRDefault="00913C78" w:rsidP="00194A28">
            <w:pPr>
              <w:pStyle w:val="ae"/>
              <w:rPr>
                <w:b w:val="0"/>
                <w:bCs/>
              </w:rPr>
            </w:pPr>
          </w:p>
        </w:tc>
        <w:tc>
          <w:tcPr>
            <w:tcW w:w="2172" w:type="dxa"/>
            <w:shd w:val="clear" w:color="auto" w:fill="auto"/>
            <w:vAlign w:val="center"/>
          </w:tcPr>
          <w:p w14:paraId="62E9B2E5" w14:textId="77777777" w:rsidR="00913C78" w:rsidRPr="00194A28" w:rsidRDefault="00913C78" w:rsidP="00194A28">
            <w:pPr>
              <w:pStyle w:val="ae"/>
              <w:rPr>
                <w:b w:val="0"/>
                <w:bCs/>
              </w:rPr>
            </w:pPr>
          </w:p>
        </w:tc>
      </w:tr>
      <w:tr w:rsidR="00913C78" w:rsidRPr="00194A28" w14:paraId="18984CA2" w14:textId="77777777" w:rsidTr="003D3C65">
        <w:trPr>
          <w:jc w:val="center"/>
        </w:trPr>
        <w:tc>
          <w:tcPr>
            <w:tcW w:w="5912" w:type="dxa"/>
            <w:gridSpan w:val="3"/>
            <w:shd w:val="clear" w:color="auto" w:fill="auto"/>
            <w:vAlign w:val="center"/>
            <w:hideMark/>
          </w:tcPr>
          <w:p w14:paraId="7CC9B672" w14:textId="77777777" w:rsidR="00913C78" w:rsidRPr="00194A28" w:rsidRDefault="00913C78" w:rsidP="00194A28">
            <w:pPr>
              <w:pStyle w:val="ae"/>
              <w:rPr>
                <w:b w:val="0"/>
                <w:bCs/>
              </w:rPr>
            </w:pPr>
            <w:r w:rsidRPr="00194A28">
              <w:rPr>
                <w:rFonts w:hint="eastAsia"/>
                <w:b w:val="0"/>
                <w:bCs/>
              </w:rPr>
              <w:t>总量（包括</w:t>
            </w:r>
            <w:r w:rsidRPr="00194A28">
              <w:rPr>
                <w:b w:val="0"/>
                <w:bCs/>
              </w:rPr>
              <w:t>10%</w:t>
            </w:r>
            <w:r w:rsidRPr="00194A28">
              <w:rPr>
                <w:rFonts w:hint="eastAsia"/>
                <w:b w:val="0"/>
                <w:bCs/>
              </w:rPr>
              <w:t>未预见水量）</w:t>
            </w:r>
          </w:p>
        </w:tc>
        <w:tc>
          <w:tcPr>
            <w:tcW w:w="2172" w:type="dxa"/>
            <w:shd w:val="clear" w:color="auto" w:fill="auto"/>
            <w:vAlign w:val="center"/>
            <w:hideMark/>
          </w:tcPr>
          <w:p w14:paraId="61691D5C" w14:textId="77777777" w:rsidR="00913C78" w:rsidRPr="00194A28" w:rsidRDefault="00913C78" w:rsidP="00194A28">
            <w:pPr>
              <w:pStyle w:val="ae"/>
              <w:rPr>
                <w:b w:val="0"/>
                <w:bCs/>
              </w:rPr>
            </w:pPr>
          </w:p>
        </w:tc>
      </w:tr>
    </w:tbl>
    <w:p w14:paraId="69CC753E" w14:textId="77777777" w:rsidR="00913C78" w:rsidRPr="00913C78" w:rsidRDefault="00913C78" w:rsidP="00913C78">
      <w:pPr>
        <w:ind w:firstLine="420"/>
      </w:pPr>
      <w:r w:rsidRPr="00913C78">
        <w:rPr>
          <w:rFonts w:hint="eastAsia"/>
        </w:rPr>
        <w:t>非传统水源利用率计算</w:t>
      </w:r>
      <w:r w:rsidRPr="00913C78">
        <w:t>结果</w:t>
      </w:r>
      <w:r w:rsidRPr="00913C78">
        <w:rPr>
          <w:rFonts w:hint="eastAsia"/>
        </w:rPr>
        <w:t>（附表</w:t>
      </w:r>
      <w:r w:rsidRPr="00913C78">
        <w:rPr>
          <w:rFonts w:hint="eastAsia"/>
        </w:rPr>
        <w:t>B.3.8</w:t>
      </w:r>
      <w:r w:rsidRPr="00913C78">
        <w:rPr>
          <w:rFonts w:hint="eastAsia"/>
        </w:rPr>
        <w:t>）。</w:t>
      </w:r>
    </w:p>
    <w:p w14:paraId="63BAC881" w14:textId="77777777" w:rsidR="00913C78" w:rsidRPr="00913C78" w:rsidRDefault="00913C78" w:rsidP="00194A28">
      <w:pPr>
        <w:pStyle w:val="ae"/>
      </w:pPr>
      <w:r w:rsidRPr="00913C78">
        <w:rPr>
          <w:rFonts w:hint="eastAsia"/>
        </w:rPr>
        <w:t>附表</w:t>
      </w:r>
      <w:r w:rsidRPr="00913C78">
        <w:rPr>
          <w:rFonts w:hint="eastAsia"/>
        </w:rPr>
        <w:t xml:space="preserve">B.3.8 </w:t>
      </w:r>
      <w:r w:rsidRPr="00913C78">
        <w:t xml:space="preserve"> </w:t>
      </w:r>
      <w:r w:rsidRPr="00913C78">
        <w:rPr>
          <w:rFonts w:hint="eastAsia"/>
        </w:rPr>
        <w:t>非传统水源利用率计算结果统计</w:t>
      </w:r>
      <w:r w:rsidRPr="00913C78">
        <w:t>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4" w:type="dxa"/>
        </w:tblCellMar>
        <w:tblLook w:val="0000" w:firstRow="0" w:lastRow="0" w:firstColumn="0" w:lastColumn="0" w:noHBand="0" w:noVBand="0"/>
      </w:tblPr>
      <w:tblGrid>
        <w:gridCol w:w="1443"/>
        <w:gridCol w:w="1287"/>
        <w:gridCol w:w="1736"/>
        <w:gridCol w:w="1466"/>
        <w:gridCol w:w="1438"/>
      </w:tblGrid>
      <w:tr w:rsidR="00913C78" w:rsidRPr="00194A28" w14:paraId="5B084AAE" w14:textId="77777777" w:rsidTr="003D3C65">
        <w:trPr>
          <w:cantSplit/>
          <w:jc w:val="center"/>
        </w:trPr>
        <w:tc>
          <w:tcPr>
            <w:tcW w:w="4466" w:type="dxa"/>
            <w:gridSpan w:val="3"/>
            <w:shd w:val="clear" w:color="auto" w:fill="auto"/>
            <w:vAlign w:val="center"/>
          </w:tcPr>
          <w:p w14:paraId="0FAAD5CE" w14:textId="77777777" w:rsidR="00913C78" w:rsidRPr="00194A28" w:rsidRDefault="00913C78" w:rsidP="00194A28">
            <w:pPr>
              <w:pStyle w:val="ae"/>
              <w:rPr>
                <w:b w:val="0"/>
                <w:bCs/>
              </w:rPr>
            </w:pPr>
            <w:r w:rsidRPr="00194A28">
              <w:rPr>
                <w:rFonts w:hint="eastAsia"/>
                <w:b w:val="0"/>
                <w:bCs/>
              </w:rPr>
              <w:t>非传统水源设计使用量</w:t>
            </w:r>
            <w:r w:rsidRPr="00194A28">
              <w:rPr>
                <w:rFonts w:hint="eastAsia"/>
                <w:b w:val="0"/>
                <w:bCs/>
              </w:rPr>
              <w:t>/</w:t>
            </w:r>
            <w:r w:rsidRPr="00194A28">
              <w:rPr>
                <w:rFonts w:hint="eastAsia"/>
                <w:b w:val="0"/>
                <w:bCs/>
              </w:rPr>
              <w:t>（</w:t>
            </w:r>
            <w:r w:rsidRPr="00194A28">
              <w:rPr>
                <w:rFonts w:hint="eastAsia"/>
                <w:b w:val="0"/>
                <w:bCs/>
              </w:rPr>
              <w:t>m</w:t>
            </w:r>
            <w:r w:rsidRPr="00F83296">
              <w:rPr>
                <w:b w:val="0"/>
                <w:bCs/>
                <w:vertAlign w:val="superscript"/>
              </w:rPr>
              <w:t>3</w:t>
            </w:r>
            <w:r w:rsidRPr="00194A28">
              <w:rPr>
                <w:rFonts w:hint="eastAsia"/>
                <w:b w:val="0"/>
                <w:bCs/>
              </w:rPr>
              <w:t>/a</w:t>
            </w:r>
            <w:r w:rsidRPr="00194A28">
              <w:rPr>
                <w:rFonts w:hint="eastAsia"/>
                <w:b w:val="0"/>
                <w:bCs/>
              </w:rPr>
              <w:t>）</w:t>
            </w:r>
          </w:p>
        </w:tc>
        <w:tc>
          <w:tcPr>
            <w:tcW w:w="1466" w:type="dxa"/>
            <w:vMerge w:val="restart"/>
            <w:shd w:val="clear" w:color="auto" w:fill="auto"/>
            <w:vAlign w:val="center"/>
          </w:tcPr>
          <w:p w14:paraId="27D90A9E" w14:textId="77777777" w:rsidR="00913C78" w:rsidRPr="00194A28" w:rsidRDefault="00913C78" w:rsidP="00194A28">
            <w:pPr>
              <w:pStyle w:val="ae"/>
              <w:rPr>
                <w:b w:val="0"/>
                <w:bCs/>
              </w:rPr>
            </w:pPr>
            <w:r w:rsidRPr="00194A28">
              <w:rPr>
                <w:rFonts w:hint="eastAsia"/>
                <w:b w:val="0"/>
                <w:bCs/>
              </w:rPr>
              <w:t>设计用水总</w:t>
            </w:r>
            <w:r w:rsidRPr="00194A28">
              <w:rPr>
                <w:rFonts w:hint="eastAsia"/>
                <w:b w:val="0"/>
                <w:bCs/>
              </w:rPr>
              <w:lastRenderedPageBreak/>
              <w:t>量</w:t>
            </w:r>
            <w:r w:rsidRPr="00194A28">
              <w:rPr>
                <w:b w:val="0"/>
                <w:bCs/>
              </w:rPr>
              <w:br/>
            </w:r>
            <w:r w:rsidRPr="00194A28">
              <w:rPr>
                <w:rFonts w:hint="eastAsia"/>
                <w:b w:val="0"/>
                <w:bCs/>
              </w:rPr>
              <w:t>/</w:t>
            </w:r>
            <w:r w:rsidRPr="00194A28">
              <w:rPr>
                <w:rFonts w:hint="eastAsia"/>
                <w:b w:val="0"/>
                <w:bCs/>
              </w:rPr>
              <w:t>（</w:t>
            </w:r>
            <w:r w:rsidRPr="00194A28">
              <w:rPr>
                <w:rFonts w:hint="eastAsia"/>
                <w:b w:val="0"/>
                <w:bCs/>
              </w:rPr>
              <w:t>m3/a</w:t>
            </w:r>
            <w:r w:rsidRPr="00194A28">
              <w:rPr>
                <w:rFonts w:hint="eastAsia"/>
                <w:b w:val="0"/>
                <w:bCs/>
              </w:rPr>
              <w:t>）</w:t>
            </w:r>
          </w:p>
        </w:tc>
        <w:tc>
          <w:tcPr>
            <w:tcW w:w="1438" w:type="dxa"/>
            <w:vMerge w:val="restart"/>
            <w:shd w:val="clear" w:color="auto" w:fill="auto"/>
            <w:vAlign w:val="center"/>
          </w:tcPr>
          <w:p w14:paraId="4C790D83" w14:textId="77777777" w:rsidR="00913C78" w:rsidRPr="00194A28" w:rsidRDefault="00913C78" w:rsidP="00194A28">
            <w:pPr>
              <w:pStyle w:val="ae"/>
              <w:rPr>
                <w:b w:val="0"/>
                <w:bCs/>
              </w:rPr>
            </w:pPr>
            <w:r w:rsidRPr="00194A28">
              <w:rPr>
                <w:rFonts w:hint="eastAsia"/>
                <w:b w:val="0"/>
                <w:bCs/>
              </w:rPr>
              <w:lastRenderedPageBreak/>
              <w:t>非传统水源</w:t>
            </w:r>
            <w:r w:rsidRPr="00194A28">
              <w:rPr>
                <w:rFonts w:hint="eastAsia"/>
                <w:b w:val="0"/>
                <w:bCs/>
              </w:rPr>
              <w:lastRenderedPageBreak/>
              <w:t>利用率</w:t>
            </w:r>
          </w:p>
        </w:tc>
      </w:tr>
      <w:tr w:rsidR="00913C78" w:rsidRPr="00194A28" w14:paraId="6A7274DC" w14:textId="77777777" w:rsidTr="003D3C65">
        <w:trPr>
          <w:cantSplit/>
          <w:jc w:val="center"/>
        </w:trPr>
        <w:tc>
          <w:tcPr>
            <w:tcW w:w="1443" w:type="dxa"/>
            <w:shd w:val="clear" w:color="auto" w:fill="auto"/>
            <w:vAlign w:val="center"/>
          </w:tcPr>
          <w:p w14:paraId="6825EB39" w14:textId="77777777" w:rsidR="00913C78" w:rsidRPr="00194A28" w:rsidRDefault="00913C78" w:rsidP="00194A28">
            <w:pPr>
              <w:pStyle w:val="ae"/>
              <w:rPr>
                <w:b w:val="0"/>
                <w:bCs/>
              </w:rPr>
            </w:pPr>
            <w:r w:rsidRPr="00194A28">
              <w:rPr>
                <w:rFonts w:hint="eastAsia"/>
                <w:b w:val="0"/>
                <w:bCs/>
              </w:rPr>
              <w:lastRenderedPageBreak/>
              <w:t>再生水设计利用量</w:t>
            </w:r>
            <w:r w:rsidRPr="00194A28">
              <w:rPr>
                <w:rFonts w:hint="eastAsia"/>
                <w:b w:val="0"/>
                <w:bCs/>
              </w:rPr>
              <w:t>/</w:t>
            </w:r>
            <w:r w:rsidRPr="00194A28">
              <w:rPr>
                <w:rFonts w:hint="eastAsia"/>
                <w:b w:val="0"/>
                <w:bCs/>
              </w:rPr>
              <w:t>（</w:t>
            </w:r>
            <w:r w:rsidRPr="00194A28">
              <w:rPr>
                <w:rFonts w:hint="eastAsia"/>
                <w:b w:val="0"/>
                <w:bCs/>
              </w:rPr>
              <w:t>m</w:t>
            </w:r>
            <w:r w:rsidRPr="00F83296">
              <w:rPr>
                <w:b w:val="0"/>
                <w:bCs/>
                <w:vertAlign w:val="superscript"/>
              </w:rPr>
              <w:t>3</w:t>
            </w:r>
            <w:r w:rsidRPr="00194A28">
              <w:rPr>
                <w:rFonts w:hint="eastAsia"/>
                <w:b w:val="0"/>
                <w:bCs/>
              </w:rPr>
              <w:t>/a</w:t>
            </w:r>
            <w:r w:rsidRPr="00194A28">
              <w:rPr>
                <w:rFonts w:hint="eastAsia"/>
                <w:b w:val="0"/>
                <w:bCs/>
              </w:rPr>
              <w:t>）</w:t>
            </w:r>
          </w:p>
        </w:tc>
        <w:tc>
          <w:tcPr>
            <w:tcW w:w="1287" w:type="dxa"/>
            <w:shd w:val="clear" w:color="auto" w:fill="auto"/>
            <w:vAlign w:val="center"/>
          </w:tcPr>
          <w:p w14:paraId="11BDC6C5" w14:textId="77777777" w:rsidR="00913C78" w:rsidRPr="00194A28" w:rsidRDefault="00913C78" w:rsidP="00194A28">
            <w:pPr>
              <w:pStyle w:val="ae"/>
              <w:rPr>
                <w:b w:val="0"/>
                <w:bCs/>
              </w:rPr>
            </w:pPr>
            <w:r w:rsidRPr="00194A28">
              <w:rPr>
                <w:rFonts w:hint="eastAsia"/>
                <w:b w:val="0"/>
                <w:bCs/>
              </w:rPr>
              <w:t>雨水设计利用量</w:t>
            </w:r>
            <w:r w:rsidRPr="00194A28">
              <w:rPr>
                <w:rFonts w:hint="eastAsia"/>
                <w:b w:val="0"/>
                <w:bCs/>
              </w:rPr>
              <w:t>/</w:t>
            </w:r>
            <w:r w:rsidRPr="00194A28">
              <w:rPr>
                <w:rFonts w:hint="eastAsia"/>
                <w:b w:val="0"/>
                <w:bCs/>
              </w:rPr>
              <w:t>（</w:t>
            </w:r>
            <w:r w:rsidRPr="00194A28">
              <w:rPr>
                <w:rFonts w:hint="eastAsia"/>
                <w:b w:val="0"/>
                <w:bCs/>
              </w:rPr>
              <w:t>m</w:t>
            </w:r>
            <w:r w:rsidRPr="00F83296">
              <w:rPr>
                <w:b w:val="0"/>
                <w:bCs/>
                <w:vertAlign w:val="superscript"/>
              </w:rPr>
              <w:t>3</w:t>
            </w:r>
            <w:r w:rsidRPr="00194A28">
              <w:rPr>
                <w:rFonts w:hint="eastAsia"/>
                <w:b w:val="0"/>
                <w:bCs/>
              </w:rPr>
              <w:t>/a</w:t>
            </w:r>
            <w:r w:rsidRPr="00194A28">
              <w:rPr>
                <w:rFonts w:hint="eastAsia"/>
                <w:b w:val="0"/>
                <w:bCs/>
              </w:rPr>
              <w:t>）</w:t>
            </w:r>
          </w:p>
        </w:tc>
        <w:tc>
          <w:tcPr>
            <w:tcW w:w="1736" w:type="dxa"/>
            <w:shd w:val="clear" w:color="auto" w:fill="auto"/>
            <w:vAlign w:val="center"/>
          </w:tcPr>
          <w:p w14:paraId="387F3DF9" w14:textId="77777777" w:rsidR="00913C78" w:rsidRPr="00194A28" w:rsidRDefault="00913C78" w:rsidP="00194A28">
            <w:pPr>
              <w:pStyle w:val="ae"/>
              <w:rPr>
                <w:b w:val="0"/>
                <w:bCs/>
              </w:rPr>
            </w:pPr>
            <w:r w:rsidRPr="00194A28">
              <w:rPr>
                <w:rFonts w:hint="eastAsia"/>
                <w:b w:val="0"/>
                <w:bCs/>
              </w:rPr>
              <w:t>其他非传统水源利用量</w:t>
            </w:r>
            <w:r w:rsidRPr="00194A28">
              <w:rPr>
                <w:rFonts w:hint="eastAsia"/>
                <w:b w:val="0"/>
                <w:bCs/>
              </w:rPr>
              <w:t>/</w:t>
            </w:r>
            <w:r w:rsidRPr="00194A28">
              <w:rPr>
                <w:rFonts w:hint="eastAsia"/>
                <w:b w:val="0"/>
                <w:bCs/>
              </w:rPr>
              <w:t>（</w:t>
            </w:r>
            <w:r w:rsidRPr="00194A28">
              <w:rPr>
                <w:rFonts w:hint="eastAsia"/>
                <w:b w:val="0"/>
                <w:bCs/>
              </w:rPr>
              <w:t>m</w:t>
            </w:r>
            <w:r w:rsidRPr="00F83296">
              <w:rPr>
                <w:b w:val="0"/>
                <w:bCs/>
                <w:vertAlign w:val="superscript"/>
              </w:rPr>
              <w:t>3</w:t>
            </w:r>
            <w:r w:rsidRPr="00194A28">
              <w:rPr>
                <w:rFonts w:hint="eastAsia"/>
                <w:b w:val="0"/>
                <w:bCs/>
              </w:rPr>
              <w:t>/a</w:t>
            </w:r>
            <w:r w:rsidRPr="00194A28">
              <w:rPr>
                <w:rFonts w:hint="eastAsia"/>
                <w:b w:val="0"/>
                <w:bCs/>
              </w:rPr>
              <w:t>）</w:t>
            </w:r>
          </w:p>
        </w:tc>
        <w:tc>
          <w:tcPr>
            <w:tcW w:w="1466" w:type="dxa"/>
            <w:vMerge/>
            <w:shd w:val="clear" w:color="auto" w:fill="auto"/>
            <w:vAlign w:val="center"/>
          </w:tcPr>
          <w:p w14:paraId="04793B19" w14:textId="77777777" w:rsidR="00913C78" w:rsidRPr="00194A28" w:rsidRDefault="00913C78" w:rsidP="00194A28">
            <w:pPr>
              <w:pStyle w:val="ae"/>
              <w:rPr>
                <w:b w:val="0"/>
                <w:bCs/>
              </w:rPr>
            </w:pPr>
          </w:p>
        </w:tc>
        <w:tc>
          <w:tcPr>
            <w:tcW w:w="1438" w:type="dxa"/>
            <w:vMerge/>
            <w:shd w:val="clear" w:color="auto" w:fill="auto"/>
            <w:vAlign w:val="center"/>
          </w:tcPr>
          <w:p w14:paraId="39DCE60E" w14:textId="77777777" w:rsidR="00913C78" w:rsidRPr="00194A28" w:rsidRDefault="00913C78" w:rsidP="00194A28">
            <w:pPr>
              <w:pStyle w:val="ae"/>
              <w:rPr>
                <w:b w:val="0"/>
                <w:bCs/>
              </w:rPr>
            </w:pPr>
          </w:p>
        </w:tc>
      </w:tr>
      <w:tr w:rsidR="00913C78" w:rsidRPr="00194A28" w14:paraId="08D65687" w14:textId="77777777" w:rsidTr="003D3C65">
        <w:trPr>
          <w:cantSplit/>
          <w:jc w:val="center"/>
        </w:trPr>
        <w:tc>
          <w:tcPr>
            <w:tcW w:w="1443" w:type="dxa"/>
            <w:shd w:val="clear" w:color="auto" w:fill="auto"/>
            <w:vAlign w:val="center"/>
          </w:tcPr>
          <w:p w14:paraId="43FA0A97" w14:textId="77777777" w:rsidR="00913C78" w:rsidRPr="00194A28" w:rsidRDefault="00913C78" w:rsidP="00194A28">
            <w:pPr>
              <w:pStyle w:val="ae"/>
              <w:rPr>
                <w:b w:val="0"/>
                <w:bCs/>
              </w:rPr>
            </w:pPr>
          </w:p>
        </w:tc>
        <w:tc>
          <w:tcPr>
            <w:tcW w:w="1287" w:type="dxa"/>
            <w:shd w:val="clear" w:color="auto" w:fill="auto"/>
            <w:vAlign w:val="center"/>
          </w:tcPr>
          <w:p w14:paraId="6A75278F" w14:textId="77777777" w:rsidR="00913C78" w:rsidRPr="00194A28" w:rsidRDefault="00913C78" w:rsidP="00194A28">
            <w:pPr>
              <w:pStyle w:val="ae"/>
              <w:rPr>
                <w:b w:val="0"/>
                <w:bCs/>
              </w:rPr>
            </w:pPr>
          </w:p>
        </w:tc>
        <w:tc>
          <w:tcPr>
            <w:tcW w:w="1736" w:type="dxa"/>
            <w:shd w:val="clear" w:color="auto" w:fill="auto"/>
            <w:vAlign w:val="center"/>
          </w:tcPr>
          <w:p w14:paraId="2B7B7796" w14:textId="77777777" w:rsidR="00913C78" w:rsidRPr="00194A28" w:rsidRDefault="00913C78" w:rsidP="00194A28">
            <w:pPr>
              <w:pStyle w:val="ae"/>
              <w:rPr>
                <w:b w:val="0"/>
                <w:bCs/>
              </w:rPr>
            </w:pPr>
          </w:p>
        </w:tc>
        <w:tc>
          <w:tcPr>
            <w:tcW w:w="1466" w:type="dxa"/>
            <w:shd w:val="clear" w:color="auto" w:fill="auto"/>
            <w:vAlign w:val="center"/>
          </w:tcPr>
          <w:p w14:paraId="3AA778C7" w14:textId="77777777" w:rsidR="00913C78" w:rsidRPr="00194A28" w:rsidRDefault="00913C78" w:rsidP="00194A28">
            <w:pPr>
              <w:pStyle w:val="ae"/>
              <w:rPr>
                <w:b w:val="0"/>
                <w:bCs/>
              </w:rPr>
            </w:pPr>
          </w:p>
        </w:tc>
        <w:tc>
          <w:tcPr>
            <w:tcW w:w="1438" w:type="dxa"/>
            <w:shd w:val="clear" w:color="auto" w:fill="auto"/>
            <w:vAlign w:val="center"/>
          </w:tcPr>
          <w:p w14:paraId="45D1487A" w14:textId="77777777" w:rsidR="00913C78" w:rsidRPr="00194A28" w:rsidRDefault="00913C78" w:rsidP="00194A28">
            <w:pPr>
              <w:pStyle w:val="ae"/>
              <w:rPr>
                <w:b w:val="0"/>
                <w:bCs/>
              </w:rPr>
            </w:pPr>
          </w:p>
        </w:tc>
      </w:tr>
    </w:tbl>
    <w:p w14:paraId="2FCE4C07" w14:textId="77777777" w:rsidR="00913C78" w:rsidRPr="00913C78" w:rsidRDefault="00913C78" w:rsidP="00194A28">
      <w:pPr>
        <w:pStyle w:val="32"/>
      </w:pPr>
      <w:bookmarkStart w:id="387" w:name="_Toc476142927"/>
      <w:bookmarkStart w:id="388" w:name="_Toc35364809"/>
      <w:r w:rsidRPr="00913C78">
        <w:rPr>
          <w:rFonts w:hint="eastAsia"/>
        </w:rPr>
        <w:t xml:space="preserve">B.3.3 </w:t>
      </w:r>
      <w:r w:rsidRPr="00913C78">
        <w:t xml:space="preserve"> </w:t>
      </w:r>
      <w:r w:rsidRPr="00913C78">
        <w:rPr>
          <w:rFonts w:hint="eastAsia"/>
        </w:rPr>
        <w:t>结论</w:t>
      </w:r>
      <w:bookmarkEnd w:id="387"/>
      <w:bookmarkEnd w:id="388"/>
    </w:p>
    <w:p w14:paraId="184767DC" w14:textId="77777777" w:rsidR="00913C78" w:rsidRPr="00913C78" w:rsidRDefault="00913C78" w:rsidP="00913C78">
      <w:pPr>
        <w:ind w:firstLine="420"/>
      </w:pPr>
      <w:r w:rsidRPr="00913C78">
        <w:rPr>
          <w:rFonts w:hint="eastAsia"/>
        </w:rPr>
        <w:t>对结果进行达标判定，</w:t>
      </w:r>
      <w:r w:rsidRPr="00913C78">
        <w:t>并</w:t>
      </w:r>
      <w:r w:rsidRPr="00913C78">
        <w:rPr>
          <w:rFonts w:hint="eastAsia"/>
        </w:rPr>
        <w:t>给出结论。</w:t>
      </w:r>
    </w:p>
    <w:p w14:paraId="0668290F" w14:textId="72783E0D" w:rsidR="00913C78" w:rsidRPr="00913C78" w:rsidRDefault="00913C78" w:rsidP="00194A28">
      <w:pPr>
        <w:pStyle w:val="32"/>
      </w:pPr>
      <w:bookmarkStart w:id="389" w:name="_Toc476142928"/>
      <w:bookmarkStart w:id="390" w:name="_Toc35364810"/>
      <w:r w:rsidRPr="00913C78">
        <w:rPr>
          <w:rFonts w:hint="eastAsia"/>
        </w:rPr>
        <w:t xml:space="preserve">B.3.4  </w:t>
      </w:r>
      <w:r w:rsidRPr="00913C78">
        <w:rPr>
          <w:rFonts w:hint="eastAsia"/>
        </w:rPr>
        <w:t>审查要点</w:t>
      </w:r>
      <w:bookmarkEnd w:id="389"/>
      <w:r w:rsidRPr="00913C78">
        <w:rPr>
          <w:rFonts w:hint="eastAsia"/>
        </w:rPr>
        <w:t>（附表</w:t>
      </w:r>
      <w:r w:rsidRPr="00913C78">
        <w:rPr>
          <w:rFonts w:hint="eastAsia"/>
        </w:rPr>
        <w:t>B.3.9</w:t>
      </w:r>
      <w:r w:rsidRPr="00913C78">
        <w:rPr>
          <w:rFonts w:hint="eastAsia"/>
        </w:rPr>
        <w:t>）</w:t>
      </w:r>
      <w:bookmarkEnd w:id="390"/>
    </w:p>
    <w:p w14:paraId="64FBD886" w14:textId="77777777" w:rsidR="00913C78" w:rsidRPr="00913C78" w:rsidRDefault="00913C78" w:rsidP="00194A28">
      <w:pPr>
        <w:pStyle w:val="ae"/>
      </w:pPr>
      <w:r w:rsidRPr="00913C78">
        <w:rPr>
          <w:rFonts w:hint="eastAsia"/>
        </w:rPr>
        <w:t>附表</w:t>
      </w:r>
      <w:r w:rsidRPr="00913C78">
        <w:rPr>
          <w:rFonts w:hint="eastAsia"/>
        </w:rPr>
        <w:t xml:space="preserve">B.3.9  </w:t>
      </w:r>
      <w:r w:rsidRPr="00913C78">
        <w:rPr>
          <w:rFonts w:hint="eastAsia"/>
        </w:rPr>
        <w:t>非传统水源利用率计算报告专家判断表</w:t>
      </w:r>
    </w:p>
    <w:tbl>
      <w:tblPr>
        <w:tblW w:w="5000" w:type="pct"/>
        <w:jc w:val="center"/>
        <w:tblBorders>
          <w:top w:val="single" w:sz="8" w:space="0" w:color="000000"/>
          <w:bottom w:val="single" w:sz="8" w:space="0" w:color="000000"/>
          <w:insideH w:val="single" w:sz="4" w:space="0" w:color="000000"/>
          <w:insideV w:val="single" w:sz="4" w:space="0" w:color="000000"/>
        </w:tblBorders>
        <w:tblCellMar>
          <w:bottom w:w="28" w:type="dxa"/>
        </w:tblCellMar>
        <w:tblLook w:val="04A0" w:firstRow="1" w:lastRow="0" w:firstColumn="1" w:lastColumn="0" w:noHBand="0" w:noVBand="1"/>
      </w:tblPr>
      <w:tblGrid>
        <w:gridCol w:w="674"/>
        <w:gridCol w:w="1250"/>
        <w:gridCol w:w="5289"/>
        <w:gridCol w:w="1315"/>
      </w:tblGrid>
      <w:tr w:rsidR="00913C78" w:rsidRPr="00913C78" w14:paraId="005CFEAC" w14:textId="77777777" w:rsidTr="00532D0F">
        <w:trPr>
          <w:jc w:val="center"/>
        </w:trPr>
        <w:tc>
          <w:tcPr>
            <w:tcW w:w="395" w:type="pct"/>
            <w:shd w:val="clear" w:color="auto" w:fill="auto"/>
            <w:vAlign w:val="center"/>
            <w:hideMark/>
          </w:tcPr>
          <w:p w14:paraId="2CAE6FBD" w14:textId="77777777" w:rsidR="00913C78" w:rsidRPr="00913C78" w:rsidRDefault="00913C78" w:rsidP="00194A28">
            <w:pPr>
              <w:pStyle w:val="af7"/>
              <w:jc w:val="center"/>
            </w:pPr>
            <w:r w:rsidRPr="00913C78">
              <w:rPr>
                <w:rFonts w:hint="eastAsia"/>
              </w:rPr>
              <w:t>编号</w:t>
            </w:r>
          </w:p>
        </w:tc>
        <w:tc>
          <w:tcPr>
            <w:tcW w:w="733" w:type="pct"/>
            <w:shd w:val="clear" w:color="auto" w:fill="auto"/>
            <w:vAlign w:val="center"/>
            <w:hideMark/>
          </w:tcPr>
          <w:p w14:paraId="3B015E15" w14:textId="77777777" w:rsidR="00913C78" w:rsidRPr="00913C78" w:rsidRDefault="00913C78" w:rsidP="00194A28">
            <w:pPr>
              <w:pStyle w:val="af7"/>
              <w:jc w:val="center"/>
            </w:pPr>
            <w:r w:rsidRPr="00913C78">
              <w:rPr>
                <w:rFonts w:hint="eastAsia"/>
              </w:rPr>
              <w:t>审查要点</w:t>
            </w:r>
          </w:p>
        </w:tc>
        <w:tc>
          <w:tcPr>
            <w:tcW w:w="3101" w:type="pct"/>
            <w:shd w:val="clear" w:color="auto" w:fill="auto"/>
            <w:vAlign w:val="center"/>
            <w:hideMark/>
          </w:tcPr>
          <w:p w14:paraId="3E831CDA" w14:textId="77777777" w:rsidR="00913C78" w:rsidRPr="00913C78" w:rsidRDefault="00913C78" w:rsidP="00194A28">
            <w:pPr>
              <w:pStyle w:val="af7"/>
              <w:jc w:val="center"/>
            </w:pPr>
            <w:r w:rsidRPr="00913C78">
              <w:rPr>
                <w:rFonts w:hint="eastAsia"/>
              </w:rPr>
              <w:t>具体判断</w:t>
            </w:r>
          </w:p>
        </w:tc>
        <w:tc>
          <w:tcPr>
            <w:tcW w:w="771" w:type="pct"/>
            <w:shd w:val="clear" w:color="auto" w:fill="auto"/>
            <w:vAlign w:val="center"/>
            <w:hideMark/>
          </w:tcPr>
          <w:p w14:paraId="46F6AD23" w14:textId="77777777" w:rsidR="00913C78" w:rsidRPr="00913C78" w:rsidRDefault="00913C78" w:rsidP="00194A28">
            <w:pPr>
              <w:pStyle w:val="af7"/>
              <w:jc w:val="center"/>
            </w:pPr>
            <w:r w:rsidRPr="00913C78">
              <w:rPr>
                <w:rFonts w:hint="eastAsia"/>
              </w:rPr>
              <w:t>是否满足</w:t>
            </w:r>
          </w:p>
        </w:tc>
      </w:tr>
      <w:tr w:rsidR="00913C78" w:rsidRPr="00913C78" w14:paraId="563E93F5" w14:textId="77777777" w:rsidTr="00532D0F">
        <w:trPr>
          <w:jc w:val="center"/>
        </w:trPr>
        <w:tc>
          <w:tcPr>
            <w:tcW w:w="395" w:type="pct"/>
            <w:shd w:val="clear" w:color="auto" w:fill="auto"/>
            <w:vAlign w:val="center"/>
            <w:hideMark/>
          </w:tcPr>
          <w:p w14:paraId="0AA2AFA1" w14:textId="77777777" w:rsidR="00913C78" w:rsidRPr="00913C78" w:rsidRDefault="00913C78" w:rsidP="00194A28">
            <w:pPr>
              <w:pStyle w:val="af7"/>
              <w:jc w:val="center"/>
            </w:pPr>
            <w:r w:rsidRPr="00913C78">
              <w:rPr>
                <w:rFonts w:hint="eastAsia"/>
              </w:rPr>
              <w:t>1</w:t>
            </w:r>
          </w:p>
        </w:tc>
        <w:tc>
          <w:tcPr>
            <w:tcW w:w="733" w:type="pct"/>
            <w:shd w:val="clear" w:color="auto" w:fill="auto"/>
            <w:vAlign w:val="center"/>
            <w:hideMark/>
          </w:tcPr>
          <w:p w14:paraId="1E386E3C" w14:textId="77777777" w:rsidR="00913C78" w:rsidRPr="00913C78" w:rsidRDefault="00913C78" w:rsidP="00194A28">
            <w:pPr>
              <w:pStyle w:val="af7"/>
              <w:jc w:val="center"/>
            </w:pPr>
            <w:r w:rsidRPr="00913C78">
              <w:rPr>
                <w:rFonts w:hint="eastAsia"/>
              </w:rPr>
              <w:t>计算依据</w:t>
            </w:r>
          </w:p>
        </w:tc>
        <w:tc>
          <w:tcPr>
            <w:tcW w:w="3101" w:type="pct"/>
            <w:shd w:val="clear" w:color="auto" w:fill="auto"/>
            <w:vAlign w:val="center"/>
            <w:hideMark/>
          </w:tcPr>
          <w:p w14:paraId="75E9C53B" w14:textId="77777777" w:rsidR="00913C78" w:rsidRPr="00913C78" w:rsidRDefault="00913C78" w:rsidP="00194A28">
            <w:pPr>
              <w:pStyle w:val="af7"/>
            </w:pPr>
            <w:r w:rsidRPr="00913C78">
              <w:rPr>
                <w:rFonts w:hint="eastAsia"/>
              </w:rPr>
              <w:t>计算基础数据有可靠来源，写明基础数据及来源、参考标准、资料</w:t>
            </w:r>
          </w:p>
        </w:tc>
        <w:tc>
          <w:tcPr>
            <w:tcW w:w="771" w:type="pct"/>
            <w:shd w:val="clear" w:color="auto" w:fill="auto"/>
            <w:vAlign w:val="center"/>
            <w:hideMark/>
          </w:tcPr>
          <w:p w14:paraId="24406A66" w14:textId="77777777" w:rsidR="00913C78" w:rsidRPr="00913C78" w:rsidRDefault="00913C78" w:rsidP="00194A28">
            <w:pPr>
              <w:pStyle w:val="af7"/>
              <w:jc w:val="center"/>
            </w:pPr>
          </w:p>
        </w:tc>
      </w:tr>
      <w:tr w:rsidR="00913C78" w:rsidRPr="00913C78" w14:paraId="243E16B8" w14:textId="77777777" w:rsidTr="00532D0F">
        <w:trPr>
          <w:jc w:val="center"/>
        </w:trPr>
        <w:tc>
          <w:tcPr>
            <w:tcW w:w="395" w:type="pct"/>
            <w:shd w:val="clear" w:color="auto" w:fill="auto"/>
            <w:vAlign w:val="center"/>
            <w:hideMark/>
          </w:tcPr>
          <w:p w14:paraId="39BF1417" w14:textId="77777777" w:rsidR="00913C78" w:rsidRPr="00913C78" w:rsidRDefault="00913C78" w:rsidP="00194A28">
            <w:pPr>
              <w:pStyle w:val="af7"/>
              <w:jc w:val="center"/>
            </w:pPr>
            <w:r w:rsidRPr="00913C78">
              <w:rPr>
                <w:rFonts w:hint="eastAsia"/>
              </w:rPr>
              <w:t>2</w:t>
            </w:r>
          </w:p>
        </w:tc>
        <w:tc>
          <w:tcPr>
            <w:tcW w:w="733" w:type="pct"/>
            <w:shd w:val="clear" w:color="auto" w:fill="auto"/>
            <w:vAlign w:val="center"/>
            <w:hideMark/>
          </w:tcPr>
          <w:p w14:paraId="72729A62" w14:textId="77777777" w:rsidR="00913C78" w:rsidRPr="00913C78" w:rsidRDefault="00913C78" w:rsidP="00194A28">
            <w:pPr>
              <w:pStyle w:val="af7"/>
              <w:jc w:val="center"/>
            </w:pPr>
            <w:r w:rsidRPr="00913C78">
              <w:rPr>
                <w:rFonts w:hint="eastAsia"/>
              </w:rPr>
              <w:t>计算方法</w:t>
            </w:r>
          </w:p>
        </w:tc>
        <w:tc>
          <w:tcPr>
            <w:tcW w:w="3101" w:type="pct"/>
            <w:shd w:val="clear" w:color="auto" w:fill="auto"/>
            <w:vAlign w:val="center"/>
            <w:hideMark/>
          </w:tcPr>
          <w:p w14:paraId="31998E40" w14:textId="77777777" w:rsidR="00913C78" w:rsidRPr="00913C78" w:rsidRDefault="00913C78" w:rsidP="00194A28">
            <w:pPr>
              <w:pStyle w:val="af7"/>
            </w:pPr>
            <w:r w:rsidRPr="00913C78">
              <w:rPr>
                <w:rFonts w:hint="eastAsia"/>
              </w:rPr>
              <w:t>计算方法明确</w:t>
            </w:r>
            <w:r w:rsidRPr="00913C78">
              <w:t>，计算过程</w:t>
            </w:r>
            <w:r w:rsidRPr="00913C78">
              <w:rPr>
                <w:rFonts w:hint="eastAsia"/>
              </w:rPr>
              <w:t>清晰。</w:t>
            </w:r>
            <w:r w:rsidRPr="00913C78">
              <w:t>非传统水源利用率</w:t>
            </w:r>
            <w:r w:rsidRPr="00913C78">
              <w:rPr>
                <w:rFonts w:hint="eastAsia"/>
              </w:rPr>
              <w:t>为</w:t>
            </w:r>
          </w:p>
          <w:p w14:paraId="6AF2EF69" w14:textId="05BD8E5A" w:rsidR="00913C78" w:rsidRPr="00913C78" w:rsidRDefault="00913C78" w:rsidP="003C702D">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u</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W</m:t>
                      </m:r>
                    </m:e>
                    <m:sub>
                      <m:r>
                        <m:rPr>
                          <m:sty m:val="p"/>
                        </m:rPr>
                        <w:rPr>
                          <w:rFonts w:ascii="Cambria Math" w:hAnsi="Cambria Math"/>
                        </w:rPr>
                        <m:t>u</m:t>
                      </m:r>
                    </m:sub>
                  </m:sSub>
                </m:num>
                <m:den>
                  <m:sSub>
                    <m:sSubPr>
                      <m:ctrlPr>
                        <w:rPr>
                          <w:rFonts w:ascii="Cambria Math" w:hAnsi="Cambria Math"/>
                        </w:rPr>
                      </m:ctrlPr>
                    </m:sSubPr>
                    <m:e>
                      <m:r>
                        <m:rPr>
                          <m:sty m:val="p"/>
                        </m:rPr>
                        <w:rPr>
                          <w:rFonts w:ascii="Cambria Math" w:hAnsi="Cambria Math"/>
                        </w:rPr>
                        <m:t>W</m:t>
                      </m:r>
                    </m:e>
                    <m:sub>
                      <m:r>
                        <m:rPr>
                          <m:sty m:val="p"/>
                        </m:rPr>
                        <w:rPr>
                          <w:rFonts w:ascii="Cambria Math" w:hAnsi="Cambria Math"/>
                        </w:rPr>
                        <m:t>t</m:t>
                      </m:r>
                    </m:sub>
                  </m:sSub>
                </m:den>
              </m:f>
              <m:r>
                <m:rPr>
                  <m:sty m:val="p"/>
                </m:rPr>
                <w:rPr>
                  <w:rFonts w:ascii="Cambria Math" w:hAnsi="Cambria Math"/>
                </w:rPr>
                <m:t>×100%</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R</m:t>
                  </m:r>
                </m:e>
                <m:sub>
                  <m:r>
                    <m:rPr>
                      <m:sty m:val="p"/>
                    </m:rPr>
                    <w:rPr>
                      <w:rFonts w:ascii="Cambria Math"/>
                      <w:noProof/>
                    </w:rPr>
                    <m:t>u</m:t>
                  </m:r>
                </m:sub>
              </m:sSub>
              <m:r>
                <m:rPr>
                  <m:sty m:val="p"/>
                </m:rPr>
                <w:rPr>
                  <w:rFonts w:ascii="Cambria Math"/>
                  <w:noProof/>
                </w:rPr>
                <m:t>=</m:t>
              </m:r>
              <m:f>
                <m:fPr>
                  <m:ctrlPr>
                    <w:rPr>
                      <w:rFonts w:ascii="Cambria Math" w:hAnsi="Cambria Math"/>
                      <w:i/>
                      <w:noProof/>
                    </w:rPr>
                  </m:ctrlPr>
                </m:fPr>
                <m:num>
                  <m:sSub>
                    <m:sSubPr>
                      <m:ctrlPr>
                        <w:rPr>
                          <w:rFonts w:ascii="Cambria Math" w:hAnsi="Cambria Math"/>
                          <w:i/>
                          <w:noProof/>
                        </w:rPr>
                      </m:ctrlPr>
                    </m:sSubPr>
                    <m:e>
                      <m:r>
                        <m:rPr>
                          <m:sty m:val="p"/>
                        </m:rPr>
                        <w:rPr>
                          <w:rFonts w:ascii="Cambria Math"/>
                          <w:noProof/>
                        </w:rPr>
                        <m:t>W</m:t>
                      </m:r>
                    </m:e>
                    <m:sub>
                      <m:r>
                        <m:rPr>
                          <m:sty m:val="p"/>
                        </m:rPr>
                        <w:rPr>
                          <w:rFonts w:ascii="Cambria Math"/>
                          <w:noProof/>
                        </w:rPr>
                        <m:t>u</m:t>
                      </m:r>
                    </m:sub>
                  </m:sSub>
                </m:num>
                <m:den>
                  <m:sSub>
                    <m:sSubPr>
                      <m:ctrlPr>
                        <w:rPr>
                          <w:rFonts w:ascii="Cambria Math" w:hAnsi="Cambria Math"/>
                          <w:i/>
                          <w:noProof/>
                        </w:rPr>
                      </m:ctrlPr>
                    </m:sSubPr>
                    <m:e>
                      <m:r>
                        <m:rPr>
                          <m:sty m:val="p"/>
                        </m:rPr>
                        <w:rPr>
                          <w:rFonts w:ascii="Cambria Math"/>
                          <w:noProof/>
                        </w:rPr>
                        <m:t>W</m:t>
                      </m:r>
                    </m:e>
                    <m:sub>
                      <m:r>
                        <m:rPr>
                          <m:sty m:val="p"/>
                        </m:rPr>
                        <w:rPr>
                          <w:rFonts w:ascii="Cambria Math"/>
                          <w:noProof/>
                        </w:rPr>
                        <m:t>t</m:t>
                      </m:r>
                    </m:sub>
                  </m:sSub>
                </m:den>
              </m:f>
              <m:r>
                <m:rPr>
                  <m:sty m:val="p"/>
                </m:rPr>
                <w:rPr>
                  <w:rFonts w:ascii="Cambria Math"/>
                  <w:noProof/>
                </w:rPr>
                <m:t>×</m:t>
              </m:r>
              <m:r>
                <m:rPr>
                  <m:sty m:val="p"/>
                </m:rPr>
                <w:rPr>
                  <w:rFonts w:ascii="Cambria Math"/>
                  <w:noProof/>
                </w:rPr>
                <m:t>100%</m:t>
              </m:r>
            </m:oMath>
            <w:r w:rsidRPr="00913C78">
              <w:fldChar w:fldCharType="end"/>
            </w:r>
          </w:p>
          <w:p w14:paraId="04D777E6" w14:textId="540AC01A" w:rsidR="00913C78" w:rsidRPr="003C702D" w:rsidRDefault="00D20A1F" w:rsidP="00A624AE">
            <w:pPr>
              <w:pStyle w:val="af7"/>
            </w:pPr>
            <m:oMathPara>
              <m:oMathParaPr>
                <m:jc m:val="left"/>
              </m:oMathParaPr>
              <m:oMath>
                <m:sSub>
                  <m:sSubPr>
                    <m:ctrlPr>
                      <w:rPr>
                        <w:rFonts w:ascii="Cambria Math" w:hAnsi="Cambria Math"/>
                        <w:i/>
                        <w:noProof/>
                      </w:rPr>
                    </m:ctrlPr>
                  </m:sSubPr>
                  <m:e>
                    <m:r>
                      <w:rPr>
                        <w:rFonts w:ascii="Cambria Math"/>
                        <w:noProof/>
                      </w:rPr>
                      <m:t>W</m:t>
                    </m:r>
                  </m:e>
                  <m:sub>
                    <m:r>
                      <w:rPr>
                        <w:rFonts w:ascii="Cambria Math"/>
                        <w:noProof/>
                      </w:rPr>
                      <m:t>u</m:t>
                    </m:r>
                  </m:sub>
                </m:sSub>
                <m:r>
                  <w:rPr>
                    <w:rFonts w:ascii="Cambria Math"/>
                    <w:noProof/>
                  </w:rPr>
                  <m:t>=</m:t>
                </m:r>
                <m:sSub>
                  <m:sSubPr>
                    <m:ctrlPr>
                      <w:rPr>
                        <w:rFonts w:ascii="Cambria Math" w:hAnsi="Cambria Math"/>
                        <w:i/>
                        <w:noProof/>
                      </w:rPr>
                    </m:ctrlPr>
                  </m:sSubPr>
                  <m:e>
                    <m:r>
                      <w:rPr>
                        <w:rFonts w:ascii="Cambria Math"/>
                        <w:noProof/>
                      </w:rPr>
                      <m:t>W</m:t>
                    </m:r>
                  </m:e>
                  <m:sub>
                    <m:r>
                      <w:rPr>
                        <w:rFonts w:ascii="Cambria Math"/>
                        <w:noProof/>
                      </w:rPr>
                      <m:t>R</m:t>
                    </m:r>
                  </m:sub>
                </m:sSub>
                <m:r>
                  <w:rPr>
                    <w:rFonts w:ascii="Cambria Math"/>
                    <w:noProof/>
                  </w:rPr>
                  <m:t>+</m:t>
                </m:r>
                <m:sSub>
                  <m:sSubPr>
                    <m:ctrlPr>
                      <w:rPr>
                        <w:rFonts w:ascii="Cambria Math" w:hAnsi="Cambria Math"/>
                        <w:i/>
                        <w:noProof/>
                      </w:rPr>
                    </m:ctrlPr>
                  </m:sSubPr>
                  <m:e>
                    <m:r>
                      <w:rPr>
                        <w:rFonts w:ascii="Cambria Math"/>
                        <w:noProof/>
                      </w:rPr>
                      <m:t>W</m:t>
                    </m:r>
                  </m:e>
                  <m:sub>
                    <m:r>
                      <w:rPr>
                        <w:rFonts w:ascii="Cambria Math"/>
                        <w:noProof/>
                      </w:rPr>
                      <m:t>r</m:t>
                    </m:r>
                  </m:sub>
                </m:sSub>
                <m:r>
                  <w:rPr>
                    <w:rFonts w:ascii="Cambria Math"/>
                    <w:noProof/>
                  </w:rPr>
                  <m:t>+</m:t>
                </m:r>
                <m:sSub>
                  <m:sSubPr>
                    <m:ctrlPr>
                      <w:rPr>
                        <w:rFonts w:ascii="Cambria Math" w:hAnsi="Cambria Math"/>
                        <w:i/>
                        <w:noProof/>
                      </w:rPr>
                    </m:ctrlPr>
                  </m:sSubPr>
                  <m:e>
                    <m:r>
                      <w:rPr>
                        <w:rFonts w:ascii="Cambria Math"/>
                        <w:noProof/>
                      </w:rPr>
                      <m:t>W</m:t>
                    </m:r>
                  </m:e>
                  <m:sub>
                    <m:r>
                      <w:rPr>
                        <w:rFonts w:ascii="Cambria Math"/>
                        <w:noProof/>
                      </w:rPr>
                      <m:t>o</m:t>
                    </m:r>
                  </m:sub>
                </m:sSub>
              </m:oMath>
            </m:oMathPara>
          </w:p>
        </w:tc>
        <w:tc>
          <w:tcPr>
            <w:tcW w:w="771" w:type="pct"/>
            <w:shd w:val="clear" w:color="auto" w:fill="auto"/>
            <w:vAlign w:val="center"/>
            <w:hideMark/>
          </w:tcPr>
          <w:p w14:paraId="591F63A2" w14:textId="77777777" w:rsidR="00913C78" w:rsidRPr="00913C78" w:rsidRDefault="00913C78" w:rsidP="00194A28">
            <w:pPr>
              <w:pStyle w:val="af7"/>
              <w:jc w:val="center"/>
            </w:pPr>
          </w:p>
        </w:tc>
      </w:tr>
      <w:tr w:rsidR="00913C78" w:rsidRPr="00913C78" w14:paraId="625A7A15" w14:textId="77777777" w:rsidTr="00532D0F">
        <w:trPr>
          <w:jc w:val="center"/>
        </w:trPr>
        <w:tc>
          <w:tcPr>
            <w:tcW w:w="395" w:type="pct"/>
            <w:shd w:val="clear" w:color="auto" w:fill="auto"/>
            <w:vAlign w:val="center"/>
          </w:tcPr>
          <w:p w14:paraId="7CFA54A7" w14:textId="77777777" w:rsidR="00913C78" w:rsidRPr="00913C78" w:rsidRDefault="00913C78" w:rsidP="00194A28">
            <w:pPr>
              <w:pStyle w:val="af7"/>
              <w:jc w:val="center"/>
            </w:pPr>
            <w:r w:rsidRPr="00913C78">
              <w:rPr>
                <w:rFonts w:hint="eastAsia"/>
              </w:rPr>
              <w:t>3</w:t>
            </w:r>
          </w:p>
        </w:tc>
        <w:tc>
          <w:tcPr>
            <w:tcW w:w="733" w:type="pct"/>
            <w:shd w:val="clear" w:color="auto" w:fill="auto"/>
            <w:vAlign w:val="center"/>
          </w:tcPr>
          <w:p w14:paraId="2A8E7345" w14:textId="77777777" w:rsidR="00913C78" w:rsidRPr="00913C78" w:rsidRDefault="00913C78" w:rsidP="00194A28">
            <w:pPr>
              <w:pStyle w:val="af7"/>
              <w:jc w:val="center"/>
            </w:pPr>
            <w:r w:rsidRPr="00913C78">
              <w:rPr>
                <w:rFonts w:hint="eastAsia"/>
              </w:rPr>
              <w:t>设计用水总量</w:t>
            </w:r>
          </w:p>
        </w:tc>
        <w:tc>
          <w:tcPr>
            <w:tcW w:w="3101" w:type="pct"/>
            <w:shd w:val="clear" w:color="auto" w:fill="auto"/>
            <w:vAlign w:val="center"/>
          </w:tcPr>
          <w:p w14:paraId="35E8E76C" w14:textId="77777777" w:rsidR="00913C78" w:rsidRPr="00913C78" w:rsidRDefault="00913C78" w:rsidP="00194A28">
            <w:pPr>
              <w:pStyle w:val="af7"/>
            </w:pPr>
            <w:r w:rsidRPr="00913C78">
              <w:rPr>
                <w:rFonts w:hint="eastAsia"/>
              </w:rPr>
              <w:t>设计用水总量计算结果应包括项目所有用途的用水量，无相应用途时可以不做计算</w:t>
            </w:r>
            <w:r w:rsidRPr="00913C78">
              <w:t>：</w:t>
            </w:r>
            <w:r w:rsidRPr="00913C78">
              <w:rPr>
                <w:rFonts w:hint="eastAsia"/>
              </w:rPr>
              <w:t>生活用水年节水用水量、生活热水年节水用水量、浇洒草坪、绿化年均灌水、洗车场洗车用水量、冲厕用水量，并</w:t>
            </w:r>
            <w:r w:rsidRPr="00913C78">
              <w:t>按照</w:t>
            </w:r>
            <w:r w:rsidRPr="00913C78">
              <w:rPr>
                <w:rFonts w:hint="eastAsia"/>
              </w:rPr>
              <w:t>附录</w:t>
            </w:r>
            <w:r w:rsidRPr="00913C78">
              <w:rPr>
                <w:rFonts w:hint="eastAsia"/>
              </w:rPr>
              <w:t>B.3.2</w:t>
            </w:r>
            <w:r w:rsidRPr="00913C78">
              <w:rPr>
                <w:rFonts w:hint="eastAsia"/>
              </w:rPr>
              <w:t>节</w:t>
            </w:r>
            <w:r w:rsidRPr="00913C78">
              <w:rPr>
                <w:rFonts w:hint="eastAsia"/>
              </w:rPr>
              <w:t>3</w:t>
            </w:r>
            <w:r w:rsidRPr="00913C78">
              <w:rPr>
                <w:rFonts w:hint="eastAsia"/>
              </w:rPr>
              <w:t>中关于设计用水总量的内容</w:t>
            </w:r>
            <w:r w:rsidRPr="00913C78">
              <w:t>计算。</w:t>
            </w:r>
          </w:p>
        </w:tc>
        <w:tc>
          <w:tcPr>
            <w:tcW w:w="771" w:type="pct"/>
            <w:shd w:val="clear" w:color="auto" w:fill="auto"/>
            <w:vAlign w:val="center"/>
          </w:tcPr>
          <w:p w14:paraId="4302ED68" w14:textId="77777777" w:rsidR="00913C78" w:rsidRPr="00913C78" w:rsidRDefault="00913C78" w:rsidP="00194A28">
            <w:pPr>
              <w:pStyle w:val="af7"/>
              <w:jc w:val="center"/>
            </w:pPr>
          </w:p>
        </w:tc>
      </w:tr>
      <w:tr w:rsidR="00913C78" w:rsidRPr="00913C78" w14:paraId="7621B3A3" w14:textId="77777777" w:rsidTr="00532D0F">
        <w:trPr>
          <w:jc w:val="center"/>
        </w:trPr>
        <w:tc>
          <w:tcPr>
            <w:tcW w:w="395" w:type="pct"/>
            <w:shd w:val="clear" w:color="auto" w:fill="auto"/>
            <w:vAlign w:val="center"/>
            <w:hideMark/>
          </w:tcPr>
          <w:p w14:paraId="440A6686" w14:textId="77777777" w:rsidR="00913C78" w:rsidRPr="00913C78" w:rsidRDefault="00913C78" w:rsidP="00194A28">
            <w:pPr>
              <w:pStyle w:val="af7"/>
              <w:jc w:val="center"/>
            </w:pPr>
            <w:r w:rsidRPr="00913C78">
              <w:t>4</w:t>
            </w:r>
          </w:p>
        </w:tc>
        <w:tc>
          <w:tcPr>
            <w:tcW w:w="733" w:type="pct"/>
            <w:shd w:val="clear" w:color="auto" w:fill="auto"/>
            <w:vAlign w:val="center"/>
            <w:hideMark/>
          </w:tcPr>
          <w:p w14:paraId="5E0BF5EC" w14:textId="77777777" w:rsidR="00913C78" w:rsidRPr="00913C78" w:rsidRDefault="00913C78" w:rsidP="00194A28">
            <w:pPr>
              <w:pStyle w:val="af7"/>
              <w:jc w:val="center"/>
            </w:pPr>
            <w:r w:rsidRPr="00913C78">
              <w:rPr>
                <w:rFonts w:hint="eastAsia"/>
              </w:rPr>
              <w:t>再生水设计</w:t>
            </w:r>
            <w:r w:rsidRPr="00913C78">
              <w:br/>
            </w:r>
            <w:r w:rsidRPr="00913C78">
              <w:rPr>
                <w:rFonts w:hint="eastAsia"/>
              </w:rPr>
              <w:t>利用量</w:t>
            </w:r>
          </w:p>
        </w:tc>
        <w:tc>
          <w:tcPr>
            <w:tcW w:w="3101" w:type="pct"/>
            <w:shd w:val="clear" w:color="auto" w:fill="auto"/>
            <w:vAlign w:val="center"/>
            <w:hideMark/>
          </w:tcPr>
          <w:p w14:paraId="0BE6575F" w14:textId="77777777" w:rsidR="00913C78" w:rsidRPr="00913C78" w:rsidRDefault="00913C78" w:rsidP="00194A28">
            <w:pPr>
              <w:pStyle w:val="af7"/>
            </w:pPr>
            <w:r w:rsidRPr="00913C78">
              <w:rPr>
                <w:rFonts w:hint="eastAsia"/>
              </w:rPr>
              <w:t>再生水设计利用量选取下列三个水量中的最小数值，即</w:t>
            </w:r>
          </w:p>
          <w:p w14:paraId="1EB29BEC" w14:textId="3B788222" w:rsidR="00913C78" w:rsidRPr="00913C78" w:rsidRDefault="00913C78" w:rsidP="00A624AE">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=0.8×</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sa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R</m:t>
                  </m:r>
                </m:sub>
              </m:sSub>
              <m:r>
                <m:rPr>
                  <m:sty m:val="p"/>
                </m:rPr>
                <w:rPr>
                  <w:rFonts w:ascii="Cambria Math"/>
                  <w:noProof/>
                </w:rPr>
                <m:t>=0.8</m:t>
              </m:r>
              <m:r>
                <m:rPr>
                  <m:sty m:val="p"/>
                </m:rPr>
                <w:rPr>
                  <w:rFonts w:ascii="Cambria Math"/>
                  <w:noProof/>
                </w:rPr>
                <m:t>×</m:t>
              </m:r>
              <m:sSub>
                <m:sSubPr>
                  <m:ctrlPr>
                    <w:rPr>
                      <w:rFonts w:ascii="Cambria Math" w:hAnsi="Cambria Math"/>
                      <w:i/>
                      <w:noProof/>
                    </w:rPr>
                  </m:ctrlPr>
                </m:sSubPr>
                <m:e>
                  <m:r>
                    <m:rPr>
                      <m:sty m:val="p"/>
                    </m:rPr>
                    <w:rPr>
                      <w:rFonts w:ascii="Cambria Math"/>
                      <w:noProof/>
                    </w:rPr>
                    <m:t>Q</m:t>
                  </m:r>
                </m:e>
                <m:sub>
                  <m:r>
                    <m:rPr>
                      <m:nor/>
                    </m:rPr>
                    <w:rPr>
                      <w:rFonts w:ascii="Cambria Math"/>
                      <w:noProof/>
                    </w:rPr>
                    <m:t>sa</m:t>
                  </m:r>
                  <m:ctrlPr>
                    <w:rPr>
                      <w:rFonts w:ascii="Cambria Math" w:hAnsi="Cambria Math"/>
                      <w:noProof/>
                    </w:rPr>
                  </m:ctrlPr>
                </m:sub>
              </m:sSub>
            </m:oMath>
            <w:r w:rsidRPr="00913C78">
              <w:fldChar w:fldCharType="end"/>
            </w:r>
          </w:p>
          <w:p w14:paraId="4514805B" w14:textId="19252048" w:rsidR="00913C78" w:rsidRPr="00913C78" w:rsidRDefault="00913C78" w:rsidP="00A624AE">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=0.8×365</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cd</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R</m:t>
                  </m:r>
                </m:sub>
              </m:sSub>
              <m:r>
                <m:rPr>
                  <m:sty m:val="p"/>
                </m:rPr>
                <w:rPr>
                  <w:rFonts w:ascii="Cambria Math"/>
                  <w:noProof/>
                </w:rPr>
                <m:t>=0.8</m:t>
              </m:r>
              <m:r>
                <m:rPr>
                  <m:sty m:val="p"/>
                </m:rPr>
                <w:rPr>
                  <w:rFonts w:ascii="Cambria Math"/>
                  <w:noProof/>
                </w:rPr>
                <m:t>×</m:t>
              </m:r>
              <m:r>
                <m:rPr>
                  <m:sty m:val="p"/>
                </m:rPr>
                <w:rPr>
                  <w:rFonts w:ascii="Cambria Math"/>
                  <w:noProof/>
                </w:rPr>
                <m:t>365</m:t>
              </m:r>
              <m:sSub>
                <m:sSubPr>
                  <m:ctrlPr>
                    <w:rPr>
                      <w:rFonts w:ascii="Cambria Math" w:hAnsi="Cambria Math"/>
                      <w:i/>
                      <w:noProof/>
                    </w:rPr>
                  </m:ctrlPr>
                </m:sSubPr>
                <m:e>
                  <m:r>
                    <m:rPr>
                      <m:sty m:val="p"/>
                    </m:rPr>
                    <w:rPr>
                      <w:rFonts w:ascii="Cambria Math"/>
                      <w:noProof/>
                    </w:rPr>
                    <m:t>Q</m:t>
                  </m:r>
                </m:e>
                <m:sub>
                  <m:r>
                    <m:rPr>
                      <m:nor/>
                    </m:rPr>
                    <w:rPr>
                      <w:rFonts w:ascii="Cambria Math"/>
                      <w:noProof/>
                    </w:rPr>
                    <m:t>cd</m:t>
                  </m:r>
                  <m:ctrlPr>
                    <w:rPr>
                      <w:rFonts w:ascii="Cambria Math" w:hAnsi="Cambria Math"/>
                      <w:noProof/>
                    </w:rPr>
                  </m:ctrlPr>
                </m:sub>
              </m:sSub>
            </m:oMath>
            <w:r w:rsidRPr="00913C78">
              <w:fldChar w:fldCharType="end"/>
            </w:r>
          </w:p>
          <w:p w14:paraId="3E8CF1CF" w14:textId="40541A09" w:rsidR="00913C78" w:rsidRPr="00913C78" w:rsidRDefault="00913C78" w:rsidP="00A624AE">
            <w:pPr>
              <w:pStyle w:val="af7"/>
            </w:pP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=0.9×</m:t>
              </m:r>
              <m:sSub>
                <m:sSubPr>
                  <m:ctrlPr>
                    <w:rPr>
                      <w:rFonts w:ascii="Cambria Math" w:hAnsi="Cambria Math"/>
                    </w:rPr>
                  </m:ctrlPr>
                </m:sSubPr>
                <m:e>
                  <m:r>
                    <m:rPr>
                      <m:sty m:val="p"/>
                    </m:rPr>
                    <w:rPr>
                      <w:rFonts w:ascii="Cambria Math" w:hAnsi="Cambria Math"/>
                    </w:rPr>
                    <m:t>Q</m:t>
                  </m:r>
                </m:e>
                <m:sub>
                  <m:r>
                    <m:rPr>
                      <m:sty m:val="p"/>
                    </m:rPr>
                    <w:rPr>
                      <w:rFonts w:ascii="Cambria Math" w:hAnsi="Cambria Math"/>
                    </w:rPr>
                    <m:t>xa</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R</m:t>
                  </m:r>
                </m:sub>
              </m:sSub>
              <m:r>
                <m:rPr>
                  <m:sty m:val="p"/>
                </m:rPr>
                <w:rPr>
                  <w:rFonts w:ascii="Cambria Math"/>
                  <w:noProof/>
                </w:rPr>
                <m:t>=0.9</m:t>
              </m:r>
              <m:r>
                <m:rPr>
                  <m:sty m:val="p"/>
                </m:rPr>
                <w:rPr>
                  <w:rFonts w:ascii="Cambria Math"/>
                  <w:noProof/>
                </w:rPr>
                <m:t>×</m:t>
              </m:r>
              <m:sSub>
                <m:sSubPr>
                  <m:ctrlPr>
                    <w:rPr>
                      <w:rFonts w:ascii="Cambria Math" w:hAnsi="Cambria Math"/>
                      <w:i/>
                      <w:noProof/>
                    </w:rPr>
                  </m:ctrlPr>
                </m:sSubPr>
                <m:e>
                  <m:r>
                    <m:rPr>
                      <m:sty m:val="p"/>
                    </m:rPr>
                    <w:rPr>
                      <w:rFonts w:ascii="Cambria Math"/>
                      <w:noProof/>
                    </w:rPr>
                    <m:t>Q</m:t>
                  </m:r>
                </m:e>
                <m:sub>
                  <m:r>
                    <m:rPr>
                      <m:nor/>
                    </m:rPr>
                    <w:rPr>
                      <w:rFonts w:ascii="Cambria Math"/>
                      <w:noProof/>
                    </w:rPr>
                    <m:t>xa</m:t>
                  </m:r>
                  <m:ctrlPr>
                    <w:rPr>
                      <w:rFonts w:ascii="Cambria Math" w:hAnsi="Cambria Math"/>
                      <w:noProof/>
                    </w:rPr>
                  </m:ctrlPr>
                </m:sub>
              </m:sSub>
            </m:oMath>
            <w:r w:rsidRPr="00913C78">
              <w:fldChar w:fldCharType="end"/>
            </w:r>
          </w:p>
        </w:tc>
        <w:tc>
          <w:tcPr>
            <w:tcW w:w="771" w:type="pct"/>
            <w:shd w:val="clear" w:color="auto" w:fill="auto"/>
            <w:vAlign w:val="center"/>
            <w:hideMark/>
          </w:tcPr>
          <w:p w14:paraId="4025685E" w14:textId="77777777" w:rsidR="00913C78" w:rsidRPr="00913C78" w:rsidRDefault="00913C78" w:rsidP="00194A28">
            <w:pPr>
              <w:pStyle w:val="af7"/>
              <w:jc w:val="center"/>
            </w:pPr>
          </w:p>
        </w:tc>
      </w:tr>
      <w:tr w:rsidR="00913C78" w:rsidRPr="00913C78" w14:paraId="6A5906FE" w14:textId="77777777" w:rsidTr="00532D0F">
        <w:trPr>
          <w:jc w:val="center"/>
        </w:trPr>
        <w:tc>
          <w:tcPr>
            <w:tcW w:w="395" w:type="pct"/>
            <w:shd w:val="clear" w:color="auto" w:fill="auto"/>
            <w:vAlign w:val="center"/>
          </w:tcPr>
          <w:p w14:paraId="05F57E16" w14:textId="77777777" w:rsidR="00913C78" w:rsidRPr="00913C78" w:rsidRDefault="00913C78" w:rsidP="00194A28">
            <w:pPr>
              <w:pStyle w:val="af7"/>
              <w:jc w:val="center"/>
            </w:pPr>
            <w:r w:rsidRPr="00913C78">
              <w:rPr>
                <w:rFonts w:hint="eastAsia"/>
              </w:rPr>
              <w:t>5</w:t>
            </w:r>
          </w:p>
        </w:tc>
        <w:tc>
          <w:tcPr>
            <w:tcW w:w="733" w:type="pct"/>
            <w:shd w:val="clear" w:color="auto" w:fill="auto"/>
            <w:vAlign w:val="center"/>
          </w:tcPr>
          <w:p w14:paraId="35F2CDDC" w14:textId="77777777" w:rsidR="00913C78" w:rsidRPr="00913C78" w:rsidRDefault="00913C78" w:rsidP="00194A28">
            <w:pPr>
              <w:pStyle w:val="af7"/>
              <w:jc w:val="center"/>
            </w:pPr>
            <w:r w:rsidRPr="00913C78">
              <w:rPr>
                <w:rFonts w:hint="eastAsia"/>
              </w:rPr>
              <w:t>雨水设计</w:t>
            </w:r>
            <w:r w:rsidRPr="00913C78">
              <w:br/>
            </w:r>
            <w:r w:rsidRPr="00913C78">
              <w:rPr>
                <w:rFonts w:hint="eastAsia"/>
              </w:rPr>
              <w:lastRenderedPageBreak/>
              <w:t>利用量</w:t>
            </w:r>
          </w:p>
        </w:tc>
        <w:tc>
          <w:tcPr>
            <w:tcW w:w="3101" w:type="pct"/>
            <w:shd w:val="clear" w:color="auto" w:fill="auto"/>
            <w:vAlign w:val="center"/>
          </w:tcPr>
          <w:p w14:paraId="3ED04FC8" w14:textId="77777777" w:rsidR="00913C78" w:rsidRPr="00913C78" w:rsidRDefault="00913C78" w:rsidP="00194A28">
            <w:pPr>
              <w:pStyle w:val="af7"/>
            </w:pPr>
            <w:r w:rsidRPr="00913C78">
              <w:rPr>
                <w:rFonts w:hint="eastAsia"/>
              </w:rPr>
              <w:lastRenderedPageBreak/>
              <w:t>雨水回用系统的年用雨水量应按下式计算为</w:t>
            </w:r>
          </w:p>
          <w:p w14:paraId="589183D8" w14:textId="7577A7BA" w:rsidR="00913C78" w:rsidRPr="00913C78" w:rsidRDefault="00913C78" w:rsidP="00A624AE">
            <w:pPr>
              <w:pStyle w:val="af7"/>
            </w:pPr>
            <w:r w:rsidRPr="00913C78">
              <w:lastRenderedPageBreak/>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W</m:t>
                  </m:r>
                </m:e>
                <m:sub>
                  <m:r>
                    <m:rPr>
                      <m:sty m:val="p"/>
                    </m:rPr>
                    <w:rPr>
                      <w:rFonts w:ascii="Cambria Math" w:hAnsi="Cambria Math"/>
                    </w:rPr>
                    <m:t>r</m:t>
                  </m:r>
                </m:sub>
              </m:sSub>
              <m:r>
                <m:rPr>
                  <m:sty m:val="p"/>
                </m:rPr>
                <w:rPr>
                  <w:rFonts w:ascii="Cambria Math" w:hAnsi="Cambria Math"/>
                </w:rPr>
                <m:t>=</m:t>
              </m:r>
              <m:d>
                <m:dPr>
                  <m:ctrlPr>
                    <w:rPr>
                      <w:rFonts w:ascii="Cambria Math" w:hAnsi="Cambria Math"/>
                    </w:rPr>
                  </m:ctrlPr>
                </m:dPr>
                <m:e>
                  <m:r>
                    <m:rPr>
                      <m:sty m:val="p"/>
                    </m:rPr>
                    <w:rPr>
                      <w:rFonts w:ascii="Cambria Math" w:hAnsi="Cambria Math"/>
                    </w:rPr>
                    <m:t>0.6~0.7</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ψ</m:t>
                  </m:r>
                </m:e>
                <m:sub>
                  <m:r>
                    <m:rPr>
                      <m:sty m:val="p"/>
                    </m:rPr>
                    <w:rPr>
                      <w:rFonts w:ascii="Cambria Math" w:hAnsi="Cambria Math"/>
                    </w:rPr>
                    <m:t>c</m:t>
                  </m:r>
                </m:sub>
              </m:sSub>
              <m:sSub>
                <m:sSubPr>
                  <m:ctrlPr>
                    <w:rPr>
                      <w:rFonts w:ascii="Cambria Math" w:hAnsi="Cambria Math"/>
                    </w:rPr>
                  </m:ctrlPr>
                </m:sSubPr>
                <m:e>
                  <m:r>
                    <m:rPr>
                      <m:sty m:val="p"/>
                    </m:rPr>
                    <w:rPr>
                      <w:rFonts w:ascii="Cambria Math" w:hAnsi="Cambria Math"/>
                    </w:rPr>
                    <m:t>h</m:t>
                  </m:r>
                </m:e>
                <m:sub>
                  <m:r>
                    <m:rPr>
                      <m:sty m:val="p"/>
                    </m:rPr>
                    <w:rPr>
                      <w:rFonts w:ascii="Cambria Math" w:hAnsi="Cambria Math"/>
                    </w:rPr>
                    <m:t>a</m:t>
                  </m:r>
                </m:sub>
              </m:sSub>
              <m:r>
                <m:rPr>
                  <m:sty m:val="p"/>
                </m:rPr>
                <w:rPr>
                  <w:rFonts w:ascii="Cambria Math" w:hAnsi="Cambria Math"/>
                </w:rPr>
                <m:t>F</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W</m:t>
                  </m:r>
                </m:e>
                <m:sub>
                  <m:r>
                    <m:rPr>
                      <m:sty m:val="p"/>
                    </m:rPr>
                    <w:rPr>
                      <w:rFonts w:ascii="Cambria Math"/>
                      <w:noProof/>
                    </w:rPr>
                    <m:t>r</m:t>
                  </m:r>
                </m:sub>
              </m:sSub>
              <m:r>
                <m:rPr>
                  <m:sty m:val="p"/>
                </m:rPr>
                <w:rPr>
                  <w:rFonts w:ascii="Cambria Math"/>
                  <w:noProof/>
                </w:rPr>
                <m:t>=(0.6~0.7)</m:t>
              </m:r>
              <m:r>
                <m:rPr>
                  <m:sty m:val="p"/>
                </m:rPr>
                <w:rPr>
                  <w:rFonts w:ascii="Cambria Math"/>
                  <w:noProof/>
                </w:rPr>
                <m:t>×</m:t>
              </m:r>
              <m:r>
                <m:rPr>
                  <m:sty m:val="p"/>
                </m:rPr>
                <w:rPr>
                  <w:rFonts w:ascii="Cambria Math"/>
                  <w:noProof/>
                </w:rPr>
                <m:t>10</m:t>
              </m:r>
              <m:sSub>
                <m:sSubPr>
                  <m:ctrlPr>
                    <w:rPr>
                      <w:rFonts w:ascii="Cambria Math" w:hAnsi="Cambria Math"/>
                      <w:i/>
                      <w:noProof/>
                    </w:rPr>
                  </m:ctrlPr>
                </m:sSubPr>
                <m:e>
                  <m:r>
                    <m:rPr>
                      <m:sty m:val="p"/>
                    </m:rPr>
                    <w:rPr>
                      <w:rFonts w:ascii="Cambria Math"/>
                      <w:noProof/>
                    </w:rPr>
                    <m:t>ψ</m:t>
                  </m:r>
                </m:e>
                <m:sub>
                  <m:r>
                    <m:rPr>
                      <m:sty m:val="p"/>
                    </m:rPr>
                    <w:rPr>
                      <w:rFonts w:ascii="Cambria Math"/>
                      <w:noProof/>
                    </w:rPr>
                    <m:t>c</m:t>
                  </m:r>
                </m:sub>
              </m:sSub>
              <m:sSub>
                <m:sSubPr>
                  <m:ctrlPr>
                    <w:rPr>
                      <w:rFonts w:ascii="Cambria Math" w:hAnsi="Cambria Math"/>
                      <w:i/>
                      <w:noProof/>
                    </w:rPr>
                  </m:ctrlPr>
                </m:sSubPr>
                <m:e>
                  <m:r>
                    <m:rPr>
                      <m:sty m:val="p"/>
                    </m:rPr>
                    <w:rPr>
                      <w:rFonts w:ascii="Cambria Math"/>
                      <w:noProof/>
                    </w:rPr>
                    <m:t>h</m:t>
                  </m:r>
                </m:e>
                <m:sub>
                  <m:r>
                    <m:rPr>
                      <m:sty m:val="p"/>
                    </m:rPr>
                    <w:rPr>
                      <w:rFonts w:ascii="Cambria Math"/>
                      <w:noProof/>
                    </w:rPr>
                    <m:t>a</m:t>
                  </m:r>
                </m:sub>
              </m:sSub>
              <m:r>
                <m:rPr>
                  <m:sty m:val="p"/>
                </m:rPr>
                <w:rPr>
                  <w:rFonts w:ascii="Cambria Math"/>
                  <w:noProof/>
                </w:rPr>
                <m:t>F</m:t>
              </m:r>
            </m:oMath>
            <w:r w:rsidRPr="00913C78">
              <w:fldChar w:fldCharType="end"/>
            </w:r>
          </w:p>
        </w:tc>
        <w:tc>
          <w:tcPr>
            <w:tcW w:w="771" w:type="pct"/>
            <w:shd w:val="clear" w:color="auto" w:fill="auto"/>
            <w:vAlign w:val="center"/>
          </w:tcPr>
          <w:p w14:paraId="617BEDA7" w14:textId="77777777" w:rsidR="00913C78" w:rsidRPr="00913C78" w:rsidRDefault="00913C78" w:rsidP="00194A28">
            <w:pPr>
              <w:pStyle w:val="af7"/>
              <w:jc w:val="center"/>
            </w:pPr>
          </w:p>
        </w:tc>
      </w:tr>
      <w:tr w:rsidR="00913C78" w:rsidRPr="00913C78" w14:paraId="177FDF69" w14:textId="77777777" w:rsidTr="00532D0F">
        <w:trPr>
          <w:jc w:val="center"/>
        </w:trPr>
        <w:tc>
          <w:tcPr>
            <w:tcW w:w="395" w:type="pct"/>
            <w:vMerge w:val="restart"/>
            <w:shd w:val="clear" w:color="auto" w:fill="auto"/>
            <w:vAlign w:val="center"/>
          </w:tcPr>
          <w:p w14:paraId="746E2A9E" w14:textId="77777777" w:rsidR="00913C78" w:rsidRPr="00913C78" w:rsidRDefault="00913C78" w:rsidP="00194A28">
            <w:pPr>
              <w:pStyle w:val="af7"/>
              <w:jc w:val="center"/>
            </w:pPr>
            <w:r w:rsidRPr="00913C78">
              <w:lastRenderedPageBreak/>
              <w:t>6</w:t>
            </w:r>
          </w:p>
        </w:tc>
        <w:tc>
          <w:tcPr>
            <w:tcW w:w="733" w:type="pct"/>
            <w:vMerge w:val="restart"/>
            <w:shd w:val="clear" w:color="auto" w:fill="auto"/>
            <w:vAlign w:val="center"/>
          </w:tcPr>
          <w:p w14:paraId="4165E244" w14:textId="77777777" w:rsidR="00913C78" w:rsidRPr="00913C78" w:rsidRDefault="00913C78" w:rsidP="00194A28">
            <w:pPr>
              <w:pStyle w:val="af7"/>
              <w:jc w:val="center"/>
            </w:pPr>
            <w:r w:rsidRPr="00913C78">
              <w:rPr>
                <w:rFonts w:hint="eastAsia"/>
              </w:rPr>
              <w:t>计算结果</w:t>
            </w:r>
          </w:p>
        </w:tc>
        <w:tc>
          <w:tcPr>
            <w:tcW w:w="3101" w:type="pct"/>
            <w:shd w:val="clear" w:color="auto" w:fill="auto"/>
            <w:vAlign w:val="center"/>
          </w:tcPr>
          <w:p w14:paraId="7CA60FB5" w14:textId="77777777" w:rsidR="00913C78" w:rsidRPr="00913C78" w:rsidRDefault="00913C78" w:rsidP="00194A28">
            <w:pPr>
              <w:pStyle w:val="af7"/>
            </w:pPr>
            <w:r w:rsidRPr="00913C78">
              <w:rPr>
                <w:rFonts w:hint="eastAsia"/>
              </w:rPr>
              <w:t>逐月计算需水量及可收集水量，进行水量平衡分析</w:t>
            </w:r>
          </w:p>
        </w:tc>
        <w:tc>
          <w:tcPr>
            <w:tcW w:w="771" w:type="pct"/>
            <w:shd w:val="clear" w:color="auto" w:fill="auto"/>
            <w:vAlign w:val="center"/>
          </w:tcPr>
          <w:p w14:paraId="09B59E20" w14:textId="77777777" w:rsidR="00913C78" w:rsidRPr="00913C78" w:rsidRDefault="00913C78" w:rsidP="00194A28">
            <w:pPr>
              <w:pStyle w:val="af7"/>
              <w:jc w:val="center"/>
            </w:pPr>
          </w:p>
        </w:tc>
      </w:tr>
      <w:tr w:rsidR="00913C78" w:rsidRPr="00913C78" w14:paraId="5E52492F" w14:textId="77777777" w:rsidTr="00532D0F">
        <w:trPr>
          <w:jc w:val="center"/>
        </w:trPr>
        <w:tc>
          <w:tcPr>
            <w:tcW w:w="395" w:type="pct"/>
            <w:vMerge/>
            <w:shd w:val="clear" w:color="auto" w:fill="auto"/>
            <w:vAlign w:val="center"/>
          </w:tcPr>
          <w:p w14:paraId="1FAA71F3" w14:textId="77777777" w:rsidR="00913C78" w:rsidRPr="00913C78" w:rsidRDefault="00913C78" w:rsidP="00194A28">
            <w:pPr>
              <w:pStyle w:val="af7"/>
              <w:jc w:val="center"/>
            </w:pPr>
          </w:p>
        </w:tc>
        <w:tc>
          <w:tcPr>
            <w:tcW w:w="733" w:type="pct"/>
            <w:vMerge/>
            <w:shd w:val="clear" w:color="auto" w:fill="auto"/>
            <w:vAlign w:val="center"/>
          </w:tcPr>
          <w:p w14:paraId="68E23098" w14:textId="77777777" w:rsidR="00913C78" w:rsidRPr="00913C78" w:rsidRDefault="00913C78" w:rsidP="00194A28">
            <w:pPr>
              <w:pStyle w:val="af7"/>
              <w:jc w:val="center"/>
            </w:pPr>
          </w:p>
        </w:tc>
        <w:tc>
          <w:tcPr>
            <w:tcW w:w="3101" w:type="pct"/>
            <w:shd w:val="clear" w:color="auto" w:fill="auto"/>
            <w:vAlign w:val="center"/>
          </w:tcPr>
          <w:p w14:paraId="486F35B3" w14:textId="77777777" w:rsidR="00913C78" w:rsidRPr="00913C78" w:rsidRDefault="00913C78" w:rsidP="00194A28">
            <w:pPr>
              <w:pStyle w:val="af7"/>
            </w:pPr>
            <w:r w:rsidRPr="00913C78">
              <w:t>通过</w:t>
            </w:r>
            <w:r w:rsidRPr="00913C78">
              <w:rPr>
                <w:rFonts w:hint="eastAsia"/>
              </w:rPr>
              <w:t>计算</w:t>
            </w:r>
            <w:r w:rsidRPr="00913C78">
              <w:t>，</w:t>
            </w:r>
            <w:r w:rsidRPr="00913C78">
              <w:rPr>
                <w:rFonts w:hint="eastAsia"/>
              </w:rPr>
              <w:t>项目</w:t>
            </w:r>
            <w:r w:rsidRPr="00913C78">
              <w:t>的非传统水源利用率</w:t>
            </w:r>
            <w:r w:rsidRPr="00913C78">
              <w:rPr>
                <w:rFonts w:hint="eastAsia"/>
              </w:rPr>
              <w:t>能够满足本条的</w:t>
            </w:r>
            <w:r w:rsidRPr="00913C78">
              <w:t>要求</w:t>
            </w:r>
          </w:p>
        </w:tc>
        <w:tc>
          <w:tcPr>
            <w:tcW w:w="771" w:type="pct"/>
            <w:shd w:val="clear" w:color="auto" w:fill="auto"/>
            <w:vAlign w:val="center"/>
          </w:tcPr>
          <w:p w14:paraId="6D6BDEE1" w14:textId="77777777" w:rsidR="00913C78" w:rsidRPr="00913C78" w:rsidRDefault="00913C78" w:rsidP="00194A28">
            <w:pPr>
              <w:pStyle w:val="af7"/>
              <w:jc w:val="center"/>
            </w:pPr>
          </w:p>
        </w:tc>
      </w:tr>
    </w:tbl>
    <w:p w14:paraId="2D7F6820" w14:textId="77777777" w:rsidR="00913C78" w:rsidRPr="00913C78" w:rsidRDefault="00913C78" w:rsidP="00194A28">
      <w:pPr>
        <w:pStyle w:val="24"/>
      </w:pPr>
      <w:bookmarkStart w:id="391" w:name="_Toc35364811"/>
      <w:r w:rsidRPr="00913C78">
        <w:rPr>
          <w:rFonts w:hint="eastAsia"/>
        </w:rPr>
        <w:t>附录</w:t>
      </w:r>
      <w:r w:rsidRPr="00913C78">
        <w:rPr>
          <w:rFonts w:hint="eastAsia"/>
        </w:rPr>
        <w:t>B.</w:t>
      </w:r>
      <w:r w:rsidRPr="00913C78">
        <w:t>4</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——高强度材料使用比例计算报告提纲及要求</w:t>
      </w:r>
      <w:bookmarkEnd w:id="391"/>
    </w:p>
    <w:p w14:paraId="0BCA64ED" w14:textId="77777777" w:rsidR="00913C78" w:rsidRPr="00913C78" w:rsidRDefault="00913C78" w:rsidP="00E578F4">
      <w:pPr>
        <w:pStyle w:val="32"/>
      </w:pPr>
      <w:bookmarkStart w:id="392" w:name="_Toc476242412"/>
      <w:bookmarkStart w:id="393" w:name="_Toc35364812"/>
      <w:r w:rsidRPr="00913C78">
        <w:rPr>
          <w:rFonts w:hint="eastAsia"/>
        </w:rPr>
        <w:t xml:space="preserve">B.4.1  </w:t>
      </w:r>
      <w:r w:rsidRPr="00913C78">
        <w:t>综合概况</w:t>
      </w:r>
      <w:bookmarkEnd w:id="392"/>
      <w:bookmarkEnd w:id="393"/>
    </w:p>
    <w:p w14:paraId="6E8E8EA5" w14:textId="77777777" w:rsidR="00913C78" w:rsidRPr="00913C78" w:rsidRDefault="00913C78" w:rsidP="00913C78">
      <w:pPr>
        <w:ind w:firstLine="420"/>
      </w:pPr>
      <w:bookmarkStart w:id="394" w:name="_Toc476242413"/>
      <w:r w:rsidRPr="00913C78">
        <w:rPr>
          <w:rFonts w:hint="eastAsia"/>
        </w:rPr>
        <w:t>◎</w:t>
      </w:r>
      <w:r w:rsidRPr="00913C78">
        <w:t xml:space="preserve"> </w:t>
      </w:r>
      <w:r w:rsidRPr="00913C78">
        <w:rPr>
          <w:rFonts w:hint="eastAsia"/>
        </w:rPr>
        <w:t>项目基本信息</w:t>
      </w:r>
      <w:bookmarkEnd w:id="394"/>
    </w:p>
    <w:p w14:paraId="6E0332C5" w14:textId="77777777" w:rsidR="00913C78" w:rsidRPr="00913C78" w:rsidRDefault="00913C78" w:rsidP="00913C78">
      <w:pPr>
        <w:ind w:firstLine="420"/>
      </w:pPr>
      <w:r w:rsidRPr="00913C78">
        <w:rPr>
          <w:rFonts w:hint="eastAsia"/>
        </w:rPr>
        <w:t>项目基本信息项目应包括但</w:t>
      </w:r>
      <w:r w:rsidRPr="00913C78">
        <w:t>不限于</w:t>
      </w:r>
      <w:r w:rsidRPr="00913C78">
        <w:rPr>
          <w:rFonts w:hint="eastAsia"/>
        </w:rPr>
        <w:t>：建筑</w:t>
      </w:r>
      <w:r w:rsidRPr="00913C78">
        <w:t>位置</w:t>
      </w:r>
      <w:r w:rsidRPr="00913C78">
        <w:rPr>
          <w:rFonts w:hint="eastAsia"/>
        </w:rPr>
        <w:t>、占地面积、建筑</w:t>
      </w:r>
      <w:r w:rsidRPr="00913C78">
        <w:t>面积、</w:t>
      </w:r>
      <w:r w:rsidRPr="00913C78">
        <w:rPr>
          <w:rFonts w:hint="eastAsia"/>
        </w:rPr>
        <w:t>建筑类型</w:t>
      </w:r>
      <w:r w:rsidRPr="00913C78">
        <w:t>。</w:t>
      </w:r>
    </w:p>
    <w:p w14:paraId="0BBF9FE3" w14:textId="77777777" w:rsidR="00913C78" w:rsidRPr="00913C78" w:rsidRDefault="00913C78" w:rsidP="00913C78">
      <w:pPr>
        <w:ind w:firstLine="420"/>
      </w:pPr>
      <w:bookmarkStart w:id="395" w:name="_Toc476242414"/>
      <w:r w:rsidRPr="00913C78">
        <w:rPr>
          <w:rFonts w:hint="eastAsia"/>
        </w:rPr>
        <w:t>◎</w:t>
      </w:r>
      <w:r w:rsidRPr="00913C78">
        <w:t xml:space="preserve"> </w:t>
      </w:r>
      <w:r w:rsidRPr="00913C78">
        <w:rPr>
          <w:rFonts w:hint="eastAsia"/>
        </w:rPr>
        <w:t>标准要求</w:t>
      </w:r>
      <w:bookmarkEnd w:id="395"/>
    </w:p>
    <w:p w14:paraId="516585BB" w14:textId="77777777" w:rsidR="00913C78" w:rsidRPr="00913C78" w:rsidRDefault="00913C78" w:rsidP="00913C78">
      <w:pPr>
        <w:ind w:firstLine="420"/>
      </w:pPr>
      <w:r w:rsidRPr="00913C78">
        <w:rPr>
          <w:rFonts w:hint="eastAsia"/>
        </w:rPr>
        <w:t>标准要求应</w:t>
      </w:r>
      <w:r w:rsidRPr="00913C78">
        <w:t>包括：</w:t>
      </w:r>
      <w:r w:rsidRPr="00913C78">
        <w:rPr>
          <w:rFonts w:hint="eastAsia"/>
        </w:rPr>
        <w:t>对应的绿色建筑标准及条款、标准规定的计算要求、评分要求及达标要求。</w:t>
      </w:r>
    </w:p>
    <w:p w14:paraId="3EC82E9A" w14:textId="77777777" w:rsidR="00913C78" w:rsidRPr="00913C78" w:rsidRDefault="00913C78" w:rsidP="00E578F4">
      <w:pPr>
        <w:pStyle w:val="32"/>
      </w:pPr>
      <w:bookmarkStart w:id="396" w:name="_Toc476242415"/>
      <w:bookmarkStart w:id="397" w:name="_Toc35364813"/>
      <w:r w:rsidRPr="00913C78">
        <w:rPr>
          <w:rFonts w:hint="eastAsia"/>
        </w:rPr>
        <w:t xml:space="preserve">B.4.2  </w:t>
      </w:r>
      <w:r w:rsidRPr="00913C78">
        <w:rPr>
          <w:rFonts w:hint="eastAsia"/>
        </w:rPr>
        <w:t>计算过程</w:t>
      </w:r>
      <w:bookmarkEnd w:id="396"/>
      <w:bookmarkEnd w:id="397"/>
    </w:p>
    <w:p w14:paraId="20B0915B" w14:textId="77777777" w:rsidR="00913C78" w:rsidRPr="00913C78" w:rsidRDefault="00913C78" w:rsidP="00913C78">
      <w:pPr>
        <w:ind w:firstLine="420"/>
      </w:pPr>
      <w:bookmarkStart w:id="398" w:name="_Toc476242416"/>
      <w:r w:rsidRPr="00913C78">
        <w:rPr>
          <w:rFonts w:hint="eastAsia"/>
        </w:rPr>
        <w:t>◎</w:t>
      </w:r>
      <w:r w:rsidRPr="00913C78">
        <w:t xml:space="preserve"> </w:t>
      </w:r>
      <w:r w:rsidRPr="00913C78">
        <w:rPr>
          <w:rFonts w:hint="eastAsia"/>
        </w:rPr>
        <w:t>计算依据</w:t>
      </w:r>
      <w:bookmarkEnd w:id="398"/>
    </w:p>
    <w:p w14:paraId="30C50782" w14:textId="77777777" w:rsidR="00913C78" w:rsidRPr="00913C78" w:rsidRDefault="00913C78" w:rsidP="00913C78">
      <w:pPr>
        <w:ind w:firstLine="420"/>
      </w:pPr>
      <w:r w:rsidRPr="00913C78">
        <w:rPr>
          <w:rFonts w:hint="eastAsia"/>
        </w:rPr>
        <w:t>计算依据应包括但不限于：应</w:t>
      </w:r>
      <w:r w:rsidRPr="00913C78">
        <w:t>写明</w:t>
      </w:r>
      <w:r w:rsidRPr="00913C78">
        <w:rPr>
          <w:rFonts w:hint="eastAsia"/>
        </w:rPr>
        <w:t>基础</w:t>
      </w:r>
      <w:r w:rsidRPr="00913C78">
        <w:t>数据来源</w:t>
      </w:r>
      <w:r w:rsidRPr="00913C78">
        <w:rPr>
          <w:rFonts w:hint="eastAsia"/>
        </w:rPr>
        <w:t>、</w:t>
      </w:r>
      <w:r w:rsidRPr="00913C78">
        <w:t>参考标准</w:t>
      </w:r>
      <w:r w:rsidRPr="00913C78">
        <w:rPr>
          <w:rFonts w:hint="eastAsia"/>
        </w:rPr>
        <w:t>、</w:t>
      </w:r>
      <w:r w:rsidRPr="00913C78">
        <w:t>资料</w:t>
      </w:r>
      <w:r w:rsidRPr="00913C78">
        <w:rPr>
          <w:rFonts w:hint="eastAsia"/>
        </w:rPr>
        <w:t>。</w:t>
      </w:r>
    </w:p>
    <w:p w14:paraId="11BDC997"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《绿色建筑评价标准》。</w:t>
      </w:r>
    </w:p>
    <w:p w14:paraId="38EB64A5"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设计评价为结构施工图、项目概预算清单。</w:t>
      </w:r>
    </w:p>
    <w:p w14:paraId="3980F006"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竣工评价为竣工图、材料决算清单。</w:t>
      </w:r>
    </w:p>
    <w:p w14:paraId="2284E71B" w14:textId="77777777" w:rsidR="00913C78" w:rsidRPr="00913C78" w:rsidRDefault="00913C78" w:rsidP="00913C78">
      <w:pPr>
        <w:ind w:firstLine="420"/>
      </w:pPr>
      <w:bookmarkStart w:id="399" w:name="_Toc476242417"/>
      <w:r w:rsidRPr="00913C78">
        <w:rPr>
          <w:rFonts w:hint="eastAsia"/>
        </w:rPr>
        <w:t>◎</w:t>
      </w:r>
      <w:r w:rsidRPr="00913C78">
        <w:t xml:space="preserve"> </w:t>
      </w:r>
      <w:r w:rsidRPr="00913C78">
        <w:rPr>
          <w:rFonts w:hint="eastAsia"/>
        </w:rPr>
        <w:t>计算内</w:t>
      </w:r>
      <w:r w:rsidRPr="00913C78">
        <w:t>容</w:t>
      </w:r>
      <w:r w:rsidRPr="00913C78">
        <w:rPr>
          <w:rFonts w:hint="eastAsia"/>
        </w:rPr>
        <w:t>及</w:t>
      </w:r>
      <w:r w:rsidRPr="00913C78">
        <w:t>结果</w:t>
      </w:r>
      <w:bookmarkEnd w:id="399"/>
    </w:p>
    <w:p w14:paraId="5FA2B0E0" w14:textId="77777777" w:rsidR="00913C78" w:rsidRPr="00913C78" w:rsidRDefault="00913C78" w:rsidP="00913C78">
      <w:pPr>
        <w:ind w:firstLine="420"/>
      </w:pPr>
      <w:bookmarkStart w:id="400" w:name="_Toc476242418"/>
      <w:r w:rsidRPr="00913C78">
        <w:rPr>
          <w:rFonts w:hint="eastAsia"/>
        </w:rPr>
        <w:t>（</w:t>
      </w:r>
      <w:r w:rsidRPr="00913C78">
        <w:rPr>
          <w:rFonts w:hint="eastAsia"/>
        </w:rPr>
        <w:t>1</w:t>
      </w:r>
      <w:r w:rsidRPr="00913C78">
        <w:rPr>
          <w:rFonts w:hint="eastAsia"/>
        </w:rPr>
        <w:t>）</w:t>
      </w:r>
      <w:r w:rsidRPr="00913C78">
        <w:rPr>
          <w:rFonts w:hint="eastAsia"/>
        </w:rPr>
        <w:t>400MPa</w:t>
      </w:r>
      <w:r w:rsidRPr="00913C78">
        <w:rPr>
          <w:rFonts w:hint="eastAsia"/>
        </w:rPr>
        <w:t>级及以上钢筋用量比例计算</w:t>
      </w:r>
      <w:bookmarkEnd w:id="400"/>
    </w:p>
    <w:p w14:paraId="7F6878CF" w14:textId="77777777" w:rsidR="00913C78" w:rsidRPr="00913C78" w:rsidRDefault="00913C78" w:rsidP="00913C78">
      <w:pPr>
        <w:ind w:firstLine="420"/>
      </w:pPr>
      <w:r w:rsidRPr="00913C78">
        <w:rPr>
          <w:rFonts w:hint="eastAsia"/>
        </w:rPr>
        <w:t>统计应明确</w:t>
      </w:r>
      <w:r w:rsidRPr="00913C78">
        <w:t>项目</w:t>
      </w:r>
      <w:r w:rsidRPr="00913C78">
        <w:rPr>
          <w:rFonts w:hint="eastAsia"/>
        </w:rPr>
        <w:t>钢筋使用</w:t>
      </w:r>
      <w:r w:rsidRPr="00913C78">
        <w:t>部位及</w:t>
      </w:r>
      <w:r w:rsidRPr="00913C78">
        <w:rPr>
          <w:rFonts w:hint="eastAsia"/>
        </w:rPr>
        <w:t>用量</w:t>
      </w:r>
      <w:r w:rsidRPr="00913C78">
        <w:t>，</w:t>
      </w:r>
      <w:r w:rsidRPr="00913C78">
        <w:rPr>
          <w:rFonts w:hint="eastAsia"/>
        </w:rPr>
        <w:t>实际</w:t>
      </w:r>
      <w:r w:rsidRPr="00913C78">
        <w:t>统计时需保留</w:t>
      </w:r>
      <w:r w:rsidRPr="00913C78">
        <w:rPr>
          <w:rFonts w:hint="eastAsia"/>
        </w:rPr>
        <w:t>（或</w:t>
      </w:r>
      <w:r w:rsidRPr="00913C78">
        <w:t>增加</w:t>
      </w:r>
      <w:r w:rsidRPr="00913C78">
        <w:rPr>
          <w:rFonts w:hint="eastAsia"/>
        </w:rPr>
        <w:t>）</w:t>
      </w:r>
      <w:r w:rsidRPr="00913C78">
        <w:t>使用</w:t>
      </w:r>
      <w:r w:rsidRPr="00913C78">
        <w:rPr>
          <w:rFonts w:hint="eastAsia"/>
        </w:rPr>
        <w:t>的钢筋</w:t>
      </w:r>
      <w:r w:rsidRPr="00913C78">
        <w:t>种类</w:t>
      </w:r>
      <w:r w:rsidRPr="00913C78">
        <w:rPr>
          <w:rFonts w:hint="eastAsia"/>
        </w:rPr>
        <w:t>。如果</w:t>
      </w:r>
      <w:r w:rsidRPr="00913C78">
        <w:t>涉及</w:t>
      </w:r>
      <w:r w:rsidRPr="00913C78">
        <w:rPr>
          <w:rFonts w:hint="eastAsia"/>
        </w:rPr>
        <w:t>多栋建筑</w:t>
      </w:r>
      <w:r w:rsidRPr="00913C78">
        <w:t>，应分</w:t>
      </w:r>
      <w:r w:rsidRPr="00913C78">
        <w:rPr>
          <w:rFonts w:hint="eastAsia"/>
        </w:rPr>
        <w:t>楼</w:t>
      </w:r>
      <w:r w:rsidRPr="00913C78">
        <w:t>栋号分别统计</w:t>
      </w:r>
      <w:r w:rsidRPr="00913C78">
        <w:rPr>
          <w:rFonts w:hint="eastAsia"/>
        </w:rPr>
        <w:t>（附表</w:t>
      </w:r>
      <w:r w:rsidRPr="00913C78">
        <w:rPr>
          <w:rFonts w:hint="eastAsia"/>
        </w:rPr>
        <w:t>B.4.1</w:t>
      </w:r>
      <w:r w:rsidRPr="00913C78">
        <w:rPr>
          <w:rFonts w:hint="eastAsia"/>
        </w:rPr>
        <w:t>）</w:t>
      </w:r>
      <w:r w:rsidRPr="00913C78">
        <w:t>。</w:t>
      </w:r>
    </w:p>
    <w:p w14:paraId="65EF8B91" w14:textId="77777777" w:rsidR="00913C78" w:rsidRPr="00913C78" w:rsidRDefault="00913C78" w:rsidP="00E578F4">
      <w:pPr>
        <w:pStyle w:val="ae"/>
      </w:pPr>
      <w:r w:rsidRPr="00913C78">
        <w:rPr>
          <w:rFonts w:hint="eastAsia"/>
        </w:rPr>
        <w:t>附表</w:t>
      </w:r>
      <w:r w:rsidRPr="00913C78">
        <w:rPr>
          <w:rFonts w:hint="eastAsia"/>
        </w:rPr>
        <w:t>B.4.1  400MPa</w:t>
      </w:r>
      <w:r w:rsidRPr="00913C78">
        <w:rPr>
          <w:rFonts w:hint="eastAsia"/>
        </w:rPr>
        <w:t>级及以上钢筋用量比例计算表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34" w:type="dxa"/>
        </w:tblCellMar>
        <w:tblLook w:val="0000" w:firstRow="0" w:lastRow="0" w:firstColumn="0" w:lastColumn="0" w:noHBand="0" w:noVBand="0"/>
      </w:tblPr>
      <w:tblGrid>
        <w:gridCol w:w="766"/>
        <w:gridCol w:w="814"/>
        <w:gridCol w:w="1523"/>
        <w:gridCol w:w="979"/>
        <w:gridCol w:w="2059"/>
        <w:gridCol w:w="1229"/>
      </w:tblGrid>
      <w:tr w:rsidR="00913C78" w:rsidRPr="00913C78" w14:paraId="69B9B017" w14:textId="77777777" w:rsidTr="00A2511C">
        <w:trPr>
          <w:jc w:val="center"/>
        </w:trPr>
        <w:tc>
          <w:tcPr>
            <w:tcW w:w="850" w:type="dxa"/>
            <w:shd w:val="clear" w:color="auto" w:fill="auto"/>
            <w:vAlign w:val="center"/>
          </w:tcPr>
          <w:p w14:paraId="31CA28F2" w14:textId="77777777" w:rsidR="00913C78" w:rsidRPr="00E578F4" w:rsidRDefault="00913C78" w:rsidP="00E578F4">
            <w:pPr>
              <w:pStyle w:val="ae"/>
              <w:rPr>
                <w:b w:val="0"/>
                <w:bCs/>
              </w:rPr>
            </w:pPr>
            <w:r w:rsidRPr="00E578F4">
              <w:rPr>
                <w:b w:val="0"/>
                <w:bCs/>
              </w:rPr>
              <w:t>序号</w:t>
            </w:r>
          </w:p>
        </w:tc>
        <w:tc>
          <w:tcPr>
            <w:tcW w:w="907" w:type="dxa"/>
            <w:shd w:val="clear" w:color="auto" w:fill="auto"/>
            <w:vAlign w:val="center"/>
          </w:tcPr>
          <w:p w14:paraId="33919BA4" w14:textId="77777777" w:rsidR="00913C78" w:rsidRPr="00E578F4" w:rsidRDefault="00913C78" w:rsidP="00E578F4">
            <w:pPr>
              <w:pStyle w:val="ae"/>
              <w:rPr>
                <w:b w:val="0"/>
                <w:bCs/>
              </w:rPr>
            </w:pPr>
            <w:r w:rsidRPr="00E578F4">
              <w:rPr>
                <w:rFonts w:hint="eastAsia"/>
                <w:b w:val="0"/>
                <w:bCs/>
              </w:rPr>
              <w:t>楼层</w:t>
            </w:r>
            <w:r w:rsidRPr="00E578F4">
              <w:rPr>
                <w:rFonts w:hint="eastAsia"/>
                <w:b w:val="0"/>
                <w:bCs/>
              </w:rPr>
              <w:lastRenderedPageBreak/>
              <w:t>号</w:t>
            </w:r>
          </w:p>
        </w:tc>
        <w:tc>
          <w:tcPr>
            <w:tcW w:w="1729" w:type="dxa"/>
            <w:shd w:val="clear" w:color="auto" w:fill="auto"/>
            <w:vAlign w:val="center"/>
          </w:tcPr>
          <w:p w14:paraId="740CA03E" w14:textId="77777777" w:rsidR="00913C78" w:rsidRPr="00E578F4" w:rsidRDefault="00913C78" w:rsidP="00E578F4">
            <w:pPr>
              <w:pStyle w:val="ae"/>
              <w:rPr>
                <w:b w:val="0"/>
                <w:bCs/>
              </w:rPr>
            </w:pPr>
            <w:r w:rsidRPr="00E578F4">
              <w:rPr>
                <w:rFonts w:hint="eastAsia"/>
                <w:b w:val="0"/>
                <w:bCs/>
              </w:rPr>
              <w:lastRenderedPageBreak/>
              <w:t>受力普通钢筋</w:t>
            </w:r>
            <w:r w:rsidRPr="00E578F4">
              <w:rPr>
                <w:rFonts w:hint="eastAsia"/>
                <w:b w:val="0"/>
                <w:bCs/>
              </w:rPr>
              <w:lastRenderedPageBreak/>
              <w:t>等级</w:t>
            </w:r>
          </w:p>
        </w:tc>
        <w:tc>
          <w:tcPr>
            <w:tcW w:w="1098" w:type="dxa"/>
            <w:shd w:val="clear" w:color="auto" w:fill="auto"/>
            <w:vAlign w:val="center"/>
          </w:tcPr>
          <w:p w14:paraId="236C572C" w14:textId="77777777" w:rsidR="00913C78" w:rsidRPr="00E578F4" w:rsidRDefault="00913C78" w:rsidP="00E578F4">
            <w:pPr>
              <w:pStyle w:val="ae"/>
              <w:rPr>
                <w:b w:val="0"/>
                <w:bCs/>
              </w:rPr>
            </w:pPr>
            <w:r w:rsidRPr="00E578F4">
              <w:rPr>
                <w:rFonts w:hint="eastAsia"/>
                <w:b w:val="0"/>
                <w:bCs/>
              </w:rPr>
              <w:lastRenderedPageBreak/>
              <w:t>用量</w:t>
            </w:r>
            <w:r w:rsidRPr="00E578F4">
              <w:rPr>
                <w:rFonts w:hint="eastAsia"/>
                <w:b w:val="0"/>
                <w:bCs/>
              </w:rPr>
              <w:t>/</w:t>
            </w:r>
            <w:r w:rsidRPr="00E578F4">
              <w:rPr>
                <w:b w:val="0"/>
                <w:bCs/>
              </w:rPr>
              <w:t>t</w:t>
            </w:r>
          </w:p>
        </w:tc>
        <w:tc>
          <w:tcPr>
            <w:tcW w:w="2351" w:type="dxa"/>
            <w:shd w:val="clear" w:color="auto" w:fill="auto"/>
            <w:vAlign w:val="center"/>
          </w:tcPr>
          <w:p w14:paraId="0E58F526" w14:textId="77777777" w:rsidR="00913C78" w:rsidRPr="00E578F4" w:rsidRDefault="00913C78" w:rsidP="00E578F4">
            <w:pPr>
              <w:pStyle w:val="ae"/>
              <w:rPr>
                <w:b w:val="0"/>
                <w:bCs/>
              </w:rPr>
            </w:pPr>
            <w:r w:rsidRPr="00E578F4">
              <w:rPr>
                <w:rFonts w:hint="eastAsia"/>
                <w:b w:val="0"/>
                <w:bCs/>
              </w:rPr>
              <w:t>使用部位（梁、柱、</w:t>
            </w:r>
            <w:r w:rsidRPr="00E578F4">
              <w:rPr>
                <w:rFonts w:hint="eastAsia"/>
                <w:b w:val="0"/>
                <w:bCs/>
              </w:rPr>
              <w:lastRenderedPageBreak/>
              <w:t>板、墙）</w:t>
            </w:r>
          </w:p>
        </w:tc>
        <w:tc>
          <w:tcPr>
            <w:tcW w:w="1388" w:type="dxa"/>
            <w:shd w:val="clear" w:color="auto" w:fill="auto"/>
            <w:vAlign w:val="center"/>
          </w:tcPr>
          <w:p w14:paraId="05C17532" w14:textId="77777777" w:rsidR="00913C78" w:rsidRPr="00E578F4" w:rsidRDefault="00913C78" w:rsidP="00E578F4">
            <w:pPr>
              <w:pStyle w:val="ae"/>
              <w:rPr>
                <w:b w:val="0"/>
                <w:bCs/>
              </w:rPr>
            </w:pPr>
            <w:r w:rsidRPr="00E578F4">
              <w:rPr>
                <w:rFonts w:hint="eastAsia"/>
                <w:b w:val="0"/>
                <w:bCs/>
              </w:rPr>
              <w:lastRenderedPageBreak/>
              <w:t>用</w:t>
            </w:r>
            <w:r w:rsidRPr="00E578F4">
              <w:rPr>
                <w:b w:val="0"/>
                <w:bCs/>
              </w:rPr>
              <w:t>量</w:t>
            </w:r>
            <w:r w:rsidRPr="00E578F4">
              <w:rPr>
                <w:rFonts w:hint="eastAsia"/>
                <w:b w:val="0"/>
                <w:bCs/>
              </w:rPr>
              <w:t>/</w:t>
            </w:r>
            <w:r w:rsidRPr="00E578F4">
              <w:rPr>
                <w:b w:val="0"/>
                <w:bCs/>
              </w:rPr>
              <w:t>t</w:t>
            </w:r>
          </w:p>
        </w:tc>
      </w:tr>
      <w:tr w:rsidR="00913C78" w:rsidRPr="00913C78" w14:paraId="607DE35D" w14:textId="77777777" w:rsidTr="00A2511C">
        <w:trPr>
          <w:jc w:val="center"/>
        </w:trPr>
        <w:tc>
          <w:tcPr>
            <w:tcW w:w="850" w:type="dxa"/>
            <w:shd w:val="clear" w:color="auto" w:fill="auto"/>
            <w:vAlign w:val="center"/>
          </w:tcPr>
          <w:p w14:paraId="13A553A6" w14:textId="77777777" w:rsidR="00913C78" w:rsidRPr="00E578F4" w:rsidRDefault="00913C78" w:rsidP="00E578F4">
            <w:pPr>
              <w:pStyle w:val="ae"/>
              <w:rPr>
                <w:b w:val="0"/>
                <w:bCs/>
              </w:rPr>
            </w:pPr>
            <w:r w:rsidRPr="00E578F4">
              <w:rPr>
                <w:b w:val="0"/>
                <w:bCs/>
              </w:rPr>
              <w:lastRenderedPageBreak/>
              <w:t>1</w:t>
            </w:r>
          </w:p>
        </w:tc>
        <w:tc>
          <w:tcPr>
            <w:tcW w:w="907" w:type="dxa"/>
            <w:shd w:val="clear" w:color="auto" w:fill="auto"/>
            <w:vAlign w:val="center"/>
          </w:tcPr>
          <w:p w14:paraId="4886D35B" w14:textId="77777777" w:rsidR="00913C78" w:rsidRPr="00E578F4" w:rsidRDefault="00913C78" w:rsidP="00E578F4">
            <w:pPr>
              <w:pStyle w:val="ae"/>
              <w:rPr>
                <w:b w:val="0"/>
                <w:bCs/>
              </w:rPr>
            </w:pPr>
          </w:p>
        </w:tc>
        <w:tc>
          <w:tcPr>
            <w:tcW w:w="1729" w:type="dxa"/>
            <w:shd w:val="clear" w:color="auto" w:fill="auto"/>
            <w:vAlign w:val="center"/>
          </w:tcPr>
          <w:p w14:paraId="776731E8" w14:textId="77777777" w:rsidR="00913C78" w:rsidRPr="00E578F4" w:rsidRDefault="00913C78" w:rsidP="00E578F4">
            <w:pPr>
              <w:pStyle w:val="ae"/>
              <w:rPr>
                <w:b w:val="0"/>
                <w:bCs/>
              </w:rPr>
            </w:pPr>
            <w:r w:rsidRPr="00E578F4">
              <w:rPr>
                <w:rFonts w:hint="eastAsia"/>
                <w:b w:val="0"/>
                <w:bCs/>
              </w:rPr>
              <w:t>HPB300</w:t>
            </w:r>
            <w:r w:rsidRPr="00E578F4">
              <w:rPr>
                <w:rFonts w:hint="eastAsia"/>
                <w:b w:val="0"/>
                <w:bCs/>
              </w:rPr>
              <w:sym w:font="Symbol" w:char="F066"/>
            </w:r>
            <w:r w:rsidRPr="00E578F4">
              <w:rPr>
                <w:b w:val="0"/>
                <w:bCs/>
              </w:rPr>
              <w:t>1</w:t>
            </w:r>
            <w:r w:rsidRPr="00E578F4">
              <w:rPr>
                <w:rFonts w:hint="eastAsia"/>
                <w:b w:val="0"/>
                <w:bCs/>
              </w:rPr>
              <w:t>6</w:t>
            </w:r>
          </w:p>
        </w:tc>
        <w:tc>
          <w:tcPr>
            <w:tcW w:w="1098" w:type="dxa"/>
            <w:shd w:val="clear" w:color="auto" w:fill="auto"/>
            <w:vAlign w:val="center"/>
          </w:tcPr>
          <w:p w14:paraId="4CF2880B" w14:textId="77777777" w:rsidR="00913C78" w:rsidRPr="00E578F4" w:rsidRDefault="00913C78" w:rsidP="00E578F4">
            <w:pPr>
              <w:pStyle w:val="ae"/>
              <w:rPr>
                <w:b w:val="0"/>
                <w:bCs/>
              </w:rPr>
            </w:pPr>
          </w:p>
        </w:tc>
        <w:tc>
          <w:tcPr>
            <w:tcW w:w="2351" w:type="dxa"/>
            <w:shd w:val="clear" w:color="auto" w:fill="auto"/>
            <w:vAlign w:val="center"/>
          </w:tcPr>
          <w:p w14:paraId="0F59E418" w14:textId="77777777" w:rsidR="00913C78" w:rsidRPr="00E578F4" w:rsidRDefault="00913C78" w:rsidP="00E578F4">
            <w:pPr>
              <w:pStyle w:val="ae"/>
              <w:rPr>
                <w:b w:val="0"/>
                <w:bCs/>
              </w:rPr>
            </w:pPr>
          </w:p>
        </w:tc>
        <w:tc>
          <w:tcPr>
            <w:tcW w:w="1388" w:type="dxa"/>
            <w:shd w:val="clear" w:color="auto" w:fill="auto"/>
            <w:vAlign w:val="center"/>
          </w:tcPr>
          <w:p w14:paraId="069014E2" w14:textId="77777777" w:rsidR="00913C78" w:rsidRPr="00E578F4" w:rsidRDefault="00913C78" w:rsidP="00E578F4">
            <w:pPr>
              <w:pStyle w:val="ae"/>
              <w:rPr>
                <w:b w:val="0"/>
                <w:bCs/>
              </w:rPr>
            </w:pPr>
          </w:p>
        </w:tc>
      </w:tr>
      <w:tr w:rsidR="00913C78" w:rsidRPr="00913C78" w14:paraId="0A6FA867" w14:textId="77777777" w:rsidTr="00A2511C">
        <w:trPr>
          <w:jc w:val="center"/>
        </w:trPr>
        <w:tc>
          <w:tcPr>
            <w:tcW w:w="850" w:type="dxa"/>
            <w:shd w:val="clear" w:color="auto" w:fill="auto"/>
            <w:vAlign w:val="center"/>
          </w:tcPr>
          <w:p w14:paraId="588848A4" w14:textId="77777777" w:rsidR="00913C78" w:rsidRPr="00E578F4" w:rsidRDefault="00913C78" w:rsidP="00E578F4">
            <w:pPr>
              <w:pStyle w:val="ae"/>
              <w:rPr>
                <w:b w:val="0"/>
                <w:bCs/>
              </w:rPr>
            </w:pPr>
            <w:r w:rsidRPr="00E578F4">
              <w:rPr>
                <w:rFonts w:hint="eastAsia"/>
                <w:b w:val="0"/>
                <w:bCs/>
              </w:rPr>
              <w:t>2</w:t>
            </w:r>
          </w:p>
        </w:tc>
        <w:tc>
          <w:tcPr>
            <w:tcW w:w="907" w:type="dxa"/>
            <w:shd w:val="clear" w:color="auto" w:fill="auto"/>
            <w:vAlign w:val="center"/>
          </w:tcPr>
          <w:p w14:paraId="7F579DF5" w14:textId="77777777" w:rsidR="00913C78" w:rsidRPr="00E578F4" w:rsidRDefault="00913C78" w:rsidP="00E578F4">
            <w:pPr>
              <w:pStyle w:val="ae"/>
              <w:rPr>
                <w:b w:val="0"/>
                <w:bCs/>
              </w:rPr>
            </w:pPr>
          </w:p>
        </w:tc>
        <w:tc>
          <w:tcPr>
            <w:tcW w:w="1729" w:type="dxa"/>
            <w:shd w:val="clear" w:color="auto" w:fill="auto"/>
            <w:vAlign w:val="center"/>
          </w:tcPr>
          <w:p w14:paraId="5F53ACCC" w14:textId="77777777" w:rsidR="00913C78" w:rsidRPr="00E578F4" w:rsidRDefault="00913C78" w:rsidP="00E578F4">
            <w:pPr>
              <w:pStyle w:val="ae"/>
              <w:rPr>
                <w:b w:val="0"/>
                <w:bCs/>
              </w:rPr>
            </w:pPr>
            <w:r w:rsidRPr="00E578F4">
              <w:rPr>
                <w:rFonts w:hint="eastAsia"/>
                <w:b w:val="0"/>
                <w:bCs/>
              </w:rPr>
              <w:t>HPB300</w:t>
            </w:r>
            <w:r w:rsidRPr="00E578F4">
              <w:rPr>
                <w:rFonts w:hint="eastAsia"/>
                <w:b w:val="0"/>
                <w:bCs/>
              </w:rPr>
              <w:sym w:font="Symbol" w:char="F066"/>
            </w:r>
            <w:r w:rsidRPr="00E578F4">
              <w:rPr>
                <w:b w:val="0"/>
                <w:bCs/>
              </w:rPr>
              <w:t>1</w:t>
            </w:r>
            <w:r w:rsidRPr="00E578F4">
              <w:rPr>
                <w:rFonts w:hint="eastAsia"/>
                <w:b w:val="0"/>
                <w:bCs/>
              </w:rPr>
              <w:t>8</w:t>
            </w:r>
          </w:p>
        </w:tc>
        <w:tc>
          <w:tcPr>
            <w:tcW w:w="1098" w:type="dxa"/>
            <w:shd w:val="clear" w:color="auto" w:fill="auto"/>
            <w:vAlign w:val="center"/>
          </w:tcPr>
          <w:p w14:paraId="2819046C" w14:textId="77777777" w:rsidR="00913C78" w:rsidRPr="00E578F4" w:rsidRDefault="00913C78" w:rsidP="00E578F4">
            <w:pPr>
              <w:pStyle w:val="ae"/>
              <w:rPr>
                <w:b w:val="0"/>
                <w:bCs/>
              </w:rPr>
            </w:pPr>
          </w:p>
        </w:tc>
        <w:tc>
          <w:tcPr>
            <w:tcW w:w="2351" w:type="dxa"/>
            <w:shd w:val="clear" w:color="auto" w:fill="auto"/>
            <w:vAlign w:val="center"/>
          </w:tcPr>
          <w:p w14:paraId="62CB75CE" w14:textId="77777777" w:rsidR="00913C78" w:rsidRPr="00E578F4" w:rsidRDefault="00913C78" w:rsidP="00E578F4">
            <w:pPr>
              <w:pStyle w:val="ae"/>
              <w:rPr>
                <w:b w:val="0"/>
                <w:bCs/>
              </w:rPr>
            </w:pPr>
          </w:p>
        </w:tc>
        <w:tc>
          <w:tcPr>
            <w:tcW w:w="1388" w:type="dxa"/>
            <w:shd w:val="clear" w:color="auto" w:fill="auto"/>
            <w:vAlign w:val="center"/>
          </w:tcPr>
          <w:p w14:paraId="3273401F" w14:textId="77777777" w:rsidR="00913C78" w:rsidRPr="00E578F4" w:rsidRDefault="00913C78" w:rsidP="00E578F4">
            <w:pPr>
              <w:pStyle w:val="ae"/>
              <w:rPr>
                <w:b w:val="0"/>
                <w:bCs/>
              </w:rPr>
            </w:pPr>
          </w:p>
        </w:tc>
      </w:tr>
      <w:tr w:rsidR="00913C78" w:rsidRPr="00913C78" w14:paraId="1DC7E394" w14:textId="77777777" w:rsidTr="00A2511C">
        <w:trPr>
          <w:jc w:val="center"/>
        </w:trPr>
        <w:tc>
          <w:tcPr>
            <w:tcW w:w="850" w:type="dxa"/>
            <w:shd w:val="clear" w:color="auto" w:fill="auto"/>
            <w:vAlign w:val="center"/>
          </w:tcPr>
          <w:p w14:paraId="789C214D" w14:textId="77777777" w:rsidR="00913C78" w:rsidRPr="00E578F4" w:rsidRDefault="00913C78" w:rsidP="00E578F4">
            <w:pPr>
              <w:pStyle w:val="ae"/>
              <w:rPr>
                <w:b w:val="0"/>
                <w:bCs/>
              </w:rPr>
            </w:pPr>
            <w:r w:rsidRPr="00E578F4">
              <w:rPr>
                <w:rFonts w:hint="eastAsia"/>
                <w:b w:val="0"/>
                <w:bCs/>
              </w:rPr>
              <w:t>3</w:t>
            </w:r>
          </w:p>
        </w:tc>
        <w:tc>
          <w:tcPr>
            <w:tcW w:w="907" w:type="dxa"/>
            <w:shd w:val="clear" w:color="auto" w:fill="auto"/>
            <w:vAlign w:val="center"/>
          </w:tcPr>
          <w:p w14:paraId="18B6756B" w14:textId="77777777" w:rsidR="00913C78" w:rsidRPr="00E578F4" w:rsidRDefault="00913C78" w:rsidP="00E578F4">
            <w:pPr>
              <w:pStyle w:val="ae"/>
              <w:rPr>
                <w:b w:val="0"/>
                <w:bCs/>
              </w:rPr>
            </w:pPr>
          </w:p>
        </w:tc>
        <w:tc>
          <w:tcPr>
            <w:tcW w:w="1729" w:type="dxa"/>
            <w:shd w:val="clear" w:color="auto" w:fill="auto"/>
            <w:vAlign w:val="center"/>
          </w:tcPr>
          <w:p w14:paraId="2AC359D2" w14:textId="77777777" w:rsidR="00913C78" w:rsidRPr="00E578F4" w:rsidRDefault="00913C78" w:rsidP="00E578F4">
            <w:pPr>
              <w:pStyle w:val="ae"/>
              <w:rPr>
                <w:b w:val="0"/>
                <w:bCs/>
              </w:rPr>
            </w:pPr>
            <w:r w:rsidRPr="00E578F4">
              <w:rPr>
                <w:rFonts w:hint="eastAsia"/>
                <w:b w:val="0"/>
                <w:bCs/>
              </w:rPr>
              <w:t>HPB300</w:t>
            </w:r>
            <w:r w:rsidRPr="00E578F4">
              <w:rPr>
                <w:rFonts w:hint="eastAsia"/>
                <w:b w:val="0"/>
                <w:bCs/>
              </w:rPr>
              <w:sym w:font="Symbol" w:char="F066"/>
            </w:r>
            <w:r w:rsidRPr="00E578F4">
              <w:rPr>
                <w:rFonts w:hint="eastAsia"/>
                <w:b w:val="0"/>
                <w:bCs/>
              </w:rPr>
              <w:t>20</w:t>
            </w:r>
          </w:p>
        </w:tc>
        <w:tc>
          <w:tcPr>
            <w:tcW w:w="1098" w:type="dxa"/>
            <w:shd w:val="clear" w:color="auto" w:fill="auto"/>
            <w:vAlign w:val="center"/>
          </w:tcPr>
          <w:p w14:paraId="23599FDD" w14:textId="77777777" w:rsidR="00913C78" w:rsidRPr="00E578F4" w:rsidRDefault="00913C78" w:rsidP="00E578F4">
            <w:pPr>
              <w:pStyle w:val="ae"/>
              <w:rPr>
                <w:b w:val="0"/>
                <w:bCs/>
              </w:rPr>
            </w:pPr>
          </w:p>
        </w:tc>
        <w:tc>
          <w:tcPr>
            <w:tcW w:w="2351" w:type="dxa"/>
            <w:shd w:val="clear" w:color="auto" w:fill="auto"/>
            <w:vAlign w:val="center"/>
          </w:tcPr>
          <w:p w14:paraId="40569B34" w14:textId="77777777" w:rsidR="00913C78" w:rsidRPr="00E578F4" w:rsidRDefault="00913C78" w:rsidP="00E578F4">
            <w:pPr>
              <w:pStyle w:val="ae"/>
              <w:rPr>
                <w:b w:val="0"/>
                <w:bCs/>
              </w:rPr>
            </w:pPr>
          </w:p>
        </w:tc>
        <w:tc>
          <w:tcPr>
            <w:tcW w:w="1388" w:type="dxa"/>
            <w:shd w:val="clear" w:color="auto" w:fill="auto"/>
            <w:vAlign w:val="center"/>
          </w:tcPr>
          <w:p w14:paraId="558D0363" w14:textId="77777777" w:rsidR="00913C78" w:rsidRPr="00E578F4" w:rsidRDefault="00913C78" w:rsidP="00E578F4">
            <w:pPr>
              <w:pStyle w:val="ae"/>
              <w:rPr>
                <w:b w:val="0"/>
                <w:bCs/>
              </w:rPr>
            </w:pPr>
          </w:p>
        </w:tc>
      </w:tr>
      <w:tr w:rsidR="00913C78" w:rsidRPr="00913C78" w14:paraId="5C76DAAA" w14:textId="77777777" w:rsidTr="00A2511C">
        <w:trPr>
          <w:jc w:val="center"/>
        </w:trPr>
        <w:tc>
          <w:tcPr>
            <w:tcW w:w="850" w:type="dxa"/>
            <w:shd w:val="clear" w:color="auto" w:fill="auto"/>
            <w:vAlign w:val="center"/>
          </w:tcPr>
          <w:p w14:paraId="18726CD9" w14:textId="77777777" w:rsidR="00913C78" w:rsidRPr="00E578F4" w:rsidRDefault="00913C78" w:rsidP="00E578F4">
            <w:pPr>
              <w:pStyle w:val="ae"/>
              <w:rPr>
                <w:b w:val="0"/>
                <w:bCs/>
              </w:rPr>
            </w:pPr>
            <w:r w:rsidRPr="00E578F4">
              <w:rPr>
                <w:rFonts w:hint="eastAsia"/>
                <w:b w:val="0"/>
                <w:bCs/>
              </w:rPr>
              <w:t>4</w:t>
            </w:r>
          </w:p>
        </w:tc>
        <w:tc>
          <w:tcPr>
            <w:tcW w:w="907" w:type="dxa"/>
            <w:shd w:val="clear" w:color="auto" w:fill="auto"/>
            <w:vAlign w:val="center"/>
          </w:tcPr>
          <w:p w14:paraId="78C690A1" w14:textId="77777777" w:rsidR="00913C78" w:rsidRPr="00E578F4" w:rsidRDefault="00913C78" w:rsidP="00E578F4">
            <w:pPr>
              <w:pStyle w:val="ae"/>
              <w:rPr>
                <w:b w:val="0"/>
                <w:bCs/>
              </w:rPr>
            </w:pPr>
          </w:p>
        </w:tc>
        <w:tc>
          <w:tcPr>
            <w:tcW w:w="1729" w:type="dxa"/>
            <w:shd w:val="clear" w:color="auto" w:fill="auto"/>
            <w:vAlign w:val="center"/>
          </w:tcPr>
          <w:p w14:paraId="74A75B7C" w14:textId="77777777" w:rsidR="00913C78" w:rsidRPr="00E578F4" w:rsidRDefault="00913C78" w:rsidP="00E578F4">
            <w:pPr>
              <w:pStyle w:val="ae"/>
              <w:rPr>
                <w:b w:val="0"/>
                <w:bCs/>
              </w:rPr>
            </w:pPr>
            <w:r w:rsidRPr="00E578F4">
              <w:rPr>
                <w:rFonts w:hint="eastAsia"/>
                <w:b w:val="0"/>
                <w:bCs/>
              </w:rPr>
              <w:t>HPB300</w:t>
            </w:r>
            <w:r w:rsidRPr="00E578F4">
              <w:rPr>
                <w:rFonts w:hint="eastAsia"/>
                <w:b w:val="0"/>
                <w:bCs/>
              </w:rPr>
              <w:sym w:font="Symbol" w:char="F066"/>
            </w:r>
            <w:r w:rsidRPr="00E578F4">
              <w:rPr>
                <w:rFonts w:hint="eastAsia"/>
                <w:b w:val="0"/>
                <w:bCs/>
              </w:rPr>
              <w:t>22</w:t>
            </w:r>
          </w:p>
        </w:tc>
        <w:tc>
          <w:tcPr>
            <w:tcW w:w="1098" w:type="dxa"/>
            <w:shd w:val="clear" w:color="auto" w:fill="auto"/>
            <w:vAlign w:val="center"/>
          </w:tcPr>
          <w:p w14:paraId="536D8C92" w14:textId="77777777" w:rsidR="00913C78" w:rsidRPr="00E578F4" w:rsidRDefault="00913C78" w:rsidP="00E578F4">
            <w:pPr>
              <w:pStyle w:val="ae"/>
              <w:rPr>
                <w:b w:val="0"/>
                <w:bCs/>
              </w:rPr>
            </w:pPr>
          </w:p>
        </w:tc>
        <w:tc>
          <w:tcPr>
            <w:tcW w:w="2351" w:type="dxa"/>
            <w:shd w:val="clear" w:color="auto" w:fill="auto"/>
            <w:vAlign w:val="center"/>
          </w:tcPr>
          <w:p w14:paraId="2CB6A5DE" w14:textId="77777777" w:rsidR="00913C78" w:rsidRPr="00E578F4" w:rsidRDefault="00913C78" w:rsidP="00E578F4">
            <w:pPr>
              <w:pStyle w:val="ae"/>
              <w:rPr>
                <w:b w:val="0"/>
                <w:bCs/>
              </w:rPr>
            </w:pPr>
          </w:p>
        </w:tc>
        <w:tc>
          <w:tcPr>
            <w:tcW w:w="1388" w:type="dxa"/>
            <w:shd w:val="clear" w:color="auto" w:fill="auto"/>
            <w:vAlign w:val="center"/>
          </w:tcPr>
          <w:p w14:paraId="7605ED8B" w14:textId="77777777" w:rsidR="00913C78" w:rsidRPr="00E578F4" w:rsidRDefault="00913C78" w:rsidP="00E578F4">
            <w:pPr>
              <w:pStyle w:val="ae"/>
              <w:rPr>
                <w:b w:val="0"/>
                <w:bCs/>
              </w:rPr>
            </w:pPr>
          </w:p>
        </w:tc>
      </w:tr>
      <w:tr w:rsidR="00913C78" w:rsidRPr="00913C78" w14:paraId="291317C8" w14:textId="77777777" w:rsidTr="00A2511C">
        <w:trPr>
          <w:jc w:val="center"/>
        </w:trPr>
        <w:tc>
          <w:tcPr>
            <w:tcW w:w="850" w:type="dxa"/>
            <w:shd w:val="clear" w:color="auto" w:fill="auto"/>
            <w:vAlign w:val="center"/>
          </w:tcPr>
          <w:p w14:paraId="56AF9E9F" w14:textId="77777777" w:rsidR="00913C78" w:rsidRPr="00E578F4" w:rsidRDefault="00913C78" w:rsidP="00E578F4">
            <w:pPr>
              <w:pStyle w:val="ae"/>
              <w:rPr>
                <w:b w:val="0"/>
                <w:bCs/>
              </w:rPr>
            </w:pPr>
            <w:r w:rsidRPr="00E578F4">
              <w:rPr>
                <w:rFonts w:hint="eastAsia"/>
                <w:b w:val="0"/>
                <w:bCs/>
              </w:rPr>
              <w:t>5</w:t>
            </w:r>
          </w:p>
        </w:tc>
        <w:tc>
          <w:tcPr>
            <w:tcW w:w="907" w:type="dxa"/>
            <w:shd w:val="clear" w:color="auto" w:fill="auto"/>
            <w:vAlign w:val="center"/>
          </w:tcPr>
          <w:p w14:paraId="2A652510" w14:textId="77777777" w:rsidR="00913C78" w:rsidRPr="00E578F4" w:rsidRDefault="00913C78" w:rsidP="00E578F4">
            <w:pPr>
              <w:pStyle w:val="ae"/>
              <w:rPr>
                <w:b w:val="0"/>
                <w:bCs/>
              </w:rPr>
            </w:pPr>
          </w:p>
        </w:tc>
        <w:tc>
          <w:tcPr>
            <w:tcW w:w="1729" w:type="dxa"/>
            <w:shd w:val="clear" w:color="auto" w:fill="auto"/>
            <w:vAlign w:val="center"/>
          </w:tcPr>
          <w:p w14:paraId="054B8E7D"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rFonts w:hint="eastAsia"/>
                <w:b w:val="0"/>
                <w:bCs/>
              </w:rPr>
              <w:t>6</w:t>
            </w:r>
          </w:p>
        </w:tc>
        <w:tc>
          <w:tcPr>
            <w:tcW w:w="1098" w:type="dxa"/>
            <w:shd w:val="clear" w:color="auto" w:fill="auto"/>
            <w:vAlign w:val="center"/>
          </w:tcPr>
          <w:p w14:paraId="3EA60350" w14:textId="77777777" w:rsidR="00913C78" w:rsidRPr="00E578F4" w:rsidRDefault="00913C78" w:rsidP="00E578F4">
            <w:pPr>
              <w:pStyle w:val="ae"/>
              <w:rPr>
                <w:b w:val="0"/>
                <w:bCs/>
              </w:rPr>
            </w:pPr>
          </w:p>
        </w:tc>
        <w:tc>
          <w:tcPr>
            <w:tcW w:w="2351" w:type="dxa"/>
            <w:shd w:val="clear" w:color="auto" w:fill="auto"/>
            <w:vAlign w:val="center"/>
          </w:tcPr>
          <w:p w14:paraId="01D9ECDB" w14:textId="77777777" w:rsidR="00913C78" w:rsidRPr="00E578F4" w:rsidRDefault="00913C78" w:rsidP="00E578F4">
            <w:pPr>
              <w:pStyle w:val="ae"/>
              <w:rPr>
                <w:b w:val="0"/>
                <w:bCs/>
              </w:rPr>
            </w:pPr>
          </w:p>
        </w:tc>
        <w:tc>
          <w:tcPr>
            <w:tcW w:w="1388" w:type="dxa"/>
            <w:shd w:val="clear" w:color="auto" w:fill="auto"/>
            <w:vAlign w:val="center"/>
          </w:tcPr>
          <w:p w14:paraId="20604A67" w14:textId="77777777" w:rsidR="00913C78" w:rsidRPr="00E578F4" w:rsidRDefault="00913C78" w:rsidP="00E578F4">
            <w:pPr>
              <w:pStyle w:val="ae"/>
              <w:rPr>
                <w:b w:val="0"/>
                <w:bCs/>
              </w:rPr>
            </w:pPr>
          </w:p>
        </w:tc>
      </w:tr>
      <w:tr w:rsidR="00913C78" w:rsidRPr="00913C78" w14:paraId="33D2E73C" w14:textId="77777777" w:rsidTr="00A2511C">
        <w:trPr>
          <w:jc w:val="center"/>
        </w:trPr>
        <w:tc>
          <w:tcPr>
            <w:tcW w:w="850" w:type="dxa"/>
            <w:shd w:val="clear" w:color="auto" w:fill="auto"/>
            <w:vAlign w:val="center"/>
          </w:tcPr>
          <w:p w14:paraId="5C840D46" w14:textId="77777777" w:rsidR="00913C78" w:rsidRPr="00E578F4" w:rsidRDefault="00913C78" w:rsidP="00E578F4">
            <w:pPr>
              <w:pStyle w:val="ae"/>
              <w:rPr>
                <w:b w:val="0"/>
                <w:bCs/>
              </w:rPr>
            </w:pPr>
            <w:r w:rsidRPr="00E578F4">
              <w:rPr>
                <w:rFonts w:hint="eastAsia"/>
                <w:b w:val="0"/>
                <w:bCs/>
              </w:rPr>
              <w:t>6</w:t>
            </w:r>
          </w:p>
        </w:tc>
        <w:tc>
          <w:tcPr>
            <w:tcW w:w="907" w:type="dxa"/>
            <w:shd w:val="clear" w:color="auto" w:fill="auto"/>
            <w:vAlign w:val="center"/>
          </w:tcPr>
          <w:p w14:paraId="50FE2A6B" w14:textId="77777777" w:rsidR="00913C78" w:rsidRPr="00E578F4" w:rsidRDefault="00913C78" w:rsidP="00E578F4">
            <w:pPr>
              <w:pStyle w:val="ae"/>
              <w:rPr>
                <w:b w:val="0"/>
                <w:bCs/>
              </w:rPr>
            </w:pPr>
          </w:p>
        </w:tc>
        <w:tc>
          <w:tcPr>
            <w:tcW w:w="1729" w:type="dxa"/>
            <w:shd w:val="clear" w:color="auto" w:fill="auto"/>
            <w:vAlign w:val="center"/>
          </w:tcPr>
          <w:p w14:paraId="41AE2B9B"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rFonts w:hint="eastAsia"/>
                <w:b w:val="0"/>
                <w:bCs/>
              </w:rPr>
              <w:t>8</w:t>
            </w:r>
          </w:p>
        </w:tc>
        <w:tc>
          <w:tcPr>
            <w:tcW w:w="1098" w:type="dxa"/>
            <w:shd w:val="clear" w:color="auto" w:fill="auto"/>
            <w:vAlign w:val="center"/>
          </w:tcPr>
          <w:p w14:paraId="51CB9FE4" w14:textId="77777777" w:rsidR="00913C78" w:rsidRPr="00E578F4" w:rsidRDefault="00913C78" w:rsidP="00E578F4">
            <w:pPr>
              <w:pStyle w:val="ae"/>
              <w:rPr>
                <w:b w:val="0"/>
                <w:bCs/>
              </w:rPr>
            </w:pPr>
          </w:p>
        </w:tc>
        <w:tc>
          <w:tcPr>
            <w:tcW w:w="2351" w:type="dxa"/>
            <w:shd w:val="clear" w:color="auto" w:fill="auto"/>
            <w:vAlign w:val="center"/>
          </w:tcPr>
          <w:p w14:paraId="0BC1CBB7" w14:textId="77777777" w:rsidR="00913C78" w:rsidRPr="00E578F4" w:rsidRDefault="00913C78" w:rsidP="00E578F4">
            <w:pPr>
              <w:pStyle w:val="ae"/>
              <w:rPr>
                <w:b w:val="0"/>
                <w:bCs/>
              </w:rPr>
            </w:pPr>
          </w:p>
        </w:tc>
        <w:tc>
          <w:tcPr>
            <w:tcW w:w="1388" w:type="dxa"/>
            <w:shd w:val="clear" w:color="auto" w:fill="auto"/>
            <w:vAlign w:val="center"/>
          </w:tcPr>
          <w:p w14:paraId="24B0F5D0" w14:textId="77777777" w:rsidR="00913C78" w:rsidRPr="00E578F4" w:rsidRDefault="00913C78" w:rsidP="00E578F4">
            <w:pPr>
              <w:pStyle w:val="ae"/>
              <w:rPr>
                <w:b w:val="0"/>
                <w:bCs/>
              </w:rPr>
            </w:pPr>
          </w:p>
        </w:tc>
      </w:tr>
      <w:tr w:rsidR="00913C78" w:rsidRPr="00913C78" w14:paraId="6086E6BC" w14:textId="77777777" w:rsidTr="00A2511C">
        <w:trPr>
          <w:jc w:val="center"/>
        </w:trPr>
        <w:tc>
          <w:tcPr>
            <w:tcW w:w="850" w:type="dxa"/>
            <w:shd w:val="clear" w:color="auto" w:fill="auto"/>
            <w:vAlign w:val="center"/>
          </w:tcPr>
          <w:p w14:paraId="3CFDA4E4" w14:textId="77777777" w:rsidR="00913C78" w:rsidRPr="00E578F4" w:rsidRDefault="00913C78" w:rsidP="00E578F4">
            <w:pPr>
              <w:pStyle w:val="ae"/>
              <w:rPr>
                <w:b w:val="0"/>
                <w:bCs/>
              </w:rPr>
            </w:pPr>
            <w:r w:rsidRPr="00E578F4">
              <w:rPr>
                <w:rFonts w:hint="eastAsia"/>
                <w:b w:val="0"/>
                <w:bCs/>
              </w:rPr>
              <w:t>7</w:t>
            </w:r>
          </w:p>
        </w:tc>
        <w:tc>
          <w:tcPr>
            <w:tcW w:w="907" w:type="dxa"/>
            <w:shd w:val="clear" w:color="auto" w:fill="auto"/>
            <w:vAlign w:val="center"/>
          </w:tcPr>
          <w:p w14:paraId="69AB8C3A" w14:textId="77777777" w:rsidR="00913C78" w:rsidRPr="00E578F4" w:rsidRDefault="00913C78" w:rsidP="00E578F4">
            <w:pPr>
              <w:pStyle w:val="ae"/>
              <w:rPr>
                <w:b w:val="0"/>
                <w:bCs/>
              </w:rPr>
            </w:pPr>
          </w:p>
        </w:tc>
        <w:tc>
          <w:tcPr>
            <w:tcW w:w="1729" w:type="dxa"/>
            <w:shd w:val="clear" w:color="auto" w:fill="auto"/>
            <w:vAlign w:val="center"/>
          </w:tcPr>
          <w:p w14:paraId="752F7F42"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10</w:t>
            </w:r>
          </w:p>
        </w:tc>
        <w:tc>
          <w:tcPr>
            <w:tcW w:w="1098" w:type="dxa"/>
            <w:shd w:val="clear" w:color="auto" w:fill="auto"/>
            <w:vAlign w:val="center"/>
          </w:tcPr>
          <w:p w14:paraId="3A320049" w14:textId="77777777" w:rsidR="00913C78" w:rsidRPr="00E578F4" w:rsidRDefault="00913C78" w:rsidP="00E578F4">
            <w:pPr>
              <w:pStyle w:val="ae"/>
              <w:rPr>
                <w:b w:val="0"/>
                <w:bCs/>
              </w:rPr>
            </w:pPr>
          </w:p>
        </w:tc>
        <w:tc>
          <w:tcPr>
            <w:tcW w:w="2351" w:type="dxa"/>
            <w:shd w:val="clear" w:color="auto" w:fill="auto"/>
            <w:vAlign w:val="center"/>
          </w:tcPr>
          <w:p w14:paraId="2B41CD5B" w14:textId="77777777" w:rsidR="00913C78" w:rsidRPr="00E578F4" w:rsidRDefault="00913C78" w:rsidP="00E578F4">
            <w:pPr>
              <w:pStyle w:val="ae"/>
              <w:rPr>
                <w:b w:val="0"/>
                <w:bCs/>
              </w:rPr>
            </w:pPr>
          </w:p>
        </w:tc>
        <w:tc>
          <w:tcPr>
            <w:tcW w:w="1388" w:type="dxa"/>
            <w:shd w:val="clear" w:color="auto" w:fill="auto"/>
            <w:vAlign w:val="center"/>
          </w:tcPr>
          <w:p w14:paraId="166FF7EC" w14:textId="77777777" w:rsidR="00913C78" w:rsidRPr="00E578F4" w:rsidRDefault="00913C78" w:rsidP="00E578F4">
            <w:pPr>
              <w:pStyle w:val="ae"/>
              <w:rPr>
                <w:b w:val="0"/>
                <w:bCs/>
              </w:rPr>
            </w:pPr>
          </w:p>
        </w:tc>
      </w:tr>
      <w:tr w:rsidR="00913C78" w:rsidRPr="00913C78" w14:paraId="58F72081" w14:textId="77777777" w:rsidTr="00A2511C">
        <w:trPr>
          <w:jc w:val="center"/>
        </w:trPr>
        <w:tc>
          <w:tcPr>
            <w:tcW w:w="850" w:type="dxa"/>
            <w:shd w:val="clear" w:color="auto" w:fill="auto"/>
            <w:vAlign w:val="center"/>
          </w:tcPr>
          <w:p w14:paraId="324E9782" w14:textId="77777777" w:rsidR="00913C78" w:rsidRPr="00E578F4" w:rsidRDefault="00913C78" w:rsidP="00E578F4">
            <w:pPr>
              <w:pStyle w:val="ae"/>
              <w:rPr>
                <w:b w:val="0"/>
                <w:bCs/>
              </w:rPr>
            </w:pPr>
            <w:r w:rsidRPr="00E578F4">
              <w:rPr>
                <w:rFonts w:hint="eastAsia"/>
                <w:b w:val="0"/>
                <w:bCs/>
              </w:rPr>
              <w:t>8</w:t>
            </w:r>
          </w:p>
        </w:tc>
        <w:tc>
          <w:tcPr>
            <w:tcW w:w="907" w:type="dxa"/>
            <w:shd w:val="clear" w:color="auto" w:fill="auto"/>
            <w:vAlign w:val="center"/>
          </w:tcPr>
          <w:p w14:paraId="0C172E92" w14:textId="77777777" w:rsidR="00913C78" w:rsidRPr="00E578F4" w:rsidRDefault="00913C78" w:rsidP="00E578F4">
            <w:pPr>
              <w:pStyle w:val="ae"/>
              <w:rPr>
                <w:b w:val="0"/>
                <w:bCs/>
              </w:rPr>
            </w:pPr>
          </w:p>
        </w:tc>
        <w:tc>
          <w:tcPr>
            <w:tcW w:w="1729" w:type="dxa"/>
            <w:shd w:val="clear" w:color="auto" w:fill="auto"/>
            <w:vAlign w:val="center"/>
          </w:tcPr>
          <w:p w14:paraId="7062506E"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12</w:t>
            </w:r>
          </w:p>
        </w:tc>
        <w:tc>
          <w:tcPr>
            <w:tcW w:w="1098" w:type="dxa"/>
            <w:shd w:val="clear" w:color="auto" w:fill="auto"/>
            <w:vAlign w:val="center"/>
          </w:tcPr>
          <w:p w14:paraId="06B49169" w14:textId="77777777" w:rsidR="00913C78" w:rsidRPr="00E578F4" w:rsidRDefault="00913C78" w:rsidP="00E578F4">
            <w:pPr>
              <w:pStyle w:val="ae"/>
              <w:rPr>
                <w:b w:val="0"/>
                <w:bCs/>
              </w:rPr>
            </w:pPr>
          </w:p>
        </w:tc>
        <w:tc>
          <w:tcPr>
            <w:tcW w:w="2351" w:type="dxa"/>
            <w:shd w:val="clear" w:color="auto" w:fill="auto"/>
            <w:vAlign w:val="center"/>
          </w:tcPr>
          <w:p w14:paraId="583B2FF3" w14:textId="77777777" w:rsidR="00913C78" w:rsidRPr="00E578F4" w:rsidRDefault="00913C78" w:rsidP="00E578F4">
            <w:pPr>
              <w:pStyle w:val="ae"/>
              <w:rPr>
                <w:b w:val="0"/>
                <w:bCs/>
              </w:rPr>
            </w:pPr>
          </w:p>
        </w:tc>
        <w:tc>
          <w:tcPr>
            <w:tcW w:w="1388" w:type="dxa"/>
            <w:shd w:val="clear" w:color="auto" w:fill="auto"/>
            <w:vAlign w:val="center"/>
          </w:tcPr>
          <w:p w14:paraId="71AB7011" w14:textId="77777777" w:rsidR="00913C78" w:rsidRPr="00E578F4" w:rsidRDefault="00913C78" w:rsidP="00E578F4">
            <w:pPr>
              <w:pStyle w:val="ae"/>
              <w:rPr>
                <w:b w:val="0"/>
                <w:bCs/>
              </w:rPr>
            </w:pPr>
          </w:p>
        </w:tc>
      </w:tr>
      <w:tr w:rsidR="00913C78" w:rsidRPr="00913C78" w14:paraId="13AA68FF" w14:textId="77777777" w:rsidTr="00A2511C">
        <w:trPr>
          <w:jc w:val="center"/>
        </w:trPr>
        <w:tc>
          <w:tcPr>
            <w:tcW w:w="850" w:type="dxa"/>
            <w:shd w:val="clear" w:color="auto" w:fill="auto"/>
            <w:vAlign w:val="center"/>
          </w:tcPr>
          <w:p w14:paraId="1BA6D719" w14:textId="77777777" w:rsidR="00913C78" w:rsidRPr="00E578F4" w:rsidRDefault="00913C78" w:rsidP="00E578F4">
            <w:pPr>
              <w:pStyle w:val="ae"/>
              <w:rPr>
                <w:b w:val="0"/>
                <w:bCs/>
              </w:rPr>
            </w:pPr>
            <w:r w:rsidRPr="00E578F4">
              <w:rPr>
                <w:rFonts w:hint="eastAsia"/>
                <w:b w:val="0"/>
                <w:bCs/>
              </w:rPr>
              <w:t>9</w:t>
            </w:r>
          </w:p>
        </w:tc>
        <w:tc>
          <w:tcPr>
            <w:tcW w:w="907" w:type="dxa"/>
            <w:shd w:val="clear" w:color="auto" w:fill="auto"/>
            <w:vAlign w:val="center"/>
          </w:tcPr>
          <w:p w14:paraId="6A969293" w14:textId="77777777" w:rsidR="00913C78" w:rsidRPr="00E578F4" w:rsidRDefault="00913C78" w:rsidP="00E578F4">
            <w:pPr>
              <w:pStyle w:val="ae"/>
              <w:rPr>
                <w:b w:val="0"/>
                <w:bCs/>
              </w:rPr>
            </w:pPr>
          </w:p>
        </w:tc>
        <w:tc>
          <w:tcPr>
            <w:tcW w:w="1729" w:type="dxa"/>
            <w:shd w:val="clear" w:color="auto" w:fill="auto"/>
            <w:vAlign w:val="center"/>
          </w:tcPr>
          <w:p w14:paraId="2D820FF5"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14</w:t>
            </w:r>
          </w:p>
        </w:tc>
        <w:tc>
          <w:tcPr>
            <w:tcW w:w="1098" w:type="dxa"/>
            <w:shd w:val="clear" w:color="auto" w:fill="auto"/>
            <w:vAlign w:val="center"/>
          </w:tcPr>
          <w:p w14:paraId="71AAFBD3" w14:textId="77777777" w:rsidR="00913C78" w:rsidRPr="00E578F4" w:rsidRDefault="00913C78" w:rsidP="00E578F4">
            <w:pPr>
              <w:pStyle w:val="ae"/>
              <w:rPr>
                <w:b w:val="0"/>
                <w:bCs/>
              </w:rPr>
            </w:pPr>
          </w:p>
        </w:tc>
        <w:tc>
          <w:tcPr>
            <w:tcW w:w="2351" w:type="dxa"/>
            <w:shd w:val="clear" w:color="auto" w:fill="auto"/>
            <w:vAlign w:val="center"/>
          </w:tcPr>
          <w:p w14:paraId="478BB4FA" w14:textId="77777777" w:rsidR="00913C78" w:rsidRPr="00E578F4" w:rsidRDefault="00913C78" w:rsidP="00E578F4">
            <w:pPr>
              <w:pStyle w:val="ae"/>
              <w:rPr>
                <w:b w:val="0"/>
                <w:bCs/>
              </w:rPr>
            </w:pPr>
          </w:p>
        </w:tc>
        <w:tc>
          <w:tcPr>
            <w:tcW w:w="1388" w:type="dxa"/>
            <w:shd w:val="clear" w:color="auto" w:fill="auto"/>
            <w:vAlign w:val="center"/>
          </w:tcPr>
          <w:p w14:paraId="55AAC73E" w14:textId="77777777" w:rsidR="00913C78" w:rsidRPr="00E578F4" w:rsidRDefault="00913C78" w:rsidP="00E578F4">
            <w:pPr>
              <w:pStyle w:val="ae"/>
              <w:rPr>
                <w:b w:val="0"/>
                <w:bCs/>
              </w:rPr>
            </w:pPr>
          </w:p>
        </w:tc>
      </w:tr>
      <w:tr w:rsidR="00913C78" w:rsidRPr="00913C78" w14:paraId="13216C5B" w14:textId="77777777" w:rsidTr="00A2511C">
        <w:trPr>
          <w:jc w:val="center"/>
        </w:trPr>
        <w:tc>
          <w:tcPr>
            <w:tcW w:w="850" w:type="dxa"/>
            <w:shd w:val="clear" w:color="auto" w:fill="auto"/>
            <w:vAlign w:val="center"/>
          </w:tcPr>
          <w:p w14:paraId="0B8ABF74" w14:textId="77777777" w:rsidR="00913C78" w:rsidRPr="00E578F4" w:rsidRDefault="00913C78" w:rsidP="00E578F4">
            <w:pPr>
              <w:pStyle w:val="ae"/>
              <w:rPr>
                <w:b w:val="0"/>
                <w:bCs/>
              </w:rPr>
            </w:pPr>
            <w:r w:rsidRPr="00E578F4">
              <w:rPr>
                <w:rFonts w:hint="eastAsia"/>
                <w:b w:val="0"/>
                <w:bCs/>
              </w:rPr>
              <w:t>10</w:t>
            </w:r>
          </w:p>
        </w:tc>
        <w:tc>
          <w:tcPr>
            <w:tcW w:w="907" w:type="dxa"/>
            <w:shd w:val="clear" w:color="auto" w:fill="auto"/>
            <w:vAlign w:val="center"/>
          </w:tcPr>
          <w:p w14:paraId="64DF7D2F" w14:textId="77777777" w:rsidR="00913C78" w:rsidRPr="00E578F4" w:rsidRDefault="00913C78" w:rsidP="00E578F4">
            <w:pPr>
              <w:pStyle w:val="ae"/>
              <w:rPr>
                <w:b w:val="0"/>
                <w:bCs/>
              </w:rPr>
            </w:pPr>
          </w:p>
        </w:tc>
        <w:tc>
          <w:tcPr>
            <w:tcW w:w="1729" w:type="dxa"/>
            <w:shd w:val="clear" w:color="auto" w:fill="auto"/>
            <w:vAlign w:val="center"/>
          </w:tcPr>
          <w:p w14:paraId="6CD26F2E"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16</w:t>
            </w:r>
          </w:p>
        </w:tc>
        <w:tc>
          <w:tcPr>
            <w:tcW w:w="1098" w:type="dxa"/>
            <w:shd w:val="clear" w:color="auto" w:fill="auto"/>
            <w:vAlign w:val="center"/>
          </w:tcPr>
          <w:p w14:paraId="60002242" w14:textId="77777777" w:rsidR="00913C78" w:rsidRPr="00E578F4" w:rsidRDefault="00913C78" w:rsidP="00E578F4">
            <w:pPr>
              <w:pStyle w:val="ae"/>
              <w:rPr>
                <w:b w:val="0"/>
                <w:bCs/>
              </w:rPr>
            </w:pPr>
          </w:p>
        </w:tc>
        <w:tc>
          <w:tcPr>
            <w:tcW w:w="2351" w:type="dxa"/>
            <w:shd w:val="clear" w:color="auto" w:fill="auto"/>
            <w:vAlign w:val="center"/>
          </w:tcPr>
          <w:p w14:paraId="002F2335" w14:textId="77777777" w:rsidR="00913C78" w:rsidRPr="00E578F4" w:rsidRDefault="00913C78" w:rsidP="00E578F4">
            <w:pPr>
              <w:pStyle w:val="ae"/>
              <w:rPr>
                <w:b w:val="0"/>
                <w:bCs/>
              </w:rPr>
            </w:pPr>
          </w:p>
        </w:tc>
        <w:tc>
          <w:tcPr>
            <w:tcW w:w="1388" w:type="dxa"/>
            <w:shd w:val="clear" w:color="auto" w:fill="auto"/>
            <w:vAlign w:val="center"/>
          </w:tcPr>
          <w:p w14:paraId="2B666AF1" w14:textId="77777777" w:rsidR="00913C78" w:rsidRPr="00E578F4" w:rsidRDefault="00913C78" w:rsidP="00E578F4">
            <w:pPr>
              <w:pStyle w:val="ae"/>
              <w:rPr>
                <w:b w:val="0"/>
                <w:bCs/>
              </w:rPr>
            </w:pPr>
          </w:p>
        </w:tc>
      </w:tr>
      <w:tr w:rsidR="00913C78" w:rsidRPr="00913C78" w14:paraId="410D93A5" w14:textId="77777777" w:rsidTr="00A2511C">
        <w:trPr>
          <w:jc w:val="center"/>
        </w:trPr>
        <w:tc>
          <w:tcPr>
            <w:tcW w:w="850" w:type="dxa"/>
            <w:shd w:val="clear" w:color="auto" w:fill="auto"/>
            <w:vAlign w:val="center"/>
          </w:tcPr>
          <w:p w14:paraId="0446A7E5" w14:textId="77777777" w:rsidR="00913C78" w:rsidRPr="00E578F4" w:rsidRDefault="00913C78" w:rsidP="00E578F4">
            <w:pPr>
              <w:pStyle w:val="ae"/>
              <w:rPr>
                <w:b w:val="0"/>
                <w:bCs/>
              </w:rPr>
            </w:pPr>
            <w:r w:rsidRPr="00E578F4">
              <w:rPr>
                <w:rFonts w:hint="eastAsia"/>
                <w:b w:val="0"/>
                <w:bCs/>
              </w:rPr>
              <w:t>11</w:t>
            </w:r>
          </w:p>
        </w:tc>
        <w:tc>
          <w:tcPr>
            <w:tcW w:w="907" w:type="dxa"/>
            <w:shd w:val="clear" w:color="auto" w:fill="auto"/>
            <w:vAlign w:val="center"/>
          </w:tcPr>
          <w:p w14:paraId="25A39E96" w14:textId="77777777" w:rsidR="00913C78" w:rsidRPr="00E578F4" w:rsidRDefault="00913C78" w:rsidP="00E578F4">
            <w:pPr>
              <w:pStyle w:val="ae"/>
              <w:rPr>
                <w:b w:val="0"/>
                <w:bCs/>
              </w:rPr>
            </w:pPr>
          </w:p>
        </w:tc>
        <w:tc>
          <w:tcPr>
            <w:tcW w:w="1729" w:type="dxa"/>
            <w:shd w:val="clear" w:color="auto" w:fill="auto"/>
            <w:vAlign w:val="center"/>
          </w:tcPr>
          <w:p w14:paraId="1107A248"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18</w:t>
            </w:r>
          </w:p>
        </w:tc>
        <w:tc>
          <w:tcPr>
            <w:tcW w:w="1098" w:type="dxa"/>
            <w:shd w:val="clear" w:color="auto" w:fill="auto"/>
            <w:vAlign w:val="center"/>
          </w:tcPr>
          <w:p w14:paraId="6CE96A10" w14:textId="77777777" w:rsidR="00913C78" w:rsidRPr="00E578F4" w:rsidRDefault="00913C78" w:rsidP="00E578F4">
            <w:pPr>
              <w:pStyle w:val="ae"/>
              <w:rPr>
                <w:b w:val="0"/>
                <w:bCs/>
              </w:rPr>
            </w:pPr>
          </w:p>
        </w:tc>
        <w:tc>
          <w:tcPr>
            <w:tcW w:w="2351" w:type="dxa"/>
            <w:shd w:val="clear" w:color="auto" w:fill="auto"/>
            <w:vAlign w:val="center"/>
          </w:tcPr>
          <w:p w14:paraId="5196D3B5" w14:textId="77777777" w:rsidR="00913C78" w:rsidRPr="00E578F4" w:rsidRDefault="00913C78" w:rsidP="00E578F4">
            <w:pPr>
              <w:pStyle w:val="ae"/>
              <w:rPr>
                <w:b w:val="0"/>
                <w:bCs/>
              </w:rPr>
            </w:pPr>
          </w:p>
        </w:tc>
        <w:tc>
          <w:tcPr>
            <w:tcW w:w="1388" w:type="dxa"/>
            <w:shd w:val="clear" w:color="auto" w:fill="auto"/>
            <w:vAlign w:val="center"/>
          </w:tcPr>
          <w:p w14:paraId="2244B62D" w14:textId="77777777" w:rsidR="00913C78" w:rsidRPr="00E578F4" w:rsidRDefault="00913C78" w:rsidP="00E578F4">
            <w:pPr>
              <w:pStyle w:val="ae"/>
              <w:rPr>
                <w:b w:val="0"/>
                <w:bCs/>
              </w:rPr>
            </w:pPr>
          </w:p>
        </w:tc>
      </w:tr>
      <w:tr w:rsidR="00913C78" w:rsidRPr="00913C78" w14:paraId="080E89CC" w14:textId="77777777" w:rsidTr="00A2511C">
        <w:trPr>
          <w:jc w:val="center"/>
        </w:trPr>
        <w:tc>
          <w:tcPr>
            <w:tcW w:w="850" w:type="dxa"/>
            <w:shd w:val="clear" w:color="auto" w:fill="auto"/>
            <w:vAlign w:val="center"/>
          </w:tcPr>
          <w:p w14:paraId="40E5FCBB" w14:textId="77777777" w:rsidR="00913C78" w:rsidRPr="00E578F4" w:rsidRDefault="00913C78" w:rsidP="00E578F4">
            <w:pPr>
              <w:pStyle w:val="ae"/>
              <w:rPr>
                <w:b w:val="0"/>
                <w:bCs/>
              </w:rPr>
            </w:pPr>
            <w:r w:rsidRPr="00E578F4">
              <w:rPr>
                <w:rFonts w:hint="eastAsia"/>
                <w:b w:val="0"/>
                <w:bCs/>
              </w:rPr>
              <w:t>12</w:t>
            </w:r>
          </w:p>
        </w:tc>
        <w:tc>
          <w:tcPr>
            <w:tcW w:w="907" w:type="dxa"/>
            <w:shd w:val="clear" w:color="auto" w:fill="auto"/>
            <w:vAlign w:val="center"/>
          </w:tcPr>
          <w:p w14:paraId="521D58F7" w14:textId="77777777" w:rsidR="00913C78" w:rsidRPr="00E578F4" w:rsidRDefault="00913C78" w:rsidP="00E578F4">
            <w:pPr>
              <w:pStyle w:val="ae"/>
              <w:rPr>
                <w:b w:val="0"/>
                <w:bCs/>
              </w:rPr>
            </w:pPr>
          </w:p>
        </w:tc>
        <w:tc>
          <w:tcPr>
            <w:tcW w:w="1729" w:type="dxa"/>
            <w:shd w:val="clear" w:color="auto" w:fill="auto"/>
            <w:vAlign w:val="center"/>
          </w:tcPr>
          <w:p w14:paraId="4AEADD10"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20</w:t>
            </w:r>
          </w:p>
        </w:tc>
        <w:tc>
          <w:tcPr>
            <w:tcW w:w="1098" w:type="dxa"/>
            <w:shd w:val="clear" w:color="auto" w:fill="auto"/>
            <w:vAlign w:val="center"/>
          </w:tcPr>
          <w:p w14:paraId="2F2F86C8" w14:textId="77777777" w:rsidR="00913C78" w:rsidRPr="00E578F4" w:rsidRDefault="00913C78" w:rsidP="00E578F4">
            <w:pPr>
              <w:pStyle w:val="ae"/>
              <w:rPr>
                <w:b w:val="0"/>
                <w:bCs/>
              </w:rPr>
            </w:pPr>
          </w:p>
        </w:tc>
        <w:tc>
          <w:tcPr>
            <w:tcW w:w="2351" w:type="dxa"/>
            <w:shd w:val="clear" w:color="auto" w:fill="auto"/>
            <w:vAlign w:val="center"/>
          </w:tcPr>
          <w:p w14:paraId="4D526393" w14:textId="77777777" w:rsidR="00913C78" w:rsidRPr="00E578F4" w:rsidRDefault="00913C78" w:rsidP="00E578F4">
            <w:pPr>
              <w:pStyle w:val="ae"/>
              <w:rPr>
                <w:b w:val="0"/>
                <w:bCs/>
              </w:rPr>
            </w:pPr>
          </w:p>
        </w:tc>
        <w:tc>
          <w:tcPr>
            <w:tcW w:w="1388" w:type="dxa"/>
            <w:shd w:val="clear" w:color="auto" w:fill="auto"/>
            <w:vAlign w:val="center"/>
          </w:tcPr>
          <w:p w14:paraId="6CC2CBBA" w14:textId="77777777" w:rsidR="00913C78" w:rsidRPr="00E578F4" w:rsidRDefault="00913C78" w:rsidP="00E578F4">
            <w:pPr>
              <w:pStyle w:val="ae"/>
              <w:rPr>
                <w:b w:val="0"/>
                <w:bCs/>
              </w:rPr>
            </w:pPr>
          </w:p>
        </w:tc>
      </w:tr>
      <w:tr w:rsidR="00913C78" w:rsidRPr="00913C78" w14:paraId="0111EB56" w14:textId="77777777" w:rsidTr="00A2511C">
        <w:trPr>
          <w:jc w:val="center"/>
        </w:trPr>
        <w:tc>
          <w:tcPr>
            <w:tcW w:w="850" w:type="dxa"/>
            <w:shd w:val="clear" w:color="auto" w:fill="auto"/>
            <w:vAlign w:val="center"/>
          </w:tcPr>
          <w:p w14:paraId="30C907E4" w14:textId="77777777" w:rsidR="00913C78" w:rsidRPr="00E578F4" w:rsidRDefault="00913C78" w:rsidP="00E578F4">
            <w:pPr>
              <w:pStyle w:val="ae"/>
              <w:rPr>
                <w:b w:val="0"/>
                <w:bCs/>
              </w:rPr>
            </w:pPr>
            <w:r w:rsidRPr="00E578F4">
              <w:rPr>
                <w:rFonts w:hint="eastAsia"/>
                <w:b w:val="0"/>
                <w:bCs/>
              </w:rPr>
              <w:t>13</w:t>
            </w:r>
          </w:p>
        </w:tc>
        <w:tc>
          <w:tcPr>
            <w:tcW w:w="907" w:type="dxa"/>
            <w:shd w:val="clear" w:color="auto" w:fill="auto"/>
            <w:vAlign w:val="center"/>
          </w:tcPr>
          <w:p w14:paraId="2B4072D2" w14:textId="77777777" w:rsidR="00913C78" w:rsidRPr="00E578F4" w:rsidRDefault="00913C78" w:rsidP="00E578F4">
            <w:pPr>
              <w:pStyle w:val="ae"/>
              <w:rPr>
                <w:b w:val="0"/>
                <w:bCs/>
              </w:rPr>
            </w:pPr>
          </w:p>
        </w:tc>
        <w:tc>
          <w:tcPr>
            <w:tcW w:w="1729" w:type="dxa"/>
            <w:shd w:val="clear" w:color="auto" w:fill="auto"/>
            <w:vAlign w:val="center"/>
          </w:tcPr>
          <w:p w14:paraId="6281B695" w14:textId="77777777" w:rsidR="00913C78" w:rsidRPr="00E578F4" w:rsidRDefault="00913C78" w:rsidP="00E578F4">
            <w:pPr>
              <w:pStyle w:val="ae"/>
              <w:rPr>
                <w:b w:val="0"/>
                <w:bCs/>
              </w:rPr>
            </w:pPr>
            <w:r w:rsidRPr="00E578F4">
              <w:rPr>
                <w:rFonts w:hint="eastAsia"/>
                <w:b w:val="0"/>
                <w:bCs/>
              </w:rPr>
              <w:t>HRB400</w:t>
            </w:r>
            <w:r w:rsidRPr="00E578F4">
              <w:rPr>
                <w:rFonts w:hint="eastAsia"/>
                <w:b w:val="0"/>
                <w:bCs/>
              </w:rPr>
              <w:sym w:font="Symbol" w:char="F066"/>
            </w:r>
            <w:r w:rsidRPr="00E578F4">
              <w:rPr>
                <w:b w:val="0"/>
                <w:bCs/>
              </w:rPr>
              <w:t>22</w:t>
            </w:r>
          </w:p>
        </w:tc>
        <w:tc>
          <w:tcPr>
            <w:tcW w:w="1098" w:type="dxa"/>
            <w:shd w:val="clear" w:color="auto" w:fill="auto"/>
            <w:vAlign w:val="center"/>
          </w:tcPr>
          <w:p w14:paraId="2546593B" w14:textId="77777777" w:rsidR="00913C78" w:rsidRPr="00E578F4" w:rsidRDefault="00913C78" w:rsidP="00E578F4">
            <w:pPr>
              <w:pStyle w:val="ae"/>
              <w:rPr>
                <w:b w:val="0"/>
                <w:bCs/>
              </w:rPr>
            </w:pPr>
          </w:p>
        </w:tc>
        <w:tc>
          <w:tcPr>
            <w:tcW w:w="2351" w:type="dxa"/>
            <w:shd w:val="clear" w:color="auto" w:fill="auto"/>
            <w:vAlign w:val="center"/>
          </w:tcPr>
          <w:p w14:paraId="16DA03E1" w14:textId="77777777" w:rsidR="00913C78" w:rsidRPr="00E578F4" w:rsidRDefault="00913C78" w:rsidP="00E578F4">
            <w:pPr>
              <w:pStyle w:val="ae"/>
              <w:rPr>
                <w:b w:val="0"/>
                <w:bCs/>
              </w:rPr>
            </w:pPr>
          </w:p>
        </w:tc>
        <w:tc>
          <w:tcPr>
            <w:tcW w:w="1388" w:type="dxa"/>
            <w:shd w:val="clear" w:color="auto" w:fill="auto"/>
            <w:vAlign w:val="center"/>
          </w:tcPr>
          <w:p w14:paraId="44D3813D" w14:textId="77777777" w:rsidR="00913C78" w:rsidRPr="00E578F4" w:rsidRDefault="00913C78" w:rsidP="00E578F4">
            <w:pPr>
              <w:pStyle w:val="ae"/>
              <w:rPr>
                <w:b w:val="0"/>
                <w:bCs/>
              </w:rPr>
            </w:pPr>
          </w:p>
        </w:tc>
      </w:tr>
      <w:tr w:rsidR="00913C78" w:rsidRPr="00913C78" w14:paraId="57C518D9" w14:textId="77777777" w:rsidTr="00A2511C">
        <w:trPr>
          <w:jc w:val="center"/>
        </w:trPr>
        <w:tc>
          <w:tcPr>
            <w:tcW w:w="850" w:type="dxa"/>
            <w:shd w:val="clear" w:color="auto" w:fill="auto"/>
            <w:vAlign w:val="center"/>
          </w:tcPr>
          <w:p w14:paraId="277E047B" w14:textId="77777777" w:rsidR="00913C78" w:rsidRPr="00E578F4" w:rsidRDefault="00913C78" w:rsidP="00E578F4">
            <w:pPr>
              <w:pStyle w:val="ae"/>
              <w:rPr>
                <w:b w:val="0"/>
                <w:bCs/>
              </w:rPr>
            </w:pPr>
            <w:r w:rsidRPr="00E578F4">
              <w:rPr>
                <w:rFonts w:hint="eastAsia"/>
                <w:b w:val="0"/>
                <w:bCs/>
              </w:rPr>
              <w:t>14</w:t>
            </w:r>
          </w:p>
        </w:tc>
        <w:tc>
          <w:tcPr>
            <w:tcW w:w="907" w:type="dxa"/>
            <w:shd w:val="clear" w:color="auto" w:fill="auto"/>
            <w:vAlign w:val="center"/>
          </w:tcPr>
          <w:p w14:paraId="287EAC0B" w14:textId="77777777" w:rsidR="00913C78" w:rsidRPr="00E578F4" w:rsidRDefault="00913C78" w:rsidP="00E578F4">
            <w:pPr>
              <w:pStyle w:val="ae"/>
              <w:rPr>
                <w:b w:val="0"/>
                <w:bCs/>
              </w:rPr>
            </w:pPr>
          </w:p>
        </w:tc>
        <w:tc>
          <w:tcPr>
            <w:tcW w:w="1729" w:type="dxa"/>
            <w:shd w:val="clear" w:color="auto" w:fill="auto"/>
            <w:vAlign w:val="center"/>
          </w:tcPr>
          <w:p w14:paraId="1E9ADA4F" w14:textId="77777777" w:rsidR="00913C78" w:rsidRPr="00E578F4" w:rsidRDefault="00913C78" w:rsidP="00E578F4">
            <w:pPr>
              <w:pStyle w:val="ae"/>
              <w:rPr>
                <w:b w:val="0"/>
                <w:bCs/>
              </w:rPr>
            </w:pPr>
          </w:p>
        </w:tc>
        <w:tc>
          <w:tcPr>
            <w:tcW w:w="1098" w:type="dxa"/>
            <w:shd w:val="clear" w:color="auto" w:fill="auto"/>
            <w:vAlign w:val="center"/>
          </w:tcPr>
          <w:p w14:paraId="35B5BC4A" w14:textId="77777777" w:rsidR="00913C78" w:rsidRPr="00E578F4" w:rsidRDefault="00913C78" w:rsidP="00E578F4">
            <w:pPr>
              <w:pStyle w:val="ae"/>
              <w:rPr>
                <w:b w:val="0"/>
                <w:bCs/>
              </w:rPr>
            </w:pPr>
          </w:p>
        </w:tc>
        <w:tc>
          <w:tcPr>
            <w:tcW w:w="2351" w:type="dxa"/>
            <w:shd w:val="clear" w:color="auto" w:fill="auto"/>
            <w:vAlign w:val="center"/>
          </w:tcPr>
          <w:p w14:paraId="18052BD4" w14:textId="77777777" w:rsidR="00913C78" w:rsidRPr="00E578F4" w:rsidRDefault="00913C78" w:rsidP="00E578F4">
            <w:pPr>
              <w:pStyle w:val="ae"/>
              <w:rPr>
                <w:b w:val="0"/>
                <w:bCs/>
              </w:rPr>
            </w:pPr>
          </w:p>
        </w:tc>
        <w:tc>
          <w:tcPr>
            <w:tcW w:w="1388" w:type="dxa"/>
            <w:shd w:val="clear" w:color="auto" w:fill="auto"/>
            <w:vAlign w:val="center"/>
          </w:tcPr>
          <w:p w14:paraId="196F2402" w14:textId="77777777" w:rsidR="00913C78" w:rsidRPr="00E578F4" w:rsidRDefault="00913C78" w:rsidP="00E578F4">
            <w:pPr>
              <w:pStyle w:val="ae"/>
              <w:rPr>
                <w:b w:val="0"/>
                <w:bCs/>
              </w:rPr>
            </w:pPr>
          </w:p>
        </w:tc>
      </w:tr>
      <w:tr w:rsidR="00913C78" w:rsidRPr="00913C78" w14:paraId="7A22C2E7" w14:textId="77777777" w:rsidTr="00A2511C">
        <w:trPr>
          <w:jc w:val="center"/>
        </w:trPr>
        <w:tc>
          <w:tcPr>
            <w:tcW w:w="850" w:type="dxa"/>
            <w:shd w:val="clear" w:color="auto" w:fill="auto"/>
            <w:vAlign w:val="center"/>
          </w:tcPr>
          <w:p w14:paraId="3F57188B" w14:textId="77777777" w:rsidR="00913C78" w:rsidRPr="00E578F4" w:rsidRDefault="00913C78" w:rsidP="00E578F4">
            <w:pPr>
              <w:pStyle w:val="ae"/>
              <w:rPr>
                <w:b w:val="0"/>
                <w:bCs/>
              </w:rPr>
            </w:pPr>
            <w:r w:rsidRPr="00E578F4">
              <w:rPr>
                <w:rFonts w:hint="eastAsia"/>
                <w:b w:val="0"/>
                <w:bCs/>
              </w:rPr>
              <w:t>15</w:t>
            </w:r>
          </w:p>
        </w:tc>
        <w:tc>
          <w:tcPr>
            <w:tcW w:w="907" w:type="dxa"/>
            <w:shd w:val="clear" w:color="auto" w:fill="auto"/>
            <w:vAlign w:val="center"/>
          </w:tcPr>
          <w:p w14:paraId="0B5572ED" w14:textId="77777777" w:rsidR="00913C78" w:rsidRPr="00E578F4" w:rsidRDefault="00913C78" w:rsidP="00E578F4">
            <w:pPr>
              <w:pStyle w:val="ae"/>
              <w:rPr>
                <w:b w:val="0"/>
                <w:bCs/>
              </w:rPr>
            </w:pPr>
          </w:p>
        </w:tc>
        <w:tc>
          <w:tcPr>
            <w:tcW w:w="1729" w:type="dxa"/>
            <w:shd w:val="clear" w:color="auto" w:fill="auto"/>
            <w:vAlign w:val="center"/>
          </w:tcPr>
          <w:p w14:paraId="6826AD2F" w14:textId="77777777" w:rsidR="00913C78" w:rsidRPr="00E578F4" w:rsidRDefault="00913C78" w:rsidP="00E578F4">
            <w:pPr>
              <w:pStyle w:val="ae"/>
              <w:rPr>
                <w:b w:val="0"/>
                <w:bCs/>
              </w:rPr>
            </w:pPr>
          </w:p>
        </w:tc>
        <w:tc>
          <w:tcPr>
            <w:tcW w:w="1098" w:type="dxa"/>
            <w:shd w:val="clear" w:color="auto" w:fill="auto"/>
            <w:vAlign w:val="center"/>
          </w:tcPr>
          <w:p w14:paraId="2ECEE208" w14:textId="77777777" w:rsidR="00913C78" w:rsidRPr="00E578F4" w:rsidRDefault="00913C78" w:rsidP="00E578F4">
            <w:pPr>
              <w:pStyle w:val="ae"/>
              <w:rPr>
                <w:b w:val="0"/>
                <w:bCs/>
              </w:rPr>
            </w:pPr>
          </w:p>
        </w:tc>
        <w:tc>
          <w:tcPr>
            <w:tcW w:w="2351" w:type="dxa"/>
            <w:shd w:val="clear" w:color="auto" w:fill="auto"/>
            <w:vAlign w:val="center"/>
          </w:tcPr>
          <w:p w14:paraId="51C20D58" w14:textId="77777777" w:rsidR="00913C78" w:rsidRPr="00E578F4" w:rsidRDefault="00913C78" w:rsidP="00E578F4">
            <w:pPr>
              <w:pStyle w:val="ae"/>
              <w:rPr>
                <w:b w:val="0"/>
                <w:bCs/>
              </w:rPr>
            </w:pPr>
          </w:p>
        </w:tc>
        <w:tc>
          <w:tcPr>
            <w:tcW w:w="1388" w:type="dxa"/>
            <w:shd w:val="clear" w:color="auto" w:fill="auto"/>
            <w:vAlign w:val="center"/>
          </w:tcPr>
          <w:p w14:paraId="1C86CAE7" w14:textId="77777777" w:rsidR="00913C78" w:rsidRPr="00E578F4" w:rsidRDefault="00913C78" w:rsidP="00E578F4">
            <w:pPr>
              <w:pStyle w:val="ae"/>
              <w:rPr>
                <w:b w:val="0"/>
                <w:bCs/>
              </w:rPr>
            </w:pPr>
          </w:p>
        </w:tc>
      </w:tr>
      <w:tr w:rsidR="00913C78" w:rsidRPr="00913C78" w14:paraId="2E4AF66E" w14:textId="77777777" w:rsidTr="00A2511C">
        <w:trPr>
          <w:jc w:val="center"/>
        </w:trPr>
        <w:tc>
          <w:tcPr>
            <w:tcW w:w="1757" w:type="dxa"/>
            <w:gridSpan w:val="2"/>
            <w:vMerge w:val="restart"/>
            <w:shd w:val="clear" w:color="auto" w:fill="auto"/>
            <w:vAlign w:val="center"/>
          </w:tcPr>
          <w:p w14:paraId="229C0098" w14:textId="77777777" w:rsidR="00913C78" w:rsidRPr="00E578F4" w:rsidRDefault="00913C78" w:rsidP="00E578F4">
            <w:pPr>
              <w:pStyle w:val="ae"/>
              <w:rPr>
                <w:b w:val="0"/>
                <w:bCs/>
              </w:rPr>
            </w:pPr>
            <w:r w:rsidRPr="00E578F4">
              <w:rPr>
                <w:b w:val="0"/>
                <w:bCs/>
              </w:rPr>
              <w:t>合计</w:t>
            </w:r>
          </w:p>
        </w:tc>
        <w:tc>
          <w:tcPr>
            <w:tcW w:w="5178" w:type="dxa"/>
            <w:gridSpan w:val="3"/>
            <w:shd w:val="clear" w:color="auto" w:fill="auto"/>
            <w:vAlign w:val="center"/>
          </w:tcPr>
          <w:p w14:paraId="55CF979E" w14:textId="77777777" w:rsidR="00913C78" w:rsidRPr="00E578F4" w:rsidRDefault="00913C78" w:rsidP="00E578F4">
            <w:pPr>
              <w:pStyle w:val="ae"/>
              <w:rPr>
                <w:b w:val="0"/>
                <w:bCs/>
              </w:rPr>
            </w:pPr>
            <w:r w:rsidRPr="00E578F4">
              <w:rPr>
                <w:b w:val="0"/>
                <w:bCs/>
              </w:rPr>
              <w:t>400</w:t>
            </w:r>
            <w:r w:rsidRPr="00E578F4">
              <w:rPr>
                <w:rFonts w:hint="eastAsia"/>
                <w:b w:val="0"/>
                <w:bCs/>
              </w:rPr>
              <w:t>MPa</w:t>
            </w:r>
            <w:r w:rsidRPr="00E578F4">
              <w:rPr>
                <w:b w:val="0"/>
                <w:bCs/>
              </w:rPr>
              <w:t>级</w:t>
            </w:r>
            <w:r w:rsidRPr="00E578F4">
              <w:rPr>
                <w:rFonts w:hint="eastAsia"/>
                <w:b w:val="0"/>
                <w:bCs/>
              </w:rPr>
              <w:t>及以上</w:t>
            </w:r>
            <w:r w:rsidRPr="00E578F4">
              <w:rPr>
                <w:b w:val="0"/>
                <w:bCs/>
              </w:rPr>
              <w:t>钢筋的重量</w:t>
            </w:r>
          </w:p>
        </w:tc>
        <w:tc>
          <w:tcPr>
            <w:tcW w:w="1388" w:type="dxa"/>
            <w:shd w:val="clear" w:color="auto" w:fill="auto"/>
            <w:vAlign w:val="center"/>
          </w:tcPr>
          <w:p w14:paraId="17F85E6B" w14:textId="77777777" w:rsidR="00913C78" w:rsidRPr="00E578F4" w:rsidRDefault="00913C78" w:rsidP="00E578F4">
            <w:pPr>
              <w:pStyle w:val="ae"/>
              <w:rPr>
                <w:b w:val="0"/>
                <w:bCs/>
              </w:rPr>
            </w:pPr>
          </w:p>
        </w:tc>
      </w:tr>
      <w:tr w:rsidR="00913C78" w:rsidRPr="00913C78" w14:paraId="4C8A5F40" w14:textId="77777777" w:rsidTr="00A2511C">
        <w:trPr>
          <w:jc w:val="center"/>
        </w:trPr>
        <w:tc>
          <w:tcPr>
            <w:tcW w:w="1757" w:type="dxa"/>
            <w:gridSpan w:val="2"/>
            <w:vMerge/>
            <w:shd w:val="clear" w:color="auto" w:fill="auto"/>
            <w:vAlign w:val="center"/>
          </w:tcPr>
          <w:p w14:paraId="0CDC9F59" w14:textId="77777777" w:rsidR="00913C78" w:rsidRPr="00E578F4" w:rsidRDefault="00913C78" w:rsidP="00E578F4">
            <w:pPr>
              <w:pStyle w:val="ae"/>
              <w:rPr>
                <w:b w:val="0"/>
                <w:bCs/>
              </w:rPr>
            </w:pPr>
          </w:p>
        </w:tc>
        <w:tc>
          <w:tcPr>
            <w:tcW w:w="5178" w:type="dxa"/>
            <w:gridSpan w:val="3"/>
            <w:shd w:val="clear" w:color="auto" w:fill="auto"/>
            <w:vAlign w:val="center"/>
          </w:tcPr>
          <w:p w14:paraId="06D9D474" w14:textId="77777777" w:rsidR="00913C78" w:rsidRPr="00E578F4" w:rsidRDefault="00913C78" w:rsidP="00E578F4">
            <w:pPr>
              <w:pStyle w:val="ae"/>
              <w:rPr>
                <w:b w:val="0"/>
                <w:bCs/>
              </w:rPr>
            </w:pPr>
            <w:r w:rsidRPr="00E578F4">
              <w:rPr>
                <w:rFonts w:hint="eastAsia"/>
                <w:b w:val="0"/>
                <w:bCs/>
              </w:rPr>
              <w:t>受力钢筋总用量</w:t>
            </w:r>
          </w:p>
        </w:tc>
        <w:tc>
          <w:tcPr>
            <w:tcW w:w="1388" w:type="dxa"/>
            <w:shd w:val="clear" w:color="auto" w:fill="auto"/>
            <w:vAlign w:val="center"/>
          </w:tcPr>
          <w:p w14:paraId="6DB825AD" w14:textId="77777777" w:rsidR="00913C78" w:rsidRPr="00E578F4" w:rsidRDefault="00913C78" w:rsidP="00E578F4">
            <w:pPr>
              <w:pStyle w:val="ae"/>
              <w:rPr>
                <w:b w:val="0"/>
                <w:bCs/>
              </w:rPr>
            </w:pPr>
          </w:p>
        </w:tc>
      </w:tr>
      <w:tr w:rsidR="00913C78" w:rsidRPr="00913C78" w14:paraId="36A1D829" w14:textId="77777777" w:rsidTr="00A2511C">
        <w:trPr>
          <w:jc w:val="center"/>
        </w:trPr>
        <w:tc>
          <w:tcPr>
            <w:tcW w:w="1757" w:type="dxa"/>
            <w:gridSpan w:val="2"/>
            <w:vMerge/>
            <w:shd w:val="clear" w:color="auto" w:fill="auto"/>
            <w:vAlign w:val="center"/>
          </w:tcPr>
          <w:p w14:paraId="7374E866" w14:textId="77777777" w:rsidR="00913C78" w:rsidRPr="00E578F4" w:rsidRDefault="00913C78" w:rsidP="00E578F4">
            <w:pPr>
              <w:pStyle w:val="ae"/>
              <w:rPr>
                <w:b w:val="0"/>
                <w:bCs/>
              </w:rPr>
            </w:pPr>
          </w:p>
        </w:tc>
        <w:tc>
          <w:tcPr>
            <w:tcW w:w="5178" w:type="dxa"/>
            <w:gridSpan w:val="3"/>
            <w:shd w:val="clear" w:color="auto" w:fill="auto"/>
          </w:tcPr>
          <w:p w14:paraId="67047C33" w14:textId="77777777" w:rsidR="00913C78" w:rsidRPr="00E578F4" w:rsidRDefault="00913C78" w:rsidP="00E578F4">
            <w:pPr>
              <w:pStyle w:val="ae"/>
              <w:rPr>
                <w:b w:val="0"/>
                <w:bCs/>
              </w:rPr>
            </w:pPr>
            <w:r w:rsidRPr="00E578F4">
              <w:rPr>
                <w:b w:val="0"/>
                <w:bCs/>
              </w:rPr>
              <w:t>400</w:t>
            </w:r>
            <w:r w:rsidRPr="00E578F4">
              <w:rPr>
                <w:rFonts w:hint="eastAsia"/>
                <w:b w:val="0"/>
                <w:bCs/>
              </w:rPr>
              <w:t>MPa</w:t>
            </w:r>
            <w:r w:rsidRPr="00E578F4">
              <w:rPr>
                <w:b w:val="0"/>
                <w:bCs/>
              </w:rPr>
              <w:t>级</w:t>
            </w:r>
            <w:r w:rsidRPr="00E578F4">
              <w:rPr>
                <w:rFonts w:hint="eastAsia"/>
                <w:b w:val="0"/>
                <w:bCs/>
              </w:rPr>
              <w:t>及以上</w:t>
            </w:r>
            <w:r w:rsidRPr="00E578F4">
              <w:rPr>
                <w:b w:val="0"/>
                <w:bCs/>
              </w:rPr>
              <w:t>钢筋</w:t>
            </w:r>
            <w:r w:rsidRPr="00E578F4">
              <w:rPr>
                <w:rFonts w:hint="eastAsia"/>
                <w:b w:val="0"/>
                <w:bCs/>
              </w:rPr>
              <w:t>占受力钢筋总用量的比例</w:t>
            </w:r>
          </w:p>
        </w:tc>
        <w:tc>
          <w:tcPr>
            <w:tcW w:w="1388" w:type="dxa"/>
            <w:shd w:val="clear" w:color="auto" w:fill="auto"/>
            <w:vAlign w:val="center"/>
          </w:tcPr>
          <w:p w14:paraId="321DA724" w14:textId="77777777" w:rsidR="00913C78" w:rsidRPr="00E578F4" w:rsidRDefault="00913C78" w:rsidP="00E578F4">
            <w:pPr>
              <w:pStyle w:val="ae"/>
              <w:rPr>
                <w:b w:val="0"/>
                <w:bCs/>
              </w:rPr>
            </w:pPr>
          </w:p>
        </w:tc>
      </w:tr>
    </w:tbl>
    <w:p w14:paraId="79EE6CB1" w14:textId="77777777" w:rsidR="00913C78" w:rsidRPr="00913C78" w:rsidRDefault="00913C78" w:rsidP="00913C78">
      <w:pPr>
        <w:ind w:firstLine="420"/>
      </w:pPr>
      <w:bookmarkStart w:id="401" w:name="_Toc476242419"/>
    </w:p>
    <w:p w14:paraId="4ACCAD4C"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）强度等级不小于</w:t>
      </w:r>
      <w:r w:rsidRPr="00913C78">
        <w:rPr>
          <w:rFonts w:hint="eastAsia"/>
        </w:rPr>
        <w:t>C50</w:t>
      </w:r>
      <w:r w:rsidRPr="00913C78">
        <w:rPr>
          <w:rFonts w:hint="eastAsia"/>
        </w:rPr>
        <w:t>的混凝土用量比例计算</w:t>
      </w:r>
      <w:bookmarkEnd w:id="401"/>
    </w:p>
    <w:p w14:paraId="29212523" w14:textId="77777777" w:rsidR="00913C78" w:rsidRPr="00913C78" w:rsidRDefault="00913C78" w:rsidP="00913C78">
      <w:pPr>
        <w:ind w:firstLine="420"/>
      </w:pPr>
      <w:r w:rsidRPr="00913C78">
        <w:rPr>
          <w:rFonts w:hint="eastAsia"/>
        </w:rPr>
        <w:t>统计应明确项目钢筋使用部位及用量</w:t>
      </w:r>
      <w:r w:rsidRPr="00913C78">
        <w:t>，</w:t>
      </w:r>
      <w:r w:rsidRPr="00913C78">
        <w:rPr>
          <w:rFonts w:hint="eastAsia"/>
        </w:rPr>
        <w:t>实际</w:t>
      </w:r>
      <w:r w:rsidRPr="00913C78">
        <w:t>统计时只需保留</w:t>
      </w:r>
      <w:r w:rsidRPr="00913C78">
        <w:rPr>
          <w:rFonts w:hint="eastAsia"/>
        </w:rPr>
        <w:t>（或</w:t>
      </w:r>
      <w:r w:rsidRPr="00913C78">
        <w:t>增加</w:t>
      </w:r>
      <w:r w:rsidRPr="00913C78">
        <w:rPr>
          <w:rFonts w:hint="eastAsia"/>
        </w:rPr>
        <w:t>）</w:t>
      </w:r>
      <w:r w:rsidRPr="00913C78">
        <w:t>使用</w:t>
      </w:r>
      <w:r w:rsidRPr="00913C78">
        <w:rPr>
          <w:rFonts w:hint="eastAsia"/>
        </w:rPr>
        <w:t>的混凝土钢筋</w:t>
      </w:r>
      <w:r w:rsidRPr="00913C78">
        <w:t>种类</w:t>
      </w:r>
      <w:r w:rsidRPr="00913C78">
        <w:rPr>
          <w:rFonts w:hint="eastAsia"/>
        </w:rPr>
        <w:t>。如果</w:t>
      </w:r>
      <w:r w:rsidRPr="00913C78">
        <w:t>涉及</w:t>
      </w:r>
      <w:r w:rsidRPr="00913C78">
        <w:rPr>
          <w:rFonts w:hint="eastAsia"/>
        </w:rPr>
        <w:t>多栋建筑</w:t>
      </w:r>
      <w:r w:rsidRPr="00913C78">
        <w:t>，应分</w:t>
      </w:r>
      <w:r w:rsidRPr="00913C78">
        <w:rPr>
          <w:rFonts w:hint="eastAsia"/>
        </w:rPr>
        <w:t>楼</w:t>
      </w:r>
      <w:r w:rsidRPr="00913C78">
        <w:t>栋号分别统计</w:t>
      </w:r>
      <w:r w:rsidRPr="00913C78">
        <w:rPr>
          <w:rFonts w:hint="eastAsia"/>
        </w:rPr>
        <w:t>（附表</w:t>
      </w:r>
      <w:r w:rsidRPr="00913C78">
        <w:rPr>
          <w:rFonts w:hint="eastAsia"/>
        </w:rPr>
        <w:t>B.4.2</w:t>
      </w:r>
      <w:r w:rsidRPr="00913C78">
        <w:rPr>
          <w:rFonts w:hint="eastAsia"/>
        </w:rPr>
        <w:t>）</w:t>
      </w:r>
      <w:r w:rsidRPr="00913C78">
        <w:t>。</w:t>
      </w:r>
    </w:p>
    <w:p w14:paraId="779A7219" w14:textId="77777777" w:rsidR="00913C78" w:rsidRPr="00913C78" w:rsidRDefault="00913C78" w:rsidP="00E578F4">
      <w:pPr>
        <w:pStyle w:val="ae"/>
      </w:pPr>
      <w:r w:rsidRPr="00913C78">
        <w:rPr>
          <w:rFonts w:hint="eastAsia"/>
        </w:rPr>
        <w:t>附表</w:t>
      </w:r>
      <w:r w:rsidRPr="00913C78">
        <w:rPr>
          <w:rFonts w:hint="eastAsia"/>
        </w:rPr>
        <w:t>B.4.</w:t>
      </w:r>
      <w:r w:rsidRPr="00913C78">
        <w:t>2</w:t>
      </w:r>
      <w:r w:rsidRPr="00913C78">
        <w:rPr>
          <w:rFonts w:hint="eastAsia"/>
        </w:rPr>
        <w:t xml:space="preserve">  </w:t>
      </w:r>
      <w:r w:rsidRPr="00913C78">
        <w:rPr>
          <w:rFonts w:hint="eastAsia"/>
        </w:rPr>
        <w:t>高强度混凝土用量比例计算表</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4" w:type="dxa"/>
        </w:tblCellMar>
        <w:tblLook w:val="0000" w:firstRow="0" w:lastRow="0" w:firstColumn="0" w:lastColumn="0" w:noHBand="0" w:noVBand="0"/>
      </w:tblPr>
      <w:tblGrid>
        <w:gridCol w:w="766"/>
        <w:gridCol w:w="887"/>
        <w:gridCol w:w="1452"/>
        <w:gridCol w:w="980"/>
        <w:gridCol w:w="2060"/>
        <w:gridCol w:w="1230"/>
      </w:tblGrid>
      <w:tr w:rsidR="00913C78" w:rsidRPr="00A2511C" w14:paraId="67ECF565" w14:textId="77777777" w:rsidTr="00A2511C">
        <w:trPr>
          <w:jc w:val="center"/>
        </w:trPr>
        <w:tc>
          <w:tcPr>
            <w:tcW w:w="766" w:type="dxa"/>
            <w:shd w:val="clear" w:color="auto" w:fill="auto"/>
            <w:vAlign w:val="center"/>
          </w:tcPr>
          <w:p w14:paraId="7B1826BC" w14:textId="77777777" w:rsidR="00913C78" w:rsidRPr="00A2511C" w:rsidRDefault="00913C78" w:rsidP="00E578F4">
            <w:pPr>
              <w:pStyle w:val="ae"/>
              <w:rPr>
                <w:b w:val="0"/>
                <w:bCs/>
              </w:rPr>
            </w:pPr>
            <w:r w:rsidRPr="00A2511C">
              <w:rPr>
                <w:b w:val="0"/>
                <w:bCs/>
              </w:rPr>
              <w:t>序号</w:t>
            </w:r>
          </w:p>
        </w:tc>
        <w:tc>
          <w:tcPr>
            <w:tcW w:w="887" w:type="dxa"/>
            <w:shd w:val="clear" w:color="auto" w:fill="auto"/>
            <w:vAlign w:val="center"/>
          </w:tcPr>
          <w:p w14:paraId="6892EBA9" w14:textId="77777777" w:rsidR="00913C78" w:rsidRPr="00A2511C" w:rsidRDefault="00913C78" w:rsidP="00E578F4">
            <w:pPr>
              <w:pStyle w:val="ae"/>
              <w:rPr>
                <w:b w:val="0"/>
                <w:bCs/>
              </w:rPr>
            </w:pPr>
            <w:r w:rsidRPr="00A2511C">
              <w:rPr>
                <w:rFonts w:hint="eastAsia"/>
                <w:b w:val="0"/>
                <w:bCs/>
              </w:rPr>
              <w:t>楼层号</w:t>
            </w:r>
          </w:p>
        </w:tc>
        <w:tc>
          <w:tcPr>
            <w:tcW w:w="1452" w:type="dxa"/>
            <w:shd w:val="clear" w:color="auto" w:fill="auto"/>
            <w:vAlign w:val="center"/>
          </w:tcPr>
          <w:p w14:paraId="6767ABDA" w14:textId="77777777" w:rsidR="00913C78" w:rsidRPr="00A2511C" w:rsidRDefault="00913C78" w:rsidP="00E578F4">
            <w:pPr>
              <w:pStyle w:val="ae"/>
              <w:rPr>
                <w:b w:val="0"/>
                <w:bCs/>
              </w:rPr>
            </w:pPr>
            <w:r w:rsidRPr="00A2511C">
              <w:rPr>
                <w:rFonts w:hint="eastAsia"/>
                <w:b w:val="0"/>
                <w:bCs/>
              </w:rPr>
              <w:t>混凝土强度等级</w:t>
            </w:r>
          </w:p>
        </w:tc>
        <w:tc>
          <w:tcPr>
            <w:tcW w:w="980" w:type="dxa"/>
            <w:shd w:val="clear" w:color="auto" w:fill="auto"/>
            <w:vAlign w:val="center"/>
          </w:tcPr>
          <w:p w14:paraId="0F38B4E6" w14:textId="77777777" w:rsidR="00913C78" w:rsidRPr="00A2511C" w:rsidRDefault="00913C78" w:rsidP="00E578F4">
            <w:pPr>
              <w:pStyle w:val="ae"/>
              <w:rPr>
                <w:b w:val="0"/>
                <w:bCs/>
              </w:rPr>
            </w:pPr>
            <w:r w:rsidRPr="00A2511C">
              <w:rPr>
                <w:rFonts w:hint="eastAsia"/>
                <w:b w:val="0"/>
                <w:bCs/>
              </w:rPr>
              <w:t>用量</w:t>
            </w:r>
            <w:r w:rsidRPr="00A2511C">
              <w:rPr>
                <w:rFonts w:hint="eastAsia"/>
                <w:b w:val="0"/>
                <w:bCs/>
              </w:rPr>
              <w:t>/</w:t>
            </w:r>
            <w:r w:rsidRPr="00A2511C">
              <w:rPr>
                <w:b w:val="0"/>
                <w:bCs/>
              </w:rPr>
              <w:t>m</w:t>
            </w:r>
            <w:r w:rsidRPr="00F83296">
              <w:rPr>
                <w:b w:val="0"/>
                <w:bCs/>
                <w:vertAlign w:val="superscript"/>
              </w:rPr>
              <w:t>3</w:t>
            </w:r>
          </w:p>
        </w:tc>
        <w:tc>
          <w:tcPr>
            <w:tcW w:w="2060" w:type="dxa"/>
            <w:shd w:val="clear" w:color="auto" w:fill="auto"/>
            <w:vAlign w:val="center"/>
          </w:tcPr>
          <w:p w14:paraId="0D8081D9" w14:textId="77777777" w:rsidR="00913C78" w:rsidRPr="00A2511C" w:rsidRDefault="00913C78" w:rsidP="00E578F4">
            <w:pPr>
              <w:pStyle w:val="ae"/>
              <w:rPr>
                <w:b w:val="0"/>
                <w:bCs/>
              </w:rPr>
            </w:pPr>
            <w:r w:rsidRPr="00A2511C">
              <w:rPr>
                <w:rFonts w:hint="eastAsia"/>
                <w:b w:val="0"/>
                <w:bCs/>
              </w:rPr>
              <w:t>使用部位（梁、柱、板、墙）</w:t>
            </w:r>
          </w:p>
        </w:tc>
        <w:tc>
          <w:tcPr>
            <w:tcW w:w="1230" w:type="dxa"/>
            <w:shd w:val="clear" w:color="auto" w:fill="auto"/>
            <w:vAlign w:val="center"/>
          </w:tcPr>
          <w:p w14:paraId="16020E58" w14:textId="77777777" w:rsidR="00913C78" w:rsidRPr="00A2511C" w:rsidRDefault="00913C78" w:rsidP="00E578F4">
            <w:pPr>
              <w:pStyle w:val="ae"/>
              <w:rPr>
                <w:b w:val="0"/>
                <w:bCs/>
              </w:rPr>
            </w:pPr>
            <w:r w:rsidRPr="00A2511C">
              <w:rPr>
                <w:rFonts w:hint="eastAsia"/>
                <w:b w:val="0"/>
                <w:bCs/>
              </w:rPr>
              <w:t>用</w:t>
            </w:r>
            <w:r w:rsidRPr="00A2511C">
              <w:rPr>
                <w:b w:val="0"/>
                <w:bCs/>
              </w:rPr>
              <w:t>量</w:t>
            </w:r>
            <w:r w:rsidRPr="00A2511C">
              <w:rPr>
                <w:rFonts w:hint="eastAsia"/>
                <w:b w:val="0"/>
                <w:bCs/>
              </w:rPr>
              <w:t>/</w:t>
            </w:r>
            <w:r w:rsidRPr="00A2511C">
              <w:rPr>
                <w:b w:val="0"/>
                <w:bCs/>
              </w:rPr>
              <w:t>m3</w:t>
            </w:r>
          </w:p>
        </w:tc>
      </w:tr>
      <w:tr w:rsidR="00913C78" w:rsidRPr="00A2511C" w14:paraId="2DA50F52" w14:textId="77777777" w:rsidTr="00A2511C">
        <w:trPr>
          <w:jc w:val="center"/>
        </w:trPr>
        <w:tc>
          <w:tcPr>
            <w:tcW w:w="766" w:type="dxa"/>
            <w:shd w:val="clear" w:color="auto" w:fill="auto"/>
            <w:vAlign w:val="center"/>
          </w:tcPr>
          <w:p w14:paraId="088F2313" w14:textId="77777777" w:rsidR="00913C78" w:rsidRPr="00A2511C" w:rsidRDefault="00913C78" w:rsidP="00E578F4">
            <w:pPr>
              <w:pStyle w:val="ae"/>
              <w:rPr>
                <w:b w:val="0"/>
                <w:bCs/>
              </w:rPr>
            </w:pPr>
            <w:r w:rsidRPr="00A2511C">
              <w:rPr>
                <w:b w:val="0"/>
                <w:bCs/>
              </w:rPr>
              <w:t>1</w:t>
            </w:r>
          </w:p>
        </w:tc>
        <w:tc>
          <w:tcPr>
            <w:tcW w:w="887" w:type="dxa"/>
            <w:shd w:val="clear" w:color="auto" w:fill="auto"/>
            <w:vAlign w:val="center"/>
          </w:tcPr>
          <w:p w14:paraId="76413B48" w14:textId="77777777" w:rsidR="00913C78" w:rsidRPr="00A2511C" w:rsidRDefault="00913C78" w:rsidP="00E578F4">
            <w:pPr>
              <w:pStyle w:val="ae"/>
              <w:rPr>
                <w:b w:val="0"/>
                <w:bCs/>
              </w:rPr>
            </w:pPr>
          </w:p>
        </w:tc>
        <w:tc>
          <w:tcPr>
            <w:tcW w:w="1452" w:type="dxa"/>
            <w:shd w:val="clear" w:color="auto" w:fill="auto"/>
            <w:vAlign w:val="center"/>
          </w:tcPr>
          <w:p w14:paraId="3F8C3FE1" w14:textId="77777777" w:rsidR="00913C78" w:rsidRPr="00A2511C" w:rsidRDefault="00913C78" w:rsidP="00E578F4">
            <w:pPr>
              <w:pStyle w:val="ae"/>
              <w:rPr>
                <w:b w:val="0"/>
                <w:bCs/>
              </w:rPr>
            </w:pPr>
            <w:r w:rsidRPr="00A2511C">
              <w:rPr>
                <w:rFonts w:hint="eastAsia"/>
                <w:b w:val="0"/>
                <w:bCs/>
              </w:rPr>
              <w:t>C15</w:t>
            </w:r>
          </w:p>
        </w:tc>
        <w:tc>
          <w:tcPr>
            <w:tcW w:w="980" w:type="dxa"/>
            <w:shd w:val="clear" w:color="auto" w:fill="auto"/>
            <w:vAlign w:val="center"/>
          </w:tcPr>
          <w:p w14:paraId="027B64FF" w14:textId="77777777" w:rsidR="00913C78" w:rsidRPr="00A2511C" w:rsidRDefault="00913C78" w:rsidP="00E578F4">
            <w:pPr>
              <w:pStyle w:val="ae"/>
              <w:rPr>
                <w:b w:val="0"/>
                <w:bCs/>
              </w:rPr>
            </w:pPr>
          </w:p>
        </w:tc>
        <w:tc>
          <w:tcPr>
            <w:tcW w:w="2060" w:type="dxa"/>
            <w:shd w:val="clear" w:color="auto" w:fill="auto"/>
            <w:vAlign w:val="center"/>
          </w:tcPr>
          <w:p w14:paraId="52DE3E56" w14:textId="77777777" w:rsidR="00913C78" w:rsidRPr="00A2511C" w:rsidRDefault="00913C78" w:rsidP="00E578F4">
            <w:pPr>
              <w:pStyle w:val="ae"/>
              <w:rPr>
                <w:b w:val="0"/>
                <w:bCs/>
              </w:rPr>
            </w:pPr>
          </w:p>
        </w:tc>
        <w:tc>
          <w:tcPr>
            <w:tcW w:w="1230" w:type="dxa"/>
            <w:shd w:val="clear" w:color="auto" w:fill="auto"/>
            <w:vAlign w:val="center"/>
          </w:tcPr>
          <w:p w14:paraId="330A4FD3" w14:textId="77777777" w:rsidR="00913C78" w:rsidRPr="00A2511C" w:rsidRDefault="00913C78" w:rsidP="00E578F4">
            <w:pPr>
              <w:pStyle w:val="ae"/>
              <w:rPr>
                <w:b w:val="0"/>
                <w:bCs/>
              </w:rPr>
            </w:pPr>
          </w:p>
        </w:tc>
      </w:tr>
      <w:tr w:rsidR="00913C78" w:rsidRPr="00A2511C" w14:paraId="3EE2A5A8" w14:textId="77777777" w:rsidTr="00A2511C">
        <w:trPr>
          <w:jc w:val="center"/>
        </w:trPr>
        <w:tc>
          <w:tcPr>
            <w:tcW w:w="766" w:type="dxa"/>
            <w:shd w:val="clear" w:color="auto" w:fill="auto"/>
            <w:vAlign w:val="center"/>
          </w:tcPr>
          <w:p w14:paraId="30498313" w14:textId="77777777" w:rsidR="00913C78" w:rsidRPr="00A2511C" w:rsidRDefault="00913C78" w:rsidP="00E578F4">
            <w:pPr>
              <w:pStyle w:val="ae"/>
              <w:rPr>
                <w:b w:val="0"/>
                <w:bCs/>
              </w:rPr>
            </w:pPr>
            <w:r w:rsidRPr="00A2511C">
              <w:rPr>
                <w:rFonts w:hint="eastAsia"/>
                <w:b w:val="0"/>
                <w:bCs/>
              </w:rPr>
              <w:lastRenderedPageBreak/>
              <w:t>2</w:t>
            </w:r>
          </w:p>
        </w:tc>
        <w:tc>
          <w:tcPr>
            <w:tcW w:w="887" w:type="dxa"/>
            <w:shd w:val="clear" w:color="auto" w:fill="auto"/>
            <w:vAlign w:val="center"/>
          </w:tcPr>
          <w:p w14:paraId="0F3631EB" w14:textId="77777777" w:rsidR="00913C78" w:rsidRPr="00A2511C" w:rsidRDefault="00913C78" w:rsidP="00E578F4">
            <w:pPr>
              <w:pStyle w:val="ae"/>
              <w:rPr>
                <w:b w:val="0"/>
                <w:bCs/>
              </w:rPr>
            </w:pPr>
          </w:p>
        </w:tc>
        <w:tc>
          <w:tcPr>
            <w:tcW w:w="1452" w:type="dxa"/>
            <w:shd w:val="clear" w:color="auto" w:fill="auto"/>
            <w:vAlign w:val="center"/>
          </w:tcPr>
          <w:p w14:paraId="2D25B8D3" w14:textId="77777777" w:rsidR="00913C78" w:rsidRPr="00A2511C" w:rsidRDefault="00913C78" w:rsidP="00E578F4">
            <w:pPr>
              <w:pStyle w:val="ae"/>
              <w:rPr>
                <w:b w:val="0"/>
                <w:bCs/>
              </w:rPr>
            </w:pPr>
            <w:r w:rsidRPr="00A2511C">
              <w:rPr>
                <w:rFonts w:hint="eastAsia"/>
                <w:b w:val="0"/>
                <w:bCs/>
              </w:rPr>
              <w:t>C20</w:t>
            </w:r>
          </w:p>
        </w:tc>
        <w:tc>
          <w:tcPr>
            <w:tcW w:w="980" w:type="dxa"/>
            <w:shd w:val="clear" w:color="auto" w:fill="auto"/>
            <w:vAlign w:val="center"/>
          </w:tcPr>
          <w:p w14:paraId="1B302FD3" w14:textId="77777777" w:rsidR="00913C78" w:rsidRPr="00A2511C" w:rsidRDefault="00913C78" w:rsidP="00E578F4">
            <w:pPr>
              <w:pStyle w:val="ae"/>
              <w:rPr>
                <w:b w:val="0"/>
                <w:bCs/>
              </w:rPr>
            </w:pPr>
          </w:p>
        </w:tc>
        <w:tc>
          <w:tcPr>
            <w:tcW w:w="2060" w:type="dxa"/>
            <w:shd w:val="clear" w:color="auto" w:fill="auto"/>
            <w:vAlign w:val="center"/>
          </w:tcPr>
          <w:p w14:paraId="22A77BD5" w14:textId="77777777" w:rsidR="00913C78" w:rsidRPr="00A2511C" w:rsidRDefault="00913C78" w:rsidP="00E578F4">
            <w:pPr>
              <w:pStyle w:val="ae"/>
              <w:rPr>
                <w:b w:val="0"/>
                <w:bCs/>
              </w:rPr>
            </w:pPr>
          </w:p>
        </w:tc>
        <w:tc>
          <w:tcPr>
            <w:tcW w:w="1230" w:type="dxa"/>
            <w:shd w:val="clear" w:color="auto" w:fill="auto"/>
            <w:vAlign w:val="center"/>
          </w:tcPr>
          <w:p w14:paraId="0E466D7A" w14:textId="77777777" w:rsidR="00913C78" w:rsidRPr="00A2511C" w:rsidRDefault="00913C78" w:rsidP="00E578F4">
            <w:pPr>
              <w:pStyle w:val="ae"/>
              <w:rPr>
                <w:b w:val="0"/>
                <w:bCs/>
              </w:rPr>
            </w:pPr>
          </w:p>
        </w:tc>
      </w:tr>
      <w:tr w:rsidR="00913C78" w:rsidRPr="00A2511C" w14:paraId="793851D6" w14:textId="77777777" w:rsidTr="00A2511C">
        <w:trPr>
          <w:jc w:val="center"/>
        </w:trPr>
        <w:tc>
          <w:tcPr>
            <w:tcW w:w="766" w:type="dxa"/>
            <w:shd w:val="clear" w:color="auto" w:fill="auto"/>
            <w:vAlign w:val="center"/>
          </w:tcPr>
          <w:p w14:paraId="17F9EAB0" w14:textId="77777777" w:rsidR="00913C78" w:rsidRPr="00A2511C" w:rsidRDefault="00913C78" w:rsidP="00E578F4">
            <w:pPr>
              <w:pStyle w:val="ae"/>
              <w:rPr>
                <w:b w:val="0"/>
                <w:bCs/>
              </w:rPr>
            </w:pPr>
            <w:r w:rsidRPr="00A2511C">
              <w:rPr>
                <w:rFonts w:hint="eastAsia"/>
                <w:b w:val="0"/>
                <w:bCs/>
              </w:rPr>
              <w:t>3</w:t>
            </w:r>
          </w:p>
        </w:tc>
        <w:tc>
          <w:tcPr>
            <w:tcW w:w="887" w:type="dxa"/>
            <w:shd w:val="clear" w:color="auto" w:fill="auto"/>
            <w:vAlign w:val="center"/>
          </w:tcPr>
          <w:p w14:paraId="69AD0E71" w14:textId="77777777" w:rsidR="00913C78" w:rsidRPr="00A2511C" w:rsidRDefault="00913C78" w:rsidP="00E578F4">
            <w:pPr>
              <w:pStyle w:val="ae"/>
              <w:rPr>
                <w:b w:val="0"/>
                <w:bCs/>
              </w:rPr>
            </w:pPr>
          </w:p>
        </w:tc>
        <w:tc>
          <w:tcPr>
            <w:tcW w:w="1452" w:type="dxa"/>
            <w:shd w:val="clear" w:color="auto" w:fill="auto"/>
            <w:vAlign w:val="center"/>
          </w:tcPr>
          <w:p w14:paraId="2F100135" w14:textId="77777777" w:rsidR="00913C78" w:rsidRPr="00A2511C" w:rsidRDefault="00913C78" w:rsidP="00E578F4">
            <w:pPr>
              <w:pStyle w:val="ae"/>
              <w:rPr>
                <w:b w:val="0"/>
                <w:bCs/>
              </w:rPr>
            </w:pPr>
            <w:r w:rsidRPr="00A2511C">
              <w:rPr>
                <w:rFonts w:hint="eastAsia"/>
                <w:b w:val="0"/>
                <w:bCs/>
              </w:rPr>
              <w:t>C25</w:t>
            </w:r>
          </w:p>
        </w:tc>
        <w:tc>
          <w:tcPr>
            <w:tcW w:w="980" w:type="dxa"/>
            <w:shd w:val="clear" w:color="auto" w:fill="auto"/>
            <w:vAlign w:val="center"/>
          </w:tcPr>
          <w:p w14:paraId="140B2746" w14:textId="77777777" w:rsidR="00913C78" w:rsidRPr="00A2511C" w:rsidRDefault="00913C78" w:rsidP="00E578F4">
            <w:pPr>
              <w:pStyle w:val="ae"/>
              <w:rPr>
                <w:b w:val="0"/>
                <w:bCs/>
              </w:rPr>
            </w:pPr>
          </w:p>
        </w:tc>
        <w:tc>
          <w:tcPr>
            <w:tcW w:w="2060" w:type="dxa"/>
            <w:shd w:val="clear" w:color="auto" w:fill="auto"/>
            <w:vAlign w:val="center"/>
          </w:tcPr>
          <w:p w14:paraId="0AEE53D1" w14:textId="77777777" w:rsidR="00913C78" w:rsidRPr="00A2511C" w:rsidRDefault="00913C78" w:rsidP="00E578F4">
            <w:pPr>
              <w:pStyle w:val="ae"/>
              <w:rPr>
                <w:b w:val="0"/>
                <w:bCs/>
              </w:rPr>
            </w:pPr>
          </w:p>
        </w:tc>
        <w:tc>
          <w:tcPr>
            <w:tcW w:w="1230" w:type="dxa"/>
            <w:shd w:val="clear" w:color="auto" w:fill="auto"/>
            <w:vAlign w:val="center"/>
          </w:tcPr>
          <w:p w14:paraId="741232EB" w14:textId="77777777" w:rsidR="00913C78" w:rsidRPr="00A2511C" w:rsidRDefault="00913C78" w:rsidP="00E578F4">
            <w:pPr>
              <w:pStyle w:val="ae"/>
              <w:rPr>
                <w:b w:val="0"/>
                <w:bCs/>
              </w:rPr>
            </w:pPr>
          </w:p>
        </w:tc>
      </w:tr>
      <w:tr w:rsidR="00913C78" w:rsidRPr="00A2511C" w14:paraId="2F67A3B3" w14:textId="77777777" w:rsidTr="00A2511C">
        <w:trPr>
          <w:jc w:val="center"/>
        </w:trPr>
        <w:tc>
          <w:tcPr>
            <w:tcW w:w="766" w:type="dxa"/>
            <w:shd w:val="clear" w:color="auto" w:fill="auto"/>
            <w:vAlign w:val="center"/>
          </w:tcPr>
          <w:p w14:paraId="00A87150" w14:textId="77777777" w:rsidR="00913C78" w:rsidRPr="00A2511C" w:rsidRDefault="00913C78" w:rsidP="00E578F4">
            <w:pPr>
              <w:pStyle w:val="ae"/>
              <w:rPr>
                <w:b w:val="0"/>
                <w:bCs/>
              </w:rPr>
            </w:pPr>
            <w:r w:rsidRPr="00A2511C">
              <w:rPr>
                <w:rFonts w:hint="eastAsia"/>
                <w:b w:val="0"/>
                <w:bCs/>
              </w:rPr>
              <w:t>4</w:t>
            </w:r>
          </w:p>
        </w:tc>
        <w:tc>
          <w:tcPr>
            <w:tcW w:w="887" w:type="dxa"/>
            <w:shd w:val="clear" w:color="auto" w:fill="auto"/>
            <w:vAlign w:val="center"/>
          </w:tcPr>
          <w:p w14:paraId="590FB332" w14:textId="77777777" w:rsidR="00913C78" w:rsidRPr="00A2511C" w:rsidRDefault="00913C78" w:rsidP="00E578F4">
            <w:pPr>
              <w:pStyle w:val="ae"/>
              <w:rPr>
                <w:b w:val="0"/>
                <w:bCs/>
              </w:rPr>
            </w:pPr>
          </w:p>
        </w:tc>
        <w:tc>
          <w:tcPr>
            <w:tcW w:w="1452" w:type="dxa"/>
            <w:shd w:val="clear" w:color="auto" w:fill="auto"/>
            <w:vAlign w:val="center"/>
          </w:tcPr>
          <w:p w14:paraId="4A5A7AA7" w14:textId="77777777" w:rsidR="00913C78" w:rsidRPr="00A2511C" w:rsidRDefault="00913C78" w:rsidP="00E578F4">
            <w:pPr>
              <w:pStyle w:val="ae"/>
              <w:rPr>
                <w:b w:val="0"/>
                <w:bCs/>
              </w:rPr>
            </w:pPr>
            <w:r w:rsidRPr="00A2511C">
              <w:rPr>
                <w:rFonts w:hint="eastAsia"/>
                <w:b w:val="0"/>
                <w:bCs/>
              </w:rPr>
              <w:t>C30</w:t>
            </w:r>
          </w:p>
        </w:tc>
        <w:tc>
          <w:tcPr>
            <w:tcW w:w="980" w:type="dxa"/>
            <w:shd w:val="clear" w:color="auto" w:fill="auto"/>
            <w:vAlign w:val="center"/>
          </w:tcPr>
          <w:p w14:paraId="0C2036C8" w14:textId="77777777" w:rsidR="00913C78" w:rsidRPr="00A2511C" w:rsidRDefault="00913C78" w:rsidP="00E578F4">
            <w:pPr>
              <w:pStyle w:val="ae"/>
              <w:rPr>
                <w:b w:val="0"/>
                <w:bCs/>
              </w:rPr>
            </w:pPr>
          </w:p>
        </w:tc>
        <w:tc>
          <w:tcPr>
            <w:tcW w:w="2060" w:type="dxa"/>
            <w:shd w:val="clear" w:color="auto" w:fill="auto"/>
            <w:vAlign w:val="center"/>
          </w:tcPr>
          <w:p w14:paraId="4AE24F87" w14:textId="77777777" w:rsidR="00913C78" w:rsidRPr="00A2511C" w:rsidRDefault="00913C78" w:rsidP="00E578F4">
            <w:pPr>
              <w:pStyle w:val="ae"/>
              <w:rPr>
                <w:b w:val="0"/>
                <w:bCs/>
              </w:rPr>
            </w:pPr>
          </w:p>
        </w:tc>
        <w:tc>
          <w:tcPr>
            <w:tcW w:w="1230" w:type="dxa"/>
            <w:shd w:val="clear" w:color="auto" w:fill="auto"/>
            <w:vAlign w:val="center"/>
          </w:tcPr>
          <w:p w14:paraId="6711C2B6" w14:textId="77777777" w:rsidR="00913C78" w:rsidRPr="00A2511C" w:rsidRDefault="00913C78" w:rsidP="00E578F4">
            <w:pPr>
              <w:pStyle w:val="ae"/>
              <w:rPr>
                <w:b w:val="0"/>
                <w:bCs/>
              </w:rPr>
            </w:pPr>
          </w:p>
        </w:tc>
      </w:tr>
      <w:tr w:rsidR="00A2511C" w:rsidRPr="00E578F4" w14:paraId="23676D83" w14:textId="77777777" w:rsidTr="00A2511C">
        <w:trPr>
          <w:jc w:val="center"/>
        </w:trPr>
        <w:tc>
          <w:tcPr>
            <w:tcW w:w="766" w:type="dxa"/>
            <w:shd w:val="clear" w:color="auto" w:fill="auto"/>
            <w:vAlign w:val="center"/>
          </w:tcPr>
          <w:p w14:paraId="28A335D2" w14:textId="77777777" w:rsidR="00A2511C" w:rsidRPr="00E578F4" w:rsidRDefault="00A2511C" w:rsidP="00407515">
            <w:pPr>
              <w:pStyle w:val="ae"/>
              <w:rPr>
                <w:b w:val="0"/>
                <w:bCs/>
              </w:rPr>
            </w:pPr>
            <w:r w:rsidRPr="00E578F4">
              <w:rPr>
                <w:rFonts w:hint="eastAsia"/>
                <w:b w:val="0"/>
                <w:bCs/>
              </w:rPr>
              <w:t>5</w:t>
            </w:r>
          </w:p>
        </w:tc>
        <w:tc>
          <w:tcPr>
            <w:tcW w:w="887" w:type="dxa"/>
            <w:shd w:val="clear" w:color="auto" w:fill="auto"/>
            <w:vAlign w:val="center"/>
          </w:tcPr>
          <w:p w14:paraId="185493E1" w14:textId="77777777" w:rsidR="00A2511C" w:rsidRPr="00E578F4" w:rsidRDefault="00A2511C" w:rsidP="00407515">
            <w:pPr>
              <w:pStyle w:val="ae"/>
              <w:rPr>
                <w:b w:val="0"/>
                <w:bCs/>
              </w:rPr>
            </w:pPr>
          </w:p>
        </w:tc>
        <w:tc>
          <w:tcPr>
            <w:tcW w:w="1452" w:type="dxa"/>
            <w:shd w:val="clear" w:color="auto" w:fill="auto"/>
            <w:vAlign w:val="center"/>
          </w:tcPr>
          <w:p w14:paraId="7FB9E95D" w14:textId="77777777" w:rsidR="00A2511C" w:rsidRPr="00E578F4" w:rsidRDefault="00A2511C" w:rsidP="00407515">
            <w:pPr>
              <w:pStyle w:val="ae"/>
              <w:rPr>
                <w:b w:val="0"/>
                <w:bCs/>
              </w:rPr>
            </w:pPr>
            <w:r w:rsidRPr="00E578F4">
              <w:rPr>
                <w:rFonts w:hint="eastAsia"/>
                <w:b w:val="0"/>
                <w:bCs/>
              </w:rPr>
              <w:t>C35</w:t>
            </w:r>
          </w:p>
        </w:tc>
        <w:tc>
          <w:tcPr>
            <w:tcW w:w="980" w:type="dxa"/>
            <w:shd w:val="clear" w:color="auto" w:fill="auto"/>
            <w:vAlign w:val="center"/>
          </w:tcPr>
          <w:p w14:paraId="1A3A91B1" w14:textId="77777777" w:rsidR="00A2511C" w:rsidRPr="00E578F4" w:rsidRDefault="00A2511C" w:rsidP="00407515">
            <w:pPr>
              <w:pStyle w:val="ae"/>
              <w:rPr>
                <w:b w:val="0"/>
                <w:bCs/>
              </w:rPr>
            </w:pPr>
          </w:p>
        </w:tc>
        <w:tc>
          <w:tcPr>
            <w:tcW w:w="2060" w:type="dxa"/>
            <w:shd w:val="clear" w:color="auto" w:fill="auto"/>
            <w:vAlign w:val="center"/>
          </w:tcPr>
          <w:p w14:paraId="53F40559" w14:textId="77777777" w:rsidR="00A2511C" w:rsidRPr="00E578F4" w:rsidRDefault="00A2511C" w:rsidP="00407515">
            <w:pPr>
              <w:pStyle w:val="ae"/>
              <w:rPr>
                <w:b w:val="0"/>
                <w:bCs/>
              </w:rPr>
            </w:pPr>
          </w:p>
        </w:tc>
        <w:tc>
          <w:tcPr>
            <w:tcW w:w="1230" w:type="dxa"/>
            <w:shd w:val="clear" w:color="auto" w:fill="auto"/>
            <w:vAlign w:val="center"/>
          </w:tcPr>
          <w:p w14:paraId="537DFD33" w14:textId="77777777" w:rsidR="00A2511C" w:rsidRPr="00E578F4" w:rsidRDefault="00A2511C" w:rsidP="00407515">
            <w:pPr>
              <w:pStyle w:val="ae"/>
              <w:rPr>
                <w:b w:val="0"/>
                <w:bCs/>
              </w:rPr>
            </w:pPr>
          </w:p>
        </w:tc>
      </w:tr>
      <w:tr w:rsidR="00A2511C" w:rsidRPr="00E578F4" w14:paraId="609D77B3" w14:textId="77777777" w:rsidTr="00A2511C">
        <w:trPr>
          <w:jc w:val="center"/>
        </w:trPr>
        <w:tc>
          <w:tcPr>
            <w:tcW w:w="766" w:type="dxa"/>
            <w:shd w:val="clear" w:color="auto" w:fill="auto"/>
            <w:vAlign w:val="center"/>
          </w:tcPr>
          <w:p w14:paraId="51E10837" w14:textId="77777777" w:rsidR="00A2511C" w:rsidRPr="00E578F4" w:rsidRDefault="00A2511C" w:rsidP="00407515">
            <w:pPr>
              <w:pStyle w:val="ae"/>
              <w:rPr>
                <w:b w:val="0"/>
                <w:bCs/>
              </w:rPr>
            </w:pPr>
            <w:r w:rsidRPr="00E578F4">
              <w:rPr>
                <w:rFonts w:hint="eastAsia"/>
                <w:b w:val="0"/>
                <w:bCs/>
              </w:rPr>
              <w:t>6</w:t>
            </w:r>
          </w:p>
        </w:tc>
        <w:tc>
          <w:tcPr>
            <w:tcW w:w="887" w:type="dxa"/>
            <w:shd w:val="clear" w:color="auto" w:fill="auto"/>
            <w:vAlign w:val="center"/>
          </w:tcPr>
          <w:p w14:paraId="410506B7" w14:textId="77777777" w:rsidR="00A2511C" w:rsidRPr="00E578F4" w:rsidRDefault="00A2511C" w:rsidP="00407515">
            <w:pPr>
              <w:pStyle w:val="ae"/>
              <w:rPr>
                <w:b w:val="0"/>
                <w:bCs/>
              </w:rPr>
            </w:pPr>
          </w:p>
        </w:tc>
        <w:tc>
          <w:tcPr>
            <w:tcW w:w="1452" w:type="dxa"/>
            <w:shd w:val="clear" w:color="auto" w:fill="auto"/>
            <w:vAlign w:val="center"/>
          </w:tcPr>
          <w:p w14:paraId="78DF610F" w14:textId="77777777" w:rsidR="00A2511C" w:rsidRPr="00E578F4" w:rsidRDefault="00A2511C" w:rsidP="00407515">
            <w:pPr>
              <w:pStyle w:val="ae"/>
              <w:rPr>
                <w:b w:val="0"/>
                <w:bCs/>
              </w:rPr>
            </w:pPr>
            <w:r w:rsidRPr="00E578F4">
              <w:rPr>
                <w:rFonts w:hint="eastAsia"/>
                <w:b w:val="0"/>
                <w:bCs/>
              </w:rPr>
              <w:t>C40</w:t>
            </w:r>
          </w:p>
        </w:tc>
        <w:tc>
          <w:tcPr>
            <w:tcW w:w="980" w:type="dxa"/>
            <w:shd w:val="clear" w:color="auto" w:fill="auto"/>
            <w:vAlign w:val="center"/>
          </w:tcPr>
          <w:p w14:paraId="2C9B80B3" w14:textId="77777777" w:rsidR="00A2511C" w:rsidRPr="00E578F4" w:rsidRDefault="00A2511C" w:rsidP="00407515">
            <w:pPr>
              <w:pStyle w:val="ae"/>
              <w:rPr>
                <w:b w:val="0"/>
                <w:bCs/>
              </w:rPr>
            </w:pPr>
          </w:p>
        </w:tc>
        <w:tc>
          <w:tcPr>
            <w:tcW w:w="2060" w:type="dxa"/>
            <w:shd w:val="clear" w:color="auto" w:fill="auto"/>
            <w:vAlign w:val="center"/>
          </w:tcPr>
          <w:p w14:paraId="64A51D6E" w14:textId="77777777" w:rsidR="00A2511C" w:rsidRPr="00E578F4" w:rsidRDefault="00A2511C" w:rsidP="00407515">
            <w:pPr>
              <w:pStyle w:val="ae"/>
              <w:rPr>
                <w:b w:val="0"/>
                <w:bCs/>
              </w:rPr>
            </w:pPr>
          </w:p>
        </w:tc>
        <w:tc>
          <w:tcPr>
            <w:tcW w:w="1230" w:type="dxa"/>
            <w:shd w:val="clear" w:color="auto" w:fill="auto"/>
            <w:vAlign w:val="center"/>
          </w:tcPr>
          <w:p w14:paraId="2D66ECF6" w14:textId="77777777" w:rsidR="00A2511C" w:rsidRPr="00E578F4" w:rsidRDefault="00A2511C" w:rsidP="00407515">
            <w:pPr>
              <w:pStyle w:val="ae"/>
              <w:rPr>
                <w:b w:val="0"/>
                <w:bCs/>
              </w:rPr>
            </w:pPr>
          </w:p>
        </w:tc>
      </w:tr>
      <w:tr w:rsidR="00A2511C" w:rsidRPr="00E578F4" w14:paraId="7ADAED07" w14:textId="77777777" w:rsidTr="00A2511C">
        <w:trPr>
          <w:jc w:val="center"/>
        </w:trPr>
        <w:tc>
          <w:tcPr>
            <w:tcW w:w="766" w:type="dxa"/>
            <w:shd w:val="clear" w:color="auto" w:fill="auto"/>
            <w:vAlign w:val="center"/>
          </w:tcPr>
          <w:p w14:paraId="1406022B" w14:textId="77777777" w:rsidR="00A2511C" w:rsidRPr="00E578F4" w:rsidRDefault="00A2511C" w:rsidP="00407515">
            <w:pPr>
              <w:pStyle w:val="ae"/>
              <w:rPr>
                <w:b w:val="0"/>
                <w:bCs/>
              </w:rPr>
            </w:pPr>
            <w:r w:rsidRPr="00E578F4">
              <w:rPr>
                <w:rFonts w:hint="eastAsia"/>
                <w:b w:val="0"/>
                <w:bCs/>
              </w:rPr>
              <w:t>7</w:t>
            </w:r>
          </w:p>
        </w:tc>
        <w:tc>
          <w:tcPr>
            <w:tcW w:w="887" w:type="dxa"/>
            <w:shd w:val="clear" w:color="auto" w:fill="auto"/>
            <w:vAlign w:val="center"/>
          </w:tcPr>
          <w:p w14:paraId="458DF3ED" w14:textId="77777777" w:rsidR="00A2511C" w:rsidRPr="00E578F4" w:rsidRDefault="00A2511C" w:rsidP="00407515">
            <w:pPr>
              <w:pStyle w:val="ae"/>
              <w:rPr>
                <w:b w:val="0"/>
                <w:bCs/>
              </w:rPr>
            </w:pPr>
          </w:p>
        </w:tc>
        <w:tc>
          <w:tcPr>
            <w:tcW w:w="1452" w:type="dxa"/>
            <w:shd w:val="clear" w:color="auto" w:fill="auto"/>
            <w:vAlign w:val="center"/>
          </w:tcPr>
          <w:p w14:paraId="71D3AFCC" w14:textId="77777777" w:rsidR="00A2511C" w:rsidRPr="00E578F4" w:rsidRDefault="00A2511C" w:rsidP="00407515">
            <w:pPr>
              <w:pStyle w:val="ae"/>
              <w:rPr>
                <w:b w:val="0"/>
                <w:bCs/>
              </w:rPr>
            </w:pPr>
            <w:r w:rsidRPr="00E578F4">
              <w:rPr>
                <w:rFonts w:hint="eastAsia"/>
                <w:b w:val="0"/>
                <w:bCs/>
              </w:rPr>
              <w:t>C45</w:t>
            </w:r>
          </w:p>
        </w:tc>
        <w:tc>
          <w:tcPr>
            <w:tcW w:w="980" w:type="dxa"/>
            <w:shd w:val="clear" w:color="auto" w:fill="auto"/>
            <w:vAlign w:val="center"/>
          </w:tcPr>
          <w:p w14:paraId="610C2A1B" w14:textId="77777777" w:rsidR="00A2511C" w:rsidRPr="00E578F4" w:rsidRDefault="00A2511C" w:rsidP="00407515">
            <w:pPr>
              <w:pStyle w:val="ae"/>
              <w:rPr>
                <w:b w:val="0"/>
                <w:bCs/>
              </w:rPr>
            </w:pPr>
          </w:p>
        </w:tc>
        <w:tc>
          <w:tcPr>
            <w:tcW w:w="2060" w:type="dxa"/>
            <w:shd w:val="clear" w:color="auto" w:fill="auto"/>
            <w:vAlign w:val="center"/>
          </w:tcPr>
          <w:p w14:paraId="2AB83789" w14:textId="77777777" w:rsidR="00A2511C" w:rsidRPr="00E578F4" w:rsidRDefault="00A2511C" w:rsidP="00407515">
            <w:pPr>
              <w:pStyle w:val="ae"/>
              <w:rPr>
                <w:b w:val="0"/>
                <w:bCs/>
              </w:rPr>
            </w:pPr>
          </w:p>
        </w:tc>
        <w:tc>
          <w:tcPr>
            <w:tcW w:w="1230" w:type="dxa"/>
            <w:shd w:val="clear" w:color="auto" w:fill="auto"/>
            <w:vAlign w:val="center"/>
          </w:tcPr>
          <w:p w14:paraId="7837418E" w14:textId="77777777" w:rsidR="00A2511C" w:rsidRPr="00E578F4" w:rsidRDefault="00A2511C" w:rsidP="00407515">
            <w:pPr>
              <w:pStyle w:val="ae"/>
              <w:rPr>
                <w:b w:val="0"/>
                <w:bCs/>
              </w:rPr>
            </w:pPr>
          </w:p>
        </w:tc>
      </w:tr>
      <w:tr w:rsidR="00A2511C" w:rsidRPr="00E578F4" w14:paraId="3DB69894" w14:textId="77777777" w:rsidTr="00A2511C">
        <w:trPr>
          <w:jc w:val="center"/>
        </w:trPr>
        <w:tc>
          <w:tcPr>
            <w:tcW w:w="766" w:type="dxa"/>
            <w:shd w:val="clear" w:color="auto" w:fill="auto"/>
            <w:vAlign w:val="center"/>
          </w:tcPr>
          <w:p w14:paraId="3BC41CE8" w14:textId="77777777" w:rsidR="00A2511C" w:rsidRPr="00E578F4" w:rsidRDefault="00A2511C" w:rsidP="00407515">
            <w:pPr>
              <w:pStyle w:val="ae"/>
              <w:rPr>
                <w:b w:val="0"/>
                <w:bCs/>
              </w:rPr>
            </w:pPr>
            <w:r w:rsidRPr="00E578F4">
              <w:rPr>
                <w:rFonts w:hint="eastAsia"/>
                <w:b w:val="0"/>
                <w:bCs/>
              </w:rPr>
              <w:t>8</w:t>
            </w:r>
          </w:p>
        </w:tc>
        <w:tc>
          <w:tcPr>
            <w:tcW w:w="887" w:type="dxa"/>
            <w:shd w:val="clear" w:color="auto" w:fill="auto"/>
            <w:vAlign w:val="center"/>
          </w:tcPr>
          <w:p w14:paraId="6D95B164" w14:textId="77777777" w:rsidR="00A2511C" w:rsidRPr="00E578F4" w:rsidRDefault="00A2511C" w:rsidP="00407515">
            <w:pPr>
              <w:pStyle w:val="ae"/>
              <w:rPr>
                <w:b w:val="0"/>
                <w:bCs/>
              </w:rPr>
            </w:pPr>
          </w:p>
        </w:tc>
        <w:tc>
          <w:tcPr>
            <w:tcW w:w="1452" w:type="dxa"/>
            <w:shd w:val="clear" w:color="auto" w:fill="auto"/>
            <w:vAlign w:val="center"/>
          </w:tcPr>
          <w:p w14:paraId="22C3439D" w14:textId="77777777" w:rsidR="00A2511C" w:rsidRPr="00E578F4" w:rsidRDefault="00A2511C" w:rsidP="00407515">
            <w:pPr>
              <w:pStyle w:val="ae"/>
              <w:rPr>
                <w:b w:val="0"/>
                <w:bCs/>
              </w:rPr>
            </w:pPr>
            <w:r w:rsidRPr="00E578F4">
              <w:rPr>
                <w:rFonts w:hint="eastAsia"/>
                <w:b w:val="0"/>
                <w:bCs/>
              </w:rPr>
              <w:t>C50</w:t>
            </w:r>
          </w:p>
        </w:tc>
        <w:tc>
          <w:tcPr>
            <w:tcW w:w="980" w:type="dxa"/>
            <w:shd w:val="clear" w:color="auto" w:fill="auto"/>
            <w:vAlign w:val="center"/>
          </w:tcPr>
          <w:p w14:paraId="3805A24C" w14:textId="77777777" w:rsidR="00A2511C" w:rsidRPr="00E578F4" w:rsidRDefault="00A2511C" w:rsidP="00407515">
            <w:pPr>
              <w:pStyle w:val="ae"/>
              <w:rPr>
                <w:b w:val="0"/>
                <w:bCs/>
              </w:rPr>
            </w:pPr>
          </w:p>
        </w:tc>
        <w:tc>
          <w:tcPr>
            <w:tcW w:w="2060" w:type="dxa"/>
            <w:shd w:val="clear" w:color="auto" w:fill="auto"/>
            <w:vAlign w:val="center"/>
          </w:tcPr>
          <w:p w14:paraId="4B30034B" w14:textId="77777777" w:rsidR="00A2511C" w:rsidRPr="00E578F4" w:rsidRDefault="00A2511C" w:rsidP="00407515">
            <w:pPr>
              <w:pStyle w:val="ae"/>
              <w:rPr>
                <w:b w:val="0"/>
                <w:bCs/>
              </w:rPr>
            </w:pPr>
          </w:p>
        </w:tc>
        <w:tc>
          <w:tcPr>
            <w:tcW w:w="1230" w:type="dxa"/>
            <w:shd w:val="clear" w:color="auto" w:fill="auto"/>
            <w:vAlign w:val="center"/>
          </w:tcPr>
          <w:p w14:paraId="0BFB2B3E" w14:textId="77777777" w:rsidR="00A2511C" w:rsidRPr="00E578F4" w:rsidRDefault="00A2511C" w:rsidP="00407515">
            <w:pPr>
              <w:pStyle w:val="ae"/>
              <w:rPr>
                <w:b w:val="0"/>
                <w:bCs/>
              </w:rPr>
            </w:pPr>
          </w:p>
        </w:tc>
      </w:tr>
      <w:tr w:rsidR="00A2511C" w:rsidRPr="00E578F4" w14:paraId="77C133F1" w14:textId="77777777" w:rsidTr="00A2511C">
        <w:trPr>
          <w:jc w:val="center"/>
        </w:trPr>
        <w:tc>
          <w:tcPr>
            <w:tcW w:w="766" w:type="dxa"/>
            <w:shd w:val="clear" w:color="auto" w:fill="auto"/>
            <w:vAlign w:val="center"/>
          </w:tcPr>
          <w:p w14:paraId="2108424E" w14:textId="77777777" w:rsidR="00A2511C" w:rsidRPr="00E578F4" w:rsidRDefault="00A2511C" w:rsidP="00407515">
            <w:pPr>
              <w:pStyle w:val="ae"/>
              <w:rPr>
                <w:b w:val="0"/>
                <w:bCs/>
              </w:rPr>
            </w:pPr>
            <w:r w:rsidRPr="00E578F4">
              <w:rPr>
                <w:rFonts w:hint="eastAsia"/>
                <w:b w:val="0"/>
                <w:bCs/>
              </w:rPr>
              <w:t>9</w:t>
            </w:r>
          </w:p>
        </w:tc>
        <w:tc>
          <w:tcPr>
            <w:tcW w:w="887" w:type="dxa"/>
            <w:shd w:val="clear" w:color="auto" w:fill="auto"/>
            <w:vAlign w:val="center"/>
          </w:tcPr>
          <w:p w14:paraId="54E46A53" w14:textId="77777777" w:rsidR="00A2511C" w:rsidRPr="00E578F4" w:rsidRDefault="00A2511C" w:rsidP="00407515">
            <w:pPr>
              <w:pStyle w:val="ae"/>
              <w:rPr>
                <w:b w:val="0"/>
                <w:bCs/>
              </w:rPr>
            </w:pPr>
          </w:p>
        </w:tc>
        <w:tc>
          <w:tcPr>
            <w:tcW w:w="1452" w:type="dxa"/>
            <w:shd w:val="clear" w:color="auto" w:fill="auto"/>
            <w:vAlign w:val="center"/>
          </w:tcPr>
          <w:p w14:paraId="59CFD0A3" w14:textId="77777777" w:rsidR="00A2511C" w:rsidRPr="00E578F4" w:rsidRDefault="00A2511C" w:rsidP="00407515">
            <w:pPr>
              <w:pStyle w:val="ae"/>
              <w:rPr>
                <w:b w:val="0"/>
                <w:bCs/>
              </w:rPr>
            </w:pPr>
            <w:r w:rsidRPr="00E578F4">
              <w:rPr>
                <w:rFonts w:hint="eastAsia"/>
                <w:b w:val="0"/>
                <w:bCs/>
              </w:rPr>
              <w:t>C55</w:t>
            </w:r>
          </w:p>
        </w:tc>
        <w:tc>
          <w:tcPr>
            <w:tcW w:w="980" w:type="dxa"/>
            <w:shd w:val="clear" w:color="auto" w:fill="auto"/>
            <w:vAlign w:val="center"/>
          </w:tcPr>
          <w:p w14:paraId="1483D8EE" w14:textId="77777777" w:rsidR="00A2511C" w:rsidRPr="00E578F4" w:rsidRDefault="00A2511C" w:rsidP="00407515">
            <w:pPr>
              <w:pStyle w:val="ae"/>
              <w:rPr>
                <w:b w:val="0"/>
                <w:bCs/>
              </w:rPr>
            </w:pPr>
          </w:p>
        </w:tc>
        <w:tc>
          <w:tcPr>
            <w:tcW w:w="2060" w:type="dxa"/>
            <w:shd w:val="clear" w:color="auto" w:fill="auto"/>
            <w:vAlign w:val="center"/>
          </w:tcPr>
          <w:p w14:paraId="2125E287" w14:textId="77777777" w:rsidR="00A2511C" w:rsidRPr="00E578F4" w:rsidRDefault="00A2511C" w:rsidP="00407515">
            <w:pPr>
              <w:pStyle w:val="ae"/>
              <w:rPr>
                <w:b w:val="0"/>
                <w:bCs/>
              </w:rPr>
            </w:pPr>
          </w:p>
        </w:tc>
        <w:tc>
          <w:tcPr>
            <w:tcW w:w="1230" w:type="dxa"/>
            <w:shd w:val="clear" w:color="auto" w:fill="auto"/>
            <w:vAlign w:val="center"/>
          </w:tcPr>
          <w:p w14:paraId="45701422" w14:textId="77777777" w:rsidR="00A2511C" w:rsidRPr="00E578F4" w:rsidRDefault="00A2511C" w:rsidP="00407515">
            <w:pPr>
              <w:pStyle w:val="ae"/>
              <w:rPr>
                <w:b w:val="0"/>
                <w:bCs/>
              </w:rPr>
            </w:pPr>
          </w:p>
        </w:tc>
      </w:tr>
      <w:tr w:rsidR="00A2511C" w:rsidRPr="00E578F4" w14:paraId="78C51B22" w14:textId="77777777" w:rsidTr="00A2511C">
        <w:trPr>
          <w:jc w:val="center"/>
        </w:trPr>
        <w:tc>
          <w:tcPr>
            <w:tcW w:w="766" w:type="dxa"/>
            <w:shd w:val="clear" w:color="auto" w:fill="auto"/>
            <w:vAlign w:val="center"/>
          </w:tcPr>
          <w:p w14:paraId="49F28B5A" w14:textId="77777777" w:rsidR="00A2511C" w:rsidRPr="00E578F4" w:rsidRDefault="00A2511C" w:rsidP="00407515">
            <w:pPr>
              <w:pStyle w:val="ae"/>
              <w:rPr>
                <w:b w:val="0"/>
                <w:bCs/>
              </w:rPr>
            </w:pPr>
            <w:r w:rsidRPr="00E578F4">
              <w:rPr>
                <w:rFonts w:hint="eastAsia"/>
                <w:b w:val="0"/>
                <w:bCs/>
              </w:rPr>
              <w:t>10</w:t>
            </w:r>
          </w:p>
        </w:tc>
        <w:tc>
          <w:tcPr>
            <w:tcW w:w="887" w:type="dxa"/>
            <w:shd w:val="clear" w:color="auto" w:fill="auto"/>
            <w:vAlign w:val="center"/>
          </w:tcPr>
          <w:p w14:paraId="78D8DDA0" w14:textId="77777777" w:rsidR="00A2511C" w:rsidRPr="00E578F4" w:rsidRDefault="00A2511C" w:rsidP="00407515">
            <w:pPr>
              <w:pStyle w:val="ae"/>
              <w:rPr>
                <w:b w:val="0"/>
                <w:bCs/>
              </w:rPr>
            </w:pPr>
          </w:p>
        </w:tc>
        <w:tc>
          <w:tcPr>
            <w:tcW w:w="1452" w:type="dxa"/>
            <w:shd w:val="clear" w:color="auto" w:fill="auto"/>
            <w:vAlign w:val="center"/>
          </w:tcPr>
          <w:p w14:paraId="32BB2C7A" w14:textId="77777777" w:rsidR="00A2511C" w:rsidRPr="00E578F4" w:rsidRDefault="00A2511C" w:rsidP="00407515">
            <w:pPr>
              <w:pStyle w:val="ae"/>
              <w:rPr>
                <w:b w:val="0"/>
                <w:bCs/>
              </w:rPr>
            </w:pPr>
            <w:r w:rsidRPr="00E578F4">
              <w:rPr>
                <w:rFonts w:hint="eastAsia"/>
                <w:b w:val="0"/>
                <w:bCs/>
              </w:rPr>
              <w:t>C60</w:t>
            </w:r>
          </w:p>
        </w:tc>
        <w:tc>
          <w:tcPr>
            <w:tcW w:w="980" w:type="dxa"/>
            <w:shd w:val="clear" w:color="auto" w:fill="auto"/>
            <w:vAlign w:val="center"/>
          </w:tcPr>
          <w:p w14:paraId="51A606C8" w14:textId="77777777" w:rsidR="00A2511C" w:rsidRPr="00E578F4" w:rsidRDefault="00A2511C" w:rsidP="00407515">
            <w:pPr>
              <w:pStyle w:val="ae"/>
              <w:rPr>
                <w:b w:val="0"/>
                <w:bCs/>
              </w:rPr>
            </w:pPr>
          </w:p>
        </w:tc>
        <w:tc>
          <w:tcPr>
            <w:tcW w:w="2060" w:type="dxa"/>
            <w:shd w:val="clear" w:color="auto" w:fill="auto"/>
            <w:vAlign w:val="center"/>
          </w:tcPr>
          <w:p w14:paraId="695F04EA" w14:textId="77777777" w:rsidR="00A2511C" w:rsidRPr="00E578F4" w:rsidRDefault="00A2511C" w:rsidP="00407515">
            <w:pPr>
              <w:pStyle w:val="ae"/>
              <w:rPr>
                <w:b w:val="0"/>
                <w:bCs/>
              </w:rPr>
            </w:pPr>
          </w:p>
        </w:tc>
        <w:tc>
          <w:tcPr>
            <w:tcW w:w="1230" w:type="dxa"/>
            <w:shd w:val="clear" w:color="auto" w:fill="auto"/>
            <w:vAlign w:val="center"/>
          </w:tcPr>
          <w:p w14:paraId="7D4C722D" w14:textId="77777777" w:rsidR="00A2511C" w:rsidRPr="00E578F4" w:rsidRDefault="00A2511C" w:rsidP="00407515">
            <w:pPr>
              <w:pStyle w:val="ae"/>
              <w:rPr>
                <w:b w:val="0"/>
                <w:bCs/>
              </w:rPr>
            </w:pPr>
          </w:p>
        </w:tc>
      </w:tr>
      <w:tr w:rsidR="00A2511C" w:rsidRPr="00E578F4" w14:paraId="2FD6C789" w14:textId="77777777" w:rsidTr="00A2511C">
        <w:trPr>
          <w:jc w:val="center"/>
        </w:trPr>
        <w:tc>
          <w:tcPr>
            <w:tcW w:w="766" w:type="dxa"/>
            <w:shd w:val="clear" w:color="auto" w:fill="auto"/>
            <w:vAlign w:val="center"/>
          </w:tcPr>
          <w:p w14:paraId="3CAEF20B" w14:textId="77777777" w:rsidR="00A2511C" w:rsidRPr="00E578F4" w:rsidRDefault="00A2511C" w:rsidP="00407515">
            <w:pPr>
              <w:pStyle w:val="ae"/>
              <w:rPr>
                <w:b w:val="0"/>
                <w:bCs/>
              </w:rPr>
            </w:pPr>
            <w:r w:rsidRPr="00E578F4">
              <w:rPr>
                <w:rFonts w:hint="eastAsia"/>
                <w:b w:val="0"/>
                <w:bCs/>
              </w:rPr>
              <w:t>11</w:t>
            </w:r>
          </w:p>
        </w:tc>
        <w:tc>
          <w:tcPr>
            <w:tcW w:w="887" w:type="dxa"/>
            <w:shd w:val="clear" w:color="auto" w:fill="auto"/>
            <w:vAlign w:val="center"/>
          </w:tcPr>
          <w:p w14:paraId="1E88723B" w14:textId="77777777" w:rsidR="00A2511C" w:rsidRPr="00E578F4" w:rsidRDefault="00A2511C" w:rsidP="00407515">
            <w:pPr>
              <w:pStyle w:val="ae"/>
              <w:rPr>
                <w:b w:val="0"/>
                <w:bCs/>
              </w:rPr>
            </w:pPr>
          </w:p>
        </w:tc>
        <w:tc>
          <w:tcPr>
            <w:tcW w:w="1452" w:type="dxa"/>
            <w:shd w:val="clear" w:color="auto" w:fill="auto"/>
            <w:vAlign w:val="center"/>
          </w:tcPr>
          <w:p w14:paraId="7392F9ED" w14:textId="77777777" w:rsidR="00A2511C" w:rsidRPr="00E578F4" w:rsidRDefault="00A2511C" w:rsidP="00407515">
            <w:pPr>
              <w:pStyle w:val="ae"/>
              <w:rPr>
                <w:b w:val="0"/>
                <w:bCs/>
              </w:rPr>
            </w:pPr>
            <w:r w:rsidRPr="00E578F4">
              <w:rPr>
                <w:rFonts w:hint="eastAsia"/>
                <w:b w:val="0"/>
                <w:bCs/>
              </w:rPr>
              <w:t>C65</w:t>
            </w:r>
          </w:p>
        </w:tc>
        <w:tc>
          <w:tcPr>
            <w:tcW w:w="980" w:type="dxa"/>
            <w:shd w:val="clear" w:color="auto" w:fill="auto"/>
            <w:vAlign w:val="center"/>
          </w:tcPr>
          <w:p w14:paraId="688AF7A6" w14:textId="77777777" w:rsidR="00A2511C" w:rsidRPr="00E578F4" w:rsidRDefault="00A2511C" w:rsidP="00407515">
            <w:pPr>
              <w:pStyle w:val="ae"/>
              <w:rPr>
                <w:b w:val="0"/>
                <w:bCs/>
              </w:rPr>
            </w:pPr>
          </w:p>
        </w:tc>
        <w:tc>
          <w:tcPr>
            <w:tcW w:w="2060" w:type="dxa"/>
            <w:shd w:val="clear" w:color="auto" w:fill="auto"/>
            <w:vAlign w:val="center"/>
          </w:tcPr>
          <w:p w14:paraId="364B9391" w14:textId="77777777" w:rsidR="00A2511C" w:rsidRPr="00E578F4" w:rsidRDefault="00A2511C" w:rsidP="00407515">
            <w:pPr>
              <w:pStyle w:val="ae"/>
              <w:rPr>
                <w:b w:val="0"/>
                <w:bCs/>
              </w:rPr>
            </w:pPr>
          </w:p>
        </w:tc>
        <w:tc>
          <w:tcPr>
            <w:tcW w:w="1230" w:type="dxa"/>
            <w:shd w:val="clear" w:color="auto" w:fill="auto"/>
            <w:vAlign w:val="center"/>
          </w:tcPr>
          <w:p w14:paraId="0C68E99C" w14:textId="77777777" w:rsidR="00A2511C" w:rsidRPr="00E578F4" w:rsidRDefault="00A2511C" w:rsidP="00407515">
            <w:pPr>
              <w:pStyle w:val="ae"/>
              <w:rPr>
                <w:b w:val="0"/>
                <w:bCs/>
              </w:rPr>
            </w:pPr>
          </w:p>
        </w:tc>
      </w:tr>
      <w:tr w:rsidR="00A2511C" w:rsidRPr="00E578F4" w14:paraId="3CE2C531" w14:textId="77777777" w:rsidTr="00A2511C">
        <w:trPr>
          <w:jc w:val="center"/>
        </w:trPr>
        <w:tc>
          <w:tcPr>
            <w:tcW w:w="766" w:type="dxa"/>
            <w:shd w:val="clear" w:color="auto" w:fill="auto"/>
            <w:vAlign w:val="center"/>
          </w:tcPr>
          <w:p w14:paraId="5DB19FA5" w14:textId="77777777" w:rsidR="00A2511C" w:rsidRPr="00E578F4" w:rsidRDefault="00A2511C" w:rsidP="00407515">
            <w:pPr>
              <w:pStyle w:val="ae"/>
              <w:rPr>
                <w:b w:val="0"/>
                <w:bCs/>
              </w:rPr>
            </w:pPr>
            <w:r w:rsidRPr="00E578F4">
              <w:rPr>
                <w:rFonts w:hint="eastAsia"/>
                <w:b w:val="0"/>
                <w:bCs/>
              </w:rPr>
              <w:t>12</w:t>
            </w:r>
          </w:p>
        </w:tc>
        <w:tc>
          <w:tcPr>
            <w:tcW w:w="887" w:type="dxa"/>
            <w:shd w:val="clear" w:color="auto" w:fill="auto"/>
            <w:vAlign w:val="center"/>
          </w:tcPr>
          <w:p w14:paraId="024664B9" w14:textId="77777777" w:rsidR="00A2511C" w:rsidRPr="00E578F4" w:rsidRDefault="00A2511C" w:rsidP="00407515">
            <w:pPr>
              <w:pStyle w:val="ae"/>
              <w:rPr>
                <w:b w:val="0"/>
                <w:bCs/>
              </w:rPr>
            </w:pPr>
          </w:p>
        </w:tc>
        <w:tc>
          <w:tcPr>
            <w:tcW w:w="1452" w:type="dxa"/>
            <w:shd w:val="clear" w:color="auto" w:fill="auto"/>
            <w:vAlign w:val="center"/>
          </w:tcPr>
          <w:p w14:paraId="6192B046" w14:textId="77777777" w:rsidR="00A2511C" w:rsidRPr="00E578F4" w:rsidRDefault="00A2511C" w:rsidP="00407515">
            <w:pPr>
              <w:pStyle w:val="ae"/>
              <w:rPr>
                <w:b w:val="0"/>
                <w:bCs/>
              </w:rPr>
            </w:pPr>
            <w:r w:rsidRPr="00E578F4">
              <w:rPr>
                <w:rFonts w:hint="eastAsia"/>
                <w:b w:val="0"/>
                <w:bCs/>
              </w:rPr>
              <w:t>C70</w:t>
            </w:r>
          </w:p>
        </w:tc>
        <w:tc>
          <w:tcPr>
            <w:tcW w:w="980" w:type="dxa"/>
            <w:shd w:val="clear" w:color="auto" w:fill="auto"/>
            <w:vAlign w:val="center"/>
          </w:tcPr>
          <w:p w14:paraId="53814792" w14:textId="77777777" w:rsidR="00A2511C" w:rsidRPr="00E578F4" w:rsidRDefault="00A2511C" w:rsidP="00407515">
            <w:pPr>
              <w:pStyle w:val="ae"/>
              <w:rPr>
                <w:b w:val="0"/>
                <w:bCs/>
              </w:rPr>
            </w:pPr>
          </w:p>
        </w:tc>
        <w:tc>
          <w:tcPr>
            <w:tcW w:w="2060" w:type="dxa"/>
            <w:shd w:val="clear" w:color="auto" w:fill="auto"/>
            <w:vAlign w:val="center"/>
          </w:tcPr>
          <w:p w14:paraId="21A38A3A" w14:textId="77777777" w:rsidR="00A2511C" w:rsidRPr="00E578F4" w:rsidRDefault="00A2511C" w:rsidP="00407515">
            <w:pPr>
              <w:pStyle w:val="ae"/>
              <w:rPr>
                <w:b w:val="0"/>
                <w:bCs/>
              </w:rPr>
            </w:pPr>
          </w:p>
        </w:tc>
        <w:tc>
          <w:tcPr>
            <w:tcW w:w="1230" w:type="dxa"/>
            <w:shd w:val="clear" w:color="auto" w:fill="auto"/>
            <w:vAlign w:val="center"/>
          </w:tcPr>
          <w:p w14:paraId="19FA92E9" w14:textId="77777777" w:rsidR="00A2511C" w:rsidRPr="00E578F4" w:rsidRDefault="00A2511C" w:rsidP="00407515">
            <w:pPr>
              <w:pStyle w:val="ae"/>
              <w:rPr>
                <w:b w:val="0"/>
                <w:bCs/>
              </w:rPr>
            </w:pPr>
          </w:p>
        </w:tc>
      </w:tr>
      <w:tr w:rsidR="00A2511C" w:rsidRPr="00E578F4" w14:paraId="14AB9F1E" w14:textId="77777777" w:rsidTr="00A2511C">
        <w:trPr>
          <w:jc w:val="center"/>
        </w:trPr>
        <w:tc>
          <w:tcPr>
            <w:tcW w:w="766" w:type="dxa"/>
            <w:shd w:val="clear" w:color="auto" w:fill="auto"/>
            <w:vAlign w:val="center"/>
          </w:tcPr>
          <w:p w14:paraId="62B3CCC1" w14:textId="77777777" w:rsidR="00A2511C" w:rsidRPr="00E578F4" w:rsidRDefault="00A2511C" w:rsidP="00407515">
            <w:pPr>
              <w:pStyle w:val="ae"/>
              <w:rPr>
                <w:b w:val="0"/>
                <w:bCs/>
              </w:rPr>
            </w:pPr>
            <w:r w:rsidRPr="00E578F4">
              <w:rPr>
                <w:rFonts w:hint="eastAsia"/>
                <w:b w:val="0"/>
                <w:bCs/>
              </w:rPr>
              <w:t>13</w:t>
            </w:r>
          </w:p>
        </w:tc>
        <w:tc>
          <w:tcPr>
            <w:tcW w:w="887" w:type="dxa"/>
            <w:shd w:val="clear" w:color="auto" w:fill="auto"/>
            <w:vAlign w:val="center"/>
          </w:tcPr>
          <w:p w14:paraId="26C2EDCB" w14:textId="77777777" w:rsidR="00A2511C" w:rsidRPr="00E578F4" w:rsidRDefault="00A2511C" w:rsidP="00407515">
            <w:pPr>
              <w:pStyle w:val="ae"/>
              <w:rPr>
                <w:b w:val="0"/>
                <w:bCs/>
              </w:rPr>
            </w:pPr>
          </w:p>
        </w:tc>
        <w:tc>
          <w:tcPr>
            <w:tcW w:w="1452" w:type="dxa"/>
            <w:shd w:val="clear" w:color="auto" w:fill="auto"/>
            <w:vAlign w:val="center"/>
          </w:tcPr>
          <w:p w14:paraId="1F294AE2" w14:textId="77777777" w:rsidR="00A2511C" w:rsidRPr="00E578F4" w:rsidRDefault="00A2511C" w:rsidP="00407515">
            <w:pPr>
              <w:pStyle w:val="ae"/>
              <w:rPr>
                <w:b w:val="0"/>
                <w:bCs/>
              </w:rPr>
            </w:pPr>
            <w:r w:rsidRPr="00E578F4">
              <w:rPr>
                <w:rFonts w:hint="eastAsia"/>
                <w:b w:val="0"/>
                <w:bCs/>
              </w:rPr>
              <w:t>C75</w:t>
            </w:r>
          </w:p>
        </w:tc>
        <w:tc>
          <w:tcPr>
            <w:tcW w:w="980" w:type="dxa"/>
            <w:shd w:val="clear" w:color="auto" w:fill="auto"/>
            <w:vAlign w:val="center"/>
          </w:tcPr>
          <w:p w14:paraId="0E2A742E" w14:textId="77777777" w:rsidR="00A2511C" w:rsidRPr="00E578F4" w:rsidRDefault="00A2511C" w:rsidP="00407515">
            <w:pPr>
              <w:pStyle w:val="ae"/>
              <w:rPr>
                <w:b w:val="0"/>
                <w:bCs/>
              </w:rPr>
            </w:pPr>
          </w:p>
        </w:tc>
        <w:tc>
          <w:tcPr>
            <w:tcW w:w="2060" w:type="dxa"/>
            <w:shd w:val="clear" w:color="auto" w:fill="auto"/>
            <w:vAlign w:val="center"/>
          </w:tcPr>
          <w:p w14:paraId="0DB7C568" w14:textId="77777777" w:rsidR="00A2511C" w:rsidRPr="00E578F4" w:rsidRDefault="00A2511C" w:rsidP="00407515">
            <w:pPr>
              <w:pStyle w:val="ae"/>
              <w:rPr>
                <w:b w:val="0"/>
                <w:bCs/>
              </w:rPr>
            </w:pPr>
          </w:p>
        </w:tc>
        <w:tc>
          <w:tcPr>
            <w:tcW w:w="1230" w:type="dxa"/>
            <w:shd w:val="clear" w:color="auto" w:fill="auto"/>
            <w:vAlign w:val="center"/>
          </w:tcPr>
          <w:p w14:paraId="5E1CDF33" w14:textId="77777777" w:rsidR="00A2511C" w:rsidRPr="00E578F4" w:rsidRDefault="00A2511C" w:rsidP="00407515">
            <w:pPr>
              <w:pStyle w:val="ae"/>
              <w:rPr>
                <w:b w:val="0"/>
                <w:bCs/>
              </w:rPr>
            </w:pPr>
          </w:p>
        </w:tc>
      </w:tr>
      <w:tr w:rsidR="00A2511C" w:rsidRPr="00E578F4" w14:paraId="1D3FD676" w14:textId="77777777" w:rsidTr="00A2511C">
        <w:trPr>
          <w:jc w:val="center"/>
        </w:trPr>
        <w:tc>
          <w:tcPr>
            <w:tcW w:w="766" w:type="dxa"/>
            <w:shd w:val="clear" w:color="auto" w:fill="auto"/>
            <w:vAlign w:val="center"/>
          </w:tcPr>
          <w:p w14:paraId="1703F17B" w14:textId="77777777" w:rsidR="00A2511C" w:rsidRPr="00E578F4" w:rsidRDefault="00A2511C" w:rsidP="00407515">
            <w:pPr>
              <w:pStyle w:val="ae"/>
              <w:rPr>
                <w:b w:val="0"/>
                <w:bCs/>
              </w:rPr>
            </w:pPr>
            <w:r w:rsidRPr="00E578F4">
              <w:rPr>
                <w:rFonts w:hint="eastAsia"/>
                <w:b w:val="0"/>
                <w:bCs/>
              </w:rPr>
              <w:t>14</w:t>
            </w:r>
          </w:p>
        </w:tc>
        <w:tc>
          <w:tcPr>
            <w:tcW w:w="887" w:type="dxa"/>
            <w:shd w:val="clear" w:color="auto" w:fill="auto"/>
            <w:vAlign w:val="center"/>
          </w:tcPr>
          <w:p w14:paraId="0D53BC46" w14:textId="77777777" w:rsidR="00A2511C" w:rsidRPr="00E578F4" w:rsidRDefault="00A2511C" w:rsidP="00407515">
            <w:pPr>
              <w:pStyle w:val="ae"/>
              <w:rPr>
                <w:b w:val="0"/>
                <w:bCs/>
              </w:rPr>
            </w:pPr>
          </w:p>
        </w:tc>
        <w:tc>
          <w:tcPr>
            <w:tcW w:w="1452" w:type="dxa"/>
            <w:shd w:val="clear" w:color="auto" w:fill="auto"/>
            <w:vAlign w:val="center"/>
          </w:tcPr>
          <w:p w14:paraId="606A92EF" w14:textId="77777777" w:rsidR="00A2511C" w:rsidRPr="00E578F4" w:rsidRDefault="00A2511C" w:rsidP="00407515">
            <w:pPr>
              <w:pStyle w:val="ae"/>
              <w:rPr>
                <w:b w:val="0"/>
                <w:bCs/>
              </w:rPr>
            </w:pPr>
            <w:r w:rsidRPr="00E578F4">
              <w:rPr>
                <w:rFonts w:hint="eastAsia"/>
                <w:b w:val="0"/>
                <w:bCs/>
              </w:rPr>
              <w:t>C80</w:t>
            </w:r>
          </w:p>
        </w:tc>
        <w:tc>
          <w:tcPr>
            <w:tcW w:w="980" w:type="dxa"/>
            <w:shd w:val="clear" w:color="auto" w:fill="auto"/>
            <w:vAlign w:val="center"/>
          </w:tcPr>
          <w:p w14:paraId="7393BBEE" w14:textId="77777777" w:rsidR="00A2511C" w:rsidRPr="00E578F4" w:rsidRDefault="00A2511C" w:rsidP="00407515">
            <w:pPr>
              <w:pStyle w:val="ae"/>
              <w:rPr>
                <w:b w:val="0"/>
                <w:bCs/>
              </w:rPr>
            </w:pPr>
          </w:p>
        </w:tc>
        <w:tc>
          <w:tcPr>
            <w:tcW w:w="2060" w:type="dxa"/>
            <w:shd w:val="clear" w:color="auto" w:fill="auto"/>
            <w:vAlign w:val="center"/>
          </w:tcPr>
          <w:p w14:paraId="059D82E4" w14:textId="77777777" w:rsidR="00A2511C" w:rsidRPr="00E578F4" w:rsidRDefault="00A2511C" w:rsidP="00407515">
            <w:pPr>
              <w:pStyle w:val="ae"/>
              <w:rPr>
                <w:b w:val="0"/>
                <w:bCs/>
              </w:rPr>
            </w:pPr>
          </w:p>
        </w:tc>
        <w:tc>
          <w:tcPr>
            <w:tcW w:w="1230" w:type="dxa"/>
            <w:shd w:val="clear" w:color="auto" w:fill="auto"/>
            <w:vAlign w:val="center"/>
          </w:tcPr>
          <w:p w14:paraId="06B307D3" w14:textId="77777777" w:rsidR="00A2511C" w:rsidRPr="00E578F4" w:rsidRDefault="00A2511C" w:rsidP="00407515">
            <w:pPr>
              <w:pStyle w:val="ae"/>
              <w:rPr>
                <w:b w:val="0"/>
                <w:bCs/>
              </w:rPr>
            </w:pPr>
          </w:p>
        </w:tc>
      </w:tr>
      <w:tr w:rsidR="00A2511C" w:rsidRPr="00E578F4" w14:paraId="130435BE" w14:textId="77777777" w:rsidTr="00A2511C">
        <w:trPr>
          <w:jc w:val="center"/>
        </w:trPr>
        <w:tc>
          <w:tcPr>
            <w:tcW w:w="766" w:type="dxa"/>
            <w:shd w:val="clear" w:color="auto" w:fill="auto"/>
            <w:vAlign w:val="center"/>
          </w:tcPr>
          <w:p w14:paraId="3513382C" w14:textId="77777777" w:rsidR="00A2511C" w:rsidRPr="00E578F4" w:rsidRDefault="00A2511C" w:rsidP="00407515">
            <w:pPr>
              <w:pStyle w:val="ae"/>
              <w:rPr>
                <w:b w:val="0"/>
                <w:bCs/>
              </w:rPr>
            </w:pPr>
            <w:r w:rsidRPr="00E578F4">
              <w:rPr>
                <w:rFonts w:hint="eastAsia"/>
                <w:b w:val="0"/>
                <w:bCs/>
              </w:rPr>
              <w:t>15</w:t>
            </w:r>
          </w:p>
        </w:tc>
        <w:tc>
          <w:tcPr>
            <w:tcW w:w="887" w:type="dxa"/>
            <w:shd w:val="clear" w:color="auto" w:fill="auto"/>
            <w:vAlign w:val="center"/>
          </w:tcPr>
          <w:p w14:paraId="3D5EB884" w14:textId="77777777" w:rsidR="00A2511C" w:rsidRPr="00E578F4" w:rsidRDefault="00A2511C" w:rsidP="00407515">
            <w:pPr>
              <w:pStyle w:val="ae"/>
              <w:rPr>
                <w:b w:val="0"/>
                <w:bCs/>
              </w:rPr>
            </w:pPr>
          </w:p>
        </w:tc>
        <w:tc>
          <w:tcPr>
            <w:tcW w:w="1452" w:type="dxa"/>
            <w:shd w:val="clear" w:color="auto" w:fill="auto"/>
            <w:vAlign w:val="center"/>
          </w:tcPr>
          <w:p w14:paraId="75D97332" w14:textId="77777777" w:rsidR="00A2511C" w:rsidRPr="00E578F4" w:rsidRDefault="00A2511C" w:rsidP="00407515">
            <w:pPr>
              <w:pStyle w:val="ae"/>
              <w:rPr>
                <w:b w:val="0"/>
                <w:bCs/>
              </w:rPr>
            </w:pPr>
          </w:p>
        </w:tc>
        <w:tc>
          <w:tcPr>
            <w:tcW w:w="980" w:type="dxa"/>
            <w:shd w:val="clear" w:color="auto" w:fill="auto"/>
            <w:vAlign w:val="center"/>
          </w:tcPr>
          <w:p w14:paraId="32253DCD" w14:textId="77777777" w:rsidR="00A2511C" w:rsidRPr="00E578F4" w:rsidRDefault="00A2511C" w:rsidP="00407515">
            <w:pPr>
              <w:pStyle w:val="ae"/>
              <w:rPr>
                <w:b w:val="0"/>
                <w:bCs/>
              </w:rPr>
            </w:pPr>
          </w:p>
        </w:tc>
        <w:tc>
          <w:tcPr>
            <w:tcW w:w="2060" w:type="dxa"/>
            <w:shd w:val="clear" w:color="auto" w:fill="auto"/>
            <w:vAlign w:val="center"/>
          </w:tcPr>
          <w:p w14:paraId="59C0A608" w14:textId="77777777" w:rsidR="00A2511C" w:rsidRPr="00E578F4" w:rsidRDefault="00A2511C" w:rsidP="00407515">
            <w:pPr>
              <w:pStyle w:val="ae"/>
              <w:rPr>
                <w:b w:val="0"/>
                <w:bCs/>
              </w:rPr>
            </w:pPr>
          </w:p>
        </w:tc>
        <w:tc>
          <w:tcPr>
            <w:tcW w:w="1230" w:type="dxa"/>
            <w:shd w:val="clear" w:color="auto" w:fill="auto"/>
            <w:vAlign w:val="center"/>
          </w:tcPr>
          <w:p w14:paraId="4EAE6276" w14:textId="77777777" w:rsidR="00A2511C" w:rsidRPr="00E578F4" w:rsidRDefault="00A2511C" w:rsidP="00407515">
            <w:pPr>
              <w:pStyle w:val="ae"/>
              <w:rPr>
                <w:b w:val="0"/>
                <w:bCs/>
              </w:rPr>
            </w:pPr>
          </w:p>
        </w:tc>
      </w:tr>
      <w:tr w:rsidR="00A2511C" w:rsidRPr="00E578F4" w14:paraId="010A73BA" w14:textId="77777777" w:rsidTr="00A2511C">
        <w:trPr>
          <w:jc w:val="center"/>
        </w:trPr>
        <w:tc>
          <w:tcPr>
            <w:tcW w:w="766" w:type="dxa"/>
            <w:shd w:val="clear" w:color="auto" w:fill="auto"/>
            <w:vAlign w:val="center"/>
          </w:tcPr>
          <w:p w14:paraId="238E6A94" w14:textId="77777777" w:rsidR="00A2511C" w:rsidRPr="00E578F4" w:rsidRDefault="00A2511C" w:rsidP="00407515">
            <w:pPr>
              <w:pStyle w:val="ae"/>
              <w:rPr>
                <w:b w:val="0"/>
                <w:bCs/>
              </w:rPr>
            </w:pPr>
            <w:r w:rsidRPr="00E578F4">
              <w:rPr>
                <w:rFonts w:hint="eastAsia"/>
                <w:b w:val="0"/>
                <w:bCs/>
              </w:rPr>
              <w:t>16</w:t>
            </w:r>
          </w:p>
        </w:tc>
        <w:tc>
          <w:tcPr>
            <w:tcW w:w="887" w:type="dxa"/>
            <w:shd w:val="clear" w:color="auto" w:fill="auto"/>
            <w:vAlign w:val="center"/>
          </w:tcPr>
          <w:p w14:paraId="299B7E38" w14:textId="77777777" w:rsidR="00A2511C" w:rsidRPr="00E578F4" w:rsidRDefault="00A2511C" w:rsidP="00407515">
            <w:pPr>
              <w:pStyle w:val="ae"/>
              <w:rPr>
                <w:b w:val="0"/>
                <w:bCs/>
              </w:rPr>
            </w:pPr>
          </w:p>
        </w:tc>
        <w:tc>
          <w:tcPr>
            <w:tcW w:w="1452" w:type="dxa"/>
            <w:shd w:val="clear" w:color="auto" w:fill="auto"/>
            <w:vAlign w:val="center"/>
          </w:tcPr>
          <w:p w14:paraId="4D45E4A3" w14:textId="77777777" w:rsidR="00A2511C" w:rsidRPr="00E578F4" w:rsidRDefault="00A2511C" w:rsidP="00407515">
            <w:pPr>
              <w:pStyle w:val="ae"/>
              <w:rPr>
                <w:b w:val="0"/>
                <w:bCs/>
              </w:rPr>
            </w:pPr>
          </w:p>
        </w:tc>
        <w:tc>
          <w:tcPr>
            <w:tcW w:w="980" w:type="dxa"/>
            <w:shd w:val="clear" w:color="auto" w:fill="auto"/>
            <w:vAlign w:val="center"/>
          </w:tcPr>
          <w:p w14:paraId="0D612732" w14:textId="77777777" w:rsidR="00A2511C" w:rsidRPr="00E578F4" w:rsidRDefault="00A2511C" w:rsidP="00407515">
            <w:pPr>
              <w:pStyle w:val="ae"/>
              <w:rPr>
                <w:b w:val="0"/>
                <w:bCs/>
              </w:rPr>
            </w:pPr>
          </w:p>
        </w:tc>
        <w:tc>
          <w:tcPr>
            <w:tcW w:w="2060" w:type="dxa"/>
            <w:shd w:val="clear" w:color="auto" w:fill="auto"/>
            <w:vAlign w:val="center"/>
          </w:tcPr>
          <w:p w14:paraId="632964CE" w14:textId="77777777" w:rsidR="00A2511C" w:rsidRPr="00E578F4" w:rsidRDefault="00A2511C" w:rsidP="00407515">
            <w:pPr>
              <w:pStyle w:val="ae"/>
              <w:rPr>
                <w:b w:val="0"/>
                <w:bCs/>
              </w:rPr>
            </w:pPr>
          </w:p>
        </w:tc>
        <w:tc>
          <w:tcPr>
            <w:tcW w:w="1230" w:type="dxa"/>
            <w:shd w:val="clear" w:color="auto" w:fill="auto"/>
            <w:vAlign w:val="center"/>
          </w:tcPr>
          <w:p w14:paraId="460D2327" w14:textId="77777777" w:rsidR="00A2511C" w:rsidRPr="00E578F4" w:rsidRDefault="00A2511C" w:rsidP="00407515">
            <w:pPr>
              <w:pStyle w:val="ae"/>
              <w:rPr>
                <w:b w:val="0"/>
                <w:bCs/>
              </w:rPr>
            </w:pPr>
          </w:p>
        </w:tc>
      </w:tr>
      <w:tr w:rsidR="00A2511C" w:rsidRPr="00E578F4" w14:paraId="30E56149" w14:textId="77777777" w:rsidTr="00A2511C">
        <w:trPr>
          <w:jc w:val="center"/>
        </w:trPr>
        <w:tc>
          <w:tcPr>
            <w:tcW w:w="1653" w:type="dxa"/>
            <w:gridSpan w:val="2"/>
            <w:vMerge w:val="restart"/>
            <w:shd w:val="clear" w:color="auto" w:fill="auto"/>
            <w:vAlign w:val="center"/>
          </w:tcPr>
          <w:p w14:paraId="090650E9" w14:textId="77777777" w:rsidR="00A2511C" w:rsidRPr="00E578F4" w:rsidRDefault="00A2511C" w:rsidP="00407515">
            <w:pPr>
              <w:pStyle w:val="ae"/>
              <w:rPr>
                <w:b w:val="0"/>
                <w:bCs/>
              </w:rPr>
            </w:pPr>
            <w:r w:rsidRPr="00E578F4">
              <w:rPr>
                <w:b w:val="0"/>
                <w:bCs/>
              </w:rPr>
              <w:t>合计</w:t>
            </w:r>
          </w:p>
        </w:tc>
        <w:tc>
          <w:tcPr>
            <w:tcW w:w="4492" w:type="dxa"/>
            <w:gridSpan w:val="3"/>
            <w:shd w:val="clear" w:color="auto" w:fill="auto"/>
            <w:vAlign w:val="center"/>
          </w:tcPr>
          <w:p w14:paraId="525A9FCF" w14:textId="77777777" w:rsidR="00A2511C" w:rsidRPr="00E578F4" w:rsidRDefault="00A2511C" w:rsidP="00407515">
            <w:pPr>
              <w:pStyle w:val="ae"/>
              <w:rPr>
                <w:b w:val="0"/>
                <w:bCs/>
              </w:rPr>
            </w:pPr>
            <w:r w:rsidRPr="00E578F4">
              <w:rPr>
                <w:rFonts w:hint="eastAsia"/>
                <w:b w:val="0"/>
                <w:bCs/>
              </w:rPr>
              <w:t>强度等级为</w:t>
            </w:r>
            <w:r w:rsidRPr="00E578F4">
              <w:rPr>
                <w:rFonts w:hint="eastAsia"/>
                <w:b w:val="0"/>
                <w:bCs/>
              </w:rPr>
              <w:t>C50</w:t>
            </w:r>
            <w:r w:rsidRPr="00E578F4">
              <w:rPr>
                <w:rFonts w:hint="eastAsia"/>
                <w:b w:val="0"/>
                <w:bCs/>
              </w:rPr>
              <w:t>及以上等级的混凝土重量</w:t>
            </w:r>
          </w:p>
        </w:tc>
        <w:tc>
          <w:tcPr>
            <w:tcW w:w="1230" w:type="dxa"/>
            <w:shd w:val="clear" w:color="auto" w:fill="auto"/>
            <w:vAlign w:val="center"/>
          </w:tcPr>
          <w:p w14:paraId="79B1B122" w14:textId="77777777" w:rsidR="00A2511C" w:rsidRPr="00E578F4" w:rsidRDefault="00A2511C" w:rsidP="00407515">
            <w:pPr>
              <w:pStyle w:val="ae"/>
              <w:rPr>
                <w:b w:val="0"/>
                <w:bCs/>
              </w:rPr>
            </w:pPr>
          </w:p>
        </w:tc>
      </w:tr>
      <w:tr w:rsidR="00A2511C" w:rsidRPr="00E578F4" w14:paraId="2D06C5BE" w14:textId="77777777" w:rsidTr="00A2511C">
        <w:trPr>
          <w:jc w:val="center"/>
        </w:trPr>
        <w:tc>
          <w:tcPr>
            <w:tcW w:w="1653" w:type="dxa"/>
            <w:gridSpan w:val="2"/>
            <w:vMerge/>
            <w:shd w:val="clear" w:color="auto" w:fill="auto"/>
            <w:vAlign w:val="center"/>
          </w:tcPr>
          <w:p w14:paraId="6AD1F1C7" w14:textId="77777777" w:rsidR="00A2511C" w:rsidRPr="00E578F4" w:rsidRDefault="00A2511C" w:rsidP="00407515">
            <w:pPr>
              <w:pStyle w:val="ae"/>
              <w:rPr>
                <w:b w:val="0"/>
                <w:bCs/>
              </w:rPr>
            </w:pPr>
          </w:p>
        </w:tc>
        <w:tc>
          <w:tcPr>
            <w:tcW w:w="4492" w:type="dxa"/>
            <w:gridSpan w:val="3"/>
            <w:shd w:val="clear" w:color="auto" w:fill="auto"/>
            <w:vAlign w:val="center"/>
          </w:tcPr>
          <w:p w14:paraId="13354B58" w14:textId="77777777" w:rsidR="00A2511C" w:rsidRPr="00E578F4" w:rsidRDefault="00A2511C" w:rsidP="00407515">
            <w:pPr>
              <w:pStyle w:val="ae"/>
              <w:rPr>
                <w:b w:val="0"/>
                <w:bCs/>
              </w:rPr>
            </w:pPr>
            <w:r w:rsidRPr="00E578F4">
              <w:rPr>
                <w:rFonts w:hint="eastAsia"/>
                <w:b w:val="0"/>
                <w:bCs/>
              </w:rPr>
              <w:t>竖向承重结构混凝土总量</w:t>
            </w:r>
          </w:p>
        </w:tc>
        <w:tc>
          <w:tcPr>
            <w:tcW w:w="1230" w:type="dxa"/>
            <w:shd w:val="clear" w:color="auto" w:fill="auto"/>
            <w:vAlign w:val="center"/>
          </w:tcPr>
          <w:p w14:paraId="7E981FBE" w14:textId="77777777" w:rsidR="00A2511C" w:rsidRPr="00E578F4" w:rsidRDefault="00A2511C" w:rsidP="00407515">
            <w:pPr>
              <w:pStyle w:val="ae"/>
              <w:rPr>
                <w:b w:val="0"/>
                <w:bCs/>
              </w:rPr>
            </w:pPr>
          </w:p>
        </w:tc>
      </w:tr>
      <w:tr w:rsidR="00A2511C" w:rsidRPr="00E578F4" w14:paraId="7D388821" w14:textId="77777777" w:rsidTr="00A2511C">
        <w:trPr>
          <w:jc w:val="center"/>
        </w:trPr>
        <w:tc>
          <w:tcPr>
            <w:tcW w:w="1653" w:type="dxa"/>
            <w:gridSpan w:val="2"/>
            <w:vMerge/>
            <w:shd w:val="clear" w:color="auto" w:fill="auto"/>
            <w:vAlign w:val="center"/>
          </w:tcPr>
          <w:p w14:paraId="77DCDE77" w14:textId="77777777" w:rsidR="00A2511C" w:rsidRPr="00E578F4" w:rsidRDefault="00A2511C" w:rsidP="00407515">
            <w:pPr>
              <w:pStyle w:val="ae"/>
              <w:rPr>
                <w:b w:val="0"/>
                <w:bCs/>
              </w:rPr>
            </w:pPr>
          </w:p>
        </w:tc>
        <w:tc>
          <w:tcPr>
            <w:tcW w:w="4492" w:type="dxa"/>
            <w:gridSpan w:val="3"/>
            <w:shd w:val="clear" w:color="auto" w:fill="auto"/>
            <w:vAlign w:val="center"/>
          </w:tcPr>
          <w:p w14:paraId="6F4F7044" w14:textId="77777777" w:rsidR="00A2511C" w:rsidRPr="00E578F4" w:rsidRDefault="00A2511C" w:rsidP="00407515">
            <w:pPr>
              <w:pStyle w:val="ae"/>
              <w:rPr>
                <w:b w:val="0"/>
                <w:bCs/>
              </w:rPr>
            </w:pPr>
            <w:r w:rsidRPr="00E578F4">
              <w:rPr>
                <w:rFonts w:hint="eastAsia"/>
                <w:b w:val="0"/>
                <w:bCs/>
              </w:rPr>
              <w:t>强度等级为</w:t>
            </w:r>
            <w:r w:rsidRPr="00E578F4">
              <w:rPr>
                <w:rFonts w:hint="eastAsia"/>
                <w:b w:val="0"/>
                <w:bCs/>
              </w:rPr>
              <w:t>C50</w:t>
            </w:r>
            <w:r w:rsidRPr="00E578F4">
              <w:rPr>
                <w:rFonts w:hint="eastAsia"/>
                <w:b w:val="0"/>
                <w:bCs/>
              </w:rPr>
              <w:t>及以上等级的混凝土作为竖向承重结构混凝土的比例</w:t>
            </w:r>
          </w:p>
        </w:tc>
        <w:tc>
          <w:tcPr>
            <w:tcW w:w="1230" w:type="dxa"/>
            <w:shd w:val="clear" w:color="auto" w:fill="auto"/>
            <w:vAlign w:val="center"/>
          </w:tcPr>
          <w:p w14:paraId="5592D66A" w14:textId="77777777" w:rsidR="00A2511C" w:rsidRPr="00E578F4" w:rsidRDefault="00A2511C" w:rsidP="00407515">
            <w:pPr>
              <w:pStyle w:val="ae"/>
              <w:rPr>
                <w:b w:val="0"/>
                <w:bCs/>
              </w:rPr>
            </w:pPr>
          </w:p>
        </w:tc>
      </w:tr>
    </w:tbl>
    <w:p w14:paraId="34DE7708" w14:textId="77777777" w:rsidR="00913C78" w:rsidRPr="00913C78" w:rsidRDefault="00913C78" w:rsidP="00913C78">
      <w:pPr>
        <w:ind w:firstLine="420"/>
      </w:pPr>
      <w:r w:rsidRPr="00913C78">
        <w:rPr>
          <w:rFonts w:hint="eastAsia"/>
        </w:rPr>
        <w:t>注</w:t>
      </w:r>
      <w:r w:rsidRPr="00913C78">
        <w:t>：</w:t>
      </w:r>
      <w:r w:rsidRPr="00913C78">
        <w:rPr>
          <w:rFonts w:hint="eastAsia"/>
        </w:rPr>
        <w:t>1.</w:t>
      </w:r>
      <w:r w:rsidRPr="00913C78">
        <w:t xml:space="preserve"> </w:t>
      </w:r>
      <w:r w:rsidRPr="00913C78">
        <w:rPr>
          <w:rFonts w:hint="eastAsia"/>
        </w:rPr>
        <w:t>高耐久性混凝土须按《混凝土耐久性检验评定标准》（</w:t>
      </w:r>
      <w:r w:rsidRPr="00913C78">
        <w:rPr>
          <w:rFonts w:hint="eastAsia"/>
        </w:rPr>
        <w:t>JGJ/T 193</w:t>
      </w:r>
      <w:r w:rsidRPr="00913C78">
        <w:rPr>
          <w:rFonts w:hint="eastAsia"/>
        </w:rPr>
        <w:t>—</w:t>
      </w:r>
      <w:r w:rsidRPr="00913C78">
        <w:rPr>
          <w:rFonts w:hint="eastAsia"/>
        </w:rPr>
        <w:t>2009</w:t>
      </w:r>
      <w:r w:rsidRPr="00913C78">
        <w:rPr>
          <w:rFonts w:hint="eastAsia"/>
        </w:rPr>
        <w:t>）进行检测，抗硫酸盐等级</w:t>
      </w:r>
      <w:r w:rsidRPr="00913C78">
        <w:rPr>
          <w:rFonts w:hint="eastAsia"/>
        </w:rPr>
        <w:t>KS90</w:t>
      </w:r>
      <w:r w:rsidRPr="00913C78">
        <w:rPr>
          <w:rFonts w:hint="eastAsia"/>
        </w:rPr>
        <w:t>，抗氯离子渗透、抗碳化及早期开裂均达到Ⅲ级、不低于现行标准《混凝土结构耐久性设计规范》（</w:t>
      </w:r>
      <w:r w:rsidRPr="00913C78">
        <w:rPr>
          <w:rFonts w:hint="eastAsia"/>
        </w:rPr>
        <w:t>GB/T 50476</w:t>
      </w:r>
      <w:r w:rsidRPr="00913C78">
        <w:rPr>
          <w:rFonts w:hint="eastAsia"/>
        </w:rPr>
        <w:t>—</w:t>
      </w:r>
      <w:r w:rsidRPr="00913C78">
        <w:rPr>
          <w:rFonts w:hint="eastAsia"/>
        </w:rPr>
        <w:t>2017</w:t>
      </w:r>
      <w:r w:rsidRPr="00913C78">
        <w:rPr>
          <w:rFonts w:hint="eastAsia"/>
        </w:rPr>
        <w:t>）中</w:t>
      </w:r>
      <w:r w:rsidRPr="00913C78">
        <w:rPr>
          <w:rFonts w:hint="eastAsia"/>
        </w:rPr>
        <w:t>50</w:t>
      </w:r>
      <w:r w:rsidRPr="00913C78">
        <w:rPr>
          <w:rFonts w:hint="eastAsia"/>
        </w:rPr>
        <w:t>年设计寿命要求。</w:t>
      </w:r>
    </w:p>
    <w:p w14:paraId="558935C3" w14:textId="77777777" w:rsidR="00913C78" w:rsidRPr="00913C78" w:rsidRDefault="00913C78" w:rsidP="00E578F4">
      <w:pPr>
        <w:ind w:leftChars="405" w:left="850" w:firstLineChars="0" w:firstLine="2"/>
      </w:pPr>
      <w:r w:rsidRPr="00913C78">
        <w:rPr>
          <w:rFonts w:hint="eastAsia"/>
        </w:rPr>
        <w:t xml:space="preserve">2. </w:t>
      </w:r>
      <w:r w:rsidRPr="00913C78">
        <w:rPr>
          <w:rFonts w:hint="eastAsia"/>
        </w:rPr>
        <w:t>若涉及多栋建筑，应按单栋建筑进行分别计算，计算方式同上。</w:t>
      </w:r>
    </w:p>
    <w:p w14:paraId="39139F15" w14:textId="77777777" w:rsidR="00913C78" w:rsidRPr="00913C78" w:rsidRDefault="00913C78" w:rsidP="00913C78">
      <w:pPr>
        <w:ind w:firstLine="420"/>
      </w:pPr>
      <w:bookmarkStart w:id="402" w:name="_Toc476242420"/>
      <w:r w:rsidRPr="00913C78">
        <w:rPr>
          <w:rFonts w:hint="eastAsia"/>
        </w:rPr>
        <w:t>（</w:t>
      </w:r>
      <w:r w:rsidRPr="00913C78">
        <w:rPr>
          <w:rFonts w:hint="eastAsia"/>
        </w:rPr>
        <w:t>3</w:t>
      </w:r>
      <w:r w:rsidRPr="00913C78">
        <w:rPr>
          <w:rFonts w:hint="eastAsia"/>
        </w:rPr>
        <w:t>）</w:t>
      </w:r>
      <w:r w:rsidRPr="00913C78">
        <w:rPr>
          <w:rFonts w:hint="eastAsia"/>
        </w:rPr>
        <w:t>Q3</w:t>
      </w:r>
      <w:r w:rsidRPr="00913C78">
        <w:t>5</w:t>
      </w:r>
      <w:r w:rsidRPr="00913C78">
        <w:rPr>
          <w:rFonts w:hint="eastAsia"/>
        </w:rPr>
        <w:t>5</w:t>
      </w:r>
      <w:r w:rsidRPr="00913C78">
        <w:rPr>
          <w:rFonts w:hint="eastAsia"/>
        </w:rPr>
        <w:t>及以上高强钢材用量比例计算</w:t>
      </w:r>
      <w:bookmarkEnd w:id="402"/>
    </w:p>
    <w:p w14:paraId="40CAA9AB" w14:textId="77777777" w:rsidR="00913C78" w:rsidRPr="00913C78" w:rsidRDefault="00913C78" w:rsidP="00913C78">
      <w:pPr>
        <w:ind w:firstLine="420"/>
      </w:pPr>
      <w:r w:rsidRPr="00913C78">
        <w:rPr>
          <w:rFonts w:hint="eastAsia"/>
        </w:rPr>
        <w:t>统计应明确</w:t>
      </w:r>
      <w:r w:rsidRPr="00913C78">
        <w:t>项目</w:t>
      </w:r>
      <w:r w:rsidRPr="00913C78">
        <w:rPr>
          <w:rFonts w:hint="eastAsia"/>
        </w:rPr>
        <w:t>高强钢材使用</w:t>
      </w:r>
      <w:r w:rsidRPr="00913C78">
        <w:t>部位及</w:t>
      </w:r>
      <w:r w:rsidRPr="00913C78">
        <w:rPr>
          <w:rFonts w:hint="eastAsia"/>
        </w:rPr>
        <w:t>用量（附表</w:t>
      </w:r>
      <w:r w:rsidRPr="00913C78">
        <w:rPr>
          <w:rFonts w:hint="eastAsia"/>
        </w:rPr>
        <w:t>B.4.3</w:t>
      </w:r>
      <w:r w:rsidRPr="00913C78">
        <w:rPr>
          <w:rFonts w:hint="eastAsia"/>
        </w:rPr>
        <w:t>）</w:t>
      </w:r>
      <w:r w:rsidRPr="00913C78">
        <w:t>，</w:t>
      </w:r>
      <w:r w:rsidRPr="00913C78">
        <w:rPr>
          <w:rFonts w:hint="eastAsia"/>
        </w:rPr>
        <w:t>实际</w:t>
      </w:r>
      <w:r w:rsidRPr="00913C78">
        <w:t>统计时需保留</w:t>
      </w:r>
      <w:r w:rsidRPr="00913C78">
        <w:rPr>
          <w:rFonts w:hint="eastAsia"/>
        </w:rPr>
        <w:t>（或</w:t>
      </w:r>
      <w:r w:rsidRPr="00913C78">
        <w:t>增加</w:t>
      </w:r>
      <w:r w:rsidRPr="00913C78">
        <w:rPr>
          <w:rFonts w:hint="eastAsia"/>
        </w:rPr>
        <w:t>）</w:t>
      </w:r>
      <w:r w:rsidRPr="00913C78">
        <w:t>使用</w:t>
      </w:r>
      <w:r w:rsidRPr="00913C78">
        <w:rPr>
          <w:rFonts w:hint="eastAsia"/>
        </w:rPr>
        <w:t>的高强钢材强度等级。如果</w:t>
      </w:r>
      <w:r w:rsidRPr="00913C78">
        <w:t>涉及</w:t>
      </w:r>
      <w:r w:rsidRPr="00913C78">
        <w:rPr>
          <w:rFonts w:hint="eastAsia"/>
        </w:rPr>
        <w:t>多栋建筑</w:t>
      </w:r>
      <w:r w:rsidRPr="00913C78">
        <w:t>，应分</w:t>
      </w:r>
      <w:r w:rsidRPr="00913C78">
        <w:rPr>
          <w:rFonts w:hint="eastAsia"/>
        </w:rPr>
        <w:t>楼</w:t>
      </w:r>
      <w:r w:rsidRPr="00913C78">
        <w:t>栋号分别统计。</w:t>
      </w:r>
    </w:p>
    <w:p w14:paraId="25E257FF" w14:textId="77777777" w:rsidR="00E578F4" w:rsidRDefault="00E578F4" w:rsidP="00E578F4">
      <w:pPr>
        <w:pStyle w:val="ae"/>
      </w:pPr>
    </w:p>
    <w:p w14:paraId="39DBD213" w14:textId="58BB5615" w:rsidR="00913C78" w:rsidRPr="00913C78" w:rsidRDefault="00913C78" w:rsidP="00E578F4">
      <w:pPr>
        <w:pStyle w:val="ae"/>
      </w:pPr>
      <w:r w:rsidRPr="00913C78">
        <w:rPr>
          <w:rFonts w:hint="eastAsia"/>
        </w:rPr>
        <w:t>附表</w:t>
      </w:r>
      <w:r w:rsidRPr="00913C78">
        <w:rPr>
          <w:rFonts w:hint="eastAsia"/>
        </w:rPr>
        <w:t xml:space="preserve">B.4.3  </w:t>
      </w:r>
      <w:r w:rsidRPr="00913C78">
        <w:rPr>
          <w:rFonts w:hint="eastAsia"/>
        </w:rPr>
        <w:t>高强钢材用量比例计算表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6"/>
        <w:gridCol w:w="814"/>
        <w:gridCol w:w="1523"/>
        <w:gridCol w:w="979"/>
        <w:gridCol w:w="2059"/>
        <w:gridCol w:w="1229"/>
      </w:tblGrid>
      <w:tr w:rsidR="00913C78" w:rsidRPr="00E578F4" w14:paraId="653F32CF" w14:textId="77777777" w:rsidTr="00A2511C">
        <w:trPr>
          <w:jc w:val="center"/>
        </w:trPr>
        <w:tc>
          <w:tcPr>
            <w:tcW w:w="850" w:type="dxa"/>
            <w:shd w:val="clear" w:color="auto" w:fill="auto"/>
            <w:vAlign w:val="center"/>
          </w:tcPr>
          <w:p w14:paraId="4116EB49" w14:textId="77777777" w:rsidR="00913C78" w:rsidRPr="00E578F4" w:rsidRDefault="00913C78" w:rsidP="00E578F4">
            <w:pPr>
              <w:pStyle w:val="ae"/>
              <w:rPr>
                <w:b w:val="0"/>
                <w:bCs/>
              </w:rPr>
            </w:pPr>
            <w:r w:rsidRPr="00E578F4">
              <w:rPr>
                <w:b w:val="0"/>
                <w:bCs/>
              </w:rPr>
              <w:lastRenderedPageBreak/>
              <w:t>序号</w:t>
            </w:r>
          </w:p>
        </w:tc>
        <w:tc>
          <w:tcPr>
            <w:tcW w:w="907" w:type="dxa"/>
            <w:shd w:val="clear" w:color="auto" w:fill="auto"/>
            <w:vAlign w:val="center"/>
          </w:tcPr>
          <w:p w14:paraId="274D14D4" w14:textId="77777777" w:rsidR="00913C78" w:rsidRPr="00E578F4" w:rsidRDefault="00913C78" w:rsidP="00E578F4">
            <w:pPr>
              <w:pStyle w:val="ae"/>
              <w:rPr>
                <w:b w:val="0"/>
                <w:bCs/>
              </w:rPr>
            </w:pPr>
            <w:r w:rsidRPr="00E578F4">
              <w:rPr>
                <w:rFonts w:hint="eastAsia"/>
                <w:b w:val="0"/>
                <w:bCs/>
              </w:rPr>
              <w:t>楼层号</w:t>
            </w:r>
          </w:p>
        </w:tc>
        <w:tc>
          <w:tcPr>
            <w:tcW w:w="1729" w:type="dxa"/>
            <w:shd w:val="clear" w:color="auto" w:fill="auto"/>
            <w:vAlign w:val="center"/>
          </w:tcPr>
          <w:p w14:paraId="5324E387" w14:textId="77777777" w:rsidR="00913C78" w:rsidRPr="00E578F4" w:rsidRDefault="00913C78" w:rsidP="00E578F4">
            <w:pPr>
              <w:pStyle w:val="ae"/>
              <w:rPr>
                <w:b w:val="0"/>
                <w:bCs/>
              </w:rPr>
            </w:pPr>
            <w:r w:rsidRPr="00E578F4">
              <w:rPr>
                <w:rFonts w:hint="eastAsia"/>
                <w:b w:val="0"/>
                <w:bCs/>
              </w:rPr>
              <w:t>钢材强度等级</w:t>
            </w:r>
          </w:p>
        </w:tc>
        <w:tc>
          <w:tcPr>
            <w:tcW w:w="1098" w:type="dxa"/>
            <w:shd w:val="clear" w:color="auto" w:fill="auto"/>
            <w:vAlign w:val="center"/>
          </w:tcPr>
          <w:p w14:paraId="49399C11" w14:textId="77777777" w:rsidR="00913C78" w:rsidRPr="00E578F4" w:rsidRDefault="00913C78" w:rsidP="00E578F4">
            <w:pPr>
              <w:pStyle w:val="ae"/>
              <w:rPr>
                <w:b w:val="0"/>
                <w:bCs/>
              </w:rPr>
            </w:pPr>
            <w:r w:rsidRPr="00E578F4">
              <w:rPr>
                <w:rFonts w:hint="eastAsia"/>
                <w:b w:val="0"/>
                <w:bCs/>
              </w:rPr>
              <w:t>用量</w:t>
            </w:r>
            <w:r w:rsidRPr="00E578F4">
              <w:rPr>
                <w:rFonts w:hint="eastAsia"/>
                <w:b w:val="0"/>
                <w:bCs/>
              </w:rPr>
              <w:t>/</w:t>
            </w:r>
            <w:r w:rsidRPr="00E578F4">
              <w:rPr>
                <w:b w:val="0"/>
                <w:bCs/>
              </w:rPr>
              <w:t>t</w:t>
            </w:r>
          </w:p>
        </w:tc>
        <w:tc>
          <w:tcPr>
            <w:tcW w:w="2351" w:type="dxa"/>
            <w:shd w:val="clear" w:color="auto" w:fill="auto"/>
            <w:vAlign w:val="center"/>
          </w:tcPr>
          <w:p w14:paraId="422512D7" w14:textId="77777777" w:rsidR="00913C78" w:rsidRPr="00E578F4" w:rsidRDefault="00913C78" w:rsidP="00E578F4">
            <w:pPr>
              <w:pStyle w:val="ae"/>
              <w:rPr>
                <w:b w:val="0"/>
                <w:bCs/>
              </w:rPr>
            </w:pPr>
            <w:r w:rsidRPr="00E578F4">
              <w:rPr>
                <w:rFonts w:hint="eastAsia"/>
                <w:b w:val="0"/>
                <w:bCs/>
              </w:rPr>
              <w:t>使用部位（梁、柱、板、墙）</w:t>
            </w:r>
          </w:p>
        </w:tc>
        <w:tc>
          <w:tcPr>
            <w:tcW w:w="1388" w:type="dxa"/>
            <w:shd w:val="clear" w:color="auto" w:fill="auto"/>
            <w:vAlign w:val="center"/>
          </w:tcPr>
          <w:p w14:paraId="235093B4" w14:textId="77777777" w:rsidR="00913C78" w:rsidRPr="00E578F4" w:rsidRDefault="00913C78" w:rsidP="00E578F4">
            <w:pPr>
              <w:pStyle w:val="ae"/>
              <w:rPr>
                <w:b w:val="0"/>
                <w:bCs/>
              </w:rPr>
            </w:pPr>
            <w:r w:rsidRPr="00E578F4">
              <w:rPr>
                <w:rFonts w:hint="eastAsia"/>
                <w:b w:val="0"/>
                <w:bCs/>
              </w:rPr>
              <w:t>用</w:t>
            </w:r>
            <w:r w:rsidRPr="00E578F4">
              <w:rPr>
                <w:b w:val="0"/>
                <w:bCs/>
              </w:rPr>
              <w:t>量</w:t>
            </w:r>
            <w:r w:rsidRPr="00E578F4">
              <w:rPr>
                <w:rFonts w:hint="eastAsia"/>
                <w:b w:val="0"/>
                <w:bCs/>
              </w:rPr>
              <w:t>/</w:t>
            </w:r>
            <w:r w:rsidRPr="00E578F4">
              <w:rPr>
                <w:b w:val="0"/>
                <w:bCs/>
              </w:rPr>
              <w:t>t</w:t>
            </w:r>
          </w:p>
        </w:tc>
      </w:tr>
      <w:tr w:rsidR="00913C78" w:rsidRPr="00E578F4" w14:paraId="37D49A10" w14:textId="77777777" w:rsidTr="00A2511C">
        <w:trPr>
          <w:jc w:val="center"/>
        </w:trPr>
        <w:tc>
          <w:tcPr>
            <w:tcW w:w="850" w:type="dxa"/>
            <w:shd w:val="clear" w:color="auto" w:fill="auto"/>
            <w:vAlign w:val="center"/>
          </w:tcPr>
          <w:p w14:paraId="448D27E9" w14:textId="77777777" w:rsidR="00913C78" w:rsidRPr="00E578F4" w:rsidRDefault="00913C78" w:rsidP="00E578F4">
            <w:pPr>
              <w:pStyle w:val="ae"/>
              <w:rPr>
                <w:b w:val="0"/>
                <w:bCs/>
              </w:rPr>
            </w:pPr>
            <w:r w:rsidRPr="00E578F4">
              <w:rPr>
                <w:b w:val="0"/>
                <w:bCs/>
              </w:rPr>
              <w:t>1</w:t>
            </w:r>
          </w:p>
        </w:tc>
        <w:tc>
          <w:tcPr>
            <w:tcW w:w="907" w:type="dxa"/>
            <w:shd w:val="clear" w:color="auto" w:fill="auto"/>
            <w:vAlign w:val="center"/>
          </w:tcPr>
          <w:p w14:paraId="7640E105" w14:textId="77777777" w:rsidR="00913C78" w:rsidRPr="00E578F4" w:rsidRDefault="00913C78" w:rsidP="00E578F4">
            <w:pPr>
              <w:pStyle w:val="ae"/>
              <w:rPr>
                <w:b w:val="0"/>
                <w:bCs/>
              </w:rPr>
            </w:pPr>
          </w:p>
        </w:tc>
        <w:tc>
          <w:tcPr>
            <w:tcW w:w="1729" w:type="dxa"/>
            <w:shd w:val="clear" w:color="auto" w:fill="auto"/>
            <w:vAlign w:val="center"/>
          </w:tcPr>
          <w:p w14:paraId="320572AE" w14:textId="77777777" w:rsidR="00913C78" w:rsidRPr="00E578F4" w:rsidRDefault="00913C78" w:rsidP="00E578F4">
            <w:pPr>
              <w:pStyle w:val="ae"/>
              <w:rPr>
                <w:b w:val="0"/>
                <w:bCs/>
              </w:rPr>
            </w:pPr>
            <w:r w:rsidRPr="00E578F4">
              <w:rPr>
                <w:rFonts w:hint="eastAsia"/>
                <w:b w:val="0"/>
                <w:bCs/>
              </w:rPr>
              <w:t>Q235</w:t>
            </w:r>
          </w:p>
        </w:tc>
        <w:tc>
          <w:tcPr>
            <w:tcW w:w="1098" w:type="dxa"/>
            <w:shd w:val="clear" w:color="auto" w:fill="auto"/>
            <w:vAlign w:val="center"/>
          </w:tcPr>
          <w:p w14:paraId="160D4C6A" w14:textId="77777777" w:rsidR="00913C78" w:rsidRPr="00E578F4" w:rsidRDefault="00913C78" w:rsidP="00E578F4">
            <w:pPr>
              <w:pStyle w:val="ae"/>
              <w:rPr>
                <w:b w:val="0"/>
                <w:bCs/>
              </w:rPr>
            </w:pPr>
          </w:p>
        </w:tc>
        <w:tc>
          <w:tcPr>
            <w:tcW w:w="2351" w:type="dxa"/>
            <w:shd w:val="clear" w:color="auto" w:fill="auto"/>
            <w:vAlign w:val="center"/>
          </w:tcPr>
          <w:p w14:paraId="173931C3" w14:textId="77777777" w:rsidR="00913C78" w:rsidRPr="00E578F4" w:rsidRDefault="00913C78" w:rsidP="00E578F4">
            <w:pPr>
              <w:pStyle w:val="ae"/>
              <w:rPr>
                <w:b w:val="0"/>
                <w:bCs/>
              </w:rPr>
            </w:pPr>
          </w:p>
        </w:tc>
        <w:tc>
          <w:tcPr>
            <w:tcW w:w="1388" w:type="dxa"/>
            <w:shd w:val="clear" w:color="auto" w:fill="auto"/>
            <w:vAlign w:val="center"/>
          </w:tcPr>
          <w:p w14:paraId="0836C29C" w14:textId="77777777" w:rsidR="00913C78" w:rsidRPr="00E578F4" w:rsidRDefault="00913C78" w:rsidP="00E578F4">
            <w:pPr>
              <w:pStyle w:val="ae"/>
              <w:rPr>
                <w:b w:val="0"/>
                <w:bCs/>
              </w:rPr>
            </w:pPr>
          </w:p>
        </w:tc>
      </w:tr>
      <w:tr w:rsidR="00913C78" w:rsidRPr="00E578F4" w14:paraId="2A86CB14" w14:textId="77777777" w:rsidTr="00A2511C">
        <w:trPr>
          <w:jc w:val="center"/>
        </w:trPr>
        <w:tc>
          <w:tcPr>
            <w:tcW w:w="850" w:type="dxa"/>
            <w:shd w:val="clear" w:color="auto" w:fill="auto"/>
            <w:vAlign w:val="center"/>
          </w:tcPr>
          <w:p w14:paraId="722724E9" w14:textId="77777777" w:rsidR="00913C78" w:rsidRPr="00E578F4" w:rsidRDefault="00913C78" w:rsidP="00E578F4">
            <w:pPr>
              <w:pStyle w:val="ae"/>
              <w:rPr>
                <w:b w:val="0"/>
                <w:bCs/>
              </w:rPr>
            </w:pPr>
            <w:r w:rsidRPr="00E578F4">
              <w:rPr>
                <w:rFonts w:hint="eastAsia"/>
                <w:b w:val="0"/>
                <w:bCs/>
              </w:rPr>
              <w:t>2</w:t>
            </w:r>
          </w:p>
        </w:tc>
        <w:tc>
          <w:tcPr>
            <w:tcW w:w="907" w:type="dxa"/>
            <w:shd w:val="clear" w:color="auto" w:fill="auto"/>
            <w:vAlign w:val="center"/>
          </w:tcPr>
          <w:p w14:paraId="62BFFB53" w14:textId="77777777" w:rsidR="00913C78" w:rsidRPr="00E578F4" w:rsidRDefault="00913C78" w:rsidP="00E578F4">
            <w:pPr>
              <w:pStyle w:val="ae"/>
              <w:rPr>
                <w:b w:val="0"/>
                <w:bCs/>
              </w:rPr>
            </w:pPr>
          </w:p>
        </w:tc>
        <w:tc>
          <w:tcPr>
            <w:tcW w:w="1729" w:type="dxa"/>
            <w:shd w:val="clear" w:color="auto" w:fill="auto"/>
            <w:vAlign w:val="center"/>
          </w:tcPr>
          <w:p w14:paraId="7A198294" w14:textId="77777777" w:rsidR="00913C78" w:rsidRPr="00E578F4" w:rsidRDefault="00913C78" w:rsidP="00E578F4">
            <w:pPr>
              <w:pStyle w:val="ae"/>
              <w:rPr>
                <w:b w:val="0"/>
                <w:bCs/>
              </w:rPr>
            </w:pPr>
            <w:r w:rsidRPr="00E578F4">
              <w:rPr>
                <w:rFonts w:hint="eastAsia"/>
                <w:b w:val="0"/>
                <w:bCs/>
              </w:rPr>
              <w:t>Q</w:t>
            </w:r>
            <w:r w:rsidRPr="00E578F4">
              <w:rPr>
                <w:b w:val="0"/>
                <w:bCs/>
              </w:rPr>
              <w:t>355</w:t>
            </w:r>
          </w:p>
        </w:tc>
        <w:tc>
          <w:tcPr>
            <w:tcW w:w="1098" w:type="dxa"/>
            <w:shd w:val="clear" w:color="auto" w:fill="auto"/>
            <w:vAlign w:val="center"/>
          </w:tcPr>
          <w:p w14:paraId="3FB36964" w14:textId="77777777" w:rsidR="00913C78" w:rsidRPr="00E578F4" w:rsidRDefault="00913C78" w:rsidP="00E578F4">
            <w:pPr>
              <w:pStyle w:val="ae"/>
              <w:rPr>
                <w:b w:val="0"/>
                <w:bCs/>
              </w:rPr>
            </w:pPr>
          </w:p>
        </w:tc>
        <w:tc>
          <w:tcPr>
            <w:tcW w:w="2351" w:type="dxa"/>
            <w:shd w:val="clear" w:color="auto" w:fill="auto"/>
            <w:vAlign w:val="center"/>
          </w:tcPr>
          <w:p w14:paraId="60DF0475" w14:textId="77777777" w:rsidR="00913C78" w:rsidRPr="00E578F4" w:rsidRDefault="00913C78" w:rsidP="00E578F4">
            <w:pPr>
              <w:pStyle w:val="ae"/>
              <w:rPr>
                <w:b w:val="0"/>
                <w:bCs/>
              </w:rPr>
            </w:pPr>
          </w:p>
        </w:tc>
        <w:tc>
          <w:tcPr>
            <w:tcW w:w="1388" w:type="dxa"/>
            <w:shd w:val="clear" w:color="auto" w:fill="auto"/>
            <w:vAlign w:val="center"/>
          </w:tcPr>
          <w:p w14:paraId="66BAE241" w14:textId="77777777" w:rsidR="00913C78" w:rsidRPr="00E578F4" w:rsidRDefault="00913C78" w:rsidP="00E578F4">
            <w:pPr>
              <w:pStyle w:val="ae"/>
              <w:rPr>
                <w:b w:val="0"/>
                <w:bCs/>
              </w:rPr>
            </w:pPr>
          </w:p>
        </w:tc>
      </w:tr>
      <w:tr w:rsidR="00913C78" w:rsidRPr="00E578F4" w14:paraId="7EC173E6" w14:textId="77777777" w:rsidTr="00A2511C">
        <w:trPr>
          <w:jc w:val="center"/>
        </w:trPr>
        <w:tc>
          <w:tcPr>
            <w:tcW w:w="850" w:type="dxa"/>
            <w:shd w:val="clear" w:color="auto" w:fill="auto"/>
            <w:vAlign w:val="center"/>
          </w:tcPr>
          <w:p w14:paraId="10299496" w14:textId="77777777" w:rsidR="00913C78" w:rsidRPr="00E578F4" w:rsidRDefault="00913C78" w:rsidP="00E578F4">
            <w:pPr>
              <w:pStyle w:val="ae"/>
              <w:rPr>
                <w:b w:val="0"/>
                <w:bCs/>
              </w:rPr>
            </w:pPr>
            <w:r w:rsidRPr="00E578F4">
              <w:rPr>
                <w:rFonts w:hint="eastAsia"/>
                <w:b w:val="0"/>
                <w:bCs/>
              </w:rPr>
              <w:t>3</w:t>
            </w:r>
          </w:p>
        </w:tc>
        <w:tc>
          <w:tcPr>
            <w:tcW w:w="907" w:type="dxa"/>
            <w:shd w:val="clear" w:color="auto" w:fill="auto"/>
            <w:vAlign w:val="center"/>
          </w:tcPr>
          <w:p w14:paraId="2635FB90" w14:textId="77777777" w:rsidR="00913C78" w:rsidRPr="00E578F4" w:rsidRDefault="00913C78" w:rsidP="00E578F4">
            <w:pPr>
              <w:pStyle w:val="ae"/>
              <w:rPr>
                <w:b w:val="0"/>
                <w:bCs/>
              </w:rPr>
            </w:pPr>
          </w:p>
        </w:tc>
        <w:tc>
          <w:tcPr>
            <w:tcW w:w="1729" w:type="dxa"/>
            <w:shd w:val="clear" w:color="auto" w:fill="auto"/>
            <w:vAlign w:val="center"/>
          </w:tcPr>
          <w:p w14:paraId="00007837" w14:textId="77777777" w:rsidR="00913C78" w:rsidRPr="00E578F4" w:rsidRDefault="00913C78" w:rsidP="00E578F4">
            <w:pPr>
              <w:pStyle w:val="ae"/>
              <w:rPr>
                <w:b w:val="0"/>
                <w:bCs/>
              </w:rPr>
            </w:pPr>
            <w:r w:rsidRPr="00E578F4">
              <w:rPr>
                <w:rFonts w:hint="eastAsia"/>
                <w:b w:val="0"/>
                <w:bCs/>
              </w:rPr>
              <w:t>Q</w:t>
            </w:r>
            <w:r w:rsidRPr="00E578F4">
              <w:rPr>
                <w:b w:val="0"/>
                <w:bCs/>
              </w:rPr>
              <w:t>390</w:t>
            </w:r>
          </w:p>
        </w:tc>
        <w:tc>
          <w:tcPr>
            <w:tcW w:w="1098" w:type="dxa"/>
            <w:shd w:val="clear" w:color="auto" w:fill="auto"/>
            <w:vAlign w:val="center"/>
          </w:tcPr>
          <w:p w14:paraId="2D109299" w14:textId="77777777" w:rsidR="00913C78" w:rsidRPr="00E578F4" w:rsidRDefault="00913C78" w:rsidP="00E578F4">
            <w:pPr>
              <w:pStyle w:val="ae"/>
              <w:rPr>
                <w:b w:val="0"/>
                <w:bCs/>
              </w:rPr>
            </w:pPr>
          </w:p>
        </w:tc>
        <w:tc>
          <w:tcPr>
            <w:tcW w:w="2351" w:type="dxa"/>
            <w:shd w:val="clear" w:color="auto" w:fill="auto"/>
            <w:vAlign w:val="center"/>
          </w:tcPr>
          <w:p w14:paraId="6FD4CF66" w14:textId="77777777" w:rsidR="00913C78" w:rsidRPr="00E578F4" w:rsidRDefault="00913C78" w:rsidP="00E578F4">
            <w:pPr>
              <w:pStyle w:val="ae"/>
              <w:rPr>
                <w:b w:val="0"/>
                <w:bCs/>
              </w:rPr>
            </w:pPr>
          </w:p>
        </w:tc>
        <w:tc>
          <w:tcPr>
            <w:tcW w:w="1388" w:type="dxa"/>
            <w:shd w:val="clear" w:color="auto" w:fill="auto"/>
            <w:vAlign w:val="center"/>
          </w:tcPr>
          <w:p w14:paraId="52255F2F" w14:textId="77777777" w:rsidR="00913C78" w:rsidRPr="00E578F4" w:rsidRDefault="00913C78" w:rsidP="00E578F4">
            <w:pPr>
              <w:pStyle w:val="ae"/>
              <w:rPr>
                <w:b w:val="0"/>
                <w:bCs/>
              </w:rPr>
            </w:pPr>
          </w:p>
        </w:tc>
      </w:tr>
      <w:tr w:rsidR="00913C78" w:rsidRPr="00E578F4" w14:paraId="5877831C" w14:textId="77777777" w:rsidTr="00A2511C">
        <w:trPr>
          <w:jc w:val="center"/>
        </w:trPr>
        <w:tc>
          <w:tcPr>
            <w:tcW w:w="850" w:type="dxa"/>
            <w:shd w:val="clear" w:color="auto" w:fill="auto"/>
            <w:vAlign w:val="center"/>
          </w:tcPr>
          <w:p w14:paraId="5E8838FC" w14:textId="77777777" w:rsidR="00913C78" w:rsidRPr="00E578F4" w:rsidRDefault="00913C78" w:rsidP="00E578F4">
            <w:pPr>
              <w:pStyle w:val="ae"/>
              <w:rPr>
                <w:b w:val="0"/>
                <w:bCs/>
              </w:rPr>
            </w:pPr>
            <w:r w:rsidRPr="00E578F4">
              <w:rPr>
                <w:rFonts w:hint="eastAsia"/>
                <w:b w:val="0"/>
                <w:bCs/>
              </w:rPr>
              <w:t>4</w:t>
            </w:r>
          </w:p>
        </w:tc>
        <w:tc>
          <w:tcPr>
            <w:tcW w:w="907" w:type="dxa"/>
            <w:shd w:val="clear" w:color="auto" w:fill="auto"/>
            <w:vAlign w:val="center"/>
          </w:tcPr>
          <w:p w14:paraId="2AFF1442" w14:textId="77777777" w:rsidR="00913C78" w:rsidRPr="00E578F4" w:rsidRDefault="00913C78" w:rsidP="00E578F4">
            <w:pPr>
              <w:pStyle w:val="ae"/>
              <w:rPr>
                <w:b w:val="0"/>
                <w:bCs/>
              </w:rPr>
            </w:pPr>
          </w:p>
        </w:tc>
        <w:tc>
          <w:tcPr>
            <w:tcW w:w="1729" w:type="dxa"/>
            <w:shd w:val="clear" w:color="auto" w:fill="auto"/>
            <w:vAlign w:val="center"/>
          </w:tcPr>
          <w:p w14:paraId="16B8F35B" w14:textId="77777777" w:rsidR="00913C78" w:rsidRPr="00E578F4" w:rsidRDefault="00913C78" w:rsidP="00E578F4">
            <w:pPr>
              <w:pStyle w:val="ae"/>
              <w:rPr>
                <w:b w:val="0"/>
                <w:bCs/>
              </w:rPr>
            </w:pPr>
            <w:r w:rsidRPr="00E578F4">
              <w:rPr>
                <w:rFonts w:hint="eastAsia"/>
                <w:b w:val="0"/>
                <w:bCs/>
              </w:rPr>
              <w:t>Q420</w:t>
            </w:r>
          </w:p>
        </w:tc>
        <w:tc>
          <w:tcPr>
            <w:tcW w:w="1098" w:type="dxa"/>
            <w:shd w:val="clear" w:color="auto" w:fill="auto"/>
            <w:vAlign w:val="center"/>
          </w:tcPr>
          <w:p w14:paraId="505CB98F" w14:textId="77777777" w:rsidR="00913C78" w:rsidRPr="00E578F4" w:rsidRDefault="00913C78" w:rsidP="00E578F4">
            <w:pPr>
              <w:pStyle w:val="ae"/>
              <w:rPr>
                <w:b w:val="0"/>
                <w:bCs/>
              </w:rPr>
            </w:pPr>
          </w:p>
        </w:tc>
        <w:tc>
          <w:tcPr>
            <w:tcW w:w="2351" w:type="dxa"/>
            <w:shd w:val="clear" w:color="auto" w:fill="auto"/>
            <w:vAlign w:val="center"/>
          </w:tcPr>
          <w:p w14:paraId="10477214" w14:textId="77777777" w:rsidR="00913C78" w:rsidRPr="00E578F4" w:rsidRDefault="00913C78" w:rsidP="00E578F4">
            <w:pPr>
              <w:pStyle w:val="ae"/>
              <w:rPr>
                <w:b w:val="0"/>
                <w:bCs/>
              </w:rPr>
            </w:pPr>
          </w:p>
        </w:tc>
        <w:tc>
          <w:tcPr>
            <w:tcW w:w="1388" w:type="dxa"/>
            <w:shd w:val="clear" w:color="auto" w:fill="auto"/>
            <w:vAlign w:val="center"/>
          </w:tcPr>
          <w:p w14:paraId="1FF0158D" w14:textId="77777777" w:rsidR="00913C78" w:rsidRPr="00E578F4" w:rsidRDefault="00913C78" w:rsidP="00E578F4">
            <w:pPr>
              <w:pStyle w:val="ae"/>
              <w:rPr>
                <w:b w:val="0"/>
                <w:bCs/>
              </w:rPr>
            </w:pPr>
          </w:p>
        </w:tc>
      </w:tr>
      <w:tr w:rsidR="00913C78" w:rsidRPr="00E578F4" w14:paraId="7984FB52" w14:textId="77777777" w:rsidTr="00A2511C">
        <w:trPr>
          <w:jc w:val="center"/>
        </w:trPr>
        <w:tc>
          <w:tcPr>
            <w:tcW w:w="850" w:type="dxa"/>
            <w:shd w:val="clear" w:color="auto" w:fill="auto"/>
            <w:vAlign w:val="center"/>
          </w:tcPr>
          <w:p w14:paraId="7BEDAE8C" w14:textId="77777777" w:rsidR="00913C78" w:rsidRPr="00E578F4" w:rsidRDefault="00913C78" w:rsidP="00E578F4">
            <w:pPr>
              <w:pStyle w:val="ae"/>
              <w:rPr>
                <w:b w:val="0"/>
                <w:bCs/>
              </w:rPr>
            </w:pPr>
            <w:r w:rsidRPr="00E578F4">
              <w:rPr>
                <w:rFonts w:hint="eastAsia"/>
                <w:b w:val="0"/>
                <w:bCs/>
              </w:rPr>
              <w:t>5</w:t>
            </w:r>
          </w:p>
        </w:tc>
        <w:tc>
          <w:tcPr>
            <w:tcW w:w="907" w:type="dxa"/>
            <w:shd w:val="clear" w:color="auto" w:fill="auto"/>
            <w:vAlign w:val="center"/>
          </w:tcPr>
          <w:p w14:paraId="684E27D8" w14:textId="77777777" w:rsidR="00913C78" w:rsidRPr="00E578F4" w:rsidRDefault="00913C78" w:rsidP="00E578F4">
            <w:pPr>
              <w:pStyle w:val="ae"/>
              <w:rPr>
                <w:b w:val="0"/>
                <w:bCs/>
              </w:rPr>
            </w:pPr>
          </w:p>
        </w:tc>
        <w:tc>
          <w:tcPr>
            <w:tcW w:w="1729" w:type="dxa"/>
            <w:shd w:val="clear" w:color="auto" w:fill="auto"/>
            <w:vAlign w:val="center"/>
          </w:tcPr>
          <w:p w14:paraId="195B7465" w14:textId="77777777" w:rsidR="00913C78" w:rsidRPr="00E578F4" w:rsidRDefault="00913C78" w:rsidP="00E578F4">
            <w:pPr>
              <w:pStyle w:val="ae"/>
              <w:rPr>
                <w:b w:val="0"/>
                <w:bCs/>
              </w:rPr>
            </w:pPr>
          </w:p>
        </w:tc>
        <w:tc>
          <w:tcPr>
            <w:tcW w:w="1098" w:type="dxa"/>
            <w:shd w:val="clear" w:color="auto" w:fill="auto"/>
            <w:vAlign w:val="center"/>
          </w:tcPr>
          <w:p w14:paraId="648D01E2" w14:textId="77777777" w:rsidR="00913C78" w:rsidRPr="00E578F4" w:rsidRDefault="00913C78" w:rsidP="00E578F4">
            <w:pPr>
              <w:pStyle w:val="ae"/>
              <w:rPr>
                <w:b w:val="0"/>
                <w:bCs/>
              </w:rPr>
            </w:pPr>
          </w:p>
        </w:tc>
        <w:tc>
          <w:tcPr>
            <w:tcW w:w="2351" w:type="dxa"/>
            <w:shd w:val="clear" w:color="auto" w:fill="auto"/>
            <w:vAlign w:val="center"/>
          </w:tcPr>
          <w:p w14:paraId="108E27FA" w14:textId="77777777" w:rsidR="00913C78" w:rsidRPr="00E578F4" w:rsidRDefault="00913C78" w:rsidP="00E578F4">
            <w:pPr>
              <w:pStyle w:val="ae"/>
              <w:rPr>
                <w:b w:val="0"/>
                <w:bCs/>
              </w:rPr>
            </w:pPr>
          </w:p>
        </w:tc>
        <w:tc>
          <w:tcPr>
            <w:tcW w:w="1388" w:type="dxa"/>
            <w:shd w:val="clear" w:color="auto" w:fill="auto"/>
            <w:vAlign w:val="center"/>
          </w:tcPr>
          <w:p w14:paraId="38A05260" w14:textId="77777777" w:rsidR="00913C78" w:rsidRPr="00E578F4" w:rsidRDefault="00913C78" w:rsidP="00E578F4">
            <w:pPr>
              <w:pStyle w:val="ae"/>
              <w:rPr>
                <w:b w:val="0"/>
                <w:bCs/>
              </w:rPr>
            </w:pPr>
          </w:p>
        </w:tc>
      </w:tr>
      <w:tr w:rsidR="00913C78" w:rsidRPr="00E578F4" w14:paraId="0F8AE44A" w14:textId="77777777" w:rsidTr="00A2511C">
        <w:trPr>
          <w:jc w:val="center"/>
        </w:trPr>
        <w:tc>
          <w:tcPr>
            <w:tcW w:w="850" w:type="dxa"/>
            <w:shd w:val="clear" w:color="auto" w:fill="auto"/>
            <w:vAlign w:val="center"/>
          </w:tcPr>
          <w:p w14:paraId="7DAA7FCE" w14:textId="77777777" w:rsidR="00913C78" w:rsidRPr="00E578F4" w:rsidRDefault="00913C78" w:rsidP="00E578F4">
            <w:pPr>
              <w:pStyle w:val="ae"/>
              <w:rPr>
                <w:b w:val="0"/>
                <w:bCs/>
              </w:rPr>
            </w:pPr>
            <w:r w:rsidRPr="00E578F4">
              <w:rPr>
                <w:rFonts w:hint="eastAsia"/>
                <w:b w:val="0"/>
                <w:bCs/>
              </w:rPr>
              <w:t>6</w:t>
            </w:r>
          </w:p>
        </w:tc>
        <w:tc>
          <w:tcPr>
            <w:tcW w:w="907" w:type="dxa"/>
            <w:shd w:val="clear" w:color="auto" w:fill="auto"/>
            <w:vAlign w:val="center"/>
          </w:tcPr>
          <w:p w14:paraId="10F60E54" w14:textId="77777777" w:rsidR="00913C78" w:rsidRPr="00E578F4" w:rsidRDefault="00913C78" w:rsidP="00E578F4">
            <w:pPr>
              <w:pStyle w:val="ae"/>
              <w:rPr>
                <w:b w:val="0"/>
                <w:bCs/>
              </w:rPr>
            </w:pPr>
          </w:p>
        </w:tc>
        <w:tc>
          <w:tcPr>
            <w:tcW w:w="1729" w:type="dxa"/>
            <w:shd w:val="clear" w:color="auto" w:fill="auto"/>
            <w:vAlign w:val="center"/>
          </w:tcPr>
          <w:p w14:paraId="4A90762B" w14:textId="77777777" w:rsidR="00913C78" w:rsidRPr="00E578F4" w:rsidRDefault="00913C78" w:rsidP="00E578F4">
            <w:pPr>
              <w:pStyle w:val="ae"/>
              <w:rPr>
                <w:b w:val="0"/>
                <w:bCs/>
              </w:rPr>
            </w:pPr>
          </w:p>
        </w:tc>
        <w:tc>
          <w:tcPr>
            <w:tcW w:w="1098" w:type="dxa"/>
            <w:shd w:val="clear" w:color="auto" w:fill="auto"/>
            <w:vAlign w:val="center"/>
          </w:tcPr>
          <w:p w14:paraId="23123EAB" w14:textId="77777777" w:rsidR="00913C78" w:rsidRPr="00E578F4" w:rsidRDefault="00913C78" w:rsidP="00E578F4">
            <w:pPr>
              <w:pStyle w:val="ae"/>
              <w:rPr>
                <w:b w:val="0"/>
                <w:bCs/>
              </w:rPr>
            </w:pPr>
          </w:p>
        </w:tc>
        <w:tc>
          <w:tcPr>
            <w:tcW w:w="2351" w:type="dxa"/>
            <w:shd w:val="clear" w:color="auto" w:fill="auto"/>
            <w:vAlign w:val="center"/>
          </w:tcPr>
          <w:p w14:paraId="0DFAE0F1" w14:textId="77777777" w:rsidR="00913C78" w:rsidRPr="00E578F4" w:rsidRDefault="00913C78" w:rsidP="00E578F4">
            <w:pPr>
              <w:pStyle w:val="ae"/>
              <w:rPr>
                <w:b w:val="0"/>
                <w:bCs/>
              </w:rPr>
            </w:pPr>
          </w:p>
        </w:tc>
        <w:tc>
          <w:tcPr>
            <w:tcW w:w="1388" w:type="dxa"/>
            <w:shd w:val="clear" w:color="auto" w:fill="auto"/>
            <w:vAlign w:val="center"/>
          </w:tcPr>
          <w:p w14:paraId="6C944794" w14:textId="77777777" w:rsidR="00913C78" w:rsidRPr="00E578F4" w:rsidRDefault="00913C78" w:rsidP="00E578F4">
            <w:pPr>
              <w:pStyle w:val="ae"/>
              <w:rPr>
                <w:b w:val="0"/>
                <w:bCs/>
              </w:rPr>
            </w:pPr>
          </w:p>
        </w:tc>
      </w:tr>
      <w:tr w:rsidR="00913C78" w:rsidRPr="00E578F4" w14:paraId="73D97786" w14:textId="77777777" w:rsidTr="00A2511C">
        <w:trPr>
          <w:jc w:val="center"/>
        </w:trPr>
        <w:tc>
          <w:tcPr>
            <w:tcW w:w="1757" w:type="dxa"/>
            <w:gridSpan w:val="2"/>
            <w:vMerge w:val="restart"/>
            <w:shd w:val="clear" w:color="auto" w:fill="auto"/>
            <w:vAlign w:val="center"/>
          </w:tcPr>
          <w:p w14:paraId="5E64B788" w14:textId="77777777" w:rsidR="00913C78" w:rsidRPr="00E578F4" w:rsidRDefault="00913C78" w:rsidP="00E578F4">
            <w:pPr>
              <w:pStyle w:val="ae"/>
              <w:rPr>
                <w:b w:val="0"/>
                <w:bCs/>
              </w:rPr>
            </w:pPr>
            <w:r w:rsidRPr="00E578F4">
              <w:rPr>
                <w:b w:val="0"/>
                <w:bCs/>
              </w:rPr>
              <w:t>合计</w:t>
            </w:r>
          </w:p>
        </w:tc>
        <w:tc>
          <w:tcPr>
            <w:tcW w:w="5178" w:type="dxa"/>
            <w:gridSpan w:val="3"/>
            <w:shd w:val="clear" w:color="auto" w:fill="auto"/>
            <w:vAlign w:val="center"/>
          </w:tcPr>
          <w:p w14:paraId="58E1D5A4" w14:textId="77777777" w:rsidR="00913C78" w:rsidRPr="00E578F4" w:rsidRDefault="00913C78" w:rsidP="00E578F4">
            <w:pPr>
              <w:pStyle w:val="ae"/>
              <w:rPr>
                <w:b w:val="0"/>
                <w:bCs/>
              </w:rPr>
            </w:pPr>
            <w:r w:rsidRPr="00E578F4">
              <w:rPr>
                <w:rFonts w:hint="eastAsia"/>
                <w:b w:val="0"/>
                <w:bCs/>
              </w:rPr>
              <w:t>Q345</w:t>
            </w:r>
            <w:r w:rsidRPr="00E578F4">
              <w:rPr>
                <w:rFonts w:hint="eastAsia"/>
                <w:b w:val="0"/>
                <w:bCs/>
              </w:rPr>
              <w:t>及以上高强钢材的重量</w:t>
            </w:r>
          </w:p>
        </w:tc>
        <w:tc>
          <w:tcPr>
            <w:tcW w:w="1388" w:type="dxa"/>
            <w:shd w:val="clear" w:color="auto" w:fill="auto"/>
            <w:vAlign w:val="center"/>
          </w:tcPr>
          <w:p w14:paraId="6ACDCA5E" w14:textId="77777777" w:rsidR="00913C78" w:rsidRPr="00E578F4" w:rsidRDefault="00913C78" w:rsidP="00E578F4">
            <w:pPr>
              <w:pStyle w:val="ae"/>
              <w:rPr>
                <w:b w:val="0"/>
                <w:bCs/>
              </w:rPr>
            </w:pPr>
          </w:p>
        </w:tc>
      </w:tr>
      <w:tr w:rsidR="00913C78" w:rsidRPr="00E578F4" w14:paraId="01EBCEE2" w14:textId="77777777" w:rsidTr="00A2511C">
        <w:trPr>
          <w:jc w:val="center"/>
        </w:trPr>
        <w:tc>
          <w:tcPr>
            <w:tcW w:w="1757" w:type="dxa"/>
            <w:gridSpan w:val="2"/>
            <w:vMerge/>
            <w:shd w:val="clear" w:color="auto" w:fill="auto"/>
            <w:vAlign w:val="center"/>
          </w:tcPr>
          <w:p w14:paraId="78CB47C9" w14:textId="77777777" w:rsidR="00913C78" w:rsidRPr="00E578F4" w:rsidRDefault="00913C78" w:rsidP="00E578F4">
            <w:pPr>
              <w:pStyle w:val="ae"/>
              <w:rPr>
                <w:b w:val="0"/>
                <w:bCs/>
              </w:rPr>
            </w:pPr>
          </w:p>
        </w:tc>
        <w:tc>
          <w:tcPr>
            <w:tcW w:w="5178" w:type="dxa"/>
            <w:gridSpan w:val="3"/>
            <w:shd w:val="clear" w:color="auto" w:fill="auto"/>
            <w:vAlign w:val="center"/>
          </w:tcPr>
          <w:p w14:paraId="298DF0D1" w14:textId="77777777" w:rsidR="00913C78" w:rsidRPr="00E578F4" w:rsidRDefault="00913C78" w:rsidP="00E578F4">
            <w:pPr>
              <w:pStyle w:val="ae"/>
              <w:rPr>
                <w:b w:val="0"/>
                <w:bCs/>
              </w:rPr>
            </w:pPr>
            <w:r w:rsidRPr="00E578F4">
              <w:rPr>
                <w:rFonts w:hint="eastAsia"/>
                <w:b w:val="0"/>
                <w:bCs/>
              </w:rPr>
              <w:t>钢材总量</w:t>
            </w:r>
          </w:p>
        </w:tc>
        <w:tc>
          <w:tcPr>
            <w:tcW w:w="1388" w:type="dxa"/>
            <w:shd w:val="clear" w:color="auto" w:fill="auto"/>
            <w:vAlign w:val="center"/>
          </w:tcPr>
          <w:p w14:paraId="455C5313" w14:textId="77777777" w:rsidR="00913C78" w:rsidRPr="00E578F4" w:rsidRDefault="00913C78" w:rsidP="00E578F4">
            <w:pPr>
              <w:pStyle w:val="ae"/>
              <w:rPr>
                <w:b w:val="0"/>
                <w:bCs/>
              </w:rPr>
            </w:pPr>
          </w:p>
        </w:tc>
      </w:tr>
      <w:tr w:rsidR="00913C78" w:rsidRPr="00E578F4" w14:paraId="3F95009C" w14:textId="77777777" w:rsidTr="00A2511C">
        <w:trPr>
          <w:jc w:val="center"/>
        </w:trPr>
        <w:tc>
          <w:tcPr>
            <w:tcW w:w="1757" w:type="dxa"/>
            <w:gridSpan w:val="2"/>
            <w:vMerge/>
            <w:shd w:val="clear" w:color="auto" w:fill="auto"/>
            <w:vAlign w:val="center"/>
          </w:tcPr>
          <w:p w14:paraId="4E6C5272" w14:textId="77777777" w:rsidR="00913C78" w:rsidRPr="00E578F4" w:rsidRDefault="00913C78" w:rsidP="00E578F4">
            <w:pPr>
              <w:pStyle w:val="ae"/>
              <w:rPr>
                <w:b w:val="0"/>
                <w:bCs/>
              </w:rPr>
            </w:pPr>
          </w:p>
        </w:tc>
        <w:tc>
          <w:tcPr>
            <w:tcW w:w="5178" w:type="dxa"/>
            <w:gridSpan w:val="3"/>
            <w:shd w:val="clear" w:color="auto" w:fill="auto"/>
            <w:vAlign w:val="center"/>
          </w:tcPr>
          <w:p w14:paraId="2CA3CEE9" w14:textId="77777777" w:rsidR="00913C78" w:rsidRPr="00E578F4" w:rsidRDefault="00913C78" w:rsidP="00E578F4">
            <w:pPr>
              <w:pStyle w:val="ae"/>
              <w:rPr>
                <w:b w:val="0"/>
                <w:bCs/>
              </w:rPr>
            </w:pPr>
            <w:r w:rsidRPr="00E578F4">
              <w:rPr>
                <w:rFonts w:hint="eastAsia"/>
                <w:b w:val="0"/>
                <w:bCs/>
              </w:rPr>
              <w:t>Q345</w:t>
            </w:r>
            <w:r w:rsidRPr="00E578F4">
              <w:rPr>
                <w:rFonts w:hint="eastAsia"/>
                <w:b w:val="0"/>
                <w:bCs/>
              </w:rPr>
              <w:t>及以上高强钢材用量与钢材总量的比例</w:t>
            </w:r>
          </w:p>
        </w:tc>
        <w:tc>
          <w:tcPr>
            <w:tcW w:w="1388" w:type="dxa"/>
            <w:shd w:val="clear" w:color="auto" w:fill="auto"/>
            <w:vAlign w:val="center"/>
          </w:tcPr>
          <w:p w14:paraId="234595EA" w14:textId="77777777" w:rsidR="00913C78" w:rsidRPr="00E578F4" w:rsidRDefault="00913C78" w:rsidP="00E578F4">
            <w:pPr>
              <w:pStyle w:val="ae"/>
              <w:rPr>
                <w:b w:val="0"/>
                <w:bCs/>
              </w:rPr>
            </w:pPr>
          </w:p>
        </w:tc>
      </w:tr>
    </w:tbl>
    <w:p w14:paraId="524528E7" w14:textId="77777777" w:rsidR="00913C78" w:rsidRPr="00913C78" w:rsidRDefault="00913C78" w:rsidP="00913C78">
      <w:pPr>
        <w:ind w:firstLine="420"/>
      </w:pPr>
      <w:r w:rsidRPr="00913C78">
        <w:rPr>
          <w:rFonts w:hint="eastAsia"/>
        </w:rPr>
        <w:t>注</w:t>
      </w:r>
      <w:r w:rsidRPr="00913C78">
        <w:t>：</w:t>
      </w:r>
      <w:r w:rsidRPr="00913C78">
        <w:rPr>
          <w:rFonts w:hint="eastAsia"/>
        </w:rPr>
        <w:t>若涉及多栋建筑，应按单栋建筑进行分别计算，计算方式同上。</w:t>
      </w:r>
    </w:p>
    <w:p w14:paraId="423F03A7" w14:textId="77777777" w:rsidR="00913C78" w:rsidRPr="00913C78" w:rsidRDefault="00913C78" w:rsidP="00E578F4">
      <w:pPr>
        <w:pStyle w:val="32"/>
      </w:pPr>
      <w:bookmarkStart w:id="403" w:name="_Toc476242421"/>
      <w:bookmarkStart w:id="404" w:name="_Toc35364814"/>
      <w:r w:rsidRPr="00913C78">
        <w:rPr>
          <w:rFonts w:hint="eastAsia"/>
        </w:rPr>
        <w:t>B.4.3</w:t>
      </w:r>
      <w:r w:rsidRPr="00913C78">
        <w:t xml:space="preserve"> </w:t>
      </w:r>
      <w:r w:rsidRPr="00913C78">
        <w:rPr>
          <w:rFonts w:hint="eastAsia"/>
        </w:rPr>
        <w:t xml:space="preserve"> </w:t>
      </w:r>
      <w:r w:rsidRPr="00913C78">
        <w:rPr>
          <w:rFonts w:hint="eastAsia"/>
        </w:rPr>
        <w:t>结论</w:t>
      </w:r>
      <w:bookmarkEnd w:id="403"/>
      <w:bookmarkEnd w:id="404"/>
    </w:p>
    <w:p w14:paraId="067C006D" w14:textId="77777777" w:rsidR="00913C78" w:rsidRPr="00913C78" w:rsidRDefault="00913C78" w:rsidP="00913C78">
      <w:pPr>
        <w:ind w:firstLine="420"/>
      </w:pPr>
      <w:r w:rsidRPr="00913C78">
        <w:rPr>
          <w:rFonts w:hint="eastAsia"/>
        </w:rPr>
        <w:t>进行达标判定，</w:t>
      </w:r>
      <w:r w:rsidRPr="00913C78">
        <w:t>并</w:t>
      </w:r>
      <w:r w:rsidRPr="00913C78">
        <w:rPr>
          <w:rFonts w:hint="eastAsia"/>
        </w:rPr>
        <w:t>给出结论。</w:t>
      </w:r>
    </w:p>
    <w:p w14:paraId="5E291882" w14:textId="1E44D1DC" w:rsidR="00913C78" w:rsidRPr="00913C78" w:rsidRDefault="00913C78" w:rsidP="00E578F4">
      <w:pPr>
        <w:pStyle w:val="32"/>
      </w:pPr>
      <w:bookmarkStart w:id="405" w:name="_Toc476242422"/>
      <w:bookmarkStart w:id="406" w:name="_Toc35364815"/>
      <w:r w:rsidRPr="00913C78">
        <w:rPr>
          <w:rFonts w:hint="eastAsia"/>
        </w:rPr>
        <w:t>B.4.</w:t>
      </w:r>
      <w:r w:rsidRPr="00913C78">
        <w:t>4</w:t>
      </w:r>
      <w:r w:rsidRPr="00913C78">
        <w:rPr>
          <w:rFonts w:hint="eastAsia"/>
        </w:rPr>
        <w:t xml:space="preserve">  </w:t>
      </w:r>
      <w:r w:rsidRPr="00913C78">
        <w:rPr>
          <w:rFonts w:hint="eastAsia"/>
        </w:rPr>
        <w:t>审查要点</w:t>
      </w:r>
      <w:bookmarkEnd w:id="405"/>
      <w:r w:rsidRPr="00913C78">
        <w:rPr>
          <w:rFonts w:hint="eastAsia"/>
        </w:rPr>
        <w:t>（附表</w:t>
      </w:r>
      <w:r w:rsidRPr="00913C78">
        <w:rPr>
          <w:rFonts w:hint="eastAsia"/>
        </w:rPr>
        <w:t>B.4.4</w:t>
      </w:r>
      <w:r w:rsidRPr="00913C78">
        <w:rPr>
          <w:rFonts w:hint="eastAsia"/>
        </w:rPr>
        <w:t>）</w:t>
      </w:r>
      <w:bookmarkEnd w:id="406"/>
    </w:p>
    <w:p w14:paraId="699E14EE" w14:textId="77777777" w:rsidR="00913C78" w:rsidRPr="00913C78" w:rsidRDefault="00913C78" w:rsidP="00E578F4">
      <w:pPr>
        <w:pStyle w:val="ae"/>
      </w:pPr>
      <w:r w:rsidRPr="00913C78">
        <w:rPr>
          <w:rFonts w:hint="eastAsia"/>
        </w:rPr>
        <w:t>附表</w:t>
      </w:r>
      <w:r w:rsidRPr="00913C78">
        <w:rPr>
          <w:rFonts w:hint="eastAsia"/>
        </w:rPr>
        <w:t xml:space="preserve">B.4.4  </w:t>
      </w:r>
      <w:r w:rsidRPr="00913C78">
        <w:rPr>
          <w:rFonts w:hint="eastAsia"/>
        </w:rPr>
        <w:t>高强度材料使用比例计算报告专家判断表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625"/>
        <w:gridCol w:w="1424"/>
        <w:gridCol w:w="4379"/>
        <w:gridCol w:w="942"/>
      </w:tblGrid>
      <w:tr w:rsidR="00913C78" w:rsidRPr="00E578F4" w14:paraId="7752CEB3" w14:textId="77777777" w:rsidTr="00A2511C">
        <w:trPr>
          <w:jc w:val="center"/>
        </w:trPr>
        <w:tc>
          <w:tcPr>
            <w:tcW w:w="625" w:type="dxa"/>
            <w:shd w:val="clear" w:color="auto" w:fill="auto"/>
            <w:vAlign w:val="center"/>
            <w:hideMark/>
          </w:tcPr>
          <w:p w14:paraId="7095E944" w14:textId="77777777" w:rsidR="00913C78" w:rsidRPr="00E578F4" w:rsidRDefault="00913C78" w:rsidP="00E578F4">
            <w:pPr>
              <w:pStyle w:val="ae"/>
              <w:rPr>
                <w:b w:val="0"/>
                <w:bCs/>
              </w:rPr>
            </w:pPr>
            <w:r w:rsidRPr="00E578F4">
              <w:rPr>
                <w:rFonts w:hint="eastAsia"/>
                <w:b w:val="0"/>
                <w:bCs/>
              </w:rPr>
              <w:t>编号</w:t>
            </w:r>
          </w:p>
        </w:tc>
        <w:tc>
          <w:tcPr>
            <w:tcW w:w="1424" w:type="dxa"/>
            <w:shd w:val="clear" w:color="auto" w:fill="auto"/>
            <w:vAlign w:val="center"/>
            <w:hideMark/>
          </w:tcPr>
          <w:p w14:paraId="4222CABE" w14:textId="77777777" w:rsidR="00913C78" w:rsidRPr="00E578F4" w:rsidRDefault="00913C78" w:rsidP="00E578F4">
            <w:pPr>
              <w:pStyle w:val="ae"/>
              <w:rPr>
                <w:b w:val="0"/>
                <w:bCs/>
              </w:rPr>
            </w:pPr>
            <w:r w:rsidRPr="00E578F4">
              <w:rPr>
                <w:rFonts w:hint="eastAsia"/>
                <w:b w:val="0"/>
                <w:bCs/>
              </w:rPr>
              <w:t>审查要点</w:t>
            </w:r>
          </w:p>
        </w:tc>
        <w:tc>
          <w:tcPr>
            <w:tcW w:w="4379" w:type="dxa"/>
            <w:shd w:val="clear" w:color="auto" w:fill="auto"/>
            <w:vAlign w:val="center"/>
            <w:hideMark/>
          </w:tcPr>
          <w:p w14:paraId="4BC8AA5F" w14:textId="77777777" w:rsidR="00913C78" w:rsidRPr="00E578F4" w:rsidRDefault="00913C78" w:rsidP="00E578F4">
            <w:pPr>
              <w:pStyle w:val="af7"/>
              <w:jc w:val="center"/>
            </w:pPr>
            <w:r w:rsidRPr="00E578F4">
              <w:rPr>
                <w:rFonts w:hint="eastAsia"/>
              </w:rPr>
              <w:t>具体判断</w:t>
            </w:r>
          </w:p>
        </w:tc>
        <w:tc>
          <w:tcPr>
            <w:tcW w:w="942" w:type="dxa"/>
            <w:shd w:val="clear" w:color="auto" w:fill="auto"/>
            <w:vAlign w:val="center"/>
            <w:hideMark/>
          </w:tcPr>
          <w:p w14:paraId="6C3CE60F" w14:textId="77777777" w:rsidR="00913C78" w:rsidRPr="00E578F4" w:rsidRDefault="00913C78" w:rsidP="00E578F4">
            <w:pPr>
              <w:pStyle w:val="ae"/>
              <w:rPr>
                <w:b w:val="0"/>
                <w:bCs/>
              </w:rPr>
            </w:pPr>
            <w:r w:rsidRPr="00E578F4">
              <w:rPr>
                <w:rFonts w:hint="eastAsia"/>
                <w:b w:val="0"/>
                <w:bCs/>
              </w:rPr>
              <w:t>是否满足</w:t>
            </w:r>
          </w:p>
        </w:tc>
      </w:tr>
      <w:tr w:rsidR="00913C78" w:rsidRPr="00E578F4" w14:paraId="5211CCDF" w14:textId="77777777" w:rsidTr="00A2511C">
        <w:trPr>
          <w:jc w:val="center"/>
        </w:trPr>
        <w:tc>
          <w:tcPr>
            <w:tcW w:w="625" w:type="dxa"/>
            <w:shd w:val="clear" w:color="auto" w:fill="auto"/>
            <w:vAlign w:val="center"/>
            <w:hideMark/>
          </w:tcPr>
          <w:p w14:paraId="3ED08F9B" w14:textId="77777777" w:rsidR="00913C78" w:rsidRPr="00E578F4" w:rsidRDefault="00913C78" w:rsidP="00E578F4">
            <w:pPr>
              <w:pStyle w:val="ae"/>
              <w:rPr>
                <w:b w:val="0"/>
                <w:bCs/>
              </w:rPr>
            </w:pPr>
            <w:r w:rsidRPr="00E578F4">
              <w:rPr>
                <w:rFonts w:hint="eastAsia"/>
                <w:b w:val="0"/>
                <w:bCs/>
              </w:rPr>
              <w:t>1</w:t>
            </w:r>
          </w:p>
        </w:tc>
        <w:tc>
          <w:tcPr>
            <w:tcW w:w="1424" w:type="dxa"/>
            <w:shd w:val="clear" w:color="auto" w:fill="auto"/>
            <w:vAlign w:val="center"/>
            <w:hideMark/>
          </w:tcPr>
          <w:p w14:paraId="6221FA68" w14:textId="77777777" w:rsidR="00913C78" w:rsidRPr="00E578F4" w:rsidRDefault="00913C78" w:rsidP="00E578F4">
            <w:pPr>
              <w:pStyle w:val="ae"/>
              <w:rPr>
                <w:b w:val="0"/>
                <w:bCs/>
              </w:rPr>
            </w:pPr>
            <w:r w:rsidRPr="00E578F4">
              <w:rPr>
                <w:rFonts w:hint="eastAsia"/>
                <w:b w:val="0"/>
                <w:bCs/>
              </w:rPr>
              <w:t>计算依据</w:t>
            </w:r>
          </w:p>
        </w:tc>
        <w:tc>
          <w:tcPr>
            <w:tcW w:w="4379" w:type="dxa"/>
            <w:shd w:val="clear" w:color="auto" w:fill="auto"/>
            <w:vAlign w:val="center"/>
            <w:hideMark/>
          </w:tcPr>
          <w:p w14:paraId="4C906476" w14:textId="77777777" w:rsidR="00913C78" w:rsidRPr="00E578F4" w:rsidRDefault="00913C78" w:rsidP="00E578F4">
            <w:pPr>
              <w:pStyle w:val="af7"/>
            </w:pPr>
            <w:r w:rsidRPr="00E578F4">
              <w:rPr>
                <w:rFonts w:hint="eastAsia"/>
              </w:rPr>
              <w:t>计算基础数据有可靠来源，写明基础数据及来源、参考标准、资料。设计评价数据</w:t>
            </w:r>
            <w:r w:rsidRPr="00E578F4">
              <w:t>来源</w:t>
            </w:r>
            <w:r w:rsidRPr="00E578F4">
              <w:rPr>
                <w:rFonts w:hint="eastAsia"/>
              </w:rPr>
              <w:t>为结构施工图、项目概预算清单；竣工评价数据</w:t>
            </w:r>
            <w:r w:rsidRPr="00E578F4">
              <w:t>来源</w:t>
            </w:r>
            <w:r w:rsidRPr="00E578F4">
              <w:rPr>
                <w:rFonts w:hint="eastAsia"/>
              </w:rPr>
              <w:t>为竣工图、材料决算清单</w:t>
            </w:r>
          </w:p>
        </w:tc>
        <w:tc>
          <w:tcPr>
            <w:tcW w:w="942" w:type="dxa"/>
            <w:shd w:val="clear" w:color="auto" w:fill="auto"/>
            <w:vAlign w:val="center"/>
            <w:hideMark/>
          </w:tcPr>
          <w:p w14:paraId="5A6AE64C" w14:textId="77777777" w:rsidR="00913C78" w:rsidRPr="00E578F4" w:rsidRDefault="00913C78" w:rsidP="00E578F4">
            <w:pPr>
              <w:pStyle w:val="ae"/>
              <w:rPr>
                <w:b w:val="0"/>
                <w:bCs/>
              </w:rPr>
            </w:pPr>
          </w:p>
        </w:tc>
      </w:tr>
      <w:tr w:rsidR="00913C78" w:rsidRPr="00E578F4" w14:paraId="43FEB9B1" w14:textId="77777777" w:rsidTr="00A2511C">
        <w:trPr>
          <w:jc w:val="center"/>
        </w:trPr>
        <w:tc>
          <w:tcPr>
            <w:tcW w:w="625" w:type="dxa"/>
            <w:vMerge w:val="restart"/>
            <w:shd w:val="clear" w:color="auto" w:fill="auto"/>
            <w:vAlign w:val="center"/>
            <w:hideMark/>
          </w:tcPr>
          <w:p w14:paraId="0FED69FF" w14:textId="77777777" w:rsidR="00913C78" w:rsidRPr="00E578F4" w:rsidRDefault="00913C78" w:rsidP="00E578F4">
            <w:pPr>
              <w:pStyle w:val="ae"/>
              <w:rPr>
                <w:b w:val="0"/>
                <w:bCs/>
              </w:rPr>
            </w:pPr>
            <w:r w:rsidRPr="00E578F4">
              <w:rPr>
                <w:rFonts w:hint="eastAsia"/>
                <w:b w:val="0"/>
                <w:bCs/>
              </w:rPr>
              <w:t>2</w:t>
            </w:r>
          </w:p>
        </w:tc>
        <w:tc>
          <w:tcPr>
            <w:tcW w:w="1424" w:type="dxa"/>
            <w:vMerge w:val="restart"/>
            <w:shd w:val="clear" w:color="auto" w:fill="auto"/>
            <w:vAlign w:val="center"/>
            <w:hideMark/>
          </w:tcPr>
          <w:p w14:paraId="22080D17" w14:textId="77777777" w:rsidR="00913C78" w:rsidRPr="00E578F4" w:rsidRDefault="00913C78" w:rsidP="00E578F4">
            <w:pPr>
              <w:pStyle w:val="ae"/>
              <w:rPr>
                <w:b w:val="0"/>
                <w:bCs/>
              </w:rPr>
            </w:pPr>
            <w:r w:rsidRPr="00E578F4">
              <w:rPr>
                <w:rFonts w:hint="eastAsia"/>
                <w:b w:val="0"/>
                <w:bCs/>
              </w:rPr>
              <w:t>计算内容</w:t>
            </w:r>
          </w:p>
        </w:tc>
        <w:tc>
          <w:tcPr>
            <w:tcW w:w="4379" w:type="dxa"/>
            <w:shd w:val="clear" w:color="auto" w:fill="auto"/>
            <w:vAlign w:val="center"/>
            <w:hideMark/>
          </w:tcPr>
          <w:p w14:paraId="29EB00B3" w14:textId="77777777" w:rsidR="00913C78" w:rsidRPr="00E578F4" w:rsidRDefault="00913C78" w:rsidP="00E578F4">
            <w:pPr>
              <w:pStyle w:val="af7"/>
            </w:pPr>
            <w:r w:rsidRPr="00E578F4">
              <w:rPr>
                <w:rFonts w:hint="eastAsia"/>
              </w:rPr>
              <w:t>统计明确高</w:t>
            </w:r>
            <w:r w:rsidRPr="00E578F4">
              <w:t>强度材料的</w:t>
            </w:r>
            <w:r w:rsidRPr="00E578F4">
              <w:rPr>
                <w:rFonts w:hint="eastAsia"/>
              </w:rPr>
              <w:t>使用部位及用量</w:t>
            </w:r>
          </w:p>
        </w:tc>
        <w:tc>
          <w:tcPr>
            <w:tcW w:w="942" w:type="dxa"/>
            <w:shd w:val="clear" w:color="auto" w:fill="auto"/>
            <w:vAlign w:val="center"/>
            <w:hideMark/>
          </w:tcPr>
          <w:p w14:paraId="3786A899" w14:textId="77777777" w:rsidR="00913C78" w:rsidRPr="00E578F4" w:rsidRDefault="00913C78" w:rsidP="00E578F4">
            <w:pPr>
              <w:pStyle w:val="ae"/>
              <w:rPr>
                <w:b w:val="0"/>
                <w:bCs/>
              </w:rPr>
            </w:pPr>
          </w:p>
        </w:tc>
      </w:tr>
      <w:tr w:rsidR="00913C78" w:rsidRPr="00E578F4" w14:paraId="5425811F" w14:textId="77777777" w:rsidTr="00A2511C">
        <w:trPr>
          <w:jc w:val="center"/>
        </w:trPr>
        <w:tc>
          <w:tcPr>
            <w:tcW w:w="625" w:type="dxa"/>
            <w:vMerge/>
            <w:shd w:val="clear" w:color="auto" w:fill="auto"/>
            <w:vAlign w:val="center"/>
          </w:tcPr>
          <w:p w14:paraId="1E26996A" w14:textId="77777777" w:rsidR="00913C78" w:rsidRPr="00E578F4" w:rsidRDefault="00913C78" w:rsidP="00E578F4">
            <w:pPr>
              <w:pStyle w:val="ae"/>
              <w:rPr>
                <w:b w:val="0"/>
                <w:bCs/>
              </w:rPr>
            </w:pPr>
          </w:p>
        </w:tc>
        <w:tc>
          <w:tcPr>
            <w:tcW w:w="1424" w:type="dxa"/>
            <w:vMerge/>
            <w:shd w:val="clear" w:color="auto" w:fill="auto"/>
            <w:vAlign w:val="center"/>
          </w:tcPr>
          <w:p w14:paraId="49D83061" w14:textId="77777777" w:rsidR="00913C78" w:rsidRPr="00E578F4" w:rsidRDefault="00913C78" w:rsidP="00E578F4">
            <w:pPr>
              <w:pStyle w:val="ae"/>
              <w:rPr>
                <w:b w:val="0"/>
                <w:bCs/>
              </w:rPr>
            </w:pPr>
          </w:p>
        </w:tc>
        <w:tc>
          <w:tcPr>
            <w:tcW w:w="4379" w:type="dxa"/>
            <w:shd w:val="clear" w:color="auto" w:fill="auto"/>
            <w:vAlign w:val="center"/>
          </w:tcPr>
          <w:p w14:paraId="05C4CDE9" w14:textId="77777777" w:rsidR="00913C78" w:rsidRPr="00E578F4" w:rsidRDefault="00913C78" w:rsidP="00E578F4">
            <w:pPr>
              <w:pStyle w:val="af7"/>
            </w:pPr>
            <w:r w:rsidRPr="00E578F4">
              <w:rPr>
                <w:rFonts w:hint="eastAsia"/>
              </w:rPr>
              <w:t>如果涉及多栋建筑，分楼栋号分别统计</w:t>
            </w:r>
          </w:p>
        </w:tc>
        <w:tc>
          <w:tcPr>
            <w:tcW w:w="942" w:type="dxa"/>
            <w:shd w:val="clear" w:color="auto" w:fill="auto"/>
            <w:vAlign w:val="center"/>
          </w:tcPr>
          <w:p w14:paraId="6A1C20DC" w14:textId="77777777" w:rsidR="00913C78" w:rsidRPr="00E578F4" w:rsidRDefault="00913C78" w:rsidP="00E578F4">
            <w:pPr>
              <w:pStyle w:val="ae"/>
              <w:rPr>
                <w:b w:val="0"/>
                <w:bCs/>
              </w:rPr>
            </w:pPr>
          </w:p>
        </w:tc>
      </w:tr>
      <w:tr w:rsidR="00913C78" w:rsidRPr="00E578F4" w14:paraId="12FF0E5B" w14:textId="77777777" w:rsidTr="00A2511C">
        <w:trPr>
          <w:jc w:val="center"/>
        </w:trPr>
        <w:tc>
          <w:tcPr>
            <w:tcW w:w="625" w:type="dxa"/>
            <w:shd w:val="clear" w:color="auto" w:fill="auto"/>
            <w:vAlign w:val="center"/>
          </w:tcPr>
          <w:p w14:paraId="3DD75D00" w14:textId="77777777" w:rsidR="00913C78" w:rsidRPr="00E578F4" w:rsidRDefault="00913C78" w:rsidP="00E578F4">
            <w:pPr>
              <w:pStyle w:val="ae"/>
              <w:rPr>
                <w:b w:val="0"/>
                <w:bCs/>
              </w:rPr>
            </w:pPr>
            <w:r w:rsidRPr="00E578F4">
              <w:rPr>
                <w:rFonts w:hint="eastAsia"/>
                <w:b w:val="0"/>
                <w:bCs/>
              </w:rPr>
              <w:t>3</w:t>
            </w:r>
          </w:p>
        </w:tc>
        <w:tc>
          <w:tcPr>
            <w:tcW w:w="1424" w:type="dxa"/>
            <w:shd w:val="clear" w:color="auto" w:fill="auto"/>
            <w:vAlign w:val="center"/>
          </w:tcPr>
          <w:p w14:paraId="0A17A192" w14:textId="77777777" w:rsidR="00913C78" w:rsidRPr="00E578F4" w:rsidRDefault="00913C78" w:rsidP="00E578F4">
            <w:pPr>
              <w:pStyle w:val="ae"/>
              <w:rPr>
                <w:b w:val="0"/>
                <w:bCs/>
              </w:rPr>
            </w:pPr>
            <w:r w:rsidRPr="00E578F4">
              <w:rPr>
                <w:rFonts w:hint="eastAsia"/>
                <w:b w:val="0"/>
                <w:bCs/>
              </w:rPr>
              <w:t>计算结果</w:t>
            </w:r>
          </w:p>
        </w:tc>
        <w:tc>
          <w:tcPr>
            <w:tcW w:w="4379" w:type="dxa"/>
            <w:shd w:val="clear" w:color="auto" w:fill="auto"/>
            <w:vAlign w:val="center"/>
          </w:tcPr>
          <w:p w14:paraId="479E05FA" w14:textId="77777777" w:rsidR="00913C78" w:rsidRPr="00E578F4" w:rsidRDefault="00913C78" w:rsidP="00E578F4">
            <w:pPr>
              <w:pStyle w:val="af7"/>
            </w:pPr>
            <w:r w:rsidRPr="00E578F4">
              <w:rPr>
                <w:rFonts w:hint="eastAsia"/>
              </w:rPr>
              <w:t>计算</w:t>
            </w:r>
            <w:r w:rsidRPr="00E578F4">
              <w:t>结果满足标准要求</w:t>
            </w:r>
          </w:p>
        </w:tc>
        <w:tc>
          <w:tcPr>
            <w:tcW w:w="942" w:type="dxa"/>
            <w:shd w:val="clear" w:color="auto" w:fill="auto"/>
            <w:vAlign w:val="center"/>
          </w:tcPr>
          <w:p w14:paraId="14581A8B" w14:textId="77777777" w:rsidR="00913C78" w:rsidRPr="00E578F4" w:rsidRDefault="00913C78" w:rsidP="00E578F4">
            <w:pPr>
              <w:pStyle w:val="ae"/>
              <w:rPr>
                <w:b w:val="0"/>
                <w:bCs/>
              </w:rPr>
            </w:pPr>
          </w:p>
        </w:tc>
      </w:tr>
    </w:tbl>
    <w:p w14:paraId="5DD673F3" w14:textId="6031EBDE" w:rsidR="00913C78" w:rsidRPr="00913C78" w:rsidRDefault="00913C78" w:rsidP="00E578F4">
      <w:pPr>
        <w:pStyle w:val="24"/>
      </w:pPr>
      <w:bookmarkStart w:id="407" w:name="_Toc35364816"/>
      <w:r w:rsidRPr="00913C78">
        <w:rPr>
          <w:rFonts w:hint="eastAsia"/>
        </w:rPr>
        <w:lastRenderedPageBreak/>
        <w:t>附录</w:t>
      </w:r>
      <w:r w:rsidRPr="00913C78">
        <w:rPr>
          <w:rFonts w:hint="eastAsia"/>
        </w:rPr>
        <w:t>B.</w:t>
      </w:r>
      <w:r w:rsidRPr="00913C78">
        <w:t>5</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——可再循环材料使用比例计算报告提纲及要求</w:t>
      </w:r>
      <w:bookmarkEnd w:id="407"/>
    </w:p>
    <w:p w14:paraId="072B28A4" w14:textId="77777777" w:rsidR="00913C78" w:rsidRPr="00913C78" w:rsidRDefault="00913C78" w:rsidP="00E578F4">
      <w:pPr>
        <w:pStyle w:val="32"/>
      </w:pPr>
      <w:bookmarkStart w:id="408" w:name="_Toc35364817"/>
      <w:r w:rsidRPr="00913C78">
        <w:rPr>
          <w:rFonts w:hint="eastAsia"/>
        </w:rPr>
        <w:t xml:space="preserve">B.5.1  </w:t>
      </w:r>
      <w:r w:rsidRPr="00913C78">
        <w:t>综合概况</w:t>
      </w:r>
      <w:bookmarkEnd w:id="408"/>
    </w:p>
    <w:p w14:paraId="1DC2DC9E" w14:textId="77777777" w:rsidR="00913C78" w:rsidRPr="00913C78" w:rsidRDefault="00913C78" w:rsidP="00913C78">
      <w:pPr>
        <w:ind w:firstLine="420"/>
      </w:pPr>
      <w:r w:rsidRPr="00913C78">
        <w:rPr>
          <w:rFonts w:hint="eastAsia"/>
        </w:rPr>
        <w:t>◎</w:t>
      </w:r>
      <w:r w:rsidRPr="00913C78">
        <w:t xml:space="preserve"> </w:t>
      </w:r>
      <w:r w:rsidRPr="00913C78">
        <w:rPr>
          <w:rFonts w:hint="eastAsia"/>
        </w:rPr>
        <w:t>项目基本信息</w:t>
      </w:r>
    </w:p>
    <w:p w14:paraId="57966659" w14:textId="77777777" w:rsidR="00913C78" w:rsidRPr="00913C78" w:rsidRDefault="00913C78" w:rsidP="00913C78">
      <w:pPr>
        <w:ind w:firstLine="420"/>
      </w:pPr>
      <w:r w:rsidRPr="00913C78">
        <w:rPr>
          <w:rFonts w:hint="eastAsia"/>
        </w:rPr>
        <w:t>项目基本信息项目应包括但</w:t>
      </w:r>
      <w:r w:rsidRPr="00913C78">
        <w:t>不限于</w:t>
      </w:r>
      <w:r w:rsidRPr="00913C78">
        <w:rPr>
          <w:rFonts w:hint="eastAsia"/>
        </w:rPr>
        <w:t>：建筑</w:t>
      </w:r>
      <w:r w:rsidRPr="00913C78">
        <w:t>位置</w:t>
      </w:r>
      <w:r w:rsidRPr="00913C78">
        <w:rPr>
          <w:rFonts w:hint="eastAsia"/>
        </w:rPr>
        <w:t>、占地面积、建筑</w:t>
      </w:r>
      <w:r w:rsidRPr="00913C78">
        <w:t>面积</w:t>
      </w:r>
      <w:r w:rsidRPr="00913C78">
        <w:rPr>
          <w:rFonts w:hint="eastAsia"/>
        </w:rPr>
        <w:t>和建筑类型</w:t>
      </w:r>
      <w:r w:rsidRPr="00913C78">
        <w:t>。</w:t>
      </w:r>
    </w:p>
    <w:p w14:paraId="3FE15314" w14:textId="77777777" w:rsidR="00913C78" w:rsidRPr="00913C78" w:rsidRDefault="00913C78" w:rsidP="00913C78">
      <w:pPr>
        <w:ind w:firstLine="420"/>
      </w:pPr>
      <w:r w:rsidRPr="00913C78">
        <w:rPr>
          <w:rFonts w:hint="eastAsia"/>
        </w:rPr>
        <w:t>◎</w:t>
      </w:r>
      <w:r w:rsidRPr="00913C78">
        <w:t xml:space="preserve"> </w:t>
      </w:r>
      <w:r w:rsidRPr="00913C78">
        <w:rPr>
          <w:rFonts w:hint="eastAsia"/>
        </w:rPr>
        <w:t>标准要求</w:t>
      </w:r>
    </w:p>
    <w:p w14:paraId="423CEB93" w14:textId="77777777" w:rsidR="00913C78" w:rsidRPr="00913C78" w:rsidRDefault="00913C78" w:rsidP="00913C78">
      <w:pPr>
        <w:ind w:firstLine="420"/>
      </w:pPr>
      <w:r w:rsidRPr="00913C78">
        <w:rPr>
          <w:rFonts w:hint="eastAsia"/>
        </w:rPr>
        <w:t>标准要求应</w:t>
      </w:r>
      <w:r w:rsidRPr="00913C78">
        <w:t>包括：</w:t>
      </w:r>
      <w:r w:rsidRPr="00913C78">
        <w:rPr>
          <w:rFonts w:hint="eastAsia"/>
        </w:rPr>
        <w:t>对应的绿色建筑标准及条款、标准规定的计算要求、评分要求及达标要求。</w:t>
      </w:r>
    </w:p>
    <w:p w14:paraId="362640EB" w14:textId="77777777" w:rsidR="00913C78" w:rsidRPr="00913C78" w:rsidRDefault="00913C78" w:rsidP="00E578F4">
      <w:pPr>
        <w:pStyle w:val="32"/>
      </w:pPr>
      <w:bookmarkStart w:id="409" w:name="_Toc35364818"/>
      <w:r w:rsidRPr="00913C78">
        <w:rPr>
          <w:rFonts w:hint="eastAsia"/>
        </w:rPr>
        <w:t xml:space="preserve">B.5.2  </w:t>
      </w:r>
      <w:r w:rsidRPr="00913C78">
        <w:rPr>
          <w:rFonts w:hint="eastAsia"/>
        </w:rPr>
        <w:t>计算过程</w:t>
      </w:r>
      <w:bookmarkEnd w:id="409"/>
    </w:p>
    <w:p w14:paraId="74953B07" w14:textId="77777777" w:rsidR="00913C78" w:rsidRPr="00913C78" w:rsidRDefault="00913C78" w:rsidP="00913C78">
      <w:pPr>
        <w:ind w:firstLine="420"/>
      </w:pPr>
      <w:r w:rsidRPr="00913C78">
        <w:rPr>
          <w:rFonts w:hint="eastAsia"/>
        </w:rPr>
        <w:t>◎</w:t>
      </w:r>
      <w:r w:rsidRPr="00913C78">
        <w:t xml:space="preserve"> </w:t>
      </w:r>
      <w:r w:rsidRPr="00913C78">
        <w:rPr>
          <w:rFonts w:hint="eastAsia"/>
        </w:rPr>
        <w:t>计算依据</w:t>
      </w:r>
    </w:p>
    <w:p w14:paraId="1C067C92" w14:textId="77777777" w:rsidR="00913C78" w:rsidRPr="00913C78" w:rsidRDefault="00913C78" w:rsidP="00913C78">
      <w:pPr>
        <w:ind w:firstLine="420"/>
      </w:pPr>
      <w:r w:rsidRPr="00913C78">
        <w:rPr>
          <w:rFonts w:hint="eastAsia"/>
        </w:rPr>
        <w:t>计算依据应包括但不限于：应</w:t>
      </w:r>
      <w:r w:rsidRPr="00913C78">
        <w:t>写明</w:t>
      </w:r>
      <w:r w:rsidRPr="00913C78">
        <w:rPr>
          <w:rFonts w:hint="eastAsia"/>
        </w:rPr>
        <w:t>基础</w:t>
      </w:r>
      <w:r w:rsidRPr="00913C78">
        <w:t>数据来源</w:t>
      </w:r>
      <w:r w:rsidRPr="00913C78">
        <w:rPr>
          <w:rFonts w:hint="eastAsia"/>
        </w:rPr>
        <w:t>、</w:t>
      </w:r>
      <w:r w:rsidRPr="00913C78">
        <w:t>参考标准</w:t>
      </w:r>
      <w:r w:rsidRPr="00913C78">
        <w:rPr>
          <w:rFonts w:hint="eastAsia"/>
        </w:rPr>
        <w:t>、</w:t>
      </w:r>
      <w:r w:rsidRPr="00913C78">
        <w:t>资料</w:t>
      </w:r>
      <w:r w:rsidRPr="00913C78">
        <w:rPr>
          <w:rFonts w:hint="eastAsia"/>
        </w:rPr>
        <w:t>。</w:t>
      </w:r>
    </w:p>
    <w:p w14:paraId="3FE5BEC9"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《绿色建筑评价标准》。</w:t>
      </w:r>
    </w:p>
    <w:p w14:paraId="6BD50560"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设计评价为结构施工图、项目概预算清单。</w:t>
      </w:r>
    </w:p>
    <w:p w14:paraId="663C2457"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竣工评价为竣工图、材料决算清单。</w:t>
      </w:r>
    </w:p>
    <w:p w14:paraId="2C4B102C" w14:textId="77777777" w:rsidR="00913C78" w:rsidRPr="00913C78" w:rsidRDefault="00913C78" w:rsidP="00913C78">
      <w:pPr>
        <w:ind w:firstLine="420"/>
      </w:pPr>
      <w:r w:rsidRPr="00913C78">
        <w:rPr>
          <w:rFonts w:hint="eastAsia"/>
        </w:rPr>
        <w:t>◎</w:t>
      </w:r>
      <w:r w:rsidRPr="00913C78">
        <w:t xml:space="preserve"> </w:t>
      </w:r>
      <w:r w:rsidRPr="00913C78">
        <w:rPr>
          <w:rFonts w:hint="eastAsia"/>
        </w:rPr>
        <w:t>计算内</w:t>
      </w:r>
      <w:r w:rsidRPr="00913C78">
        <w:t>容</w:t>
      </w:r>
      <w:r w:rsidRPr="00913C78">
        <w:rPr>
          <w:rFonts w:hint="eastAsia"/>
        </w:rPr>
        <w:t>及</w:t>
      </w:r>
      <w:r w:rsidRPr="00913C78">
        <w:t>结果</w:t>
      </w:r>
    </w:p>
    <w:p w14:paraId="56B83768" w14:textId="77777777" w:rsidR="00913C78" w:rsidRPr="00913C78" w:rsidRDefault="00913C78" w:rsidP="00913C78">
      <w:pPr>
        <w:ind w:firstLine="420"/>
      </w:pPr>
      <w:r w:rsidRPr="00913C78">
        <w:rPr>
          <w:rFonts w:hint="eastAsia"/>
        </w:rPr>
        <w:t>应说明建筑主要</w:t>
      </w:r>
      <w:r w:rsidRPr="00913C78">
        <w:t>使用</w:t>
      </w:r>
      <w:r w:rsidRPr="00913C78">
        <w:rPr>
          <w:rFonts w:hint="eastAsia"/>
        </w:rPr>
        <w:t>的不可</w:t>
      </w:r>
      <w:r w:rsidRPr="00913C78">
        <w:t>循环材料</w:t>
      </w:r>
      <w:r w:rsidRPr="00913C78">
        <w:rPr>
          <w:rFonts w:hint="eastAsia"/>
        </w:rPr>
        <w:t>［一般</w:t>
      </w:r>
      <w:r w:rsidRPr="00913C78">
        <w:t>为</w:t>
      </w:r>
      <w:r w:rsidRPr="00913C78">
        <w:rPr>
          <w:rFonts w:hint="eastAsia"/>
        </w:rPr>
        <w:t>混凝土、建筑砂浆（含砂和水泥）、墙体填充材料（砌块等）、乳胶漆涂料、防水材料等］</w:t>
      </w:r>
      <w:r w:rsidRPr="00913C78">
        <w:t>和</w:t>
      </w:r>
      <w:r w:rsidRPr="00913C78">
        <w:rPr>
          <w:rFonts w:hint="eastAsia"/>
        </w:rPr>
        <w:t>可</w:t>
      </w:r>
      <w:r w:rsidRPr="00913C78">
        <w:t>循环材料</w:t>
      </w:r>
      <w:r w:rsidRPr="00913C78">
        <w:rPr>
          <w:rFonts w:hint="eastAsia"/>
        </w:rPr>
        <w:t>［一般为钢筋（一级钢、三级钢等）、各种钢材（如型钢、钢管、铁艺、铁皮等）、铝合金型材、建筑玻璃、木材、铜等］，并根据项目的建筑面积，进行计算建安工程量，计算出大宗材料的用量，其余辅材可根据实际情况进行估算。具体详细计算表见附表</w:t>
      </w:r>
      <w:r w:rsidRPr="00913C78">
        <w:t> </w:t>
      </w:r>
      <w:r w:rsidRPr="00913C78">
        <w:rPr>
          <w:rFonts w:hint="eastAsia"/>
        </w:rPr>
        <w:t>B.5.1</w:t>
      </w:r>
      <w:r w:rsidRPr="00913C78">
        <w:rPr>
          <w:rFonts w:hint="eastAsia"/>
        </w:rPr>
        <w:t>。</w:t>
      </w:r>
    </w:p>
    <w:p w14:paraId="74327F4C" w14:textId="77777777" w:rsidR="00913C78" w:rsidRPr="00913C78" w:rsidRDefault="00913C78" w:rsidP="00E578F4">
      <w:pPr>
        <w:pStyle w:val="ae"/>
      </w:pPr>
      <w:r w:rsidRPr="00913C78">
        <w:rPr>
          <w:rFonts w:hint="eastAsia"/>
        </w:rPr>
        <w:t>附表</w:t>
      </w:r>
      <w:r w:rsidRPr="00913C78">
        <w:rPr>
          <w:rFonts w:hint="eastAsia"/>
        </w:rPr>
        <w:t xml:space="preserve">B.5.1  </w:t>
      </w:r>
      <w:r w:rsidRPr="00913C78">
        <w:rPr>
          <w:rFonts w:hint="eastAsia"/>
        </w:rPr>
        <w:t>可再循环材料利用率计算表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33"/>
        <w:gridCol w:w="1093"/>
        <w:gridCol w:w="843"/>
        <w:gridCol w:w="1052"/>
        <w:gridCol w:w="1052"/>
        <w:gridCol w:w="1052"/>
        <w:gridCol w:w="1045"/>
      </w:tblGrid>
      <w:tr w:rsidR="00913C78" w:rsidRPr="00E578F4" w14:paraId="352CF20A" w14:textId="77777777" w:rsidTr="00A2511C">
        <w:trPr>
          <w:jc w:val="center"/>
        </w:trPr>
        <w:tc>
          <w:tcPr>
            <w:tcW w:w="1577" w:type="pct"/>
            <w:gridSpan w:val="2"/>
            <w:shd w:val="clear" w:color="auto" w:fill="auto"/>
            <w:vAlign w:val="center"/>
            <w:hideMark/>
          </w:tcPr>
          <w:p w14:paraId="504A83BD" w14:textId="77777777" w:rsidR="00913C78" w:rsidRPr="00E578F4" w:rsidRDefault="00913C78" w:rsidP="00E578F4">
            <w:pPr>
              <w:pStyle w:val="ae"/>
              <w:rPr>
                <w:b w:val="0"/>
                <w:bCs/>
              </w:rPr>
            </w:pPr>
            <w:r w:rsidRPr="00E578F4">
              <w:rPr>
                <w:rFonts w:hint="eastAsia"/>
                <w:b w:val="0"/>
                <w:bCs/>
              </w:rPr>
              <w:t>建筑材料种类</w:t>
            </w:r>
          </w:p>
        </w:tc>
        <w:tc>
          <w:tcPr>
            <w:tcW w:w="572" w:type="pct"/>
            <w:shd w:val="clear" w:color="auto" w:fill="auto"/>
            <w:vAlign w:val="center"/>
            <w:hideMark/>
          </w:tcPr>
          <w:p w14:paraId="55ACD0B0" w14:textId="77777777" w:rsidR="00913C78" w:rsidRPr="00E578F4" w:rsidRDefault="00913C78" w:rsidP="00E578F4">
            <w:pPr>
              <w:pStyle w:val="ae"/>
              <w:rPr>
                <w:b w:val="0"/>
                <w:bCs/>
              </w:rPr>
            </w:pPr>
            <w:r w:rsidRPr="00E578F4">
              <w:rPr>
                <w:rFonts w:hint="eastAsia"/>
                <w:b w:val="0"/>
                <w:bCs/>
              </w:rPr>
              <w:t>重量</w:t>
            </w:r>
            <w:r w:rsidRPr="00E578F4">
              <w:rPr>
                <w:rFonts w:hint="eastAsia"/>
                <w:b w:val="0"/>
                <w:bCs/>
              </w:rPr>
              <w:t>/t</w:t>
            </w:r>
          </w:p>
        </w:tc>
        <w:tc>
          <w:tcPr>
            <w:tcW w:w="714" w:type="pct"/>
            <w:shd w:val="clear" w:color="auto" w:fill="auto"/>
            <w:vAlign w:val="center"/>
          </w:tcPr>
          <w:p w14:paraId="61CEC069" w14:textId="77777777" w:rsidR="00913C78" w:rsidRPr="00E578F4" w:rsidRDefault="00913C78" w:rsidP="00E578F4">
            <w:pPr>
              <w:pStyle w:val="ae"/>
              <w:rPr>
                <w:b w:val="0"/>
                <w:bCs/>
              </w:rPr>
            </w:pPr>
            <w:r w:rsidRPr="00E578F4">
              <w:rPr>
                <w:rFonts w:hint="eastAsia"/>
                <w:b w:val="0"/>
                <w:bCs/>
              </w:rPr>
              <w:t>使用部位</w:t>
            </w:r>
          </w:p>
        </w:tc>
        <w:tc>
          <w:tcPr>
            <w:tcW w:w="714" w:type="pct"/>
            <w:shd w:val="clear" w:color="auto" w:fill="auto"/>
            <w:vAlign w:val="center"/>
            <w:hideMark/>
          </w:tcPr>
          <w:p w14:paraId="53B85921" w14:textId="77777777" w:rsidR="00913C78" w:rsidRPr="00E578F4" w:rsidRDefault="00913C78" w:rsidP="00E578F4">
            <w:pPr>
              <w:pStyle w:val="ae"/>
              <w:rPr>
                <w:b w:val="0"/>
                <w:bCs/>
              </w:rPr>
            </w:pPr>
            <w:r w:rsidRPr="00E578F4">
              <w:rPr>
                <w:rFonts w:hint="eastAsia"/>
                <w:b w:val="0"/>
                <w:bCs/>
              </w:rPr>
              <w:t>建筑材料重量合计</w:t>
            </w:r>
            <w:r w:rsidRPr="00E578F4">
              <w:rPr>
                <w:rFonts w:hint="eastAsia"/>
                <w:b w:val="0"/>
                <w:bCs/>
              </w:rPr>
              <w:t>/t</w:t>
            </w:r>
          </w:p>
        </w:tc>
        <w:tc>
          <w:tcPr>
            <w:tcW w:w="714" w:type="pct"/>
            <w:shd w:val="clear" w:color="auto" w:fill="auto"/>
            <w:vAlign w:val="center"/>
            <w:hideMark/>
          </w:tcPr>
          <w:p w14:paraId="624030C9" w14:textId="77777777" w:rsidR="00913C78" w:rsidRPr="00E578F4" w:rsidRDefault="00913C78" w:rsidP="00E578F4">
            <w:pPr>
              <w:pStyle w:val="ae"/>
              <w:rPr>
                <w:b w:val="0"/>
                <w:bCs/>
              </w:rPr>
            </w:pPr>
            <w:r w:rsidRPr="00E578F4">
              <w:rPr>
                <w:rFonts w:hint="eastAsia"/>
                <w:b w:val="0"/>
                <w:bCs/>
              </w:rPr>
              <w:t>建筑材料总重量</w:t>
            </w:r>
            <w:r w:rsidRPr="00E578F4">
              <w:rPr>
                <w:rFonts w:hint="eastAsia"/>
                <w:b w:val="0"/>
                <w:bCs/>
              </w:rPr>
              <w:t>/t</w:t>
            </w:r>
          </w:p>
        </w:tc>
        <w:tc>
          <w:tcPr>
            <w:tcW w:w="710" w:type="pct"/>
            <w:shd w:val="clear" w:color="auto" w:fill="auto"/>
            <w:vAlign w:val="center"/>
            <w:hideMark/>
          </w:tcPr>
          <w:p w14:paraId="539C7B24" w14:textId="77777777" w:rsidR="00913C78" w:rsidRPr="00E578F4" w:rsidRDefault="00913C78" w:rsidP="00E578F4">
            <w:pPr>
              <w:pStyle w:val="ae"/>
              <w:rPr>
                <w:b w:val="0"/>
                <w:bCs/>
              </w:rPr>
            </w:pPr>
            <w:r w:rsidRPr="00E578F4">
              <w:rPr>
                <w:rFonts w:hint="eastAsia"/>
                <w:b w:val="0"/>
                <w:bCs/>
              </w:rPr>
              <w:t>可再循环材料利用率</w:t>
            </w:r>
            <w:r w:rsidRPr="00E578F4">
              <w:rPr>
                <w:rFonts w:hint="eastAsia"/>
                <w:b w:val="0"/>
                <w:bCs/>
              </w:rPr>
              <w:t>/</w:t>
            </w:r>
            <w:r w:rsidRPr="00E578F4">
              <w:rPr>
                <w:b w:val="0"/>
                <w:bCs/>
              </w:rPr>
              <w:t>%</w:t>
            </w:r>
          </w:p>
        </w:tc>
      </w:tr>
      <w:tr w:rsidR="00913C78" w:rsidRPr="00E578F4" w14:paraId="2FB30C19" w14:textId="77777777" w:rsidTr="00A2511C">
        <w:trPr>
          <w:jc w:val="center"/>
        </w:trPr>
        <w:tc>
          <w:tcPr>
            <w:tcW w:w="836" w:type="pct"/>
            <w:vMerge w:val="restart"/>
            <w:shd w:val="clear" w:color="auto" w:fill="auto"/>
            <w:vAlign w:val="center"/>
            <w:hideMark/>
          </w:tcPr>
          <w:p w14:paraId="184E3AEF" w14:textId="77777777" w:rsidR="00913C78" w:rsidRPr="00E578F4" w:rsidRDefault="00913C78" w:rsidP="00E578F4">
            <w:pPr>
              <w:pStyle w:val="ae"/>
              <w:rPr>
                <w:b w:val="0"/>
                <w:bCs/>
              </w:rPr>
            </w:pPr>
            <w:r w:rsidRPr="00E578F4">
              <w:rPr>
                <w:rFonts w:hint="eastAsia"/>
                <w:b w:val="0"/>
                <w:bCs/>
              </w:rPr>
              <w:lastRenderedPageBreak/>
              <w:t>不可循环材料</w:t>
            </w:r>
          </w:p>
        </w:tc>
        <w:tc>
          <w:tcPr>
            <w:tcW w:w="740" w:type="pct"/>
            <w:shd w:val="clear" w:color="auto" w:fill="auto"/>
            <w:vAlign w:val="center"/>
            <w:hideMark/>
          </w:tcPr>
          <w:p w14:paraId="0C379960" w14:textId="77777777" w:rsidR="00913C78" w:rsidRPr="00E578F4" w:rsidRDefault="00913C78" w:rsidP="00E578F4">
            <w:pPr>
              <w:pStyle w:val="ae"/>
              <w:rPr>
                <w:b w:val="0"/>
                <w:bCs/>
              </w:rPr>
            </w:pPr>
            <w:r w:rsidRPr="00E578F4">
              <w:rPr>
                <w:rFonts w:hint="eastAsia"/>
                <w:b w:val="0"/>
                <w:bCs/>
              </w:rPr>
              <w:t>混凝土</w:t>
            </w:r>
          </w:p>
        </w:tc>
        <w:tc>
          <w:tcPr>
            <w:tcW w:w="572" w:type="pct"/>
            <w:shd w:val="clear" w:color="auto" w:fill="auto"/>
            <w:vAlign w:val="center"/>
          </w:tcPr>
          <w:p w14:paraId="4C03B457" w14:textId="77777777" w:rsidR="00913C78" w:rsidRPr="00E578F4" w:rsidRDefault="00913C78" w:rsidP="00E578F4">
            <w:pPr>
              <w:pStyle w:val="ae"/>
              <w:rPr>
                <w:b w:val="0"/>
                <w:bCs/>
              </w:rPr>
            </w:pPr>
          </w:p>
        </w:tc>
        <w:tc>
          <w:tcPr>
            <w:tcW w:w="714" w:type="pct"/>
            <w:shd w:val="clear" w:color="auto" w:fill="auto"/>
            <w:vAlign w:val="center"/>
          </w:tcPr>
          <w:p w14:paraId="452A5DD9" w14:textId="77777777" w:rsidR="00913C78" w:rsidRPr="00E578F4" w:rsidRDefault="00913C78" w:rsidP="00E578F4">
            <w:pPr>
              <w:pStyle w:val="ae"/>
              <w:rPr>
                <w:b w:val="0"/>
                <w:bCs/>
              </w:rPr>
            </w:pPr>
          </w:p>
        </w:tc>
        <w:tc>
          <w:tcPr>
            <w:tcW w:w="714" w:type="pct"/>
            <w:vMerge w:val="restart"/>
            <w:shd w:val="clear" w:color="auto" w:fill="auto"/>
            <w:vAlign w:val="center"/>
          </w:tcPr>
          <w:p w14:paraId="055F2B6C" w14:textId="77777777" w:rsidR="00913C78" w:rsidRPr="00E578F4" w:rsidRDefault="00913C78" w:rsidP="00E578F4">
            <w:pPr>
              <w:pStyle w:val="ae"/>
              <w:rPr>
                <w:b w:val="0"/>
                <w:bCs/>
              </w:rPr>
            </w:pPr>
          </w:p>
        </w:tc>
        <w:tc>
          <w:tcPr>
            <w:tcW w:w="714" w:type="pct"/>
            <w:vMerge w:val="restart"/>
            <w:shd w:val="clear" w:color="auto" w:fill="auto"/>
            <w:vAlign w:val="center"/>
          </w:tcPr>
          <w:p w14:paraId="2F117CB1" w14:textId="77777777" w:rsidR="00913C78" w:rsidRPr="00E578F4" w:rsidRDefault="00913C78" w:rsidP="00E578F4">
            <w:pPr>
              <w:pStyle w:val="ae"/>
              <w:rPr>
                <w:b w:val="0"/>
                <w:bCs/>
              </w:rPr>
            </w:pPr>
          </w:p>
        </w:tc>
        <w:tc>
          <w:tcPr>
            <w:tcW w:w="710" w:type="pct"/>
            <w:vMerge w:val="restart"/>
            <w:shd w:val="clear" w:color="auto" w:fill="auto"/>
            <w:vAlign w:val="center"/>
          </w:tcPr>
          <w:p w14:paraId="4CE95D74" w14:textId="77777777" w:rsidR="00913C78" w:rsidRPr="00E578F4" w:rsidRDefault="00913C78" w:rsidP="00E578F4">
            <w:pPr>
              <w:pStyle w:val="ae"/>
              <w:rPr>
                <w:b w:val="0"/>
                <w:bCs/>
              </w:rPr>
            </w:pPr>
          </w:p>
        </w:tc>
      </w:tr>
      <w:tr w:rsidR="00913C78" w:rsidRPr="00E578F4" w14:paraId="17761B3B" w14:textId="77777777" w:rsidTr="00A2511C">
        <w:trPr>
          <w:jc w:val="center"/>
        </w:trPr>
        <w:tc>
          <w:tcPr>
            <w:tcW w:w="836" w:type="pct"/>
            <w:vMerge/>
            <w:shd w:val="clear" w:color="auto" w:fill="auto"/>
            <w:vAlign w:val="center"/>
            <w:hideMark/>
          </w:tcPr>
          <w:p w14:paraId="02E3F693" w14:textId="77777777" w:rsidR="00913C78" w:rsidRPr="00E578F4" w:rsidRDefault="00913C78" w:rsidP="00E578F4">
            <w:pPr>
              <w:pStyle w:val="ae"/>
              <w:rPr>
                <w:b w:val="0"/>
                <w:bCs/>
              </w:rPr>
            </w:pPr>
          </w:p>
        </w:tc>
        <w:tc>
          <w:tcPr>
            <w:tcW w:w="740" w:type="pct"/>
            <w:shd w:val="clear" w:color="auto" w:fill="auto"/>
            <w:vAlign w:val="center"/>
            <w:hideMark/>
          </w:tcPr>
          <w:p w14:paraId="7E77108F" w14:textId="77777777" w:rsidR="00913C78" w:rsidRPr="00E578F4" w:rsidRDefault="00913C78" w:rsidP="00E578F4">
            <w:pPr>
              <w:pStyle w:val="ae"/>
              <w:rPr>
                <w:b w:val="0"/>
                <w:bCs/>
              </w:rPr>
            </w:pPr>
            <w:r w:rsidRPr="00E578F4">
              <w:rPr>
                <w:rFonts w:hint="eastAsia"/>
                <w:b w:val="0"/>
                <w:bCs/>
              </w:rPr>
              <w:t>乳胶漆</w:t>
            </w:r>
          </w:p>
        </w:tc>
        <w:tc>
          <w:tcPr>
            <w:tcW w:w="572" w:type="pct"/>
            <w:shd w:val="clear" w:color="auto" w:fill="auto"/>
            <w:vAlign w:val="center"/>
          </w:tcPr>
          <w:p w14:paraId="38C32FC5" w14:textId="77777777" w:rsidR="00913C78" w:rsidRPr="00E578F4" w:rsidRDefault="00913C78" w:rsidP="00E578F4">
            <w:pPr>
              <w:pStyle w:val="ae"/>
              <w:rPr>
                <w:b w:val="0"/>
                <w:bCs/>
              </w:rPr>
            </w:pPr>
          </w:p>
        </w:tc>
        <w:tc>
          <w:tcPr>
            <w:tcW w:w="714" w:type="pct"/>
            <w:shd w:val="clear" w:color="auto" w:fill="auto"/>
            <w:vAlign w:val="center"/>
          </w:tcPr>
          <w:p w14:paraId="330C5FAD" w14:textId="77777777" w:rsidR="00913C78" w:rsidRPr="00E578F4" w:rsidRDefault="00913C78" w:rsidP="00E578F4">
            <w:pPr>
              <w:pStyle w:val="ae"/>
              <w:rPr>
                <w:b w:val="0"/>
                <w:bCs/>
              </w:rPr>
            </w:pPr>
          </w:p>
        </w:tc>
        <w:tc>
          <w:tcPr>
            <w:tcW w:w="714" w:type="pct"/>
            <w:vMerge/>
            <w:shd w:val="clear" w:color="auto" w:fill="auto"/>
            <w:vAlign w:val="center"/>
          </w:tcPr>
          <w:p w14:paraId="7CBF31C8" w14:textId="77777777" w:rsidR="00913C78" w:rsidRPr="00E578F4" w:rsidRDefault="00913C78" w:rsidP="00E578F4">
            <w:pPr>
              <w:pStyle w:val="ae"/>
              <w:rPr>
                <w:b w:val="0"/>
                <w:bCs/>
              </w:rPr>
            </w:pPr>
          </w:p>
        </w:tc>
        <w:tc>
          <w:tcPr>
            <w:tcW w:w="714" w:type="pct"/>
            <w:vMerge/>
            <w:shd w:val="clear" w:color="auto" w:fill="auto"/>
            <w:vAlign w:val="center"/>
          </w:tcPr>
          <w:p w14:paraId="4DE5BFDD" w14:textId="77777777" w:rsidR="00913C78" w:rsidRPr="00E578F4" w:rsidRDefault="00913C78" w:rsidP="00E578F4">
            <w:pPr>
              <w:pStyle w:val="ae"/>
              <w:rPr>
                <w:b w:val="0"/>
                <w:bCs/>
              </w:rPr>
            </w:pPr>
          </w:p>
        </w:tc>
        <w:tc>
          <w:tcPr>
            <w:tcW w:w="710" w:type="pct"/>
            <w:vMerge/>
            <w:shd w:val="clear" w:color="auto" w:fill="auto"/>
            <w:vAlign w:val="center"/>
          </w:tcPr>
          <w:p w14:paraId="01FE6505" w14:textId="77777777" w:rsidR="00913C78" w:rsidRPr="00E578F4" w:rsidRDefault="00913C78" w:rsidP="00E578F4">
            <w:pPr>
              <w:pStyle w:val="ae"/>
              <w:rPr>
                <w:b w:val="0"/>
                <w:bCs/>
              </w:rPr>
            </w:pPr>
          </w:p>
        </w:tc>
      </w:tr>
      <w:tr w:rsidR="00913C78" w:rsidRPr="00E578F4" w14:paraId="2A5001AD" w14:textId="77777777" w:rsidTr="00A2511C">
        <w:trPr>
          <w:jc w:val="center"/>
        </w:trPr>
        <w:tc>
          <w:tcPr>
            <w:tcW w:w="836" w:type="pct"/>
            <w:vMerge/>
            <w:shd w:val="clear" w:color="auto" w:fill="auto"/>
            <w:vAlign w:val="center"/>
            <w:hideMark/>
          </w:tcPr>
          <w:p w14:paraId="28FF5292" w14:textId="77777777" w:rsidR="00913C78" w:rsidRPr="00E578F4" w:rsidRDefault="00913C78" w:rsidP="00E578F4">
            <w:pPr>
              <w:pStyle w:val="ae"/>
              <w:rPr>
                <w:b w:val="0"/>
                <w:bCs/>
              </w:rPr>
            </w:pPr>
          </w:p>
        </w:tc>
        <w:tc>
          <w:tcPr>
            <w:tcW w:w="740" w:type="pct"/>
            <w:shd w:val="clear" w:color="auto" w:fill="auto"/>
            <w:vAlign w:val="center"/>
            <w:hideMark/>
          </w:tcPr>
          <w:p w14:paraId="660F74FE" w14:textId="77777777" w:rsidR="00913C78" w:rsidRPr="00E578F4" w:rsidRDefault="00913C78" w:rsidP="00E578F4">
            <w:pPr>
              <w:pStyle w:val="ae"/>
              <w:rPr>
                <w:b w:val="0"/>
                <w:bCs/>
              </w:rPr>
            </w:pPr>
            <w:r w:rsidRPr="00E578F4">
              <w:rPr>
                <w:rFonts w:hint="eastAsia"/>
                <w:b w:val="0"/>
                <w:bCs/>
              </w:rPr>
              <w:t>屋面卷材</w:t>
            </w:r>
          </w:p>
        </w:tc>
        <w:tc>
          <w:tcPr>
            <w:tcW w:w="572" w:type="pct"/>
            <w:shd w:val="clear" w:color="auto" w:fill="auto"/>
            <w:vAlign w:val="center"/>
          </w:tcPr>
          <w:p w14:paraId="7A0818D3" w14:textId="77777777" w:rsidR="00913C78" w:rsidRPr="00E578F4" w:rsidRDefault="00913C78" w:rsidP="00E578F4">
            <w:pPr>
              <w:pStyle w:val="ae"/>
              <w:rPr>
                <w:b w:val="0"/>
                <w:bCs/>
              </w:rPr>
            </w:pPr>
          </w:p>
        </w:tc>
        <w:tc>
          <w:tcPr>
            <w:tcW w:w="714" w:type="pct"/>
            <w:shd w:val="clear" w:color="auto" w:fill="auto"/>
            <w:vAlign w:val="center"/>
          </w:tcPr>
          <w:p w14:paraId="23AD4DB7" w14:textId="77777777" w:rsidR="00913C78" w:rsidRPr="00E578F4" w:rsidRDefault="00913C78" w:rsidP="00E578F4">
            <w:pPr>
              <w:pStyle w:val="ae"/>
              <w:rPr>
                <w:b w:val="0"/>
                <w:bCs/>
              </w:rPr>
            </w:pPr>
          </w:p>
        </w:tc>
        <w:tc>
          <w:tcPr>
            <w:tcW w:w="714" w:type="pct"/>
            <w:vMerge/>
            <w:shd w:val="clear" w:color="auto" w:fill="auto"/>
            <w:vAlign w:val="center"/>
          </w:tcPr>
          <w:p w14:paraId="4A8B3115" w14:textId="77777777" w:rsidR="00913C78" w:rsidRPr="00E578F4" w:rsidRDefault="00913C78" w:rsidP="00E578F4">
            <w:pPr>
              <w:pStyle w:val="ae"/>
              <w:rPr>
                <w:b w:val="0"/>
                <w:bCs/>
              </w:rPr>
            </w:pPr>
          </w:p>
        </w:tc>
        <w:tc>
          <w:tcPr>
            <w:tcW w:w="714" w:type="pct"/>
            <w:vMerge/>
            <w:shd w:val="clear" w:color="auto" w:fill="auto"/>
            <w:vAlign w:val="center"/>
          </w:tcPr>
          <w:p w14:paraId="58E6D708" w14:textId="77777777" w:rsidR="00913C78" w:rsidRPr="00E578F4" w:rsidRDefault="00913C78" w:rsidP="00E578F4">
            <w:pPr>
              <w:pStyle w:val="ae"/>
              <w:rPr>
                <w:b w:val="0"/>
                <w:bCs/>
              </w:rPr>
            </w:pPr>
          </w:p>
        </w:tc>
        <w:tc>
          <w:tcPr>
            <w:tcW w:w="710" w:type="pct"/>
            <w:vMerge/>
            <w:shd w:val="clear" w:color="auto" w:fill="auto"/>
            <w:vAlign w:val="center"/>
          </w:tcPr>
          <w:p w14:paraId="2AD43708" w14:textId="77777777" w:rsidR="00913C78" w:rsidRPr="00E578F4" w:rsidRDefault="00913C78" w:rsidP="00E578F4">
            <w:pPr>
              <w:pStyle w:val="ae"/>
              <w:rPr>
                <w:b w:val="0"/>
                <w:bCs/>
              </w:rPr>
            </w:pPr>
          </w:p>
        </w:tc>
      </w:tr>
      <w:tr w:rsidR="00913C78" w:rsidRPr="00E578F4" w14:paraId="3483B654" w14:textId="77777777" w:rsidTr="00A2511C">
        <w:trPr>
          <w:jc w:val="center"/>
        </w:trPr>
        <w:tc>
          <w:tcPr>
            <w:tcW w:w="836" w:type="pct"/>
            <w:vMerge/>
            <w:shd w:val="clear" w:color="auto" w:fill="auto"/>
            <w:vAlign w:val="center"/>
            <w:hideMark/>
          </w:tcPr>
          <w:p w14:paraId="5A5D2688" w14:textId="77777777" w:rsidR="00913C78" w:rsidRPr="00E578F4" w:rsidRDefault="00913C78" w:rsidP="00E578F4">
            <w:pPr>
              <w:pStyle w:val="ae"/>
              <w:rPr>
                <w:b w:val="0"/>
                <w:bCs/>
              </w:rPr>
            </w:pPr>
          </w:p>
        </w:tc>
        <w:tc>
          <w:tcPr>
            <w:tcW w:w="740" w:type="pct"/>
            <w:shd w:val="clear" w:color="auto" w:fill="auto"/>
            <w:vAlign w:val="center"/>
            <w:hideMark/>
          </w:tcPr>
          <w:p w14:paraId="429C23B2" w14:textId="77777777" w:rsidR="00913C78" w:rsidRPr="00E578F4" w:rsidRDefault="00913C78" w:rsidP="00E578F4">
            <w:pPr>
              <w:pStyle w:val="ae"/>
              <w:rPr>
                <w:b w:val="0"/>
                <w:bCs/>
              </w:rPr>
            </w:pPr>
            <w:r w:rsidRPr="00E578F4">
              <w:rPr>
                <w:rFonts w:hint="eastAsia"/>
                <w:b w:val="0"/>
                <w:bCs/>
              </w:rPr>
              <w:t>石材</w:t>
            </w:r>
          </w:p>
        </w:tc>
        <w:tc>
          <w:tcPr>
            <w:tcW w:w="572" w:type="pct"/>
            <w:shd w:val="clear" w:color="auto" w:fill="auto"/>
            <w:vAlign w:val="center"/>
          </w:tcPr>
          <w:p w14:paraId="7B1239E7" w14:textId="77777777" w:rsidR="00913C78" w:rsidRPr="00E578F4" w:rsidRDefault="00913C78" w:rsidP="00E578F4">
            <w:pPr>
              <w:pStyle w:val="ae"/>
              <w:rPr>
                <w:b w:val="0"/>
                <w:bCs/>
              </w:rPr>
            </w:pPr>
          </w:p>
        </w:tc>
        <w:tc>
          <w:tcPr>
            <w:tcW w:w="714" w:type="pct"/>
            <w:shd w:val="clear" w:color="auto" w:fill="auto"/>
            <w:vAlign w:val="center"/>
          </w:tcPr>
          <w:p w14:paraId="054455BF" w14:textId="77777777" w:rsidR="00913C78" w:rsidRPr="00E578F4" w:rsidRDefault="00913C78" w:rsidP="00E578F4">
            <w:pPr>
              <w:pStyle w:val="ae"/>
              <w:rPr>
                <w:b w:val="0"/>
                <w:bCs/>
              </w:rPr>
            </w:pPr>
          </w:p>
        </w:tc>
        <w:tc>
          <w:tcPr>
            <w:tcW w:w="714" w:type="pct"/>
            <w:vMerge/>
            <w:shd w:val="clear" w:color="auto" w:fill="auto"/>
            <w:vAlign w:val="center"/>
          </w:tcPr>
          <w:p w14:paraId="299A398F" w14:textId="77777777" w:rsidR="00913C78" w:rsidRPr="00E578F4" w:rsidRDefault="00913C78" w:rsidP="00E578F4">
            <w:pPr>
              <w:pStyle w:val="ae"/>
              <w:rPr>
                <w:b w:val="0"/>
                <w:bCs/>
              </w:rPr>
            </w:pPr>
          </w:p>
        </w:tc>
        <w:tc>
          <w:tcPr>
            <w:tcW w:w="714" w:type="pct"/>
            <w:vMerge/>
            <w:shd w:val="clear" w:color="auto" w:fill="auto"/>
            <w:vAlign w:val="center"/>
          </w:tcPr>
          <w:p w14:paraId="1C9EED21" w14:textId="77777777" w:rsidR="00913C78" w:rsidRPr="00E578F4" w:rsidRDefault="00913C78" w:rsidP="00E578F4">
            <w:pPr>
              <w:pStyle w:val="ae"/>
              <w:rPr>
                <w:b w:val="0"/>
                <w:bCs/>
              </w:rPr>
            </w:pPr>
          </w:p>
        </w:tc>
        <w:tc>
          <w:tcPr>
            <w:tcW w:w="710" w:type="pct"/>
            <w:vMerge/>
            <w:shd w:val="clear" w:color="auto" w:fill="auto"/>
            <w:vAlign w:val="center"/>
          </w:tcPr>
          <w:p w14:paraId="17FBDE16" w14:textId="77777777" w:rsidR="00913C78" w:rsidRPr="00E578F4" w:rsidRDefault="00913C78" w:rsidP="00E578F4">
            <w:pPr>
              <w:pStyle w:val="ae"/>
              <w:rPr>
                <w:b w:val="0"/>
                <w:bCs/>
              </w:rPr>
            </w:pPr>
          </w:p>
        </w:tc>
      </w:tr>
      <w:tr w:rsidR="00913C78" w:rsidRPr="00E578F4" w14:paraId="0771E4ED" w14:textId="77777777" w:rsidTr="00A2511C">
        <w:trPr>
          <w:jc w:val="center"/>
        </w:trPr>
        <w:tc>
          <w:tcPr>
            <w:tcW w:w="836" w:type="pct"/>
            <w:vMerge/>
            <w:shd w:val="clear" w:color="auto" w:fill="auto"/>
            <w:vAlign w:val="center"/>
            <w:hideMark/>
          </w:tcPr>
          <w:p w14:paraId="3BF6812B" w14:textId="77777777" w:rsidR="00913C78" w:rsidRPr="00E578F4" w:rsidRDefault="00913C78" w:rsidP="00E578F4">
            <w:pPr>
              <w:pStyle w:val="ae"/>
              <w:rPr>
                <w:b w:val="0"/>
                <w:bCs/>
              </w:rPr>
            </w:pPr>
          </w:p>
        </w:tc>
        <w:tc>
          <w:tcPr>
            <w:tcW w:w="740" w:type="pct"/>
            <w:shd w:val="clear" w:color="auto" w:fill="auto"/>
            <w:vAlign w:val="center"/>
            <w:hideMark/>
          </w:tcPr>
          <w:p w14:paraId="7AC6217D" w14:textId="77777777" w:rsidR="00913C78" w:rsidRPr="00E578F4" w:rsidRDefault="00913C78" w:rsidP="00E578F4">
            <w:pPr>
              <w:pStyle w:val="ae"/>
              <w:rPr>
                <w:b w:val="0"/>
                <w:bCs/>
              </w:rPr>
            </w:pPr>
            <w:r w:rsidRPr="00E578F4">
              <w:rPr>
                <w:rFonts w:hint="eastAsia"/>
                <w:b w:val="0"/>
                <w:bCs/>
              </w:rPr>
              <w:t>砌块</w:t>
            </w:r>
          </w:p>
        </w:tc>
        <w:tc>
          <w:tcPr>
            <w:tcW w:w="572" w:type="pct"/>
            <w:shd w:val="clear" w:color="auto" w:fill="auto"/>
            <w:vAlign w:val="center"/>
          </w:tcPr>
          <w:p w14:paraId="1DFFB492" w14:textId="77777777" w:rsidR="00913C78" w:rsidRPr="00E578F4" w:rsidRDefault="00913C78" w:rsidP="00E578F4">
            <w:pPr>
              <w:pStyle w:val="ae"/>
              <w:rPr>
                <w:b w:val="0"/>
                <w:bCs/>
              </w:rPr>
            </w:pPr>
          </w:p>
        </w:tc>
        <w:tc>
          <w:tcPr>
            <w:tcW w:w="714" w:type="pct"/>
            <w:shd w:val="clear" w:color="auto" w:fill="auto"/>
            <w:vAlign w:val="center"/>
          </w:tcPr>
          <w:p w14:paraId="75BEF7C3" w14:textId="77777777" w:rsidR="00913C78" w:rsidRPr="00E578F4" w:rsidRDefault="00913C78" w:rsidP="00E578F4">
            <w:pPr>
              <w:pStyle w:val="ae"/>
              <w:rPr>
                <w:b w:val="0"/>
                <w:bCs/>
              </w:rPr>
            </w:pPr>
          </w:p>
        </w:tc>
        <w:tc>
          <w:tcPr>
            <w:tcW w:w="714" w:type="pct"/>
            <w:vMerge/>
            <w:shd w:val="clear" w:color="auto" w:fill="auto"/>
            <w:vAlign w:val="center"/>
          </w:tcPr>
          <w:p w14:paraId="3A33F2EB" w14:textId="77777777" w:rsidR="00913C78" w:rsidRPr="00E578F4" w:rsidRDefault="00913C78" w:rsidP="00E578F4">
            <w:pPr>
              <w:pStyle w:val="ae"/>
              <w:rPr>
                <w:b w:val="0"/>
                <w:bCs/>
              </w:rPr>
            </w:pPr>
          </w:p>
        </w:tc>
        <w:tc>
          <w:tcPr>
            <w:tcW w:w="714" w:type="pct"/>
            <w:vMerge/>
            <w:shd w:val="clear" w:color="auto" w:fill="auto"/>
            <w:vAlign w:val="center"/>
          </w:tcPr>
          <w:p w14:paraId="75FAFD9B" w14:textId="77777777" w:rsidR="00913C78" w:rsidRPr="00E578F4" w:rsidRDefault="00913C78" w:rsidP="00E578F4">
            <w:pPr>
              <w:pStyle w:val="ae"/>
              <w:rPr>
                <w:b w:val="0"/>
                <w:bCs/>
              </w:rPr>
            </w:pPr>
          </w:p>
        </w:tc>
        <w:tc>
          <w:tcPr>
            <w:tcW w:w="710" w:type="pct"/>
            <w:vMerge/>
            <w:shd w:val="clear" w:color="auto" w:fill="auto"/>
            <w:vAlign w:val="center"/>
          </w:tcPr>
          <w:p w14:paraId="38E01427" w14:textId="77777777" w:rsidR="00913C78" w:rsidRPr="00E578F4" w:rsidRDefault="00913C78" w:rsidP="00E578F4">
            <w:pPr>
              <w:pStyle w:val="ae"/>
              <w:rPr>
                <w:b w:val="0"/>
                <w:bCs/>
              </w:rPr>
            </w:pPr>
          </w:p>
        </w:tc>
      </w:tr>
      <w:tr w:rsidR="00913C78" w:rsidRPr="00E578F4" w14:paraId="5989D1FB" w14:textId="77777777" w:rsidTr="00A2511C">
        <w:trPr>
          <w:jc w:val="center"/>
        </w:trPr>
        <w:tc>
          <w:tcPr>
            <w:tcW w:w="836" w:type="pct"/>
            <w:vMerge/>
            <w:shd w:val="clear" w:color="auto" w:fill="auto"/>
            <w:vAlign w:val="center"/>
          </w:tcPr>
          <w:p w14:paraId="376819E3" w14:textId="77777777" w:rsidR="00913C78" w:rsidRPr="00E578F4" w:rsidRDefault="00913C78" w:rsidP="00E578F4">
            <w:pPr>
              <w:pStyle w:val="ae"/>
              <w:rPr>
                <w:b w:val="0"/>
                <w:bCs/>
              </w:rPr>
            </w:pPr>
          </w:p>
        </w:tc>
        <w:tc>
          <w:tcPr>
            <w:tcW w:w="740" w:type="pct"/>
            <w:shd w:val="clear" w:color="auto" w:fill="auto"/>
            <w:vAlign w:val="center"/>
          </w:tcPr>
          <w:p w14:paraId="2FB5DF60" w14:textId="77777777" w:rsidR="00913C78" w:rsidRPr="00E578F4" w:rsidRDefault="00913C78" w:rsidP="00E578F4">
            <w:pPr>
              <w:pStyle w:val="ae"/>
              <w:rPr>
                <w:b w:val="0"/>
                <w:bCs/>
              </w:rPr>
            </w:pPr>
            <w:r w:rsidRPr="00E578F4">
              <w:rPr>
                <w:rFonts w:hint="eastAsia"/>
                <w:b w:val="0"/>
                <w:bCs/>
              </w:rPr>
              <w:t>……</w:t>
            </w:r>
          </w:p>
        </w:tc>
        <w:tc>
          <w:tcPr>
            <w:tcW w:w="572" w:type="pct"/>
            <w:shd w:val="clear" w:color="auto" w:fill="auto"/>
            <w:vAlign w:val="center"/>
          </w:tcPr>
          <w:p w14:paraId="6F472B68" w14:textId="77777777" w:rsidR="00913C78" w:rsidRPr="00E578F4" w:rsidRDefault="00913C78" w:rsidP="00E578F4">
            <w:pPr>
              <w:pStyle w:val="ae"/>
              <w:rPr>
                <w:b w:val="0"/>
                <w:bCs/>
              </w:rPr>
            </w:pPr>
          </w:p>
        </w:tc>
        <w:tc>
          <w:tcPr>
            <w:tcW w:w="714" w:type="pct"/>
            <w:shd w:val="clear" w:color="auto" w:fill="auto"/>
            <w:vAlign w:val="center"/>
          </w:tcPr>
          <w:p w14:paraId="18592434" w14:textId="77777777" w:rsidR="00913C78" w:rsidRPr="00E578F4" w:rsidRDefault="00913C78" w:rsidP="00E578F4">
            <w:pPr>
              <w:pStyle w:val="ae"/>
              <w:rPr>
                <w:b w:val="0"/>
                <w:bCs/>
              </w:rPr>
            </w:pPr>
          </w:p>
        </w:tc>
        <w:tc>
          <w:tcPr>
            <w:tcW w:w="714" w:type="pct"/>
            <w:vMerge/>
            <w:shd w:val="clear" w:color="auto" w:fill="auto"/>
            <w:vAlign w:val="center"/>
          </w:tcPr>
          <w:p w14:paraId="2ECE9644" w14:textId="77777777" w:rsidR="00913C78" w:rsidRPr="00E578F4" w:rsidRDefault="00913C78" w:rsidP="00E578F4">
            <w:pPr>
              <w:pStyle w:val="ae"/>
              <w:rPr>
                <w:b w:val="0"/>
                <w:bCs/>
              </w:rPr>
            </w:pPr>
          </w:p>
        </w:tc>
        <w:tc>
          <w:tcPr>
            <w:tcW w:w="714" w:type="pct"/>
            <w:vMerge/>
            <w:shd w:val="clear" w:color="auto" w:fill="auto"/>
            <w:vAlign w:val="center"/>
          </w:tcPr>
          <w:p w14:paraId="46676B18" w14:textId="77777777" w:rsidR="00913C78" w:rsidRPr="00E578F4" w:rsidRDefault="00913C78" w:rsidP="00E578F4">
            <w:pPr>
              <w:pStyle w:val="ae"/>
              <w:rPr>
                <w:b w:val="0"/>
                <w:bCs/>
              </w:rPr>
            </w:pPr>
          </w:p>
        </w:tc>
        <w:tc>
          <w:tcPr>
            <w:tcW w:w="710" w:type="pct"/>
            <w:vMerge/>
            <w:shd w:val="clear" w:color="auto" w:fill="auto"/>
            <w:vAlign w:val="center"/>
          </w:tcPr>
          <w:p w14:paraId="088460FF" w14:textId="77777777" w:rsidR="00913C78" w:rsidRPr="00E578F4" w:rsidRDefault="00913C78" w:rsidP="00E578F4">
            <w:pPr>
              <w:pStyle w:val="ae"/>
              <w:rPr>
                <w:b w:val="0"/>
                <w:bCs/>
              </w:rPr>
            </w:pPr>
          </w:p>
        </w:tc>
      </w:tr>
      <w:tr w:rsidR="00913C78" w:rsidRPr="00E578F4" w14:paraId="4C0B70CE" w14:textId="77777777" w:rsidTr="00A2511C">
        <w:trPr>
          <w:jc w:val="center"/>
        </w:trPr>
        <w:tc>
          <w:tcPr>
            <w:tcW w:w="836" w:type="pct"/>
            <w:vMerge/>
            <w:shd w:val="clear" w:color="auto" w:fill="auto"/>
            <w:vAlign w:val="center"/>
          </w:tcPr>
          <w:p w14:paraId="17495EA1" w14:textId="77777777" w:rsidR="00913C78" w:rsidRPr="00E578F4" w:rsidRDefault="00913C78" w:rsidP="00E578F4">
            <w:pPr>
              <w:pStyle w:val="ae"/>
              <w:rPr>
                <w:b w:val="0"/>
                <w:bCs/>
              </w:rPr>
            </w:pPr>
          </w:p>
        </w:tc>
        <w:tc>
          <w:tcPr>
            <w:tcW w:w="740" w:type="pct"/>
            <w:shd w:val="clear" w:color="auto" w:fill="auto"/>
            <w:vAlign w:val="center"/>
          </w:tcPr>
          <w:p w14:paraId="74C01529" w14:textId="77777777" w:rsidR="00913C78" w:rsidRPr="00E578F4" w:rsidRDefault="00913C78" w:rsidP="00E578F4">
            <w:pPr>
              <w:pStyle w:val="ae"/>
              <w:rPr>
                <w:b w:val="0"/>
                <w:bCs/>
              </w:rPr>
            </w:pPr>
            <w:r w:rsidRPr="00E578F4">
              <w:rPr>
                <w:rFonts w:hint="eastAsia"/>
                <w:b w:val="0"/>
                <w:bCs/>
              </w:rPr>
              <w:t>其他</w:t>
            </w:r>
          </w:p>
        </w:tc>
        <w:tc>
          <w:tcPr>
            <w:tcW w:w="572" w:type="pct"/>
            <w:shd w:val="clear" w:color="auto" w:fill="auto"/>
            <w:vAlign w:val="center"/>
          </w:tcPr>
          <w:p w14:paraId="07F8BB76" w14:textId="77777777" w:rsidR="00913C78" w:rsidRPr="00E578F4" w:rsidRDefault="00913C78" w:rsidP="00E578F4">
            <w:pPr>
              <w:pStyle w:val="ae"/>
              <w:rPr>
                <w:b w:val="0"/>
                <w:bCs/>
              </w:rPr>
            </w:pPr>
          </w:p>
        </w:tc>
        <w:tc>
          <w:tcPr>
            <w:tcW w:w="714" w:type="pct"/>
            <w:shd w:val="clear" w:color="auto" w:fill="auto"/>
            <w:vAlign w:val="center"/>
          </w:tcPr>
          <w:p w14:paraId="6C3C5131" w14:textId="77777777" w:rsidR="00913C78" w:rsidRPr="00E578F4" w:rsidRDefault="00913C78" w:rsidP="00E578F4">
            <w:pPr>
              <w:pStyle w:val="ae"/>
              <w:rPr>
                <w:b w:val="0"/>
                <w:bCs/>
              </w:rPr>
            </w:pPr>
          </w:p>
        </w:tc>
        <w:tc>
          <w:tcPr>
            <w:tcW w:w="714" w:type="pct"/>
            <w:vMerge/>
            <w:shd w:val="clear" w:color="auto" w:fill="auto"/>
            <w:vAlign w:val="center"/>
          </w:tcPr>
          <w:p w14:paraId="6103AEE6" w14:textId="77777777" w:rsidR="00913C78" w:rsidRPr="00E578F4" w:rsidRDefault="00913C78" w:rsidP="00E578F4">
            <w:pPr>
              <w:pStyle w:val="ae"/>
              <w:rPr>
                <w:b w:val="0"/>
                <w:bCs/>
              </w:rPr>
            </w:pPr>
          </w:p>
        </w:tc>
        <w:tc>
          <w:tcPr>
            <w:tcW w:w="714" w:type="pct"/>
            <w:vMerge/>
            <w:shd w:val="clear" w:color="auto" w:fill="auto"/>
            <w:vAlign w:val="center"/>
          </w:tcPr>
          <w:p w14:paraId="65598F2F" w14:textId="77777777" w:rsidR="00913C78" w:rsidRPr="00E578F4" w:rsidRDefault="00913C78" w:rsidP="00E578F4">
            <w:pPr>
              <w:pStyle w:val="ae"/>
              <w:rPr>
                <w:b w:val="0"/>
                <w:bCs/>
              </w:rPr>
            </w:pPr>
          </w:p>
        </w:tc>
        <w:tc>
          <w:tcPr>
            <w:tcW w:w="710" w:type="pct"/>
            <w:vMerge/>
            <w:shd w:val="clear" w:color="auto" w:fill="auto"/>
            <w:vAlign w:val="center"/>
          </w:tcPr>
          <w:p w14:paraId="37D6F1EA" w14:textId="77777777" w:rsidR="00913C78" w:rsidRPr="00E578F4" w:rsidRDefault="00913C78" w:rsidP="00E578F4">
            <w:pPr>
              <w:pStyle w:val="ae"/>
              <w:rPr>
                <w:b w:val="0"/>
                <w:bCs/>
              </w:rPr>
            </w:pPr>
          </w:p>
        </w:tc>
      </w:tr>
      <w:tr w:rsidR="00913C78" w:rsidRPr="00E578F4" w14:paraId="361B1DE2" w14:textId="77777777" w:rsidTr="00A2511C">
        <w:trPr>
          <w:jc w:val="center"/>
        </w:trPr>
        <w:tc>
          <w:tcPr>
            <w:tcW w:w="836" w:type="pct"/>
            <w:vMerge w:val="restart"/>
            <w:shd w:val="clear" w:color="auto" w:fill="auto"/>
            <w:vAlign w:val="center"/>
            <w:hideMark/>
          </w:tcPr>
          <w:p w14:paraId="6DF35DA8" w14:textId="77777777" w:rsidR="00913C78" w:rsidRPr="00E578F4" w:rsidRDefault="00913C78" w:rsidP="00E578F4">
            <w:pPr>
              <w:pStyle w:val="ae"/>
              <w:rPr>
                <w:b w:val="0"/>
                <w:bCs/>
              </w:rPr>
            </w:pPr>
            <w:r w:rsidRPr="00E578F4">
              <w:rPr>
                <w:rFonts w:hint="eastAsia"/>
                <w:b w:val="0"/>
                <w:bCs/>
              </w:rPr>
              <w:t>可循环材料</w:t>
            </w:r>
          </w:p>
        </w:tc>
        <w:tc>
          <w:tcPr>
            <w:tcW w:w="740" w:type="pct"/>
            <w:shd w:val="clear" w:color="auto" w:fill="auto"/>
            <w:vAlign w:val="center"/>
            <w:hideMark/>
          </w:tcPr>
          <w:p w14:paraId="2C5CF988" w14:textId="77777777" w:rsidR="00913C78" w:rsidRPr="00E578F4" w:rsidRDefault="00913C78" w:rsidP="00E578F4">
            <w:pPr>
              <w:pStyle w:val="ae"/>
              <w:rPr>
                <w:b w:val="0"/>
                <w:bCs/>
              </w:rPr>
            </w:pPr>
            <w:r w:rsidRPr="00E578F4">
              <w:rPr>
                <w:rFonts w:hint="eastAsia"/>
                <w:b w:val="0"/>
                <w:bCs/>
              </w:rPr>
              <w:t>钢材</w:t>
            </w:r>
          </w:p>
        </w:tc>
        <w:tc>
          <w:tcPr>
            <w:tcW w:w="572" w:type="pct"/>
            <w:shd w:val="clear" w:color="auto" w:fill="auto"/>
            <w:vAlign w:val="center"/>
          </w:tcPr>
          <w:p w14:paraId="05DDA7DB" w14:textId="77777777" w:rsidR="00913C78" w:rsidRPr="00E578F4" w:rsidRDefault="00913C78" w:rsidP="00E578F4">
            <w:pPr>
              <w:pStyle w:val="ae"/>
              <w:rPr>
                <w:b w:val="0"/>
                <w:bCs/>
              </w:rPr>
            </w:pPr>
          </w:p>
        </w:tc>
        <w:tc>
          <w:tcPr>
            <w:tcW w:w="714" w:type="pct"/>
            <w:shd w:val="clear" w:color="auto" w:fill="auto"/>
            <w:vAlign w:val="center"/>
          </w:tcPr>
          <w:p w14:paraId="237D410C" w14:textId="77777777" w:rsidR="00913C78" w:rsidRPr="00E578F4" w:rsidRDefault="00913C78" w:rsidP="00E578F4">
            <w:pPr>
              <w:pStyle w:val="ae"/>
              <w:rPr>
                <w:b w:val="0"/>
                <w:bCs/>
              </w:rPr>
            </w:pPr>
          </w:p>
        </w:tc>
        <w:tc>
          <w:tcPr>
            <w:tcW w:w="714" w:type="pct"/>
            <w:vMerge w:val="restart"/>
            <w:shd w:val="clear" w:color="auto" w:fill="auto"/>
            <w:vAlign w:val="center"/>
          </w:tcPr>
          <w:p w14:paraId="17351D96" w14:textId="77777777" w:rsidR="00913C78" w:rsidRPr="00E578F4" w:rsidRDefault="00913C78" w:rsidP="00E578F4">
            <w:pPr>
              <w:pStyle w:val="ae"/>
              <w:rPr>
                <w:b w:val="0"/>
                <w:bCs/>
              </w:rPr>
            </w:pPr>
          </w:p>
        </w:tc>
        <w:tc>
          <w:tcPr>
            <w:tcW w:w="714" w:type="pct"/>
            <w:vMerge/>
            <w:shd w:val="clear" w:color="auto" w:fill="auto"/>
            <w:vAlign w:val="center"/>
          </w:tcPr>
          <w:p w14:paraId="6BBCCE1E" w14:textId="77777777" w:rsidR="00913C78" w:rsidRPr="00E578F4" w:rsidRDefault="00913C78" w:rsidP="00E578F4">
            <w:pPr>
              <w:pStyle w:val="ae"/>
              <w:rPr>
                <w:b w:val="0"/>
                <w:bCs/>
              </w:rPr>
            </w:pPr>
          </w:p>
        </w:tc>
        <w:tc>
          <w:tcPr>
            <w:tcW w:w="710" w:type="pct"/>
            <w:vMerge/>
            <w:shd w:val="clear" w:color="auto" w:fill="auto"/>
            <w:vAlign w:val="center"/>
          </w:tcPr>
          <w:p w14:paraId="453C51CE" w14:textId="77777777" w:rsidR="00913C78" w:rsidRPr="00E578F4" w:rsidRDefault="00913C78" w:rsidP="00E578F4">
            <w:pPr>
              <w:pStyle w:val="ae"/>
              <w:rPr>
                <w:b w:val="0"/>
                <w:bCs/>
              </w:rPr>
            </w:pPr>
          </w:p>
        </w:tc>
      </w:tr>
      <w:tr w:rsidR="00913C78" w:rsidRPr="00E578F4" w14:paraId="069B7A76" w14:textId="77777777" w:rsidTr="00A2511C">
        <w:trPr>
          <w:jc w:val="center"/>
        </w:trPr>
        <w:tc>
          <w:tcPr>
            <w:tcW w:w="836" w:type="pct"/>
            <w:vMerge/>
            <w:shd w:val="clear" w:color="auto" w:fill="auto"/>
            <w:vAlign w:val="center"/>
            <w:hideMark/>
          </w:tcPr>
          <w:p w14:paraId="49563CF8" w14:textId="77777777" w:rsidR="00913C78" w:rsidRPr="00E578F4" w:rsidRDefault="00913C78" w:rsidP="00E578F4">
            <w:pPr>
              <w:pStyle w:val="ae"/>
              <w:rPr>
                <w:b w:val="0"/>
                <w:bCs/>
              </w:rPr>
            </w:pPr>
          </w:p>
        </w:tc>
        <w:tc>
          <w:tcPr>
            <w:tcW w:w="740" w:type="pct"/>
            <w:shd w:val="clear" w:color="auto" w:fill="auto"/>
            <w:vAlign w:val="center"/>
            <w:hideMark/>
          </w:tcPr>
          <w:p w14:paraId="0C6DD615" w14:textId="77777777" w:rsidR="00913C78" w:rsidRPr="00E578F4" w:rsidRDefault="00913C78" w:rsidP="00E578F4">
            <w:pPr>
              <w:pStyle w:val="ae"/>
              <w:rPr>
                <w:b w:val="0"/>
                <w:bCs/>
              </w:rPr>
            </w:pPr>
            <w:r w:rsidRPr="00E578F4">
              <w:rPr>
                <w:rFonts w:hint="eastAsia"/>
                <w:b w:val="0"/>
                <w:bCs/>
              </w:rPr>
              <w:t>铜</w:t>
            </w:r>
          </w:p>
        </w:tc>
        <w:tc>
          <w:tcPr>
            <w:tcW w:w="572" w:type="pct"/>
            <w:shd w:val="clear" w:color="auto" w:fill="auto"/>
            <w:vAlign w:val="center"/>
          </w:tcPr>
          <w:p w14:paraId="6CBA8AE4" w14:textId="77777777" w:rsidR="00913C78" w:rsidRPr="00E578F4" w:rsidRDefault="00913C78" w:rsidP="00E578F4">
            <w:pPr>
              <w:pStyle w:val="ae"/>
              <w:rPr>
                <w:b w:val="0"/>
                <w:bCs/>
              </w:rPr>
            </w:pPr>
          </w:p>
        </w:tc>
        <w:tc>
          <w:tcPr>
            <w:tcW w:w="714" w:type="pct"/>
            <w:shd w:val="clear" w:color="auto" w:fill="auto"/>
            <w:vAlign w:val="center"/>
          </w:tcPr>
          <w:p w14:paraId="4B6F2D8F" w14:textId="77777777" w:rsidR="00913C78" w:rsidRPr="00E578F4" w:rsidRDefault="00913C78" w:rsidP="00E578F4">
            <w:pPr>
              <w:pStyle w:val="ae"/>
              <w:rPr>
                <w:b w:val="0"/>
                <w:bCs/>
              </w:rPr>
            </w:pPr>
          </w:p>
        </w:tc>
        <w:tc>
          <w:tcPr>
            <w:tcW w:w="714" w:type="pct"/>
            <w:vMerge/>
            <w:shd w:val="clear" w:color="auto" w:fill="auto"/>
            <w:vAlign w:val="center"/>
          </w:tcPr>
          <w:p w14:paraId="0333B3F9" w14:textId="77777777" w:rsidR="00913C78" w:rsidRPr="00E578F4" w:rsidRDefault="00913C78" w:rsidP="00E578F4">
            <w:pPr>
              <w:pStyle w:val="ae"/>
              <w:rPr>
                <w:b w:val="0"/>
                <w:bCs/>
              </w:rPr>
            </w:pPr>
          </w:p>
        </w:tc>
        <w:tc>
          <w:tcPr>
            <w:tcW w:w="714" w:type="pct"/>
            <w:vMerge/>
            <w:shd w:val="clear" w:color="auto" w:fill="auto"/>
            <w:vAlign w:val="center"/>
          </w:tcPr>
          <w:p w14:paraId="718C15F2" w14:textId="77777777" w:rsidR="00913C78" w:rsidRPr="00E578F4" w:rsidRDefault="00913C78" w:rsidP="00E578F4">
            <w:pPr>
              <w:pStyle w:val="ae"/>
              <w:rPr>
                <w:b w:val="0"/>
                <w:bCs/>
              </w:rPr>
            </w:pPr>
          </w:p>
        </w:tc>
        <w:tc>
          <w:tcPr>
            <w:tcW w:w="710" w:type="pct"/>
            <w:vMerge/>
            <w:shd w:val="clear" w:color="auto" w:fill="auto"/>
            <w:vAlign w:val="center"/>
          </w:tcPr>
          <w:p w14:paraId="2632D17D" w14:textId="77777777" w:rsidR="00913C78" w:rsidRPr="00E578F4" w:rsidRDefault="00913C78" w:rsidP="00E578F4">
            <w:pPr>
              <w:pStyle w:val="ae"/>
              <w:rPr>
                <w:b w:val="0"/>
                <w:bCs/>
              </w:rPr>
            </w:pPr>
          </w:p>
        </w:tc>
      </w:tr>
      <w:tr w:rsidR="00913C78" w:rsidRPr="00E578F4" w14:paraId="718CA3E6" w14:textId="77777777" w:rsidTr="00A2511C">
        <w:trPr>
          <w:jc w:val="center"/>
        </w:trPr>
        <w:tc>
          <w:tcPr>
            <w:tcW w:w="836" w:type="pct"/>
            <w:vMerge/>
            <w:shd w:val="clear" w:color="auto" w:fill="auto"/>
            <w:vAlign w:val="center"/>
            <w:hideMark/>
          </w:tcPr>
          <w:p w14:paraId="15B5B060" w14:textId="77777777" w:rsidR="00913C78" w:rsidRPr="00E578F4" w:rsidRDefault="00913C78" w:rsidP="00E578F4">
            <w:pPr>
              <w:pStyle w:val="ae"/>
              <w:rPr>
                <w:b w:val="0"/>
                <w:bCs/>
              </w:rPr>
            </w:pPr>
          </w:p>
        </w:tc>
        <w:tc>
          <w:tcPr>
            <w:tcW w:w="740" w:type="pct"/>
            <w:shd w:val="clear" w:color="auto" w:fill="auto"/>
            <w:vAlign w:val="center"/>
            <w:hideMark/>
          </w:tcPr>
          <w:p w14:paraId="763C0C7E" w14:textId="77777777" w:rsidR="00913C78" w:rsidRPr="00E578F4" w:rsidRDefault="00913C78" w:rsidP="00E578F4">
            <w:pPr>
              <w:pStyle w:val="ae"/>
              <w:rPr>
                <w:b w:val="0"/>
                <w:bCs/>
              </w:rPr>
            </w:pPr>
            <w:r w:rsidRPr="00E578F4">
              <w:rPr>
                <w:rFonts w:hint="eastAsia"/>
                <w:b w:val="0"/>
                <w:bCs/>
              </w:rPr>
              <w:t>木材</w:t>
            </w:r>
          </w:p>
        </w:tc>
        <w:tc>
          <w:tcPr>
            <w:tcW w:w="572" w:type="pct"/>
            <w:shd w:val="clear" w:color="auto" w:fill="auto"/>
            <w:vAlign w:val="center"/>
          </w:tcPr>
          <w:p w14:paraId="78B831C2" w14:textId="77777777" w:rsidR="00913C78" w:rsidRPr="00E578F4" w:rsidRDefault="00913C78" w:rsidP="00E578F4">
            <w:pPr>
              <w:pStyle w:val="ae"/>
              <w:rPr>
                <w:b w:val="0"/>
                <w:bCs/>
              </w:rPr>
            </w:pPr>
          </w:p>
        </w:tc>
        <w:tc>
          <w:tcPr>
            <w:tcW w:w="714" w:type="pct"/>
            <w:shd w:val="clear" w:color="auto" w:fill="auto"/>
            <w:vAlign w:val="center"/>
          </w:tcPr>
          <w:p w14:paraId="4D59E692" w14:textId="77777777" w:rsidR="00913C78" w:rsidRPr="00E578F4" w:rsidRDefault="00913C78" w:rsidP="00E578F4">
            <w:pPr>
              <w:pStyle w:val="ae"/>
              <w:rPr>
                <w:b w:val="0"/>
                <w:bCs/>
              </w:rPr>
            </w:pPr>
          </w:p>
        </w:tc>
        <w:tc>
          <w:tcPr>
            <w:tcW w:w="714" w:type="pct"/>
            <w:vMerge/>
            <w:shd w:val="clear" w:color="auto" w:fill="auto"/>
            <w:vAlign w:val="center"/>
          </w:tcPr>
          <w:p w14:paraId="0CEF5C10" w14:textId="77777777" w:rsidR="00913C78" w:rsidRPr="00E578F4" w:rsidRDefault="00913C78" w:rsidP="00E578F4">
            <w:pPr>
              <w:pStyle w:val="ae"/>
              <w:rPr>
                <w:b w:val="0"/>
                <w:bCs/>
              </w:rPr>
            </w:pPr>
          </w:p>
        </w:tc>
        <w:tc>
          <w:tcPr>
            <w:tcW w:w="714" w:type="pct"/>
            <w:vMerge/>
            <w:shd w:val="clear" w:color="auto" w:fill="auto"/>
            <w:vAlign w:val="center"/>
          </w:tcPr>
          <w:p w14:paraId="55AB904D" w14:textId="77777777" w:rsidR="00913C78" w:rsidRPr="00E578F4" w:rsidRDefault="00913C78" w:rsidP="00E578F4">
            <w:pPr>
              <w:pStyle w:val="ae"/>
              <w:rPr>
                <w:b w:val="0"/>
                <w:bCs/>
              </w:rPr>
            </w:pPr>
          </w:p>
        </w:tc>
        <w:tc>
          <w:tcPr>
            <w:tcW w:w="710" w:type="pct"/>
            <w:vMerge/>
            <w:shd w:val="clear" w:color="auto" w:fill="auto"/>
            <w:vAlign w:val="center"/>
          </w:tcPr>
          <w:p w14:paraId="31CBC68C" w14:textId="77777777" w:rsidR="00913C78" w:rsidRPr="00E578F4" w:rsidRDefault="00913C78" w:rsidP="00E578F4">
            <w:pPr>
              <w:pStyle w:val="ae"/>
              <w:rPr>
                <w:b w:val="0"/>
                <w:bCs/>
              </w:rPr>
            </w:pPr>
          </w:p>
        </w:tc>
      </w:tr>
      <w:tr w:rsidR="00913C78" w:rsidRPr="00E578F4" w14:paraId="5705F01D" w14:textId="77777777" w:rsidTr="00A2511C">
        <w:trPr>
          <w:jc w:val="center"/>
        </w:trPr>
        <w:tc>
          <w:tcPr>
            <w:tcW w:w="836" w:type="pct"/>
            <w:vMerge/>
            <w:shd w:val="clear" w:color="auto" w:fill="auto"/>
            <w:vAlign w:val="center"/>
            <w:hideMark/>
          </w:tcPr>
          <w:p w14:paraId="3B78B3DA" w14:textId="77777777" w:rsidR="00913C78" w:rsidRPr="00E578F4" w:rsidRDefault="00913C78" w:rsidP="00E578F4">
            <w:pPr>
              <w:pStyle w:val="ae"/>
              <w:rPr>
                <w:b w:val="0"/>
                <w:bCs/>
              </w:rPr>
            </w:pPr>
          </w:p>
        </w:tc>
        <w:tc>
          <w:tcPr>
            <w:tcW w:w="740" w:type="pct"/>
            <w:shd w:val="clear" w:color="auto" w:fill="auto"/>
            <w:vAlign w:val="center"/>
            <w:hideMark/>
          </w:tcPr>
          <w:p w14:paraId="2098916E" w14:textId="77777777" w:rsidR="00913C78" w:rsidRPr="00E578F4" w:rsidRDefault="00913C78" w:rsidP="00E578F4">
            <w:pPr>
              <w:pStyle w:val="ae"/>
              <w:rPr>
                <w:b w:val="0"/>
                <w:bCs/>
              </w:rPr>
            </w:pPr>
            <w:r w:rsidRPr="00E578F4">
              <w:rPr>
                <w:rFonts w:hint="eastAsia"/>
                <w:b w:val="0"/>
                <w:bCs/>
              </w:rPr>
              <w:t>铝合金型材</w:t>
            </w:r>
          </w:p>
        </w:tc>
        <w:tc>
          <w:tcPr>
            <w:tcW w:w="572" w:type="pct"/>
            <w:shd w:val="clear" w:color="auto" w:fill="auto"/>
            <w:vAlign w:val="center"/>
          </w:tcPr>
          <w:p w14:paraId="180FFDA2" w14:textId="77777777" w:rsidR="00913C78" w:rsidRPr="00E578F4" w:rsidRDefault="00913C78" w:rsidP="00E578F4">
            <w:pPr>
              <w:pStyle w:val="ae"/>
              <w:rPr>
                <w:b w:val="0"/>
                <w:bCs/>
              </w:rPr>
            </w:pPr>
          </w:p>
        </w:tc>
        <w:tc>
          <w:tcPr>
            <w:tcW w:w="714" w:type="pct"/>
            <w:shd w:val="clear" w:color="auto" w:fill="auto"/>
            <w:vAlign w:val="center"/>
          </w:tcPr>
          <w:p w14:paraId="3881ED12" w14:textId="77777777" w:rsidR="00913C78" w:rsidRPr="00E578F4" w:rsidRDefault="00913C78" w:rsidP="00E578F4">
            <w:pPr>
              <w:pStyle w:val="ae"/>
              <w:rPr>
                <w:b w:val="0"/>
                <w:bCs/>
              </w:rPr>
            </w:pPr>
          </w:p>
        </w:tc>
        <w:tc>
          <w:tcPr>
            <w:tcW w:w="714" w:type="pct"/>
            <w:vMerge/>
            <w:shd w:val="clear" w:color="auto" w:fill="auto"/>
            <w:vAlign w:val="center"/>
          </w:tcPr>
          <w:p w14:paraId="6B708E5F" w14:textId="77777777" w:rsidR="00913C78" w:rsidRPr="00E578F4" w:rsidRDefault="00913C78" w:rsidP="00E578F4">
            <w:pPr>
              <w:pStyle w:val="ae"/>
              <w:rPr>
                <w:b w:val="0"/>
                <w:bCs/>
              </w:rPr>
            </w:pPr>
          </w:p>
        </w:tc>
        <w:tc>
          <w:tcPr>
            <w:tcW w:w="714" w:type="pct"/>
            <w:vMerge/>
            <w:shd w:val="clear" w:color="auto" w:fill="auto"/>
            <w:vAlign w:val="center"/>
          </w:tcPr>
          <w:p w14:paraId="5812D39D" w14:textId="77777777" w:rsidR="00913C78" w:rsidRPr="00E578F4" w:rsidRDefault="00913C78" w:rsidP="00E578F4">
            <w:pPr>
              <w:pStyle w:val="ae"/>
              <w:rPr>
                <w:b w:val="0"/>
                <w:bCs/>
              </w:rPr>
            </w:pPr>
          </w:p>
        </w:tc>
        <w:tc>
          <w:tcPr>
            <w:tcW w:w="710" w:type="pct"/>
            <w:vMerge/>
            <w:shd w:val="clear" w:color="auto" w:fill="auto"/>
            <w:vAlign w:val="center"/>
          </w:tcPr>
          <w:p w14:paraId="654D06AC" w14:textId="77777777" w:rsidR="00913C78" w:rsidRPr="00E578F4" w:rsidRDefault="00913C78" w:rsidP="00E578F4">
            <w:pPr>
              <w:pStyle w:val="ae"/>
              <w:rPr>
                <w:b w:val="0"/>
                <w:bCs/>
              </w:rPr>
            </w:pPr>
          </w:p>
        </w:tc>
      </w:tr>
      <w:tr w:rsidR="00913C78" w:rsidRPr="00E578F4" w14:paraId="3091CF56" w14:textId="77777777" w:rsidTr="00A2511C">
        <w:trPr>
          <w:jc w:val="center"/>
        </w:trPr>
        <w:tc>
          <w:tcPr>
            <w:tcW w:w="836" w:type="pct"/>
            <w:vMerge/>
            <w:shd w:val="clear" w:color="auto" w:fill="auto"/>
            <w:vAlign w:val="center"/>
            <w:hideMark/>
          </w:tcPr>
          <w:p w14:paraId="19D97D80" w14:textId="77777777" w:rsidR="00913C78" w:rsidRPr="00E578F4" w:rsidRDefault="00913C78" w:rsidP="00E578F4">
            <w:pPr>
              <w:pStyle w:val="ae"/>
              <w:rPr>
                <w:b w:val="0"/>
                <w:bCs/>
              </w:rPr>
            </w:pPr>
          </w:p>
        </w:tc>
        <w:tc>
          <w:tcPr>
            <w:tcW w:w="740" w:type="pct"/>
            <w:shd w:val="clear" w:color="auto" w:fill="auto"/>
            <w:vAlign w:val="center"/>
            <w:hideMark/>
          </w:tcPr>
          <w:p w14:paraId="47B05FBB" w14:textId="77777777" w:rsidR="00913C78" w:rsidRPr="00E578F4" w:rsidRDefault="00913C78" w:rsidP="00E578F4">
            <w:pPr>
              <w:pStyle w:val="ae"/>
              <w:rPr>
                <w:b w:val="0"/>
                <w:bCs/>
              </w:rPr>
            </w:pPr>
            <w:r w:rsidRPr="00E578F4">
              <w:rPr>
                <w:rFonts w:hint="eastAsia"/>
                <w:b w:val="0"/>
                <w:bCs/>
              </w:rPr>
              <w:t>石膏制品</w:t>
            </w:r>
          </w:p>
        </w:tc>
        <w:tc>
          <w:tcPr>
            <w:tcW w:w="572" w:type="pct"/>
            <w:shd w:val="clear" w:color="auto" w:fill="auto"/>
            <w:vAlign w:val="center"/>
          </w:tcPr>
          <w:p w14:paraId="545566AB" w14:textId="77777777" w:rsidR="00913C78" w:rsidRPr="00E578F4" w:rsidRDefault="00913C78" w:rsidP="00E578F4">
            <w:pPr>
              <w:pStyle w:val="ae"/>
              <w:rPr>
                <w:b w:val="0"/>
                <w:bCs/>
              </w:rPr>
            </w:pPr>
          </w:p>
        </w:tc>
        <w:tc>
          <w:tcPr>
            <w:tcW w:w="714" w:type="pct"/>
            <w:shd w:val="clear" w:color="auto" w:fill="auto"/>
            <w:vAlign w:val="center"/>
          </w:tcPr>
          <w:p w14:paraId="6B5090E0" w14:textId="77777777" w:rsidR="00913C78" w:rsidRPr="00E578F4" w:rsidRDefault="00913C78" w:rsidP="00E578F4">
            <w:pPr>
              <w:pStyle w:val="ae"/>
              <w:rPr>
                <w:b w:val="0"/>
                <w:bCs/>
              </w:rPr>
            </w:pPr>
          </w:p>
        </w:tc>
        <w:tc>
          <w:tcPr>
            <w:tcW w:w="714" w:type="pct"/>
            <w:vMerge/>
            <w:shd w:val="clear" w:color="auto" w:fill="auto"/>
            <w:vAlign w:val="center"/>
          </w:tcPr>
          <w:p w14:paraId="0CD2CAA7" w14:textId="77777777" w:rsidR="00913C78" w:rsidRPr="00E578F4" w:rsidRDefault="00913C78" w:rsidP="00E578F4">
            <w:pPr>
              <w:pStyle w:val="ae"/>
              <w:rPr>
                <w:b w:val="0"/>
                <w:bCs/>
              </w:rPr>
            </w:pPr>
          </w:p>
        </w:tc>
        <w:tc>
          <w:tcPr>
            <w:tcW w:w="714" w:type="pct"/>
            <w:vMerge/>
            <w:shd w:val="clear" w:color="auto" w:fill="auto"/>
            <w:vAlign w:val="center"/>
          </w:tcPr>
          <w:p w14:paraId="0DB52417" w14:textId="77777777" w:rsidR="00913C78" w:rsidRPr="00E578F4" w:rsidRDefault="00913C78" w:rsidP="00E578F4">
            <w:pPr>
              <w:pStyle w:val="ae"/>
              <w:rPr>
                <w:b w:val="0"/>
                <w:bCs/>
              </w:rPr>
            </w:pPr>
          </w:p>
        </w:tc>
        <w:tc>
          <w:tcPr>
            <w:tcW w:w="710" w:type="pct"/>
            <w:vMerge/>
            <w:shd w:val="clear" w:color="auto" w:fill="auto"/>
            <w:vAlign w:val="center"/>
          </w:tcPr>
          <w:p w14:paraId="79363B67" w14:textId="77777777" w:rsidR="00913C78" w:rsidRPr="00E578F4" w:rsidRDefault="00913C78" w:rsidP="00E578F4">
            <w:pPr>
              <w:pStyle w:val="ae"/>
              <w:rPr>
                <w:b w:val="0"/>
                <w:bCs/>
              </w:rPr>
            </w:pPr>
          </w:p>
        </w:tc>
      </w:tr>
      <w:tr w:rsidR="00913C78" w:rsidRPr="00E578F4" w14:paraId="1EDAA43C" w14:textId="77777777" w:rsidTr="00A2511C">
        <w:trPr>
          <w:jc w:val="center"/>
        </w:trPr>
        <w:tc>
          <w:tcPr>
            <w:tcW w:w="836" w:type="pct"/>
            <w:vMerge/>
            <w:shd w:val="clear" w:color="auto" w:fill="auto"/>
            <w:vAlign w:val="center"/>
            <w:hideMark/>
          </w:tcPr>
          <w:p w14:paraId="64CBE5E4" w14:textId="77777777" w:rsidR="00913C78" w:rsidRPr="00E578F4" w:rsidRDefault="00913C78" w:rsidP="00E578F4">
            <w:pPr>
              <w:pStyle w:val="ae"/>
              <w:rPr>
                <w:b w:val="0"/>
                <w:bCs/>
              </w:rPr>
            </w:pPr>
          </w:p>
        </w:tc>
        <w:tc>
          <w:tcPr>
            <w:tcW w:w="740" w:type="pct"/>
            <w:shd w:val="clear" w:color="auto" w:fill="auto"/>
            <w:vAlign w:val="center"/>
            <w:hideMark/>
          </w:tcPr>
          <w:p w14:paraId="7D3F38E3" w14:textId="77777777" w:rsidR="00913C78" w:rsidRPr="00E578F4" w:rsidRDefault="00913C78" w:rsidP="00E578F4">
            <w:pPr>
              <w:pStyle w:val="ae"/>
              <w:rPr>
                <w:b w:val="0"/>
                <w:bCs/>
              </w:rPr>
            </w:pPr>
            <w:r w:rsidRPr="00E578F4">
              <w:rPr>
                <w:rFonts w:hint="eastAsia"/>
                <w:b w:val="0"/>
                <w:bCs/>
              </w:rPr>
              <w:t>门窗玻璃</w:t>
            </w:r>
          </w:p>
        </w:tc>
        <w:tc>
          <w:tcPr>
            <w:tcW w:w="572" w:type="pct"/>
            <w:shd w:val="clear" w:color="auto" w:fill="auto"/>
            <w:vAlign w:val="center"/>
          </w:tcPr>
          <w:p w14:paraId="7D764D3A" w14:textId="77777777" w:rsidR="00913C78" w:rsidRPr="00E578F4" w:rsidRDefault="00913C78" w:rsidP="00E578F4">
            <w:pPr>
              <w:pStyle w:val="ae"/>
              <w:rPr>
                <w:b w:val="0"/>
                <w:bCs/>
              </w:rPr>
            </w:pPr>
          </w:p>
        </w:tc>
        <w:tc>
          <w:tcPr>
            <w:tcW w:w="714" w:type="pct"/>
            <w:shd w:val="clear" w:color="auto" w:fill="auto"/>
            <w:vAlign w:val="center"/>
          </w:tcPr>
          <w:p w14:paraId="3E7DB882" w14:textId="77777777" w:rsidR="00913C78" w:rsidRPr="00E578F4" w:rsidRDefault="00913C78" w:rsidP="00E578F4">
            <w:pPr>
              <w:pStyle w:val="ae"/>
              <w:rPr>
                <w:b w:val="0"/>
                <w:bCs/>
              </w:rPr>
            </w:pPr>
          </w:p>
        </w:tc>
        <w:tc>
          <w:tcPr>
            <w:tcW w:w="714" w:type="pct"/>
            <w:vMerge/>
            <w:shd w:val="clear" w:color="auto" w:fill="auto"/>
            <w:vAlign w:val="center"/>
          </w:tcPr>
          <w:p w14:paraId="781C389A" w14:textId="77777777" w:rsidR="00913C78" w:rsidRPr="00E578F4" w:rsidRDefault="00913C78" w:rsidP="00E578F4">
            <w:pPr>
              <w:pStyle w:val="ae"/>
              <w:rPr>
                <w:b w:val="0"/>
                <w:bCs/>
              </w:rPr>
            </w:pPr>
          </w:p>
        </w:tc>
        <w:tc>
          <w:tcPr>
            <w:tcW w:w="714" w:type="pct"/>
            <w:vMerge/>
            <w:shd w:val="clear" w:color="auto" w:fill="auto"/>
            <w:vAlign w:val="center"/>
          </w:tcPr>
          <w:p w14:paraId="6DB462EE" w14:textId="77777777" w:rsidR="00913C78" w:rsidRPr="00E578F4" w:rsidRDefault="00913C78" w:rsidP="00E578F4">
            <w:pPr>
              <w:pStyle w:val="ae"/>
              <w:rPr>
                <w:b w:val="0"/>
                <w:bCs/>
              </w:rPr>
            </w:pPr>
          </w:p>
        </w:tc>
        <w:tc>
          <w:tcPr>
            <w:tcW w:w="710" w:type="pct"/>
            <w:vMerge/>
            <w:shd w:val="clear" w:color="auto" w:fill="auto"/>
            <w:vAlign w:val="center"/>
          </w:tcPr>
          <w:p w14:paraId="3C442F62" w14:textId="77777777" w:rsidR="00913C78" w:rsidRPr="00E578F4" w:rsidRDefault="00913C78" w:rsidP="00E578F4">
            <w:pPr>
              <w:pStyle w:val="ae"/>
              <w:rPr>
                <w:b w:val="0"/>
                <w:bCs/>
              </w:rPr>
            </w:pPr>
          </w:p>
        </w:tc>
      </w:tr>
      <w:tr w:rsidR="00913C78" w:rsidRPr="00E578F4" w14:paraId="418CDA77" w14:textId="77777777" w:rsidTr="00A2511C">
        <w:trPr>
          <w:jc w:val="center"/>
        </w:trPr>
        <w:tc>
          <w:tcPr>
            <w:tcW w:w="836" w:type="pct"/>
            <w:vMerge/>
            <w:shd w:val="clear" w:color="auto" w:fill="auto"/>
            <w:vAlign w:val="center"/>
            <w:hideMark/>
          </w:tcPr>
          <w:p w14:paraId="44DB5F46" w14:textId="77777777" w:rsidR="00913C78" w:rsidRPr="00E578F4" w:rsidRDefault="00913C78" w:rsidP="00E578F4">
            <w:pPr>
              <w:pStyle w:val="ae"/>
              <w:rPr>
                <w:b w:val="0"/>
                <w:bCs/>
              </w:rPr>
            </w:pPr>
          </w:p>
        </w:tc>
        <w:tc>
          <w:tcPr>
            <w:tcW w:w="740" w:type="pct"/>
            <w:shd w:val="clear" w:color="auto" w:fill="auto"/>
            <w:vAlign w:val="center"/>
            <w:hideMark/>
          </w:tcPr>
          <w:p w14:paraId="2EE2D33A" w14:textId="77777777" w:rsidR="00913C78" w:rsidRPr="00E578F4" w:rsidRDefault="00913C78" w:rsidP="00E578F4">
            <w:pPr>
              <w:pStyle w:val="ae"/>
              <w:rPr>
                <w:b w:val="0"/>
                <w:bCs/>
              </w:rPr>
            </w:pPr>
            <w:r w:rsidRPr="00E578F4">
              <w:rPr>
                <w:rFonts w:hint="eastAsia"/>
                <w:b w:val="0"/>
                <w:bCs/>
              </w:rPr>
              <w:t>玻璃幕墙</w:t>
            </w:r>
          </w:p>
        </w:tc>
        <w:tc>
          <w:tcPr>
            <w:tcW w:w="572" w:type="pct"/>
            <w:shd w:val="clear" w:color="auto" w:fill="auto"/>
            <w:vAlign w:val="center"/>
          </w:tcPr>
          <w:p w14:paraId="4ECE26E5" w14:textId="77777777" w:rsidR="00913C78" w:rsidRPr="00E578F4" w:rsidRDefault="00913C78" w:rsidP="00E578F4">
            <w:pPr>
              <w:pStyle w:val="ae"/>
              <w:rPr>
                <w:b w:val="0"/>
                <w:bCs/>
              </w:rPr>
            </w:pPr>
          </w:p>
        </w:tc>
        <w:tc>
          <w:tcPr>
            <w:tcW w:w="714" w:type="pct"/>
            <w:shd w:val="clear" w:color="auto" w:fill="auto"/>
            <w:vAlign w:val="center"/>
          </w:tcPr>
          <w:p w14:paraId="55B6FC54" w14:textId="77777777" w:rsidR="00913C78" w:rsidRPr="00E578F4" w:rsidRDefault="00913C78" w:rsidP="00E578F4">
            <w:pPr>
              <w:pStyle w:val="ae"/>
              <w:rPr>
                <w:b w:val="0"/>
                <w:bCs/>
              </w:rPr>
            </w:pPr>
          </w:p>
        </w:tc>
        <w:tc>
          <w:tcPr>
            <w:tcW w:w="714" w:type="pct"/>
            <w:vMerge/>
            <w:shd w:val="clear" w:color="auto" w:fill="auto"/>
            <w:vAlign w:val="center"/>
          </w:tcPr>
          <w:p w14:paraId="67FAF3E3" w14:textId="77777777" w:rsidR="00913C78" w:rsidRPr="00E578F4" w:rsidRDefault="00913C78" w:rsidP="00E578F4">
            <w:pPr>
              <w:pStyle w:val="ae"/>
              <w:rPr>
                <w:b w:val="0"/>
                <w:bCs/>
              </w:rPr>
            </w:pPr>
          </w:p>
        </w:tc>
        <w:tc>
          <w:tcPr>
            <w:tcW w:w="714" w:type="pct"/>
            <w:vMerge/>
            <w:shd w:val="clear" w:color="auto" w:fill="auto"/>
            <w:vAlign w:val="center"/>
          </w:tcPr>
          <w:p w14:paraId="216B2F59" w14:textId="77777777" w:rsidR="00913C78" w:rsidRPr="00E578F4" w:rsidRDefault="00913C78" w:rsidP="00E578F4">
            <w:pPr>
              <w:pStyle w:val="ae"/>
              <w:rPr>
                <w:b w:val="0"/>
                <w:bCs/>
              </w:rPr>
            </w:pPr>
          </w:p>
        </w:tc>
        <w:tc>
          <w:tcPr>
            <w:tcW w:w="710" w:type="pct"/>
            <w:vMerge/>
            <w:shd w:val="clear" w:color="auto" w:fill="auto"/>
            <w:vAlign w:val="center"/>
          </w:tcPr>
          <w:p w14:paraId="280421AE" w14:textId="77777777" w:rsidR="00913C78" w:rsidRPr="00E578F4" w:rsidRDefault="00913C78" w:rsidP="00E578F4">
            <w:pPr>
              <w:pStyle w:val="ae"/>
              <w:rPr>
                <w:b w:val="0"/>
                <w:bCs/>
              </w:rPr>
            </w:pPr>
          </w:p>
        </w:tc>
      </w:tr>
      <w:tr w:rsidR="00913C78" w:rsidRPr="00E578F4" w14:paraId="0FBC0C70" w14:textId="77777777" w:rsidTr="00A2511C">
        <w:trPr>
          <w:jc w:val="center"/>
        </w:trPr>
        <w:tc>
          <w:tcPr>
            <w:tcW w:w="836" w:type="pct"/>
            <w:vMerge/>
            <w:shd w:val="clear" w:color="auto" w:fill="auto"/>
            <w:vAlign w:val="center"/>
          </w:tcPr>
          <w:p w14:paraId="53A5E14B" w14:textId="77777777" w:rsidR="00913C78" w:rsidRPr="00E578F4" w:rsidRDefault="00913C78" w:rsidP="00E578F4">
            <w:pPr>
              <w:pStyle w:val="ae"/>
              <w:rPr>
                <w:b w:val="0"/>
                <w:bCs/>
              </w:rPr>
            </w:pPr>
          </w:p>
        </w:tc>
        <w:tc>
          <w:tcPr>
            <w:tcW w:w="740" w:type="pct"/>
            <w:shd w:val="clear" w:color="auto" w:fill="auto"/>
            <w:vAlign w:val="center"/>
          </w:tcPr>
          <w:p w14:paraId="1DC0E0D3" w14:textId="77777777" w:rsidR="00913C78" w:rsidRPr="00E578F4" w:rsidRDefault="00913C78" w:rsidP="00E578F4">
            <w:pPr>
              <w:pStyle w:val="ae"/>
              <w:rPr>
                <w:b w:val="0"/>
                <w:bCs/>
              </w:rPr>
            </w:pPr>
            <w:r w:rsidRPr="00E578F4">
              <w:rPr>
                <w:rFonts w:hint="eastAsia"/>
                <w:b w:val="0"/>
                <w:bCs/>
              </w:rPr>
              <w:t>砂浆</w:t>
            </w:r>
          </w:p>
        </w:tc>
        <w:tc>
          <w:tcPr>
            <w:tcW w:w="572" w:type="pct"/>
            <w:shd w:val="clear" w:color="auto" w:fill="auto"/>
            <w:vAlign w:val="center"/>
          </w:tcPr>
          <w:p w14:paraId="0B7DCBAF" w14:textId="77777777" w:rsidR="00913C78" w:rsidRPr="00E578F4" w:rsidRDefault="00913C78" w:rsidP="00E578F4">
            <w:pPr>
              <w:pStyle w:val="ae"/>
              <w:rPr>
                <w:b w:val="0"/>
                <w:bCs/>
              </w:rPr>
            </w:pPr>
          </w:p>
        </w:tc>
        <w:tc>
          <w:tcPr>
            <w:tcW w:w="714" w:type="pct"/>
            <w:shd w:val="clear" w:color="auto" w:fill="auto"/>
            <w:vAlign w:val="center"/>
          </w:tcPr>
          <w:p w14:paraId="73FBA18F" w14:textId="77777777" w:rsidR="00913C78" w:rsidRPr="00E578F4" w:rsidRDefault="00913C78" w:rsidP="00E578F4">
            <w:pPr>
              <w:pStyle w:val="ae"/>
              <w:rPr>
                <w:b w:val="0"/>
                <w:bCs/>
              </w:rPr>
            </w:pPr>
          </w:p>
        </w:tc>
        <w:tc>
          <w:tcPr>
            <w:tcW w:w="714" w:type="pct"/>
            <w:vMerge/>
            <w:shd w:val="clear" w:color="auto" w:fill="auto"/>
            <w:vAlign w:val="center"/>
          </w:tcPr>
          <w:p w14:paraId="1771D281" w14:textId="77777777" w:rsidR="00913C78" w:rsidRPr="00E578F4" w:rsidRDefault="00913C78" w:rsidP="00E578F4">
            <w:pPr>
              <w:pStyle w:val="ae"/>
              <w:rPr>
                <w:b w:val="0"/>
                <w:bCs/>
              </w:rPr>
            </w:pPr>
          </w:p>
        </w:tc>
        <w:tc>
          <w:tcPr>
            <w:tcW w:w="714" w:type="pct"/>
            <w:vMerge/>
            <w:shd w:val="clear" w:color="auto" w:fill="auto"/>
            <w:vAlign w:val="center"/>
          </w:tcPr>
          <w:p w14:paraId="04A5538B" w14:textId="77777777" w:rsidR="00913C78" w:rsidRPr="00E578F4" w:rsidRDefault="00913C78" w:rsidP="00E578F4">
            <w:pPr>
              <w:pStyle w:val="ae"/>
              <w:rPr>
                <w:b w:val="0"/>
                <w:bCs/>
              </w:rPr>
            </w:pPr>
          </w:p>
        </w:tc>
        <w:tc>
          <w:tcPr>
            <w:tcW w:w="710" w:type="pct"/>
            <w:vMerge/>
            <w:shd w:val="clear" w:color="auto" w:fill="auto"/>
            <w:vAlign w:val="center"/>
          </w:tcPr>
          <w:p w14:paraId="5582A335" w14:textId="77777777" w:rsidR="00913C78" w:rsidRPr="00E578F4" w:rsidRDefault="00913C78" w:rsidP="00E578F4">
            <w:pPr>
              <w:pStyle w:val="ae"/>
              <w:rPr>
                <w:b w:val="0"/>
                <w:bCs/>
              </w:rPr>
            </w:pPr>
          </w:p>
        </w:tc>
      </w:tr>
      <w:tr w:rsidR="00913C78" w:rsidRPr="00E578F4" w14:paraId="46B9E45B" w14:textId="77777777" w:rsidTr="00A2511C">
        <w:trPr>
          <w:jc w:val="center"/>
        </w:trPr>
        <w:tc>
          <w:tcPr>
            <w:tcW w:w="836" w:type="pct"/>
            <w:vMerge/>
            <w:shd w:val="clear" w:color="auto" w:fill="auto"/>
            <w:vAlign w:val="center"/>
          </w:tcPr>
          <w:p w14:paraId="3C35D28B" w14:textId="77777777" w:rsidR="00913C78" w:rsidRPr="00E578F4" w:rsidRDefault="00913C78" w:rsidP="00E578F4">
            <w:pPr>
              <w:pStyle w:val="ae"/>
              <w:rPr>
                <w:b w:val="0"/>
                <w:bCs/>
              </w:rPr>
            </w:pPr>
          </w:p>
        </w:tc>
        <w:tc>
          <w:tcPr>
            <w:tcW w:w="740" w:type="pct"/>
            <w:shd w:val="clear" w:color="auto" w:fill="auto"/>
            <w:vAlign w:val="center"/>
          </w:tcPr>
          <w:p w14:paraId="77DAFEA0" w14:textId="77777777" w:rsidR="00913C78" w:rsidRPr="00E578F4" w:rsidRDefault="00913C78" w:rsidP="00E578F4">
            <w:pPr>
              <w:pStyle w:val="ae"/>
              <w:rPr>
                <w:b w:val="0"/>
                <w:bCs/>
              </w:rPr>
            </w:pPr>
            <w:r w:rsidRPr="00E578F4">
              <w:rPr>
                <w:rFonts w:hint="eastAsia"/>
                <w:b w:val="0"/>
                <w:bCs/>
              </w:rPr>
              <w:t>……</w:t>
            </w:r>
          </w:p>
        </w:tc>
        <w:tc>
          <w:tcPr>
            <w:tcW w:w="572" w:type="pct"/>
            <w:shd w:val="clear" w:color="auto" w:fill="auto"/>
            <w:vAlign w:val="center"/>
          </w:tcPr>
          <w:p w14:paraId="2767420D" w14:textId="77777777" w:rsidR="00913C78" w:rsidRPr="00E578F4" w:rsidRDefault="00913C78" w:rsidP="00E578F4">
            <w:pPr>
              <w:pStyle w:val="ae"/>
              <w:rPr>
                <w:b w:val="0"/>
                <w:bCs/>
              </w:rPr>
            </w:pPr>
          </w:p>
        </w:tc>
        <w:tc>
          <w:tcPr>
            <w:tcW w:w="714" w:type="pct"/>
            <w:shd w:val="clear" w:color="auto" w:fill="auto"/>
            <w:vAlign w:val="center"/>
          </w:tcPr>
          <w:p w14:paraId="3F5DC55D" w14:textId="77777777" w:rsidR="00913C78" w:rsidRPr="00E578F4" w:rsidRDefault="00913C78" w:rsidP="00E578F4">
            <w:pPr>
              <w:pStyle w:val="ae"/>
              <w:rPr>
                <w:b w:val="0"/>
                <w:bCs/>
              </w:rPr>
            </w:pPr>
          </w:p>
        </w:tc>
        <w:tc>
          <w:tcPr>
            <w:tcW w:w="714" w:type="pct"/>
            <w:vMerge/>
            <w:shd w:val="clear" w:color="auto" w:fill="auto"/>
            <w:vAlign w:val="center"/>
          </w:tcPr>
          <w:p w14:paraId="0B69560F" w14:textId="77777777" w:rsidR="00913C78" w:rsidRPr="00E578F4" w:rsidRDefault="00913C78" w:rsidP="00E578F4">
            <w:pPr>
              <w:pStyle w:val="ae"/>
              <w:rPr>
                <w:b w:val="0"/>
                <w:bCs/>
              </w:rPr>
            </w:pPr>
          </w:p>
        </w:tc>
        <w:tc>
          <w:tcPr>
            <w:tcW w:w="714" w:type="pct"/>
            <w:vMerge/>
            <w:shd w:val="clear" w:color="auto" w:fill="auto"/>
            <w:vAlign w:val="center"/>
          </w:tcPr>
          <w:p w14:paraId="631725AF" w14:textId="77777777" w:rsidR="00913C78" w:rsidRPr="00E578F4" w:rsidRDefault="00913C78" w:rsidP="00E578F4">
            <w:pPr>
              <w:pStyle w:val="ae"/>
              <w:rPr>
                <w:b w:val="0"/>
                <w:bCs/>
              </w:rPr>
            </w:pPr>
          </w:p>
        </w:tc>
        <w:tc>
          <w:tcPr>
            <w:tcW w:w="710" w:type="pct"/>
            <w:vMerge/>
            <w:shd w:val="clear" w:color="auto" w:fill="auto"/>
            <w:vAlign w:val="center"/>
          </w:tcPr>
          <w:p w14:paraId="0A0D992C" w14:textId="77777777" w:rsidR="00913C78" w:rsidRPr="00E578F4" w:rsidRDefault="00913C78" w:rsidP="00E578F4">
            <w:pPr>
              <w:pStyle w:val="ae"/>
              <w:rPr>
                <w:b w:val="0"/>
                <w:bCs/>
              </w:rPr>
            </w:pPr>
          </w:p>
        </w:tc>
      </w:tr>
      <w:tr w:rsidR="00913C78" w:rsidRPr="00E578F4" w14:paraId="04392C20" w14:textId="77777777" w:rsidTr="00A2511C">
        <w:trPr>
          <w:jc w:val="center"/>
        </w:trPr>
        <w:tc>
          <w:tcPr>
            <w:tcW w:w="836" w:type="pct"/>
            <w:vMerge/>
            <w:shd w:val="clear" w:color="auto" w:fill="auto"/>
            <w:vAlign w:val="center"/>
            <w:hideMark/>
          </w:tcPr>
          <w:p w14:paraId="647A59D0" w14:textId="77777777" w:rsidR="00913C78" w:rsidRPr="00E578F4" w:rsidRDefault="00913C78" w:rsidP="00E578F4">
            <w:pPr>
              <w:pStyle w:val="ae"/>
              <w:rPr>
                <w:b w:val="0"/>
                <w:bCs/>
              </w:rPr>
            </w:pPr>
          </w:p>
        </w:tc>
        <w:tc>
          <w:tcPr>
            <w:tcW w:w="740" w:type="pct"/>
            <w:shd w:val="clear" w:color="auto" w:fill="auto"/>
            <w:vAlign w:val="center"/>
            <w:hideMark/>
          </w:tcPr>
          <w:p w14:paraId="44D469D6" w14:textId="77777777" w:rsidR="00913C78" w:rsidRPr="00E578F4" w:rsidRDefault="00913C78" w:rsidP="00E578F4">
            <w:pPr>
              <w:pStyle w:val="ae"/>
              <w:rPr>
                <w:b w:val="0"/>
                <w:bCs/>
              </w:rPr>
            </w:pPr>
            <w:r w:rsidRPr="00E578F4">
              <w:rPr>
                <w:rFonts w:hint="eastAsia"/>
                <w:b w:val="0"/>
                <w:bCs/>
              </w:rPr>
              <w:t>其他</w:t>
            </w:r>
          </w:p>
        </w:tc>
        <w:tc>
          <w:tcPr>
            <w:tcW w:w="572" w:type="pct"/>
            <w:shd w:val="clear" w:color="auto" w:fill="auto"/>
            <w:vAlign w:val="center"/>
            <w:hideMark/>
          </w:tcPr>
          <w:p w14:paraId="23ED1873" w14:textId="77777777" w:rsidR="00913C78" w:rsidRPr="00E578F4" w:rsidRDefault="00913C78" w:rsidP="00E578F4">
            <w:pPr>
              <w:pStyle w:val="ae"/>
              <w:rPr>
                <w:b w:val="0"/>
                <w:bCs/>
              </w:rPr>
            </w:pPr>
            <w:r w:rsidRPr="00E578F4">
              <w:rPr>
                <w:rFonts w:hint="eastAsia"/>
                <w:b w:val="0"/>
                <w:bCs/>
              </w:rPr>
              <w:t xml:space="preserve">　</w:t>
            </w:r>
          </w:p>
        </w:tc>
        <w:tc>
          <w:tcPr>
            <w:tcW w:w="714" w:type="pct"/>
            <w:shd w:val="clear" w:color="auto" w:fill="auto"/>
            <w:vAlign w:val="center"/>
          </w:tcPr>
          <w:p w14:paraId="59CFC838" w14:textId="77777777" w:rsidR="00913C78" w:rsidRPr="00E578F4" w:rsidRDefault="00913C78" w:rsidP="00E578F4">
            <w:pPr>
              <w:pStyle w:val="ae"/>
              <w:rPr>
                <w:b w:val="0"/>
                <w:bCs/>
              </w:rPr>
            </w:pPr>
          </w:p>
        </w:tc>
        <w:tc>
          <w:tcPr>
            <w:tcW w:w="714" w:type="pct"/>
            <w:vMerge/>
            <w:shd w:val="clear" w:color="auto" w:fill="auto"/>
            <w:vAlign w:val="center"/>
          </w:tcPr>
          <w:p w14:paraId="13410163" w14:textId="77777777" w:rsidR="00913C78" w:rsidRPr="00E578F4" w:rsidRDefault="00913C78" w:rsidP="00E578F4">
            <w:pPr>
              <w:pStyle w:val="ae"/>
              <w:rPr>
                <w:b w:val="0"/>
                <w:bCs/>
              </w:rPr>
            </w:pPr>
          </w:p>
        </w:tc>
        <w:tc>
          <w:tcPr>
            <w:tcW w:w="714" w:type="pct"/>
            <w:vMerge/>
            <w:shd w:val="clear" w:color="auto" w:fill="auto"/>
            <w:vAlign w:val="center"/>
          </w:tcPr>
          <w:p w14:paraId="3FDEDBCD" w14:textId="77777777" w:rsidR="00913C78" w:rsidRPr="00E578F4" w:rsidRDefault="00913C78" w:rsidP="00E578F4">
            <w:pPr>
              <w:pStyle w:val="ae"/>
              <w:rPr>
                <w:b w:val="0"/>
                <w:bCs/>
              </w:rPr>
            </w:pPr>
          </w:p>
        </w:tc>
        <w:tc>
          <w:tcPr>
            <w:tcW w:w="710" w:type="pct"/>
            <w:vMerge/>
            <w:shd w:val="clear" w:color="auto" w:fill="auto"/>
            <w:vAlign w:val="center"/>
          </w:tcPr>
          <w:p w14:paraId="63A32116" w14:textId="77777777" w:rsidR="00913C78" w:rsidRPr="00E578F4" w:rsidRDefault="00913C78" w:rsidP="00E578F4">
            <w:pPr>
              <w:pStyle w:val="ae"/>
              <w:rPr>
                <w:b w:val="0"/>
                <w:bCs/>
              </w:rPr>
            </w:pPr>
          </w:p>
        </w:tc>
      </w:tr>
    </w:tbl>
    <w:p w14:paraId="205E8704" w14:textId="77777777" w:rsidR="00913C78" w:rsidRPr="00913C78" w:rsidRDefault="00913C78" w:rsidP="00913C78">
      <w:pPr>
        <w:ind w:firstLine="420"/>
      </w:pPr>
      <w:r w:rsidRPr="00913C78">
        <w:rPr>
          <w:rFonts w:hint="eastAsia"/>
        </w:rPr>
        <w:t>注</w:t>
      </w:r>
      <w:r w:rsidRPr="00913C78">
        <w:t>：</w:t>
      </w:r>
      <w:r w:rsidRPr="00913C78">
        <w:rPr>
          <w:rFonts w:hint="eastAsia"/>
        </w:rPr>
        <w:t>分别计算参评范围内住宅部分与公建部分可再利用和可再循环材料重量占建筑材料总重量的比例，取住宅建筑得分与公共建筑得分中的低分。</w:t>
      </w:r>
    </w:p>
    <w:p w14:paraId="656E718D" w14:textId="77777777" w:rsidR="00913C78" w:rsidRPr="00913C78" w:rsidRDefault="00913C78" w:rsidP="00E578F4">
      <w:pPr>
        <w:pStyle w:val="32"/>
      </w:pPr>
      <w:bookmarkStart w:id="410" w:name="_Toc35364819"/>
      <w:r w:rsidRPr="00913C78">
        <w:rPr>
          <w:rFonts w:hint="eastAsia"/>
        </w:rPr>
        <w:t xml:space="preserve">B.5.3 </w:t>
      </w:r>
      <w:r w:rsidRPr="00913C78">
        <w:t xml:space="preserve"> </w:t>
      </w:r>
      <w:r w:rsidRPr="00913C78">
        <w:rPr>
          <w:rFonts w:hint="eastAsia"/>
        </w:rPr>
        <w:t>结论</w:t>
      </w:r>
      <w:bookmarkEnd w:id="410"/>
    </w:p>
    <w:p w14:paraId="59072AE7" w14:textId="77777777" w:rsidR="00913C78" w:rsidRPr="00913C78" w:rsidRDefault="00913C78" w:rsidP="00913C78">
      <w:pPr>
        <w:ind w:firstLine="420"/>
      </w:pPr>
      <w:r w:rsidRPr="00913C78">
        <w:rPr>
          <w:rFonts w:hint="eastAsia"/>
        </w:rPr>
        <w:t>对结果进行达标判定，</w:t>
      </w:r>
      <w:r w:rsidRPr="00913C78">
        <w:t>并</w:t>
      </w:r>
      <w:r w:rsidRPr="00913C78">
        <w:rPr>
          <w:rFonts w:hint="eastAsia"/>
        </w:rPr>
        <w:t>给出结论。</w:t>
      </w:r>
    </w:p>
    <w:p w14:paraId="0305C35A" w14:textId="160E705C" w:rsidR="00913C78" w:rsidRPr="00913C78" w:rsidRDefault="00913C78" w:rsidP="00E578F4">
      <w:pPr>
        <w:pStyle w:val="32"/>
      </w:pPr>
      <w:bookmarkStart w:id="411" w:name="_Toc35364820"/>
      <w:r w:rsidRPr="00913C78">
        <w:rPr>
          <w:rFonts w:hint="eastAsia"/>
        </w:rPr>
        <w:t>B.5.</w:t>
      </w:r>
      <w:r w:rsidRPr="00913C78">
        <w:t>4</w:t>
      </w:r>
      <w:r w:rsidRPr="00913C78">
        <w:rPr>
          <w:rFonts w:hint="eastAsia"/>
        </w:rPr>
        <w:t xml:space="preserve">  </w:t>
      </w:r>
      <w:r w:rsidRPr="00913C78">
        <w:rPr>
          <w:rFonts w:hint="eastAsia"/>
        </w:rPr>
        <w:t>审查要点（附表</w:t>
      </w:r>
      <w:r w:rsidRPr="00913C78">
        <w:rPr>
          <w:rFonts w:hint="eastAsia"/>
        </w:rPr>
        <w:t>B.5.2</w:t>
      </w:r>
      <w:r w:rsidRPr="00913C78">
        <w:rPr>
          <w:rFonts w:hint="eastAsia"/>
        </w:rPr>
        <w:t>）</w:t>
      </w:r>
      <w:bookmarkEnd w:id="411"/>
    </w:p>
    <w:p w14:paraId="0F240899" w14:textId="617E6A22" w:rsidR="00913C78" w:rsidRPr="00913C78" w:rsidRDefault="00913C78" w:rsidP="00E578F4">
      <w:pPr>
        <w:pStyle w:val="ae"/>
      </w:pPr>
      <w:r w:rsidRPr="00913C78">
        <w:rPr>
          <w:rFonts w:hint="eastAsia"/>
        </w:rPr>
        <w:t>附表</w:t>
      </w:r>
      <w:r w:rsidRPr="00913C78">
        <w:rPr>
          <w:rFonts w:hint="eastAsia"/>
        </w:rPr>
        <w:t xml:space="preserve">B.5.2  </w:t>
      </w:r>
      <w:r w:rsidRPr="00913C78">
        <w:rPr>
          <w:rFonts w:hint="eastAsia"/>
        </w:rPr>
        <w:t>可再循环材料使用比例计算报告专家判断表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0"/>
        <w:gridCol w:w="1425"/>
        <w:gridCol w:w="4354"/>
        <w:gridCol w:w="951"/>
      </w:tblGrid>
      <w:tr w:rsidR="00913C78" w:rsidRPr="00E578F4" w14:paraId="2544781B" w14:textId="77777777" w:rsidTr="00A2511C">
        <w:trPr>
          <w:jc w:val="center"/>
        </w:trPr>
        <w:tc>
          <w:tcPr>
            <w:tcW w:w="729" w:type="dxa"/>
            <w:shd w:val="clear" w:color="auto" w:fill="auto"/>
            <w:vAlign w:val="center"/>
            <w:hideMark/>
          </w:tcPr>
          <w:p w14:paraId="746A9233" w14:textId="77777777" w:rsidR="00913C78" w:rsidRPr="00E578F4" w:rsidRDefault="00913C78" w:rsidP="00E578F4">
            <w:pPr>
              <w:pStyle w:val="ae"/>
              <w:rPr>
                <w:b w:val="0"/>
                <w:bCs/>
              </w:rPr>
            </w:pPr>
            <w:r w:rsidRPr="00E578F4">
              <w:rPr>
                <w:rFonts w:hint="eastAsia"/>
                <w:b w:val="0"/>
                <w:bCs/>
              </w:rPr>
              <w:t>编号</w:t>
            </w:r>
          </w:p>
        </w:tc>
        <w:tc>
          <w:tcPr>
            <w:tcW w:w="1847" w:type="dxa"/>
            <w:shd w:val="clear" w:color="auto" w:fill="auto"/>
            <w:vAlign w:val="center"/>
            <w:hideMark/>
          </w:tcPr>
          <w:p w14:paraId="37779D59" w14:textId="77777777" w:rsidR="00913C78" w:rsidRPr="00E578F4" w:rsidRDefault="00913C78" w:rsidP="00E578F4">
            <w:pPr>
              <w:pStyle w:val="ae"/>
              <w:rPr>
                <w:b w:val="0"/>
                <w:bCs/>
              </w:rPr>
            </w:pPr>
            <w:r w:rsidRPr="00E578F4">
              <w:rPr>
                <w:rFonts w:hint="eastAsia"/>
                <w:b w:val="0"/>
                <w:bCs/>
              </w:rPr>
              <w:t>审查要点</w:t>
            </w:r>
          </w:p>
        </w:tc>
        <w:tc>
          <w:tcPr>
            <w:tcW w:w="5924" w:type="dxa"/>
            <w:shd w:val="clear" w:color="auto" w:fill="auto"/>
            <w:vAlign w:val="center"/>
            <w:hideMark/>
          </w:tcPr>
          <w:p w14:paraId="02DC2BB0" w14:textId="77777777" w:rsidR="00913C78" w:rsidRPr="00E578F4" w:rsidRDefault="00913C78" w:rsidP="00E578F4">
            <w:pPr>
              <w:pStyle w:val="ae"/>
              <w:rPr>
                <w:b w:val="0"/>
                <w:bCs/>
              </w:rPr>
            </w:pPr>
            <w:r w:rsidRPr="00E578F4">
              <w:rPr>
                <w:rFonts w:hint="eastAsia"/>
                <w:b w:val="0"/>
                <w:bCs/>
              </w:rPr>
              <w:t>具体判断</w:t>
            </w:r>
          </w:p>
        </w:tc>
        <w:tc>
          <w:tcPr>
            <w:tcW w:w="1173" w:type="dxa"/>
            <w:shd w:val="clear" w:color="auto" w:fill="auto"/>
            <w:vAlign w:val="center"/>
            <w:hideMark/>
          </w:tcPr>
          <w:p w14:paraId="5384B5EF" w14:textId="77777777" w:rsidR="00913C78" w:rsidRPr="00E578F4" w:rsidRDefault="00913C78" w:rsidP="00E578F4">
            <w:pPr>
              <w:pStyle w:val="ae"/>
              <w:rPr>
                <w:b w:val="0"/>
                <w:bCs/>
              </w:rPr>
            </w:pPr>
            <w:r w:rsidRPr="00E578F4">
              <w:rPr>
                <w:rFonts w:hint="eastAsia"/>
                <w:b w:val="0"/>
                <w:bCs/>
              </w:rPr>
              <w:t>是否满</w:t>
            </w:r>
            <w:r w:rsidRPr="00E578F4">
              <w:rPr>
                <w:rFonts w:hint="eastAsia"/>
                <w:b w:val="0"/>
                <w:bCs/>
              </w:rPr>
              <w:lastRenderedPageBreak/>
              <w:t>足</w:t>
            </w:r>
          </w:p>
        </w:tc>
      </w:tr>
      <w:tr w:rsidR="00913C78" w:rsidRPr="00E578F4" w14:paraId="59822223" w14:textId="77777777" w:rsidTr="00A2511C">
        <w:trPr>
          <w:jc w:val="center"/>
        </w:trPr>
        <w:tc>
          <w:tcPr>
            <w:tcW w:w="729" w:type="dxa"/>
            <w:shd w:val="clear" w:color="auto" w:fill="auto"/>
            <w:vAlign w:val="center"/>
            <w:hideMark/>
          </w:tcPr>
          <w:p w14:paraId="4EC06BF7" w14:textId="77777777" w:rsidR="00913C78" w:rsidRPr="00E578F4" w:rsidRDefault="00913C78" w:rsidP="00E578F4">
            <w:pPr>
              <w:pStyle w:val="ae"/>
              <w:rPr>
                <w:b w:val="0"/>
                <w:bCs/>
              </w:rPr>
            </w:pPr>
            <w:r w:rsidRPr="00E578F4">
              <w:rPr>
                <w:rFonts w:hint="eastAsia"/>
                <w:b w:val="0"/>
                <w:bCs/>
              </w:rPr>
              <w:lastRenderedPageBreak/>
              <w:t>1</w:t>
            </w:r>
          </w:p>
        </w:tc>
        <w:tc>
          <w:tcPr>
            <w:tcW w:w="1847" w:type="dxa"/>
            <w:shd w:val="clear" w:color="auto" w:fill="auto"/>
            <w:vAlign w:val="center"/>
            <w:hideMark/>
          </w:tcPr>
          <w:p w14:paraId="46FAB97F" w14:textId="77777777" w:rsidR="00913C78" w:rsidRPr="00E578F4" w:rsidRDefault="00913C78" w:rsidP="00E578F4">
            <w:pPr>
              <w:pStyle w:val="ae"/>
              <w:rPr>
                <w:b w:val="0"/>
                <w:bCs/>
              </w:rPr>
            </w:pPr>
            <w:r w:rsidRPr="00E578F4">
              <w:rPr>
                <w:rFonts w:hint="eastAsia"/>
                <w:b w:val="0"/>
                <w:bCs/>
              </w:rPr>
              <w:t>计算依据</w:t>
            </w:r>
          </w:p>
        </w:tc>
        <w:tc>
          <w:tcPr>
            <w:tcW w:w="5924" w:type="dxa"/>
            <w:shd w:val="clear" w:color="auto" w:fill="auto"/>
            <w:vAlign w:val="center"/>
            <w:hideMark/>
          </w:tcPr>
          <w:p w14:paraId="1BAB2404" w14:textId="77777777" w:rsidR="00913C78" w:rsidRPr="00E578F4" w:rsidRDefault="00913C78" w:rsidP="00E578F4">
            <w:pPr>
              <w:pStyle w:val="af7"/>
            </w:pPr>
            <w:r w:rsidRPr="00E578F4">
              <w:rPr>
                <w:rFonts w:hint="eastAsia"/>
              </w:rPr>
              <w:t>计算基础数据有可靠来源，写明基础数据及来源、参考标准、资料。设计评价数据</w:t>
            </w:r>
            <w:r w:rsidRPr="00E578F4">
              <w:t>来源</w:t>
            </w:r>
            <w:r w:rsidRPr="00E578F4">
              <w:rPr>
                <w:rFonts w:hint="eastAsia"/>
              </w:rPr>
              <w:t>为结构施工图、项目概预算清单；竣工评价数据</w:t>
            </w:r>
            <w:r w:rsidRPr="00E578F4">
              <w:t>来源</w:t>
            </w:r>
            <w:r w:rsidRPr="00E578F4">
              <w:rPr>
                <w:rFonts w:hint="eastAsia"/>
              </w:rPr>
              <w:t>为竣工图、材料决算清单</w:t>
            </w:r>
          </w:p>
        </w:tc>
        <w:tc>
          <w:tcPr>
            <w:tcW w:w="1173" w:type="dxa"/>
            <w:shd w:val="clear" w:color="auto" w:fill="auto"/>
            <w:vAlign w:val="center"/>
            <w:hideMark/>
          </w:tcPr>
          <w:p w14:paraId="0F916FFE" w14:textId="77777777" w:rsidR="00913C78" w:rsidRPr="00E578F4" w:rsidRDefault="00913C78" w:rsidP="00E578F4">
            <w:pPr>
              <w:pStyle w:val="ae"/>
              <w:rPr>
                <w:b w:val="0"/>
                <w:bCs/>
              </w:rPr>
            </w:pPr>
          </w:p>
        </w:tc>
      </w:tr>
      <w:tr w:rsidR="00913C78" w:rsidRPr="00E578F4" w14:paraId="64FE286C" w14:textId="77777777" w:rsidTr="00A2511C">
        <w:trPr>
          <w:jc w:val="center"/>
        </w:trPr>
        <w:tc>
          <w:tcPr>
            <w:tcW w:w="729" w:type="dxa"/>
            <w:vMerge w:val="restart"/>
            <w:shd w:val="clear" w:color="auto" w:fill="auto"/>
            <w:vAlign w:val="center"/>
            <w:hideMark/>
          </w:tcPr>
          <w:p w14:paraId="706481C3" w14:textId="77777777" w:rsidR="00913C78" w:rsidRPr="00E578F4" w:rsidRDefault="00913C78" w:rsidP="00E578F4">
            <w:pPr>
              <w:pStyle w:val="ae"/>
              <w:rPr>
                <w:b w:val="0"/>
                <w:bCs/>
              </w:rPr>
            </w:pPr>
            <w:r w:rsidRPr="00E578F4">
              <w:rPr>
                <w:rFonts w:hint="eastAsia"/>
                <w:b w:val="0"/>
                <w:bCs/>
              </w:rPr>
              <w:t>2</w:t>
            </w:r>
          </w:p>
        </w:tc>
        <w:tc>
          <w:tcPr>
            <w:tcW w:w="1847" w:type="dxa"/>
            <w:vMerge w:val="restart"/>
            <w:shd w:val="clear" w:color="auto" w:fill="auto"/>
            <w:vAlign w:val="center"/>
            <w:hideMark/>
          </w:tcPr>
          <w:p w14:paraId="5AD30901" w14:textId="77777777" w:rsidR="00913C78" w:rsidRPr="00E578F4" w:rsidRDefault="00913C78" w:rsidP="00E578F4">
            <w:pPr>
              <w:pStyle w:val="ae"/>
              <w:rPr>
                <w:b w:val="0"/>
                <w:bCs/>
              </w:rPr>
            </w:pPr>
            <w:r w:rsidRPr="00E578F4">
              <w:rPr>
                <w:rFonts w:hint="eastAsia"/>
                <w:b w:val="0"/>
                <w:bCs/>
              </w:rPr>
              <w:t>计算内容</w:t>
            </w:r>
          </w:p>
        </w:tc>
        <w:tc>
          <w:tcPr>
            <w:tcW w:w="5924" w:type="dxa"/>
            <w:shd w:val="clear" w:color="auto" w:fill="auto"/>
            <w:vAlign w:val="center"/>
            <w:hideMark/>
          </w:tcPr>
          <w:p w14:paraId="6D0D4C3E" w14:textId="77777777" w:rsidR="00913C78" w:rsidRPr="00E578F4" w:rsidRDefault="00913C78" w:rsidP="00E578F4">
            <w:pPr>
              <w:pStyle w:val="af7"/>
            </w:pPr>
            <w:r w:rsidRPr="00E578F4">
              <w:rPr>
                <w:rFonts w:hint="eastAsia"/>
              </w:rPr>
              <w:t>统计明确可再循环材料</w:t>
            </w:r>
            <w:r w:rsidRPr="00E578F4">
              <w:t>的</w:t>
            </w:r>
            <w:r w:rsidRPr="00E578F4">
              <w:rPr>
                <w:rFonts w:hint="eastAsia"/>
              </w:rPr>
              <w:t>使用部位及用量</w:t>
            </w:r>
          </w:p>
        </w:tc>
        <w:tc>
          <w:tcPr>
            <w:tcW w:w="1173" w:type="dxa"/>
            <w:shd w:val="clear" w:color="auto" w:fill="auto"/>
            <w:vAlign w:val="center"/>
            <w:hideMark/>
          </w:tcPr>
          <w:p w14:paraId="3232E168" w14:textId="77777777" w:rsidR="00913C78" w:rsidRPr="00E578F4" w:rsidRDefault="00913C78" w:rsidP="00E578F4">
            <w:pPr>
              <w:pStyle w:val="ae"/>
              <w:rPr>
                <w:b w:val="0"/>
                <w:bCs/>
              </w:rPr>
            </w:pPr>
          </w:p>
        </w:tc>
      </w:tr>
      <w:tr w:rsidR="00913C78" w:rsidRPr="00E578F4" w14:paraId="62236571" w14:textId="77777777" w:rsidTr="00A2511C">
        <w:trPr>
          <w:jc w:val="center"/>
        </w:trPr>
        <w:tc>
          <w:tcPr>
            <w:tcW w:w="729" w:type="dxa"/>
            <w:vMerge/>
            <w:shd w:val="clear" w:color="auto" w:fill="auto"/>
            <w:vAlign w:val="center"/>
          </w:tcPr>
          <w:p w14:paraId="0561A8AE" w14:textId="77777777" w:rsidR="00913C78" w:rsidRPr="00E578F4" w:rsidRDefault="00913C78" w:rsidP="00E578F4">
            <w:pPr>
              <w:pStyle w:val="ae"/>
              <w:rPr>
                <w:b w:val="0"/>
                <w:bCs/>
              </w:rPr>
            </w:pPr>
          </w:p>
        </w:tc>
        <w:tc>
          <w:tcPr>
            <w:tcW w:w="1847" w:type="dxa"/>
            <w:vMerge/>
            <w:shd w:val="clear" w:color="auto" w:fill="auto"/>
            <w:vAlign w:val="center"/>
          </w:tcPr>
          <w:p w14:paraId="0E90CED7" w14:textId="77777777" w:rsidR="00913C78" w:rsidRPr="00E578F4" w:rsidRDefault="00913C78" w:rsidP="00E578F4">
            <w:pPr>
              <w:pStyle w:val="ae"/>
              <w:rPr>
                <w:b w:val="0"/>
                <w:bCs/>
              </w:rPr>
            </w:pPr>
          </w:p>
        </w:tc>
        <w:tc>
          <w:tcPr>
            <w:tcW w:w="5924" w:type="dxa"/>
            <w:shd w:val="clear" w:color="auto" w:fill="auto"/>
            <w:vAlign w:val="center"/>
          </w:tcPr>
          <w:p w14:paraId="645BC759" w14:textId="77777777" w:rsidR="00913C78" w:rsidRPr="00E578F4" w:rsidRDefault="00913C78" w:rsidP="00E578F4">
            <w:pPr>
              <w:pStyle w:val="af7"/>
            </w:pPr>
            <w:r w:rsidRPr="00E578F4">
              <w:rPr>
                <w:rFonts w:hint="eastAsia"/>
              </w:rPr>
              <w:t>分别计算参评范围内住宅部分与公建部分可再利用和可再循环材料重量占建筑材料总重量的比例，取住宅建筑得分与公共建筑得分中的低分</w:t>
            </w:r>
          </w:p>
        </w:tc>
        <w:tc>
          <w:tcPr>
            <w:tcW w:w="1173" w:type="dxa"/>
            <w:shd w:val="clear" w:color="auto" w:fill="auto"/>
            <w:vAlign w:val="center"/>
          </w:tcPr>
          <w:p w14:paraId="2FFB98D8" w14:textId="77777777" w:rsidR="00913C78" w:rsidRPr="00E578F4" w:rsidRDefault="00913C78" w:rsidP="00E578F4">
            <w:pPr>
              <w:pStyle w:val="ae"/>
              <w:rPr>
                <w:b w:val="0"/>
                <w:bCs/>
              </w:rPr>
            </w:pPr>
          </w:p>
        </w:tc>
      </w:tr>
      <w:tr w:rsidR="00913C78" w:rsidRPr="00E578F4" w14:paraId="24DD8502" w14:textId="77777777" w:rsidTr="00A2511C">
        <w:trPr>
          <w:jc w:val="center"/>
        </w:trPr>
        <w:tc>
          <w:tcPr>
            <w:tcW w:w="729" w:type="dxa"/>
            <w:shd w:val="clear" w:color="auto" w:fill="auto"/>
            <w:vAlign w:val="center"/>
          </w:tcPr>
          <w:p w14:paraId="02F78B21" w14:textId="77777777" w:rsidR="00913C78" w:rsidRPr="00E578F4" w:rsidRDefault="00913C78" w:rsidP="00E578F4">
            <w:pPr>
              <w:pStyle w:val="ae"/>
              <w:rPr>
                <w:b w:val="0"/>
                <w:bCs/>
              </w:rPr>
            </w:pPr>
            <w:r w:rsidRPr="00E578F4">
              <w:rPr>
                <w:rFonts w:hint="eastAsia"/>
                <w:b w:val="0"/>
                <w:bCs/>
              </w:rPr>
              <w:t>3</w:t>
            </w:r>
          </w:p>
        </w:tc>
        <w:tc>
          <w:tcPr>
            <w:tcW w:w="1847" w:type="dxa"/>
            <w:shd w:val="clear" w:color="auto" w:fill="auto"/>
            <w:vAlign w:val="center"/>
          </w:tcPr>
          <w:p w14:paraId="6DA113C1" w14:textId="77777777" w:rsidR="00913C78" w:rsidRPr="00E578F4" w:rsidRDefault="00913C78" w:rsidP="00E578F4">
            <w:pPr>
              <w:pStyle w:val="ae"/>
              <w:rPr>
                <w:b w:val="0"/>
                <w:bCs/>
              </w:rPr>
            </w:pPr>
            <w:r w:rsidRPr="00E578F4">
              <w:rPr>
                <w:rFonts w:hint="eastAsia"/>
                <w:b w:val="0"/>
                <w:bCs/>
              </w:rPr>
              <w:t>计算结果</w:t>
            </w:r>
          </w:p>
        </w:tc>
        <w:tc>
          <w:tcPr>
            <w:tcW w:w="5924" w:type="dxa"/>
            <w:shd w:val="clear" w:color="auto" w:fill="auto"/>
            <w:vAlign w:val="center"/>
          </w:tcPr>
          <w:p w14:paraId="577FB7BE" w14:textId="77777777" w:rsidR="00913C78" w:rsidRPr="00E578F4" w:rsidRDefault="00913C78" w:rsidP="00E578F4">
            <w:pPr>
              <w:pStyle w:val="af7"/>
            </w:pPr>
            <w:r w:rsidRPr="00E578F4">
              <w:rPr>
                <w:rFonts w:hint="eastAsia"/>
              </w:rPr>
              <w:t>计算</w:t>
            </w:r>
            <w:r w:rsidRPr="00E578F4">
              <w:t>结果满足标准要求</w:t>
            </w:r>
          </w:p>
        </w:tc>
        <w:tc>
          <w:tcPr>
            <w:tcW w:w="1173" w:type="dxa"/>
            <w:shd w:val="clear" w:color="auto" w:fill="auto"/>
            <w:vAlign w:val="center"/>
          </w:tcPr>
          <w:p w14:paraId="59B8E2B1" w14:textId="77777777" w:rsidR="00913C78" w:rsidRPr="00E578F4" w:rsidRDefault="00913C78" w:rsidP="00E578F4">
            <w:pPr>
              <w:pStyle w:val="ae"/>
              <w:rPr>
                <w:b w:val="0"/>
                <w:bCs/>
              </w:rPr>
            </w:pPr>
          </w:p>
        </w:tc>
      </w:tr>
    </w:tbl>
    <w:p w14:paraId="614455FF" w14:textId="77777777" w:rsidR="00913C78" w:rsidRPr="00913C78" w:rsidRDefault="00913C78" w:rsidP="00E578F4">
      <w:pPr>
        <w:pStyle w:val="24"/>
      </w:pPr>
      <w:r w:rsidRPr="00913C78">
        <w:br w:type="page"/>
      </w:r>
      <w:bookmarkStart w:id="412" w:name="_Toc35364821"/>
      <w:r w:rsidRPr="00913C78">
        <w:rPr>
          <w:rFonts w:hint="eastAsia"/>
        </w:rPr>
        <w:lastRenderedPageBreak/>
        <w:t>附录</w:t>
      </w:r>
      <w:r w:rsidRPr="00913C78">
        <w:rPr>
          <w:rFonts w:hint="eastAsia"/>
        </w:rPr>
        <w:t>B.</w:t>
      </w:r>
      <w:r w:rsidRPr="00913C78">
        <w:t>6</w:t>
      </w:r>
      <w:r w:rsidRPr="00913C78">
        <w:rPr>
          <w:rFonts w:hint="eastAsia"/>
        </w:rPr>
        <w:t xml:space="preserve">  </w:t>
      </w:r>
      <w:r w:rsidRPr="00913C78">
        <w:rPr>
          <w:rFonts w:hint="eastAsia"/>
        </w:rPr>
        <w:t>重庆市</w:t>
      </w:r>
      <w:r w:rsidRPr="00913C78">
        <w:t>绿色建筑自评估报告性能分析要求</w:t>
      </w:r>
      <w:r w:rsidRPr="00913C78">
        <w:rPr>
          <w:rFonts w:hint="eastAsia"/>
        </w:rPr>
        <w:t>——建筑构件隔声性能及室内背景噪声计算报告提纲及要求</w:t>
      </w:r>
      <w:bookmarkEnd w:id="412"/>
    </w:p>
    <w:p w14:paraId="15A4014A" w14:textId="77777777" w:rsidR="00913C78" w:rsidRPr="00913C78" w:rsidRDefault="00913C78" w:rsidP="00E578F4">
      <w:pPr>
        <w:pStyle w:val="32"/>
      </w:pPr>
      <w:bookmarkStart w:id="413" w:name="_Toc476401975"/>
      <w:bookmarkStart w:id="414" w:name="_Toc35364822"/>
      <w:r w:rsidRPr="00913C78">
        <w:rPr>
          <w:rFonts w:hint="eastAsia"/>
        </w:rPr>
        <w:t xml:space="preserve">B.6.1  </w:t>
      </w:r>
      <w:r w:rsidRPr="00913C78">
        <w:t>综合概况</w:t>
      </w:r>
      <w:bookmarkEnd w:id="413"/>
      <w:bookmarkEnd w:id="414"/>
    </w:p>
    <w:p w14:paraId="4FD22BB4" w14:textId="77777777" w:rsidR="00913C78" w:rsidRPr="00913C78" w:rsidRDefault="00913C78" w:rsidP="00913C78">
      <w:pPr>
        <w:ind w:firstLine="420"/>
      </w:pPr>
      <w:bookmarkStart w:id="415" w:name="_Toc476401976"/>
      <w:r w:rsidRPr="00913C78">
        <w:rPr>
          <w:rFonts w:hint="eastAsia"/>
        </w:rPr>
        <w:t>◎</w:t>
      </w:r>
      <w:r w:rsidRPr="00913C78">
        <w:t xml:space="preserve"> </w:t>
      </w:r>
      <w:r w:rsidRPr="00913C78">
        <w:rPr>
          <w:rFonts w:hint="eastAsia"/>
        </w:rPr>
        <w:t>项目基本信息</w:t>
      </w:r>
      <w:bookmarkEnd w:id="415"/>
    </w:p>
    <w:p w14:paraId="4CE37E98" w14:textId="77777777" w:rsidR="00913C78" w:rsidRPr="00913C78" w:rsidRDefault="00913C78" w:rsidP="00913C78">
      <w:pPr>
        <w:ind w:firstLine="420"/>
      </w:pPr>
      <w:r w:rsidRPr="00913C78">
        <w:rPr>
          <w:rFonts w:hint="eastAsia"/>
        </w:rPr>
        <w:t>项目基本信息项目应包括但不限于：建筑类型、建筑位置、建筑面积等。</w:t>
      </w:r>
    </w:p>
    <w:p w14:paraId="4E7C5DC4" w14:textId="77777777" w:rsidR="00913C78" w:rsidRPr="00913C78" w:rsidRDefault="00913C78" w:rsidP="00913C78">
      <w:pPr>
        <w:ind w:firstLine="420"/>
      </w:pPr>
      <w:bookmarkStart w:id="416" w:name="_Toc476401977"/>
      <w:r w:rsidRPr="00913C78">
        <w:rPr>
          <w:rFonts w:hint="eastAsia"/>
        </w:rPr>
        <w:t>◎</w:t>
      </w:r>
      <w:r w:rsidRPr="00913C78">
        <w:t xml:space="preserve"> </w:t>
      </w:r>
      <w:r w:rsidRPr="00913C78">
        <w:rPr>
          <w:rFonts w:hint="eastAsia"/>
        </w:rPr>
        <w:t>标准要求</w:t>
      </w:r>
      <w:bookmarkEnd w:id="416"/>
    </w:p>
    <w:p w14:paraId="14260C29" w14:textId="77777777" w:rsidR="00913C78" w:rsidRPr="00913C78" w:rsidRDefault="00913C78" w:rsidP="00913C78">
      <w:pPr>
        <w:ind w:firstLine="420"/>
      </w:pPr>
      <w:r w:rsidRPr="00913C78">
        <w:rPr>
          <w:rFonts w:hint="eastAsia"/>
        </w:rPr>
        <w:t>标准要求应</w:t>
      </w:r>
      <w:r w:rsidRPr="00913C78">
        <w:t>包括：</w:t>
      </w:r>
      <w:r w:rsidRPr="00913C78">
        <w:rPr>
          <w:rFonts w:hint="eastAsia"/>
        </w:rPr>
        <w:t>对应的绿色建筑标准及条款、标准规定的计算要求、评分要求及达标要求。</w:t>
      </w:r>
    </w:p>
    <w:p w14:paraId="12AD4036" w14:textId="77777777" w:rsidR="00913C78" w:rsidRPr="00913C78" w:rsidRDefault="00913C78" w:rsidP="00913C78">
      <w:pPr>
        <w:ind w:firstLine="420"/>
      </w:pPr>
      <w:r w:rsidRPr="00913C78">
        <w:rPr>
          <w:rFonts w:hint="eastAsia"/>
        </w:rPr>
        <w:t>此外</w:t>
      </w:r>
      <w:r w:rsidRPr="00913C78">
        <w:t>，还应</w:t>
      </w:r>
      <w:r w:rsidRPr="00913C78">
        <w:rPr>
          <w:rFonts w:hint="eastAsia"/>
        </w:rPr>
        <w:t>列出《民用建筑隔声设计规范》（</w:t>
      </w:r>
      <w:r w:rsidRPr="00913C78">
        <w:t>GB 50118</w:t>
      </w:r>
      <w:r w:rsidRPr="00913C78">
        <w:rPr>
          <w:rFonts w:hint="eastAsia"/>
        </w:rPr>
        <w:t>—</w:t>
      </w:r>
      <w:r w:rsidRPr="00913C78">
        <w:rPr>
          <w:rFonts w:hint="eastAsia"/>
        </w:rPr>
        <w:t>2010</w:t>
      </w:r>
      <w:r w:rsidRPr="00913C78">
        <w:rPr>
          <w:rFonts w:hint="eastAsia"/>
        </w:rPr>
        <w:t>）中与</w:t>
      </w:r>
      <w:r w:rsidRPr="00913C78">
        <w:t>项目建筑类型</w:t>
      </w:r>
      <w:r w:rsidRPr="00913C78">
        <w:rPr>
          <w:rFonts w:hint="eastAsia"/>
        </w:rPr>
        <w:t>相</w:t>
      </w:r>
      <w:r w:rsidRPr="00913C78">
        <w:t>对应的要求。</w:t>
      </w:r>
    </w:p>
    <w:p w14:paraId="1B851DC1" w14:textId="77777777" w:rsidR="00913C78" w:rsidRPr="00913C78" w:rsidRDefault="00913C78" w:rsidP="00E578F4">
      <w:pPr>
        <w:pStyle w:val="32"/>
      </w:pPr>
      <w:bookmarkStart w:id="417" w:name="_Toc476401978"/>
      <w:bookmarkStart w:id="418" w:name="_Toc35364823"/>
      <w:r w:rsidRPr="00913C78">
        <w:rPr>
          <w:rFonts w:hint="eastAsia"/>
        </w:rPr>
        <w:t xml:space="preserve">B.6.2  </w:t>
      </w:r>
      <w:r w:rsidRPr="00913C78">
        <w:rPr>
          <w:rFonts w:hint="eastAsia"/>
        </w:rPr>
        <w:t>计算过程</w:t>
      </w:r>
      <w:bookmarkEnd w:id="417"/>
      <w:bookmarkEnd w:id="418"/>
    </w:p>
    <w:p w14:paraId="5CD32930" w14:textId="77777777" w:rsidR="00913C78" w:rsidRPr="00913C78" w:rsidRDefault="00913C78" w:rsidP="00913C78">
      <w:pPr>
        <w:ind w:firstLine="420"/>
      </w:pPr>
      <w:bookmarkStart w:id="419" w:name="_Toc476401979"/>
      <w:r w:rsidRPr="00913C78">
        <w:rPr>
          <w:rFonts w:hint="eastAsia"/>
        </w:rPr>
        <w:t>◎</w:t>
      </w:r>
      <w:r w:rsidRPr="00913C78">
        <w:t xml:space="preserve"> </w:t>
      </w:r>
      <w:r w:rsidRPr="00913C78">
        <w:rPr>
          <w:rFonts w:hint="eastAsia"/>
        </w:rPr>
        <w:t>计算依据</w:t>
      </w:r>
      <w:bookmarkEnd w:id="419"/>
    </w:p>
    <w:p w14:paraId="2BDFF97F" w14:textId="77777777" w:rsidR="00913C78" w:rsidRPr="00913C78" w:rsidRDefault="00913C78" w:rsidP="00913C78">
      <w:pPr>
        <w:ind w:firstLine="420"/>
      </w:pPr>
      <w:r w:rsidRPr="00913C78">
        <w:rPr>
          <w:rFonts w:hint="eastAsia"/>
        </w:rPr>
        <w:t>计算依据应包括但不限于：应</w:t>
      </w:r>
      <w:r w:rsidRPr="00913C78">
        <w:t>写明</w:t>
      </w:r>
      <w:r w:rsidRPr="00913C78">
        <w:rPr>
          <w:rFonts w:hint="eastAsia"/>
        </w:rPr>
        <w:t>基础</w:t>
      </w:r>
      <w:r w:rsidRPr="00913C78">
        <w:t>数据</w:t>
      </w:r>
      <w:r w:rsidRPr="00913C78">
        <w:rPr>
          <w:rFonts w:hint="eastAsia"/>
        </w:rPr>
        <w:t>及</w:t>
      </w:r>
      <w:r w:rsidRPr="00913C78">
        <w:t>来源</w:t>
      </w:r>
      <w:r w:rsidRPr="00913C78">
        <w:rPr>
          <w:rFonts w:hint="eastAsia"/>
        </w:rPr>
        <w:t>、</w:t>
      </w:r>
      <w:r w:rsidRPr="00913C78">
        <w:t>参考标准</w:t>
      </w:r>
      <w:r w:rsidRPr="00913C78">
        <w:rPr>
          <w:rFonts w:hint="eastAsia"/>
        </w:rPr>
        <w:t>、</w:t>
      </w:r>
      <w:r w:rsidRPr="00913C78">
        <w:t>资料</w:t>
      </w:r>
      <w:r w:rsidRPr="00913C78">
        <w:rPr>
          <w:rFonts w:hint="eastAsia"/>
        </w:rPr>
        <w:t>等。</w:t>
      </w:r>
    </w:p>
    <w:p w14:paraId="4A73358F" w14:textId="77777777" w:rsidR="00913C78" w:rsidRPr="00913C78" w:rsidRDefault="00913C78" w:rsidP="00913C78">
      <w:pPr>
        <w:ind w:firstLine="420"/>
      </w:pPr>
      <w:r w:rsidRPr="00913C78">
        <w:t>1</w:t>
      </w:r>
      <w:r w:rsidRPr="00913C78">
        <w:rPr>
          <w:rFonts w:hint="eastAsia"/>
        </w:rPr>
        <w:t>）《民用建筑隔声设计规范》（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w:t>
      </w:r>
    </w:p>
    <w:p w14:paraId="40DA802C" w14:textId="77777777" w:rsidR="00913C78" w:rsidRPr="00913C78" w:rsidRDefault="00913C78" w:rsidP="00913C78">
      <w:pPr>
        <w:ind w:firstLine="420"/>
      </w:pPr>
      <w:r w:rsidRPr="00913C78">
        <w:t>2</w:t>
      </w:r>
      <w:r w:rsidRPr="00913C78">
        <w:rPr>
          <w:rFonts w:hint="eastAsia"/>
        </w:rPr>
        <w:t>）《民用建筑热工设计规范》（</w:t>
      </w:r>
      <w:r w:rsidRPr="00913C78">
        <w:rPr>
          <w:rFonts w:hint="eastAsia"/>
        </w:rPr>
        <w:t>GB 50176</w:t>
      </w:r>
      <w:r w:rsidRPr="00913C78">
        <w:rPr>
          <w:rFonts w:hint="eastAsia"/>
        </w:rPr>
        <w:t>—</w:t>
      </w:r>
      <w:r w:rsidRPr="00913C78">
        <w:rPr>
          <w:rFonts w:hint="eastAsia"/>
        </w:rPr>
        <w:t>2016</w:t>
      </w:r>
      <w:r w:rsidRPr="00913C78">
        <w:rPr>
          <w:rFonts w:hint="eastAsia"/>
        </w:rPr>
        <w:t>）。</w:t>
      </w:r>
    </w:p>
    <w:p w14:paraId="1973EDEE" w14:textId="77777777" w:rsidR="00913C78" w:rsidRPr="00913C78" w:rsidRDefault="00913C78" w:rsidP="00913C78">
      <w:pPr>
        <w:ind w:firstLine="420"/>
      </w:pPr>
      <w:r w:rsidRPr="00913C78">
        <w:t>3</w:t>
      </w:r>
      <w:r w:rsidRPr="00913C78">
        <w:rPr>
          <w:rFonts w:hint="eastAsia"/>
        </w:rPr>
        <w:t>）《环境影响评价技术导则声环境》（</w:t>
      </w:r>
      <w:r w:rsidRPr="00913C78">
        <w:rPr>
          <w:rFonts w:hint="eastAsia"/>
        </w:rPr>
        <w:t>HJ 2.4</w:t>
      </w:r>
      <w:r w:rsidRPr="00913C78">
        <w:rPr>
          <w:rFonts w:hint="eastAsia"/>
        </w:rPr>
        <w:t>—</w:t>
      </w:r>
      <w:r w:rsidRPr="00913C78">
        <w:rPr>
          <w:rFonts w:hint="eastAsia"/>
        </w:rPr>
        <w:t>2009</w:t>
      </w:r>
      <w:r w:rsidRPr="00913C78">
        <w:rPr>
          <w:rFonts w:hint="eastAsia"/>
        </w:rPr>
        <w:t>）。</w:t>
      </w:r>
      <w:r w:rsidRPr="00913C78">
        <w:rPr>
          <w:rFonts w:hint="eastAsia"/>
        </w:rPr>
        <w:t xml:space="preserve"> </w:t>
      </w:r>
    </w:p>
    <w:p w14:paraId="0F7B840D" w14:textId="77777777" w:rsidR="00913C78" w:rsidRPr="00913C78" w:rsidRDefault="00913C78" w:rsidP="00913C78">
      <w:pPr>
        <w:ind w:firstLine="420"/>
      </w:pPr>
      <w:r w:rsidRPr="00913C78">
        <w:t>4</w:t>
      </w:r>
      <w:r w:rsidRPr="00913C78">
        <w:rPr>
          <w:rFonts w:hint="eastAsia"/>
        </w:rPr>
        <w:t>）《建筑门窗空气声隔声性能分级及检测方法》（</w:t>
      </w:r>
      <w:r w:rsidRPr="00913C78">
        <w:rPr>
          <w:rFonts w:hint="eastAsia"/>
        </w:rPr>
        <w:t>GB/T 8485</w:t>
      </w:r>
      <w:r w:rsidRPr="00913C78">
        <w:rPr>
          <w:rFonts w:hint="eastAsia"/>
        </w:rPr>
        <w:t>—</w:t>
      </w:r>
      <w:r w:rsidRPr="00913C78">
        <w:rPr>
          <w:rFonts w:hint="eastAsia"/>
        </w:rPr>
        <w:t>2008</w:t>
      </w:r>
      <w:r w:rsidRPr="00913C78">
        <w:rPr>
          <w:rFonts w:hint="eastAsia"/>
        </w:rPr>
        <w:t>）。</w:t>
      </w:r>
    </w:p>
    <w:p w14:paraId="1085B03B" w14:textId="77777777" w:rsidR="00913C78" w:rsidRPr="00913C78" w:rsidRDefault="00913C78" w:rsidP="00913C78">
      <w:pPr>
        <w:ind w:firstLine="420"/>
      </w:pPr>
      <w:r w:rsidRPr="00913C78">
        <w:t>5</w:t>
      </w:r>
      <w:r w:rsidRPr="00913C78">
        <w:rPr>
          <w:rFonts w:hint="eastAsia"/>
        </w:rPr>
        <w:t>）《建筑声学设计原理》。</w:t>
      </w:r>
    </w:p>
    <w:p w14:paraId="73C6822D" w14:textId="77777777" w:rsidR="00913C78" w:rsidRPr="00913C78" w:rsidRDefault="00913C78" w:rsidP="00913C78">
      <w:pPr>
        <w:ind w:firstLine="420"/>
      </w:pPr>
      <w:r w:rsidRPr="00913C78">
        <w:t>6</w:t>
      </w:r>
      <w:r w:rsidRPr="00913C78">
        <w:rPr>
          <w:rFonts w:hint="eastAsia"/>
        </w:rPr>
        <w:t>）《建筑隔声评价标准》（</w:t>
      </w:r>
      <w:r w:rsidRPr="00913C78">
        <w:rPr>
          <w:rFonts w:hint="eastAsia"/>
        </w:rPr>
        <w:t>GB/T 50121</w:t>
      </w:r>
      <w:r w:rsidRPr="00913C78">
        <w:rPr>
          <w:rFonts w:hint="eastAsia"/>
        </w:rPr>
        <w:t>—</w:t>
      </w:r>
      <w:r w:rsidRPr="00913C78">
        <w:rPr>
          <w:rFonts w:hint="eastAsia"/>
        </w:rPr>
        <w:t>2005</w:t>
      </w:r>
      <w:r w:rsidRPr="00913C78">
        <w:rPr>
          <w:rFonts w:hint="eastAsia"/>
        </w:rPr>
        <w:t>）。</w:t>
      </w:r>
    </w:p>
    <w:p w14:paraId="217CE1C6" w14:textId="77777777" w:rsidR="00913C78" w:rsidRPr="00913C78" w:rsidRDefault="00913C78" w:rsidP="00913C78">
      <w:pPr>
        <w:ind w:firstLine="420"/>
      </w:pPr>
      <w:r w:rsidRPr="00913C78">
        <w:t>7</w:t>
      </w:r>
      <w:r w:rsidRPr="00913C78">
        <w:rPr>
          <w:rFonts w:hint="eastAsia"/>
        </w:rPr>
        <w:t>）《噪声控制与建筑声学设备和材料选用手册》。</w:t>
      </w:r>
    </w:p>
    <w:p w14:paraId="4EEE3249" w14:textId="77777777" w:rsidR="00913C78" w:rsidRPr="00913C78" w:rsidRDefault="00913C78" w:rsidP="00913C78">
      <w:pPr>
        <w:ind w:firstLine="420"/>
      </w:pPr>
      <w:r w:rsidRPr="00913C78">
        <w:rPr>
          <w:rFonts w:hint="eastAsia"/>
        </w:rPr>
        <w:t>8</w:t>
      </w:r>
      <w:r w:rsidRPr="00913C78">
        <w:rPr>
          <w:rFonts w:hint="eastAsia"/>
        </w:rPr>
        <w:t>）《建筑隔声设计——空气声隔声技术》。</w:t>
      </w:r>
    </w:p>
    <w:p w14:paraId="230BEDB1" w14:textId="77777777" w:rsidR="00913C78" w:rsidRPr="00913C78" w:rsidRDefault="00913C78" w:rsidP="00913C78">
      <w:pPr>
        <w:ind w:firstLine="420"/>
      </w:pPr>
      <w:r w:rsidRPr="00913C78">
        <w:t>9</w:t>
      </w:r>
      <w:r w:rsidRPr="00913C78">
        <w:rPr>
          <w:rFonts w:hint="eastAsia"/>
        </w:rPr>
        <w:t>）《噪声与振动控制手册》。</w:t>
      </w:r>
    </w:p>
    <w:p w14:paraId="1BAA6A9B" w14:textId="77777777" w:rsidR="00913C78" w:rsidRPr="00913C78" w:rsidRDefault="00913C78" w:rsidP="00913C78">
      <w:pPr>
        <w:ind w:firstLine="420"/>
      </w:pPr>
      <w:r w:rsidRPr="00913C78">
        <w:t>10</w:t>
      </w:r>
      <w:r w:rsidRPr="00913C78">
        <w:rPr>
          <w:rFonts w:hint="eastAsia"/>
        </w:rPr>
        <w:t>）《建筑隔声与吸声构造》（</w:t>
      </w:r>
      <w:r w:rsidRPr="00913C78">
        <w:rPr>
          <w:rFonts w:hint="eastAsia"/>
        </w:rPr>
        <w:t>08J931</w:t>
      </w:r>
      <w:r w:rsidRPr="00913C78">
        <w:rPr>
          <w:rFonts w:hint="eastAsia"/>
        </w:rPr>
        <w:t>，建质［</w:t>
      </w:r>
      <w:r w:rsidRPr="00913C78">
        <w:rPr>
          <w:rFonts w:hint="eastAsia"/>
        </w:rPr>
        <w:t>2008</w:t>
      </w:r>
      <w:r w:rsidRPr="00913C78">
        <w:rPr>
          <w:rFonts w:hint="eastAsia"/>
        </w:rPr>
        <w:t>］</w:t>
      </w:r>
      <w:r w:rsidRPr="00913C78">
        <w:rPr>
          <w:rFonts w:hint="eastAsia"/>
        </w:rPr>
        <w:t>18</w:t>
      </w:r>
      <w:r w:rsidRPr="00913C78">
        <w:rPr>
          <w:rFonts w:hint="eastAsia"/>
        </w:rPr>
        <w:t>号）。</w:t>
      </w:r>
    </w:p>
    <w:p w14:paraId="73C884D6" w14:textId="77777777" w:rsidR="00913C78" w:rsidRPr="00913C78" w:rsidRDefault="00913C78" w:rsidP="00913C78">
      <w:pPr>
        <w:ind w:firstLine="420"/>
      </w:pPr>
      <w:r w:rsidRPr="00913C78">
        <w:t>11</w:t>
      </w:r>
      <w:r w:rsidRPr="00913C78">
        <w:rPr>
          <w:rFonts w:hint="eastAsia"/>
        </w:rPr>
        <w:t>）</w:t>
      </w:r>
      <w:r w:rsidRPr="00913C78">
        <w:t> </w:t>
      </w:r>
      <w:r w:rsidRPr="00913C78">
        <w:rPr>
          <w:rFonts w:hint="eastAsia"/>
        </w:rPr>
        <w:t>相关检测报告。</w:t>
      </w:r>
    </w:p>
    <w:p w14:paraId="6E9CFF59" w14:textId="77777777" w:rsidR="00913C78" w:rsidRPr="00913C78" w:rsidRDefault="00913C78" w:rsidP="00913C78">
      <w:pPr>
        <w:ind w:firstLine="420"/>
      </w:pPr>
      <w:r w:rsidRPr="00913C78">
        <w:lastRenderedPageBreak/>
        <w:t>12</w:t>
      </w:r>
      <w:r w:rsidRPr="00913C78">
        <w:rPr>
          <w:rFonts w:hint="eastAsia"/>
        </w:rPr>
        <w:t>）</w:t>
      </w:r>
      <w:r w:rsidRPr="00913C78">
        <w:t> </w:t>
      </w:r>
      <w:r w:rsidRPr="00913C78">
        <w:rPr>
          <w:rFonts w:hint="eastAsia"/>
        </w:rPr>
        <w:t>相关科技论文。</w:t>
      </w:r>
    </w:p>
    <w:p w14:paraId="17FCF20B" w14:textId="77777777" w:rsidR="00913C78" w:rsidRPr="00913C78" w:rsidRDefault="00913C78" w:rsidP="00913C78">
      <w:pPr>
        <w:ind w:firstLine="420"/>
      </w:pPr>
      <w:r w:rsidRPr="00913C78">
        <w:t>13</w:t>
      </w:r>
      <w:r w:rsidRPr="00913C78">
        <w:rPr>
          <w:rFonts w:hint="eastAsia"/>
        </w:rPr>
        <w:t>）</w:t>
      </w:r>
      <w:r w:rsidRPr="00913C78">
        <w:t> </w:t>
      </w:r>
      <w:r w:rsidRPr="00913C78">
        <w:rPr>
          <w:rFonts w:hint="eastAsia"/>
        </w:rPr>
        <w:t>该项目《环境影响报告书》或《室外声环境数值分析报告》。</w:t>
      </w:r>
    </w:p>
    <w:p w14:paraId="5DDE5B73" w14:textId="77777777" w:rsidR="00913C78" w:rsidRPr="00913C78" w:rsidRDefault="00913C78" w:rsidP="00913C78">
      <w:pPr>
        <w:ind w:firstLine="420"/>
      </w:pPr>
      <w:r w:rsidRPr="00913C78">
        <w:rPr>
          <w:rFonts w:hint="eastAsia"/>
        </w:rPr>
        <w:t>14</w:t>
      </w:r>
      <w:r w:rsidRPr="00913C78">
        <w:rPr>
          <w:rFonts w:hint="eastAsia"/>
        </w:rPr>
        <w:t>）</w:t>
      </w:r>
      <w:r w:rsidRPr="00913C78">
        <w:t> </w:t>
      </w:r>
      <w:r w:rsidRPr="00913C78">
        <w:rPr>
          <w:rFonts w:hint="eastAsia"/>
        </w:rPr>
        <w:t>本项目相关图纸及其相关技术文件等。</w:t>
      </w:r>
    </w:p>
    <w:p w14:paraId="3667213F" w14:textId="77777777" w:rsidR="00913C78" w:rsidRPr="00913C78" w:rsidRDefault="00913C78" w:rsidP="00913C78">
      <w:pPr>
        <w:ind w:firstLine="420"/>
      </w:pPr>
      <w:bookmarkStart w:id="420" w:name="_Toc476401980"/>
      <w:r w:rsidRPr="00913C78">
        <w:rPr>
          <w:rFonts w:hint="eastAsia"/>
        </w:rPr>
        <w:t>◎</w:t>
      </w:r>
      <w:r w:rsidRPr="00913C78">
        <w:t xml:space="preserve"> </w:t>
      </w:r>
      <w:r w:rsidRPr="00913C78">
        <w:rPr>
          <w:rFonts w:hint="eastAsia"/>
        </w:rPr>
        <w:t>围护结构计权隔声量</w:t>
      </w:r>
      <w:bookmarkEnd w:id="420"/>
    </w:p>
    <w:p w14:paraId="2D7338E4" w14:textId="77777777" w:rsidR="00913C78" w:rsidRPr="00913C78" w:rsidRDefault="00913C78" w:rsidP="00913C78">
      <w:pPr>
        <w:ind w:firstLine="420"/>
      </w:pPr>
      <w:r w:rsidRPr="00913C78">
        <w:rPr>
          <w:rFonts w:hint="eastAsia"/>
        </w:rPr>
        <w:t>计权隔声量的完整</w:t>
      </w:r>
      <w:r w:rsidRPr="00913C78">
        <w:t>计算方法</w:t>
      </w:r>
      <w:r w:rsidRPr="00913C78">
        <w:rPr>
          <w:rFonts w:hint="eastAsia"/>
        </w:rPr>
        <w:t>参考《建筑隔声评价标准》（</w:t>
      </w:r>
      <w:r w:rsidRPr="00913C78">
        <w:rPr>
          <w:rFonts w:hint="eastAsia"/>
        </w:rPr>
        <w:t>GB/T</w:t>
      </w:r>
      <w:r w:rsidRPr="00913C78">
        <w:t> </w:t>
      </w:r>
      <w:r w:rsidRPr="00913C78">
        <w:rPr>
          <w:rFonts w:hint="eastAsia"/>
        </w:rPr>
        <w:t>50121</w:t>
      </w:r>
      <w:r w:rsidRPr="00913C78">
        <w:rPr>
          <w:rFonts w:hint="eastAsia"/>
        </w:rPr>
        <w:t>—</w:t>
      </w:r>
      <w:r w:rsidRPr="00913C78">
        <w:rPr>
          <w:rFonts w:hint="eastAsia"/>
        </w:rPr>
        <w:t>2005</w:t>
      </w:r>
      <w:r w:rsidRPr="00913C78">
        <w:rPr>
          <w:rFonts w:hint="eastAsia"/>
        </w:rPr>
        <w:t>）编制</w:t>
      </w:r>
      <w:r w:rsidRPr="00913C78">
        <w:t>，仅在</w:t>
      </w:r>
      <w:r w:rsidRPr="00913C78">
        <w:rPr>
          <w:rFonts w:hint="eastAsia"/>
        </w:rPr>
        <w:t>计算隔墙时完整列出</w:t>
      </w:r>
      <w:r w:rsidRPr="00913C78">
        <w:t>其他构造</w:t>
      </w:r>
      <w:r w:rsidRPr="00913C78">
        <w:rPr>
          <w:rFonts w:hint="eastAsia"/>
        </w:rPr>
        <w:t>介绍</w:t>
      </w:r>
      <w:r w:rsidRPr="00913C78">
        <w:t>可采用的</w:t>
      </w:r>
      <w:r w:rsidRPr="00913C78">
        <w:rPr>
          <w:rFonts w:hint="eastAsia"/>
        </w:rPr>
        <w:t>引用资料</w:t>
      </w:r>
      <w:r w:rsidRPr="00913C78">
        <w:t>及简易算法</w:t>
      </w:r>
      <w:r w:rsidRPr="00913C78">
        <w:rPr>
          <w:rFonts w:hint="eastAsia"/>
        </w:rPr>
        <w:t>。如果未能找到相近构造的计权隔声量数据，则应根据本报告中“（</w:t>
      </w:r>
      <w:r w:rsidRPr="00913C78">
        <w:rPr>
          <w:rFonts w:hint="eastAsia"/>
        </w:rPr>
        <w:t>2</w:t>
      </w:r>
      <w:r w:rsidRPr="00913C78">
        <w:rPr>
          <w:rFonts w:hint="eastAsia"/>
        </w:rPr>
        <w:t>）隔墙的空气声计权隔声量”介绍的计算方法对计权隔声量进行计算。</w:t>
      </w:r>
      <w:r w:rsidRPr="00913C78">
        <w:t>此外</w:t>
      </w:r>
      <w:r w:rsidRPr="00913C78">
        <w:rPr>
          <w:rFonts w:hint="eastAsia"/>
        </w:rPr>
        <w:t>，</w:t>
      </w:r>
      <w:r w:rsidRPr="00913C78">
        <w:t>如有论文</w:t>
      </w:r>
      <w:r w:rsidRPr="00913C78">
        <w:rPr>
          <w:rFonts w:hint="eastAsia"/>
        </w:rPr>
        <w:t>测试</w:t>
      </w:r>
      <w:r w:rsidRPr="00913C78">
        <w:t>数据支撑</w:t>
      </w:r>
      <w:r w:rsidRPr="00913C78">
        <w:rPr>
          <w:rFonts w:hint="eastAsia"/>
        </w:rPr>
        <w:t>，</w:t>
      </w:r>
      <w:r w:rsidRPr="00913C78">
        <w:t>可以参考其</w:t>
      </w:r>
      <w:r w:rsidRPr="00913C78">
        <w:rPr>
          <w:rFonts w:hint="eastAsia"/>
        </w:rPr>
        <w:t>测试</w:t>
      </w:r>
      <w:r w:rsidRPr="00913C78">
        <w:t>结果</w:t>
      </w:r>
      <w:r w:rsidRPr="00913C78">
        <w:rPr>
          <w:rFonts w:hint="eastAsia"/>
        </w:rPr>
        <w:t>。</w:t>
      </w:r>
    </w:p>
    <w:p w14:paraId="385A55D9" w14:textId="77777777" w:rsidR="00913C78" w:rsidRPr="00913C78" w:rsidRDefault="00913C78" w:rsidP="00913C78">
      <w:pPr>
        <w:ind w:firstLine="420"/>
      </w:pPr>
      <w:bookmarkStart w:id="421" w:name="_Toc476401981"/>
      <w:r w:rsidRPr="00913C78">
        <w:rPr>
          <w:rFonts w:hint="eastAsia"/>
        </w:rPr>
        <w:t>（</w:t>
      </w:r>
      <w:r w:rsidRPr="00913C78">
        <w:rPr>
          <w:rFonts w:hint="eastAsia"/>
        </w:rPr>
        <w:t>1</w:t>
      </w:r>
      <w:r w:rsidRPr="00913C78">
        <w:rPr>
          <w:rFonts w:hint="eastAsia"/>
        </w:rPr>
        <w:t>）建筑围护</w:t>
      </w:r>
      <w:r w:rsidRPr="00913C78">
        <w:t>结构做法</w:t>
      </w:r>
      <w:bookmarkEnd w:id="421"/>
    </w:p>
    <w:p w14:paraId="7C9C498F" w14:textId="77777777" w:rsidR="00913C78" w:rsidRPr="00913C78" w:rsidRDefault="00913C78" w:rsidP="00913C78">
      <w:pPr>
        <w:ind w:firstLine="420"/>
      </w:pPr>
      <w:r w:rsidRPr="00913C78">
        <w:rPr>
          <w:rFonts w:hint="eastAsia"/>
        </w:rPr>
        <w:t>应说明外墙类型、分户墙类型、楼板类型、外窗类型。</w:t>
      </w:r>
    </w:p>
    <w:p w14:paraId="12BEEA17" w14:textId="77777777" w:rsidR="00913C78" w:rsidRPr="00913C78" w:rsidRDefault="00913C78" w:rsidP="00913C78">
      <w:pPr>
        <w:ind w:firstLine="420"/>
      </w:pPr>
      <w:bookmarkStart w:id="422" w:name="_Toc476401982"/>
      <w:r w:rsidRPr="00913C78">
        <w:rPr>
          <w:rFonts w:hint="eastAsia"/>
        </w:rPr>
        <w:t>（</w:t>
      </w:r>
      <w:r w:rsidRPr="00913C78">
        <w:rPr>
          <w:rFonts w:hint="eastAsia"/>
        </w:rPr>
        <w:t>2</w:t>
      </w:r>
      <w:r w:rsidRPr="00913C78">
        <w:rPr>
          <w:rFonts w:hint="eastAsia"/>
        </w:rPr>
        <w:t>）隔墙的空气声计权隔声量</w:t>
      </w:r>
      <w:bookmarkEnd w:id="422"/>
    </w:p>
    <w:p w14:paraId="412720A3" w14:textId="77777777" w:rsidR="00913C78" w:rsidRPr="00913C78" w:rsidRDefault="00913C78" w:rsidP="00913C78">
      <w:pPr>
        <w:ind w:firstLine="420"/>
      </w:pPr>
      <w:r w:rsidRPr="00913C78">
        <w:rPr>
          <w:rFonts w:hint="eastAsia"/>
        </w:rPr>
        <w:t>应</w:t>
      </w:r>
      <w:r w:rsidRPr="00913C78">
        <w:t>列出</w:t>
      </w:r>
      <w:r w:rsidRPr="00913C78">
        <w:rPr>
          <w:rFonts w:hint="eastAsia"/>
        </w:rPr>
        <w:t>隔墙构造及相关参数（附</w:t>
      </w:r>
      <w:r w:rsidRPr="00913C78">
        <w:t>表</w:t>
      </w:r>
      <w:r w:rsidRPr="00913C78">
        <w:rPr>
          <w:rFonts w:hint="eastAsia"/>
        </w:rPr>
        <w:t>B.6.1</w:t>
      </w:r>
      <w:r w:rsidRPr="00913C78">
        <w:rPr>
          <w:rFonts w:hint="eastAsia"/>
        </w:rPr>
        <w:t>）。</w:t>
      </w:r>
    </w:p>
    <w:p w14:paraId="151BF478" w14:textId="77777777" w:rsidR="00913C78" w:rsidRPr="00913C78" w:rsidRDefault="00913C78" w:rsidP="00E578F4">
      <w:pPr>
        <w:pStyle w:val="ae"/>
      </w:pPr>
      <w:r w:rsidRPr="00913C78">
        <w:rPr>
          <w:rFonts w:hint="eastAsia"/>
        </w:rPr>
        <w:t>附</w:t>
      </w:r>
      <w:r w:rsidRPr="00913C78">
        <w:t>表</w:t>
      </w:r>
      <w:r w:rsidRPr="00913C78">
        <w:rPr>
          <w:rFonts w:hint="eastAsia"/>
        </w:rPr>
        <w:t xml:space="preserve">B.6.1 </w:t>
      </w:r>
      <w:r w:rsidRPr="00913C78">
        <w:t xml:space="preserve"> </w:t>
      </w:r>
      <w:r w:rsidRPr="00913C78">
        <w:rPr>
          <w:rFonts w:hint="eastAsia"/>
        </w:rPr>
        <w:t>隔墙构造及相关参数</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77"/>
        <w:gridCol w:w="699"/>
        <w:gridCol w:w="728"/>
        <w:gridCol w:w="1445"/>
        <w:gridCol w:w="3321"/>
      </w:tblGrid>
      <w:tr w:rsidR="00913C78" w:rsidRPr="00E578F4" w14:paraId="4F0D1071" w14:textId="77777777" w:rsidTr="00A2511C">
        <w:trPr>
          <w:jc w:val="center"/>
        </w:trPr>
        <w:tc>
          <w:tcPr>
            <w:tcW w:w="799" w:type="pct"/>
            <w:shd w:val="clear" w:color="auto" w:fill="auto"/>
            <w:vAlign w:val="center"/>
          </w:tcPr>
          <w:p w14:paraId="6C7E5E9B" w14:textId="77777777" w:rsidR="00913C78" w:rsidRPr="00E578F4" w:rsidRDefault="00913C78" w:rsidP="00E578F4">
            <w:pPr>
              <w:pStyle w:val="ae"/>
              <w:rPr>
                <w:b w:val="0"/>
                <w:bCs/>
              </w:rPr>
            </w:pPr>
            <w:r w:rsidRPr="00E578F4">
              <w:rPr>
                <w:rFonts w:hint="eastAsia"/>
                <w:b w:val="0"/>
                <w:bCs/>
              </w:rPr>
              <w:t>分户墙构造</w:t>
            </w:r>
          </w:p>
        </w:tc>
        <w:tc>
          <w:tcPr>
            <w:tcW w:w="474" w:type="pct"/>
            <w:shd w:val="clear" w:color="auto" w:fill="auto"/>
            <w:vAlign w:val="center"/>
          </w:tcPr>
          <w:p w14:paraId="4700574B" w14:textId="77777777" w:rsidR="00913C78" w:rsidRPr="00E578F4" w:rsidRDefault="00913C78" w:rsidP="00E578F4">
            <w:pPr>
              <w:pStyle w:val="ae"/>
              <w:rPr>
                <w:b w:val="0"/>
                <w:bCs/>
              </w:rPr>
            </w:pPr>
            <w:r w:rsidRPr="00E578F4">
              <w:rPr>
                <w:rFonts w:hint="eastAsia"/>
                <w:b w:val="0"/>
                <w:bCs/>
              </w:rPr>
              <w:t>厚度</w:t>
            </w:r>
            <w:r w:rsidRPr="00E578F4">
              <w:rPr>
                <w:rFonts w:hint="eastAsia"/>
                <w:b w:val="0"/>
                <w:bCs/>
              </w:rPr>
              <w:t>/</w:t>
            </w:r>
            <w:r w:rsidRPr="00E578F4">
              <w:rPr>
                <w:b w:val="0"/>
                <w:bCs/>
              </w:rPr>
              <w:t>mm</w:t>
            </w:r>
          </w:p>
        </w:tc>
        <w:tc>
          <w:tcPr>
            <w:tcW w:w="494" w:type="pct"/>
            <w:shd w:val="clear" w:color="auto" w:fill="auto"/>
            <w:vAlign w:val="center"/>
          </w:tcPr>
          <w:p w14:paraId="7321C32A" w14:textId="77777777" w:rsidR="00913C78" w:rsidRPr="00E578F4" w:rsidRDefault="00913C78" w:rsidP="00E578F4">
            <w:pPr>
              <w:pStyle w:val="ae"/>
              <w:rPr>
                <w:b w:val="0"/>
                <w:bCs/>
              </w:rPr>
            </w:pPr>
            <w:r w:rsidRPr="00E578F4">
              <w:rPr>
                <w:rFonts w:hint="eastAsia"/>
                <w:b w:val="0"/>
                <w:bCs/>
              </w:rPr>
              <w:t>密度</w:t>
            </w:r>
            <w:r w:rsidRPr="00E578F4">
              <w:rPr>
                <w:b w:val="0"/>
                <w:bCs/>
              </w:rPr>
              <w:br/>
            </w:r>
            <w:r w:rsidRPr="00E578F4">
              <w:rPr>
                <w:rFonts w:hint="eastAsia"/>
                <w:b w:val="0"/>
                <w:bCs/>
              </w:rPr>
              <w:t>/</w:t>
            </w:r>
            <w:r w:rsidRPr="00E578F4">
              <w:rPr>
                <w:rFonts w:hint="eastAsia"/>
                <w:b w:val="0"/>
                <w:bCs/>
              </w:rPr>
              <w:t>（</w:t>
            </w:r>
            <w:r w:rsidRPr="00E578F4">
              <w:rPr>
                <w:b w:val="0"/>
                <w:bCs/>
              </w:rPr>
              <w:t>kg/m</w:t>
            </w:r>
            <w:r w:rsidRPr="00F83296">
              <w:rPr>
                <w:b w:val="0"/>
                <w:bCs/>
                <w:vertAlign w:val="superscript"/>
              </w:rPr>
              <w:t>3</w:t>
            </w:r>
            <w:r w:rsidRPr="00E578F4">
              <w:rPr>
                <w:rFonts w:hint="eastAsia"/>
                <w:b w:val="0"/>
                <w:bCs/>
              </w:rPr>
              <w:t>）</w:t>
            </w:r>
          </w:p>
        </w:tc>
        <w:tc>
          <w:tcPr>
            <w:tcW w:w="980" w:type="pct"/>
            <w:shd w:val="clear" w:color="auto" w:fill="auto"/>
            <w:vAlign w:val="center"/>
          </w:tcPr>
          <w:p w14:paraId="71492A2D" w14:textId="77777777" w:rsidR="00913C78" w:rsidRPr="00E578F4" w:rsidRDefault="00913C78" w:rsidP="00E578F4">
            <w:pPr>
              <w:pStyle w:val="ae"/>
              <w:rPr>
                <w:b w:val="0"/>
                <w:bCs/>
              </w:rPr>
            </w:pPr>
            <w:r w:rsidRPr="00E578F4">
              <w:rPr>
                <w:rFonts w:hint="eastAsia"/>
                <w:b w:val="0"/>
                <w:bCs/>
              </w:rPr>
              <w:t>综合面密度</w:t>
            </w:r>
          </w:p>
          <w:p w14:paraId="1EE3ED5F" w14:textId="77777777" w:rsidR="00913C78" w:rsidRPr="00E578F4" w:rsidRDefault="00913C78" w:rsidP="00E578F4">
            <w:pPr>
              <w:pStyle w:val="ae"/>
              <w:rPr>
                <w:b w:val="0"/>
                <w:bCs/>
              </w:rPr>
            </w:pPr>
            <w:r w:rsidRPr="00E578F4">
              <w:rPr>
                <w:b w:val="0"/>
                <w:bCs/>
              </w:rPr>
              <w:t>m</w:t>
            </w:r>
            <w:r w:rsidRPr="00E578F4">
              <w:rPr>
                <w:rFonts w:hint="eastAsia"/>
                <w:b w:val="0"/>
                <w:bCs/>
              </w:rPr>
              <w:t>/</w:t>
            </w:r>
            <w:r w:rsidRPr="00E578F4">
              <w:rPr>
                <w:rFonts w:hint="eastAsia"/>
                <w:b w:val="0"/>
                <w:bCs/>
              </w:rPr>
              <w:t>（</w:t>
            </w:r>
            <w:r w:rsidRPr="00E578F4">
              <w:rPr>
                <w:b w:val="0"/>
                <w:bCs/>
              </w:rPr>
              <w:t>kg/</w:t>
            </w:r>
            <w:r w:rsidRPr="00E578F4">
              <w:rPr>
                <w:rFonts w:hint="eastAsia"/>
                <w:b w:val="0"/>
                <w:bCs/>
              </w:rPr>
              <w:t>m</w:t>
            </w:r>
            <w:r w:rsidRPr="00F83296">
              <w:rPr>
                <w:b w:val="0"/>
                <w:bCs/>
                <w:vertAlign w:val="superscript"/>
              </w:rPr>
              <w:t>2</w:t>
            </w:r>
            <w:r w:rsidRPr="00E578F4">
              <w:rPr>
                <w:rFonts w:hint="eastAsia"/>
                <w:b w:val="0"/>
                <w:bCs/>
              </w:rPr>
              <w:t>）</w:t>
            </w:r>
          </w:p>
        </w:tc>
        <w:tc>
          <w:tcPr>
            <w:tcW w:w="2254" w:type="pct"/>
            <w:shd w:val="clear" w:color="auto" w:fill="auto"/>
            <w:vAlign w:val="center"/>
          </w:tcPr>
          <w:p w14:paraId="29161414" w14:textId="77777777" w:rsidR="00913C78" w:rsidRPr="00E578F4" w:rsidRDefault="00913C78" w:rsidP="00E578F4">
            <w:pPr>
              <w:pStyle w:val="ae"/>
              <w:rPr>
                <w:b w:val="0"/>
                <w:bCs/>
              </w:rPr>
            </w:pPr>
            <w:r w:rsidRPr="00E578F4">
              <w:rPr>
                <w:rFonts w:hint="eastAsia"/>
                <w:b w:val="0"/>
                <w:bCs/>
              </w:rPr>
              <w:t>分户墙构造示意</w:t>
            </w:r>
          </w:p>
        </w:tc>
      </w:tr>
      <w:tr w:rsidR="00913C78" w:rsidRPr="00E578F4" w14:paraId="3525BD9E" w14:textId="77777777" w:rsidTr="00A2511C">
        <w:trPr>
          <w:jc w:val="center"/>
        </w:trPr>
        <w:tc>
          <w:tcPr>
            <w:tcW w:w="799" w:type="pct"/>
            <w:shd w:val="clear" w:color="auto" w:fill="auto"/>
            <w:vAlign w:val="center"/>
          </w:tcPr>
          <w:p w14:paraId="433C9C56" w14:textId="77777777" w:rsidR="00913C78" w:rsidRPr="00E578F4" w:rsidRDefault="00913C78" w:rsidP="00E578F4">
            <w:pPr>
              <w:pStyle w:val="ae"/>
              <w:rPr>
                <w:b w:val="0"/>
                <w:bCs/>
              </w:rPr>
            </w:pPr>
            <w:r w:rsidRPr="00E578F4">
              <w:rPr>
                <w:rFonts w:hint="eastAsia"/>
                <w:b w:val="0"/>
                <w:bCs/>
              </w:rPr>
              <w:t>水泥砂浆</w:t>
            </w:r>
          </w:p>
        </w:tc>
        <w:tc>
          <w:tcPr>
            <w:tcW w:w="474" w:type="pct"/>
            <w:shd w:val="clear" w:color="auto" w:fill="auto"/>
            <w:vAlign w:val="center"/>
          </w:tcPr>
          <w:p w14:paraId="07466E8E" w14:textId="77777777" w:rsidR="00913C78" w:rsidRPr="00E578F4" w:rsidRDefault="00913C78" w:rsidP="00E578F4">
            <w:pPr>
              <w:pStyle w:val="ae"/>
              <w:rPr>
                <w:b w:val="0"/>
                <w:bCs/>
              </w:rPr>
            </w:pPr>
            <w:r w:rsidRPr="00E578F4">
              <w:rPr>
                <w:b w:val="0"/>
                <w:bCs/>
              </w:rPr>
              <w:t>20</w:t>
            </w:r>
          </w:p>
        </w:tc>
        <w:tc>
          <w:tcPr>
            <w:tcW w:w="494" w:type="pct"/>
            <w:shd w:val="clear" w:color="auto" w:fill="auto"/>
            <w:vAlign w:val="center"/>
          </w:tcPr>
          <w:p w14:paraId="340BF2DC" w14:textId="77777777" w:rsidR="00913C78" w:rsidRPr="00E578F4" w:rsidRDefault="00913C78" w:rsidP="00E578F4">
            <w:pPr>
              <w:pStyle w:val="ae"/>
              <w:rPr>
                <w:b w:val="0"/>
                <w:bCs/>
              </w:rPr>
            </w:pPr>
            <w:r w:rsidRPr="00E578F4">
              <w:rPr>
                <w:b w:val="0"/>
                <w:bCs/>
              </w:rPr>
              <w:t>1800</w:t>
            </w:r>
          </w:p>
        </w:tc>
        <w:tc>
          <w:tcPr>
            <w:tcW w:w="980" w:type="pct"/>
            <w:vMerge w:val="restart"/>
            <w:shd w:val="clear" w:color="auto" w:fill="auto"/>
            <w:vAlign w:val="center"/>
          </w:tcPr>
          <w:p w14:paraId="4970C161" w14:textId="77777777" w:rsidR="00913C78" w:rsidRPr="00E578F4" w:rsidRDefault="00913C78" w:rsidP="00E578F4">
            <w:pPr>
              <w:pStyle w:val="ae"/>
              <w:rPr>
                <w:b w:val="0"/>
                <w:bCs/>
              </w:rPr>
            </w:pPr>
            <w:r w:rsidRPr="00E578F4">
              <w:rPr>
                <w:b w:val="0"/>
                <w:bCs/>
              </w:rPr>
              <w:t>232</w:t>
            </w:r>
          </w:p>
          <w:p w14:paraId="05B78FD1" w14:textId="77777777" w:rsidR="00913C78" w:rsidRPr="00E578F4" w:rsidRDefault="00913C78" w:rsidP="00E578F4">
            <w:pPr>
              <w:pStyle w:val="ae"/>
              <w:rPr>
                <w:b w:val="0"/>
                <w:bCs/>
              </w:rPr>
            </w:pPr>
            <w:r w:rsidRPr="00E578F4">
              <w:rPr>
                <w:b w:val="0"/>
                <w:bCs/>
              </w:rPr>
              <w:t>（</w:t>
            </w:r>
            <w:r w:rsidRPr="00E578F4">
              <w:rPr>
                <w:b w:val="0"/>
                <w:bCs/>
              </w:rPr>
              <w:t>0.020×1800+0.200×</w:t>
            </w:r>
            <w:r w:rsidRPr="00E578F4">
              <w:rPr>
                <w:rFonts w:hint="eastAsia"/>
                <w:b w:val="0"/>
                <w:bCs/>
              </w:rPr>
              <w:t xml:space="preserve"> </w:t>
            </w:r>
            <w:r w:rsidRPr="00E578F4">
              <w:rPr>
                <w:b w:val="0"/>
                <w:bCs/>
              </w:rPr>
              <w:t>800+0.020×1800</w:t>
            </w:r>
            <w:r w:rsidRPr="00E578F4">
              <w:rPr>
                <w:b w:val="0"/>
                <w:bCs/>
              </w:rPr>
              <w:t>）</w:t>
            </w:r>
          </w:p>
        </w:tc>
        <w:tc>
          <w:tcPr>
            <w:tcW w:w="2254" w:type="pct"/>
            <w:vMerge w:val="restart"/>
            <w:shd w:val="clear" w:color="auto" w:fill="auto"/>
            <w:vAlign w:val="center"/>
          </w:tcPr>
          <w:p w14:paraId="6E14F5C7" w14:textId="77777777" w:rsidR="00913C78" w:rsidRPr="00E578F4" w:rsidRDefault="00913C78" w:rsidP="00E578F4">
            <w:pPr>
              <w:pStyle w:val="ae"/>
              <w:rPr>
                <w:b w:val="0"/>
                <w:bCs/>
              </w:rPr>
            </w:pPr>
            <w:r w:rsidRPr="00E578F4">
              <w:rPr>
                <w:b w:val="0"/>
                <w:bCs/>
                <w:noProof/>
              </w:rPr>
              <w:drawing>
                <wp:inline distT="0" distB="0" distL="0" distR="0" wp14:anchorId="74D56ECE" wp14:editId="3B08DA35">
                  <wp:extent cx="1997710" cy="773430"/>
                  <wp:effectExtent l="0" t="0" r="254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97710" cy="773430"/>
                          </a:xfrm>
                          <a:prstGeom prst="rect">
                            <a:avLst/>
                          </a:prstGeom>
                          <a:noFill/>
                          <a:ln>
                            <a:noFill/>
                          </a:ln>
                        </pic:spPr>
                      </pic:pic>
                    </a:graphicData>
                  </a:graphic>
                </wp:inline>
              </w:drawing>
            </w:r>
          </w:p>
        </w:tc>
      </w:tr>
      <w:tr w:rsidR="00913C78" w:rsidRPr="00E578F4" w14:paraId="00585F59" w14:textId="77777777" w:rsidTr="00A2511C">
        <w:trPr>
          <w:jc w:val="center"/>
        </w:trPr>
        <w:tc>
          <w:tcPr>
            <w:tcW w:w="799" w:type="pct"/>
            <w:shd w:val="clear" w:color="auto" w:fill="auto"/>
            <w:vAlign w:val="center"/>
          </w:tcPr>
          <w:p w14:paraId="03E826A7" w14:textId="77777777" w:rsidR="00913C78" w:rsidRPr="00E578F4" w:rsidRDefault="00913C78" w:rsidP="00E578F4">
            <w:pPr>
              <w:pStyle w:val="ae"/>
              <w:rPr>
                <w:b w:val="0"/>
                <w:bCs/>
              </w:rPr>
            </w:pPr>
            <w:r w:rsidRPr="00E578F4">
              <w:rPr>
                <w:rFonts w:hint="eastAsia"/>
                <w:b w:val="0"/>
                <w:bCs/>
              </w:rPr>
              <w:t>烧结页岩空心砖</w:t>
            </w:r>
          </w:p>
        </w:tc>
        <w:tc>
          <w:tcPr>
            <w:tcW w:w="474" w:type="pct"/>
            <w:shd w:val="clear" w:color="auto" w:fill="auto"/>
            <w:vAlign w:val="center"/>
          </w:tcPr>
          <w:p w14:paraId="7C1F7662" w14:textId="77777777" w:rsidR="00913C78" w:rsidRPr="00E578F4" w:rsidRDefault="00913C78" w:rsidP="00E578F4">
            <w:pPr>
              <w:pStyle w:val="ae"/>
              <w:rPr>
                <w:b w:val="0"/>
                <w:bCs/>
              </w:rPr>
            </w:pPr>
            <w:r w:rsidRPr="00E578F4">
              <w:rPr>
                <w:b w:val="0"/>
                <w:bCs/>
              </w:rPr>
              <w:t>200</w:t>
            </w:r>
          </w:p>
        </w:tc>
        <w:tc>
          <w:tcPr>
            <w:tcW w:w="494" w:type="pct"/>
            <w:shd w:val="clear" w:color="auto" w:fill="auto"/>
            <w:vAlign w:val="center"/>
          </w:tcPr>
          <w:p w14:paraId="5E0D83C3" w14:textId="77777777" w:rsidR="00913C78" w:rsidRPr="00E578F4" w:rsidRDefault="00913C78" w:rsidP="00E578F4">
            <w:pPr>
              <w:pStyle w:val="ae"/>
              <w:rPr>
                <w:b w:val="0"/>
                <w:bCs/>
              </w:rPr>
            </w:pPr>
            <w:r w:rsidRPr="00E578F4">
              <w:rPr>
                <w:b w:val="0"/>
                <w:bCs/>
              </w:rPr>
              <w:t>800</w:t>
            </w:r>
          </w:p>
        </w:tc>
        <w:tc>
          <w:tcPr>
            <w:tcW w:w="980" w:type="pct"/>
            <w:vMerge/>
            <w:shd w:val="clear" w:color="auto" w:fill="auto"/>
            <w:vAlign w:val="center"/>
          </w:tcPr>
          <w:p w14:paraId="4784BAEA" w14:textId="77777777" w:rsidR="00913C78" w:rsidRPr="00E578F4" w:rsidRDefault="00913C78" w:rsidP="00E578F4">
            <w:pPr>
              <w:pStyle w:val="ae"/>
              <w:rPr>
                <w:b w:val="0"/>
                <w:bCs/>
              </w:rPr>
            </w:pPr>
          </w:p>
        </w:tc>
        <w:tc>
          <w:tcPr>
            <w:tcW w:w="2254" w:type="pct"/>
            <w:vMerge/>
            <w:shd w:val="clear" w:color="auto" w:fill="auto"/>
            <w:vAlign w:val="center"/>
          </w:tcPr>
          <w:p w14:paraId="4A036C23" w14:textId="77777777" w:rsidR="00913C78" w:rsidRPr="00E578F4" w:rsidRDefault="00913C78" w:rsidP="00E578F4">
            <w:pPr>
              <w:pStyle w:val="ae"/>
              <w:rPr>
                <w:b w:val="0"/>
                <w:bCs/>
              </w:rPr>
            </w:pPr>
          </w:p>
        </w:tc>
      </w:tr>
      <w:tr w:rsidR="00913C78" w:rsidRPr="00E578F4" w14:paraId="43D4E749" w14:textId="77777777" w:rsidTr="00A2511C">
        <w:trPr>
          <w:jc w:val="center"/>
        </w:trPr>
        <w:tc>
          <w:tcPr>
            <w:tcW w:w="799" w:type="pct"/>
            <w:shd w:val="clear" w:color="auto" w:fill="auto"/>
            <w:vAlign w:val="center"/>
          </w:tcPr>
          <w:p w14:paraId="594E8AA2" w14:textId="77777777" w:rsidR="00913C78" w:rsidRPr="00E578F4" w:rsidRDefault="00913C78" w:rsidP="00E578F4">
            <w:pPr>
              <w:pStyle w:val="ae"/>
              <w:rPr>
                <w:b w:val="0"/>
                <w:bCs/>
              </w:rPr>
            </w:pPr>
            <w:r w:rsidRPr="00E578F4">
              <w:rPr>
                <w:rFonts w:hint="eastAsia"/>
                <w:b w:val="0"/>
                <w:bCs/>
              </w:rPr>
              <w:t>水泥砂浆</w:t>
            </w:r>
          </w:p>
        </w:tc>
        <w:tc>
          <w:tcPr>
            <w:tcW w:w="474" w:type="pct"/>
            <w:shd w:val="clear" w:color="auto" w:fill="auto"/>
            <w:vAlign w:val="center"/>
          </w:tcPr>
          <w:p w14:paraId="352956A0" w14:textId="77777777" w:rsidR="00913C78" w:rsidRPr="00E578F4" w:rsidRDefault="00913C78" w:rsidP="00E578F4">
            <w:pPr>
              <w:pStyle w:val="ae"/>
              <w:rPr>
                <w:b w:val="0"/>
                <w:bCs/>
              </w:rPr>
            </w:pPr>
            <w:r w:rsidRPr="00E578F4">
              <w:rPr>
                <w:b w:val="0"/>
                <w:bCs/>
              </w:rPr>
              <w:t>20</w:t>
            </w:r>
          </w:p>
        </w:tc>
        <w:tc>
          <w:tcPr>
            <w:tcW w:w="494" w:type="pct"/>
            <w:shd w:val="clear" w:color="auto" w:fill="auto"/>
            <w:vAlign w:val="center"/>
          </w:tcPr>
          <w:p w14:paraId="0DECFDF6" w14:textId="77777777" w:rsidR="00913C78" w:rsidRPr="00E578F4" w:rsidRDefault="00913C78" w:rsidP="00E578F4">
            <w:pPr>
              <w:pStyle w:val="ae"/>
              <w:rPr>
                <w:b w:val="0"/>
                <w:bCs/>
              </w:rPr>
            </w:pPr>
            <w:r w:rsidRPr="00E578F4">
              <w:rPr>
                <w:b w:val="0"/>
                <w:bCs/>
              </w:rPr>
              <w:t>1800</w:t>
            </w:r>
          </w:p>
        </w:tc>
        <w:tc>
          <w:tcPr>
            <w:tcW w:w="980" w:type="pct"/>
            <w:vMerge/>
            <w:shd w:val="clear" w:color="auto" w:fill="auto"/>
            <w:vAlign w:val="center"/>
          </w:tcPr>
          <w:p w14:paraId="57D784EE" w14:textId="77777777" w:rsidR="00913C78" w:rsidRPr="00E578F4" w:rsidRDefault="00913C78" w:rsidP="00E578F4">
            <w:pPr>
              <w:pStyle w:val="ae"/>
              <w:rPr>
                <w:b w:val="0"/>
                <w:bCs/>
              </w:rPr>
            </w:pPr>
          </w:p>
        </w:tc>
        <w:tc>
          <w:tcPr>
            <w:tcW w:w="2254" w:type="pct"/>
            <w:vMerge/>
            <w:shd w:val="clear" w:color="auto" w:fill="auto"/>
            <w:vAlign w:val="center"/>
          </w:tcPr>
          <w:p w14:paraId="02139201" w14:textId="77777777" w:rsidR="00913C78" w:rsidRPr="00E578F4" w:rsidRDefault="00913C78" w:rsidP="00E578F4">
            <w:pPr>
              <w:pStyle w:val="ae"/>
              <w:rPr>
                <w:b w:val="0"/>
                <w:bCs/>
              </w:rPr>
            </w:pPr>
          </w:p>
        </w:tc>
      </w:tr>
    </w:tbl>
    <w:p w14:paraId="59B9BAD4" w14:textId="77777777" w:rsidR="00913C78" w:rsidRPr="00913C78" w:rsidRDefault="00913C78" w:rsidP="00913C78">
      <w:pPr>
        <w:ind w:firstLine="420"/>
      </w:pPr>
      <w:r w:rsidRPr="00913C78">
        <w:rPr>
          <w:rFonts w:hint="eastAsia"/>
        </w:rPr>
        <w:t>注：材料密度引自《民用建筑热工设计规范》（</w:t>
      </w:r>
      <w:r w:rsidRPr="00913C78">
        <w:rPr>
          <w:rFonts w:hint="eastAsia"/>
        </w:rPr>
        <w:t>GB 50176</w:t>
      </w:r>
      <w:r w:rsidRPr="00913C78">
        <w:rPr>
          <w:rFonts w:hint="eastAsia"/>
        </w:rPr>
        <w:t>—</w:t>
      </w:r>
      <w:r w:rsidRPr="00913C78">
        <w:rPr>
          <w:rFonts w:hint="eastAsia"/>
        </w:rPr>
        <w:t>2016</w:t>
      </w:r>
      <w:r w:rsidRPr="00913C78">
        <w:rPr>
          <w:rFonts w:hint="eastAsia"/>
        </w:rPr>
        <w:t>）。</w:t>
      </w:r>
    </w:p>
    <w:p w14:paraId="454149A8" w14:textId="77777777" w:rsidR="00913C78" w:rsidRPr="00913C78" w:rsidRDefault="00913C78" w:rsidP="00913C78">
      <w:pPr>
        <w:ind w:firstLine="420"/>
      </w:pPr>
    </w:p>
    <w:p w14:paraId="74B3886C" w14:textId="77777777" w:rsidR="00913C78" w:rsidRPr="00913C78" w:rsidRDefault="00913C78" w:rsidP="00913C78">
      <w:pPr>
        <w:ind w:firstLine="420"/>
      </w:pPr>
      <w:r w:rsidRPr="00913C78">
        <w:rPr>
          <w:rFonts w:hint="eastAsia"/>
        </w:rPr>
        <w:t>应有隔墙</w:t>
      </w:r>
      <w:r w:rsidRPr="00913C78">
        <w:t>构造</w:t>
      </w:r>
      <w:r w:rsidRPr="00913C78">
        <w:rPr>
          <w:rFonts w:hint="eastAsia"/>
        </w:rPr>
        <w:t>的</w:t>
      </w:r>
      <w:r w:rsidRPr="00913C78">
        <w:rPr>
          <w:rFonts w:hint="eastAsia"/>
        </w:rPr>
        <w:t>1/3</w:t>
      </w:r>
      <w:r w:rsidRPr="00913C78">
        <w:rPr>
          <w:rFonts w:hint="eastAsia"/>
        </w:rPr>
        <w:t>倍频程中心频率的隔声量计算值检测</w:t>
      </w:r>
      <w:r w:rsidRPr="00913C78">
        <w:t>数据</w:t>
      </w:r>
      <w:r w:rsidRPr="00913C78">
        <w:rPr>
          <w:rFonts w:hint="eastAsia"/>
        </w:rPr>
        <w:t>，如附表</w:t>
      </w:r>
      <w:r w:rsidRPr="00913C78">
        <w:rPr>
          <w:rFonts w:hint="eastAsia"/>
        </w:rPr>
        <w:t>B.6.2</w:t>
      </w:r>
      <w:r w:rsidRPr="00913C78">
        <w:rPr>
          <w:rFonts w:hint="eastAsia"/>
        </w:rPr>
        <w:t>所示。</w:t>
      </w:r>
    </w:p>
    <w:p w14:paraId="268581A2" w14:textId="77777777" w:rsidR="00913C78" w:rsidRPr="00913C78" w:rsidRDefault="00913C78" w:rsidP="00E578F4">
      <w:pPr>
        <w:pStyle w:val="ae"/>
      </w:pPr>
      <w:r w:rsidRPr="00913C78">
        <w:rPr>
          <w:rFonts w:hint="eastAsia"/>
        </w:rPr>
        <w:t>附表</w:t>
      </w:r>
      <w:r w:rsidRPr="00913C78">
        <w:rPr>
          <w:rFonts w:hint="eastAsia"/>
        </w:rPr>
        <w:t xml:space="preserve">B.6.2  </w:t>
      </w:r>
      <w:r w:rsidRPr="00913C78">
        <w:rPr>
          <w:rFonts w:hint="eastAsia"/>
        </w:rPr>
        <w:t>烧结页岩空心砖墙体</w:t>
      </w:r>
      <w:r w:rsidRPr="00913C78">
        <w:rPr>
          <w:rFonts w:hint="eastAsia"/>
        </w:rPr>
        <w:t>1/3</w:t>
      </w:r>
      <w:r w:rsidRPr="00913C78">
        <w:rPr>
          <w:rFonts w:hint="eastAsia"/>
        </w:rPr>
        <w:t>倍频程中心频率的隔声量计算值</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6"/>
        <w:gridCol w:w="774"/>
        <w:gridCol w:w="774"/>
        <w:gridCol w:w="774"/>
        <w:gridCol w:w="775"/>
        <w:gridCol w:w="774"/>
        <w:gridCol w:w="774"/>
        <w:gridCol w:w="774"/>
        <w:gridCol w:w="775"/>
      </w:tblGrid>
      <w:tr w:rsidR="00913C78" w:rsidRPr="0097400A" w14:paraId="000FBC35" w14:textId="77777777" w:rsidTr="00A2511C">
        <w:trPr>
          <w:jc w:val="center"/>
        </w:trPr>
        <w:tc>
          <w:tcPr>
            <w:tcW w:w="1388" w:type="dxa"/>
            <w:shd w:val="clear" w:color="auto" w:fill="auto"/>
          </w:tcPr>
          <w:p w14:paraId="6ACAFAFE" w14:textId="77777777" w:rsidR="00913C78" w:rsidRPr="0097400A" w:rsidRDefault="00913C78" w:rsidP="0097400A">
            <w:pPr>
              <w:pStyle w:val="ae"/>
              <w:rPr>
                <w:b w:val="0"/>
                <w:bCs/>
              </w:rPr>
            </w:pPr>
            <w:r w:rsidRPr="0097400A">
              <w:rPr>
                <w:rFonts w:hint="eastAsia"/>
                <w:b w:val="0"/>
                <w:bCs/>
              </w:rPr>
              <w:t>频率</w:t>
            </w:r>
            <w:r w:rsidRPr="0097400A">
              <w:rPr>
                <w:rFonts w:hint="eastAsia"/>
                <w:b w:val="0"/>
                <w:bCs/>
              </w:rPr>
              <w:t>/</w:t>
            </w:r>
            <w:r w:rsidRPr="0097400A">
              <w:rPr>
                <w:b w:val="0"/>
                <w:bCs/>
              </w:rPr>
              <w:t>Hz</w:t>
            </w:r>
          </w:p>
        </w:tc>
        <w:tc>
          <w:tcPr>
            <w:tcW w:w="895" w:type="dxa"/>
            <w:shd w:val="clear" w:color="auto" w:fill="auto"/>
          </w:tcPr>
          <w:p w14:paraId="080BC5A2" w14:textId="77777777" w:rsidR="00913C78" w:rsidRPr="0097400A" w:rsidRDefault="00913C78" w:rsidP="0097400A">
            <w:pPr>
              <w:pStyle w:val="ae"/>
              <w:rPr>
                <w:b w:val="0"/>
                <w:bCs/>
              </w:rPr>
            </w:pPr>
            <w:r w:rsidRPr="0097400A">
              <w:rPr>
                <w:b w:val="0"/>
                <w:bCs/>
              </w:rPr>
              <w:t>100</w:t>
            </w:r>
          </w:p>
        </w:tc>
        <w:tc>
          <w:tcPr>
            <w:tcW w:w="895" w:type="dxa"/>
            <w:shd w:val="clear" w:color="auto" w:fill="auto"/>
          </w:tcPr>
          <w:p w14:paraId="46A985EF" w14:textId="77777777" w:rsidR="00913C78" w:rsidRPr="0097400A" w:rsidRDefault="00913C78" w:rsidP="0097400A">
            <w:pPr>
              <w:pStyle w:val="ae"/>
              <w:rPr>
                <w:b w:val="0"/>
                <w:bCs/>
              </w:rPr>
            </w:pPr>
            <w:r w:rsidRPr="0097400A">
              <w:rPr>
                <w:b w:val="0"/>
                <w:bCs/>
              </w:rPr>
              <w:t>125</w:t>
            </w:r>
          </w:p>
        </w:tc>
        <w:tc>
          <w:tcPr>
            <w:tcW w:w="895" w:type="dxa"/>
            <w:shd w:val="clear" w:color="auto" w:fill="auto"/>
          </w:tcPr>
          <w:p w14:paraId="7083F07F" w14:textId="77777777" w:rsidR="00913C78" w:rsidRPr="0097400A" w:rsidRDefault="00913C78" w:rsidP="0097400A">
            <w:pPr>
              <w:pStyle w:val="ae"/>
              <w:rPr>
                <w:b w:val="0"/>
                <w:bCs/>
              </w:rPr>
            </w:pPr>
            <w:r w:rsidRPr="0097400A">
              <w:rPr>
                <w:b w:val="0"/>
                <w:bCs/>
              </w:rPr>
              <w:t>160</w:t>
            </w:r>
          </w:p>
        </w:tc>
        <w:tc>
          <w:tcPr>
            <w:tcW w:w="896" w:type="dxa"/>
            <w:shd w:val="clear" w:color="auto" w:fill="auto"/>
          </w:tcPr>
          <w:p w14:paraId="10AE2DB4" w14:textId="77777777" w:rsidR="00913C78" w:rsidRPr="0097400A" w:rsidRDefault="00913C78" w:rsidP="0097400A">
            <w:pPr>
              <w:pStyle w:val="ae"/>
              <w:rPr>
                <w:b w:val="0"/>
                <w:bCs/>
              </w:rPr>
            </w:pPr>
            <w:r w:rsidRPr="0097400A">
              <w:rPr>
                <w:b w:val="0"/>
                <w:bCs/>
              </w:rPr>
              <w:t>200</w:t>
            </w:r>
          </w:p>
        </w:tc>
        <w:tc>
          <w:tcPr>
            <w:tcW w:w="895" w:type="dxa"/>
            <w:shd w:val="clear" w:color="auto" w:fill="auto"/>
          </w:tcPr>
          <w:p w14:paraId="051C05B8" w14:textId="77777777" w:rsidR="00913C78" w:rsidRPr="0097400A" w:rsidRDefault="00913C78" w:rsidP="0097400A">
            <w:pPr>
              <w:pStyle w:val="ae"/>
              <w:rPr>
                <w:b w:val="0"/>
                <w:bCs/>
              </w:rPr>
            </w:pPr>
            <w:r w:rsidRPr="0097400A">
              <w:rPr>
                <w:b w:val="0"/>
                <w:bCs/>
              </w:rPr>
              <w:t>250</w:t>
            </w:r>
          </w:p>
        </w:tc>
        <w:tc>
          <w:tcPr>
            <w:tcW w:w="895" w:type="dxa"/>
            <w:shd w:val="clear" w:color="auto" w:fill="auto"/>
          </w:tcPr>
          <w:p w14:paraId="1F142795" w14:textId="77777777" w:rsidR="00913C78" w:rsidRPr="0097400A" w:rsidRDefault="00913C78" w:rsidP="0097400A">
            <w:pPr>
              <w:pStyle w:val="ae"/>
              <w:rPr>
                <w:b w:val="0"/>
                <w:bCs/>
              </w:rPr>
            </w:pPr>
            <w:r w:rsidRPr="0097400A">
              <w:rPr>
                <w:b w:val="0"/>
                <w:bCs/>
              </w:rPr>
              <w:t>315</w:t>
            </w:r>
          </w:p>
        </w:tc>
        <w:tc>
          <w:tcPr>
            <w:tcW w:w="895" w:type="dxa"/>
            <w:shd w:val="clear" w:color="auto" w:fill="auto"/>
          </w:tcPr>
          <w:p w14:paraId="633F3A65" w14:textId="77777777" w:rsidR="00913C78" w:rsidRPr="0097400A" w:rsidRDefault="00913C78" w:rsidP="0097400A">
            <w:pPr>
              <w:pStyle w:val="ae"/>
              <w:rPr>
                <w:b w:val="0"/>
                <w:bCs/>
              </w:rPr>
            </w:pPr>
            <w:r w:rsidRPr="0097400A">
              <w:rPr>
                <w:b w:val="0"/>
                <w:bCs/>
              </w:rPr>
              <w:t>400</w:t>
            </w:r>
          </w:p>
        </w:tc>
        <w:tc>
          <w:tcPr>
            <w:tcW w:w="896" w:type="dxa"/>
            <w:shd w:val="clear" w:color="auto" w:fill="auto"/>
          </w:tcPr>
          <w:p w14:paraId="0BB02889" w14:textId="77777777" w:rsidR="00913C78" w:rsidRPr="0097400A" w:rsidRDefault="00913C78" w:rsidP="0097400A">
            <w:pPr>
              <w:pStyle w:val="ae"/>
              <w:rPr>
                <w:b w:val="0"/>
                <w:bCs/>
              </w:rPr>
            </w:pPr>
            <w:r w:rsidRPr="0097400A">
              <w:rPr>
                <w:b w:val="0"/>
                <w:bCs/>
              </w:rPr>
              <w:t>500</w:t>
            </w:r>
          </w:p>
        </w:tc>
      </w:tr>
      <w:tr w:rsidR="00913C78" w:rsidRPr="0097400A" w14:paraId="11922B63" w14:textId="77777777" w:rsidTr="00A2511C">
        <w:trPr>
          <w:jc w:val="center"/>
        </w:trPr>
        <w:tc>
          <w:tcPr>
            <w:tcW w:w="1388" w:type="dxa"/>
            <w:shd w:val="clear" w:color="auto" w:fill="auto"/>
          </w:tcPr>
          <w:p w14:paraId="76B3E5B6" w14:textId="77777777" w:rsidR="00913C78" w:rsidRPr="0097400A" w:rsidRDefault="00913C78" w:rsidP="0097400A">
            <w:pPr>
              <w:pStyle w:val="ae"/>
              <w:rPr>
                <w:b w:val="0"/>
                <w:bCs/>
              </w:rPr>
            </w:pPr>
            <w:r w:rsidRPr="0097400A">
              <w:rPr>
                <w:rFonts w:hint="eastAsia"/>
                <w:b w:val="0"/>
                <w:bCs/>
              </w:rPr>
              <w:t>隔声量</w:t>
            </w:r>
            <w:r w:rsidRPr="0097400A">
              <w:rPr>
                <w:rFonts w:hint="eastAsia"/>
                <w:b w:val="0"/>
                <w:bCs/>
              </w:rPr>
              <w:t>/</w:t>
            </w:r>
            <w:r w:rsidRPr="0097400A">
              <w:rPr>
                <w:b w:val="0"/>
                <w:bCs/>
              </w:rPr>
              <w:t>dB</w:t>
            </w:r>
          </w:p>
        </w:tc>
        <w:tc>
          <w:tcPr>
            <w:tcW w:w="895" w:type="dxa"/>
            <w:shd w:val="clear" w:color="auto" w:fill="auto"/>
          </w:tcPr>
          <w:p w14:paraId="6E807A9D" w14:textId="77777777" w:rsidR="00913C78" w:rsidRPr="0097400A" w:rsidRDefault="00913C78" w:rsidP="0097400A">
            <w:pPr>
              <w:pStyle w:val="ae"/>
              <w:rPr>
                <w:b w:val="0"/>
                <w:bCs/>
              </w:rPr>
            </w:pPr>
            <w:r w:rsidRPr="0097400A">
              <w:rPr>
                <w:b w:val="0"/>
                <w:bCs/>
              </w:rPr>
              <w:t>33.3</w:t>
            </w:r>
          </w:p>
        </w:tc>
        <w:tc>
          <w:tcPr>
            <w:tcW w:w="895" w:type="dxa"/>
            <w:shd w:val="clear" w:color="auto" w:fill="auto"/>
          </w:tcPr>
          <w:p w14:paraId="51ECDE7B" w14:textId="77777777" w:rsidR="00913C78" w:rsidRPr="0097400A" w:rsidRDefault="00913C78" w:rsidP="0097400A">
            <w:pPr>
              <w:pStyle w:val="ae"/>
              <w:rPr>
                <w:b w:val="0"/>
                <w:bCs/>
              </w:rPr>
            </w:pPr>
            <w:r w:rsidRPr="0097400A">
              <w:rPr>
                <w:b w:val="0"/>
                <w:bCs/>
              </w:rPr>
              <w:t>33.8</w:t>
            </w:r>
          </w:p>
        </w:tc>
        <w:tc>
          <w:tcPr>
            <w:tcW w:w="895" w:type="dxa"/>
            <w:shd w:val="clear" w:color="auto" w:fill="auto"/>
          </w:tcPr>
          <w:p w14:paraId="072001DC" w14:textId="77777777" w:rsidR="00913C78" w:rsidRPr="0097400A" w:rsidRDefault="00913C78" w:rsidP="0097400A">
            <w:pPr>
              <w:pStyle w:val="ae"/>
              <w:rPr>
                <w:b w:val="0"/>
                <w:bCs/>
              </w:rPr>
            </w:pPr>
            <w:r w:rsidRPr="0097400A">
              <w:rPr>
                <w:b w:val="0"/>
                <w:bCs/>
              </w:rPr>
              <w:t>34.1</w:t>
            </w:r>
          </w:p>
        </w:tc>
        <w:tc>
          <w:tcPr>
            <w:tcW w:w="896" w:type="dxa"/>
            <w:shd w:val="clear" w:color="auto" w:fill="auto"/>
          </w:tcPr>
          <w:p w14:paraId="71F3FAFC" w14:textId="77777777" w:rsidR="00913C78" w:rsidRPr="0097400A" w:rsidRDefault="00913C78" w:rsidP="0097400A">
            <w:pPr>
              <w:pStyle w:val="ae"/>
              <w:rPr>
                <w:b w:val="0"/>
                <w:bCs/>
              </w:rPr>
            </w:pPr>
            <w:r w:rsidRPr="0097400A">
              <w:rPr>
                <w:b w:val="0"/>
                <w:bCs/>
              </w:rPr>
              <w:t>34.9</w:t>
            </w:r>
          </w:p>
        </w:tc>
        <w:tc>
          <w:tcPr>
            <w:tcW w:w="895" w:type="dxa"/>
            <w:shd w:val="clear" w:color="auto" w:fill="auto"/>
          </w:tcPr>
          <w:p w14:paraId="37F079E0" w14:textId="77777777" w:rsidR="00913C78" w:rsidRPr="0097400A" w:rsidRDefault="00913C78" w:rsidP="0097400A">
            <w:pPr>
              <w:pStyle w:val="ae"/>
              <w:rPr>
                <w:b w:val="0"/>
                <w:bCs/>
              </w:rPr>
            </w:pPr>
            <w:r w:rsidRPr="0097400A">
              <w:rPr>
                <w:b w:val="0"/>
                <w:bCs/>
              </w:rPr>
              <w:t>36.3</w:t>
            </w:r>
          </w:p>
        </w:tc>
        <w:tc>
          <w:tcPr>
            <w:tcW w:w="895" w:type="dxa"/>
            <w:shd w:val="clear" w:color="auto" w:fill="auto"/>
          </w:tcPr>
          <w:p w14:paraId="1F80689C" w14:textId="77777777" w:rsidR="00913C78" w:rsidRPr="0097400A" w:rsidRDefault="00913C78" w:rsidP="0097400A">
            <w:pPr>
              <w:pStyle w:val="ae"/>
              <w:rPr>
                <w:b w:val="0"/>
                <w:bCs/>
              </w:rPr>
            </w:pPr>
            <w:r w:rsidRPr="0097400A">
              <w:rPr>
                <w:b w:val="0"/>
                <w:bCs/>
              </w:rPr>
              <w:t>40.2</w:t>
            </w:r>
          </w:p>
        </w:tc>
        <w:tc>
          <w:tcPr>
            <w:tcW w:w="895" w:type="dxa"/>
            <w:shd w:val="clear" w:color="auto" w:fill="auto"/>
          </w:tcPr>
          <w:p w14:paraId="1C39E12C" w14:textId="77777777" w:rsidR="00913C78" w:rsidRPr="0097400A" w:rsidRDefault="00913C78" w:rsidP="0097400A">
            <w:pPr>
              <w:pStyle w:val="ae"/>
              <w:rPr>
                <w:b w:val="0"/>
                <w:bCs/>
              </w:rPr>
            </w:pPr>
            <w:r w:rsidRPr="0097400A">
              <w:rPr>
                <w:b w:val="0"/>
                <w:bCs/>
              </w:rPr>
              <w:t>42.1</w:t>
            </w:r>
          </w:p>
        </w:tc>
        <w:tc>
          <w:tcPr>
            <w:tcW w:w="896" w:type="dxa"/>
            <w:shd w:val="clear" w:color="auto" w:fill="auto"/>
          </w:tcPr>
          <w:p w14:paraId="738006CF" w14:textId="77777777" w:rsidR="00913C78" w:rsidRPr="0097400A" w:rsidRDefault="00913C78" w:rsidP="0097400A">
            <w:pPr>
              <w:pStyle w:val="ae"/>
              <w:rPr>
                <w:b w:val="0"/>
                <w:bCs/>
              </w:rPr>
            </w:pPr>
            <w:r w:rsidRPr="0097400A">
              <w:rPr>
                <w:b w:val="0"/>
                <w:bCs/>
              </w:rPr>
              <w:t>43.5</w:t>
            </w:r>
          </w:p>
        </w:tc>
      </w:tr>
      <w:tr w:rsidR="00913C78" w:rsidRPr="0097400A" w14:paraId="1C16F181" w14:textId="77777777" w:rsidTr="00A2511C">
        <w:trPr>
          <w:jc w:val="center"/>
        </w:trPr>
        <w:tc>
          <w:tcPr>
            <w:tcW w:w="1388" w:type="dxa"/>
            <w:shd w:val="clear" w:color="auto" w:fill="auto"/>
          </w:tcPr>
          <w:p w14:paraId="2F9735EE" w14:textId="77777777" w:rsidR="00913C78" w:rsidRPr="0097400A" w:rsidRDefault="00913C78" w:rsidP="0097400A">
            <w:pPr>
              <w:pStyle w:val="ae"/>
              <w:rPr>
                <w:b w:val="0"/>
                <w:bCs/>
              </w:rPr>
            </w:pPr>
            <w:r w:rsidRPr="0097400A">
              <w:rPr>
                <w:rFonts w:hint="eastAsia"/>
                <w:b w:val="0"/>
                <w:bCs/>
              </w:rPr>
              <w:t>频率</w:t>
            </w:r>
            <w:r w:rsidRPr="0097400A">
              <w:rPr>
                <w:rFonts w:hint="eastAsia"/>
                <w:b w:val="0"/>
                <w:bCs/>
              </w:rPr>
              <w:t>/</w:t>
            </w:r>
            <w:r w:rsidRPr="0097400A">
              <w:rPr>
                <w:b w:val="0"/>
                <w:bCs/>
              </w:rPr>
              <w:t>Hz</w:t>
            </w:r>
          </w:p>
        </w:tc>
        <w:tc>
          <w:tcPr>
            <w:tcW w:w="895" w:type="dxa"/>
            <w:shd w:val="clear" w:color="auto" w:fill="auto"/>
          </w:tcPr>
          <w:p w14:paraId="56FCB171" w14:textId="77777777" w:rsidR="00913C78" w:rsidRPr="0097400A" w:rsidRDefault="00913C78" w:rsidP="0097400A">
            <w:pPr>
              <w:pStyle w:val="ae"/>
              <w:rPr>
                <w:b w:val="0"/>
                <w:bCs/>
              </w:rPr>
            </w:pPr>
            <w:r w:rsidRPr="0097400A">
              <w:rPr>
                <w:b w:val="0"/>
                <w:bCs/>
              </w:rPr>
              <w:t>630</w:t>
            </w:r>
          </w:p>
        </w:tc>
        <w:tc>
          <w:tcPr>
            <w:tcW w:w="895" w:type="dxa"/>
            <w:shd w:val="clear" w:color="auto" w:fill="auto"/>
          </w:tcPr>
          <w:p w14:paraId="37302EEB" w14:textId="77777777" w:rsidR="00913C78" w:rsidRPr="0097400A" w:rsidRDefault="00913C78" w:rsidP="0097400A">
            <w:pPr>
              <w:pStyle w:val="ae"/>
              <w:rPr>
                <w:b w:val="0"/>
                <w:bCs/>
              </w:rPr>
            </w:pPr>
            <w:r w:rsidRPr="0097400A">
              <w:rPr>
                <w:b w:val="0"/>
                <w:bCs/>
              </w:rPr>
              <w:t>800</w:t>
            </w:r>
          </w:p>
        </w:tc>
        <w:tc>
          <w:tcPr>
            <w:tcW w:w="895" w:type="dxa"/>
            <w:shd w:val="clear" w:color="auto" w:fill="auto"/>
          </w:tcPr>
          <w:p w14:paraId="4E84B24E" w14:textId="77777777" w:rsidR="00913C78" w:rsidRPr="0097400A" w:rsidRDefault="00913C78" w:rsidP="0097400A">
            <w:pPr>
              <w:pStyle w:val="ae"/>
              <w:rPr>
                <w:b w:val="0"/>
                <w:bCs/>
              </w:rPr>
            </w:pPr>
            <w:r w:rsidRPr="0097400A">
              <w:rPr>
                <w:b w:val="0"/>
                <w:bCs/>
              </w:rPr>
              <w:t>1000</w:t>
            </w:r>
          </w:p>
        </w:tc>
        <w:tc>
          <w:tcPr>
            <w:tcW w:w="896" w:type="dxa"/>
            <w:shd w:val="clear" w:color="auto" w:fill="auto"/>
          </w:tcPr>
          <w:p w14:paraId="53B9385F" w14:textId="77777777" w:rsidR="00913C78" w:rsidRPr="0097400A" w:rsidRDefault="00913C78" w:rsidP="0097400A">
            <w:pPr>
              <w:pStyle w:val="ae"/>
              <w:rPr>
                <w:b w:val="0"/>
                <w:bCs/>
              </w:rPr>
            </w:pPr>
            <w:r w:rsidRPr="0097400A">
              <w:rPr>
                <w:b w:val="0"/>
                <w:bCs/>
              </w:rPr>
              <w:t>1250</w:t>
            </w:r>
          </w:p>
        </w:tc>
        <w:tc>
          <w:tcPr>
            <w:tcW w:w="895" w:type="dxa"/>
            <w:shd w:val="clear" w:color="auto" w:fill="auto"/>
          </w:tcPr>
          <w:p w14:paraId="03B46CC8" w14:textId="77777777" w:rsidR="00913C78" w:rsidRPr="0097400A" w:rsidRDefault="00913C78" w:rsidP="0097400A">
            <w:pPr>
              <w:pStyle w:val="ae"/>
              <w:rPr>
                <w:b w:val="0"/>
                <w:bCs/>
              </w:rPr>
            </w:pPr>
            <w:r w:rsidRPr="0097400A">
              <w:rPr>
                <w:b w:val="0"/>
                <w:bCs/>
              </w:rPr>
              <w:t>1600</w:t>
            </w:r>
          </w:p>
        </w:tc>
        <w:tc>
          <w:tcPr>
            <w:tcW w:w="895" w:type="dxa"/>
            <w:shd w:val="clear" w:color="auto" w:fill="auto"/>
          </w:tcPr>
          <w:p w14:paraId="3BBDE715" w14:textId="77777777" w:rsidR="00913C78" w:rsidRPr="0097400A" w:rsidRDefault="00913C78" w:rsidP="0097400A">
            <w:pPr>
              <w:pStyle w:val="ae"/>
              <w:rPr>
                <w:b w:val="0"/>
                <w:bCs/>
              </w:rPr>
            </w:pPr>
            <w:r w:rsidRPr="0097400A">
              <w:rPr>
                <w:b w:val="0"/>
                <w:bCs/>
              </w:rPr>
              <w:t>2000</w:t>
            </w:r>
          </w:p>
        </w:tc>
        <w:tc>
          <w:tcPr>
            <w:tcW w:w="895" w:type="dxa"/>
            <w:shd w:val="clear" w:color="auto" w:fill="auto"/>
          </w:tcPr>
          <w:p w14:paraId="7F56F3D5" w14:textId="77777777" w:rsidR="00913C78" w:rsidRPr="0097400A" w:rsidRDefault="00913C78" w:rsidP="0097400A">
            <w:pPr>
              <w:pStyle w:val="ae"/>
              <w:rPr>
                <w:b w:val="0"/>
                <w:bCs/>
              </w:rPr>
            </w:pPr>
            <w:r w:rsidRPr="0097400A">
              <w:rPr>
                <w:b w:val="0"/>
                <w:bCs/>
              </w:rPr>
              <w:t>2500</w:t>
            </w:r>
          </w:p>
        </w:tc>
        <w:tc>
          <w:tcPr>
            <w:tcW w:w="896" w:type="dxa"/>
            <w:shd w:val="clear" w:color="auto" w:fill="auto"/>
          </w:tcPr>
          <w:p w14:paraId="45D51F1A" w14:textId="77777777" w:rsidR="00913C78" w:rsidRPr="0097400A" w:rsidRDefault="00913C78" w:rsidP="0097400A">
            <w:pPr>
              <w:pStyle w:val="ae"/>
              <w:rPr>
                <w:b w:val="0"/>
                <w:bCs/>
              </w:rPr>
            </w:pPr>
            <w:r w:rsidRPr="0097400A">
              <w:rPr>
                <w:b w:val="0"/>
                <w:bCs/>
              </w:rPr>
              <w:t>3150</w:t>
            </w:r>
          </w:p>
        </w:tc>
      </w:tr>
      <w:tr w:rsidR="00913C78" w:rsidRPr="0097400A" w14:paraId="5EBDEDAC" w14:textId="77777777" w:rsidTr="00A2511C">
        <w:trPr>
          <w:jc w:val="center"/>
        </w:trPr>
        <w:tc>
          <w:tcPr>
            <w:tcW w:w="1388" w:type="dxa"/>
            <w:shd w:val="clear" w:color="auto" w:fill="auto"/>
          </w:tcPr>
          <w:p w14:paraId="373B9929" w14:textId="77777777" w:rsidR="00913C78" w:rsidRPr="0097400A" w:rsidRDefault="00913C78" w:rsidP="0097400A">
            <w:pPr>
              <w:pStyle w:val="ae"/>
              <w:rPr>
                <w:b w:val="0"/>
                <w:bCs/>
              </w:rPr>
            </w:pPr>
            <w:r w:rsidRPr="0097400A">
              <w:rPr>
                <w:rFonts w:hint="eastAsia"/>
                <w:b w:val="0"/>
                <w:bCs/>
              </w:rPr>
              <w:lastRenderedPageBreak/>
              <w:t>隔声量</w:t>
            </w:r>
            <w:r w:rsidRPr="0097400A">
              <w:rPr>
                <w:rFonts w:hint="eastAsia"/>
                <w:b w:val="0"/>
                <w:bCs/>
              </w:rPr>
              <w:t>/</w:t>
            </w:r>
            <w:r w:rsidRPr="0097400A">
              <w:rPr>
                <w:b w:val="0"/>
                <w:bCs/>
              </w:rPr>
              <w:t>dB</w:t>
            </w:r>
          </w:p>
        </w:tc>
        <w:tc>
          <w:tcPr>
            <w:tcW w:w="895" w:type="dxa"/>
            <w:shd w:val="clear" w:color="auto" w:fill="auto"/>
            <w:vAlign w:val="bottom"/>
          </w:tcPr>
          <w:p w14:paraId="046F95B0" w14:textId="77777777" w:rsidR="00913C78" w:rsidRPr="0097400A" w:rsidRDefault="00913C78" w:rsidP="0097400A">
            <w:pPr>
              <w:pStyle w:val="ae"/>
              <w:rPr>
                <w:b w:val="0"/>
                <w:bCs/>
              </w:rPr>
            </w:pPr>
            <w:r w:rsidRPr="0097400A">
              <w:rPr>
                <w:b w:val="0"/>
                <w:bCs/>
              </w:rPr>
              <w:t>44.5</w:t>
            </w:r>
          </w:p>
        </w:tc>
        <w:tc>
          <w:tcPr>
            <w:tcW w:w="895" w:type="dxa"/>
            <w:shd w:val="clear" w:color="auto" w:fill="auto"/>
            <w:vAlign w:val="bottom"/>
          </w:tcPr>
          <w:p w14:paraId="47CE219B" w14:textId="77777777" w:rsidR="00913C78" w:rsidRPr="0097400A" w:rsidRDefault="00913C78" w:rsidP="0097400A">
            <w:pPr>
              <w:pStyle w:val="ae"/>
              <w:rPr>
                <w:b w:val="0"/>
                <w:bCs/>
              </w:rPr>
            </w:pPr>
            <w:r w:rsidRPr="0097400A">
              <w:rPr>
                <w:b w:val="0"/>
                <w:bCs/>
              </w:rPr>
              <w:t>45.2</w:t>
            </w:r>
          </w:p>
        </w:tc>
        <w:tc>
          <w:tcPr>
            <w:tcW w:w="895" w:type="dxa"/>
            <w:shd w:val="clear" w:color="auto" w:fill="auto"/>
            <w:vAlign w:val="bottom"/>
          </w:tcPr>
          <w:p w14:paraId="49EC18A4" w14:textId="77777777" w:rsidR="00913C78" w:rsidRPr="0097400A" w:rsidRDefault="00913C78" w:rsidP="0097400A">
            <w:pPr>
              <w:pStyle w:val="ae"/>
              <w:rPr>
                <w:b w:val="0"/>
                <w:bCs/>
              </w:rPr>
            </w:pPr>
            <w:r w:rsidRPr="0097400A">
              <w:rPr>
                <w:b w:val="0"/>
                <w:bCs/>
              </w:rPr>
              <w:t>46.2</w:t>
            </w:r>
          </w:p>
        </w:tc>
        <w:tc>
          <w:tcPr>
            <w:tcW w:w="896" w:type="dxa"/>
            <w:shd w:val="clear" w:color="auto" w:fill="auto"/>
            <w:vAlign w:val="bottom"/>
          </w:tcPr>
          <w:p w14:paraId="017A238C" w14:textId="77777777" w:rsidR="00913C78" w:rsidRPr="0097400A" w:rsidRDefault="00913C78" w:rsidP="0097400A">
            <w:pPr>
              <w:pStyle w:val="ae"/>
              <w:rPr>
                <w:b w:val="0"/>
                <w:bCs/>
              </w:rPr>
            </w:pPr>
            <w:r w:rsidRPr="0097400A">
              <w:rPr>
                <w:b w:val="0"/>
                <w:bCs/>
              </w:rPr>
              <w:t>48.4</w:t>
            </w:r>
          </w:p>
        </w:tc>
        <w:tc>
          <w:tcPr>
            <w:tcW w:w="895" w:type="dxa"/>
            <w:shd w:val="clear" w:color="auto" w:fill="auto"/>
            <w:vAlign w:val="bottom"/>
          </w:tcPr>
          <w:p w14:paraId="45B26EC7" w14:textId="77777777" w:rsidR="00913C78" w:rsidRPr="0097400A" w:rsidRDefault="00913C78" w:rsidP="0097400A">
            <w:pPr>
              <w:pStyle w:val="ae"/>
              <w:rPr>
                <w:b w:val="0"/>
                <w:bCs/>
              </w:rPr>
            </w:pPr>
            <w:r w:rsidRPr="0097400A">
              <w:rPr>
                <w:b w:val="0"/>
                <w:bCs/>
              </w:rPr>
              <w:t>50.9</w:t>
            </w:r>
          </w:p>
        </w:tc>
        <w:tc>
          <w:tcPr>
            <w:tcW w:w="895" w:type="dxa"/>
            <w:shd w:val="clear" w:color="auto" w:fill="auto"/>
            <w:vAlign w:val="bottom"/>
          </w:tcPr>
          <w:p w14:paraId="6950959E" w14:textId="77777777" w:rsidR="00913C78" w:rsidRPr="0097400A" w:rsidRDefault="00913C78" w:rsidP="0097400A">
            <w:pPr>
              <w:pStyle w:val="ae"/>
              <w:rPr>
                <w:b w:val="0"/>
                <w:bCs/>
              </w:rPr>
            </w:pPr>
            <w:r w:rsidRPr="0097400A">
              <w:rPr>
                <w:b w:val="0"/>
                <w:bCs/>
              </w:rPr>
              <w:t>52.60</w:t>
            </w:r>
          </w:p>
        </w:tc>
        <w:tc>
          <w:tcPr>
            <w:tcW w:w="895" w:type="dxa"/>
            <w:shd w:val="clear" w:color="auto" w:fill="auto"/>
            <w:vAlign w:val="bottom"/>
          </w:tcPr>
          <w:p w14:paraId="5388C515" w14:textId="77777777" w:rsidR="00913C78" w:rsidRPr="0097400A" w:rsidRDefault="00913C78" w:rsidP="0097400A">
            <w:pPr>
              <w:pStyle w:val="ae"/>
              <w:rPr>
                <w:b w:val="0"/>
                <w:bCs/>
              </w:rPr>
            </w:pPr>
            <w:r w:rsidRPr="0097400A">
              <w:rPr>
                <w:b w:val="0"/>
                <w:bCs/>
              </w:rPr>
              <w:t>52.4</w:t>
            </w:r>
          </w:p>
        </w:tc>
        <w:tc>
          <w:tcPr>
            <w:tcW w:w="896" w:type="dxa"/>
            <w:shd w:val="clear" w:color="auto" w:fill="auto"/>
            <w:vAlign w:val="bottom"/>
          </w:tcPr>
          <w:p w14:paraId="40FDAC0B" w14:textId="77777777" w:rsidR="00913C78" w:rsidRPr="0097400A" w:rsidRDefault="00913C78" w:rsidP="0097400A">
            <w:pPr>
              <w:pStyle w:val="ae"/>
              <w:rPr>
                <w:b w:val="0"/>
                <w:bCs/>
              </w:rPr>
            </w:pPr>
            <w:r w:rsidRPr="0097400A">
              <w:rPr>
                <w:b w:val="0"/>
                <w:bCs/>
              </w:rPr>
              <w:t>52.3</w:t>
            </w:r>
          </w:p>
        </w:tc>
      </w:tr>
    </w:tbl>
    <w:p w14:paraId="3753CADC" w14:textId="77777777" w:rsidR="00913C78" w:rsidRPr="00913C78" w:rsidRDefault="00913C78" w:rsidP="00913C78">
      <w:pPr>
        <w:ind w:firstLine="420"/>
      </w:pPr>
    </w:p>
    <w:p w14:paraId="249A1890" w14:textId="77777777" w:rsidR="00913C78" w:rsidRPr="00913C78" w:rsidRDefault="00913C78" w:rsidP="00913C78">
      <w:pPr>
        <w:ind w:firstLine="420"/>
      </w:pPr>
      <w:r w:rsidRPr="00913C78">
        <w:rPr>
          <w:rFonts w:hint="eastAsia"/>
        </w:rPr>
        <w:t>在</w:t>
      </w:r>
      <w:r w:rsidRPr="00913C78">
        <w:t>确定</w:t>
      </w:r>
      <w:r w:rsidRPr="00913C78">
        <w:rPr>
          <w:rFonts w:hint="eastAsia"/>
        </w:rPr>
        <w:t>隔墙</w:t>
      </w:r>
      <w:r w:rsidRPr="00913C78">
        <w:t>构造</w:t>
      </w:r>
      <w:r w:rsidRPr="00913C78">
        <w:rPr>
          <w:rFonts w:hint="eastAsia"/>
        </w:rPr>
        <w:t>的</w:t>
      </w:r>
      <w:r w:rsidRPr="00913C78">
        <w:t>空气</w:t>
      </w:r>
      <w:r w:rsidRPr="00913C78">
        <w:rPr>
          <w:rFonts w:hint="eastAsia"/>
        </w:rPr>
        <w:t>声计权隔声量时</w:t>
      </w:r>
      <w:r w:rsidRPr="00913C78">
        <w:t>，</w:t>
      </w:r>
      <w:r w:rsidRPr="00913C78">
        <w:rPr>
          <w:rFonts w:hint="eastAsia"/>
        </w:rPr>
        <w:t>应</w:t>
      </w:r>
      <w:r w:rsidRPr="00913C78">
        <w:t>按以下步骤进行：</w:t>
      </w:r>
    </w:p>
    <w:p w14:paraId="46AD2075"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将一组精确到</w:t>
      </w:r>
      <w:r w:rsidRPr="00913C78">
        <w:rPr>
          <w:rFonts w:hint="eastAsia"/>
        </w:rPr>
        <w:t>0.1dB</w:t>
      </w:r>
      <w:r w:rsidRPr="00913C78">
        <w:rPr>
          <w:rFonts w:hint="eastAsia"/>
        </w:rPr>
        <w:t>的</w:t>
      </w:r>
      <w:r w:rsidRPr="00913C78">
        <w:rPr>
          <w:rFonts w:hint="eastAsia"/>
        </w:rPr>
        <w:t>1/3</w:t>
      </w:r>
      <w:r w:rsidRPr="00913C78">
        <w:rPr>
          <w:rFonts w:hint="eastAsia"/>
        </w:rPr>
        <w:t>倍频程空气声隔声测量量在坐标纸上绘制成一条测量量的频谱曲线。</w:t>
      </w:r>
    </w:p>
    <w:p w14:paraId="7AC301AA"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将具有相同坐标比例的并绘有</w:t>
      </w:r>
      <w:r w:rsidRPr="00913C78">
        <w:rPr>
          <w:rFonts w:hint="eastAsia"/>
        </w:rPr>
        <w:t>1/3</w:t>
      </w:r>
      <w:r w:rsidRPr="00913C78">
        <w:rPr>
          <w:rFonts w:hint="eastAsia"/>
        </w:rPr>
        <w:t>倍频程空气声隔声基准曲线（附</w:t>
      </w:r>
      <w:r w:rsidRPr="00913C78">
        <w:t>图</w:t>
      </w:r>
      <w:r w:rsidRPr="00913C78">
        <w:rPr>
          <w:rFonts w:hint="eastAsia"/>
        </w:rPr>
        <w:t>B.6.1</w:t>
      </w:r>
      <w:r w:rsidRPr="00913C78">
        <w:rPr>
          <w:rFonts w:hint="eastAsia"/>
        </w:rPr>
        <w:t>）的透明纸覆盖在绘有上述曲线的坐标纸上，使横坐标相互重叠，并使纵坐标中基准曲线</w:t>
      </w:r>
      <w:r w:rsidRPr="00913C78">
        <w:rPr>
          <w:rFonts w:hint="eastAsia"/>
        </w:rPr>
        <w:t>0dB</w:t>
      </w:r>
      <w:r w:rsidRPr="00913C78">
        <w:rPr>
          <w:rFonts w:hint="eastAsia"/>
        </w:rPr>
        <w:t>与频谱曲线的一个整数坐标对齐。</w:t>
      </w:r>
    </w:p>
    <w:p w14:paraId="2623DCCE"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将基准曲线向测量量的频谱曲线移动，每步</w:t>
      </w:r>
      <w:r w:rsidRPr="00913C78">
        <w:rPr>
          <w:rFonts w:hint="eastAsia"/>
        </w:rPr>
        <w:t>1dB</w:t>
      </w:r>
      <w:r w:rsidRPr="00913C78">
        <w:rPr>
          <w:rFonts w:hint="eastAsia"/>
        </w:rPr>
        <w:t>，直至不利偏差之和尽量地大，但不超过</w:t>
      </w:r>
      <w:r w:rsidRPr="00913C78">
        <w:rPr>
          <w:rFonts w:hint="eastAsia"/>
        </w:rPr>
        <w:t>32.0dB</w:t>
      </w:r>
      <w:r w:rsidRPr="00913C78">
        <w:rPr>
          <w:rFonts w:hint="eastAsia"/>
        </w:rPr>
        <w:t>为止，</w:t>
      </w:r>
      <w:r w:rsidRPr="00913C78">
        <w:t>计算</w:t>
      </w:r>
      <w:r w:rsidRPr="00913C78">
        <w:rPr>
          <w:rFonts w:hint="eastAsia"/>
        </w:rPr>
        <w:t>方法按式（</w:t>
      </w:r>
      <w:r w:rsidRPr="00913C78">
        <w:rPr>
          <w:rFonts w:hint="eastAsia"/>
        </w:rPr>
        <w:t>B.6.1</w:t>
      </w:r>
      <w:r w:rsidRPr="00913C78">
        <w:rPr>
          <w:rFonts w:hint="eastAsia"/>
        </w:rPr>
        <w:t>）。</w:t>
      </w:r>
    </w:p>
    <w:p w14:paraId="48DAA307" w14:textId="77777777" w:rsidR="00913C78" w:rsidRPr="00913C78" w:rsidRDefault="00913C78" w:rsidP="00913C78">
      <w:pPr>
        <w:ind w:firstLine="420"/>
      </w:pPr>
      <w:r w:rsidRPr="00913C78">
        <w:t>4</w:t>
      </w:r>
      <w:r w:rsidRPr="00913C78">
        <w:rPr>
          <w:rFonts w:hint="eastAsia"/>
        </w:rPr>
        <w:t>）</w:t>
      </w:r>
      <w:r w:rsidRPr="00913C78">
        <w:t> </w:t>
      </w:r>
      <w:r w:rsidRPr="00913C78">
        <w:rPr>
          <w:rFonts w:hint="eastAsia"/>
        </w:rPr>
        <w:t>低于基准</w:t>
      </w:r>
      <w:r w:rsidRPr="00913C78">
        <w:t>曲线</w:t>
      </w:r>
      <w:r w:rsidRPr="00913C78">
        <w:rPr>
          <w:rFonts w:hint="eastAsia"/>
        </w:rPr>
        <w:t>的</w:t>
      </w:r>
      <w:r w:rsidRPr="00913C78">
        <w:t>任一</w:t>
      </w:r>
      <w:r w:rsidRPr="00913C78">
        <w:rPr>
          <w:rFonts w:hint="eastAsia"/>
        </w:rPr>
        <w:t>1/3</w:t>
      </w:r>
      <w:r w:rsidRPr="00913C78">
        <w:rPr>
          <w:rFonts w:hint="eastAsia"/>
        </w:rPr>
        <w:t>倍频程中心频率</w:t>
      </w:r>
      <w:r w:rsidRPr="00913C78">
        <w:t>的</w:t>
      </w:r>
      <w:r w:rsidRPr="00913C78">
        <w:rPr>
          <w:rFonts w:hint="eastAsia"/>
        </w:rPr>
        <w:t>隔声量，</w:t>
      </w:r>
      <w:r w:rsidRPr="00913C78">
        <w:t>与</w:t>
      </w:r>
      <w:r w:rsidRPr="00913C78">
        <w:rPr>
          <w:rFonts w:hint="eastAsia"/>
        </w:rPr>
        <w:t>基准曲线的差</w:t>
      </w:r>
      <w:r w:rsidRPr="00913C78">
        <w:t>不超过</w:t>
      </w:r>
      <w:r w:rsidRPr="00913C78">
        <w:rPr>
          <w:rFonts w:hint="eastAsia"/>
        </w:rPr>
        <w:t>8</w:t>
      </w:r>
      <w:r w:rsidRPr="00913C78">
        <w:t>.0dB</w:t>
      </w:r>
      <w:r w:rsidRPr="00913C78">
        <w:rPr>
          <w:rFonts w:hint="eastAsia"/>
        </w:rPr>
        <w:t>，</w:t>
      </w:r>
      <w:r w:rsidRPr="00913C78">
        <w:t>计算</w:t>
      </w:r>
      <w:r w:rsidRPr="00913C78">
        <w:rPr>
          <w:rFonts w:hint="eastAsia"/>
        </w:rPr>
        <w:t>方法按式（</w:t>
      </w:r>
      <w:r w:rsidRPr="00913C78">
        <w:rPr>
          <w:rFonts w:hint="eastAsia"/>
        </w:rPr>
        <w:t>B.6.2</w:t>
      </w:r>
      <w:r w:rsidRPr="00913C78">
        <w:rPr>
          <w:rFonts w:hint="eastAsia"/>
        </w:rPr>
        <w:t>）。</w:t>
      </w:r>
    </w:p>
    <w:p w14:paraId="06AD155E" w14:textId="6B2026D5" w:rsidR="00913C78" w:rsidRDefault="00913C78" w:rsidP="00913C78">
      <w:pPr>
        <w:ind w:firstLine="420"/>
      </w:pPr>
      <w:r w:rsidRPr="00913C78">
        <w:t>5</w:t>
      </w:r>
      <w:r w:rsidRPr="00913C78">
        <w:rPr>
          <w:rFonts w:hint="eastAsia"/>
        </w:rPr>
        <w:t>）</w:t>
      </w:r>
      <w:r w:rsidRPr="00913C78">
        <w:t> </w:t>
      </w:r>
      <w:r w:rsidRPr="00913C78">
        <w:rPr>
          <w:rFonts w:hint="eastAsia"/>
        </w:rPr>
        <w:t>此时基准曲线上</w:t>
      </w:r>
      <w:r w:rsidRPr="00913C78">
        <w:rPr>
          <w:rFonts w:hint="eastAsia"/>
        </w:rPr>
        <w:t>0dB</w:t>
      </w:r>
      <w:r w:rsidRPr="00913C78">
        <w:rPr>
          <w:rFonts w:hint="eastAsia"/>
        </w:rPr>
        <w:t>线所对应的绘有测量量频谱曲线的坐标纸上纵坐标的整分贝数，就是该组测量量所对应的单值评价量。</w:t>
      </w:r>
    </w:p>
    <w:p w14:paraId="3919781D" w14:textId="57D6188C" w:rsidR="00913C78" w:rsidRPr="00913C78" w:rsidRDefault="00913C78" w:rsidP="00561D31">
      <w:pPr>
        <w:ind w:firstLine="420"/>
        <w:jc w:val="center"/>
      </w:pPr>
      <w:r w:rsidRPr="00913C78">
        <w:rPr>
          <w:noProof/>
        </w:rPr>
        <w:drawing>
          <wp:inline distT="0" distB="0" distL="0" distR="0" wp14:anchorId="5DA80961" wp14:editId="127CBE2F">
            <wp:extent cx="3256915" cy="2089150"/>
            <wp:effectExtent l="0" t="0" r="635"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256915" cy="2089150"/>
                    </a:xfrm>
                    <a:prstGeom prst="rect">
                      <a:avLst/>
                    </a:prstGeom>
                    <a:noFill/>
                    <a:ln>
                      <a:noFill/>
                    </a:ln>
                  </pic:spPr>
                </pic:pic>
              </a:graphicData>
            </a:graphic>
          </wp:inline>
        </w:drawing>
      </w:r>
    </w:p>
    <w:p w14:paraId="2121B685" w14:textId="77777777" w:rsidR="00913C78" w:rsidRPr="00913C78" w:rsidRDefault="00913C78" w:rsidP="0097400A">
      <w:pPr>
        <w:ind w:firstLine="420"/>
        <w:jc w:val="center"/>
      </w:pPr>
      <w:r w:rsidRPr="00913C78">
        <w:rPr>
          <w:rFonts w:hint="eastAsia"/>
        </w:rPr>
        <w:t>附图</w:t>
      </w:r>
      <w:r w:rsidRPr="00913C78">
        <w:rPr>
          <w:rFonts w:hint="eastAsia"/>
        </w:rPr>
        <w:t>B.6.1  1/3</w:t>
      </w:r>
      <w:r w:rsidRPr="00913C78">
        <w:rPr>
          <w:rFonts w:hint="eastAsia"/>
        </w:rPr>
        <w:t>倍频程空气声隔声基准曲线</w:t>
      </w:r>
    </w:p>
    <w:p w14:paraId="2563D8D2" w14:textId="77777777" w:rsidR="00913C78" w:rsidRPr="00913C78" w:rsidRDefault="00913C78" w:rsidP="00913C78">
      <w:pPr>
        <w:ind w:firstLine="420"/>
      </w:pPr>
      <w:r w:rsidRPr="00913C78">
        <w:rPr>
          <w:rFonts w:hint="eastAsia"/>
        </w:rPr>
        <w:t>采用</w:t>
      </w:r>
      <w:r w:rsidRPr="00913C78">
        <w:rPr>
          <w:rFonts w:hint="eastAsia"/>
        </w:rPr>
        <w:t>1/3</w:t>
      </w:r>
      <w:r w:rsidRPr="00913C78">
        <w:rPr>
          <w:rFonts w:hint="eastAsia"/>
        </w:rPr>
        <w:t>倍频程测量时，单值评价量</w:t>
      </w:r>
      <w:r w:rsidRPr="00913C78">
        <w:rPr>
          <w:rFonts w:hint="eastAsia"/>
        </w:rPr>
        <w:t xml:space="preserve"> Xw </w:t>
      </w:r>
      <w:r w:rsidRPr="00913C78">
        <w:rPr>
          <w:rFonts w:hint="eastAsia"/>
        </w:rPr>
        <w:t>为满足式（</w:t>
      </w:r>
      <w:r w:rsidRPr="00913C78">
        <w:rPr>
          <w:rFonts w:hint="eastAsia"/>
        </w:rPr>
        <w:t>B.6.1</w:t>
      </w:r>
      <w:r w:rsidRPr="00913C78">
        <w:rPr>
          <w:rFonts w:hint="eastAsia"/>
        </w:rPr>
        <w:t>）的最大值，精确到</w:t>
      </w:r>
      <w:r w:rsidRPr="00913C78">
        <w:rPr>
          <w:rFonts w:hint="eastAsia"/>
        </w:rPr>
        <w:t>1dB</w:t>
      </w:r>
      <w:r w:rsidRPr="00913C78">
        <w:rPr>
          <w:rFonts w:hint="eastAsia"/>
        </w:rPr>
        <w:t>，即</w:t>
      </w:r>
    </w:p>
    <w:p w14:paraId="0281B53A" w14:textId="0A6A9052" w:rsidR="00913C78" w:rsidRPr="00913C78" w:rsidRDefault="00913C78" w:rsidP="00A624AE">
      <w:pPr>
        <w:pStyle w:val="af8"/>
      </w:pPr>
      <w:r w:rsidRPr="00913C78">
        <w:rPr>
          <w:rFonts w:hint="eastAsia"/>
        </w:rPr>
        <w:tab/>
      </w:r>
      <m:oMath>
        <m:r>
          <w:rPr>
            <w:rFonts w:ascii="Cambria Math"/>
            <w:noProof/>
          </w:rPr>
          <m:t>P=</m:t>
        </m:r>
        <m:nary>
          <m:naryPr>
            <m:chr m:val="∑"/>
            <m:ctrlPr>
              <w:rPr>
                <w:rFonts w:ascii="Cambria Math" w:hAnsi="Cambria Math"/>
                <w:i/>
                <w:noProof/>
              </w:rPr>
            </m:ctrlPr>
          </m:naryPr>
          <m:sub>
            <m:r>
              <w:rPr>
                <w:rFonts w:ascii="Cambria Math"/>
                <w:noProof/>
              </w:rPr>
              <m:t>i=1</m:t>
            </m:r>
          </m:sub>
          <m:sup>
            <m:r>
              <w:rPr>
                <w:rFonts w:ascii="Cambria Math"/>
                <w:noProof/>
              </w:rPr>
              <m:t>16</m:t>
            </m:r>
          </m:sup>
          <m:e>
            <m:sSub>
              <m:sSubPr>
                <m:ctrlPr>
                  <w:rPr>
                    <w:rFonts w:ascii="Cambria Math" w:hAnsi="Cambria Math"/>
                    <w:i/>
                    <w:noProof/>
                  </w:rPr>
                </m:ctrlPr>
              </m:sSubPr>
              <m:e>
                <m:r>
                  <w:rPr>
                    <w:rFonts w:ascii="Cambria Math"/>
                    <w:noProof/>
                  </w:rPr>
                  <m:t>P</m:t>
                </m:r>
              </m:e>
              <m:sub>
                <m:r>
                  <w:rPr>
                    <w:rFonts w:ascii="Cambria Math"/>
                    <w:noProof/>
                  </w:rPr>
                  <m:t>i</m:t>
                </m:r>
              </m:sub>
            </m:sSub>
          </m:e>
        </m:nary>
        <m:r>
          <w:rPr>
            <w:rFonts w:ascii="Cambria Math"/>
            <w:noProof/>
          </w:rPr>
          <m:t>≤</m:t>
        </m:r>
        <m:r>
          <w:rPr>
            <w:rFonts w:ascii="Cambria Math"/>
            <w:noProof/>
          </w:rPr>
          <m:t>32</m:t>
        </m:r>
      </m:oMath>
      <w:r w:rsidRPr="00913C78">
        <w:rPr>
          <w:rFonts w:hint="eastAsia"/>
        </w:rPr>
        <w:tab/>
      </w:r>
      <w:r w:rsidRPr="00913C78">
        <w:rPr>
          <w:rFonts w:hint="eastAsia"/>
        </w:rPr>
        <w:t>（</w:t>
      </w:r>
      <w:r w:rsidRPr="00913C78">
        <w:rPr>
          <w:rFonts w:hint="eastAsia"/>
        </w:rPr>
        <w:t>B.6.1</w:t>
      </w:r>
      <w:r w:rsidRPr="00913C78">
        <w:rPr>
          <w:rFonts w:hint="eastAsia"/>
        </w:rPr>
        <w:t>）</w:t>
      </w:r>
    </w:p>
    <w:p w14:paraId="451229BE" w14:textId="77777777" w:rsidR="00913C78" w:rsidRPr="00913C78" w:rsidRDefault="00913C78" w:rsidP="00913C78">
      <w:pPr>
        <w:ind w:firstLine="420"/>
      </w:pPr>
      <w:r w:rsidRPr="00913C78">
        <w:rPr>
          <w:rFonts w:hint="eastAsia"/>
        </w:rPr>
        <w:t>式中，</w:t>
      </w:r>
      <w:r w:rsidRPr="00913C78">
        <w:t>P </w:t>
      </w:r>
      <w:r w:rsidRPr="00913C78">
        <w:rPr>
          <w:rFonts w:hint="eastAsia"/>
        </w:rPr>
        <w:t>——不利偏差总和，</w:t>
      </w:r>
      <w:r w:rsidRPr="00913C78">
        <w:t>dB</w:t>
      </w:r>
      <w:r w:rsidRPr="00913C78">
        <w:rPr>
          <w:rFonts w:hint="eastAsia"/>
        </w:rPr>
        <w:t>；</w:t>
      </w:r>
    </w:p>
    <w:p w14:paraId="64D8364A" w14:textId="77777777" w:rsidR="00913C78" w:rsidRPr="00913C78" w:rsidRDefault="00913C78" w:rsidP="0097400A">
      <w:pPr>
        <w:ind w:leftChars="337" w:left="708" w:firstLine="420"/>
      </w:pPr>
      <w:r w:rsidRPr="00913C78">
        <w:t>i </w:t>
      </w:r>
      <w:r w:rsidRPr="00913C78">
        <w:rPr>
          <w:rFonts w:hint="eastAsia"/>
        </w:rPr>
        <w:t>——频带的序号，</w:t>
      </w:r>
      <w:r w:rsidRPr="00913C78">
        <w:t>i</w:t>
      </w:r>
      <w:r w:rsidRPr="00913C78">
        <w:rPr>
          <w:rFonts w:hint="eastAsia"/>
        </w:rPr>
        <w:t>=</w:t>
      </w:r>
      <w:r w:rsidRPr="00913C78">
        <w:t>1</w:t>
      </w:r>
      <w:r w:rsidRPr="00913C78">
        <w:rPr>
          <w:rFonts w:hint="eastAsia"/>
        </w:rPr>
        <w:t>～</w:t>
      </w:r>
      <w:r w:rsidRPr="00913C78">
        <w:t>16</w:t>
      </w:r>
      <w:r w:rsidRPr="00913C78">
        <w:rPr>
          <w:rFonts w:hint="eastAsia"/>
        </w:rPr>
        <w:t>，代表</w:t>
      </w:r>
      <w:r w:rsidRPr="00913C78">
        <w:t>100</w:t>
      </w:r>
      <w:r w:rsidRPr="00913C78">
        <w:rPr>
          <w:rFonts w:hint="eastAsia"/>
        </w:rPr>
        <w:t>～</w:t>
      </w:r>
      <w:r w:rsidRPr="00913C78">
        <w:t>3150Hz</w:t>
      </w:r>
      <w:r w:rsidRPr="00913C78">
        <w:rPr>
          <w:rFonts w:hint="eastAsia"/>
        </w:rPr>
        <w:t>范围内的</w:t>
      </w:r>
      <w:r w:rsidRPr="00913C78">
        <w:t>16</w:t>
      </w:r>
      <w:r w:rsidRPr="00913C78">
        <w:rPr>
          <w:rFonts w:hint="eastAsia"/>
        </w:rPr>
        <w:t>个</w:t>
      </w:r>
      <w:r w:rsidRPr="00913C78">
        <w:t>1/3</w:t>
      </w:r>
      <w:r w:rsidRPr="00913C78">
        <w:rPr>
          <w:rFonts w:hint="eastAsia"/>
        </w:rPr>
        <w:t>倍频带；</w:t>
      </w:r>
    </w:p>
    <w:p w14:paraId="55A7A4AD" w14:textId="77777777" w:rsidR="00913C78" w:rsidRPr="00913C78" w:rsidRDefault="00913C78" w:rsidP="0097400A">
      <w:pPr>
        <w:ind w:leftChars="337" w:left="708" w:firstLine="420"/>
      </w:pPr>
      <w:r w:rsidRPr="00913C78">
        <w:t>Pi </w:t>
      </w:r>
      <w:r w:rsidRPr="00913C78">
        <w:rPr>
          <w:rFonts w:hint="eastAsia"/>
        </w:rPr>
        <w:t>——频带不利偏差，按式（</w:t>
      </w:r>
      <w:r w:rsidRPr="00913C78">
        <w:rPr>
          <w:rFonts w:hint="eastAsia"/>
        </w:rPr>
        <w:t>B.6.2</w:t>
      </w:r>
      <w:r w:rsidRPr="00913C78">
        <w:rPr>
          <w:rFonts w:hint="eastAsia"/>
        </w:rPr>
        <w:t>）计算：</w:t>
      </w:r>
    </w:p>
    <w:p w14:paraId="1B655AFD" w14:textId="352F561B" w:rsidR="00913C78" w:rsidRPr="00913C78" w:rsidRDefault="00913C78" w:rsidP="00A624AE">
      <w:pPr>
        <w:pStyle w:val="af8"/>
      </w:pPr>
      <w:r w:rsidRPr="00913C78">
        <w:rPr>
          <w:rFonts w:hint="eastAsia"/>
        </w:rPr>
        <w:tab/>
        <w:t xml:space="preserve">  </w:t>
      </w:r>
      <m:oMath>
        <m:sSub>
          <m:sSubPr>
            <m:ctrlPr>
              <w:rPr>
                <w:rFonts w:ascii="Cambria Math" w:hAnsi="Cambria Math"/>
                <w:i/>
                <w:noProof/>
              </w:rPr>
            </m:ctrlPr>
          </m:sSubPr>
          <m:e>
            <m:r>
              <w:rPr>
                <w:rFonts w:ascii="Cambria Math"/>
                <w:noProof/>
              </w:rPr>
              <m:t>P</m:t>
            </m:r>
          </m:e>
          <m:sub>
            <m:r>
              <w:rPr>
                <w:rFonts w:ascii="Cambria Math"/>
                <w:noProof/>
              </w:rPr>
              <m:t>i</m:t>
            </m:r>
          </m:sub>
        </m:sSub>
        <m:r>
          <w:rPr>
            <w:rFonts w:ascii="Cambria Math"/>
            <w:noProof/>
          </w:rPr>
          <m:t>=</m:t>
        </m:r>
        <m:d>
          <m:dPr>
            <m:begChr m:val="{"/>
            <m:endChr m:val=""/>
            <m:ctrlPr>
              <w:rPr>
                <w:rFonts w:ascii="Cambria Math" w:hAnsi="Cambria Math"/>
                <w:i/>
                <w:noProof/>
              </w:rPr>
            </m:ctrlPr>
          </m:dPr>
          <m:e>
            <m:m>
              <m:mPr>
                <m:mcs>
                  <m:mc>
                    <m:mcPr>
                      <m:count m:val="2"/>
                      <m:mcJc m:val="center"/>
                    </m:mcPr>
                  </m:mc>
                </m:mcs>
                <m:ctrlPr>
                  <w:rPr>
                    <w:rFonts w:ascii="Cambria Math" w:hAnsi="Cambria Math"/>
                    <w:i/>
                    <w:noProof/>
                  </w:rPr>
                </m:ctrlPr>
              </m:mPr>
              <m:mr>
                <m:e>
                  <m:m>
                    <m:mPr>
                      <m:mcs>
                        <m:mc>
                          <m:mcPr>
                            <m:count m:val="1"/>
                            <m:mcJc m:val="center"/>
                          </m:mcPr>
                        </m:mc>
                      </m:mcs>
                      <m:ctrlPr>
                        <w:rPr>
                          <w:rFonts w:ascii="Cambria Math" w:hAnsi="Cambria Math"/>
                          <w:i/>
                          <w:noProof/>
                        </w:rPr>
                      </m:ctrlPr>
                    </m:mPr>
                    <m:mr>
                      <m:e>
                        <m:sSub>
                          <m:sSubPr>
                            <m:ctrlPr>
                              <w:rPr>
                                <w:rFonts w:ascii="Cambria Math" w:hAnsi="Cambria Math"/>
                                <w:i/>
                                <w:noProof/>
                              </w:rPr>
                            </m:ctrlPr>
                          </m:sSubPr>
                          <m:e>
                            <m:r>
                              <w:rPr>
                                <w:rFonts w:ascii="Cambria Math"/>
                                <w:noProof/>
                              </w:rPr>
                              <m:t>X</m:t>
                            </m:r>
                          </m:e>
                          <m:sub>
                            <m:r>
                              <w:rPr>
                                <w:rFonts w:ascii="Cambria Math"/>
                                <w:noProof/>
                              </w:rPr>
                              <m:t>w</m:t>
                            </m:r>
                          </m:sub>
                        </m:sSub>
                        <m:r>
                          <w:rPr>
                            <w:rFonts w:ascii="Cambria Math"/>
                            <w:noProof/>
                          </w:rPr>
                          <m:t>+</m:t>
                        </m:r>
                        <m:sSub>
                          <m:sSubPr>
                            <m:ctrlPr>
                              <w:rPr>
                                <w:rFonts w:ascii="Cambria Math" w:hAnsi="Cambria Math"/>
                                <w:i/>
                                <w:noProof/>
                              </w:rPr>
                            </m:ctrlPr>
                          </m:sSubPr>
                          <m:e>
                            <m:r>
                              <w:rPr>
                                <w:rFonts w:ascii="Cambria Math"/>
                                <w:noProof/>
                              </w:rPr>
                              <m:t>K</m:t>
                            </m:r>
                          </m:e>
                          <m:sub>
                            <m:r>
                              <w:rPr>
                                <w:rFonts w:ascii="Cambria Math"/>
                                <w:noProof/>
                              </w:rPr>
                              <m:t>i</m:t>
                            </m:r>
                          </m:sub>
                        </m:sSub>
                        <m:r>
                          <w:rPr>
                            <w:rFonts w:ascii="Cambria Math"/>
                            <w:noProof/>
                          </w:rPr>
                          <m:t>-</m:t>
                        </m:r>
                        <m:sSub>
                          <m:sSubPr>
                            <m:ctrlPr>
                              <w:rPr>
                                <w:rFonts w:ascii="Cambria Math" w:hAnsi="Cambria Math"/>
                                <w:i/>
                                <w:noProof/>
                              </w:rPr>
                            </m:ctrlPr>
                          </m:sSubPr>
                          <m:e>
                            <m:r>
                              <w:rPr>
                                <w:rFonts w:ascii="Cambria Math"/>
                                <w:noProof/>
                              </w:rPr>
                              <m:t>X</m:t>
                            </m:r>
                          </m:e>
                          <m:sub>
                            <m:r>
                              <w:rPr>
                                <w:rFonts w:ascii="Cambria Math"/>
                                <w:noProof/>
                              </w:rPr>
                              <m:t>i</m:t>
                            </m:r>
                          </m:sub>
                        </m:sSub>
                      </m:e>
                    </m:mr>
                    <m:mr>
                      <m:e>
                        <m:r>
                          <w:rPr>
                            <w:rFonts w:ascii="Cambria Math"/>
                            <w:noProof/>
                          </w:rPr>
                          <m:t>0</m:t>
                        </m:r>
                      </m:e>
                    </m:mr>
                  </m:m>
                </m:e>
                <m:e>
                  <m:m>
                    <m:mPr>
                      <m:mcs>
                        <m:mc>
                          <m:mcPr>
                            <m:count m:val="2"/>
                            <m:mcJc m:val="center"/>
                          </m:mcPr>
                        </m:mc>
                      </m:mcs>
                      <m:ctrlPr>
                        <w:rPr>
                          <w:rFonts w:ascii="Cambria Math" w:hAnsi="Cambria Math"/>
                          <w:i/>
                          <w:noProof/>
                        </w:rPr>
                      </m:ctrlPr>
                    </m:mPr>
                    <m:mr>
                      <m:e>
                        <m:m>
                          <m:mPr>
                            <m:mcs>
                              <m:mc>
                                <m:mcPr>
                                  <m:count m:val="1"/>
                                  <m:mcJc m:val="center"/>
                                </m:mcPr>
                              </m:mc>
                            </m:mcs>
                            <m:ctrlPr>
                              <w:rPr>
                                <w:rFonts w:ascii="Cambria Math" w:hAnsi="Cambria Math"/>
                                <w:i/>
                                <w:noProof/>
                              </w:rPr>
                            </m:ctrlPr>
                          </m:mPr>
                          <m:mr>
                            <m:e>
                              <m:sSub>
                                <m:sSubPr>
                                  <m:ctrlPr>
                                    <w:rPr>
                                      <w:rFonts w:ascii="Cambria Math" w:hAnsi="Cambria Math"/>
                                      <w:i/>
                                      <w:noProof/>
                                    </w:rPr>
                                  </m:ctrlPr>
                                </m:sSubPr>
                                <m:e>
                                  <m:r>
                                    <w:rPr>
                                      <w:rFonts w:ascii="Cambria Math"/>
                                      <w:noProof/>
                                    </w:rPr>
                                    <m:t>X</m:t>
                                  </m:r>
                                </m:e>
                                <m:sub>
                                  <m:r>
                                    <w:rPr>
                                      <w:rFonts w:ascii="Cambria Math"/>
                                      <w:noProof/>
                                    </w:rPr>
                                    <m:t>w</m:t>
                                  </m:r>
                                </m:sub>
                              </m:sSub>
                              <m:r>
                                <w:rPr>
                                  <w:rFonts w:ascii="Cambria Math"/>
                                  <w:noProof/>
                                </w:rPr>
                                <m:t>+</m:t>
                              </m:r>
                              <m:sSub>
                                <m:sSubPr>
                                  <m:ctrlPr>
                                    <w:rPr>
                                      <w:rFonts w:ascii="Cambria Math" w:hAnsi="Cambria Math"/>
                                      <w:i/>
                                      <w:noProof/>
                                    </w:rPr>
                                  </m:ctrlPr>
                                </m:sSubPr>
                                <m:e>
                                  <m:r>
                                    <w:rPr>
                                      <w:rFonts w:ascii="Cambria Math"/>
                                      <w:noProof/>
                                    </w:rPr>
                                    <m:t>K</m:t>
                                  </m:r>
                                </m:e>
                                <m:sub>
                                  <m:r>
                                    <w:rPr>
                                      <w:rFonts w:ascii="Cambria Math"/>
                                      <w:noProof/>
                                    </w:rPr>
                                    <m:t>i</m:t>
                                  </m:r>
                                </m:sub>
                              </m:sSub>
                              <m:r>
                                <w:rPr>
                                  <w:rFonts w:ascii="Cambria Math"/>
                                  <w:noProof/>
                                </w:rPr>
                                <m:t>-</m:t>
                              </m:r>
                              <m:sSub>
                                <m:sSubPr>
                                  <m:ctrlPr>
                                    <w:rPr>
                                      <w:rFonts w:ascii="Cambria Math" w:hAnsi="Cambria Math"/>
                                      <w:i/>
                                      <w:noProof/>
                                    </w:rPr>
                                  </m:ctrlPr>
                                </m:sSubPr>
                                <m:e>
                                  <m:r>
                                    <w:rPr>
                                      <w:rFonts w:ascii="Cambria Math"/>
                                      <w:noProof/>
                                    </w:rPr>
                                    <m:t>X</m:t>
                                  </m:r>
                                </m:e>
                                <m:sub>
                                  <m:r>
                                    <w:rPr>
                                      <w:rFonts w:ascii="Cambria Math"/>
                                      <w:noProof/>
                                    </w:rPr>
                                    <m:t>i</m:t>
                                  </m:r>
                                </m:sub>
                              </m:sSub>
                              <m:r>
                                <w:rPr>
                                  <w:rFonts w:ascii="Cambria Math"/>
                                  <w:noProof/>
                                </w:rPr>
                                <m:t>＞</m:t>
                              </m:r>
                              <m:r>
                                <w:rPr>
                                  <w:rFonts w:ascii="Cambria Math"/>
                                  <w:noProof/>
                                </w:rPr>
                                <m:t>0</m:t>
                              </m:r>
                            </m:e>
                          </m:mr>
                          <m:mr>
                            <m:e>
                              <m:sSub>
                                <m:sSubPr>
                                  <m:ctrlPr>
                                    <w:rPr>
                                      <w:rFonts w:ascii="Cambria Math" w:hAnsi="Cambria Math"/>
                                      <w:i/>
                                      <w:noProof/>
                                    </w:rPr>
                                  </m:ctrlPr>
                                </m:sSubPr>
                                <m:e>
                                  <m:r>
                                    <w:rPr>
                                      <w:rFonts w:ascii="Cambria Math"/>
                                      <w:noProof/>
                                    </w:rPr>
                                    <m:t>X</m:t>
                                  </m:r>
                                </m:e>
                                <m:sub>
                                  <m:r>
                                    <w:rPr>
                                      <w:rFonts w:ascii="Cambria Math"/>
                                      <w:noProof/>
                                    </w:rPr>
                                    <m:t>w</m:t>
                                  </m:r>
                                </m:sub>
                              </m:sSub>
                              <m:r>
                                <w:rPr>
                                  <w:rFonts w:ascii="Cambria Math"/>
                                  <w:noProof/>
                                </w:rPr>
                                <m:t>+</m:t>
                              </m:r>
                              <m:sSub>
                                <m:sSubPr>
                                  <m:ctrlPr>
                                    <w:rPr>
                                      <w:rFonts w:ascii="Cambria Math" w:hAnsi="Cambria Math"/>
                                      <w:i/>
                                      <w:noProof/>
                                    </w:rPr>
                                  </m:ctrlPr>
                                </m:sSubPr>
                                <m:e>
                                  <m:r>
                                    <w:rPr>
                                      <w:rFonts w:ascii="Cambria Math"/>
                                      <w:noProof/>
                                    </w:rPr>
                                    <m:t>K</m:t>
                                  </m:r>
                                </m:e>
                                <m:sub>
                                  <m:r>
                                    <w:rPr>
                                      <w:rFonts w:ascii="Cambria Math"/>
                                      <w:noProof/>
                                    </w:rPr>
                                    <m:t>i</m:t>
                                  </m:r>
                                </m:sub>
                              </m:sSub>
                              <m:r>
                                <w:rPr>
                                  <w:rFonts w:ascii="Cambria Math"/>
                                  <w:noProof/>
                                </w:rPr>
                                <m:t>-</m:t>
                              </m:r>
                              <m:sSub>
                                <m:sSubPr>
                                  <m:ctrlPr>
                                    <w:rPr>
                                      <w:rFonts w:ascii="Cambria Math" w:hAnsi="Cambria Math"/>
                                      <w:i/>
                                      <w:noProof/>
                                    </w:rPr>
                                  </m:ctrlPr>
                                </m:sSubPr>
                                <m:e>
                                  <m:r>
                                    <w:rPr>
                                      <w:rFonts w:ascii="Cambria Math"/>
                                      <w:noProof/>
                                    </w:rPr>
                                    <m:t>X</m:t>
                                  </m:r>
                                </m:e>
                                <m:sub>
                                  <m:r>
                                    <w:rPr>
                                      <w:rFonts w:ascii="Cambria Math"/>
                                      <w:noProof/>
                                    </w:rPr>
                                    <m:t>i</m:t>
                                  </m:r>
                                </m:sub>
                              </m:sSub>
                              <m:r>
                                <w:rPr>
                                  <w:rFonts w:ascii="Cambria Math"/>
                                  <w:noProof/>
                                </w:rPr>
                                <m:t>≤</m:t>
                              </m:r>
                              <m:r>
                                <w:rPr>
                                  <w:rFonts w:ascii="Cambria Math"/>
                                  <w:noProof/>
                                </w:rPr>
                                <m:t>0</m:t>
                              </m:r>
                            </m:e>
                          </m:mr>
                        </m:m>
                      </m:e>
                      <m:e/>
                    </m:mr>
                  </m:m>
                </m:e>
              </m:mr>
            </m:m>
          </m:e>
        </m:d>
      </m:oMath>
      <w:r w:rsidRPr="00913C78">
        <w:rPr>
          <w:rFonts w:hint="eastAsia"/>
        </w:rPr>
        <w:tab/>
      </w:r>
      <w:r w:rsidRPr="00913C78">
        <w:rPr>
          <w:rFonts w:hint="eastAsia"/>
        </w:rPr>
        <w:t>（</w:t>
      </w:r>
      <w:r w:rsidRPr="00913C78">
        <w:rPr>
          <w:rFonts w:hint="eastAsia"/>
        </w:rPr>
        <w:t>B.6.2</w:t>
      </w:r>
      <w:r w:rsidRPr="00913C78">
        <w:rPr>
          <w:rFonts w:hint="eastAsia"/>
        </w:rPr>
        <w:t>）</w:t>
      </w:r>
    </w:p>
    <w:p w14:paraId="1A606318" w14:textId="77777777" w:rsidR="00913C78" w:rsidRPr="00913C78" w:rsidRDefault="00913C78" w:rsidP="0097400A">
      <w:pPr>
        <w:tabs>
          <w:tab w:val="left" w:pos="567"/>
          <w:tab w:val="left" w:pos="709"/>
        </w:tabs>
        <w:ind w:leftChars="67" w:left="1611" w:hangingChars="700" w:hanging="1470"/>
      </w:pPr>
      <w:r w:rsidRPr="00913C78">
        <w:rPr>
          <w:rFonts w:hint="eastAsia"/>
        </w:rPr>
        <w:lastRenderedPageBreak/>
        <w:t>式中，</w:t>
      </w:r>
      <w:r w:rsidRPr="00913C78">
        <w:t>Xw </w:t>
      </w:r>
      <w:r w:rsidRPr="00913C78">
        <w:rPr>
          <w:rFonts w:hint="eastAsia"/>
        </w:rPr>
        <w:t>——所要计算的单值评价量，应是《建筑隔声评价标准》（</w:t>
      </w:r>
      <w:r w:rsidRPr="00913C78">
        <w:rPr>
          <w:rFonts w:hint="eastAsia"/>
        </w:rPr>
        <w:t>GB/T 50121</w:t>
      </w:r>
      <w:r w:rsidRPr="00913C78">
        <w:rPr>
          <w:rFonts w:hint="eastAsia"/>
        </w:rPr>
        <w:t>—</w:t>
      </w:r>
      <w:r w:rsidRPr="00913C78">
        <w:rPr>
          <w:rFonts w:hint="eastAsia"/>
        </w:rPr>
        <w:t>2005</w:t>
      </w:r>
      <w:r w:rsidRPr="00913C78">
        <w:rPr>
          <w:rFonts w:hint="eastAsia"/>
        </w:rPr>
        <w:t>）中表</w:t>
      </w:r>
      <w:r w:rsidRPr="00913C78">
        <w:rPr>
          <w:rFonts w:hint="eastAsia"/>
        </w:rPr>
        <w:t>3</w:t>
      </w:r>
      <w:r w:rsidRPr="00913C78">
        <w:t>.</w:t>
      </w:r>
      <w:r w:rsidRPr="00913C78">
        <w:rPr>
          <w:rFonts w:hint="eastAsia"/>
        </w:rPr>
        <w:t>1</w:t>
      </w:r>
      <w:r w:rsidRPr="00913C78">
        <w:t>.</w:t>
      </w:r>
      <w:r w:rsidRPr="00913C78">
        <w:rPr>
          <w:rFonts w:hint="eastAsia"/>
        </w:rPr>
        <w:t>1-1</w:t>
      </w:r>
      <w:r w:rsidRPr="00913C78">
        <w:rPr>
          <w:rFonts w:hint="eastAsia"/>
        </w:rPr>
        <w:t>和表</w:t>
      </w:r>
      <w:r w:rsidRPr="00913C78">
        <w:rPr>
          <w:rFonts w:hint="eastAsia"/>
        </w:rPr>
        <w:t>3</w:t>
      </w:r>
      <w:r w:rsidRPr="00913C78">
        <w:t>.</w:t>
      </w:r>
      <w:r w:rsidRPr="00913C78">
        <w:rPr>
          <w:rFonts w:hint="eastAsia"/>
        </w:rPr>
        <w:t>1</w:t>
      </w:r>
      <w:r w:rsidRPr="00913C78">
        <w:t>.</w:t>
      </w:r>
      <w:r w:rsidRPr="00913C78">
        <w:rPr>
          <w:rFonts w:hint="eastAsia"/>
        </w:rPr>
        <w:t>1-2</w:t>
      </w:r>
      <w:r w:rsidRPr="00913C78">
        <w:rPr>
          <w:rFonts w:hint="eastAsia"/>
        </w:rPr>
        <w:t>中列出的各种测量量和相应的单值评价量；</w:t>
      </w:r>
    </w:p>
    <w:p w14:paraId="7EC6589F" w14:textId="77777777" w:rsidR="00913C78" w:rsidRPr="00913C78" w:rsidRDefault="00913C78" w:rsidP="0097400A">
      <w:pPr>
        <w:ind w:leftChars="202" w:left="424" w:firstLine="420"/>
      </w:pPr>
      <w:r w:rsidRPr="00913C78">
        <w:t>Xi </w:t>
      </w:r>
      <w:r w:rsidRPr="00913C78">
        <w:fldChar w:fldCharType="begin"/>
      </w:r>
      <w:r w:rsidRPr="00913C78">
        <w:instrText xml:space="preserve"> QUOTE </w:instrText>
      </w:r>
      <m:oMath>
        <m:r>
          <m:rPr>
            <m:sty m:val="p"/>
          </m:rPr>
          <w:rPr>
            <w:rFonts w:ascii="Cambria Math" w:hAnsi="Cambria Math"/>
          </w:rPr>
          <m:t xml:space="preserve"> </m:t>
        </m:r>
      </m:oMath>
      <w:r w:rsidRPr="00913C78">
        <w:instrText xml:space="preserve"> </w:instrText>
      </w:r>
      <w:r w:rsidRPr="00913C78">
        <w:fldChar w:fldCharType="end"/>
      </w:r>
      <w:r w:rsidRPr="00913C78">
        <w:rPr>
          <w:rFonts w:hint="eastAsia"/>
        </w:rPr>
        <w:t>——第</w:t>
      </w:r>
      <w:r w:rsidRPr="00913C78">
        <w:t>i</w:t>
      </w:r>
      <w:r w:rsidRPr="00913C78">
        <w:rPr>
          <w:rFonts w:hint="eastAsia"/>
        </w:rPr>
        <w:t>个频带的测量量，精确到</w:t>
      </w:r>
      <w:r w:rsidRPr="00913C78">
        <w:t>0.1dB</w:t>
      </w:r>
      <w:r w:rsidRPr="00913C78">
        <w:rPr>
          <w:rFonts w:hint="eastAsia"/>
        </w:rPr>
        <w:t>；</w:t>
      </w:r>
    </w:p>
    <w:p w14:paraId="1A42C1DA" w14:textId="77777777" w:rsidR="00913C78" w:rsidRPr="00913C78" w:rsidRDefault="00913C78" w:rsidP="0097400A">
      <w:pPr>
        <w:ind w:leftChars="202" w:left="424" w:firstLine="420"/>
      </w:pPr>
      <w:r w:rsidRPr="00913C78">
        <w:t>Ki </w:t>
      </w:r>
      <w:r w:rsidRPr="00913C78">
        <w:fldChar w:fldCharType="begin"/>
      </w:r>
      <w:r w:rsidRPr="00913C78">
        <w:instrText xml:space="preserve"> QUOTE </w:instrText>
      </w:r>
      <m:oMath>
        <m:r>
          <m:rPr>
            <m:sty m:val="p"/>
          </m:rPr>
          <w:rPr>
            <w:rFonts w:ascii="Cambria Math" w:hAnsi="Cambria Math"/>
          </w:rPr>
          <m:t xml:space="preserve"> </m:t>
        </m:r>
      </m:oMath>
      <w:r w:rsidRPr="00913C78">
        <w:instrText xml:space="preserve"> </w:instrText>
      </w:r>
      <w:r w:rsidRPr="00913C78">
        <w:fldChar w:fldCharType="end"/>
      </w:r>
      <w:r w:rsidRPr="00913C78">
        <w:rPr>
          <w:rFonts w:hint="eastAsia"/>
        </w:rPr>
        <w:t>——第</w:t>
      </w:r>
      <w:r w:rsidRPr="00913C78">
        <w:t>i</w:t>
      </w:r>
      <w:r w:rsidRPr="00913C78">
        <w:rPr>
          <w:rFonts w:hint="eastAsia"/>
        </w:rPr>
        <w:t>个频带的基准值，详见附表</w:t>
      </w:r>
      <w:r w:rsidRPr="00913C78">
        <w:rPr>
          <w:rFonts w:hint="eastAsia"/>
        </w:rPr>
        <w:t>B.6.3</w:t>
      </w:r>
      <w:r w:rsidRPr="00913C78">
        <w:rPr>
          <w:rFonts w:hint="eastAsia"/>
        </w:rPr>
        <w:t>。</w:t>
      </w:r>
    </w:p>
    <w:p w14:paraId="0E1385DD" w14:textId="77777777" w:rsidR="00913C78" w:rsidRPr="00913C78" w:rsidRDefault="00913C78" w:rsidP="0097400A">
      <w:pPr>
        <w:pStyle w:val="ae"/>
      </w:pPr>
      <w:r w:rsidRPr="00913C78">
        <w:rPr>
          <w:rFonts w:hint="eastAsia"/>
        </w:rPr>
        <w:t>附表</w:t>
      </w:r>
      <w:r w:rsidRPr="00913C78">
        <w:rPr>
          <w:rFonts w:hint="eastAsia"/>
        </w:rPr>
        <w:t xml:space="preserve">B.6.3 </w:t>
      </w:r>
      <w:r w:rsidRPr="00913C78">
        <w:t xml:space="preserve"> </w:t>
      </w:r>
      <w:r w:rsidRPr="00913C78">
        <w:rPr>
          <w:rFonts w:hint="eastAsia"/>
        </w:rPr>
        <w:t>1/3</w:t>
      </w:r>
      <w:r w:rsidRPr="00913C78">
        <w:rPr>
          <w:rFonts w:hint="eastAsia"/>
        </w:rPr>
        <w:t>倍频程空气声隔声基准值</w:t>
      </w:r>
      <w:r w:rsidRPr="00913C78">
        <w:t>Ki</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4" w:type="dxa"/>
        </w:tblCellMar>
        <w:tblLook w:val="04A0" w:firstRow="1" w:lastRow="0" w:firstColumn="1" w:lastColumn="0" w:noHBand="0" w:noVBand="1"/>
      </w:tblPr>
      <w:tblGrid>
        <w:gridCol w:w="1176"/>
        <w:gridCol w:w="774"/>
        <w:gridCol w:w="774"/>
        <w:gridCol w:w="774"/>
        <w:gridCol w:w="775"/>
        <w:gridCol w:w="774"/>
        <w:gridCol w:w="774"/>
        <w:gridCol w:w="774"/>
        <w:gridCol w:w="775"/>
      </w:tblGrid>
      <w:tr w:rsidR="0097400A" w:rsidRPr="0097400A" w14:paraId="20DF8FC1" w14:textId="77777777" w:rsidTr="00A2511C">
        <w:trPr>
          <w:jc w:val="center"/>
        </w:trPr>
        <w:tc>
          <w:tcPr>
            <w:tcW w:w="1384" w:type="dxa"/>
            <w:shd w:val="clear" w:color="auto" w:fill="auto"/>
          </w:tcPr>
          <w:p w14:paraId="1A15B607" w14:textId="77777777" w:rsidR="0097400A" w:rsidRPr="0097400A" w:rsidRDefault="0097400A" w:rsidP="0097400A">
            <w:pPr>
              <w:pStyle w:val="ae"/>
              <w:rPr>
                <w:b w:val="0"/>
                <w:bCs/>
                <w:noProof/>
              </w:rPr>
            </w:pPr>
            <w:r w:rsidRPr="0097400A">
              <w:rPr>
                <w:rFonts w:hint="eastAsia"/>
                <w:b w:val="0"/>
                <w:bCs/>
                <w:noProof/>
              </w:rPr>
              <w:t>频率</w:t>
            </w:r>
            <w:r w:rsidRPr="0097400A">
              <w:rPr>
                <w:rFonts w:hint="eastAsia"/>
                <w:b w:val="0"/>
                <w:bCs/>
                <w:noProof/>
              </w:rPr>
              <w:t>/</w:t>
            </w:r>
            <w:r w:rsidRPr="0097400A">
              <w:rPr>
                <w:b w:val="0"/>
                <w:bCs/>
                <w:noProof/>
              </w:rPr>
              <w:t>Hz</w:t>
            </w:r>
          </w:p>
        </w:tc>
        <w:tc>
          <w:tcPr>
            <w:tcW w:w="892" w:type="dxa"/>
            <w:shd w:val="clear" w:color="auto" w:fill="auto"/>
          </w:tcPr>
          <w:p w14:paraId="4DF4D8EC" w14:textId="77777777" w:rsidR="0097400A" w:rsidRPr="0097400A" w:rsidRDefault="0097400A" w:rsidP="0097400A">
            <w:pPr>
              <w:pStyle w:val="ae"/>
              <w:rPr>
                <w:b w:val="0"/>
                <w:bCs/>
                <w:noProof/>
              </w:rPr>
            </w:pPr>
            <w:r w:rsidRPr="0097400A">
              <w:rPr>
                <w:b w:val="0"/>
                <w:bCs/>
                <w:noProof/>
              </w:rPr>
              <w:t>100</w:t>
            </w:r>
          </w:p>
        </w:tc>
        <w:tc>
          <w:tcPr>
            <w:tcW w:w="892" w:type="dxa"/>
            <w:shd w:val="clear" w:color="auto" w:fill="auto"/>
          </w:tcPr>
          <w:p w14:paraId="4532C048" w14:textId="77777777" w:rsidR="0097400A" w:rsidRPr="0097400A" w:rsidRDefault="0097400A" w:rsidP="0097400A">
            <w:pPr>
              <w:pStyle w:val="ae"/>
              <w:rPr>
                <w:b w:val="0"/>
                <w:bCs/>
                <w:noProof/>
              </w:rPr>
            </w:pPr>
            <w:r w:rsidRPr="0097400A">
              <w:rPr>
                <w:b w:val="0"/>
                <w:bCs/>
                <w:noProof/>
              </w:rPr>
              <w:t>125</w:t>
            </w:r>
          </w:p>
        </w:tc>
        <w:tc>
          <w:tcPr>
            <w:tcW w:w="892" w:type="dxa"/>
            <w:shd w:val="clear" w:color="auto" w:fill="auto"/>
          </w:tcPr>
          <w:p w14:paraId="47076F3C" w14:textId="77777777" w:rsidR="0097400A" w:rsidRPr="0097400A" w:rsidRDefault="0097400A" w:rsidP="0097400A">
            <w:pPr>
              <w:pStyle w:val="ae"/>
              <w:rPr>
                <w:b w:val="0"/>
                <w:bCs/>
                <w:noProof/>
              </w:rPr>
            </w:pPr>
            <w:r w:rsidRPr="0097400A">
              <w:rPr>
                <w:b w:val="0"/>
                <w:bCs/>
                <w:noProof/>
              </w:rPr>
              <w:t>160</w:t>
            </w:r>
          </w:p>
        </w:tc>
        <w:tc>
          <w:tcPr>
            <w:tcW w:w="893" w:type="dxa"/>
            <w:shd w:val="clear" w:color="auto" w:fill="auto"/>
          </w:tcPr>
          <w:p w14:paraId="03432BEA" w14:textId="77777777" w:rsidR="0097400A" w:rsidRPr="0097400A" w:rsidRDefault="0097400A" w:rsidP="0097400A">
            <w:pPr>
              <w:pStyle w:val="ae"/>
              <w:rPr>
                <w:b w:val="0"/>
                <w:bCs/>
                <w:noProof/>
              </w:rPr>
            </w:pPr>
            <w:r w:rsidRPr="0097400A">
              <w:rPr>
                <w:b w:val="0"/>
                <w:bCs/>
                <w:noProof/>
              </w:rPr>
              <w:t>200</w:t>
            </w:r>
          </w:p>
        </w:tc>
        <w:tc>
          <w:tcPr>
            <w:tcW w:w="892" w:type="dxa"/>
            <w:shd w:val="clear" w:color="auto" w:fill="auto"/>
          </w:tcPr>
          <w:p w14:paraId="42F85EB0" w14:textId="77777777" w:rsidR="0097400A" w:rsidRPr="0097400A" w:rsidRDefault="0097400A" w:rsidP="0097400A">
            <w:pPr>
              <w:pStyle w:val="ae"/>
              <w:rPr>
                <w:b w:val="0"/>
                <w:bCs/>
                <w:noProof/>
              </w:rPr>
            </w:pPr>
            <w:r w:rsidRPr="0097400A">
              <w:rPr>
                <w:b w:val="0"/>
                <w:bCs/>
                <w:noProof/>
              </w:rPr>
              <w:t>250</w:t>
            </w:r>
          </w:p>
        </w:tc>
        <w:tc>
          <w:tcPr>
            <w:tcW w:w="892" w:type="dxa"/>
            <w:shd w:val="clear" w:color="auto" w:fill="auto"/>
          </w:tcPr>
          <w:p w14:paraId="4D5565FF" w14:textId="77777777" w:rsidR="0097400A" w:rsidRPr="0097400A" w:rsidRDefault="0097400A" w:rsidP="0097400A">
            <w:pPr>
              <w:pStyle w:val="ae"/>
              <w:rPr>
                <w:b w:val="0"/>
                <w:bCs/>
                <w:noProof/>
              </w:rPr>
            </w:pPr>
            <w:r w:rsidRPr="0097400A">
              <w:rPr>
                <w:b w:val="0"/>
                <w:bCs/>
                <w:noProof/>
              </w:rPr>
              <w:t>315</w:t>
            </w:r>
          </w:p>
        </w:tc>
        <w:tc>
          <w:tcPr>
            <w:tcW w:w="892" w:type="dxa"/>
            <w:shd w:val="clear" w:color="auto" w:fill="auto"/>
          </w:tcPr>
          <w:p w14:paraId="6036D33B" w14:textId="77777777" w:rsidR="0097400A" w:rsidRPr="0097400A" w:rsidRDefault="0097400A" w:rsidP="0097400A">
            <w:pPr>
              <w:pStyle w:val="ae"/>
              <w:rPr>
                <w:b w:val="0"/>
                <w:bCs/>
                <w:noProof/>
              </w:rPr>
            </w:pPr>
            <w:r w:rsidRPr="0097400A">
              <w:rPr>
                <w:b w:val="0"/>
                <w:bCs/>
                <w:noProof/>
              </w:rPr>
              <w:t>400</w:t>
            </w:r>
          </w:p>
        </w:tc>
        <w:tc>
          <w:tcPr>
            <w:tcW w:w="893" w:type="dxa"/>
            <w:shd w:val="clear" w:color="auto" w:fill="auto"/>
          </w:tcPr>
          <w:p w14:paraId="32527858" w14:textId="77777777" w:rsidR="0097400A" w:rsidRPr="0097400A" w:rsidRDefault="0097400A" w:rsidP="0097400A">
            <w:pPr>
              <w:pStyle w:val="ae"/>
              <w:rPr>
                <w:b w:val="0"/>
                <w:bCs/>
                <w:noProof/>
              </w:rPr>
            </w:pPr>
            <w:r w:rsidRPr="0097400A">
              <w:rPr>
                <w:b w:val="0"/>
                <w:bCs/>
                <w:noProof/>
              </w:rPr>
              <w:t>500</w:t>
            </w:r>
          </w:p>
        </w:tc>
      </w:tr>
      <w:tr w:rsidR="0097400A" w:rsidRPr="0097400A" w14:paraId="438B1B00" w14:textId="77777777" w:rsidTr="00A2511C">
        <w:trPr>
          <w:jc w:val="center"/>
        </w:trPr>
        <w:tc>
          <w:tcPr>
            <w:tcW w:w="1384" w:type="dxa"/>
            <w:shd w:val="clear" w:color="auto" w:fill="auto"/>
          </w:tcPr>
          <w:p w14:paraId="3B9A930A" w14:textId="77777777" w:rsidR="0097400A" w:rsidRPr="0097400A" w:rsidRDefault="0097400A" w:rsidP="0097400A">
            <w:pPr>
              <w:pStyle w:val="ae"/>
              <w:rPr>
                <w:b w:val="0"/>
                <w:bCs/>
                <w:noProof/>
              </w:rPr>
            </w:pPr>
            <w:r w:rsidRPr="0097400A">
              <w:rPr>
                <w:rFonts w:hint="eastAsia"/>
                <w:b w:val="0"/>
                <w:bCs/>
                <w:noProof/>
              </w:rPr>
              <w:t>基准值</w:t>
            </w:r>
            <w:r w:rsidRPr="0097400A">
              <w:rPr>
                <w:rFonts w:hint="eastAsia"/>
                <w:b w:val="0"/>
                <w:bCs/>
                <w:noProof/>
              </w:rPr>
              <w:t>/</w:t>
            </w:r>
            <w:r w:rsidRPr="0097400A">
              <w:rPr>
                <w:b w:val="0"/>
                <w:bCs/>
                <w:noProof/>
              </w:rPr>
              <w:t>dB</w:t>
            </w:r>
          </w:p>
        </w:tc>
        <w:tc>
          <w:tcPr>
            <w:tcW w:w="892" w:type="dxa"/>
            <w:shd w:val="clear" w:color="auto" w:fill="auto"/>
            <w:vAlign w:val="center"/>
          </w:tcPr>
          <w:p w14:paraId="3407BBC1" w14:textId="77777777" w:rsidR="0097400A" w:rsidRPr="0097400A" w:rsidRDefault="0097400A" w:rsidP="0097400A">
            <w:pPr>
              <w:pStyle w:val="ae"/>
              <w:rPr>
                <w:b w:val="0"/>
                <w:bCs/>
              </w:rPr>
            </w:pPr>
            <w:r w:rsidRPr="0097400A">
              <w:rPr>
                <w:rFonts w:ascii="Symbol" w:hAnsi="Symbol"/>
                <w:b w:val="0"/>
                <w:bCs/>
                <w:kern w:val="21"/>
                <w:position w:val="2"/>
              </w:rPr>
              <w:t></w:t>
            </w:r>
            <w:r w:rsidRPr="0097400A">
              <w:rPr>
                <w:b w:val="0"/>
                <w:bCs/>
              </w:rPr>
              <w:t>19</w:t>
            </w:r>
          </w:p>
        </w:tc>
        <w:tc>
          <w:tcPr>
            <w:tcW w:w="892" w:type="dxa"/>
            <w:shd w:val="clear" w:color="auto" w:fill="auto"/>
            <w:vAlign w:val="center"/>
          </w:tcPr>
          <w:p w14:paraId="27BA9BC7"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16</w:t>
            </w:r>
          </w:p>
        </w:tc>
        <w:tc>
          <w:tcPr>
            <w:tcW w:w="892" w:type="dxa"/>
            <w:shd w:val="clear" w:color="auto" w:fill="auto"/>
            <w:vAlign w:val="center"/>
          </w:tcPr>
          <w:p w14:paraId="3CF6F1C4"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13</w:t>
            </w:r>
          </w:p>
        </w:tc>
        <w:tc>
          <w:tcPr>
            <w:tcW w:w="893" w:type="dxa"/>
            <w:shd w:val="clear" w:color="auto" w:fill="auto"/>
            <w:vAlign w:val="center"/>
          </w:tcPr>
          <w:p w14:paraId="68A5C930"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10</w:t>
            </w:r>
          </w:p>
        </w:tc>
        <w:tc>
          <w:tcPr>
            <w:tcW w:w="892" w:type="dxa"/>
            <w:shd w:val="clear" w:color="auto" w:fill="auto"/>
            <w:vAlign w:val="center"/>
          </w:tcPr>
          <w:p w14:paraId="3B24203D"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7</w:t>
            </w:r>
          </w:p>
        </w:tc>
        <w:tc>
          <w:tcPr>
            <w:tcW w:w="892" w:type="dxa"/>
            <w:shd w:val="clear" w:color="auto" w:fill="auto"/>
            <w:vAlign w:val="center"/>
          </w:tcPr>
          <w:p w14:paraId="73F589EA"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4</w:t>
            </w:r>
          </w:p>
        </w:tc>
        <w:tc>
          <w:tcPr>
            <w:tcW w:w="892" w:type="dxa"/>
            <w:shd w:val="clear" w:color="auto" w:fill="auto"/>
            <w:vAlign w:val="center"/>
          </w:tcPr>
          <w:p w14:paraId="2DB8DA55"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w:t>
            </w:r>
          </w:p>
        </w:tc>
        <w:tc>
          <w:tcPr>
            <w:tcW w:w="893" w:type="dxa"/>
            <w:shd w:val="clear" w:color="auto" w:fill="auto"/>
            <w:vAlign w:val="center"/>
          </w:tcPr>
          <w:p w14:paraId="279CC054" w14:textId="77777777" w:rsidR="0097400A" w:rsidRPr="0097400A" w:rsidRDefault="0097400A" w:rsidP="0097400A">
            <w:pPr>
              <w:pStyle w:val="ae"/>
              <w:rPr>
                <w:b w:val="0"/>
                <w:bCs/>
              </w:rPr>
            </w:pPr>
            <w:r w:rsidRPr="0097400A">
              <w:rPr>
                <w:b w:val="0"/>
                <w:bCs/>
              </w:rPr>
              <w:t>0</w:t>
            </w:r>
          </w:p>
        </w:tc>
      </w:tr>
      <w:tr w:rsidR="0097400A" w:rsidRPr="0097400A" w14:paraId="3CC4D44D" w14:textId="77777777" w:rsidTr="00A2511C">
        <w:trPr>
          <w:jc w:val="center"/>
        </w:trPr>
        <w:tc>
          <w:tcPr>
            <w:tcW w:w="1384" w:type="dxa"/>
            <w:shd w:val="clear" w:color="auto" w:fill="auto"/>
          </w:tcPr>
          <w:p w14:paraId="4A97A997" w14:textId="77777777" w:rsidR="0097400A" w:rsidRPr="0097400A" w:rsidRDefault="0097400A" w:rsidP="0097400A">
            <w:pPr>
              <w:pStyle w:val="ae"/>
              <w:rPr>
                <w:b w:val="0"/>
                <w:bCs/>
                <w:noProof/>
              </w:rPr>
            </w:pPr>
            <w:r w:rsidRPr="0097400A">
              <w:rPr>
                <w:rFonts w:hint="eastAsia"/>
                <w:b w:val="0"/>
                <w:bCs/>
                <w:noProof/>
              </w:rPr>
              <w:t>频率</w:t>
            </w:r>
            <w:r w:rsidRPr="0097400A">
              <w:rPr>
                <w:rFonts w:hint="eastAsia"/>
                <w:b w:val="0"/>
                <w:bCs/>
                <w:noProof/>
              </w:rPr>
              <w:t>/</w:t>
            </w:r>
            <w:r w:rsidRPr="0097400A">
              <w:rPr>
                <w:b w:val="0"/>
                <w:bCs/>
                <w:noProof/>
              </w:rPr>
              <w:t>Hz</w:t>
            </w:r>
          </w:p>
        </w:tc>
        <w:tc>
          <w:tcPr>
            <w:tcW w:w="892" w:type="dxa"/>
            <w:shd w:val="clear" w:color="auto" w:fill="auto"/>
          </w:tcPr>
          <w:p w14:paraId="3751D07C" w14:textId="77777777" w:rsidR="0097400A" w:rsidRPr="0097400A" w:rsidRDefault="0097400A" w:rsidP="0097400A">
            <w:pPr>
              <w:pStyle w:val="ae"/>
              <w:rPr>
                <w:b w:val="0"/>
                <w:bCs/>
                <w:noProof/>
              </w:rPr>
            </w:pPr>
            <w:r w:rsidRPr="0097400A">
              <w:rPr>
                <w:b w:val="0"/>
                <w:bCs/>
                <w:noProof/>
              </w:rPr>
              <w:t>630</w:t>
            </w:r>
          </w:p>
        </w:tc>
        <w:tc>
          <w:tcPr>
            <w:tcW w:w="892" w:type="dxa"/>
            <w:shd w:val="clear" w:color="auto" w:fill="auto"/>
          </w:tcPr>
          <w:p w14:paraId="58B7FB96" w14:textId="77777777" w:rsidR="0097400A" w:rsidRPr="0097400A" w:rsidRDefault="0097400A" w:rsidP="0097400A">
            <w:pPr>
              <w:pStyle w:val="ae"/>
              <w:rPr>
                <w:b w:val="0"/>
                <w:bCs/>
                <w:noProof/>
              </w:rPr>
            </w:pPr>
            <w:r w:rsidRPr="0097400A">
              <w:rPr>
                <w:b w:val="0"/>
                <w:bCs/>
                <w:noProof/>
              </w:rPr>
              <w:t>800</w:t>
            </w:r>
          </w:p>
        </w:tc>
        <w:tc>
          <w:tcPr>
            <w:tcW w:w="892" w:type="dxa"/>
            <w:shd w:val="clear" w:color="auto" w:fill="auto"/>
          </w:tcPr>
          <w:p w14:paraId="253BA1D4" w14:textId="77777777" w:rsidR="0097400A" w:rsidRPr="0097400A" w:rsidRDefault="0097400A" w:rsidP="0097400A">
            <w:pPr>
              <w:pStyle w:val="ae"/>
              <w:rPr>
                <w:b w:val="0"/>
                <w:bCs/>
                <w:noProof/>
              </w:rPr>
            </w:pPr>
            <w:r w:rsidRPr="0097400A">
              <w:rPr>
                <w:b w:val="0"/>
                <w:bCs/>
                <w:noProof/>
              </w:rPr>
              <w:t>1000</w:t>
            </w:r>
          </w:p>
        </w:tc>
        <w:tc>
          <w:tcPr>
            <w:tcW w:w="893" w:type="dxa"/>
            <w:shd w:val="clear" w:color="auto" w:fill="auto"/>
          </w:tcPr>
          <w:p w14:paraId="7BBC10E9" w14:textId="77777777" w:rsidR="0097400A" w:rsidRPr="0097400A" w:rsidRDefault="0097400A" w:rsidP="0097400A">
            <w:pPr>
              <w:pStyle w:val="ae"/>
              <w:rPr>
                <w:b w:val="0"/>
                <w:bCs/>
                <w:noProof/>
              </w:rPr>
            </w:pPr>
            <w:r w:rsidRPr="0097400A">
              <w:rPr>
                <w:b w:val="0"/>
                <w:bCs/>
                <w:noProof/>
              </w:rPr>
              <w:t>1250</w:t>
            </w:r>
          </w:p>
        </w:tc>
        <w:tc>
          <w:tcPr>
            <w:tcW w:w="892" w:type="dxa"/>
            <w:shd w:val="clear" w:color="auto" w:fill="auto"/>
          </w:tcPr>
          <w:p w14:paraId="78E1C51C" w14:textId="77777777" w:rsidR="0097400A" w:rsidRPr="0097400A" w:rsidRDefault="0097400A" w:rsidP="0097400A">
            <w:pPr>
              <w:pStyle w:val="ae"/>
              <w:rPr>
                <w:b w:val="0"/>
                <w:bCs/>
                <w:noProof/>
              </w:rPr>
            </w:pPr>
            <w:r w:rsidRPr="0097400A">
              <w:rPr>
                <w:b w:val="0"/>
                <w:bCs/>
                <w:noProof/>
              </w:rPr>
              <w:t>1600</w:t>
            </w:r>
          </w:p>
        </w:tc>
        <w:tc>
          <w:tcPr>
            <w:tcW w:w="892" w:type="dxa"/>
            <w:shd w:val="clear" w:color="auto" w:fill="auto"/>
          </w:tcPr>
          <w:p w14:paraId="0853B6CA" w14:textId="77777777" w:rsidR="0097400A" w:rsidRPr="0097400A" w:rsidRDefault="0097400A" w:rsidP="0097400A">
            <w:pPr>
              <w:pStyle w:val="ae"/>
              <w:rPr>
                <w:b w:val="0"/>
                <w:bCs/>
                <w:noProof/>
              </w:rPr>
            </w:pPr>
            <w:r w:rsidRPr="0097400A">
              <w:rPr>
                <w:b w:val="0"/>
                <w:bCs/>
                <w:noProof/>
              </w:rPr>
              <w:t>2000</w:t>
            </w:r>
          </w:p>
        </w:tc>
        <w:tc>
          <w:tcPr>
            <w:tcW w:w="892" w:type="dxa"/>
            <w:shd w:val="clear" w:color="auto" w:fill="auto"/>
          </w:tcPr>
          <w:p w14:paraId="0E98215A" w14:textId="77777777" w:rsidR="0097400A" w:rsidRPr="0097400A" w:rsidRDefault="0097400A" w:rsidP="0097400A">
            <w:pPr>
              <w:pStyle w:val="ae"/>
              <w:rPr>
                <w:b w:val="0"/>
                <w:bCs/>
                <w:noProof/>
              </w:rPr>
            </w:pPr>
            <w:r w:rsidRPr="0097400A">
              <w:rPr>
                <w:b w:val="0"/>
                <w:bCs/>
                <w:noProof/>
              </w:rPr>
              <w:t>2500</w:t>
            </w:r>
          </w:p>
        </w:tc>
        <w:tc>
          <w:tcPr>
            <w:tcW w:w="893" w:type="dxa"/>
            <w:shd w:val="clear" w:color="auto" w:fill="auto"/>
          </w:tcPr>
          <w:p w14:paraId="7D44357C" w14:textId="77777777" w:rsidR="0097400A" w:rsidRPr="0097400A" w:rsidRDefault="0097400A" w:rsidP="0097400A">
            <w:pPr>
              <w:pStyle w:val="ae"/>
              <w:rPr>
                <w:b w:val="0"/>
                <w:bCs/>
                <w:noProof/>
              </w:rPr>
            </w:pPr>
            <w:r w:rsidRPr="0097400A">
              <w:rPr>
                <w:b w:val="0"/>
                <w:bCs/>
                <w:noProof/>
              </w:rPr>
              <w:t>3150</w:t>
            </w:r>
          </w:p>
        </w:tc>
      </w:tr>
      <w:tr w:rsidR="0097400A" w:rsidRPr="0097400A" w14:paraId="502F3337" w14:textId="77777777" w:rsidTr="00A2511C">
        <w:trPr>
          <w:jc w:val="center"/>
        </w:trPr>
        <w:tc>
          <w:tcPr>
            <w:tcW w:w="1384" w:type="dxa"/>
            <w:shd w:val="clear" w:color="auto" w:fill="auto"/>
          </w:tcPr>
          <w:p w14:paraId="66116A5B" w14:textId="77777777" w:rsidR="0097400A" w:rsidRPr="0097400A" w:rsidRDefault="0097400A" w:rsidP="0097400A">
            <w:pPr>
              <w:pStyle w:val="ae"/>
              <w:rPr>
                <w:b w:val="0"/>
                <w:bCs/>
                <w:noProof/>
              </w:rPr>
            </w:pPr>
            <w:r w:rsidRPr="0097400A">
              <w:rPr>
                <w:rFonts w:hint="eastAsia"/>
                <w:b w:val="0"/>
                <w:bCs/>
                <w:noProof/>
              </w:rPr>
              <w:t>基准值</w:t>
            </w:r>
            <w:r w:rsidRPr="0097400A">
              <w:rPr>
                <w:rFonts w:hint="eastAsia"/>
                <w:b w:val="0"/>
                <w:bCs/>
                <w:noProof/>
              </w:rPr>
              <w:t>/</w:t>
            </w:r>
            <w:r w:rsidRPr="0097400A">
              <w:rPr>
                <w:b w:val="0"/>
                <w:bCs/>
                <w:noProof/>
              </w:rPr>
              <w:t>dB</w:t>
            </w:r>
          </w:p>
        </w:tc>
        <w:tc>
          <w:tcPr>
            <w:tcW w:w="892" w:type="dxa"/>
            <w:shd w:val="clear" w:color="auto" w:fill="auto"/>
            <w:vAlign w:val="center"/>
          </w:tcPr>
          <w:p w14:paraId="452A23D6" w14:textId="77777777" w:rsidR="0097400A" w:rsidRPr="0097400A" w:rsidRDefault="0097400A" w:rsidP="0097400A">
            <w:pPr>
              <w:pStyle w:val="ae"/>
              <w:rPr>
                <w:b w:val="0"/>
                <w:bCs/>
              </w:rPr>
            </w:pPr>
            <w:r w:rsidRPr="0097400A">
              <w:rPr>
                <w:b w:val="0"/>
                <w:bCs/>
              </w:rPr>
              <w:t>1</w:t>
            </w:r>
          </w:p>
        </w:tc>
        <w:tc>
          <w:tcPr>
            <w:tcW w:w="892" w:type="dxa"/>
            <w:shd w:val="clear" w:color="auto" w:fill="auto"/>
            <w:vAlign w:val="center"/>
          </w:tcPr>
          <w:p w14:paraId="7CADAF77" w14:textId="77777777" w:rsidR="0097400A" w:rsidRPr="0097400A" w:rsidRDefault="0097400A" w:rsidP="0097400A">
            <w:pPr>
              <w:pStyle w:val="ae"/>
              <w:rPr>
                <w:b w:val="0"/>
                <w:bCs/>
              </w:rPr>
            </w:pPr>
            <w:r w:rsidRPr="0097400A">
              <w:rPr>
                <w:b w:val="0"/>
                <w:bCs/>
              </w:rPr>
              <w:t>2</w:t>
            </w:r>
          </w:p>
        </w:tc>
        <w:tc>
          <w:tcPr>
            <w:tcW w:w="892" w:type="dxa"/>
            <w:shd w:val="clear" w:color="auto" w:fill="auto"/>
            <w:vAlign w:val="center"/>
          </w:tcPr>
          <w:p w14:paraId="2E31698F" w14:textId="77777777" w:rsidR="0097400A" w:rsidRPr="0097400A" w:rsidRDefault="0097400A" w:rsidP="0097400A">
            <w:pPr>
              <w:pStyle w:val="ae"/>
              <w:rPr>
                <w:b w:val="0"/>
                <w:bCs/>
              </w:rPr>
            </w:pPr>
            <w:r w:rsidRPr="0097400A">
              <w:rPr>
                <w:b w:val="0"/>
                <w:bCs/>
              </w:rPr>
              <w:t>3</w:t>
            </w:r>
          </w:p>
        </w:tc>
        <w:tc>
          <w:tcPr>
            <w:tcW w:w="893" w:type="dxa"/>
            <w:shd w:val="clear" w:color="auto" w:fill="auto"/>
            <w:vAlign w:val="center"/>
          </w:tcPr>
          <w:p w14:paraId="38AB5A35" w14:textId="77777777" w:rsidR="0097400A" w:rsidRPr="0097400A" w:rsidRDefault="0097400A" w:rsidP="0097400A">
            <w:pPr>
              <w:pStyle w:val="ae"/>
              <w:rPr>
                <w:b w:val="0"/>
                <w:bCs/>
              </w:rPr>
            </w:pPr>
            <w:r w:rsidRPr="0097400A">
              <w:rPr>
                <w:b w:val="0"/>
                <w:bCs/>
              </w:rPr>
              <w:t>4</w:t>
            </w:r>
          </w:p>
        </w:tc>
        <w:tc>
          <w:tcPr>
            <w:tcW w:w="892" w:type="dxa"/>
            <w:shd w:val="clear" w:color="auto" w:fill="auto"/>
            <w:vAlign w:val="center"/>
          </w:tcPr>
          <w:p w14:paraId="20B07321" w14:textId="77777777" w:rsidR="0097400A" w:rsidRPr="0097400A" w:rsidRDefault="0097400A" w:rsidP="0097400A">
            <w:pPr>
              <w:pStyle w:val="ae"/>
              <w:rPr>
                <w:b w:val="0"/>
                <w:bCs/>
              </w:rPr>
            </w:pPr>
            <w:r w:rsidRPr="0097400A">
              <w:rPr>
                <w:b w:val="0"/>
                <w:bCs/>
              </w:rPr>
              <w:t>4</w:t>
            </w:r>
          </w:p>
        </w:tc>
        <w:tc>
          <w:tcPr>
            <w:tcW w:w="892" w:type="dxa"/>
            <w:shd w:val="clear" w:color="auto" w:fill="auto"/>
            <w:vAlign w:val="center"/>
          </w:tcPr>
          <w:p w14:paraId="2C3D8498" w14:textId="77777777" w:rsidR="0097400A" w:rsidRPr="0097400A" w:rsidRDefault="0097400A" w:rsidP="0097400A">
            <w:pPr>
              <w:pStyle w:val="ae"/>
              <w:rPr>
                <w:b w:val="0"/>
                <w:bCs/>
              </w:rPr>
            </w:pPr>
            <w:r w:rsidRPr="0097400A">
              <w:rPr>
                <w:b w:val="0"/>
                <w:bCs/>
              </w:rPr>
              <w:t>4</w:t>
            </w:r>
          </w:p>
        </w:tc>
        <w:tc>
          <w:tcPr>
            <w:tcW w:w="892" w:type="dxa"/>
            <w:shd w:val="clear" w:color="auto" w:fill="auto"/>
            <w:vAlign w:val="center"/>
          </w:tcPr>
          <w:p w14:paraId="4F147942" w14:textId="77777777" w:rsidR="0097400A" w:rsidRPr="0097400A" w:rsidRDefault="0097400A" w:rsidP="0097400A">
            <w:pPr>
              <w:pStyle w:val="ae"/>
              <w:rPr>
                <w:b w:val="0"/>
                <w:bCs/>
              </w:rPr>
            </w:pPr>
            <w:r w:rsidRPr="0097400A">
              <w:rPr>
                <w:b w:val="0"/>
                <w:bCs/>
              </w:rPr>
              <w:t>4</w:t>
            </w:r>
          </w:p>
        </w:tc>
        <w:tc>
          <w:tcPr>
            <w:tcW w:w="893" w:type="dxa"/>
            <w:shd w:val="clear" w:color="auto" w:fill="auto"/>
            <w:vAlign w:val="center"/>
          </w:tcPr>
          <w:p w14:paraId="5F7CC219" w14:textId="77777777" w:rsidR="0097400A" w:rsidRPr="0097400A" w:rsidRDefault="0097400A" w:rsidP="0097400A">
            <w:pPr>
              <w:pStyle w:val="ae"/>
              <w:rPr>
                <w:b w:val="0"/>
                <w:bCs/>
              </w:rPr>
            </w:pPr>
            <w:r w:rsidRPr="0097400A">
              <w:rPr>
                <w:b w:val="0"/>
                <w:bCs/>
              </w:rPr>
              <w:t>4</w:t>
            </w:r>
          </w:p>
        </w:tc>
      </w:tr>
    </w:tbl>
    <w:p w14:paraId="55061037" w14:textId="77777777" w:rsidR="00913C78" w:rsidRPr="00913C78" w:rsidRDefault="00913C78" w:rsidP="00913C78">
      <w:pPr>
        <w:ind w:firstLine="420"/>
      </w:pPr>
    </w:p>
    <w:p w14:paraId="64A8E293" w14:textId="77777777" w:rsidR="00913C78" w:rsidRPr="00913C78" w:rsidRDefault="00913C78" w:rsidP="00913C78">
      <w:pPr>
        <w:ind w:firstLine="420"/>
      </w:pPr>
      <w:r w:rsidRPr="00913C78">
        <w:rPr>
          <w:rFonts w:hint="eastAsia"/>
        </w:rPr>
        <w:t>此外，尚需考虑频谱修正量的问题。频谱修正量</w:t>
      </w:r>
      <w:r w:rsidRPr="00913C78">
        <w:t>Cj</w:t>
      </w:r>
      <w:r w:rsidRPr="00913C78">
        <w:rPr>
          <w:rFonts w:hint="eastAsia"/>
        </w:rPr>
        <w:t>为</w:t>
      </w:r>
    </w:p>
    <w:p w14:paraId="3E08FE04" w14:textId="74072C1D" w:rsidR="00913C78" w:rsidRPr="00913C78" w:rsidRDefault="00913C78" w:rsidP="00A624AE">
      <w:pPr>
        <w:pStyle w:val="af8"/>
      </w:pPr>
      <w:r w:rsidRPr="00913C78">
        <w:rPr>
          <w:rFonts w:hint="eastAsia"/>
        </w:rPr>
        <w:tab/>
      </w:r>
      <m:oMath>
        <m:sSub>
          <m:sSubPr>
            <m:ctrlPr>
              <w:rPr>
                <w:rFonts w:ascii="Cambria Math" w:hAnsi="Cambria Math"/>
                <w:i/>
                <w:noProof/>
              </w:rPr>
            </m:ctrlPr>
          </m:sSubPr>
          <m:e>
            <m:r>
              <w:rPr>
                <w:rFonts w:ascii="Cambria Math"/>
                <w:noProof/>
              </w:rPr>
              <m:t>C</m:t>
            </m:r>
          </m:e>
          <m:sub>
            <m:r>
              <w:rPr>
                <w:rFonts w:ascii="Cambria Math"/>
                <w:noProof/>
              </w:rPr>
              <m:t>j</m:t>
            </m:r>
          </m:sub>
        </m:sSub>
        <m:r>
          <w:rPr>
            <w:rFonts w:ascii="Cambria Math"/>
            <w:noProof/>
          </w:rPr>
          <m:t>=</m:t>
        </m:r>
        <m:r>
          <w:rPr>
            <w:rFonts w:ascii="Cambria Math"/>
            <w:noProof/>
          </w:rPr>
          <m:t>-</m:t>
        </m:r>
        <m:r>
          <w:rPr>
            <w:rFonts w:ascii="Cambria Math"/>
            <w:noProof/>
          </w:rPr>
          <m:t>10</m:t>
        </m:r>
        <m:func>
          <m:funcPr>
            <m:ctrlPr>
              <w:rPr>
                <w:rFonts w:ascii="Cambria Math" w:hAnsi="Cambria Math"/>
                <w:i/>
                <w:noProof/>
              </w:rPr>
            </m:ctrlPr>
          </m:funcPr>
          <m:fName>
            <m:r>
              <w:rPr>
                <w:rFonts w:ascii="Cambria Math"/>
                <w:noProof/>
              </w:rPr>
              <m:t>lg</m:t>
            </m:r>
          </m:fName>
          <m:e>
            <m:nary>
              <m:naryPr>
                <m:chr m:val="∑"/>
                <m:subHide m:val="1"/>
                <m:supHide m:val="1"/>
                <m:ctrlPr>
                  <w:rPr>
                    <w:rFonts w:ascii="Cambria Math" w:hAnsi="Cambria Math"/>
                    <w:i/>
                    <w:noProof/>
                  </w:rPr>
                </m:ctrlPr>
              </m:naryPr>
              <m:sub/>
              <m:sup/>
              <m:e>
                <m:r>
                  <w:rPr>
                    <w:rFonts w:ascii="Cambria Math"/>
                    <w:noProof/>
                  </w:rPr>
                  <m:t>1</m:t>
                </m:r>
                <m:sSup>
                  <m:sSupPr>
                    <m:ctrlPr>
                      <w:rPr>
                        <w:rFonts w:ascii="Cambria Math" w:hAnsi="Cambria Math"/>
                        <w:i/>
                        <w:noProof/>
                      </w:rPr>
                    </m:ctrlPr>
                  </m:sSupPr>
                  <m:e>
                    <m:r>
                      <w:rPr>
                        <w:rFonts w:ascii="Cambria Math"/>
                        <w:noProof/>
                      </w:rPr>
                      <m:t>0</m:t>
                    </m:r>
                  </m:e>
                  <m:sup>
                    <m:r>
                      <w:rPr>
                        <w:rFonts w:ascii="Cambria Math"/>
                        <w:noProof/>
                      </w:rPr>
                      <m:t>(</m:t>
                    </m:r>
                    <m:sSub>
                      <m:sSubPr>
                        <m:ctrlPr>
                          <w:rPr>
                            <w:rFonts w:ascii="Cambria Math" w:hAnsi="Cambria Math"/>
                            <w:i/>
                            <w:noProof/>
                          </w:rPr>
                        </m:ctrlPr>
                      </m:sSubPr>
                      <m:e>
                        <m:r>
                          <w:rPr>
                            <w:rFonts w:ascii="Cambria Math"/>
                            <w:noProof/>
                          </w:rPr>
                          <m:t>L</m:t>
                        </m:r>
                      </m:e>
                      <m:sub>
                        <m:r>
                          <w:rPr>
                            <w:rFonts w:ascii="Cambria Math"/>
                            <w:noProof/>
                          </w:rPr>
                          <m:t>ij</m:t>
                        </m:r>
                      </m:sub>
                    </m:sSub>
                    <m:r>
                      <w:rPr>
                        <w:rFonts w:ascii="Cambria Math"/>
                        <w:noProof/>
                      </w:rPr>
                      <m:t>-</m:t>
                    </m:r>
                    <m:sSub>
                      <m:sSubPr>
                        <m:ctrlPr>
                          <w:rPr>
                            <w:rFonts w:ascii="Cambria Math" w:hAnsi="Cambria Math"/>
                            <w:i/>
                            <w:noProof/>
                          </w:rPr>
                        </m:ctrlPr>
                      </m:sSubPr>
                      <m:e>
                        <m:r>
                          <w:rPr>
                            <w:rFonts w:ascii="Cambria Math"/>
                            <w:noProof/>
                          </w:rPr>
                          <m:t>X</m:t>
                        </m:r>
                      </m:e>
                      <m:sub>
                        <m:r>
                          <w:rPr>
                            <w:rFonts w:ascii="Cambria Math"/>
                            <w:noProof/>
                          </w:rPr>
                          <m:t>i</m:t>
                        </m:r>
                      </m:sub>
                    </m:sSub>
                    <m:r>
                      <w:rPr>
                        <w:rFonts w:ascii="Cambria Math"/>
                        <w:noProof/>
                      </w:rPr>
                      <m:t>)/10</m:t>
                    </m:r>
                  </m:sup>
                </m:sSup>
                <m:r>
                  <w:rPr>
                    <w:rFonts w:ascii="Cambria Math"/>
                    <w:noProof/>
                  </w:rPr>
                  <m:t>-</m:t>
                </m:r>
                <m:sSub>
                  <m:sSubPr>
                    <m:ctrlPr>
                      <w:rPr>
                        <w:rFonts w:ascii="Cambria Math" w:hAnsi="Cambria Math"/>
                        <w:i/>
                        <w:noProof/>
                      </w:rPr>
                    </m:ctrlPr>
                  </m:sSubPr>
                  <m:e>
                    <m:r>
                      <w:rPr>
                        <w:rFonts w:ascii="Cambria Math"/>
                        <w:noProof/>
                      </w:rPr>
                      <m:t>X</m:t>
                    </m:r>
                  </m:e>
                  <m:sub>
                    <m:r>
                      <w:rPr>
                        <w:rFonts w:ascii="Cambria Math"/>
                        <w:noProof/>
                      </w:rPr>
                      <m:t>w</m:t>
                    </m:r>
                  </m:sub>
                </m:sSub>
              </m:e>
            </m:nary>
          </m:e>
        </m:func>
      </m:oMath>
      <w:r w:rsidRPr="00913C78">
        <w:t xml:space="preserve">  </w:t>
      </w:r>
      <w:r w:rsidRPr="00913C78">
        <w:rPr>
          <w:rFonts w:hint="eastAsia"/>
        </w:rPr>
        <w:tab/>
      </w:r>
      <w:r w:rsidRPr="00913C78">
        <w:rPr>
          <w:rFonts w:hint="eastAsia"/>
        </w:rPr>
        <w:t>（</w:t>
      </w:r>
      <w:r w:rsidRPr="00913C78">
        <w:rPr>
          <w:rFonts w:hint="eastAsia"/>
        </w:rPr>
        <w:t>B.6.3</w:t>
      </w:r>
      <w:r w:rsidRPr="00913C78">
        <w:rPr>
          <w:rFonts w:hint="eastAsia"/>
        </w:rPr>
        <w:t>）</w:t>
      </w:r>
    </w:p>
    <w:p w14:paraId="7A05A668" w14:textId="77777777" w:rsidR="00913C78" w:rsidRPr="00913C78" w:rsidRDefault="00913C78" w:rsidP="00913C78">
      <w:pPr>
        <w:ind w:firstLine="420"/>
      </w:pPr>
      <w:r w:rsidRPr="00913C78">
        <w:rPr>
          <w:rFonts w:hint="eastAsia"/>
        </w:rPr>
        <w:t>式中，</w:t>
      </w:r>
      <w:r w:rsidRPr="00913C78">
        <w:t>j—</w:t>
      </w:r>
      <w:r w:rsidRPr="00913C78">
        <w:rPr>
          <w:rFonts w:hint="eastAsia"/>
        </w:rPr>
        <w:t>频谱序号，</w:t>
      </w:r>
      <w:r w:rsidRPr="00913C78">
        <w:t>j=1</w:t>
      </w:r>
      <w:r w:rsidRPr="00913C78">
        <w:rPr>
          <w:rFonts w:hint="eastAsia"/>
        </w:rPr>
        <w:t>或</w:t>
      </w:r>
      <w:r w:rsidRPr="00913C78">
        <w:t>2</w:t>
      </w:r>
      <w:r w:rsidRPr="00913C78">
        <w:rPr>
          <w:rFonts w:hint="eastAsia"/>
        </w:rPr>
        <w:t>，</w:t>
      </w:r>
      <w:r w:rsidRPr="00913C78">
        <w:t>1</w:t>
      </w:r>
      <w:r w:rsidRPr="00913C78">
        <w:rPr>
          <w:rFonts w:hint="eastAsia"/>
        </w:rPr>
        <w:t>为计算</w:t>
      </w:r>
      <w:r w:rsidRPr="00913C78">
        <w:t>C</w:t>
      </w:r>
      <w:r w:rsidRPr="00913C78">
        <w:rPr>
          <w:rFonts w:hint="eastAsia"/>
        </w:rPr>
        <w:t>的频谱</w:t>
      </w:r>
      <w:r w:rsidRPr="00913C78">
        <w:t>1</w:t>
      </w:r>
      <w:r w:rsidRPr="00913C78">
        <w:rPr>
          <w:rFonts w:hint="eastAsia"/>
        </w:rPr>
        <w:t>，</w:t>
      </w:r>
      <w:r w:rsidRPr="00913C78">
        <w:t>2</w:t>
      </w:r>
      <w:r w:rsidRPr="00913C78">
        <w:rPr>
          <w:rFonts w:hint="eastAsia"/>
        </w:rPr>
        <w:t>为计算</w:t>
      </w:r>
      <w:r w:rsidRPr="00913C78">
        <w:t>Ctr</w:t>
      </w:r>
      <w:r w:rsidRPr="00913C78">
        <w:rPr>
          <w:rFonts w:hint="eastAsia"/>
        </w:rPr>
        <w:t>的频谱</w:t>
      </w:r>
      <w:r w:rsidRPr="00913C78">
        <w:t>2</w:t>
      </w:r>
      <w:r w:rsidRPr="00913C78">
        <w:rPr>
          <w:rFonts w:hint="eastAsia"/>
        </w:rPr>
        <w:t>；</w:t>
      </w:r>
    </w:p>
    <w:p w14:paraId="45CDE482" w14:textId="77777777" w:rsidR="00913C78" w:rsidRPr="00913C78" w:rsidRDefault="00913C78" w:rsidP="0097400A">
      <w:pPr>
        <w:ind w:leftChars="270" w:left="567" w:firstLine="420"/>
      </w:pPr>
      <w:r w:rsidRPr="00913C78">
        <w:t>Xw—</w:t>
      </w:r>
      <w:r w:rsidRPr="00913C78">
        <w:rPr>
          <w:rFonts w:hint="eastAsia"/>
        </w:rPr>
        <w:t>单值评价量；</w:t>
      </w:r>
    </w:p>
    <w:p w14:paraId="06C42B78" w14:textId="77777777" w:rsidR="00913C78" w:rsidRPr="00913C78" w:rsidRDefault="00913C78" w:rsidP="0097400A">
      <w:pPr>
        <w:ind w:leftChars="270" w:left="567" w:firstLine="420"/>
      </w:pPr>
      <w:r w:rsidRPr="00913C78">
        <w:t>i—100</w:t>
      </w:r>
      <w:r w:rsidRPr="00913C78">
        <w:rPr>
          <w:rFonts w:hint="eastAsia"/>
        </w:rPr>
        <w:t>～</w:t>
      </w:r>
      <w:r w:rsidRPr="00913C78">
        <w:t>3150Hz</w:t>
      </w:r>
      <w:r w:rsidRPr="00913C78">
        <w:rPr>
          <w:rFonts w:hint="eastAsia"/>
        </w:rPr>
        <w:t>的</w:t>
      </w:r>
      <w:r w:rsidRPr="00913C78">
        <w:t>1</w:t>
      </w:r>
      <w:r w:rsidRPr="00913C78">
        <w:rPr>
          <w:rFonts w:hint="eastAsia"/>
        </w:rPr>
        <w:t>/</w:t>
      </w:r>
      <w:r w:rsidRPr="00913C78">
        <w:t>3</w:t>
      </w:r>
      <w:r w:rsidRPr="00913C78">
        <w:rPr>
          <w:rFonts w:hint="eastAsia"/>
        </w:rPr>
        <w:t>倍频程或</w:t>
      </w:r>
      <w:r w:rsidRPr="00913C78">
        <w:t>125</w:t>
      </w:r>
      <w:r w:rsidRPr="00913C78">
        <w:rPr>
          <w:rFonts w:hint="eastAsia"/>
        </w:rPr>
        <w:t>～</w:t>
      </w:r>
      <w:r w:rsidRPr="00913C78">
        <w:t>2000Hz</w:t>
      </w:r>
      <w:r w:rsidRPr="00913C78">
        <w:rPr>
          <w:rFonts w:hint="eastAsia"/>
        </w:rPr>
        <w:t>的倍频程序号；</w:t>
      </w:r>
    </w:p>
    <w:p w14:paraId="2EC43EB6" w14:textId="77777777" w:rsidR="00913C78" w:rsidRPr="00913C78" w:rsidRDefault="00913C78" w:rsidP="0097400A">
      <w:pPr>
        <w:ind w:leftChars="270" w:left="567" w:firstLine="420"/>
      </w:pPr>
      <w:r w:rsidRPr="00913C78">
        <w:t>Lij—</w:t>
      </w:r>
      <w:r w:rsidRPr="00913C78">
        <w:rPr>
          <w:rFonts w:hint="eastAsia"/>
        </w:rPr>
        <w:t>第</w:t>
      </w:r>
      <w:r w:rsidRPr="00913C78">
        <w:t>j</w:t>
      </w:r>
      <w:r w:rsidRPr="00913C78">
        <w:rPr>
          <w:rFonts w:hint="eastAsia"/>
        </w:rPr>
        <w:t>号频谱的第</w:t>
      </w:r>
      <w:r w:rsidRPr="00913C78">
        <w:t>i</w:t>
      </w:r>
      <w:r w:rsidRPr="00913C78">
        <w:rPr>
          <w:rFonts w:hint="eastAsia"/>
        </w:rPr>
        <w:t>个频带的声压级，详见附表</w:t>
      </w:r>
      <w:r w:rsidRPr="00913C78">
        <w:rPr>
          <w:rFonts w:hint="eastAsia"/>
        </w:rPr>
        <w:t>B.6.4</w:t>
      </w:r>
      <w:r w:rsidRPr="00913C78">
        <w:rPr>
          <w:rFonts w:hint="eastAsia"/>
        </w:rPr>
        <w:t>；</w:t>
      </w:r>
    </w:p>
    <w:p w14:paraId="39A694B9" w14:textId="77777777" w:rsidR="00913C78" w:rsidRPr="00913C78" w:rsidRDefault="00913C78" w:rsidP="0097400A">
      <w:pPr>
        <w:ind w:leftChars="270" w:left="567" w:firstLine="420"/>
      </w:pPr>
      <w:r w:rsidRPr="00913C78">
        <w:t>Xi—</w:t>
      </w:r>
      <w:r w:rsidRPr="00913C78">
        <w:rPr>
          <w:rFonts w:hint="eastAsia"/>
        </w:rPr>
        <w:t>第</w:t>
      </w:r>
      <w:r w:rsidRPr="00913C78">
        <w:t>i</w:t>
      </w:r>
      <w:r w:rsidRPr="00913C78">
        <w:rPr>
          <w:rFonts w:hint="eastAsia"/>
        </w:rPr>
        <w:t>个频带的测量量，精确到</w:t>
      </w:r>
      <w:r w:rsidRPr="00913C78">
        <w:t>0.1dB</w:t>
      </w:r>
      <w:r w:rsidRPr="00913C78">
        <w:rPr>
          <w:rFonts w:hint="eastAsia"/>
        </w:rPr>
        <w:t>。</w:t>
      </w:r>
    </w:p>
    <w:p w14:paraId="46A4576C" w14:textId="77777777" w:rsidR="00913C78" w:rsidRPr="00913C78" w:rsidRDefault="00913C78" w:rsidP="0097400A">
      <w:pPr>
        <w:pStyle w:val="ae"/>
      </w:pPr>
      <w:r w:rsidRPr="00913C78">
        <w:rPr>
          <w:rFonts w:hint="eastAsia"/>
        </w:rPr>
        <w:t>附表</w:t>
      </w:r>
      <w:r w:rsidRPr="00913C78">
        <w:rPr>
          <w:rFonts w:hint="eastAsia"/>
        </w:rPr>
        <w:t xml:space="preserve">B.6.4 </w:t>
      </w:r>
      <w:r w:rsidRPr="00913C78">
        <w:t xml:space="preserve"> </w:t>
      </w:r>
      <w:r w:rsidRPr="00913C78">
        <w:rPr>
          <w:rFonts w:hint="eastAsia"/>
        </w:rPr>
        <w:t>计算频谱修正量的声压级频谱</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 w:type="dxa"/>
        </w:tblCellMar>
        <w:tblLook w:val="04A0" w:firstRow="1" w:lastRow="0" w:firstColumn="1" w:lastColumn="0" w:noHBand="0" w:noVBand="1"/>
      </w:tblPr>
      <w:tblGrid>
        <w:gridCol w:w="1203"/>
        <w:gridCol w:w="1539"/>
        <w:gridCol w:w="1545"/>
        <w:gridCol w:w="1540"/>
        <w:gridCol w:w="1543"/>
      </w:tblGrid>
      <w:tr w:rsidR="0097400A" w:rsidRPr="0097400A" w14:paraId="7DFB60F3" w14:textId="77777777" w:rsidTr="00A2511C">
        <w:trPr>
          <w:jc w:val="center"/>
        </w:trPr>
        <w:tc>
          <w:tcPr>
            <w:tcW w:w="1393" w:type="dxa"/>
            <w:vMerge w:val="restart"/>
            <w:shd w:val="clear" w:color="auto" w:fill="auto"/>
            <w:vAlign w:val="center"/>
          </w:tcPr>
          <w:p w14:paraId="1E2C13A7" w14:textId="77777777" w:rsidR="0097400A" w:rsidRPr="0097400A" w:rsidRDefault="0097400A" w:rsidP="0097400A">
            <w:pPr>
              <w:pStyle w:val="ae"/>
              <w:rPr>
                <w:b w:val="0"/>
                <w:bCs/>
                <w:noProof/>
              </w:rPr>
            </w:pPr>
            <w:r w:rsidRPr="0097400A">
              <w:rPr>
                <w:rFonts w:hint="eastAsia"/>
                <w:b w:val="0"/>
                <w:bCs/>
                <w:noProof/>
              </w:rPr>
              <w:t>频率</w:t>
            </w:r>
            <w:r w:rsidRPr="0097400A">
              <w:rPr>
                <w:rFonts w:hint="eastAsia"/>
                <w:b w:val="0"/>
                <w:bCs/>
                <w:noProof/>
              </w:rPr>
              <w:t>/</w:t>
            </w:r>
            <w:r w:rsidRPr="0097400A">
              <w:rPr>
                <w:b w:val="0"/>
                <w:bCs/>
                <w:noProof/>
              </w:rPr>
              <w:t>Hz</w:t>
            </w:r>
          </w:p>
        </w:tc>
        <w:tc>
          <w:tcPr>
            <w:tcW w:w="7189" w:type="dxa"/>
            <w:gridSpan w:val="4"/>
            <w:shd w:val="clear" w:color="auto" w:fill="auto"/>
          </w:tcPr>
          <w:p w14:paraId="1BFAC244" w14:textId="77777777" w:rsidR="0097400A" w:rsidRPr="0097400A" w:rsidRDefault="0097400A" w:rsidP="0097400A">
            <w:pPr>
              <w:pStyle w:val="ae"/>
              <w:rPr>
                <w:b w:val="0"/>
                <w:bCs/>
                <w:noProof/>
              </w:rPr>
            </w:pPr>
            <w:r w:rsidRPr="0097400A">
              <w:rPr>
                <w:rFonts w:hint="eastAsia"/>
                <w:b w:val="0"/>
                <w:bCs/>
                <w:noProof/>
              </w:rPr>
              <w:t>声压级</w:t>
            </w:r>
            <w:r w:rsidRPr="0097400A">
              <w:rPr>
                <w:b w:val="0"/>
                <w:bCs/>
                <w:i/>
              </w:rPr>
              <w:t>L</w:t>
            </w:r>
            <w:r w:rsidRPr="0097400A">
              <w:rPr>
                <w:b w:val="0"/>
                <w:bCs/>
                <w:i/>
                <w:vertAlign w:val="subscript"/>
              </w:rPr>
              <w:t>ij</w:t>
            </w:r>
          </w:p>
        </w:tc>
      </w:tr>
      <w:tr w:rsidR="0097400A" w:rsidRPr="0097400A" w14:paraId="2DB63EF3" w14:textId="77777777" w:rsidTr="00A2511C">
        <w:trPr>
          <w:jc w:val="center"/>
        </w:trPr>
        <w:tc>
          <w:tcPr>
            <w:tcW w:w="1393" w:type="dxa"/>
            <w:vMerge/>
            <w:shd w:val="clear" w:color="auto" w:fill="auto"/>
          </w:tcPr>
          <w:p w14:paraId="2FC33799" w14:textId="77777777" w:rsidR="0097400A" w:rsidRPr="0097400A" w:rsidRDefault="0097400A" w:rsidP="0097400A">
            <w:pPr>
              <w:pStyle w:val="ae"/>
              <w:rPr>
                <w:b w:val="0"/>
                <w:bCs/>
                <w:noProof/>
              </w:rPr>
            </w:pPr>
          </w:p>
        </w:tc>
        <w:tc>
          <w:tcPr>
            <w:tcW w:w="3595" w:type="dxa"/>
            <w:gridSpan w:val="2"/>
            <w:shd w:val="clear" w:color="auto" w:fill="auto"/>
          </w:tcPr>
          <w:p w14:paraId="6F38C305" w14:textId="77777777" w:rsidR="0097400A" w:rsidRPr="0097400A" w:rsidRDefault="0097400A" w:rsidP="0097400A">
            <w:pPr>
              <w:pStyle w:val="ae"/>
              <w:rPr>
                <w:b w:val="0"/>
                <w:bCs/>
                <w:noProof/>
              </w:rPr>
            </w:pPr>
            <w:r w:rsidRPr="0097400A">
              <w:rPr>
                <w:rFonts w:hint="eastAsia"/>
                <w:b w:val="0"/>
                <w:bCs/>
                <w:noProof/>
              </w:rPr>
              <w:t>用于计算</w:t>
            </w:r>
            <w:r w:rsidRPr="0097400A">
              <w:rPr>
                <w:b w:val="0"/>
                <w:bCs/>
                <w:i/>
                <w:noProof/>
              </w:rPr>
              <w:t>C</w:t>
            </w:r>
            <w:r w:rsidRPr="0097400A">
              <w:rPr>
                <w:rFonts w:hint="eastAsia"/>
                <w:b w:val="0"/>
                <w:bCs/>
                <w:noProof/>
              </w:rPr>
              <w:t>的频谱</w:t>
            </w:r>
            <w:r w:rsidRPr="0097400A">
              <w:rPr>
                <w:b w:val="0"/>
                <w:bCs/>
                <w:noProof/>
              </w:rPr>
              <w:t>1</w:t>
            </w:r>
          </w:p>
        </w:tc>
        <w:tc>
          <w:tcPr>
            <w:tcW w:w="3594" w:type="dxa"/>
            <w:gridSpan w:val="2"/>
            <w:shd w:val="clear" w:color="auto" w:fill="auto"/>
          </w:tcPr>
          <w:p w14:paraId="6F9E79DE" w14:textId="77777777" w:rsidR="0097400A" w:rsidRPr="0097400A" w:rsidRDefault="0097400A" w:rsidP="0097400A">
            <w:pPr>
              <w:pStyle w:val="ae"/>
              <w:rPr>
                <w:b w:val="0"/>
                <w:bCs/>
                <w:noProof/>
              </w:rPr>
            </w:pPr>
            <w:r w:rsidRPr="0097400A">
              <w:rPr>
                <w:rFonts w:hint="eastAsia"/>
                <w:b w:val="0"/>
                <w:bCs/>
                <w:noProof/>
              </w:rPr>
              <w:t>用于计算</w:t>
            </w:r>
            <w:r w:rsidRPr="0097400A">
              <w:rPr>
                <w:b w:val="0"/>
                <w:bCs/>
                <w:i/>
                <w:noProof/>
              </w:rPr>
              <w:t>C</w:t>
            </w:r>
            <w:r w:rsidRPr="0097400A">
              <w:rPr>
                <w:b w:val="0"/>
                <w:bCs/>
                <w:noProof/>
                <w:vertAlign w:val="subscript"/>
              </w:rPr>
              <w:t>tr</w:t>
            </w:r>
            <w:r w:rsidRPr="0097400A">
              <w:rPr>
                <w:rFonts w:hint="eastAsia"/>
                <w:b w:val="0"/>
                <w:bCs/>
                <w:noProof/>
              </w:rPr>
              <w:t>的频谱</w:t>
            </w:r>
            <w:r w:rsidRPr="0097400A">
              <w:rPr>
                <w:b w:val="0"/>
                <w:bCs/>
                <w:noProof/>
              </w:rPr>
              <w:t>2</w:t>
            </w:r>
          </w:p>
        </w:tc>
      </w:tr>
      <w:tr w:rsidR="0097400A" w:rsidRPr="0097400A" w14:paraId="601185D5" w14:textId="77777777" w:rsidTr="00A2511C">
        <w:trPr>
          <w:jc w:val="center"/>
        </w:trPr>
        <w:tc>
          <w:tcPr>
            <w:tcW w:w="1393" w:type="dxa"/>
            <w:vMerge/>
            <w:shd w:val="clear" w:color="auto" w:fill="auto"/>
          </w:tcPr>
          <w:p w14:paraId="4399A926" w14:textId="77777777" w:rsidR="0097400A" w:rsidRPr="0097400A" w:rsidRDefault="0097400A" w:rsidP="0097400A">
            <w:pPr>
              <w:pStyle w:val="ae"/>
              <w:rPr>
                <w:b w:val="0"/>
                <w:bCs/>
                <w:noProof/>
              </w:rPr>
            </w:pPr>
          </w:p>
        </w:tc>
        <w:tc>
          <w:tcPr>
            <w:tcW w:w="1794" w:type="dxa"/>
            <w:shd w:val="clear" w:color="auto" w:fill="auto"/>
          </w:tcPr>
          <w:p w14:paraId="78FAEB78" w14:textId="77777777" w:rsidR="0097400A" w:rsidRPr="0097400A" w:rsidRDefault="0097400A" w:rsidP="0097400A">
            <w:pPr>
              <w:pStyle w:val="ae"/>
              <w:rPr>
                <w:b w:val="0"/>
                <w:bCs/>
                <w:noProof/>
              </w:rPr>
            </w:pPr>
            <w:r w:rsidRPr="0097400A">
              <w:rPr>
                <w:b w:val="0"/>
                <w:bCs/>
                <w:noProof/>
              </w:rPr>
              <w:t>1/3</w:t>
            </w:r>
            <w:r w:rsidRPr="0097400A">
              <w:rPr>
                <w:rFonts w:hint="eastAsia"/>
                <w:b w:val="0"/>
                <w:bCs/>
                <w:noProof/>
              </w:rPr>
              <w:t>倍频程</w:t>
            </w:r>
          </w:p>
        </w:tc>
        <w:tc>
          <w:tcPr>
            <w:tcW w:w="1800" w:type="dxa"/>
            <w:shd w:val="clear" w:color="auto" w:fill="auto"/>
          </w:tcPr>
          <w:p w14:paraId="4D286489" w14:textId="77777777" w:rsidR="0097400A" w:rsidRPr="0097400A" w:rsidRDefault="0097400A" w:rsidP="0097400A">
            <w:pPr>
              <w:pStyle w:val="ae"/>
              <w:rPr>
                <w:b w:val="0"/>
                <w:bCs/>
                <w:noProof/>
              </w:rPr>
            </w:pPr>
            <w:r w:rsidRPr="0097400A">
              <w:rPr>
                <w:rFonts w:hint="eastAsia"/>
                <w:b w:val="0"/>
                <w:bCs/>
                <w:noProof/>
              </w:rPr>
              <w:t>倍频程</w:t>
            </w:r>
          </w:p>
        </w:tc>
        <w:tc>
          <w:tcPr>
            <w:tcW w:w="1795" w:type="dxa"/>
            <w:shd w:val="clear" w:color="auto" w:fill="auto"/>
          </w:tcPr>
          <w:p w14:paraId="21A5C50C" w14:textId="77777777" w:rsidR="0097400A" w:rsidRPr="0097400A" w:rsidRDefault="0097400A" w:rsidP="0097400A">
            <w:pPr>
              <w:pStyle w:val="ae"/>
              <w:rPr>
                <w:b w:val="0"/>
                <w:bCs/>
                <w:noProof/>
              </w:rPr>
            </w:pPr>
            <w:r w:rsidRPr="0097400A">
              <w:rPr>
                <w:b w:val="0"/>
                <w:bCs/>
                <w:noProof/>
              </w:rPr>
              <w:t>1/3</w:t>
            </w:r>
            <w:r w:rsidRPr="0097400A">
              <w:rPr>
                <w:rFonts w:hint="eastAsia"/>
                <w:b w:val="0"/>
                <w:bCs/>
                <w:noProof/>
              </w:rPr>
              <w:t>倍频程</w:t>
            </w:r>
          </w:p>
        </w:tc>
        <w:tc>
          <w:tcPr>
            <w:tcW w:w="1798" w:type="dxa"/>
            <w:shd w:val="clear" w:color="auto" w:fill="auto"/>
          </w:tcPr>
          <w:p w14:paraId="6F8518B3" w14:textId="77777777" w:rsidR="0097400A" w:rsidRPr="0097400A" w:rsidRDefault="0097400A" w:rsidP="0097400A">
            <w:pPr>
              <w:pStyle w:val="ae"/>
              <w:rPr>
                <w:b w:val="0"/>
                <w:bCs/>
                <w:noProof/>
              </w:rPr>
            </w:pPr>
            <w:r w:rsidRPr="0097400A">
              <w:rPr>
                <w:rFonts w:hint="eastAsia"/>
                <w:b w:val="0"/>
                <w:bCs/>
                <w:noProof/>
              </w:rPr>
              <w:t>倍频程</w:t>
            </w:r>
          </w:p>
        </w:tc>
      </w:tr>
      <w:tr w:rsidR="0097400A" w:rsidRPr="0097400A" w14:paraId="52E0C8CB" w14:textId="77777777" w:rsidTr="00A2511C">
        <w:trPr>
          <w:jc w:val="center"/>
        </w:trPr>
        <w:tc>
          <w:tcPr>
            <w:tcW w:w="1393" w:type="dxa"/>
            <w:shd w:val="clear" w:color="auto" w:fill="auto"/>
          </w:tcPr>
          <w:p w14:paraId="1B48317F" w14:textId="77777777" w:rsidR="0097400A" w:rsidRPr="0097400A" w:rsidRDefault="0097400A" w:rsidP="0097400A">
            <w:pPr>
              <w:pStyle w:val="ae"/>
              <w:rPr>
                <w:b w:val="0"/>
                <w:bCs/>
                <w:noProof/>
              </w:rPr>
            </w:pPr>
            <w:r w:rsidRPr="0097400A">
              <w:rPr>
                <w:b w:val="0"/>
                <w:bCs/>
                <w:noProof/>
              </w:rPr>
              <w:t>100</w:t>
            </w:r>
          </w:p>
        </w:tc>
        <w:tc>
          <w:tcPr>
            <w:tcW w:w="1794" w:type="dxa"/>
            <w:shd w:val="clear" w:color="auto" w:fill="auto"/>
            <w:vAlign w:val="center"/>
          </w:tcPr>
          <w:p w14:paraId="3B9F84F1"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29</w:t>
            </w:r>
          </w:p>
        </w:tc>
        <w:tc>
          <w:tcPr>
            <w:tcW w:w="1800" w:type="dxa"/>
            <w:vMerge w:val="restart"/>
            <w:shd w:val="clear" w:color="auto" w:fill="auto"/>
            <w:vAlign w:val="center"/>
          </w:tcPr>
          <w:p w14:paraId="71BBE70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21</w:t>
            </w:r>
          </w:p>
        </w:tc>
        <w:tc>
          <w:tcPr>
            <w:tcW w:w="1795" w:type="dxa"/>
            <w:shd w:val="clear" w:color="auto" w:fill="auto"/>
            <w:vAlign w:val="center"/>
          </w:tcPr>
          <w:p w14:paraId="509B7480"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20</w:t>
            </w:r>
          </w:p>
        </w:tc>
        <w:tc>
          <w:tcPr>
            <w:tcW w:w="1798" w:type="dxa"/>
            <w:vMerge w:val="restart"/>
            <w:shd w:val="clear" w:color="auto" w:fill="auto"/>
            <w:vAlign w:val="center"/>
          </w:tcPr>
          <w:p w14:paraId="76D134BA"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14</w:t>
            </w:r>
          </w:p>
        </w:tc>
      </w:tr>
      <w:tr w:rsidR="0097400A" w:rsidRPr="0097400A" w14:paraId="27EFD6BF" w14:textId="77777777" w:rsidTr="00A2511C">
        <w:trPr>
          <w:jc w:val="center"/>
        </w:trPr>
        <w:tc>
          <w:tcPr>
            <w:tcW w:w="1393" w:type="dxa"/>
            <w:shd w:val="clear" w:color="auto" w:fill="auto"/>
          </w:tcPr>
          <w:p w14:paraId="1483EC17" w14:textId="77777777" w:rsidR="0097400A" w:rsidRPr="0097400A" w:rsidRDefault="0097400A" w:rsidP="0097400A">
            <w:pPr>
              <w:pStyle w:val="ae"/>
              <w:rPr>
                <w:b w:val="0"/>
                <w:bCs/>
                <w:noProof/>
              </w:rPr>
            </w:pPr>
            <w:r w:rsidRPr="0097400A">
              <w:rPr>
                <w:b w:val="0"/>
                <w:bCs/>
                <w:noProof/>
              </w:rPr>
              <w:t>125</w:t>
            </w:r>
          </w:p>
        </w:tc>
        <w:tc>
          <w:tcPr>
            <w:tcW w:w="1794" w:type="dxa"/>
            <w:shd w:val="clear" w:color="auto" w:fill="auto"/>
          </w:tcPr>
          <w:p w14:paraId="2404E7C1" w14:textId="77777777" w:rsidR="0097400A" w:rsidRPr="0097400A" w:rsidRDefault="0097400A" w:rsidP="0097400A">
            <w:pPr>
              <w:pStyle w:val="ae"/>
              <w:rPr>
                <w:b w:val="0"/>
                <w:bCs/>
                <w:noProof/>
              </w:rPr>
            </w:pPr>
            <w:r w:rsidRPr="0097400A">
              <w:rPr>
                <w:rFonts w:ascii="Symbol" w:hAnsi="Symbol"/>
                <w:b w:val="0"/>
                <w:bCs/>
                <w:position w:val="2"/>
              </w:rPr>
              <w:t></w:t>
            </w:r>
            <w:r w:rsidRPr="0097400A">
              <w:rPr>
                <w:b w:val="0"/>
                <w:bCs/>
                <w:noProof/>
              </w:rPr>
              <w:t>26</w:t>
            </w:r>
          </w:p>
        </w:tc>
        <w:tc>
          <w:tcPr>
            <w:tcW w:w="1800" w:type="dxa"/>
            <w:vMerge/>
            <w:shd w:val="clear" w:color="auto" w:fill="auto"/>
          </w:tcPr>
          <w:p w14:paraId="6B3B8FD5" w14:textId="77777777" w:rsidR="0097400A" w:rsidRPr="0097400A" w:rsidRDefault="0097400A" w:rsidP="0097400A">
            <w:pPr>
              <w:pStyle w:val="ae"/>
              <w:rPr>
                <w:b w:val="0"/>
                <w:bCs/>
                <w:noProof/>
              </w:rPr>
            </w:pPr>
          </w:p>
        </w:tc>
        <w:tc>
          <w:tcPr>
            <w:tcW w:w="1795" w:type="dxa"/>
            <w:shd w:val="clear" w:color="auto" w:fill="auto"/>
          </w:tcPr>
          <w:p w14:paraId="6709CB79" w14:textId="77777777" w:rsidR="0097400A" w:rsidRPr="0097400A" w:rsidRDefault="0097400A" w:rsidP="0097400A">
            <w:pPr>
              <w:pStyle w:val="ae"/>
              <w:rPr>
                <w:b w:val="0"/>
                <w:bCs/>
                <w:noProof/>
              </w:rPr>
            </w:pPr>
            <w:r w:rsidRPr="0097400A">
              <w:rPr>
                <w:rFonts w:ascii="Symbol" w:hAnsi="Symbol"/>
                <w:b w:val="0"/>
                <w:bCs/>
                <w:position w:val="2"/>
              </w:rPr>
              <w:t></w:t>
            </w:r>
            <w:r w:rsidRPr="0097400A">
              <w:rPr>
                <w:b w:val="0"/>
                <w:bCs/>
                <w:noProof/>
              </w:rPr>
              <w:t>20</w:t>
            </w:r>
          </w:p>
        </w:tc>
        <w:tc>
          <w:tcPr>
            <w:tcW w:w="1798" w:type="dxa"/>
            <w:vMerge/>
            <w:shd w:val="clear" w:color="auto" w:fill="auto"/>
          </w:tcPr>
          <w:p w14:paraId="7DCFCCC7" w14:textId="77777777" w:rsidR="0097400A" w:rsidRPr="0097400A" w:rsidRDefault="0097400A" w:rsidP="0097400A">
            <w:pPr>
              <w:pStyle w:val="ae"/>
              <w:rPr>
                <w:b w:val="0"/>
                <w:bCs/>
                <w:noProof/>
              </w:rPr>
            </w:pPr>
          </w:p>
        </w:tc>
      </w:tr>
      <w:tr w:rsidR="0097400A" w:rsidRPr="0097400A" w14:paraId="481E177F" w14:textId="77777777" w:rsidTr="00A2511C">
        <w:trPr>
          <w:jc w:val="center"/>
        </w:trPr>
        <w:tc>
          <w:tcPr>
            <w:tcW w:w="1393" w:type="dxa"/>
            <w:shd w:val="clear" w:color="auto" w:fill="auto"/>
          </w:tcPr>
          <w:p w14:paraId="370E18F5" w14:textId="77777777" w:rsidR="0097400A" w:rsidRPr="0097400A" w:rsidRDefault="0097400A" w:rsidP="0097400A">
            <w:pPr>
              <w:pStyle w:val="ae"/>
              <w:rPr>
                <w:b w:val="0"/>
                <w:bCs/>
                <w:noProof/>
              </w:rPr>
            </w:pPr>
            <w:r w:rsidRPr="0097400A">
              <w:rPr>
                <w:b w:val="0"/>
                <w:bCs/>
                <w:noProof/>
              </w:rPr>
              <w:t>160</w:t>
            </w:r>
          </w:p>
        </w:tc>
        <w:tc>
          <w:tcPr>
            <w:tcW w:w="1794" w:type="dxa"/>
            <w:shd w:val="clear" w:color="auto" w:fill="auto"/>
            <w:vAlign w:val="center"/>
          </w:tcPr>
          <w:p w14:paraId="32E031FE"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23</w:t>
            </w:r>
          </w:p>
        </w:tc>
        <w:tc>
          <w:tcPr>
            <w:tcW w:w="1800" w:type="dxa"/>
            <w:vMerge/>
            <w:shd w:val="clear" w:color="auto" w:fill="auto"/>
            <w:vAlign w:val="center"/>
          </w:tcPr>
          <w:p w14:paraId="5DEA9F95" w14:textId="77777777" w:rsidR="0097400A" w:rsidRPr="0097400A" w:rsidRDefault="0097400A" w:rsidP="0097400A">
            <w:pPr>
              <w:pStyle w:val="ae"/>
              <w:rPr>
                <w:b w:val="0"/>
                <w:bCs/>
              </w:rPr>
            </w:pPr>
          </w:p>
        </w:tc>
        <w:tc>
          <w:tcPr>
            <w:tcW w:w="1795" w:type="dxa"/>
            <w:shd w:val="clear" w:color="auto" w:fill="auto"/>
            <w:vAlign w:val="center"/>
          </w:tcPr>
          <w:p w14:paraId="0CF90DD2"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18</w:t>
            </w:r>
          </w:p>
        </w:tc>
        <w:tc>
          <w:tcPr>
            <w:tcW w:w="1798" w:type="dxa"/>
            <w:vMerge/>
            <w:shd w:val="clear" w:color="auto" w:fill="auto"/>
            <w:vAlign w:val="center"/>
          </w:tcPr>
          <w:p w14:paraId="4993D9FA" w14:textId="77777777" w:rsidR="0097400A" w:rsidRPr="0097400A" w:rsidRDefault="0097400A" w:rsidP="0097400A">
            <w:pPr>
              <w:pStyle w:val="ae"/>
              <w:rPr>
                <w:b w:val="0"/>
                <w:bCs/>
              </w:rPr>
            </w:pPr>
          </w:p>
        </w:tc>
      </w:tr>
      <w:tr w:rsidR="0097400A" w:rsidRPr="0097400A" w14:paraId="13D9288F" w14:textId="77777777" w:rsidTr="00A2511C">
        <w:trPr>
          <w:jc w:val="center"/>
        </w:trPr>
        <w:tc>
          <w:tcPr>
            <w:tcW w:w="1393" w:type="dxa"/>
            <w:shd w:val="clear" w:color="auto" w:fill="auto"/>
          </w:tcPr>
          <w:p w14:paraId="45784E82" w14:textId="77777777" w:rsidR="0097400A" w:rsidRPr="0097400A" w:rsidRDefault="0097400A" w:rsidP="0097400A">
            <w:pPr>
              <w:pStyle w:val="ae"/>
              <w:rPr>
                <w:b w:val="0"/>
                <w:bCs/>
                <w:noProof/>
              </w:rPr>
            </w:pPr>
            <w:r w:rsidRPr="0097400A">
              <w:rPr>
                <w:b w:val="0"/>
                <w:bCs/>
                <w:noProof/>
              </w:rPr>
              <w:t>200</w:t>
            </w:r>
          </w:p>
        </w:tc>
        <w:tc>
          <w:tcPr>
            <w:tcW w:w="1794" w:type="dxa"/>
            <w:shd w:val="clear" w:color="auto" w:fill="auto"/>
            <w:vAlign w:val="center"/>
          </w:tcPr>
          <w:p w14:paraId="3368B63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21</w:t>
            </w:r>
          </w:p>
        </w:tc>
        <w:tc>
          <w:tcPr>
            <w:tcW w:w="1800" w:type="dxa"/>
            <w:vMerge w:val="restart"/>
            <w:shd w:val="clear" w:color="auto" w:fill="auto"/>
            <w:vAlign w:val="center"/>
          </w:tcPr>
          <w:p w14:paraId="5323C994"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14</w:t>
            </w:r>
          </w:p>
        </w:tc>
        <w:tc>
          <w:tcPr>
            <w:tcW w:w="1795" w:type="dxa"/>
            <w:shd w:val="clear" w:color="auto" w:fill="auto"/>
            <w:vAlign w:val="center"/>
          </w:tcPr>
          <w:p w14:paraId="1EF90BEF"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16</w:t>
            </w:r>
          </w:p>
        </w:tc>
        <w:tc>
          <w:tcPr>
            <w:tcW w:w="1798" w:type="dxa"/>
            <w:vMerge w:val="restart"/>
            <w:shd w:val="clear" w:color="auto" w:fill="auto"/>
            <w:vAlign w:val="center"/>
          </w:tcPr>
          <w:p w14:paraId="534B8925"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10</w:t>
            </w:r>
          </w:p>
        </w:tc>
      </w:tr>
      <w:tr w:rsidR="0097400A" w:rsidRPr="0097400A" w14:paraId="56ED65B9" w14:textId="77777777" w:rsidTr="00A2511C">
        <w:trPr>
          <w:jc w:val="center"/>
        </w:trPr>
        <w:tc>
          <w:tcPr>
            <w:tcW w:w="1393" w:type="dxa"/>
            <w:shd w:val="clear" w:color="auto" w:fill="auto"/>
          </w:tcPr>
          <w:p w14:paraId="0CF5C0CE" w14:textId="77777777" w:rsidR="0097400A" w:rsidRPr="0097400A" w:rsidRDefault="0097400A" w:rsidP="0097400A">
            <w:pPr>
              <w:pStyle w:val="ae"/>
              <w:rPr>
                <w:b w:val="0"/>
                <w:bCs/>
                <w:noProof/>
              </w:rPr>
            </w:pPr>
            <w:r w:rsidRPr="0097400A">
              <w:rPr>
                <w:b w:val="0"/>
                <w:bCs/>
                <w:noProof/>
              </w:rPr>
              <w:t>250</w:t>
            </w:r>
          </w:p>
        </w:tc>
        <w:tc>
          <w:tcPr>
            <w:tcW w:w="1794" w:type="dxa"/>
            <w:shd w:val="clear" w:color="auto" w:fill="auto"/>
            <w:vAlign w:val="center"/>
          </w:tcPr>
          <w:p w14:paraId="4AF263E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19</w:t>
            </w:r>
          </w:p>
        </w:tc>
        <w:tc>
          <w:tcPr>
            <w:tcW w:w="1800" w:type="dxa"/>
            <w:vMerge/>
            <w:shd w:val="clear" w:color="auto" w:fill="auto"/>
            <w:vAlign w:val="center"/>
          </w:tcPr>
          <w:p w14:paraId="4FF01A58" w14:textId="77777777" w:rsidR="0097400A" w:rsidRPr="0097400A" w:rsidRDefault="0097400A" w:rsidP="0097400A">
            <w:pPr>
              <w:pStyle w:val="ae"/>
              <w:rPr>
                <w:b w:val="0"/>
                <w:bCs/>
              </w:rPr>
            </w:pPr>
          </w:p>
        </w:tc>
        <w:tc>
          <w:tcPr>
            <w:tcW w:w="1795" w:type="dxa"/>
            <w:shd w:val="clear" w:color="auto" w:fill="auto"/>
            <w:vAlign w:val="center"/>
          </w:tcPr>
          <w:p w14:paraId="492F71FE"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15</w:t>
            </w:r>
          </w:p>
        </w:tc>
        <w:tc>
          <w:tcPr>
            <w:tcW w:w="1798" w:type="dxa"/>
            <w:vMerge/>
            <w:shd w:val="clear" w:color="auto" w:fill="auto"/>
            <w:vAlign w:val="center"/>
          </w:tcPr>
          <w:p w14:paraId="3C34F6D0" w14:textId="77777777" w:rsidR="0097400A" w:rsidRPr="0097400A" w:rsidRDefault="0097400A" w:rsidP="0097400A">
            <w:pPr>
              <w:pStyle w:val="ae"/>
              <w:rPr>
                <w:b w:val="0"/>
                <w:bCs/>
              </w:rPr>
            </w:pPr>
          </w:p>
        </w:tc>
      </w:tr>
      <w:tr w:rsidR="0097400A" w:rsidRPr="0097400A" w14:paraId="29CBB218" w14:textId="77777777" w:rsidTr="00A2511C">
        <w:trPr>
          <w:jc w:val="center"/>
        </w:trPr>
        <w:tc>
          <w:tcPr>
            <w:tcW w:w="1393" w:type="dxa"/>
            <w:shd w:val="clear" w:color="auto" w:fill="auto"/>
          </w:tcPr>
          <w:p w14:paraId="6C645414" w14:textId="77777777" w:rsidR="0097400A" w:rsidRPr="0097400A" w:rsidRDefault="0097400A" w:rsidP="0097400A">
            <w:pPr>
              <w:pStyle w:val="ae"/>
              <w:rPr>
                <w:b w:val="0"/>
                <w:bCs/>
                <w:noProof/>
              </w:rPr>
            </w:pPr>
            <w:r w:rsidRPr="0097400A">
              <w:rPr>
                <w:b w:val="0"/>
                <w:bCs/>
                <w:noProof/>
              </w:rPr>
              <w:t>315</w:t>
            </w:r>
          </w:p>
        </w:tc>
        <w:tc>
          <w:tcPr>
            <w:tcW w:w="1794" w:type="dxa"/>
            <w:shd w:val="clear" w:color="auto" w:fill="auto"/>
            <w:vAlign w:val="center"/>
          </w:tcPr>
          <w:p w14:paraId="5FFA765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17</w:t>
            </w:r>
          </w:p>
        </w:tc>
        <w:tc>
          <w:tcPr>
            <w:tcW w:w="1800" w:type="dxa"/>
            <w:vMerge/>
            <w:shd w:val="clear" w:color="auto" w:fill="auto"/>
            <w:vAlign w:val="center"/>
          </w:tcPr>
          <w:p w14:paraId="269B5AE6" w14:textId="77777777" w:rsidR="0097400A" w:rsidRPr="0097400A" w:rsidRDefault="0097400A" w:rsidP="0097400A">
            <w:pPr>
              <w:pStyle w:val="ae"/>
              <w:rPr>
                <w:b w:val="0"/>
                <w:bCs/>
              </w:rPr>
            </w:pPr>
          </w:p>
        </w:tc>
        <w:tc>
          <w:tcPr>
            <w:tcW w:w="1795" w:type="dxa"/>
            <w:shd w:val="clear" w:color="auto" w:fill="auto"/>
            <w:vAlign w:val="center"/>
          </w:tcPr>
          <w:p w14:paraId="30FAFB3A"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14</w:t>
            </w:r>
          </w:p>
        </w:tc>
        <w:tc>
          <w:tcPr>
            <w:tcW w:w="1798" w:type="dxa"/>
            <w:vMerge/>
            <w:shd w:val="clear" w:color="auto" w:fill="auto"/>
            <w:vAlign w:val="center"/>
          </w:tcPr>
          <w:p w14:paraId="2784B976" w14:textId="77777777" w:rsidR="0097400A" w:rsidRPr="0097400A" w:rsidRDefault="0097400A" w:rsidP="0097400A">
            <w:pPr>
              <w:pStyle w:val="ae"/>
              <w:rPr>
                <w:b w:val="0"/>
                <w:bCs/>
              </w:rPr>
            </w:pPr>
          </w:p>
        </w:tc>
      </w:tr>
      <w:tr w:rsidR="0097400A" w:rsidRPr="0097400A" w14:paraId="105446FC" w14:textId="77777777" w:rsidTr="00A2511C">
        <w:trPr>
          <w:jc w:val="center"/>
        </w:trPr>
        <w:tc>
          <w:tcPr>
            <w:tcW w:w="1393" w:type="dxa"/>
            <w:shd w:val="clear" w:color="auto" w:fill="auto"/>
          </w:tcPr>
          <w:p w14:paraId="067C0E7A" w14:textId="77777777" w:rsidR="0097400A" w:rsidRPr="0097400A" w:rsidRDefault="0097400A" w:rsidP="0097400A">
            <w:pPr>
              <w:pStyle w:val="ae"/>
              <w:rPr>
                <w:b w:val="0"/>
                <w:bCs/>
                <w:noProof/>
              </w:rPr>
            </w:pPr>
            <w:r w:rsidRPr="0097400A">
              <w:rPr>
                <w:b w:val="0"/>
                <w:bCs/>
                <w:noProof/>
              </w:rPr>
              <w:t>400</w:t>
            </w:r>
          </w:p>
        </w:tc>
        <w:tc>
          <w:tcPr>
            <w:tcW w:w="1794" w:type="dxa"/>
            <w:shd w:val="clear" w:color="auto" w:fill="auto"/>
            <w:vAlign w:val="center"/>
          </w:tcPr>
          <w:p w14:paraId="604403EF"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15</w:t>
            </w:r>
          </w:p>
        </w:tc>
        <w:tc>
          <w:tcPr>
            <w:tcW w:w="1800" w:type="dxa"/>
            <w:vMerge w:val="restart"/>
            <w:shd w:val="clear" w:color="auto" w:fill="auto"/>
            <w:vAlign w:val="center"/>
          </w:tcPr>
          <w:p w14:paraId="2C57C8B5"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8</w:t>
            </w:r>
          </w:p>
        </w:tc>
        <w:tc>
          <w:tcPr>
            <w:tcW w:w="1795" w:type="dxa"/>
            <w:shd w:val="clear" w:color="auto" w:fill="auto"/>
            <w:vAlign w:val="center"/>
          </w:tcPr>
          <w:p w14:paraId="3EBB9C46"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13</w:t>
            </w:r>
          </w:p>
        </w:tc>
        <w:tc>
          <w:tcPr>
            <w:tcW w:w="1798" w:type="dxa"/>
            <w:vMerge w:val="restart"/>
            <w:shd w:val="clear" w:color="auto" w:fill="auto"/>
            <w:vAlign w:val="center"/>
          </w:tcPr>
          <w:p w14:paraId="3E66FF13"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7</w:t>
            </w:r>
          </w:p>
        </w:tc>
      </w:tr>
      <w:tr w:rsidR="0097400A" w:rsidRPr="0097400A" w14:paraId="0677E960" w14:textId="77777777" w:rsidTr="00A2511C">
        <w:trPr>
          <w:jc w:val="center"/>
        </w:trPr>
        <w:tc>
          <w:tcPr>
            <w:tcW w:w="1393" w:type="dxa"/>
            <w:shd w:val="clear" w:color="auto" w:fill="auto"/>
          </w:tcPr>
          <w:p w14:paraId="0C33E52D" w14:textId="77777777" w:rsidR="0097400A" w:rsidRPr="0097400A" w:rsidRDefault="0097400A" w:rsidP="0097400A">
            <w:pPr>
              <w:pStyle w:val="ae"/>
              <w:rPr>
                <w:b w:val="0"/>
                <w:bCs/>
                <w:noProof/>
              </w:rPr>
            </w:pPr>
            <w:r w:rsidRPr="0097400A">
              <w:rPr>
                <w:b w:val="0"/>
                <w:bCs/>
                <w:noProof/>
              </w:rPr>
              <w:t>500</w:t>
            </w:r>
          </w:p>
        </w:tc>
        <w:tc>
          <w:tcPr>
            <w:tcW w:w="1794" w:type="dxa"/>
            <w:shd w:val="clear" w:color="auto" w:fill="auto"/>
            <w:vAlign w:val="center"/>
          </w:tcPr>
          <w:p w14:paraId="3DEBA898"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13</w:t>
            </w:r>
          </w:p>
        </w:tc>
        <w:tc>
          <w:tcPr>
            <w:tcW w:w="1800" w:type="dxa"/>
            <w:vMerge/>
            <w:shd w:val="clear" w:color="auto" w:fill="auto"/>
            <w:vAlign w:val="center"/>
          </w:tcPr>
          <w:p w14:paraId="14AFA05E" w14:textId="77777777" w:rsidR="0097400A" w:rsidRPr="0097400A" w:rsidRDefault="0097400A" w:rsidP="0097400A">
            <w:pPr>
              <w:pStyle w:val="ae"/>
              <w:rPr>
                <w:b w:val="0"/>
                <w:bCs/>
              </w:rPr>
            </w:pPr>
          </w:p>
        </w:tc>
        <w:tc>
          <w:tcPr>
            <w:tcW w:w="1795" w:type="dxa"/>
            <w:shd w:val="clear" w:color="auto" w:fill="auto"/>
            <w:vAlign w:val="center"/>
          </w:tcPr>
          <w:p w14:paraId="30A80520"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12</w:t>
            </w:r>
          </w:p>
        </w:tc>
        <w:tc>
          <w:tcPr>
            <w:tcW w:w="1798" w:type="dxa"/>
            <w:vMerge/>
            <w:shd w:val="clear" w:color="auto" w:fill="auto"/>
            <w:vAlign w:val="center"/>
          </w:tcPr>
          <w:p w14:paraId="38D96156" w14:textId="77777777" w:rsidR="0097400A" w:rsidRPr="0097400A" w:rsidRDefault="0097400A" w:rsidP="0097400A">
            <w:pPr>
              <w:pStyle w:val="ae"/>
              <w:rPr>
                <w:b w:val="0"/>
                <w:bCs/>
              </w:rPr>
            </w:pPr>
          </w:p>
        </w:tc>
      </w:tr>
      <w:tr w:rsidR="0097400A" w:rsidRPr="0097400A" w14:paraId="28DA6B9E" w14:textId="77777777" w:rsidTr="00A2511C">
        <w:trPr>
          <w:jc w:val="center"/>
        </w:trPr>
        <w:tc>
          <w:tcPr>
            <w:tcW w:w="1393" w:type="dxa"/>
            <w:shd w:val="clear" w:color="auto" w:fill="auto"/>
          </w:tcPr>
          <w:p w14:paraId="4140C624" w14:textId="77777777" w:rsidR="0097400A" w:rsidRPr="0097400A" w:rsidRDefault="0097400A" w:rsidP="0097400A">
            <w:pPr>
              <w:pStyle w:val="ae"/>
              <w:rPr>
                <w:b w:val="0"/>
                <w:bCs/>
                <w:noProof/>
              </w:rPr>
            </w:pPr>
            <w:r w:rsidRPr="0097400A">
              <w:rPr>
                <w:b w:val="0"/>
                <w:bCs/>
                <w:noProof/>
              </w:rPr>
              <w:lastRenderedPageBreak/>
              <w:t>630</w:t>
            </w:r>
          </w:p>
        </w:tc>
        <w:tc>
          <w:tcPr>
            <w:tcW w:w="1794" w:type="dxa"/>
            <w:shd w:val="clear" w:color="auto" w:fill="auto"/>
            <w:vAlign w:val="center"/>
          </w:tcPr>
          <w:p w14:paraId="6CFE2ABE"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12</w:t>
            </w:r>
          </w:p>
        </w:tc>
        <w:tc>
          <w:tcPr>
            <w:tcW w:w="1800" w:type="dxa"/>
            <w:vMerge/>
            <w:shd w:val="clear" w:color="auto" w:fill="auto"/>
            <w:vAlign w:val="center"/>
          </w:tcPr>
          <w:p w14:paraId="6DBAA8CA" w14:textId="77777777" w:rsidR="0097400A" w:rsidRPr="0097400A" w:rsidRDefault="0097400A" w:rsidP="0097400A">
            <w:pPr>
              <w:pStyle w:val="ae"/>
              <w:rPr>
                <w:b w:val="0"/>
                <w:bCs/>
              </w:rPr>
            </w:pPr>
          </w:p>
        </w:tc>
        <w:tc>
          <w:tcPr>
            <w:tcW w:w="1795" w:type="dxa"/>
            <w:shd w:val="clear" w:color="auto" w:fill="auto"/>
            <w:vAlign w:val="center"/>
          </w:tcPr>
          <w:p w14:paraId="2CEA51A2"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11</w:t>
            </w:r>
          </w:p>
        </w:tc>
        <w:tc>
          <w:tcPr>
            <w:tcW w:w="1798" w:type="dxa"/>
            <w:vMerge/>
            <w:shd w:val="clear" w:color="auto" w:fill="auto"/>
            <w:vAlign w:val="center"/>
          </w:tcPr>
          <w:p w14:paraId="344A7E42" w14:textId="77777777" w:rsidR="0097400A" w:rsidRPr="0097400A" w:rsidRDefault="0097400A" w:rsidP="0097400A">
            <w:pPr>
              <w:pStyle w:val="ae"/>
              <w:rPr>
                <w:b w:val="0"/>
                <w:bCs/>
              </w:rPr>
            </w:pPr>
          </w:p>
        </w:tc>
      </w:tr>
      <w:tr w:rsidR="0097400A" w:rsidRPr="0097400A" w14:paraId="70AA45C3" w14:textId="77777777" w:rsidTr="00A2511C">
        <w:trPr>
          <w:jc w:val="center"/>
        </w:trPr>
        <w:tc>
          <w:tcPr>
            <w:tcW w:w="1393" w:type="dxa"/>
            <w:shd w:val="clear" w:color="auto" w:fill="auto"/>
          </w:tcPr>
          <w:p w14:paraId="5E5F445E" w14:textId="77777777" w:rsidR="0097400A" w:rsidRPr="0097400A" w:rsidRDefault="0097400A" w:rsidP="0097400A">
            <w:pPr>
              <w:pStyle w:val="ae"/>
              <w:rPr>
                <w:b w:val="0"/>
                <w:bCs/>
                <w:noProof/>
              </w:rPr>
            </w:pPr>
            <w:r w:rsidRPr="0097400A">
              <w:rPr>
                <w:b w:val="0"/>
                <w:bCs/>
                <w:noProof/>
              </w:rPr>
              <w:t>800</w:t>
            </w:r>
          </w:p>
        </w:tc>
        <w:tc>
          <w:tcPr>
            <w:tcW w:w="1794" w:type="dxa"/>
            <w:shd w:val="clear" w:color="auto" w:fill="auto"/>
            <w:vAlign w:val="center"/>
          </w:tcPr>
          <w:p w14:paraId="07CEBE4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11</w:t>
            </w:r>
          </w:p>
        </w:tc>
        <w:tc>
          <w:tcPr>
            <w:tcW w:w="1800" w:type="dxa"/>
            <w:vMerge w:val="restart"/>
            <w:shd w:val="clear" w:color="auto" w:fill="auto"/>
            <w:vAlign w:val="center"/>
          </w:tcPr>
          <w:p w14:paraId="2166E531"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5</w:t>
            </w:r>
          </w:p>
        </w:tc>
        <w:tc>
          <w:tcPr>
            <w:tcW w:w="1795" w:type="dxa"/>
            <w:shd w:val="clear" w:color="auto" w:fill="auto"/>
            <w:vAlign w:val="center"/>
          </w:tcPr>
          <w:p w14:paraId="03734725"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798" w:type="dxa"/>
            <w:vMerge w:val="restart"/>
            <w:shd w:val="clear" w:color="auto" w:fill="auto"/>
            <w:vAlign w:val="center"/>
          </w:tcPr>
          <w:p w14:paraId="787D0EB6"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4</w:t>
            </w:r>
          </w:p>
        </w:tc>
      </w:tr>
      <w:tr w:rsidR="0097400A" w:rsidRPr="0097400A" w14:paraId="461A1AF2" w14:textId="77777777" w:rsidTr="00A2511C">
        <w:trPr>
          <w:jc w:val="center"/>
        </w:trPr>
        <w:tc>
          <w:tcPr>
            <w:tcW w:w="1393" w:type="dxa"/>
            <w:shd w:val="clear" w:color="auto" w:fill="auto"/>
          </w:tcPr>
          <w:p w14:paraId="4F434E8A" w14:textId="77777777" w:rsidR="0097400A" w:rsidRPr="0097400A" w:rsidRDefault="0097400A" w:rsidP="0097400A">
            <w:pPr>
              <w:pStyle w:val="ae"/>
              <w:rPr>
                <w:b w:val="0"/>
                <w:bCs/>
                <w:noProof/>
              </w:rPr>
            </w:pPr>
            <w:r w:rsidRPr="0097400A">
              <w:rPr>
                <w:b w:val="0"/>
                <w:bCs/>
                <w:noProof/>
              </w:rPr>
              <w:t>1000</w:t>
            </w:r>
          </w:p>
        </w:tc>
        <w:tc>
          <w:tcPr>
            <w:tcW w:w="1794" w:type="dxa"/>
            <w:shd w:val="clear" w:color="auto" w:fill="auto"/>
            <w:vAlign w:val="center"/>
          </w:tcPr>
          <w:p w14:paraId="6428D1F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10</w:t>
            </w:r>
          </w:p>
        </w:tc>
        <w:tc>
          <w:tcPr>
            <w:tcW w:w="1800" w:type="dxa"/>
            <w:vMerge/>
            <w:shd w:val="clear" w:color="auto" w:fill="auto"/>
            <w:vAlign w:val="center"/>
          </w:tcPr>
          <w:p w14:paraId="0D0C7FD3" w14:textId="77777777" w:rsidR="0097400A" w:rsidRPr="0097400A" w:rsidRDefault="0097400A" w:rsidP="0097400A">
            <w:pPr>
              <w:pStyle w:val="ae"/>
              <w:rPr>
                <w:b w:val="0"/>
                <w:bCs/>
              </w:rPr>
            </w:pPr>
          </w:p>
        </w:tc>
        <w:tc>
          <w:tcPr>
            <w:tcW w:w="1795" w:type="dxa"/>
            <w:shd w:val="clear" w:color="auto" w:fill="auto"/>
            <w:vAlign w:val="center"/>
          </w:tcPr>
          <w:p w14:paraId="33907BDF"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8</w:t>
            </w:r>
          </w:p>
        </w:tc>
        <w:tc>
          <w:tcPr>
            <w:tcW w:w="1798" w:type="dxa"/>
            <w:vMerge/>
            <w:shd w:val="clear" w:color="auto" w:fill="auto"/>
            <w:vAlign w:val="center"/>
          </w:tcPr>
          <w:p w14:paraId="48ECF905" w14:textId="77777777" w:rsidR="0097400A" w:rsidRPr="0097400A" w:rsidRDefault="0097400A" w:rsidP="0097400A">
            <w:pPr>
              <w:pStyle w:val="ae"/>
              <w:rPr>
                <w:b w:val="0"/>
                <w:bCs/>
              </w:rPr>
            </w:pPr>
          </w:p>
        </w:tc>
      </w:tr>
      <w:tr w:rsidR="0097400A" w:rsidRPr="0097400A" w14:paraId="786CCA13" w14:textId="77777777" w:rsidTr="00A2511C">
        <w:trPr>
          <w:jc w:val="center"/>
        </w:trPr>
        <w:tc>
          <w:tcPr>
            <w:tcW w:w="1393" w:type="dxa"/>
            <w:shd w:val="clear" w:color="auto" w:fill="auto"/>
          </w:tcPr>
          <w:p w14:paraId="72887F7E" w14:textId="77777777" w:rsidR="0097400A" w:rsidRPr="0097400A" w:rsidRDefault="0097400A" w:rsidP="0097400A">
            <w:pPr>
              <w:pStyle w:val="ae"/>
              <w:rPr>
                <w:b w:val="0"/>
                <w:bCs/>
                <w:noProof/>
              </w:rPr>
            </w:pPr>
            <w:r w:rsidRPr="0097400A">
              <w:rPr>
                <w:b w:val="0"/>
                <w:bCs/>
                <w:noProof/>
              </w:rPr>
              <w:t>1250</w:t>
            </w:r>
          </w:p>
        </w:tc>
        <w:tc>
          <w:tcPr>
            <w:tcW w:w="1794" w:type="dxa"/>
            <w:shd w:val="clear" w:color="auto" w:fill="auto"/>
            <w:vAlign w:val="center"/>
          </w:tcPr>
          <w:p w14:paraId="798FECD8"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800" w:type="dxa"/>
            <w:vMerge/>
            <w:shd w:val="clear" w:color="auto" w:fill="auto"/>
            <w:vAlign w:val="center"/>
          </w:tcPr>
          <w:p w14:paraId="217E2636" w14:textId="77777777" w:rsidR="0097400A" w:rsidRPr="0097400A" w:rsidRDefault="0097400A" w:rsidP="0097400A">
            <w:pPr>
              <w:pStyle w:val="ae"/>
              <w:rPr>
                <w:b w:val="0"/>
                <w:bCs/>
              </w:rPr>
            </w:pPr>
          </w:p>
        </w:tc>
        <w:tc>
          <w:tcPr>
            <w:tcW w:w="1795" w:type="dxa"/>
            <w:shd w:val="clear" w:color="auto" w:fill="auto"/>
            <w:vAlign w:val="center"/>
          </w:tcPr>
          <w:p w14:paraId="7F8CB650"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798" w:type="dxa"/>
            <w:vMerge/>
            <w:shd w:val="clear" w:color="auto" w:fill="auto"/>
            <w:vAlign w:val="center"/>
          </w:tcPr>
          <w:p w14:paraId="543B0CF4" w14:textId="77777777" w:rsidR="0097400A" w:rsidRPr="0097400A" w:rsidRDefault="0097400A" w:rsidP="0097400A">
            <w:pPr>
              <w:pStyle w:val="ae"/>
              <w:rPr>
                <w:b w:val="0"/>
                <w:bCs/>
              </w:rPr>
            </w:pPr>
          </w:p>
        </w:tc>
      </w:tr>
      <w:tr w:rsidR="0097400A" w:rsidRPr="0097400A" w14:paraId="7AD859AD" w14:textId="77777777" w:rsidTr="00A2511C">
        <w:trPr>
          <w:jc w:val="center"/>
        </w:trPr>
        <w:tc>
          <w:tcPr>
            <w:tcW w:w="1393" w:type="dxa"/>
            <w:shd w:val="clear" w:color="auto" w:fill="auto"/>
          </w:tcPr>
          <w:p w14:paraId="00912827" w14:textId="77777777" w:rsidR="0097400A" w:rsidRPr="0097400A" w:rsidRDefault="0097400A" w:rsidP="0097400A">
            <w:pPr>
              <w:pStyle w:val="ae"/>
              <w:rPr>
                <w:b w:val="0"/>
                <w:bCs/>
                <w:noProof/>
              </w:rPr>
            </w:pPr>
            <w:r w:rsidRPr="0097400A">
              <w:rPr>
                <w:b w:val="0"/>
                <w:bCs/>
                <w:noProof/>
              </w:rPr>
              <w:t>1600</w:t>
            </w:r>
          </w:p>
        </w:tc>
        <w:tc>
          <w:tcPr>
            <w:tcW w:w="1794" w:type="dxa"/>
            <w:shd w:val="clear" w:color="auto" w:fill="auto"/>
            <w:vAlign w:val="center"/>
          </w:tcPr>
          <w:p w14:paraId="5BBE0D59"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800" w:type="dxa"/>
            <w:vMerge w:val="restart"/>
            <w:shd w:val="clear" w:color="auto" w:fill="auto"/>
            <w:vAlign w:val="center"/>
          </w:tcPr>
          <w:p w14:paraId="2512FD7B"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4</w:t>
            </w:r>
          </w:p>
        </w:tc>
        <w:tc>
          <w:tcPr>
            <w:tcW w:w="1795" w:type="dxa"/>
            <w:shd w:val="clear" w:color="auto" w:fill="auto"/>
            <w:vAlign w:val="center"/>
          </w:tcPr>
          <w:p w14:paraId="64931712"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10</w:t>
            </w:r>
          </w:p>
        </w:tc>
        <w:tc>
          <w:tcPr>
            <w:tcW w:w="1798" w:type="dxa"/>
            <w:vMerge w:val="restart"/>
            <w:shd w:val="clear" w:color="auto" w:fill="auto"/>
            <w:vAlign w:val="center"/>
          </w:tcPr>
          <w:p w14:paraId="79E90100"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6</w:t>
            </w:r>
          </w:p>
        </w:tc>
      </w:tr>
      <w:tr w:rsidR="0097400A" w:rsidRPr="0097400A" w14:paraId="4086D24E" w14:textId="77777777" w:rsidTr="00A2511C">
        <w:trPr>
          <w:jc w:val="center"/>
        </w:trPr>
        <w:tc>
          <w:tcPr>
            <w:tcW w:w="1393" w:type="dxa"/>
            <w:shd w:val="clear" w:color="auto" w:fill="auto"/>
          </w:tcPr>
          <w:p w14:paraId="58F54BA4" w14:textId="77777777" w:rsidR="0097400A" w:rsidRPr="0097400A" w:rsidRDefault="0097400A" w:rsidP="0097400A">
            <w:pPr>
              <w:pStyle w:val="ae"/>
              <w:rPr>
                <w:b w:val="0"/>
                <w:bCs/>
                <w:noProof/>
              </w:rPr>
            </w:pPr>
            <w:r w:rsidRPr="0097400A">
              <w:rPr>
                <w:b w:val="0"/>
                <w:bCs/>
                <w:noProof/>
              </w:rPr>
              <w:t>2000</w:t>
            </w:r>
          </w:p>
        </w:tc>
        <w:tc>
          <w:tcPr>
            <w:tcW w:w="1794" w:type="dxa"/>
            <w:shd w:val="clear" w:color="auto" w:fill="auto"/>
            <w:vAlign w:val="center"/>
          </w:tcPr>
          <w:p w14:paraId="5563ADEA"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800" w:type="dxa"/>
            <w:vMerge/>
            <w:shd w:val="clear" w:color="auto" w:fill="auto"/>
            <w:vAlign w:val="center"/>
          </w:tcPr>
          <w:p w14:paraId="6C13D3F4" w14:textId="77777777" w:rsidR="0097400A" w:rsidRPr="0097400A" w:rsidRDefault="0097400A" w:rsidP="0097400A">
            <w:pPr>
              <w:pStyle w:val="ae"/>
              <w:rPr>
                <w:b w:val="0"/>
                <w:bCs/>
              </w:rPr>
            </w:pPr>
          </w:p>
        </w:tc>
        <w:tc>
          <w:tcPr>
            <w:tcW w:w="1795" w:type="dxa"/>
            <w:shd w:val="clear" w:color="auto" w:fill="auto"/>
            <w:vAlign w:val="center"/>
          </w:tcPr>
          <w:p w14:paraId="4FB731B3"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11</w:t>
            </w:r>
          </w:p>
        </w:tc>
        <w:tc>
          <w:tcPr>
            <w:tcW w:w="1798" w:type="dxa"/>
            <w:vMerge/>
            <w:shd w:val="clear" w:color="auto" w:fill="auto"/>
            <w:vAlign w:val="center"/>
          </w:tcPr>
          <w:p w14:paraId="41FA75D2" w14:textId="77777777" w:rsidR="0097400A" w:rsidRPr="0097400A" w:rsidRDefault="0097400A" w:rsidP="0097400A">
            <w:pPr>
              <w:pStyle w:val="ae"/>
              <w:rPr>
                <w:b w:val="0"/>
                <w:bCs/>
              </w:rPr>
            </w:pPr>
          </w:p>
        </w:tc>
      </w:tr>
      <w:tr w:rsidR="0097400A" w:rsidRPr="0097400A" w14:paraId="250F9EA9" w14:textId="77777777" w:rsidTr="00A2511C">
        <w:trPr>
          <w:jc w:val="center"/>
        </w:trPr>
        <w:tc>
          <w:tcPr>
            <w:tcW w:w="1393" w:type="dxa"/>
            <w:shd w:val="clear" w:color="auto" w:fill="auto"/>
          </w:tcPr>
          <w:p w14:paraId="0F3ECC16" w14:textId="77777777" w:rsidR="0097400A" w:rsidRPr="0097400A" w:rsidRDefault="0097400A" w:rsidP="0097400A">
            <w:pPr>
              <w:pStyle w:val="ae"/>
              <w:rPr>
                <w:b w:val="0"/>
                <w:bCs/>
                <w:noProof/>
              </w:rPr>
            </w:pPr>
            <w:r w:rsidRPr="0097400A">
              <w:rPr>
                <w:b w:val="0"/>
                <w:bCs/>
                <w:noProof/>
              </w:rPr>
              <w:t>2500</w:t>
            </w:r>
          </w:p>
        </w:tc>
        <w:tc>
          <w:tcPr>
            <w:tcW w:w="1794" w:type="dxa"/>
            <w:shd w:val="clear" w:color="auto" w:fill="auto"/>
            <w:vAlign w:val="center"/>
          </w:tcPr>
          <w:p w14:paraId="772821FC"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800" w:type="dxa"/>
            <w:vMerge/>
            <w:shd w:val="clear" w:color="auto" w:fill="auto"/>
            <w:vAlign w:val="center"/>
          </w:tcPr>
          <w:p w14:paraId="59ACB103" w14:textId="77777777" w:rsidR="0097400A" w:rsidRPr="0097400A" w:rsidRDefault="0097400A" w:rsidP="0097400A">
            <w:pPr>
              <w:pStyle w:val="ae"/>
              <w:rPr>
                <w:b w:val="0"/>
                <w:bCs/>
              </w:rPr>
            </w:pPr>
          </w:p>
        </w:tc>
        <w:tc>
          <w:tcPr>
            <w:tcW w:w="1795" w:type="dxa"/>
            <w:shd w:val="clear" w:color="auto" w:fill="auto"/>
            <w:vAlign w:val="center"/>
          </w:tcPr>
          <w:p w14:paraId="510FB2A8"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13</w:t>
            </w:r>
          </w:p>
        </w:tc>
        <w:tc>
          <w:tcPr>
            <w:tcW w:w="1798" w:type="dxa"/>
            <w:vMerge/>
            <w:shd w:val="clear" w:color="auto" w:fill="auto"/>
            <w:vAlign w:val="center"/>
          </w:tcPr>
          <w:p w14:paraId="6245A674" w14:textId="77777777" w:rsidR="0097400A" w:rsidRPr="0097400A" w:rsidRDefault="0097400A" w:rsidP="0097400A">
            <w:pPr>
              <w:pStyle w:val="ae"/>
              <w:rPr>
                <w:b w:val="0"/>
                <w:bCs/>
              </w:rPr>
            </w:pPr>
          </w:p>
        </w:tc>
      </w:tr>
      <w:tr w:rsidR="0097400A" w:rsidRPr="0097400A" w14:paraId="50399C63" w14:textId="77777777" w:rsidTr="00A2511C">
        <w:trPr>
          <w:jc w:val="center"/>
        </w:trPr>
        <w:tc>
          <w:tcPr>
            <w:tcW w:w="1393" w:type="dxa"/>
            <w:shd w:val="clear" w:color="auto" w:fill="auto"/>
          </w:tcPr>
          <w:p w14:paraId="63469029" w14:textId="77777777" w:rsidR="0097400A" w:rsidRPr="0097400A" w:rsidRDefault="0097400A" w:rsidP="0097400A">
            <w:pPr>
              <w:pStyle w:val="ae"/>
              <w:rPr>
                <w:b w:val="0"/>
                <w:bCs/>
                <w:noProof/>
              </w:rPr>
            </w:pPr>
            <w:r w:rsidRPr="0097400A">
              <w:rPr>
                <w:b w:val="0"/>
                <w:bCs/>
                <w:noProof/>
              </w:rPr>
              <w:t>3150</w:t>
            </w:r>
          </w:p>
        </w:tc>
        <w:tc>
          <w:tcPr>
            <w:tcW w:w="1794" w:type="dxa"/>
            <w:shd w:val="clear" w:color="auto" w:fill="auto"/>
            <w:vAlign w:val="center"/>
          </w:tcPr>
          <w:p w14:paraId="25155BC6"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9</w:t>
            </w:r>
          </w:p>
        </w:tc>
        <w:tc>
          <w:tcPr>
            <w:tcW w:w="1800" w:type="dxa"/>
            <w:shd w:val="clear" w:color="auto" w:fill="auto"/>
            <w:vAlign w:val="center"/>
          </w:tcPr>
          <w:p w14:paraId="3F6E7D77" w14:textId="77777777" w:rsidR="0097400A" w:rsidRPr="0097400A" w:rsidRDefault="0097400A" w:rsidP="0097400A">
            <w:pPr>
              <w:pStyle w:val="ae"/>
              <w:rPr>
                <w:b w:val="0"/>
                <w:bCs/>
              </w:rPr>
            </w:pPr>
            <w:r w:rsidRPr="0097400A">
              <w:rPr>
                <w:b w:val="0"/>
                <w:bCs/>
              </w:rPr>
              <w:t>—</w:t>
            </w:r>
          </w:p>
        </w:tc>
        <w:tc>
          <w:tcPr>
            <w:tcW w:w="1795" w:type="dxa"/>
            <w:shd w:val="clear" w:color="auto" w:fill="auto"/>
            <w:vAlign w:val="center"/>
          </w:tcPr>
          <w:p w14:paraId="0CD02376" w14:textId="77777777" w:rsidR="0097400A" w:rsidRPr="0097400A" w:rsidRDefault="0097400A" w:rsidP="0097400A">
            <w:pPr>
              <w:pStyle w:val="ae"/>
              <w:rPr>
                <w:b w:val="0"/>
                <w:bCs/>
              </w:rPr>
            </w:pPr>
            <w:r w:rsidRPr="0097400A">
              <w:rPr>
                <w:rFonts w:ascii="Symbol" w:hAnsi="Symbol"/>
                <w:b w:val="0"/>
                <w:bCs/>
                <w:position w:val="2"/>
              </w:rPr>
              <w:t></w:t>
            </w:r>
            <w:r w:rsidRPr="0097400A">
              <w:rPr>
                <w:b w:val="0"/>
                <w:bCs/>
              </w:rPr>
              <w:t>15</w:t>
            </w:r>
          </w:p>
        </w:tc>
        <w:tc>
          <w:tcPr>
            <w:tcW w:w="1798" w:type="dxa"/>
            <w:shd w:val="clear" w:color="auto" w:fill="auto"/>
            <w:vAlign w:val="center"/>
          </w:tcPr>
          <w:p w14:paraId="27ED288E" w14:textId="77777777" w:rsidR="0097400A" w:rsidRPr="0097400A" w:rsidRDefault="0097400A" w:rsidP="0097400A">
            <w:pPr>
              <w:pStyle w:val="ae"/>
              <w:rPr>
                <w:b w:val="0"/>
                <w:bCs/>
              </w:rPr>
            </w:pPr>
            <w:r w:rsidRPr="0097400A">
              <w:rPr>
                <w:b w:val="0"/>
                <w:bCs/>
              </w:rPr>
              <w:t>—</w:t>
            </w:r>
          </w:p>
        </w:tc>
      </w:tr>
    </w:tbl>
    <w:p w14:paraId="4BC1A5AF" w14:textId="77777777" w:rsidR="00913C78" w:rsidRPr="00913C78" w:rsidRDefault="00913C78" w:rsidP="00913C78">
      <w:pPr>
        <w:ind w:firstLine="420"/>
      </w:pPr>
    </w:p>
    <w:p w14:paraId="5EFE08E8" w14:textId="77777777" w:rsidR="00913C78" w:rsidRPr="00913C78" w:rsidRDefault="00913C78" w:rsidP="00913C78">
      <w:pPr>
        <w:ind w:firstLine="420"/>
      </w:pPr>
      <w:r w:rsidRPr="00913C78">
        <w:rPr>
          <w:rFonts w:hint="eastAsia"/>
        </w:rPr>
        <w:t>计算出隔墙构造的计权隔声量</w:t>
      </w:r>
      <w:r w:rsidRPr="00913C78">
        <w:rPr>
          <w:rFonts w:hint="eastAsia"/>
        </w:rPr>
        <w:t>+</w:t>
      </w:r>
      <w:r w:rsidRPr="00913C78">
        <w:rPr>
          <w:rFonts w:hint="eastAsia"/>
        </w:rPr>
        <w:t>粉红噪声频谱修正值（</w:t>
      </w:r>
      <w:r w:rsidRPr="00913C78">
        <w:rPr>
          <w:rFonts w:hint="eastAsia"/>
        </w:rPr>
        <w:t>Rw+C</w:t>
      </w:r>
      <w:r w:rsidRPr="00913C78">
        <w:rPr>
          <w:rFonts w:hint="eastAsia"/>
        </w:rPr>
        <w:t>）结果</w:t>
      </w:r>
      <w:r w:rsidRPr="00913C78">
        <w:t>，</w:t>
      </w:r>
      <w:r w:rsidRPr="00913C78">
        <w:rPr>
          <w:rFonts w:hint="eastAsia"/>
        </w:rPr>
        <w:t>据此判断该隔墙的空气声隔声性能是否满足《民用建筑隔声设计规范》（</w:t>
      </w:r>
      <w:r w:rsidRPr="00913C78">
        <w:rPr>
          <w:rFonts w:hint="eastAsia"/>
        </w:rPr>
        <w:t>GB</w:t>
      </w:r>
      <w:r w:rsidRPr="00913C78">
        <w:t> </w:t>
      </w:r>
      <w:r w:rsidRPr="00913C78">
        <w:rPr>
          <w:rFonts w:hint="eastAsia"/>
        </w:rPr>
        <w:t>50118</w:t>
      </w:r>
      <w:r w:rsidRPr="00913C78">
        <w:rPr>
          <w:rFonts w:hint="eastAsia"/>
        </w:rPr>
        <w:t>—</w:t>
      </w:r>
      <w:r w:rsidRPr="00913C78">
        <w:rPr>
          <w:rFonts w:hint="eastAsia"/>
        </w:rPr>
        <w:t>2010</w:t>
      </w:r>
      <w:r w:rsidRPr="00913C78">
        <w:rPr>
          <w:rFonts w:hint="eastAsia"/>
        </w:rPr>
        <w:t>）要求。</w:t>
      </w:r>
    </w:p>
    <w:p w14:paraId="52A8A06B" w14:textId="77777777" w:rsidR="00913C78" w:rsidRPr="00913C78" w:rsidRDefault="00913C78" w:rsidP="00913C78">
      <w:pPr>
        <w:ind w:firstLine="420"/>
      </w:pPr>
      <w:bookmarkStart w:id="423" w:name="_Toc476401983"/>
      <w:r w:rsidRPr="00913C78">
        <w:rPr>
          <w:rFonts w:hint="eastAsia"/>
        </w:rPr>
        <w:t>（</w:t>
      </w:r>
      <w:r w:rsidRPr="00913C78">
        <w:rPr>
          <w:rFonts w:hint="eastAsia"/>
        </w:rPr>
        <w:t>3</w:t>
      </w:r>
      <w:r w:rsidRPr="00913C78">
        <w:rPr>
          <w:rFonts w:hint="eastAsia"/>
        </w:rPr>
        <w:t>）外墙的空气声计权隔声量</w:t>
      </w:r>
      <w:bookmarkEnd w:id="423"/>
    </w:p>
    <w:p w14:paraId="2A1F178B" w14:textId="77777777" w:rsidR="00913C78" w:rsidRPr="00913C78" w:rsidRDefault="00913C78" w:rsidP="00913C78">
      <w:pPr>
        <w:ind w:firstLine="420"/>
      </w:pPr>
      <w:r w:rsidRPr="00913C78">
        <w:rPr>
          <w:rFonts w:hint="eastAsia"/>
        </w:rPr>
        <w:t>应</w:t>
      </w:r>
      <w:r w:rsidRPr="00913C78">
        <w:t>列出</w:t>
      </w:r>
      <w:r w:rsidRPr="00913C78">
        <w:rPr>
          <w:rFonts w:hint="eastAsia"/>
        </w:rPr>
        <w:t>隔墙构造及相关参数（如附</w:t>
      </w:r>
      <w:r w:rsidRPr="00913C78">
        <w:t>表</w:t>
      </w:r>
      <w:r w:rsidRPr="00913C78">
        <w:rPr>
          <w:rFonts w:hint="eastAsia"/>
        </w:rPr>
        <w:t>B.6.5</w:t>
      </w:r>
      <w:r w:rsidRPr="00913C78">
        <w:rPr>
          <w:rFonts w:hint="eastAsia"/>
        </w:rPr>
        <w:t>）。</w:t>
      </w:r>
    </w:p>
    <w:p w14:paraId="05D6EDD7" w14:textId="77777777" w:rsidR="00913C78" w:rsidRPr="00913C78" w:rsidRDefault="00913C78" w:rsidP="0097400A">
      <w:pPr>
        <w:pStyle w:val="ae"/>
      </w:pPr>
      <w:r w:rsidRPr="00913C78">
        <w:rPr>
          <w:rFonts w:hint="eastAsia"/>
        </w:rPr>
        <w:t>附</w:t>
      </w:r>
      <w:r w:rsidRPr="00913C78">
        <w:t>表</w:t>
      </w:r>
      <w:r w:rsidRPr="00913C78">
        <w:rPr>
          <w:rFonts w:hint="eastAsia"/>
        </w:rPr>
        <w:t xml:space="preserve">B.6.5 </w:t>
      </w:r>
      <w:r w:rsidRPr="00913C78">
        <w:t xml:space="preserve"> </w:t>
      </w:r>
      <w:r w:rsidRPr="00913C78">
        <w:rPr>
          <w:rFonts w:hint="eastAsia"/>
        </w:rPr>
        <w:t>外墙构造及相关参数</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4" w:type="dxa"/>
        </w:tblCellMar>
        <w:tblLook w:val="04A0" w:firstRow="1" w:lastRow="0" w:firstColumn="1" w:lastColumn="0" w:noHBand="0" w:noVBand="1"/>
      </w:tblPr>
      <w:tblGrid>
        <w:gridCol w:w="2403"/>
        <w:gridCol w:w="887"/>
        <w:gridCol w:w="1288"/>
        <w:gridCol w:w="2792"/>
      </w:tblGrid>
      <w:tr w:rsidR="00913C78" w:rsidRPr="0097400A" w14:paraId="1424D6F6" w14:textId="77777777" w:rsidTr="00A2511C">
        <w:trPr>
          <w:jc w:val="center"/>
        </w:trPr>
        <w:tc>
          <w:tcPr>
            <w:tcW w:w="1630" w:type="pct"/>
            <w:shd w:val="clear" w:color="auto" w:fill="auto"/>
            <w:vAlign w:val="center"/>
          </w:tcPr>
          <w:p w14:paraId="216F0961" w14:textId="77777777" w:rsidR="00913C78" w:rsidRPr="0097400A" w:rsidRDefault="00913C78" w:rsidP="0097400A">
            <w:pPr>
              <w:pStyle w:val="ae"/>
              <w:rPr>
                <w:b w:val="0"/>
                <w:bCs/>
              </w:rPr>
            </w:pPr>
            <w:r w:rsidRPr="0097400A">
              <w:rPr>
                <w:rFonts w:hint="eastAsia"/>
                <w:b w:val="0"/>
                <w:bCs/>
              </w:rPr>
              <w:t>外墙构造</w:t>
            </w:r>
          </w:p>
        </w:tc>
        <w:tc>
          <w:tcPr>
            <w:tcW w:w="602" w:type="pct"/>
            <w:shd w:val="clear" w:color="auto" w:fill="auto"/>
            <w:vAlign w:val="center"/>
          </w:tcPr>
          <w:p w14:paraId="3BC79186" w14:textId="77777777" w:rsidR="00913C78" w:rsidRPr="0097400A" w:rsidRDefault="00913C78" w:rsidP="0097400A">
            <w:pPr>
              <w:pStyle w:val="ae"/>
              <w:rPr>
                <w:b w:val="0"/>
                <w:bCs/>
              </w:rPr>
            </w:pPr>
            <w:r w:rsidRPr="0097400A">
              <w:rPr>
                <w:rFonts w:hint="eastAsia"/>
                <w:b w:val="0"/>
                <w:bCs/>
              </w:rPr>
              <w:t>厚度</w:t>
            </w:r>
            <w:r w:rsidRPr="0097400A">
              <w:rPr>
                <w:rFonts w:hint="eastAsia"/>
                <w:b w:val="0"/>
                <w:bCs/>
              </w:rPr>
              <w:t>/</w:t>
            </w:r>
            <w:r w:rsidRPr="0097400A">
              <w:rPr>
                <w:b w:val="0"/>
                <w:bCs/>
              </w:rPr>
              <w:t>mm</w:t>
            </w:r>
          </w:p>
        </w:tc>
        <w:tc>
          <w:tcPr>
            <w:tcW w:w="874" w:type="pct"/>
            <w:shd w:val="clear" w:color="auto" w:fill="auto"/>
            <w:vAlign w:val="center"/>
          </w:tcPr>
          <w:p w14:paraId="72269FDD" w14:textId="77777777" w:rsidR="00913C78" w:rsidRPr="0097400A" w:rsidRDefault="00913C78" w:rsidP="0097400A">
            <w:pPr>
              <w:pStyle w:val="ae"/>
              <w:rPr>
                <w:b w:val="0"/>
                <w:bCs/>
              </w:rPr>
            </w:pPr>
            <w:r w:rsidRPr="0097400A">
              <w:rPr>
                <w:rFonts w:hint="eastAsia"/>
                <w:b w:val="0"/>
                <w:bCs/>
              </w:rPr>
              <w:t>密度</w:t>
            </w:r>
            <w:r w:rsidRPr="0097400A">
              <w:rPr>
                <w:rFonts w:hint="eastAsia"/>
                <w:b w:val="0"/>
                <w:bCs/>
              </w:rPr>
              <w:t>/</w:t>
            </w:r>
            <w:r w:rsidRPr="0097400A">
              <w:rPr>
                <w:rFonts w:hint="eastAsia"/>
                <w:b w:val="0"/>
                <w:bCs/>
              </w:rPr>
              <w:t>（</w:t>
            </w:r>
            <w:r w:rsidRPr="0097400A">
              <w:rPr>
                <w:b w:val="0"/>
                <w:bCs/>
              </w:rPr>
              <w:t>kg/m³</w:t>
            </w:r>
            <w:r w:rsidRPr="0097400A">
              <w:rPr>
                <w:rFonts w:hint="eastAsia"/>
                <w:b w:val="0"/>
                <w:bCs/>
              </w:rPr>
              <w:t>）</w:t>
            </w:r>
          </w:p>
        </w:tc>
        <w:tc>
          <w:tcPr>
            <w:tcW w:w="1894" w:type="pct"/>
            <w:shd w:val="clear" w:color="auto" w:fill="auto"/>
            <w:vAlign w:val="center"/>
          </w:tcPr>
          <w:p w14:paraId="4ECFC77D" w14:textId="77777777" w:rsidR="00913C78" w:rsidRPr="0097400A" w:rsidRDefault="00913C78" w:rsidP="0097400A">
            <w:pPr>
              <w:pStyle w:val="ae"/>
              <w:rPr>
                <w:b w:val="0"/>
                <w:bCs/>
              </w:rPr>
            </w:pPr>
            <w:r w:rsidRPr="0097400A">
              <w:rPr>
                <w:rFonts w:hint="eastAsia"/>
                <w:b w:val="0"/>
                <w:bCs/>
              </w:rPr>
              <w:t>综合面密度</w:t>
            </w:r>
            <w:r w:rsidRPr="0097400A">
              <w:rPr>
                <w:b w:val="0"/>
                <w:bCs/>
              </w:rPr>
              <w:t>m</w:t>
            </w:r>
            <w:r w:rsidRPr="0097400A">
              <w:rPr>
                <w:rFonts w:hint="eastAsia"/>
                <w:b w:val="0"/>
                <w:bCs/>
              </w:rPr>
              <w:t>/</w:t>
            </w:r>
            <w:r w:rsidRPr="0097400A">
              <w:rPr>
                <w:rFonts w:hint="eastAsia"/>
                <w:b w:val="0"/>
                <w:bCs/>
              </w:rPr>
              <w:t>（</w:t>
            </w:r>
            <w:r w:rsidRPr="0097400A">
              <w:rPr>
                <w:b w:val="0"/>
                <w:bCs/>
              </w:rPr>
              <w:t>kg/</w:t>
            </w:r>
            <w:r w:rsidRPr="0097400A">
              <w:rPr>
                <w:rFonts w:hint="eastAsia"/>
                <w:b w:val="0"/>
                <w:bCs/>
              </w:rPr>
              <w:t>m2</w:t>
            </w:r>
            <w:r w:rsidRPr="0097400A">
              <w:rPr>
                <w:rFonts w:hint="eastAsia"/>
                <w:b w:val="0"/>
                <w:bCs/>
              </w:rPr>
              <w:t>）</w:t>
            </w:r>
          </w:p>
        </w:tc>
      </w:tr>
      <w:tr w:rsidR="00913C78" w:rsidRPr="0097400A" w14:paraId="7CD3DB57" w14:textId="77777777" w:rsidTr="00A2511C">
        <w:trPr>
          <w:jc w:val="center"/>
        </w:trPr>
        <w:tc>
          <w:tcPr>
            <w:tcW w:w="1630" w:type="pct"/>
            <w:shd w:val="clear" w:color="auto" w:fill="auto"/>
            <w:vAlign w:val="center"/>
          </w:tcPr>
          <w:p w14:paraId="645758F5" w14:textId="77777777" w:rsidR="00913C78" w:rsidRPr="0097400A" w:rsidRDefault="00913C78" w:rsidP="0097400A">
            <w:pPr>
              <w:pStyle w:val="ae"/>
              <w:rPr>
                <w:b w:val="0"/>
                <w:bCs/>
              </w:rPr>
            </w:pPr>
            <w:r w:rsidRPr="0097400A">
              <w:rPr>
                <w:rFonts w:hint="eastAsia"/>
                <w:b w:val="0"/>
                <w:bCs/>
              </w:rPr>
              <w:t>水泥砂浆</w:t>
            </w:r>
          </w:p>
        </w:tc>
        <w:tc>
          <w:tcPr>
            <w:tcW w:w="602" w:type="pct"/>
            <w:shd w:val="clear" w:color="auto" w:fill="auto"/>
            <w:vAlign w:val="center"/>
          </w:tcPr>
          <w:p w14:paraId="05FC94AF" w14:textId="77777777" w:rsidR="00913C78" w:rsidRPr="0097400A" w:rsidRDefault="00913C78" w:rsidP="0097400A">
            <w:pPr>
              <w:pStyle w:val="ae"/>
              <w:rPr>
                <w:b w:val="0"/>
                <w:bCs/>
              </w:rPr>
            </w:pPr>
            <w:r w:rsidRPr="0097400A">
              <w:rPr>
                <w:b w:val="0"/>
                <w:bCs/>
              </w:rPr>
              <w:t>25</w:t>
            </w:r>
          </w:p>
        </w:tc>
        <w:tc>
          <w:tcPr>
            <w:tcW w:w="874" w:type="pct"/>
            <w:shd w:val="clear" w:color="auto" w:fill="auto"/>
            <w:vAlign w:val="center"/>
          </w:tcPr>
          <w:p w14:paraId="45E0C3B5" w14:textId="77777777" w:rsidR="00913C78" w:rsidRPr="0097400A" w:rsidRDefault="00913C78" w:rsidP="0097400A">
            <w:pPr>
              <w:pStyle w:val="ae"/>
              <w:rPr>
                <w:b w:val="0"/>
                <w:bCs/>
              </w:rPr>
            </w:pPr>
            <w:r w:rsidRPr="0097400A">
              <w:rPr>
                <w:b w:val="0"/>
                <w:bCs/>
              </w:rPr>
              <w:t>1800</w:t>
            </w:r>
          </w:p>
        </w:tc>
        <w:tc>
          <w:tcPr>
            <w:tcW w:w="1894" w:type="pct"/>
            <w:vMerge w:val="restart"/>
            <w:shd w:val="clear" w:color="auto" w:fill="auto"/>
            <w:vAlign w:val="center"/>
          </w:tcPr>
          <w:p w14:paraId="5AC0D131" w14:textId="77777777" w:rsidR="00913C78" w:rsidRPr="0097400A" w:rsidRDefault="00913C78" w:rsidP="0097400A">
            <w:pPr>
              <w:pStyle w:val="ae"/>
              <w:rPr>
                <w:b w:val="0"/>
                <w:bCs/>
              </w:rPr>
            </w:pPr>
            <w:r w:rsidRPr="0097400A">
              <w:rPr>
                <w:b w:val="0"/>
                <w:bCs/>
              </w:rPr>
              <w:t>211</w:t>
            </w:r>
          </w:p>
          <w:p w14:paraId="322627DB" w14:textId="77777777" w:rsidR="00913C78" w:rsidRPr="0097400A" w:rsidRDefault="00913C78" w:rsidP="0097400A">
            <w:pPr>
              <w:pStyle w:val="ae"/>
              <w:rPr>
                <w:b w:val="0"/>
                <w:bCs/>
              </w:rPr>
            </w:pPr>
            <w:r w:rsidRPr="0097400A">
              <w:rPr>
                <w:rFonts w:hint="eastAsia"/>
                <w:b w:val="0"/>
                <w:bCs/>
              </w:rPr>
              <w:t>（</w:t>
            </w:r>
            <w:r w:rsidRPr="0097400A">
              <w:rPr>
                <w:b w:val="0"/>
                <w:bCs/>
              </w:rPr>
              <w:t>0.025×1800+0.060×100+0.200×800</w:t>
            </w:r>
            <w:r w:rsidRPr="0097400A">
              <w:rPr>
                <w:rFonts w:hint="eastAsia"/>
                <w:b w:val="0"/>
                <w:bCs/>
              </w:rPr>
              <w:t>）</w:t>
            </w:r>
          </w:p>
        </w:tc>
      </w:tr>
      <w:tr w:rsidR="00913C78" w:rsidRPr="0097400A" w14:paraId="489D9942" w14:textId="77777777" w:rsidTr="00A2511C">
        <w:trPr>
          <w:jc w:val="center"/>
        </w:trPr>
        <w:tc>
          <w:tcPr>
            <w:tcW w:w="1630" w:type="pct"/>
            <w:shd w:val="clear" w:color="auto" w:fill="auto"/>
            <w:vAlign w:val="center"/>
          </w:tcPr>
          <w:p w14:paraId="66929030" w14:textId="77777777" w:rsidR="00913C78" w:rsidRPr="0097400A" w:rsidRDefault="00913C78" w:rsidP="0097400A">
            <w:pPr>
              <w:pStyle w:val="ae"/>
              <w:rPr>
                <w:b w:val="0"/>
                <w:bCs/>
              </w:rPr>
            </w:pPr>
            <w:r w:rsidRPr="0097400A">
              <w:rPr>
                <w:rFonts w:hint="eastAsia"/>
                <w:b w:val="0"/>
                <w:bCs/>
              </w:rPr>
              <w:t>岩棉板</w:t>
            </w:r>
          </w:p>
        </w:tc>
        <w:tc>
          <w:tcPr>
            <w:tcW w:w="602" w:type="pct"/>
            <w:shd w:val="clear" w:color="auto" w:fill="auto"/>
            <w:vAlign w:val="center"/>
          </w:tcPr>
          <w:p w14:paraId="1FB27DBF" w14:textId="77777777" w:rsidR="00913C78" w:rsidRPr="0097400A" w:rsidRDefault="00913C78" w:rsidP="0097400A">
            <w:pPr>
              <w:pStyle w:val="ae"/>
              <w:rPr>
                <w:b w:val="0"/>
                <w:bCs/>
              </w:rPr>
            </w:pPr>
            <w:r w:rsidRPr="0097400A">
              <w:rPr>
                <w:b w:val="0"/>
                <w:bCs/>
              </w:rPr>
              <w:t>60</w:t>
            </w:r>
          </w:p>
        </w:tc>
        <w:tc>
          <w:tcPr>
            <w:tcW w:w="874" w:type="pct"/>
            <w:shd w:val="clear" w:color="auto" w:fill="auto"/>
            <w:vAlign w:val="center"/>
          </w:tcPr>
          <w:p w14:paraId="1D8EC8FA" w14:textId="77777777" w:rsidR="00913C78" w:rsidRPr="0097400A" w:rsidRDefault="00913C78" w:rsidP="0097400A">
            <w:pPr>
              <w:pStyle w:val="ae"/>
              <w:rPr>
                <w:b w:val="0"/>
                <w:bCs/>
              </w:rPr>
            </w:pPr>
            <w:r w:rsidRPr="0097400A">
              <w:rPr>
                <w:b w:val="0"/>
                <w:bCs/>
              </w:rPr>
              <w:t>100</w:t>
            </w:r>
          </w:p>
        </w:tc>
        <w:tc>
          <w:tcPr>
            <w:tcW w:w="1894" w:type="pct"/>
            <w:vMerge/>
            <w:shd w:val="clear" w:color="auto" w:fill="auto"/>
            <w:vAlign w:val="center"/>
          </w:tcPr>
          <w:p w14:paraId="09C0E854" w14:textId="77777777" w:rsidR="00913C78" w:rsidRPr="0097400A" w:rsidRDefault="00913C78" w:rsidP="0097400A">
            <w:pPr>
              <w:pStyle w:val="ae"/>
              <w:rPr>
                <w:b w:val="0"/>
                <w:bCs/>
              </w:rPr>
            </w:pPr>
          </w:p>
        </w:tc>
      </w:tr>
      <w:tr w:rsidR="00913C78" w:rsidRPr="0097400A" w14:paraId="75D5FF13" w14:textId="77777777" w:rsidTr="00A2511C">
        <w:trPr>
          <w:jc w:val="center"/>
        </w:trPr>
        <w:tc>
          <w:tcPr>
            <w:tcW w:w="1630" w:type="pct"/>
            <w:shd w:val="clear" w:color="auto" w:fill="auto"/>
            <w:vAlign w:val="center"/>
          </w:tcPr>
          <w:p w14:paraId="610D6266" w14:textId="77777777" w:rsidR="00913C78" w:rsidRPr="0097400A" w:rsidRDefault="00913C78" w:rsidP="0097400A">
            <w:pPr>
              <w:pStyle w:val="ae"/>
              <w:rPr>
                <w:b w:val="0"/>
                <w:bCs/>
              </w:rPr>
            </w:pPr>
            <w:r w:rsidRPr="0097400A">
              <w:rPr>
                <w:rFonts w:hint="eastAsia"/>
                <w:b w:val="0"/>
                <w:bCs/>
              </w:rPr>
              <w:t>普通烧结页岩空心砖砌体</w:t>
            </w:r>
          </w:p>
        </w:tc>
        <w:tc>
          <w:tcPr>
            <w:tcW w:w="602" w:type="pct"/>
            <w:shd w:val="clear" w:color="auto" w:fill="auto"/>
            <w:vAlign w:val="center"/>
          </w:tcPr>
          <w:p w14:paraId="5984D2B2" w14:textId="77777777" w:rsidR="00913C78" w:rsidRPr="0097400A" w:rsidRDefault="00913C78" w:rsidP="0097400A">
            <w:pPr>
              <w:pStyle w:val="ae"/>
              <w:rPr>
                <w:b w:val="0"/>
                <w:bCs/>
              </w:rPr>
            </w:pPr>
            <w:r w:rsidRPr="0097400A">
              <w:rPr>
                <w:b w:val="0"/>
                <w:bCs/>
              </w:rPr>
              <w:t>200</w:t>
            </w:r>
          </w:p>
        </w:tc>
        <w:tc>
          <w:tcPr>
            <w:tcW w:w="874" w:type="pct"/>
            <w:shd w:val="clear" w:color="auto" w:fill="auto"/>
            <w:vAlign w:val="center"/>
          </w:tcPr>
          <w:p w14:paraId="5793E93A" w14:textId="77777777" w:rsidR="00913C78" w:rsidRPr="0097400A" w:rsidRDefault="00913C78" w:rsidP="0097400A">
            <w:pPr>
              <w:pStyle w:val="ae"/>
              <w:rPr>
                <w:b w:val="0"/>
                <w:bCs/>
              </w:rPr>
            </w:pPr>
            <w:r w:rsidRPr="0097400A">
              <w:rPr>
                <w:b w:val="0"/>
                <w:bCs/>
              </w:rPr>
              <w:t>800</w:t>
            </w:r>
          </w:p>
        </w:tc>
        <w:tc>
          <w:tcPr>
            <w:tcW w:w="1894" w:type="pct"/>
            <w:vMerge/>
            <w:shd w:val="clear" w:color="auto" w:fill="auto"/>
            <w:vAlign w:val="center"/>
          </w:tcPr>
          <w:p w14:paraId="60674BDB" w14:textId="77777777" w:rsidR="00913C78" w:rsidRPr="0097400A" w:rsidRDefault="00913C78" w:rsidP="0097400A">
            <w:pPr>
              <w:pStyle w:val="ae"/>
              <w:rPr>
                <w:b w:val="0"/>
                <w:bCs/>
              </w:rPr>
            </w:pPr>
          </w:p>
        </w:tc>
      </w:tr>
    </w:tbl>
    <w:p w14:paraId="2DA77909" w14:textId="77777777" w:rsidR="00913C78" w:rsidRPr="00913C78" w:rsidRDefault="00913C78" w:rsidP="00913C78">
      <w:pPr>
        <w:ind w:firstLine="420"/>
      </w:pPr>
      <w:r w:rsidRPr="00913C78">
        <w:rPr>
          <w:rFonts w:hint="eastAsia"/>
        </w:rPr>
        <w:t>注：材料密度引自《民用建筑热工设计规范》（</w:t>
      </w:r>
      <w:r w:rsidRPr="00913C78">
        <w:rPr>
          <w:rFonts w:hint="eastAsia"/>
        </w:rPr>
        <w:t>GB 50176</w:t>
      </w:r>
      <w:r w:rsidRPr="00913C78">
        <w:rPr>
          <w:rFonts w:hint="eastAsia"/>
        </w:rPr>
        <w:t>—</w:t>
      </w:r>
      <w:r w:rsidRPr="00913C78">
        <w:rPr>
          <w:rFonts w:hint="eastAsia"/>
        </w:rPr>
        <w:t>2016</w:t>
      </w:r>
      <w:r w:rsidRPr="00913C78">
        <w:rPr>
          <w:rFonts w:hint="eastAsia"/>
        </w:rPr>
        <w:t>）。</w:t>
      </w:r>
    </w:p>
    <w:p w14:paraId="0CDB0EF0" w14:textId="77777777" w:rsidR="00913C78" w:rsidRPr="00913C78" w:rsidRDefault="00913C78" w:rsidP="00913C78">
      <w:pPr>
        <w:ind w:firstLine="420"/>
      </w:pPr>
    </w:p>
    <w:p w14:paraId="4AD8B74C" w14:textId="77777777" w:rsidR="00913C78" w:rsidRPr="00913C78" w:rsidRDefault="00913C78" w:rsidP="00913C78">
      <w:pPr>
        <w:ind w:firstLine="420"/>
      </w:pPr>
      <w:r w:rsidRPr="00913C78">
        <w:rPr>
          <w:rFonts w:hint="eastAsia"/>
        </w:rPr>
        <w:t>建筑外墙</w:t>
      </w:r>
      <w:r w:rsidRPr="00913C78">
        <w:t>构造</w:t>
      </w:r>
      <w:r w:rsidRPr="00913C78">
        <w:rPr>
          <w:rFonts w:hint="eastAsia"/>
        </w:rPr>
        <w:t>的</w:t>
      </w:r>
      <w:r w:rsidRPr="00913C78">
        <w:t>隔声量</w:t>
      </w:r>
      <w:r w:rsidRPr="00913C78">
        <w:rPr>
          <w:rFonts w:hint="eastAsia"/>
        </w:rPr>
        <w:t>可以参考《建筑声学设计原理》附录二中给出的数据，选择综合面密度相近的外墙构造。例如，附表</w:t>
      </w:r>
      <w:r w:rsidRPr="00913C78">
        <w:rPr>
          <w:rFonts w:hint="eastAsia"/>
        </w:rPr>
        <w:t>B.6.5</w:t>
      </w:r>
      <w:r w:rsidRPr="00913C78">
        <w:rPr>
          <w:rFonts w:hint="eastAsia"/>
        </w:rPr>
        <w:t>计算出综合面密度为</w:t>
      </w:r>
      <w:r w:rsidRPr="00913C78">
        <w:rPr>
          <w:rFonts w:hint="eastAsia"/>
        </w:rPr>
        <w:t>211kg/m</w:t>
      </w:r>
      <w:r w:rsidRPr="00F83296">
        <w:rPr>
          <w:vertAlign w:val="superscript"/>
        </w:rPr>
        <w:t>2</w:t>
      </w:r>
      <w:r w:rsidRPr="00913C78">
        <w:rPr>
          <w:rFonts w:hint="eastAsia"/>
        </w:rPr>
        <w:t>，可以引用</w:t>
      </w:r>
      <w:r w:rsidRPr="00913C78">
        <w:t>210mm</w:t>
      </w:r>
      <w:r w:rsidRPr="00913C78">
        <w:rPr>
          <w:rFonts w:hint="eastAsia"/>
        </w:rPr>
        <w:t>厚矿渣三孔空心砖墙（面密度为</w:t>
      </w:r>
      <w:r w:rsidRPr="00913C78">
        <w:t>210kg/</w:t>
      </w:r>
      <w:r w:rsidRPr="00913C78">
        <w:rPr>
          <w:rFonts w:hint="eastAsia"/>
        </w:rPr>
        <w:t>m</w:t>
      </w:r>
      <w:r w:rsidRPr="00F83296">
        <w:rPr>
          <w:vertAlign w:val="superscript"/>
        </w:rPr>
        <w:t>2</w:t>
      </w:r>
      <w:r w:rsidRPr="00913C78">
        <w:rPr>
          <w:rFonts w:hint="eastAsia"/>
        </w:rPr>
        <w:t>）的隔声量数据（计权隔声量</w:t>
      </w:r>
      <w:r w:rsidRPr="00913C78">
        <w:t>46dB</w:t>
      </w:r>
      <w:r w:rsidRPr="00913C78">
        <w:rPr>
          <w:rFonts w:hint="eastAsia"/>
        </w:rPr>
        <w:t>），取其倍频程中心频率的隔声量，见附表</w:t>
      </w:r>
      <w:r w:rsidRPr="00913C78">
        <w:rPr>
          <w:rFonts w:hint="eastAsia"/>
        </w:rPr>
        <w:t>B.6.6</w:t>
      </w:r>
      <w:r w:rsidRPr="00913C78">
        <w:rPr>
          <w:rFonts w:hint="eastAsia"/>
        </w:rPr>
        <w:t>。</w:t>
      </w:r>
    </w:p>
    <w:p w14:paraId="76FCBB98" w14:textId="77777777" w:rsidR="00913C78" w:rsidRPr="00913C78" w:rsidRDefault="00913C78" w:rsidP="0097400A">
      <w:pPr>
        <w:pStyle w:val="ae"/>
      </w:pPr>
      <w:r w:rsidRPr="00913C78">
        <w:rPr>
          <w:rFonts w:hint="eastAsia"/>
        </w:rPr>
        <w:t>附表</w:t>
      </w:r>
      <w:r w:rsidRPr="00913C78">
        <w:rPr>
          <w:rFonts w:hint="eastAsia"/>
        </w:rPr>
        <w:t>B.6.6  210</w:t>
      </w:r>
      <w:r w:rsidRPr="00913C78">
        <w:rPr>
          <w:rFonts w:hint="eastAsia"/>
        </w:rPr>
        <w:t>厚矿渣三孔空心砖墙的空气声隔声量</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4" w:type="dxa"/>
        </w:tblCellMar>
        <w:tblLook w:val="04A0" w:firstRow="1" w:lastRow="0" w:firstColumn="1" w:lastColumn="0" w:noHBand="0" w:noVBand="1"/>
      </w:tblPr>
      <w:tblGrid>
        <w:gridCol w:w="1270"/>
        <w:gridCol w:w="818"/>
        <w:gridCol w:w="818"/>
        <w:gridCol w:w="820"/>
        <w:gridCol w:w="818"/>
        <w:gridCol w:w="817"/>
        <w:gridCol w:w="817"/>
        <w:gridCol w:w="1192"/>
      </w:tblGrid>
      <w:tr w:rsidR="00913C78" w:rsidRPr="0097400A" w14:paraId="154938CC" w14:textId="77777777" w:rsidTr="00A2511C">
        <w:trPr>
          <w:jc w:val="center"/>
        </w:trPr>
        <w:tc>
          <w:tcPr>
            <w:tcW w:w="862" w:type="pct"/>
            <w:shd w:val="clear" w:color="auto" w:fill="auto"/>
            <w:vAlign w:val="center"/>
          </w:tcPr>
          <w:p w14:paraId="58B5A004" w14:textId="77777777" w:rsidR="00913C78" w:rsidRPr="0097400A" w:rsidRDefault="00913C78" w:rsidP="0097400A">
            <w:pPr>
              <w:pStyle w:val="ae"/>
              <w:rPr>
                <w:b w:val="0"/>
                <w:bCs/>
              </w:rPr>
            </w:pPr>
            <w:r w:rsidRPr="0097400A">
              <w:rPr>
                <w:rFonts w:hint="eastAsia"/>
                <w:b w:val="0"/>
                <w:bCs/>
              </w:rPr>
              <w:t>频率</w:t>
            </w:r>
            <w:r w:rsidRPr="0097400A">
              <w:rPr>
                <w:rFonts w:hint="eastAsia"/>
                <w:b w:val="0"/>
                <w:bCs/>
              </w:rPr>
              <w:t>/</w:t>
            </w:r>
            <w:r w:rsidRPr="0097400A">
              <w:rPr>
                <w:b w:val="0"/>
                <w:bCs/>
              </w:rPr>
              <w:t>Hz</w:t>
            </w:r>
          </w:p>
        </w:tc>
        <w:tc>
          <w:tcPr>
            <w:tcW w:w="555" w:type="pct"/>
            <w:shd w:val="clear" w:color="auto" w:fill="auto"/>
            <w:vAlign w:val="center"/>
          </w:tcPr>
          <w:p w14:paraId="4AC8A593" w14:textId="77777777" w:rsidR="00913C78" w:rsidRPr="0097400A" w:rsidRDefault="00913C78" w:rsidP="0097400A">
            <w:pPr>
              <w:pStyle w:val="ae"/>
              <w:rPr>
                <w:b w:val="0"/>
                <w:bCs/>
              </w:rPr>
            </w:pPr>
            <w:r w:rsidRPr="0097400A">
              <w:rPr>
                <w:b w:val="0"/>
                <w:bCs/>
              </w:rPr>
              <w:t>125</w:t>
            </w:r>
          </w:p>
        </w:tc>
        <w:tc>
          <w:tcPr>
            <w:tcW w:w="555" w:type="pct"/>
            <w:shd w:val="clear" w:color="auto" w:fill="auto"/>
            <w:vAlign w:val="center"/>
          </w:tcPr>
          <w:p w14:paraId="0E84D65E" w14:textId="77777777" w:rsidR="00913C78" w:rsidRPr="0097400A" w:rsidRDefault="00913C78" w:rsidP="0097400A">
            <w:pPr>
              <w:pStyle w:val="ae"/>
              <w:rPr>
                <w:b w:val="0"/>
                <w:bCs/>
              </w:rPr>
            </w:pPr>
            <w:r w:rsidRPr="0097400A">
              <w:rPr>
                <w:b w:val="0"/>
                <w:bCs/>
              </w:rPr>
              <w:t>250</w:t>
            </w:r>
          </w:p>
        </w:tc>
        <w:tc>
          <w:tcPr>
            <w:tcW w:w="556" w:type="pct"/>
            <w:shd w:val="clear" w:color="auto" w:fill="auto"/>
            <w:vAlign w:val="center"/>
          </w:tcPr>
          <w:p w14:paraId="19207F16" w14:textId="77777777" w:rsidR="00913C78" w:rsidRPr="0097400A" w:rsidRDefault="00913C78" w:rsidP="0097400A">
            <w:pPr>
              <w:pStyle w:val="ae"/>
              <w:rPr>
                <w:b w:val="0"/>
                <w:bCs/>
              </w:rPr>
            </w:pPr>
            <w:r w:rsidRPr="0097400A">
              <w:rPr>
                <w:b w:val="0"/>
                <w:bCs/>
              </w:rPr>
              <w:t>500</w:t>
            </w:r>
          </w:p>
        </w:tc>
        <w:tc>
          <w:tcPr>
            <w:tcW w:w="555" w:type="pct"/>
            <w:shd w:val="clear" w:color="auto" w:fill="auto"/>
            <w:vAlign w:val="center"/>
          </w:tcPr>
          <w:p w14:paraId="0EB8258B" w14:textId="77777777" w:rsidR="00913C78" w:rsidRPr="0097400A" w:rsidRDefault="00913C78" w:rsidP="0097400A">
            <w:pPr>
              <w:pStyle w:val="ae"/>
              <w:rPr>
                <w:b w:val="0"/>
                <w:bCs/>
              </w:rPr>
            </w:pPr>
            <w:r w:rsidRPr="0097400A">
              <w:rPr>
                <w:b w:val="0"/>
                <w:bCs/>
              </w:rPr>
              <w:t>1000</w:t>
            </w:r>
          </w:p>
        </w:tc>
        <w:tc>
          <w:tcPr>
            <w:tcW w:w="554" w:type="pct"/>
            <w:shd w:val="clear" w:color="auto" w:fill="auto"/>
            <w:vAlign w:val="center"/>
          </w:tcPr>
          <w:p w14:paraId="498501F7" w14:textId="77777777" w:rsidR="00913C78" w:rsidRPr="0097400A" w:rsidRDefault="00913C78" w:rsidP="0097400A">
            <w:pPr>
              <w:pStyle w:val="ae"/>
              <w:rPr>
                <w:b w:val="0"/>
                <w:bCs/>
              </w:rPr>
            </w:pPr>
            <w:r w:rsidRPr="0097400A">
              <w:rPr>
                <w:b w:val="0"/>
                <w:bCs/>
              </w:rPr>
              <w:t>2000</w:t>
            </w:r>
          </w:p>
        </w:tc>
        <w:tc>
          <w:tcPr>
            <w:tcW w:w="554" w:type="pct"/>
            <w:shd w:val="clear" w:color="auto" w:fill="auto"/>
            <w:vAlign w:val="center"/>
          </w:tcPr>
          <w:p w14:paraId="0EA92A9D" w14:textId="77777777" w:rsidR="00913C78" w:rsidRPr="0097400A" w:rsidRDefault="00913C78" w:rsidP="0097400A">
            <w:pPr>
              <w:pStyle w:val="ae"/>
              <w:rPr>
                <w:b w:val="0"/>
                <w:bCs/>
              </w:rPr>
            </w:pPr>
            <w:r w:rsidRPr="0097400A">
              <w:rPr>
                <w:rFonts w:hint="eastAsia"/>
                <w:b w:val="0"/>
                <w:bCs/>
              </w:rPr>
              <w:t>4000</w:t>
            </w:r>
          </w:p>
        </w:tc>
        <w:tc>
          <w:tcPr>
            <w:tcW w:w="809" w:type="pct"/>
            <w:shd w:val="clear" w:color="auto" w:fill="auto"/>
            <w:vAlign w:val="center"/>
          </w:tcPr>
          <w:p w14:paraId="0AD48043" w14:textId="77777777" w:rsidR="00913C78" w:rsidRPr="0097400A" w:rsidRDefault="00913C78" w:rsidP="0097400A">
            <w:pPr>
              <w:pStyle w:val="ae"/>
              <w:rPr>
                <w:b w:val="0"/>
                <w:bCs/>
              </w:rPr>
            </w:pPr>
            <w:r w:rsidRPr="0097400A">
              <w:rPr>
                <w:rFonts w:hint="eastAsia"/>
                <w:b w:val="0"/>
                <w:bCs/>
              </w:rPr>
              <w:t>计权隔声</w:t>
            </w:r>
            <w:r w:rsidRPr="0097400A">
              <w:rPr>
                <w:rFonts w:hint="eastAsia"/>
                <w:b w:val="0"/>
                <w:bCs/>
              </w:rPr>
              <w:lastRenderedPageBreak/>
              <w:t>量</w:t>
            </w:r>
          </w:p>
        </w:tc>
      </w:tr>
      <w:tr w:rsidR="00913C78" w:rsidRPr="0097400A" w14:paraId="7176C4D1" w14:textId="77777777" w:rsidTr="00A2511C">
        <w:trPr>
          <w:jc w:val="center"/>
        </w:trPr>
        <w:tc>
          <w:tcPr>
            <w:tcW w:w="862" w:type="pct"/>
            <w:shd w:val="clear" w:color="auto" w:fill="auto"/>
            <w:vAlign w:val="center"/>
          </w:tcPr>
          <w:p w14:paraId="3514B543" w14:textId="77777777" w:rsidR="00913C78" w:rsidRPr="0097400A" w:rsidRDefault="00913C78" w:rsidP="0097400A">
            <w:pPr>
              <w:pStyle w:val="ae"/>
              <w:rPr>
                <w:b w:val="0"/>
                <w:bCs/>
              </w:rPr>
            </w:pPr>
            <w:r w:rsidRPr="0097400A">
              <w:rPr>
                <w:rFonts w:hint="eastAsia"/>
                <w:b w:val="0"/>
                <w:bCs/>
              </w:rPr>
              <w:lastRenderedPageBreak/>
              <w:t>隔声量</w:t>
            </w:r>
            <w:r w:rsidRPr="0097400A">
              <w:rPr>
                <w:rFonts w:hint="eastAsia"/>
                <w:b w:val="0"/>
                <w:bCs/>
              </w:rPr>
              <w:t>/</w:t>
            </w:r>
            <w:r w:rsidRPr="0097400A">
              <w:rPr>
                <w:b w:val="0"/>
                <w:bCs/>
              </w:rPr>
              <w:t>dB</w:t>
            </w:r>
          </w:p>
        </w:tc>
        <w:tc>
          <w:tcPr>
            <w:tcW w:w="555" w:type="pct"/>
            <w:shd w:val="clear" w:color="auto" w:fill="auto"/>
            <w:vAlign w:val="center"/>
          </w:tcPr>
          <w:p w14:paraId="767AAC4B" w14:textId="77777777" w:rsidR="00913C78" w:rsidRPr="0097400A" w:rsidRDefault="00913C78" w:rsidP="0097400A">
            <w:pPr>
              <w:pStyle w:val="ae"/>
              <w:rPr>
                <w:b w:val="0"/>
                <w:bCs/>
              </w:rPr>
            </w:pPr>
            <w:r w:rsidRPr="0097400A">
              <w:rPr>
                <w:b w:val="0"/>
                <w:bCs/>
              </w:rPr>
              <w:t>33</w:t>
            </w:r>
          </w:p>
        </w:tc>
        <w:tc>
          <w:tcPr>
            <w:tcW w:w="555" w:type="pct"/>
            <w:shd w:val="clear" w:color="auto" w:fill="auto"/>
            <w:vAlign w:val="center"/>
          </w:tcPr>
          <w:p w14:paraId="5B30BB18" w14:textId="77777777" w:rsidR="00913C78" w:rsidRPr="0097400A" w:rsidRDefault="00913C78" w:rsidP="0097400A">
            <w:pPr>
              <w:pStyle w:val="ae"/>
              <w:rPr>
                <w:b w:val="0"/>
                <w:bCs/>
              </w:rPr>
            </w:pPr>
            <w:r w:rsidRPr="0097400A">
              <w:rPr>
                <w:b w:val="0"/>
                <w:bCs/>
              </w:rPr>
              <w:t>38</w:t>
            </w:r>
          </w:p>
        </w:tc>
        <w:tc>
          <w:tcPr>
            <w:tcW w:w="556" w:type="pct"/>
            <w:shd w:val="clear" w:color="auto" w:fill="auto"/>
            <w:vAlign w:val="center"/>
          </w:tcPr>
          <w:p w14:paraId="77867FAD" w14:textId="77777777" w:rsidR="00913C78" w:rsidRPr="0097400A" w:rsidRDefault="00913C78" w:rsidP="0097400A">
            <w:pPr>
              <w:pStyle w:val="ae"/>
              <w:rPr>
                <w:b w:val="0"/>
                <w:bCs/>
              </w:rPr>
            </w:pPr>
            <w:r w:rsidRPr="0097400A">
              <w:rPr>
                <w:b w:val="0"/>
                <w:bCs/>
              </w:rPr>
              <w:t>41</w:t>
            </w:r>
          </w:p>
        </w:tc>
        <w:tc>
          <w:tcPr>
            <w:tcW w:w="555" w:type="pct"/>
            <w:shd w:val="clear" w:color="auto" w:fill="auto"/>
            <w:vAlign w:val="center"/>
          </w:tcPr>
          <w:p w14:paraId="7DDD08A1" w14:textId="77777777" w:rsidR="00913C78" w:rsidRPr="0097400A" w:rsidRDefault="00913C78" w:rsidP="0097400A">
            <w:pPr>
              <w:pStyle w:val="ae"/>
              <w:rPr>
                <w:b w:val="0"/>
                <w:bCs/>
              </w:rPr>
            </w:pPr>
            <w:r w:rsidRPr="0097400A">
              <w:rPr>
                <w:b w:val="0"/>
                <w:bCs/>
              </w:rPr>
              <w:t>46</w:t>
            </w:r>
          </w:p>
        </w:tc>
        <w:tc>
          <w:tcPr>
            <w:tcW w:w="554" w:type="pct"/>
            <w:shd w:val="clear" w:color="auto" w:fill="auto"/>
            <w:vAlign w:val="center"/>
          </w:tcPr>
          <w:p w14:paraId="23A10133" w14:textId="77777777" w:rsidR="00913C78" w:rsidRPr="0097400A" w:rsidRDefault="00913C78" w:rsidP="0097400A">
            <w:pPr>
              <w:pStyle w:val="ae"/>
              <w:rPr>
                <w:b w:val="0"/>
                <w:bCs/>
              </w:rPr>
            </w:pPr>
            <w:r w:rsidRPr="0097400A">
              <w:rPr>
                <w:b w:val="0"/>
                <w:bCs/>
              </w:rPr>
              <w:t>53</w:t>
            </w:r>
          </w:p>
        </w:tc>
        <w:tc>
          <w:tcPr>
            <w:tcW w:w="554" w:type="pct"/>
            <w:shd w:val="clear" w:color="auto" w:fill="auto"/>
            <w:vAlign w:val="center"/>
          </w:tcPr>
          <w:p w14:paraId="72B7CCFA" w14:textId="77777777" w:rsidR="00913C78" w:rsidRPr="0097400A" w:rsidRDefault="00913C78" w:rsidP="0097400A">
            <w:pPr>
              <w:pStyle w:val="ae"/>
              <w:rPr>
                <w:b w:val="0"/>
                <w:bCs/>
              </w:rPr>
            </w:pPr>
            <w:r w:rsidRPr="0097400A">
              <w:rPr>
                <w:rFonts w:hint="eastAsia"/>
                <w:b w:val="0"/>
                <w:bCs/>
              </w:rPr>
              <w:t>52</w:t>
            </w:r>
          </w:p>
        </w:tc>
        <w:tc>
          <w:tcPr>
            <w:tcW w:w="809" w:type="pct"/>
            <w:shd w:val="clear" w:color="auto" w:fill="auto"/>
            <w:vAlign w:val="center"/>
          </w:tcPr>
          <w:p w14:paraId="103F8FA7" w14:textId="77777777" w:rsidR="00913C78" w:rsidRPr="0097400A" w:rsidRDefault="00913C78" w:rsidP="0097400A">
            <w:pPr>
              <w:pStyle w:val="ae"/>
              <w:rPr>
                <w:b w:val="0"/>
                <w:bCs/>
              </w:rPr>
            </w:pPr>
            <w:r w:rsidRPr="0097400A">
              <w:rPr>
                <w:b w:val="0"/>
                <w:bCs/>
              </w:rPr>
              <w:t>46</w:t>
            </w:r>
          </w:p>
        </w:tc>
      </w:tr>
    </w:tbl>
    <w:p w14:paraId="74698D3E" w14:textId="77777777" w:rsidR="00913C78" w:rsidRPr="00913C78" w:rsidRDefault="00913C78" w:rsidP="00913C78">
      <w:pPr>
        <w:ind w:firstLine="420"/>
      </w:pPr>
    </w:p>
    <w:p w14:paraId="105C8587" w14:textId="52343A5D" w:rsidR="00913C78" w:rsidRPr="00913C78" w:rsidRDefault="00913C78" w:rsidP="00A624AE">
      <w:pPr>
        <w:ind w:firstLine="420"/>
      </w:pPr>
      <w:r w:rsidRPr="00913C78">
        <w:rPr>
          <w:rFonts w:hint="eastAsia"/>
        </w:rPr>
        <w:t>频谱修正量</w:t>
      </w:r>
      <m:oMath>
        <m:sSub>
          <m:sSubPr>
            <m:ctrlPr>
              <w:rPr>
                <w:rFonts w:ascii="Cambria Math" w:hAnsi="Cambria Math"/>
                <w:i/>
                <w:noProof/>
              </w:rPr>
            </m:ctrlPr>
          </m:sSubPr>
          <m:e>
            <m:r>
              <w:rPr>
                <w:rFonts w:ascii="Cambria Math"/>
                <w:noProof/>
              </w:rPr>
              <m:t>C</m:t>
            </m:r>
          </m:e>
          <m:sub>
            <m:r>
              <w:rPr>
                <w:rFonts w:ascii="Cambria Math"/>
                <w:noProof/>
              </w:rPr>
              <m:t>j</m:t>
            </m:r>
          </m:sub>
        </m:sSub>
      </m:oMath>
      <w:r w:rsidRPr="00913C78">
        <w:rPr>
          <w:rFonts w:hint="eastAsia"/>
        </w:rPr>
        <w:t>按式</w:t>
      </w:r>
      <w:r w:rsidRPr="00913C78">
        <w:rPr>
          <w:rFonts w:hint="eastAsia"/>
        </w:rPr>
        <w:t>B.6.3</w:t>
      </w:r>
      <w:r w:rsidRPr="00913C78">
        <w:rPr>
          <w:rFonts w:hint="eastAsia"/>
        </w:rPr>
        <w:t>计算，计算出外墙构造的计权隔声量</w:t>
      </w:r>
      <w:r w:rsidRPr="00913C78">
        <w:rPr>
          <w:rFonts w:hint="eastAsia"/>
        </w:rPr>
        <w:t>+</w:t>
      </w:r>
      <w:r w:rsidRPr="00913C78">
        <w:rPr>
          <w:rFonts w:hint="eastAsia"/>
        </w:rPr>
        <w:t>交通噪声频谱修正值（</w:t>
      </w:r>
      <w:r w:rsidRPr="00913C78">
        <w:rPr>
          <w:rFonts w:hint="eastAsia"/>
        </w:rPr>
        <w:t>Rw+C</w:t>
      </w:r>
      <w:r w:rsidRPr="00913C78">
        <w:t>tr</w:t>
      </w:r>
      <w:r w:rsidRPr="00913C78">
        <w:rPr>
          <w:rFonts w:hint="eastAsia"/>
        </w:rPr>
        <w:t>）结果</w:t>
      </w:r>
      <w:r w:rsidRPr="00913C78">
        <w:t>，</w:t>
      </w:r>
      <w:r w:rsidRPr="00913C78">
        <w:rPr>
          <w:rFonts w:hint="eastAsia"/>
        </w:rPr>
        <w:t>据此判断该外墙的空气声隔声性能是否满足《民用建筑隔声设计规范》（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）要求。</w:t>
      </w:r>
    </w:p>
    <w:p w14:paraId="487B4537" w14:textId="77777777" w:rsidR="00913C78" w:rsidRPr="00913C78" w:rsidRDefault="00913C78" w:rsidP="00913C78">
      <w:pPr>
        <w:ind w:firstLine="420"/>
      </w:pPr>
      <w:bookmarkStart w:id="424" w:name="_Toc476401984"/>
      <w:r w:rsidRPr="00913C78">
        <w:rPr>
          <w:rFonts w:hint="eastAsia"/>
        </w:rPr>
        <w:t>（</w:t>
      </w:r>
      <w:r w:rsidRPr="00913C78">
        <w:rPr>
          <w:rFonts w:hint="eastAsia"/>
        </w:rPr>
        <w:t>4</w:t>
      </w:r>
      <w:r w:rsidRPr="00913C78">
        <w:rPr>
          <w:rFonts w:hint="eastAsia"/>
        </w:rPr>
        <w:t>）楼板的空气声计权隔声量</w:t>
      </w:r>
      <w:bookmarkEnd w:id="424"/>
    </w:p>
    <w:p w14:paraId="3C1B1929" w14:textId="77777777" w:rsidR="00913C78" w:rsidRPr="00913C78" w:rsidRDefault="00913C78" w:rsidP="00913C78">
      <w:pPr>
        <w:ind w:firstLine="420"/>
      </w:pPr>
      <w:r w:rsidRPr="00913C78">
        <w:rPr>
          <w:rFonts w:hint="eastAsia"/>
        </w:rPr>
        <w:t>应</w:t>
      </w:r>
      <w:r w:rsidRPr="00913C78">
        <w:t>列出</w:t>
      </w:r>
      <w:r w:rsidRPr="00913C78">
        <w:rPr>
          <w:rFonts w:hint="eastAsia"/>
        </w:rPr>
        <w:t>楼板构造及相关参数（如附</w:t>
      </w:r>
      <w:r w:rsidRPr="00913C78">
        <w:t>表</w:t>
      </w:r>
      <w:r w:rsidRPr="00913C78">
        <w:rPr>
          <w:rFonts w:hint="eastAsia"/>
        </w:rPr>
        <w:t>B.6.7</w:t>
      </w:r>
      <w:r w:rsidRPr="00913C78">
        <w:rPr>
          <w:rFonts w:hint="eastAsia"/>
        </w:rPr>
        <w:t>）。</w:t>
      </w:r>
    </w:p>
    <w:p w14:paraId="76A10CFD" w14:textId="77777777" w:rsidR="00913C78" w:rsidRPr="00913C78" w:rsidRDefault="00913C78" w:rsidP="0097400A">
      <w:pPr>
        <w:pStyle w:val="ae"/>
      </w:pPr>
      <w:r w:rsidRPr="00913C78">
        <w:rPr>
          <w:rFonts w:hint="eastAsia"/>
        </w:rPr>
        <w:t>附</w:t>
      </w:r>
      <w:r w:rsidRPr="00913C78">
        <w:t>表</w:t>
      </w:r>
      <w:r w:rsidRPr="00913C78">
        <w:rPr>
          <w:rFonts w:hint="eastAsia"/>
        </w:rPr>
        <w:t xml:space="preserve">B.6.7 </w:t>
      </w:r>
      <w:r w:rsidRPr="00913C78">
        <w:t xml:space="preserve"> </w:t>
      </w:r>
      <w:r w:rsidRPr="00913C78">
        <w:rPr>
          <w:rFonts w:hint="eastAsia"/>
        </w:rPr>
        <w:t>楼板构造及相关参数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4" w:type="dxa"/>
        </w:tblCellMar>
        <w:tblLook w:val="04A0" w:firstRow="1" w:lastRow="0" w:firstColumn="1" w:lastColumn="0" w:noHBand="0" w:noVBand="1"/>
      </w:tblPr>
      <w:tblGrid>
        <w:gridCol w:w="878"/>
        <w:gridCol w:w="683"/>
        <w:gridCol w:w="1149"/>
        <w:gridCol w:w="2777"/>
        <w:gridCol w:w="3041"/>
      </w:tblGrid>
      <w:tr w:rsidR="00913C78" w:rsidRPr="0097400A" w14:paraId="60BB04BF" w14:textId="77777777" w:rsidTr="00A2511C">
        <w:trPr>
          <w:jc w:val="center"/>
        </w:trPr>
        <w:tc>
          <w:tcPr>
            <w:tcW w:w="0" w:type="auto"/>
            <w:shd w:val="clear" w:color="auto" w:fill="auto"/>
            <w:vAlign w:val="center"/>
          </w:tcPr>
          <w:p w14:paraId="1B7C309C" w14:textId="77777777" w:rsidR="00913C78" w:rsidRPr="0097400A" w:rsidRDefault="00913C78" w:rsidP="0097400A">
            <w:pPr>
              <w:pStyle w:val="ae"/>
              <w:rPr>
                <w:b w:val="0"/>
                <w:bCs/>
              </w:rPr>
            </w:pPr>
            <w:r w:rsidRPr="0097400A">
              <w:rPr>
                <w:rFonts w:hint="eastAsia"/>
                <w:b w:val="0"/>
                <w:bCs/>
              </w:rPr>
              <w:t>楼板构造</w:t>
            </w:r>
          </w:p>
        </w:tc>
        <w:tc>
          <w:tcPr>
            <w:tcW w:w="0" w:type="auto"/>
            <w:shd w:val="clear" w:color="auto" w:fill="auto"/>
            <w:vAlign w:val="center"/>
          </w:tcPr>
          <w:p w14:paraId="06619D54" w14:textId="77777777" w:rsidR="00913C78" w:rsidRPr="0097400A" w:rsidRDefault="00913C78" w:rsidP="0097400A">
            <w:pPr>
              <w:pStyle w:val="ae"/>
              <w:rPr>
                <w:b w:val="0"/>
                <w:bCs/>
              </w:rPr>
            </w:pPr>
            <w:r w:rsidRPr="0097400A">
              <w:rPr>
                <w:rFonts w:hint="eastAsia"/>
                <w:b w:val="0"/>
                <w:bCs/>
              </w:rPr>
              <w:t>厚度</w:t>
            </w:r>
            <w:r w:rsidRPr="0097400A">
              <w:rPr>
                <w:rFonts w:hint="eastAsia"/>
                <w:b w:val="0"/>
                <w:bCs/>
              </w:rPr>
              <w:t>/</w:t>
            </w:r>
            <w:r w:rsidRPr="0097400A">
              <w:rPr>
                <w:b w:val="0"/>
                <w:bCs/>
              </w:rPr>
              <w:t>mm</w:t>
            </w:r>
          </w:p>
        </w:tc>
        <w:tc>
          <w:tcPr>
            <w:tcW w:w="0" w:type="auto"/>
            <w:shd w:val="clear" w:color="auto" w:fill="auto"/>
            <w:vAlign w:val="center"/>
          </w:tcPr>
          <w:p w14:paraId="69DD4C05" w14:textId="77777777" w:rsidR="00913C78" w:rsidRPr="0097400A" w:rsidRDefault="00913C78" w:rsidP="0097400A">
            <w:pPr>
              <w:pStyle w:val="ae"/>
              <w:rPr>
                <w:b w:val="0"/>
                <w:bCs/>
              </w:rPr>
            </w:pPr>
            <w:r w:rsidRPr="0097400A">
              <w:rPr>
                <w:rFonts w:hint="eastAsia"/>
                <w:b w:val="0"/>
                <w:bCs/>
              </w:rPr>
              <w:t>密度</w:t>
            </w:r>
            <w:r w:rsidRPr="0097400A">
              <w:rPr>
                <w:b w:val="0"/>
                <w:bCs/>
              </w:rPr>
              <w:br/>
            </w:r>
            <w:r w:rsidRPr="0097400A">
              <w:rPr>
                <w:rFonts w:hint="eastAsia"/>
                <w:b w:val="0"/>
                <w:bCs/>
              </w:rPr>
              <w:t>/</w:t>
            </w:r>
            <w:r w:rsidRPr="0097400A">
              <w:rPr>
                <w:b w:val="0"/>
                <w:bCs/>
              </w:rPr>
              <w:t>（</w:t>
            </w:r>
            <w:r w:rsidRPr="0097400A">
              <w:rPr>
                <w:b w:val="0"/>
                <w:bCs/>
              </w:rPr>
              <w:t>kg/m</w:t>
            </w:r>
            <w:r w:rsidRPr="00F83296">
              <w:rPr>
                <w:b w:val="0"/>
                <w:bCs/>
                <w:vertAlign w:val="superscript"/>
              </w:rPr>
              <w:t>3</w:t>
            </w:r>
            <w:r w:rsidRPr="0097400A">
              <w:rPr>
                <w:b w:val="0"/>
                <w:bCs/>
              </w:rPr>
              <w:t>）</w:t>
            </w:r>
          </w:p>
        </w:tc>
        <w:tc>
          <w:tcPr>
            <w:tcW w:w="0" w:type="auto"/>
            <w:shd w:val="clear" w:color="auto" w:fill="auto"/>
            <w:vAlign w:val="center"/>
          </w:tcPr>
          <w:p w14:paraId="69BA57F8" w14:textId="77777777" w:rsidR="00913C78" w:rsidRPr="0097400A" w:rsidRDefault="00913C78" w:rsidP="0097400A">
            <w:pPr>
              <w:pStyle w:val="ae"/>
              <w:rPr>
                <w:b w:val="0"/>
                <w:bCs/>
              </w:rPr>
            </w:pPr>
            <w:r w:rsidRPr="0097400A">
              <w:rPr>
                <w:rFonts w:hint="eastAsia"/>
                <w:b w:val="0"/>
                <w:bCs/>
              </w:rPr>
              <w:t>综合面密度</w:t>
            </w:r>
            <w:r w:rsidRPr="0097400A">
              <w:rPr>
                <w:b w:val="0"/>
                <w:bCs/>
              </w:rPr>
              <w:t>m</w:t>
            </w:r>
          </w:p>
          <w:p w14:paraId="2CCDC479" w14:textId="77777777" w:rsidR="00913C78" w:rsidRPr="0097400A" w:rsidRDefault="00913C78" w:rsidP="0097400A">
            <w:pPr>
              <w:pStyle w:val="ae"/>
              <w:rPr>
                <w:b w:val="0"/>
                <w:bCs/>
              </w:rPr>
            </w:pPr>
            <w:r w:rsidRPr="0097400A">
              <w:rPr>
                <w:rFonts w:hint="eastAsia"/>
                <w:b w:val="0"/>
                <w:bCs/>
              </w:rPr>
              <w:t>/</w:t>
            </w:r>
            <w:r w:rsidRPr="0097400A">
              <w:rPr>
                <w:rFonts w:hint="eastAsia"/>
                <w:b w:val="0"/>
                <w:bCs/>
              </w:rPr>
              <w:t>（</w:t>
            </w:r>
            <w:r w:rsidRPr="0097400A">
              <w:rPr>
                <w:b w:val="0"/>
                <w:bCs/>
              </w:rPr>
              <w:t>kg/</w:t>
            </w:r>
            <w:r w:rsidRPr="0097400A">
              <w:rPr>
                <w:rFonts w:hint="eastAsia"/>
                <w:b w:val="0"/>
                <w:bCs/>
              </w:rPr>
              <w:t>m</w:t>
            </w:r>
            <w:r w:rsidRPr="00F83296">
              <w:rPr>
                <w:b w:val="0"/>
                <w:bCs/>
                <w:vertAlign w:val="superscript"/>
              </w:rPr>
              <w:t>2</w:t>
            </w:r>
            <w:r w:rsidRPr="0097400A">
              <w:rPr>
                <w:rFonts w:hint="eastAsia"/>
                <w:b w:val="0"/>
                <w:bCs/>
              </w:rPr>
              <w:t>）</w:t>
            </w:r>
          </w:p>
        </w:tc>
        <w:tc>
          <w:tcPr>
            <w:tcW w:w="0" w:type="auto"/>
            <w:shd w:val="clear" w:color="auto" w:fill="auto"/>
            <w:vAlign w:val="center"/>
          </w:tcPr>
          <w:p w14:paraId="6CF727B4" w14:textId="77777777" w:rsidR="00913C78" w:rsidRPr="0097400A" w:rsidRDefault="00913C78" w:rsidP="0097400A">
            <w:pPr>
              <w:pStyle w:val="ae"/>
              <w:rPr>
                <w:b w:val="0"/>
                <w:bCs/>
              </w:rPr>
            </w:pPr>
            <w:r w:rsidRPr="0097400A">
              <w:rPr>
                <w:rFonts w:hint="eastAsia"/>
                <w:b w:val="0"/>
                <w:bCs/>
              </w:rPr>
              <w:t>分户楼板构造示意</w:t>
            </w:r>
          </w:p>
        </w:tc>
      </w:tr>
      <w:tr w:rsidR="00913C78" w:rsidRPr="0097400A" w14:paraId="7B3CB01C" w14:textId="77777777" w:rsidTr="00A2511C">
        <w:trPr>
          <w:jc w:val="center"/>
        </w:trPr>
        <w:tc>
          <w:tcPr>
            <w:tcW w:w="0" w:type="auto"/>
            <w:shd w:val="clear" w:color="auto" w:fill="auto"/>
            <w:vAlign w:val="center"/>
          </w:tcPr>
          <w:p w14:paraId="01B20402" w14:textId="77777777" w:rsidR="00913C78" w:rsidRPr="0097400A" w:rsidRDefault="00913C78" w:rsidP="0097400A">
            <w:pPr>
              <w:pStyle w:val="ae"/>
              <w:rPr>
                <w:b w:val="0"/>
                <w:bCs/>
              </w:rPr>
            </w:pPr>
            <w:r w:rsidRPr="0097400A">
              <w:rPr>
                <w:rFonts w:hint="eastAsia"/>
                <w:b w:val="0"/>
                <w:bCs/>
              </w:rPr>
              <w:t>碎石、卵石混凝土</w:t>
            </w:r>
          </w:p>
        </w:tc>
        <w:tc>
          <w:tcPr>
            <w:tcW w:w="0" w:type="auto"/>
            <w:shd w:val="clear" w:color="auto" w:fill="auto"/>
            <w:vAlign w:val="center"/>
          </w:tcPr>
          <w:p w14:paraId="2550746E" w14:textId="77777777" w:rsidR="00913C78" w:rsidRPr="0097400A" w:rsidRDefault="00913C78" w:rsidP="0097400A">
            <w:pPr>
              <w:pStyle w:val="ae"/>
              <w:rPr>
                <w:b w:val="0"/>
                <w:bCs/>
              </w:rPr>
            </w:pPr>
            <w:r w:rsidRPr="0097400A">
              <w:rPr>
                <w:b w:val="0"/>
                <w:bCs/>
              </w:rPr>
              <w:t>30</w:t>
            </w:r>
          </w:p>
        </w:tc>
        <w:tc>
          <w:tcPr>
            <w:tcW w:w="0" w:type="auto"/>
            <w:shd w:val="clear" w:color="auto" w:fill="auto"/>
            <w:vAlign w:val="center"/>
          </w:tcPr>
          <w:p w14:paraId="1A8F602E" w14:textId="77777777" w:rsidR="00913C78" w:rsidRPr="0097400A" w:rsidRDefault="00913C78" w:rsidP="0097400A">
            <w:pPr>
              <w:pStyle w:val="ae"/>
              <w:rPr>
                <w:b w:val="0"/>
                <w:bCs/>
              </w:rPr>
            </w:pPr>
            <w:r w:rsidRPr="0097400A">
              <w:rPr>
                <w:b w:val="0"/>
                <w:bCs/>
              </w:rPr>
              <w:t>2300</w:t>
            </w:r>
          </w:p>
        </w:tc>
        <w:tc>
          <w:tcPr>
            <w:tcW w:w="0" w:type="auto"/>
            <w:vMerge w:val="restart"/>
            <w:shd w:val="clear" w:color="auto" w:fill="auto"/>
            <w:vAlign w:val="center"/>
          </w:tcPr>
          <w:p w14:paraId="09698261" w14:textId="77777777" w:rsidR="00913C78" w:rsidRPr="0097400A" w:rsidRDefault="00913C78" w:rsidP="0097400A">
            <w:pPr>
              <w:pStyle w:val="ae"/>
              <w:rPr>
                <w:b w:val="0"/>
                <w:bCs/>
              </w:rPr>
            </w:pPr>
            <w:r w:rsidRPr="0097400A">
              <w:rPr>
                <w:b w:val="0"/>
                <w:bCs/>
              </w:rPr>
              <w:t>319</w:t>
            </w:r>
          </w:p>
          <w:p w14:paraId="2FBB8986" w14:textId="77777777" w:rsidR="00913C78" w:rsidRPr="0097400A" w:rsidRDefault="00913C78" w:rsidP="0097400A">
            <w:pPr>
              <w:pStyle w:val="ae"/>
              <w:rPr>
                <w:b w:val="0"/>
                <w:bCs/>
              </w:rPr>
            </w:pPr>
            <w:r w:rsidRPr="0097400A">
              <w:rPr>
                <w:b w:val="0"/>
                <w:bCs/>
              </w:rPr>
              <w:t>（</w:t>
            </w:r>
            <w:r w:rsidRPr="0097400A">
              <w:rPr>
                <w:b w:val="0"/>
                <w:bCs/>
              </w:rPr>
              <w:t>0.030×2300+0.010×2500</w:t>
            </w:r>
            <w:r w:rsidRPr="0097400A">
              <w:rPr>
                <w:b w:val="0"/>
                <w:bCs/>
              </w:rPr>
              <w:t>）</w:t>
            </w:r>
          </w:p>
        </w:tc>
        <w:tc>
          <w:tcPr>
            <w:tcW w:w="0" w:type="auto"/>
            <w:vMerge w:val="restart"/>
            <w:shd w:val="clear" w:color="auto" w:fill="auto"/>
            <w:vAlign w:val="center"/>
          </w:tcPr>
          <w:p w14:paraId="48979BB1" w14:textId="77777777" w:rsidR="00913C78" w:rsidRPr="0097400A" w:rsidRDefault="00913C78" w:rsidP="0097400A">
            <w:pPr>
              <w:pStyle w:val="ae"/>
              <w:rPr>
                <w:b w:val="0"/>
                <w:bCs/>
              </w:rPr>
            </w:pPr>
            <w:r w:rsidRPr="0097400A">
              <w:rPr>
                <w:b w:val="0"/>
                <w:bCs/>
                <w:noProof/>
              </w:rPr>
              <w:drawing>
                <wp:inline distT="0" distB="0" distL="0" distR="0" wp14:anchorId="5698D2C9" wp14:editId="3FDB4E53">
                  <wp:extent cx="1793875" cy="89344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93875" cy="893445"/>
                          </a:xfrm>
                          <a:prstGeom prst="rect">
                            <a:avLst/>
                          </a:prstGeom>
                          <a:noFill/>
                          <a:ln>
                            <a:noFill/>
                          </a:ln>
                        </pic:spPr>
                      </pic:pic>
                    </a:graphicData>
                  </a:graphic>
                </wp:inline>
              </w:drawing>
            </w:r>
          </w:p>
        </w:tc>
      </w:tr>
      <w:tr w:rsidR="00913C78" w:rsidRPr="0097400A" w14:paraId="776FFC23" w14:textId="77777777" w:rsidTr="00A2511C">
        <w:trPr>
          <w:jc w:val="center"/>
        </w:trPr>
        <w:tc>
          <w:tcPr>
            <w:tcW w:w="0" w:type="auto"/>
            <w:shd w:val="clear" w:color="auto" w:fill="auto"/>
            <w:vAlign w:val="center"/>
          </w:tcPr>
          <w:p w14:paraId="623D2811" w14:textId="77777777" w:rsidR="00913C78" w:rsidRPr="0097400A" w:rsidRDefault="00913C78" w:rsidP="0097400A">
            <w:pPr>
              <w:pStyle w:val="ae"/>
              <w:rPr>
                <w:b w:val="0"/>
                <w:bCs/>
              </w:rPr>
            </w:pPr>
            <w:r w:rsidRPr="0097400A">
              <w:rPr>
                <w:rFonts w:hint="eastAsia"/>
                <w:b w:val="0"/>
                <w:bCs/>
              </w:rPr>
              <w:t>钢筋混凝土</w:t>
            </w:r>
          </w:p>
        </w:tc>
        <w:tc>
          <w:tcPr>
            <w:tcW w:w="0" w:type="auto"/>
            <w:shd w:val="clear" w:color="auto" w:fill="auto"/>
            <w:vAlign w:val="center"/>
          </w:tcPr>
          <w:p w14:paraId="5F3704CB" w14:textId="77777777" w:rsidR="00913C78" w:rsidRPr="0097400A" w:rsidRDefault="00913C78" w:rsidP="0097400A">
            <w:pPr>
              <w:pStyle w:val="ae"/>
              <w:rPr>
                <w:b w:val="0"/>
                <w:bCs/>
              </w:rPr>
            </w:pPr>
            <w:r w:rsidRPr="0097400A">
              <w:rPr>
                <w:b w:val="0"/>
                <w:bCs/>
              </w:rPr>
              <w:t>100</w:t>
            </w:r>
          </w:p>
        </w:tc>
        <w:tc>
          <w:tcPr>
            <w:tcW w:w="0" w:type="auto"/>
            <w:shd w:val="clear" w:color="auto" w:fill="auto"/>
            <w:vAlign w:val="center"/>
          </w:tcPr>
          <w:p w14:paraId="5CBFB9CF" w14:textId="77777777" w:rsidR="00913C78" w:rsidRPr="0097400A" w:rsidRDefault="00913C78" w:rsidP="0097400A">
            <w:pPr>
              <w:pStyle w:val="ae"/>
              <w:rPr>
                <w:b w:val="0"/>
                <w:bCs/>
              </w:rPr>
            </w:pPr>
            <w:r w:rsidRPr="0097400A">
              <w:rPr>
                <w:b w:val="0"/>
                <w:bCs/>
              </w:rPr>
              <w:t>2500</w:t>
            </w:r>
          </w:p>
        </w:tc>
        <w:tc>
          <w:tcPr>
            <w:tcW w:w="0" w:type="auto"/>
            <w:vMerge/>
            <w:shd w:val="clear" w:color="auto" w:fill="auto"/>
            <w:vAlign w:val="center"/>
          </w:tcPr>
          <w:p w14:paraId="424820C7" w14:textId="77777777" w:rsidR="00913C78" w:rsidRPr="0097400A" w:rsidRDefault="00913C78" w:rsidP="0097400A">
            <w:pPr>
              <w:pStyle w:val="ae"/>
              <w:rPr>
                <w:b w:val="0"/>
                <w:bCs/>
              </w:rPr>
            </w:pPr>
          </w:p>
        </w:tc>
        <w:tc>
          <w:tcPr>
            <w:tcW w:w="0" w:type="auto"/>
            <w:vMerge/>
            <w:shd w:val="clear" w:color="auto" w:fill="auto"/>
            <w:vAlign w:val="center"/>
          </w:tcPr>
          <w:p w14:paraId="641E3F51" w14:textId="77777777" w:rsidR="00913C78" w:rsidRPr="0097400A" w:rsidRDefault="00913C78" w:rsidP="0097400A">
            <w:pPr>
              <w:pStyle w:val="ae"/>
              <w:rPr>
                <w:b w:val="0"/>
                <w:bCs/>
              </w:rPr>
            </w:pPr>
          </w:p>
        </w:tc>
      </w:tr>
    </w:tbl>
    <w:p w14:paraId="1E28B245" w14:textId="77777777" w:rsidR="00913C78" w:rsidRPr="00913C78" w:rsidRDefault="00913C78" w:rsidP="00913C78">
      <w:pPr>
        <w:ind w:firstLine="420"/>
      </w:pPr>
      <w:r w:rsidRPr="00913C78">
        <w:rPr>
          <w:rFonts w:hint="eastAsia"/>
        </w:rPr>
        <w:t>注：材料密度引自《民用建筑热工设计规范》（</w:t>
      </w:r>
      <w:r w:rsidRPr="00913C78">
        <w:t>GB</w:t>
      </w:r>
      <w:r w:rsidRPr="00913C78">
        <w:rPr>
          <w:rFonts w:hint="eastAsia"/>
        </w:rPr>
        <w:t xml:space="preserve"> </w:t>
      </w:r>
      <w:r w:rsidRPr="00913C78">
        <w:t>50176</w:t>
      </w:r>
      <w:r w:rsidRPr="00913C78">
        <w:rPr>
          <w:rFonts w:hint="eastAsia"/>
        </w:rPr>
        <w:t>—</w:t>
      </w:r>
      <w:r w:rsidRPr="00913C78">
        <w:rPr>
          <w:rFonts w:hint="eastAsia"/>
        </w:rPr>
        <w:t>2016</w:t>
      </w:r>
      <w:r w:rsidRPr="00913C78">
        <w:rPr>
          <w:rFonts w:hint="eastAsia"/>
        </w:rPr>
        <w:t>）。</w:t>
      </w:r>
      <w:r w:rsidRPr="00913C78">
        <w:t xml:space="preserve"> </w:t>
      </w:r>
    </w:p>
    <w:p w14:paraId="1A4BB5BE" w14:textId="77777777" w:rsidR="00913C78" w:rsidRPr="00913C78" w:rsidRDefault="00913C78" w:rsidP="00913C78">
      <w:pPr>
        <w:ind w:firstLine="420"/>
      </w:pPr>
    </w:p>
    <w:p w14:paraId="65880819" w14:textId="77777777" w:rsidR="00913C78" w:rsidRPr="00913C78" w:rsidRDefault="00913C78" w:rsidP="00913C78">
      <w:pPr>
        <w:ind w:firstLine="420"/>
      </w:pPr>
      <w:r w:rsidRPr="00913C78">
        <w:rPr>
          <w:rFonts w:hint="eastAsia"/>
        </w:rPr>
        <w:t>计算楼板构造的计权隔声量</w:t>
      </w:r>
      <w:r w:rsidRPr="00913C78">
        <w:rPr>
          <w:rFonts w:hint="eastAsia"/>
        </w:rPr>
        <w:t>+</w:t>
      </w:r>
      <w:r w:rsidRPr="00913C78">
        <w:rPr>
          <w:rFonts w:hint="eastAsia"/>
        </w:rPr>
        <w:t>粉红噪声频谱修正值（</w:t>
      </w:r>
      <w:r w:rsidRPr="00913C78">
        <w:rPr>
          <w:rFonts w:hint="eastAsia"/>
        </w:rPr>
        <w:t>Rw+C</w:t>
      </w:r>
      <w:r w:rsidRPr="00913C78">
        <w:rPr>
          <w:rFonts w:hint="eastAsia"/>
        </w:rPr>
        <w:t>）应采用以下</w:t>
      </w:r>
      <w:r w:rsidRPr="00913C78">
        <w:t>两种方法</w:t>
      </w:r>
      <w:r w:rsidRPr="00913C78">
        <w:rPr>
          <w:rFonts w:hint="eastAsia"/>
        </w:rPr>
        <w:t>，</w:t>
      </w:r>
      <w:r w:rsidRPr="00913C78">
        <w:t>并</w:t>
      </w:r>
      <w:r w:rsidRPr="00913C78">
        <w:rPr>
          <w:rFonts w:hint="eastAsia"/>
        </w:rPr>
        <w:t>综合分析</w:t>
      </w:r>
      <w:r w:rsidRPr="00913C78">
        <w:t>比较：</w:t>
      </w:r>
    </w:p>
    <w:p w14:paraId="2EAB8B43" w14:textId="77777777" w:rsidR="00913C78" w:rsidRPr="00913C78" w:rsidRDefault="00913C78" w:rsidP="00913C78">
      <w:pPr>
        <w:ind w:firstLine="420"/>
      </w:pPr>
      <w:r w:rsidRPr="00913C78">
        <w:t>1</w:t>
      </w:r>
      <w:r w:rsidRPr="00913C78">
        <w:rPr>
          <w:rFonts w:hint="eastAsia"/>
        </w:rPr>
        <w:t>）</w:t>
      </w:r>
      <w:r w:rsidRPr="00913C78">
        <w:t> </w:t>
      </w:r>
      <w:r w:rsidRPr="00913C78">
        <w:rPr>
          <w:rFonts w:hint="eastAsia"/>
        </w:rPr>
        <w:t>简易插值计算。查询《建筑隔声与吸声构造》（</w:t>
      </w:r>
      <w:r w:rsidRPr="00913C78">
        <w:rPr>
          <w:rFonts w:hint="eastAsia"/>
        </w:rPr>
        <w:t>08J931</w:t>
      </w:r>
      <w:r w:rsidRPr="00913C78">
        <w:rPr>
          <w:rFonts w:hint="eastAsia"/>
        </w:rPr>
        <w:t>，建质〔</w:t>
      </w:r>
      <w:r w:rsidRPr="00913C78">
        <w:rPr>
          <w:rFonts w:hint="eastAsia"/>
        </w:rPr>
        <w:t>2008</w:t>
      </w:r>
      <w:r w:rsidRPr="00913C78">
        <w:rPr>
          <w:rFonts w:hint="eastAsia"/>
        </w:rPr>
        <w:t>〕</w:t>
      </w:r>
      <w:r w:rsidRPr="00913C78">
        <w:rPr>
          <w:rFonts w:hint="eastAsia"/>
        </w:rPr>
        <w:t>18</w:t>
      </w:r>
      <w:r w:rsidRPr="00913C78">
        <w:rPr>
          <w:rFonts w:hint="eastAsia"/>
        </w:rPr>
        <w:t>号），其中外墙</w:t>
      </w:r>
      <w:r w:rsidRPr="00913C78">
        <w:rPr>
          <w:rFonts w:hint="eastAsia"/>
        </w:rPr>
        <w:t>1</w:t>
      </w:r>
      <w:r w:rsidRPr="00913C78">
        <w:rPr>
          <w:rFonts w:hint="eastAsia"/>
        </w:rPr>
        <w:t>和外墙</w:t>
      </w:r>
      <w:r w:rsidRPr="00913C78">
        <w:rPr>
          <w:rFonts w:hint="eastAsia"/>
        </w:rPr>
        <w:t>2</w:t>
      </w:r>
      <w:r w:rsidRPr="00913C78">
        <w:rPr>
          <w:rFonts w:hint="eastAsia"/>
        </w:rPr>
        <w:t>隔声性能见附表</w:t>
      </w:r>
      <w:r w:rsidRPr="00913C78">
        <w:rPr>
          <w:rFonts w:hint="eastAsia"/>
        </w:rPr>
        <w:t>B.6.8</w:t>
      </w:r>
      <w:r w:rsidRPr="00913C78">
        <w:rPr>
          <w:rFonts w:hint="eastAsia"/>
        </w:rPr>
        <w:t>所示。</w:t>
      </w:r>
    </w:p>
    <w:p w14:paraId="060A5D90" w14:textId="77777777" w:rsidR="00913C78" w:rsidRPr="00913C78" w:rsidRDefault="00913C78" w:rsidP="0097400A">
      <w:pPr>
        <w:pStyle w:val="ae"/>
      </w:pPr>
      <w:r w:rsidRPr="00913C78">
        <w:rPr>
          <w:rFonts w:hint="eastAsia"/>
        </w:rPr>
        <w:t>附表</w:t>
      </w:r>
      <w:r w:rsidRPr="00913C78">
        <w:rPr>
          <w:rFonts w:hint="eastAsia"/>
        </w:rPr>
        <w:t>B.6.8</w:t>
      </w:r>
      <w:r w:rsidRPr="00913C78">
        <w:t xml:space="preserve"> </w:t>
      </w:r>
      <w:r w:rsidRPr="00913C78">
        <w:rPr>
          <w:rFonts w:hint="eastAsia"/>
        </w:rPr>
        <w:t xml:space="preserve"> </w:t>
      </w:r>
      <w:r w:rsidRPr="00913C78">
        <w:rPr>
          <w:rFonts w:hint="eastAsia"/>
        </w:rPr>
        <w:t>常见楼板隔声性能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14" w:type="dxa"/>
        </w:tblCellMar>
        <w:tblLook w:val="04A0" w:firstRow="1" w:lastRow="0" w:firstColumn="1" w:lastColumn="0" w:noHBand="0" w:noVBand="1"/>
      </w:tblPr>
      <w:tblGrid>
        <w:gridCol w:w="794"/>
        <w:gridCol w:w="1266"/>
        <w:gridCol w:w="1022"/>
        <w:gridCol w:w="1197"/>
        <w:gridCol w:w="1266"/>
        <w:gridCol w:w="767"/>
      </w:tblGrid>
      <w:tr w:rsidR="00913C78" w:rsidRPr="0097400A" w14:paraId="1F8E768E" w14:textId="77777777" w:rsidTr="00A2511C">
        <w:trPr>
          <w:jc w:val="center"/>
        </w:trPr>
        <w:tc>
          <w:tcPr>
            <w:tcW w:w="0" w:type="auto"/>
            <w:shd w:val="clear" w:color="auto" w:fill="auto"/>
            <w:vAlign w:val="center"/>
          </w:tcPr>
          <w:p w14:paraId="56B41715" w14:textId="77777777" w:rsidR="00913C78" w:rsidRPr="0097400A" w:rsidRDefault="00913C78" w:rsidP="0097400A">
            <w:pPr>
              <w:pStyle w:val="ae"/>
              <w:rPr>
                <w:b w:val="0"/>
                <w:bCs/>
              </w:rPr>
            </w:pPr>
            <w:r w:rsidRPr="0097400A">
              <w:rPr>
                <w:rFonts w:hint="eastAsia"/>
                <w:b w:val="0"/>
                <w:bCs/>
              </w:rPr>
              <w:t>编号</w:t>
            </w:r>
          </w:p>
        </w:tc>
        <w:tc>
          <w:tcPr>
            <w:tcW w:w="0" w:type="auto"/>
            <w:shd w:val="clear" w:color="auto" w:fill="auto"/>
            <w:vAlign w:val="center"/>
          </w:tcPr>
          <w:p w14:paraId="55E65C31" w14:textId="77777777" w:rsidR="00913C78" w:rsidRPr="0097400A" w:rsidRDefault="00913C78" w:rsidP="0097400A">
            <w:pPr>
              <w:pStyle w:val="ae"/>
              <w:rPr>
                <w:b w:val="0"/>
                <w:bCs/>
              </w:rPr>
            </w:pPr>
            <w:r w:rsidRPr="0097400A">
              <w:rPr>
                <w:rFonts w:hint="eastAsia"/>
                <w:b w:val="0"/>
                <w:bCs/>
              </w:rPr>
              <w:t>楼板构造</w:t>
            </w:r>
          </w:p>
        </w:tc>
        <w:tc>
          <w:tcPr>
            <w:tcW w:w="0" w:type="auto"/>
            <w:shd w:val="clear" w:color="auto" w:fill="auto"/>
            <w:vAlign w:val="center"/>
          </w:tcPr>
          <w:p w14:paraId="016B9C4C" w14:textId="77777777" w:rsidR="00913C78" w:rsidRPr="0097400A" w:rsidRDefault="00913C78" w:rsidP="0097400A">
            <w:pPr>
              <w:pStyle w:val="ae"/>
              <w:rPr>
                <w:b w:val="0"/>
                <w:bCs/>
              </w:rPr>
            </w:pPr>
            <w:r w:rsidRPr="0097400A">
              <w:rPr>
                <w:rFonts w:hint="eastAsia"/>
                <w:b w:val="0"/>
                <w:bCs/>
              </w:rPr>
              <w:t>厚度</w:t>
            </w:r>
            <w:r w:rsidRPr="0097400A">
              <w:rPr>
                <w:rFonts w:hint="eastAsia"/>
                <w:b w:val="0"/>
                <w:bCs/>
              </w:rPr>
              <w:t>/</w:t>
            </w:r>
            <w:r w:rsidRPr="0097400A">
              <w:rPr>
                <w:b w:val="0"/>
                <w:bCs/>
              </w:rPr>
              <w:t>mm</w:t>
            </w:r>
          </w:p>
        </w:tc>
        <w:tc>
          <w:tcPr>
            <w:tcW w:w="0" w:type="auto"/>
            <w:shd w:val="clear" w:color="auto" w:fill="auto"/>
            <w:vAlign w:val="center"/>
          </w:tcPr>
          <w:p w14:paraId="1857B095" w14:textId="77777777" w:rsidR="00913C78" w:rsidRPr="0097400A" w:rsidRDefault="00913C78" w:rsidP="0097400A">
            <w:pPr>
              <w:pStyle w:val="ae"/>
              <w:rPr>
                <w:b w:val="0"/>
                <w:bCs/>
              </w:rPr>
            </w:pPr>
            <w:r w:rsidRPr="0097400A">
              <w:rPr>
                <w:rFonts w:hint="eastAsia"/>
                <w:b w:val="0"/>
                <w:bCs/>
              </w:rPr>
              <w:t>面密度</w:t>
            </w:r>
          </w:p>
          <w:p w14:paraId="771DF49B" w14:textId="77777777" w:rsidR="00913C78" w:rsidRPr="0097400A" w:rsidRDefault="00913C78" w:rsidP="0097400A">
            <w:pPr>
              <w:pStyle w:val="ae"/>
              <w:rPr>
                <w:b w:val="0"/>
                <w:bCs/>
              </w:rPr>
            </w:pPr>
            <w:r w:rsidRPr="0097400A">
              <w:rPr>
                <w:rFonts w:hint="eastAsia"/>
                <w:b w:val="0"/>
                <w:bCs/>
              </w:rPr>
              <w:t>/</w:t>
            </w:r>
            <w:r w:rsidRPr="0097400A">
              <w:rPr>
                <w:rFonts w:hint="eastAsia"/>
                <w:b w:val="0"/>
                <w:bCs/>
              </w:rPr>
              <w:t>（</w:t>
            </w:r>
            <w:r w:rsidRPr="0097400A">
              <w:rPr>
                <w:b w:val="0"/>
                <w:bCs/>
              </w:rPr>
              <w:t>kg/m</w:t>
            </w:r>
            <w:r w:rsidRPr="00F83296">
              <w:rPr>
                <w:b w:val="0"/>
                <w:bCs/>
                <w:vertAlign w:val="superscript"/>
              </w:rPr>
              <w:t>2</w:t>
            </w:r>
            <w:r w:rsidRPr="0097400A">
              <w:rPr>
                <w:rFonts w:hint="eastAsia"/>
                <w:b w:val="0"/>
                <w:bCs/>
              </w:rPr>
              <w:t>）</w:t>
            </w:r>
          </w:p>
        </w:tc>
        <w:tc>
          <w:tcPr>
            <w:tcW w:w="0" w:type="auto"/>
            <w:shd w:val="clear" w:color="auto" w:fill="auto"/>
            <w:vAlign w:val="center"/>
          </w:tcPr>
          <w:p w14:paraId="533DD7A7" w14:textId="77777777" w:rsidR="00913C78" w:rsidRPr="0097400A" w:rsidRDefault="00913C78" w:rsidP="0097400A">
            <w:pPr>
              <w:pStyle w:val="ae"/>
              <w:rPr>
                <w:b w:val="0"/>
                <w:bCs/>
              </w:rPr>
            </w:pPr>
            <w:r w:rsidRPr="0097400A">
              <w:rPr>
                <w:rFonts w:hint="eastAsia"/>
                <w:b w:val="0"/>
                <w:bCs/>
              </w:rPr>
              <w:t>计权隔声量</w:t>
            </w:r>
          </w:p>
          <w:p w14:paraId="06871523" w14:textId="77777777" w:rsidR="00913C78" w:rsidRPr="0097400A" w:rsidRDefault="00913C78" w:rsidP="0097400A">
            <w:pPr>
              <w:pStyle w:val="ae"/>
              <w:rPr>
                <w:b w:val="0"/>
                <w:bCs/>
              </w:rPr>
            </w:pPr>
            <w:r w:rsidRPr="0097400A">
              <w:rPr>
                <w:b w:val="0"/>
                <w:bCs/>
              </w:rPr>
              <w:t>Rw</w:t>
            </w:r>
            <w:r w:rsidRPr="0097400A">
              <w:rPr>
                <w:rFonts w:hint="eastAsia"/>
                <w:b w:val="0"/>
                <w:bCs/>
              </w:rPr>
              <w:t>/</w:t>
            </w:r>
            <w:r w:rsidRPr="0097400A">
              <w:rPr>
                <w:b w:val="0"/>
                <w:bCs/>
              </w:rPr>
              <w:t>dB</w:t>
            </w:r>
          </w:p>
        </w:tc>
        <w:tc>
          <w:tcPr>
            <w:tcW w:w="0" w:type="auto"/>
            <w:shd w:val="clear" w:color="auto" w:fill="auto"/>
            <w:vAlign w:val="center"/>
          </w:tcPr>
          <w:p w14:paraId="07428FAC" w14:textId="77777777" w:rsidR="00913C78" w:rsidRPr="0097400A" w:rsidRDefault="00913C78" w:rsidP="0097400A">
            <w:pPr>
              <w:pStyle w:val="ae"/>
              <w:rPr>
                <w:b w:val="0"/>
                <w:bCs/>
              </w:rPr>
            </w:pPr>
            <w:r w:rsidRPr="0097400A">
              <w:rPr>
                <w:b w:val="0"/>
                <w:bCs/>
              </w:rPr>
              <w:t>Rw+C</w:t>
            </w:r>
          </w:p>
        </w:tc>
      </w:tr>
      <w:tr w:rsidR="00913C78" w:rsidRPr="0097400A" w14:paraId="4D157DBE" w14:textId="77777777" w:rsidTr="00A2511C">
        <w:trPr>
          <w:jc w:val="center"/>
        </w:trPr>
        <w:tc>
          <w:tcPr>
            <w:tcW w:w="0" w:type="auto"/>
            <w:shd w:val="clear" w:color="auto" w:fill="auto"/>
          </w:tcPr>
          <w:p w14:paraId="3766DA7C" w14:textId="77777777" w:rsidR="00913C78" w:rsidRPr="0097400A" w:rsidRDefault="00913C78" w:rsidP="0097400A">
            <w:pPr>
              <w:pStyle w:val="ae"/>
              <w:rPr>
                <w:b w:val="0"/>
                <w:bCs/>
              </w:rPr>
            </w:pPr>
            <w:r w:rsidRPr="0097400A">
              <w:rPr>
                <w:rFonts w:hint="eastAsia"/>
                <w:b w:val="0"/>
                <w:bCs/>
              </w:rPr>
              <w:t>外墙</w:t>
            </w:r>
            <w:r w:rsidRPr="0097400A">
              <w:rPr>
                <w:b w:val="0"/>
                <w:bCs/>
              </w:rPr>
              <w:t>1</w:t>
            </w:r>
          </w:p>
        </w:tc>
        <w:tc>
          <w:tcPr>
            <w:tcW w:w="0" w:type="auto"/>
            <w:shd w:val="clear" w:color="auto" w:fill="auto"/>
            <w:vAlign w:val="center"/>
          </w:tcPr>
          <w:p w14:paraId="7FD8AA06" w14:textId="77777777" w:rsidR="00913C78" w:rsidRPr="0097400A" w:rsidRDefault="00913C78" w:rsidP="0097400A">
            <w:pPr>
              <w:pStyle w:val="ae"/>
              <w:rPr>
                <w:b w:val="0"/>
                <w:bCs/>
              </w:rPr>
            </w:pPr>
            <w:r w:rsidRPr="0097400A">
              <w:rPr>
                <w:rFonts w:hint="eastAsia"/>
                <w:b w:val="0"/>
                <w:bCs/>
              </w:rPr>
              <w:t>钢筋混凝土</w:t>
            </w:r>
          </w:p>
        </w:tc>
        <w:tc>
          <w:tcPr>
            <w:tcW w:w="0" w:type="auto"/>
            <w:shd w:val="clear" w:color="auto" w:fill="auto"/>
            <w:vAlign w:val="center"/>
          </w:tcPr>
          <w:p w14:paraId="35FFA65C" w14:textId="77777777" w:rsidR="00913C78" w:rsidRPr="0097400A" w:rsidRDefault="00913C78" w:rsidP="0097400A">
            <w:pPr>
              <w:pStyle w:val="ae"/>
              <w:rPr>
                <w:b w:val="0"/>
                <w:bCs/>
              </w:rPr>
            </w:pPr>
            <w:r w:rsidRPr="0097400A">
              <w:rPr>
                <w:b w:val="0"/>
                <w:bCs/>
              </w:rPr>
              <w:t>120</w:t>
            </w:r>
          </w:p>
        </w:tc>
        <w:tc>
          <w:tcPr>
            <w:tcW w:w="0" w:type="auto"/>
            <w:shd w:val="clear" w:color="auto" w:fill="auto"/>
            <w:vAlign w:val="center"/>
          </w:tcPr>
          <w:p w14:paraId="2B9DECC4" w14:textId="77777777" w:rsidR="00913C78" w:rsidRPr="0097400A" w:rsidRDefault="00913C78" w:rsidP="0097400A">
            <w:pPr>
              <w:pStyle w:val="ae"/>
              <w:rPr>
                <w:b w:val="0"/>
                <w:bCs/>
              </w:rPr>
            </w:pPr>
            <w:r w:rsidRPr="0097400A">
              <w:rPr>
                <w:b w:val="0"/>
                <w:bCs/>
              </w:rPr>
              <w:t>276</w:t>
            </w:r>
          </w:p>
        </w:tc>
        <w:tc>
          <w:tcPr>
            <w:tcW w:w="0" w:type="auto"/>
            <w:shd w:val="clear" w:color="auto" w:fill="auto"/>
            <w:vAlign w:val="center"/>
          </w:tcPr>
          <w:p w14:paraId="6490F0C5" w14:textId="77777777" w:rsidR="00913C78" w:rsidRPr="0097400A" w:rsidRDefault="00913C78" w:rsidP="0097400A">
            <w:pPr>
              <w:pStyle w:val="ae"/>
              <w:rPr>
                <w:b w:val="0"/>
                <w:bCs/>
              </w:rPr>
            </w:pPr>
            <w:r w:rsidRPr="0097400A">
              <w:rPr>
                <w:b w:val="0"/>
                <w:bCs/>
              </w:rPr>
              <w:t>49</w:t>
            </w:r>
          </w:p>
        </w:tc>
        <w:tc>
          <w:tcPr>
            <w:tcW w:w="0" w:type="auto"/>
            <w:shd w:val="clear" w:color="auto" w:fill="auto"/>
            <w:vAlign w:val="center"/>
          </w:tcPr>
          <w:p w14:paraId="2771A00B" w14:textId="77777777" w:rsidR="00913C78" w:rsidRPr="0097400A" w:rsidRDefault="00913C78" w:rsidP="0097400A">
            <w:pPr>
              <w:pStyle w:val="ae"/>
              <w:rPr>
                <w:b w:val="0"/>
                <w:bCs/>
              </w:rPr>
            </w:pPr>
            <w:r w:rsidRPr="0097400A">
              <w:rPr>
                <w:b w:val="0"/>
                <w:bCs/>
              </w:rPr>
              <w:t>47</w:t>
            </w:r>
          </w:p>
        </w:tc>
      </w:tr>
      <w:tr w:rsidR="00913C78" w:rsidRPr="0097400A" w14:paraId="212FDBD2" w14:textId="77777777" w:rsidTr="00A2511C">
        <w:trPr>
          <w:jc w:val="center"/>
        </w:trPr>
        <w:tc>
          <w:tcPr>
            <w:tcW w:w="0" w:type="auto"/>
            <w:shd w:val="clear" w:color="auto" w:fill="auto"/>
          </w:tcPr>
          <w:p w14:paraId="4C85C142" w14:textId="77777777" w:rsidR="00913C78" w:rsidRPr="0097400A" w:rsidRDefault="00913C78" w:rsidP="0097400A">
            <w:pPr>
              <w:pStyle w:val="ae"/>
              <w:rPr>
                <w:b w:val="0"/>
                <w:bCs/>
              </w:rPr>
            </w:pPr>
            <w:r w:rsidRPr="0097400A">
              <w:rPr>
                <w:rFonts w:hint="eastAsia"/>
                <w:b w:val="0"/>
                <w:bCs/>
              </w:rPr>
              <w:t>外墙</w:t>
            </w:r>
            <w:r w:rsidRPr="0097400A">
              <w:rPr>
                <w:b w:val="0"/>
                <w:bCs/>
              </w:rPr>
              <w:t>2</w:t>
            </w:r>
          </w:p>
        </w:tc>
        <w:tc>
          <w:tcPr>
            <w:tcW w:w="0" w:type="auto"/>
            <w:shd w:val="clear" w:color="auto" w:fill="auto"/>
            <w:vAlign w:val="center"/>
          </w:tcPr>
          <w:p w14:paraId="4253D5A5" w14:textId="77777777" w:rsidR="00913C78" w:rsidRPr="0097400A" w:rsidRDefault="00913C78" w:rsidP="0097400A">
            <w:pPr>
              <w:pStyle w:val="ae"/>
              <w:rPr>
                <w:b w:val="0"/>
                <w:bCs/>
              </w:rPr>
            </w:pPr>
            <w:r w:rsidRPr="0097400A">
              <w:rPr>
                <w:rFonts w:hint="eastAsia"/>
                <w:b w:val="0"/>
                <w:bCs/>
              </w:rPr>
              <w:t>钢筋混凝土</w:t>
            </w:r>
          </w:p>
        </w:tc>
        <w:tc>
          <w:tcPr>
            <w:tcW w:w="0" w:type="auto"/>
            <w:shd w:val="clear" w:color="auto" w:fill="auto"/>
            <w:vAlign w:val="center"/>
          </w:tcPr>
          <w:p w14:paraId="2537FE86" w14:textId="77777777" w:rsidR="00913C78" w:rsidRPr="0097400A" w:rsidRDefault="00913C78" w:rsidP="0097400A">
            <w:pPr>
              <w:pStyle w:val="ae"/>
              <w:rPr>
                <w:b w:val="0"/>
                <w:bCs/>
              </w:rPr>
            </w:pPr>
            <w:r w:rsidRPr="0097400A">
              <w:rPr>
                <w:b w:val="0"/>
                <w:bCs/>
              </w:rPr>
              <w:t>150</w:t>
            </w:r>
          </w:p>
        </w:tc>
        <w:tc>
          <w:tcPr>
            <w:tcW w:w="0" w:type="auto"/>
            <w:shd w:val="clear" w:color="auto" w:fill="auto"/>
            <w:vAlign w:val="center"/>
          </w:tcPr>
          <w:p w14:paraId="702C1D83" w14:textId="77777777" w:rsidR="00913C78" w:rsidRPr="0097400A" w:rsidRDefault="00913C78" w:rsidP="0097400A">
            <w:pPr>
              <w:pStyle w:val="ae"/>
              <w:rPr>
                <w:b w:val="0"/>
                <w:bCs/>
              </w:rPr>
            </w:pPr>
            <w:r w:rsidRPr="0097400A">
              <w:rPr>
                <w:b w:val="0"/>
                <w:bCs/>
              </w:rPr>
              <w:t>360</w:t>
            </w:r>
          </w:p>
        </w:tc>
        <w:tc>
          <w:tcPr>
            <w:tcW w:w="0" w:type="auto"/>
            <w:shd w:val="clear" w:color="auto" w:fill="auto"/>
            <w:vAlign w:val="center"/>
          </w:tcPr>
          <w:p w14:paraId="67752BB0" w14:textId="77777777" w:rsidR="00913C78" w:rsidRPr="0097400A" w:rsidRDefault="00913C78" w:rsidP="0097400A">
            <w:pPr>
              <w:pStyle w:val="ae"/>
              <w:rPr>
                <w:b w:val="0"/>
                <w:bCs/>
              </w:rPr>
            </w:pPr>
            <w:r w:rsidRPr="0097400A">
              <w:rPr>
                <w:b w:val="0"/>
                <w:bCs/>
              </w:rPr>
              <w:t>52</w:t>
            </w:r>
          </w:p>
        </w:tc>
        <w:tc>
          <w:tcPr>
            <w:tcW w:w="0" w:type="auto"/>
            <w:shd w:val="clear" w:color="auto" w:fill="auto"/>
            <w:vAlign w:val="center"/>
          </w:tcPr>
          <w:p w14:paraId="1519FDF2" w14:textId="77777777" w:rsidR="00913C78" w:rsidRPr="0097400A" w:rsidRDefault="00913C78" w:rsidP="0097400A">
            <w:pPr>
              <w:pStyle w:val="ae"/>
              <w:rPr>
                <w:b w:val="0"/>
                <w:bCs/>
              </w:rPr>
            </w:pPr>
            <w:r w:rsidRPr="0097400A">
              <w:rPr>
                <w:b w:val="0"/>
                <w:bCs/>
              </w:rPr>
              <w:t>51</w:t>
            </w:r>
          </w:p>
        </w:tc>
      </w:tr>
    </w:tbl>
    <w:p w14:paraId="4410D5E4" w14:textId="77777777" w:rsidR="00913C78" w:rsidRPr="00913C78" w:rsidRDefault="00913C78" w:rsidP="00913C78">
      <w:pPr>
        <w:ind w:firstLine="420"/>
      </w:pPr>
    </w:p>
    <w:p w14:paraId="54EA540F" w14:textId="77777777" w:rsidR="00913C78" w:rsidRPr="00913C78" w:rsidRDefault="00913C78" w:rsidP="00913C78">
      <w:pPr>
        <w:ind w:firstLine="420"/>
      </w:pPr>
      <w:r w:rsidRPr="00913C78">
        <w:rPr>
          <w:rFonts w:hint="eastAsia"/>
        </w:rPr>
        <w:t>示例中楼板综合面密度</w:t>
      </w:r>
      <w:r w:rsidRPr="00913C78">
        <w:rPr>
          <w:rFonts w:hint="eastAsia"/>
        </w:rPr>
        <w:t>319kg/m</w:t>
      </w:r>
      <w:r w:rsidRPr="00F83296">
        <w:rPr>
          <w:vertAlign w:val="superscript"/>
        </w:rPr>
        <w:t>2</w:t>
      </w:r>
      <w:r w:rsidRPr="00913C78">
        <w:rPr>
          <w:rFonts w:hint="eastAsia"/>
        </w:rPr>
        <w:t>，若按照线性插值粗略估计，其</w:t>
      </w:r>
      <w:r w:rsidRPr="00913C78">
        <w:rPr>
          <w:rFonts w:hint="eastAsia"/>
        </w:rPr>
        <w:t>Rw+C</w:t>
      </w:r>
      <w:r w:rsidRPr="00913C78">
        <w:rPr>
          <w:rFonts w:hint="eastAsia"/>
        </w:rPr>
        <w:t>约为</w:t>
      </w:r>
      <w:r w:rsidRPr="00913C78">
        <w:rPr>
          <w:rFonts w:hint="eastAsia"/>
        </w:rPr>
        <w:t>49dB</w:t>
      </w:r>
      <w:r w:rsidRPr="00913C78">
        <w:rPr>
          <w:rFonts w:hint="eastAsia"/>
        </w:rPr>
        <w:t>，满</w:t>
      </w:r>
      <w:r w:rsidRPr="00913C78">
        <w:rPr>
          <w:rFonts w:hint="eastAsia"/>
        </w:rPr>
        <w:lastRenderedPageBreak/>
        <w:t>足《民用建筑隔声设计规范》（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）要求。</w:t>
      </w:r>
    </w:p>
    <w:p w14:paraId="3CA7A12F"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公式</w:t>
      </w:r>
      <w:r w:rsidRPr="00913C78">
        <w:t>计算</w:t>
      </w:r>
      <w:r w:rsidRPr="00913C78">
        <w:rPr>
          <w:rFonts w:hint="eastAsia"/>
        </w:rPr>
        <w:t>。将该楼板构造按复合构造考虑，参考《建筑隔声设计—空气声隔声技术》一书中可查得艾尔杰里的两个经验公式，详见式（</w:t>
      </w:r>
      <w:r w:rsidRPr="00913C78">
        <w:rPr>
          <w:rFonts w:hint="eastAsia"/>
        </w:rPr>
        <w:t>B.6.4</w:t>
      </w:r>
      <w:r w:rsidRPr="00913C78">
        <w:rPr>
          <w:rFonts w:hint="eastAsia"/>
        </w:rPr>
        <w:t>）和式（</w:t>
      </w:r>
      <w:r w:rsidRPr="00913C78">
        <w:rPr>
          <w:rFonts w:hint="eastAsia"/>
        </w:rPr>
        <w:t>B.6.5</w:t>
      </w:r>
      <w:r w:rsidRPr="00913C78">
        <w:rPr>
          <w:rFonts w:hint="eastAsia"/>
        </w:rPr>
        <w:t>）。根据该经验公式进行计算分析。</w:t>
      </w:r>
    </w:p>
    <w:p w14:paraId="05DF6AD5" w14:textId="38AFD5EE" w:rsidR="00913C78" w:rsidRPr="00913C78" w:rsidRDefault="00913C78" w:rsidP="00A624AE">
      <w:pPr>
        <w:pStyle w:val="af8"/>
      </w:pPr>
      <w:r w:rsidRPr="00913C78">
        <w:rPr>
          <w:rFonts w:hint="eastAsia"/>
        </w:rPr>
        <w:tab/>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w</m:t>
            </m:r>
          </m:sub>
        </m:sSub>
        <m:r>
          <m:rPr>
            <m:sty m:val="p"/>
          </m:rPr>
          <w:rPr>
            <w:rFonts w:ascii="Cambria Math" w:hAnsi="Cambria Math"/>
          </w:rPr>
          <m:t>=23lgm-9  (m≥200 kg/</m:t>
        </m:r>
        <m:r>
          <m:rPr>
            <m:sty m:val="p"/>
          </m:rPr>
          <w:rPr>
            <w:rFonts w:ascii="Cambria Math" w:hAnsi="Cambria Math" w:hint="eastAsia"/>
          </w:rPr>
          <m:t>㎡</m:t>
        </m:r>
        <m:r>
          <m:rPr>
            <m:sty m:val="p"/>
          </m:rPr>
          <w:rPr>
            <w:rFonts w:ascii="Cambria Math" w:hAnsi="Cambria Math"/>
          </w:rPr>
          <m:t>)</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R</m:t>
            </m:r>
          </m:e>
          <m:sub>
            <m:r>
              <m:rPr>
                <m:sty m:val="p"/>
              </m:rPr>
              <w:rPr>
                <w:rFonts w:ascii="Cambria Math"/>
                <w:noProof/>
              </w:rPr>
              <m:t>w</m:t>
            </m:r>
          </m:sub>
        </m:sSub>
        <m:r>
          <m:rPr>
            <m:sty m:val="p"/>
          </m:rPr>
          <w:rPr>
            <w:rFonts w:ascii="Cambria Math"/>
            <w:noProof/>
          </w:rPr>
          <m:t>=231</m:t>
        </m:r>
        <m:func>
          <m:funcPr>
            <m:ctrlPr>
              <w:rPr>
                <w:rFonts w:ascii="Cambria Math" w:hAnsi="Cambria Math"/>
                <w:i/>
                <w:noProof/>
              </w:rPr>
            </m:ctrlPr>
          </m:funcPr>
          <m:fName>
            <m:r>
              <m:rPr>
                <m:sty m:val="p"/>
              </m:rPr>
              <w:rPr>
                <w:rFonts w:ascii="Cambria Math"/>
                <w:noProof/>
              </w:rPr>
              <m:t>lg</m:t>
            </m:r>
          </m:fName>
          <m:e>
            <m:r>
              <m:rPr>
                <m:sty m:val="p"/>
              </m:rPr>
              <w:rPr>
                <w:rFonts w:ascii="Cambria Math"/>
                <w:noProof/>
              </w:rPr>
              <m:t>m</m:t>
            </m:r>
          </m:e>
        </m:func>
        <m:r>
          <m:rPr>
            <m:sty m:val="p"/>
          </m:rPr>
          <w:rPr>
            <w:rFonts w:ascii="Cambria Math"/>
            <w:noProof/>
          </w:rPr>
          <m:t>-9(m</m:t>
        </m:r>
        <m:r>
          <m:rPr>
            <m:sty m:val="p"/>
          </m:rPr>
          <w:rPr>
            <w:rFonts w:ascii="Cambria Math"/>
            <w:noProof/>
          </w:rPr>
          <m:t>≥</m:t>
        </m:r>
        <m:r>
          <m:rPr>
            <m:sty m:val="p"/>
          </m:rPr>
          <w:rPr>
            <w:rFonts w:ascii="Cambria Math"/>
            <w:noProof/>
          </w:rPr>
          <m:t>200</m:t>
        </m:r>
        <m:r>
          <m:rPr>
            <m:nor/>
          </m:rPr>
          <w:rPr>
            <w:rFonts w:ascii="Cambria Math"/>
            <w:noProof/>
          </w:rPr>
          <m:t>kg</m:t>
        </m:r>
        <m:r>
          <m:rPr>
            <m:sty m:val="p"/>
          </m:rPr>
          <w:rPr>
            <w:rFonts w:ascii="Cambria Math"/>
            <w:noProof/>
          </w:rPr>
          <m:t>/</m:t>
        </m:r>
        <m:sSup>
          <m:sSupPr>
            <m:ctrlPr>
              <w:rPr>
                <w:rFonts w:ascii="Cambria Math" w:hAnsi="Cambria Math"/>
                <w:i/>
                <w:noProof/>
              </w:rPr>
            </m:ctrlPr>
          </m:sSupPr>
          <m:e>
            <m:r>
              <m:rPr>
                <m:sty m:val="p"/>
              </m:rPr>
              <w:rPr>
                <w:rFonts w:ascii="Cambria Math"/>
                <w:noProof/>
              </w:rPr>
              <m:t>m</m:t>
            </m:r>
          </m:e>
          <m:sup>
            <m:r>
              <m:rPr>
                <m:sty m:val="p"/>
              </m:rPr>
              <w:rPr>
                <w:rFonts w:ascii="Cambria Math"/>
                <w:noProof/>
              </w:rPr>
              <m:t>2</m:t>
            </m:r>
          </m:sup>
        </m:sSup>
        <m:r>
          <m:rPr>
            <m:sty m:val="p"/>
          </m:rPr>
          <w:rPr>
            <w:rFonts w:ascii="Cambria Math"/>
            <w:noProof/>
          </w:rPr>
          <m:t>)</m:t>
        </m:r>
      </m:oMath>
      <w:r w:rsidRPr="00913C78">
        <w:fldChar w:fldCharType="end"/>
      </w:r>
      <w:r w:rsidRPr="00913C78">
        <w:rPr>
          <w:rFonts w:hint="eastAsia"/>
        </w:rPr>
        <w:tab/>
      </w:r>
      <w:r w:rsidRPr="00913C78">
        <w:rPr>
          <w:rFonts w:hint="eastAsia"/>
        </w:rPr>
        <w:t>（</w:t>
      </w:r>
      <w:r w:rsidRPr="00913C78">
        <w:rPr>
          <w:rFonts w:hint="eastAsia"/>
        </w:rPr>
        <w:t>B.6.4</w:t>
      </w:r>
      <w:r w:rsidRPr="00913C78">
        <w:rPr>
          <w:rFonts w:hint="eastAsia"/>
        </w:rPr>
        <w:t>）</w:t>
      </w:r>
    </w:p>
    <w:p w14:paraId="6712304A" w14:textId="4CAEE4A0" w:rsidR="00913C78" w:rsidRPr="00913C78" w:rsidRDefault="00913C78" w:rsidP="00A624AE">
      <w:pPr>
        <w:pStyle w:val="af8"/>
      </w:pPr>
      <w:r w:rsidRPr="00913C78">
        <w:rPr>
          <w:rFonts w:hint="eastAsia"/>
        </w:rPr>
        <w:tab/>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w</m:t>
            </m:r>
          </m:sub>
        </m:sSub>
        <m:r>
          <m:rPr>
            <m:sty m:val="p"/>
          </m:rPr>
          <w:rPr>
            <w:rFonts w:ascii="Cambria Math" w:hAnsi="Cambria Math"/>
          </w:rPr>
          <m:t>=13.5lgm+13 (m≤200 kg/</m:t>
        </m:r>
        <m:r>
          <m:rPr>
            <m:sty m:val="p"/>
          </m:rPr>
          <w:rPr>
            <w:rFonts w:ascii="Cambria Math" w:hAnsi="Cambria Math" w:hint="eastAsia"/>
          </w:rPr>
          <m:t>㎡</m:t>
        </m:r>
        <m:r>
          <m:rPr>
            <m:sty m:val="p"/>
          </m:rPr>
          <w:rPr>
            <w:rFonts w:ascii="Cambria Math" w:hAnsi="Cambria Math"/>
          </w:rPr>
          <m:t>)</m:t>
        </m:r>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R</m:t>
            </m:r>
          </m:e>
          <m:sub>
            <m:r>
              <m:rPr>
                <m:sty m:val="p"/>
              </m:rPr>
              <w:rPr>
                <w:rFonts w:ascii="Cambria Math"/>
                <w:noProof/>
              </w:rPr>
              <m:t>w</m:t>
            </m:r>
          </m:sub>
        </m:sSub>
        <m:r>
          <m:rPr>
            <m:sty m:val="p"/>
          </m:rPr>
          <w:rPr>
            <w:rFonts w:ascii="Cambria Math"/>
            <w:noProof/>
          </w:rPr>
          <m:t>=13.5</m:t>
        </m:r>
        <m:func>
          <m:funcPr>
            <m:ctrlPr>
              <w:rPr>
                <w:rFonts w:ascii="Cambria Math" w:hAnsi="Cambria Math"/>
                <w:i/>
                <w:noProof/>
              </w:rPr>
            </m:ctrlPr>
          </m:funcPr>
          <m:fName>
            <m:r>
              <m:rPr>
                <m:sty m:val="p"/>
              </m:rPr>
              <w:rPr>
                <w:rFonts w:ascii="Cambria Math"/>
                <w:noProof/>
              </w:rPr>
              <m:t>lg</m:t>
            </m:r>
          </m:fName>
          <m:e>
            <m:r>
              <m:rPr>
                <m:sty m:val="p"/>
              </m:rPr>
              <w:rPr>
                <w:rFonts w:ascii="Cambria Math"/>
                <w:noProof/>
              </w:rPr>
              <m:t>m</m:t>
            </m:r>
          </m:e>
        </m:func>
        <m:r>
          <m:rPr>
            <m:sty m:val="p"/>
          </m:rPr>
          <w:rPr>
            <w:rFonts w:ascii="Cambria Math"/>
            <w:noProof/>
          </w:rPr>
          <m:t>+13(m</m:t>
        </m:r>
        <m:r>
          <m:rPr>
            <m:sty m:val="p"/>
          </m:rPr>
          <w:rPr>
            <w:rFonts w:ascii="Cambria Math"/>
            <w:noProof/>
          </w:rPr>
          <m:t>≤</m:t>
        </m:r>
        <m:r>
          <m:rPr>
            <m:sty m:val="p"/>
          </m:rPr>
          <w:rPr>
            <w:rFonts w:ascii="Cambria Math"/>
            <w:noProof/>
          </w:rPr>
          <m:t>200</m:t>
        </m:r>
        <m:r>
          <m:rPr>
            <m:nor/>
          </m:rPr>
          <w:rPr>
            <w:rFonts w:ascii="Cambria Math"/>
            <w:noProof/>
          </w:rPr>
          <m:t>kg</m:t>
        </m:r>
        <m:r>
          <m:rPr>
            <m:sty m:val="p"/>
          </m:rPr>
          <w:rPr>
            <w:rFonts w:ascii="Cambria Math"/>
            <w:noProof/>
          </w:rPr>
          <m:t>/</m:t>
        </m:r>
        <m:sSup>
          <m:sSupPr>
            <m:ctrlPr>
              <w:rPr>
                <w:rFonts w:ascii="Cambria Math" w:hAnsi="Cambria Math"/>
                <w:i/>
                <w:noProof/>
              </w:rPr>
            </m:ctrlPr>
          </m:sSupPr>
          <m:e>
            <m:r>
              <m:rPr>
                <m:sty m:val="p"/>
              </m:rPr>
              <w:rPr>
                <w:rFonts w:ascii="Cambria Math"/>
                <w:noProof/>
              </w:rPr>
              <m:t>m</m:t>
            </m:r>
          </m:e>
          <m:sup>
            <m:r>
              <m:rPr>
                <m:sty m:val="p"/>
              </m:rPr>
              <w:rPr>
                <w:rFonts w:ascii="Cambria Math"/>
                <w:noProof/>
              </w:rPr>
              <m:t>2</m:t>
            </m:r>
          </m:sup>
        </m:sSup>
        <m:r>
          <m:rPr>
            <m:sty m:val="p"/>
          </m:rPr>
          <w:rPr>
            <w:rFonts w:ascii="Cambria Math"/>
            <w:noProof/>
          </w:rPr>
          <m:t>)</m:t>
        </m:r>
      </m:oMath>
      <w:r w:rsidRPr="00913C78">
        <w:fldChar w:fldCharType="end"/>
      </w:r>
      <w:r w:rsidRPr="00913C78">
        <w:t xml:space="preserve"> </w:t>
      </w:r>
      <w:r w:rsidRPr="00913C78">
        <w:rPr>
          <w:rFonts w:hint="eastAsia"/>
        </w:rPr>
        <w:tab/>
      </w:r>
      <w:r w:rsidRPr="00913C78">
        <w:rPr>
          <w:rFonts w:hint="eastAsia"/>
        </w:rPr>
        <w:t>（</w:t>
      </w:r>
      <w:r w:rsidRPr="00913C78">
        <w:rPr>
          <w:rFonts w:hint="eastAsia"/>
        </w:rPr>
        <w:t>B.6.5</w:t>
      </w:r>
      <w:r w:rsidRPr="00913C78">
        <w:rPr>
          <w:rFonts w:hint="eastAsia"/>
        </w:rPr>
        <w:t>）</w:t>
      </w:r>
    </w:p>
    <w:p w14:paraId="3FD36897" w14:textId="77777777" w:rsidR="00913C78" w:rsidRPr="00913C78" w:rsidRDefault="00913C78" w:rsidP="00913C78">
      <w:pPr>
        <w:ind w:firstLine="420"/>
      </w:pPr>
      <w:r w:rsidRPr="00913C78">
        <w:rPr>
          <w:rFonts w:hint="eastAsia"/>
        </w:rPr>
        <w:t>示例中楼板单位面积质量为</w:t>
      </w:r>
      <w:r w:rsidRPr="00913C78">
        <w:t>319kg/</w:t>
      </w:r>
      <w:r w:rsidRPr="00913C78">
        <w:rPr>
          <w:rFonts w:hint="eastAsia"/>
        </w:rPr>
        <w:t>m2</w:t>
      </w:r>
      <w:r w:rsidRPr="00913C78">
        <w:rPr>
          <w:rFonts w:hint="eastAsia"/>
        </w:rPr>
        <w:t>＞</w:t>
      </w:r>
      <w:r w:rsidRPr="00913C78">
        <w:t>200kg/</w:t>
      </w:r>
      <w:r w:rsidRPr="00913C78">
        <w:rPr>
          <w:rFonts w:hint="eastAsia"/>
        </w:rPr>
        <w:t>m</w:t>
      </w:r>
      <w:r w:rsidRPr="00F83296">
        <w:rPr>
          <w:vertAlign w:val="superscript"/>
        </w:rPr>
        <w:t>2</w:t>
      </w:r>
      <w:r w:rsidRPr="00913C78">
        <w:rPr>
          <w:rFonts w:hint="eastAsia"/>
        </w:rPr>
        <w:t>，根据式（</w:t>
      </w:r>
      <w:r w:rsidRPr="00913C78">
        <w:rPr>
          <w:rFonts w:hint="eastAsia"/>
        </w:rPr>
        <w:t>B.6.4</w:t>
      </w:r>
      <w:r w:rsidRPr="00913C78">
        <w:rPr>
          <w:rFonts w:hint="eastAsia"/>
        </w:rPr>
        <w:t>）计算得</w:t>
      </w:r>
    </w:p>
    <w:p w14:paraId="2C603D4D" w14:textId="6C85ADCE" w:rsidR="00913C78" w:rsidRPr="00A624AE" w:rsidRDefault="00913C78" w:rsidP="00A624AE">
      <w:pPr>
        <w:pStyle w:val="af8"/>
      </w:pPr>
      <w:r w:rsidRPr="00913C78">
        <w:rPr>
          <w:rFonts w:hint="eastAsia"/>
        </w:rPr>
        <w:tab/>
      </w:r>
      <w:r w:rsidRPr="00643310">
        <w:fldChar w:fldCharType="begin"/>
      </w:r>
      <w:r w:rsidRPr="00A624AE">
        <w:instrText xml:space="preserve"> QUOTE </w:instrTex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w</m:t>
            </m:r>
          </m:sub>
        </m:sSub>
        <m:r>
          <m:rPr>
            <m:sty m:val="p"/>
          </m:rPr>
          <w:rPr>
            <w:rFonts w:ascii="Cambria Math" w:hAnsi="Cambria Math"/>
          </w:rPr>
          <m:t>=23lgm-9=23lg319-9=49 dB</m:t>
        </m:r>
      </m:oMath>
      <w:r w:rsidRPr="00A624AE">
        <w:instrText xml:space="preserve"> </w:instrText>
      </w:r>
      <w:r w:rsidRPr="00643310">
        <w:fldChar w:fldCharType="separate"/>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w</m:t>
            </m:r>
          </m:sub>
        </m:sSub>
        <m:r>
          <m:rPr>
            <m:sty m:val="p"/>
          </m:rPr>
          <w:rPr>
            <w:rFonts w:ascii="Cambria Math" w:hAnsi="Cambria Math"/>
          </w:rPr>
          <m:t>=23</m:t>
        </m:r>
        <m:func>
          <m:funcPr>
            <m:ctrlPr>
              <w:rPr>
                <w:rFonts w:ascii="Cambria Math" w:hAnsi="Cambria Math"/>
              </w:rPr>
            </m:ctrlPr>
          </m:funcPr>
          <m:fName>
            <m:r>
              <m:rPr>
                <m:sty m:val="p"/>
              </m:rPr>
              <w:rPr>
                <w:rFonts w:ascii="Cambria Math" w:hAnsi="Cambria Math"/>
              </w:rPr>
              <m:t>lg</m:t>
            </m:r>
          </m:fName>
          <m:e>
            <m:r>
              <m:rPr>
                <m:sty m:val="p"/>
              </m:rPr>
              <w:rPr>
                <w:rFonts w:ascii="Cambria Math" w:hAnsi="Cambria Math"/>
              </w:rPr>
              <m:t>m</m:t>
            </m:r>
          </m:e>
        </m:func>
        <m:r>
          <m:rPr>
            <m:sty m:val="p"/>
          </m:rPr>
          <w:rPr>
            <w:rFonts w:ascii="Cambria Math" w:hAnsi="Cambria Math"/>
          </w:rPr>
          <m:t>-9=23</m:t>
        </m:r>
        <m:func>
          <m:funcPr>
            <m:ctrlPr>
              <w:rPr>
                <w:rFonts w:ascii="Cambria Math" w:hAnsi="Cambria Math"/>
              </w:rPr>
            </m:ctrlPr>
          </m:funcPr>
          <m:fName>
            <m:r>
              <m:rPr>
                <m:sty m:val="p"/>
              </m:rPr>
              <w:rPr>
                <w:rFonts w:ascii="Cambria Math" w:hAnsi="Cambria Math"/>
              </w:rPr>
              <m:t>lg</m:t>
            </m:r>
          </m:fName>
          <m:e>
            <m:r>
              <m:rPr>
                <m:sty m:val="p"/>
              </m:rPr>
              <w:rPr>
                <w:rFonts w:ascii="Cambria Math" w:hAnsi="Cambria Math"/>
              </w:rPr>
              <m:t>3</m:t>
            </m:r>
          </m:e>
        </m:func>
        <m:r>
          <m:rPr>
            <m:sty m:val="p"/>
          </m:rPr>
          <w:rPr>
            <w:rFonts w:ascii="Cambria Math" w:hAnsi="Cambria Math"/>
          </w:rPr>
          <m:t>19-9=49</m:t>
        </m:r>
        <m:r>
          <m:rPr>
            <m:nor/>
          </m:rPr>
          <m:t>dB</m:t>
        </m:r>
      </m:oMath>
      <w:r w:rsidRPr="00643310">
        <w:fldChar w:fldCharType="end"/>
      </w:r>
      <w:r w:rsidRPr="00A624AE">
        <w:t xml:space="preserve"> </w:t>
      </w:r>
      <w:r w:rsidR="0097400A" w:rsidRPr="00A624AE">
        <w:tab/>
      </w:r>
    </w:p>
    <w:p w14:paraId="031C81A7" w14:textId="77777777" w:rsidR="00913C78" w:rsidRPr="00913C78" w:rsidRDefault="00913C78" w:rsidP="00913C78">
      <w:pPr>
        <w:ind w:firstLine="420"/>
      </w:pPr>
      <w:r w:rsidRPr="00913C78">
        <w:rPr>
          <w:rFonts w:hint="eastAsia"/>
        </w:rPr>
        <w:t>频谱修正量</w:t>
      </w:r>
      <w:r w:rsidRPr="00913C78">
        <w:rPr>
          <w:rFonts w:hint="eastAsia"/>
        </w:rPr>
        <w:t>Cj</w:t>
      </w:r>
      <w:r w:rsidRPr="00913C78">
        <w:rPr>
          <w:rFonts w:hint="eastAsia"/>
        </w:rPr>
        <w:t>按式（</w:t>
      </w:r>
      <w:r w:rsidRPr="00913C78">
        <w:rPr>
          <w:rFonts w:hint="eastAsia"/>
        </w:rPr>
        <w:t>B.6.3</w:t>
      </w:r>
      <w:r w:rsidRPr="00913C78">
        <w:rPr>
          <w:rFonts w:hint="eastAsia"/>
        </w:rPr>
        <w:t>）计算，计算出外墙构造的计权隔声量</w:t>
      </w:r>
      <w:r w:rsidRPr="00913C78">
        <w:rPr>
          <w:rFonts w:hint="eastAsia"/>
        </w:rPr>
        <w:t>+</w:t>
      </w:r>
      <w:r w:rsidRPr="00913C78">
        <w:rPr>
          <w:rFonts w:hint="eastAsia"/>
        </w:rPr>
        <w:t>粉红噪声频谱修正值（</w:t>
      </w:r>
      <w:r w:rsidRPr="00913C78">
        <w:rPr>
          <w:rFonts w:hint="eastAsia"/>
        </w:rPr>
        <w:t>Rw+C</w:t>
      </w:r>
      <w:r w:rsidRPr="00913C78">
        <w:rPr>
          <w:rFonts w:hint="eastAsia"/>
        </w:rPr>
        <w:t>）结果</w:t>
      </w:r>
      <w:r w:rsidRPr="00913C78">
        <w:t>，</w:t>
      </w:r>
      <w:r w:rsidRPr="00913C78">
        <w:rPr>
          <w:rFonts w:hint="eastAsia"/>
        </w:rPr>
        <w:t>据此判断该楼板的空气声隔声性能是否满足《民用建筑隔声设计规范》（</w:t>
      </w:r>
      <w:r w:rsidRPr="00913C78">
        <w:rPr>
          <w:rFonts w:hint="eastAsia"/>
        </w:rPr>
        <w:t>GB</w:t>
      </w:r>
      <w:r w:rsidRPr="00913C78">
        <w:t> </w:t>
      </w:r>
      <w:r w:rsidRPr="00913C78">
        <w:rPr>
          <w:rFonts w:hint="eastAsia"/>
        </w:rPr>
        <w:t>50118</w:t>
      </w:r>
      <w:r w:rsidRPr="00913C78">
        <w:rPr>
          <w:rFonts w:hint="eastAsia"/>
        </w:rPr>
        <w:t>—</w:t>
      </w:r>
      <w:r w:rsidRPr="00913C78">
        <w:rPr>
          <w:rFonts w:hint="eastAsia"/>
        </w:rPr>
        <w:t>2010</w:t>
      </w:r>
      <w:r w:rsidRPr="00913C78">
        <w:rPr>
          <w:rFonts w:hint="eastAsia"/>
        </w:rPr>
        <w:t>）要求。</w:t>
      </w:r>
    </w:p>
    <w:p w14:paraId="77A68C80" w14:textId="77777777" w:rsidR="00913C78" w:rsidRPr="00913C78" w:rsidRDefault="00913C78" w:rsidP="00913C78">
      <w:pPr>
        <w:ind w:firstLine="420"/>
      </w:pPr>
      <w:bookmarkStart w:id="425" w:name="_Toc476401985"/>
      <w:r w:rsidRPr="00913C78">
        <w:rPr>
          <w:rFonts w:hint="eastAsia"/>
        </w:rPr>
        <w:t>（</w:t>
      </w:r>
      <w:r w:rsidRPr="00913C78">
        <w:rPr>
          <w:rFonts w:hint="eastAsia"/>
        </w:rPr>
        <w:t>5</w:t>
      </w:r>
      <w:r w:rsidRPr="00913C78">
        <w:rPr>
          <w:rFonts w:hint="eastAsia"/>
        </w:rPr>
        <w:t>）门的空气声计权隔声量</w:t>
      </w:r>
      <w:bookmarkEnd w:id="425"/>
    </w:p>
    <w:p w14:paraId="4B690A7B" w14:textId="77777777" w:rsidR="00913C78" w:rsidRPr="00913C78" w:rsidRDefault="00913C78" w:rsidP="00913C78">
      <w:pPr>
        <w:ind w:firstLine="420"/>
      </w:pPr>
      <w:r w:rsidRPr="00913C78">
        <w:rPr>
          <w:rFonts w:hint="eastAsia"/>
        </w:rPr>
        <w:t>应说明项目主要</w:t>
      </w:r>
      <w:r w:rsidRPr="00913C78">
        <w:t>采用的</w:t>
      </w:r>
      <w:r w:rsidRPr="00913C78">
        <w:rPr>
          <w:rFonts w:hint="eastAsia"/>
        </w:rPr>
        <w:t>门。《噪声控制与建筑声学设备和材料选用手册》可查得若干钢板门扇的实测隔声量，如</w:t>
      </w:r>
      <w:r w:rsidRPr="00913C78">
        <w:t>有</w:t>
      </w:r>
      <w:r w:rsidRPr="00913C78">
        <w:rPr>
          <w:rFonts w:hint="eastAsia"/>
        </w:rPr>
        <w:t>相近</w:t>
      </w:r>
      <w:r w:rsidRPr="00913C78">
        <w:t>构造</w:t>
      </w:r>
      <w:r w:rsidRPr="00913C78">
        <w:rPr>
          <w:rFonts w:hint="eastAsia"/>
        </w:rPr>
        <w:t>可以</w:t>
      </w:r>
      <w:r w:rsidRPr="00913C78">
        <w:t>参考其</w:t>
      </w:r>
      <w:r w:rsidRPr="00913C78">
        <w:rPr>
          <w:rFonts w:hint="eastAsia"/>
        </w:rPr>
        <w:t>隔声量</w:t>
      </w:r>
      <w:r w:rsidRPr="00913C78">
        <w:t>结果</w:t>
      </w:r>
      <w:r w:rsidRPr="00913C78">
        <w:rPr>
          <w:rFonts w:hint="eastAsia"/>
        </w:rPr>
        <w:t>；</w:t>
      </w:r>
      <w:r w:rsidRPr="00913C78">
        <w:t>如</w:t>
      </w:r>
      <w:r w:rsidRPr="00913C78">
        <w:rPr>
          <w:rFonts w:hint="eastAsia"/>
        </w:rPr>
        <w:t>无</w:t>
      </w:r>
      <w:r w:rsidRPr="00913C78">
        <w:t>相应</w:t>
      </w:r>
      <w:r w:rsidRPr="00913C78">
        <w:rPr>
          <w:rFonts w:hint="eastAsia"/>
        </w:rPr>
        <w:t>构造，应结合项目情况进行</w:t>
      </w:r>
      <w:r w:rsidRPr="00913C78">
        <w:t>实测，例如</w:t>
      </w:r>
      <w:r w:rsidRPr="00913C78">
        <w:rPr>
          <w:rFonts w:hint="eastAsia"/>
        </w:rPr>
        <w:t>取门扇面、背板厚度约</w:t>
      </w:r>
      <w:r w:rsidRPr="00913C78">
        <w:rPr>
          <w:rFonts w:hint="eastAsia"/>
        </w:rPr>
        <w:t>1mm</w:t>
      </w:r>
      <w:r w:rsidRPr="00913C78">
        <w:rPr>
          <w:rFonts w:hint="eastAsia"/>
        </w:rPr>
        <w:t>，空腔厚度约</w:t>
      </w:r>
      <w:r w:rsidRPr="00913C78">
        <w:rPr>
          <w:rFonts w:hint="eastAsia"/>
        </w:rPr>
        <w:t>65mm</w:t>
      </w:r>
      <w:r w:rsidRPr="00913C78">
        <w:rPr>
          <w:rFonts w:hint="eastAsia"/>
        </w:rPr>
        <w:t>，即门扇厚度为</w:t>
      </w:r>
      <w:r w:rsidRPr="00913C78">
        <w:rPr>
          <w:rFonts w:hint="eastAsia"/>
        </w:rPr>
        <w:t>67mm</w:t>
      </w:r>
      <w:r w:rsidRPr="00913C78">
        <w:rPr>
          <w:rFonts w:hint="eastAsia"/>
        </w:rPr>
        <w:t>的门扇隔声量实测数据，详见附表</w:t>
      </w:r>
      <w:r w:rsidRPr="00913C78">
        <w:rPr>
          <w:rFonts w:hint="eastAsia"/>
        </w:rPr>
        <w:t>B.6.9</w:t>
      </w:r>
      <w:r w:rsidRPr="00913C78">
        <w:rPr>
          <w:rFonts w:hint="eastAsia"/>
        </w:rPr>
        <w:t>。</w:t>
      </w:r>
    </w:p>
    <w:p w14:paraId="17C3E488" w14:textId="77777777" w:rsidR="00913C78" w:rsidRPr="00913C78" w:rsidRDefault="00913C78" w:rsidP="0097400A">
      <w:pPr>
        <w:pStyle w:val="ae"/>
      </w:pPr>
      <w:r w:rsidRPr="00913C78">
        <w:rPr>
          <w:rFonts w:hint="eastAsia"/>
        </w:rPr>
        <w:t>附表</w:t>
      </w:r>
      <w:r w:rsidRPr="00913C78">
        <w:rPr>
          <w:rFonts w:hint="eastAsia"/>
        </w:rPr>
        <w:t xml:space="preserve">B.6.9 </w:t>
      </w:r>
      <w:r w:rsidRPr="00913C78">
        <w:t xml:space="preserve"> </w:t>
      </w:r>
      <w:r w:rsidRPr="00913C78">
        <w:rPr>
          <w:rFonts w:hint="eastAsia"/>
        </w:rPr>
        <w:t>67mm</w:t>
      </w:r>
      <w:r w:rsidRPr="00913C78">
        <w:rPr>
          <w:rFonts w:hint="eastAsia"/>
        </w:rPr>
        <w:t>的钢板复合门扇隔声量实测数据</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4A0" w:firstRow="1" w:lastRow="0" w:firstColumn="1" w:lastColumn="0" w:noHBand="0" w:noVBand="1"/>
      </w:tblPr>
      <w:tblGrid>
        <w:gridCol w:w="1176"/>
        <w:gridCol w:w="774"/>
        <w:gridCol w:w="774"/>
        <w:gridCol w:w="774"/>
        <w:gridCol w:w="775"/>
        <w:gridCol w:w="774"/>
        <w:gridCol w:w="774"/>
        <w:gridCol w:w="774"/>
        <w:gridCol w:w="775"/>
      </w:tblGrid>
      <w:tr w:rsidR="00913C78" w:rsidRPr="0097400A" w14:paraId="6A618C0B" w14:textId="77777777" w:rsidTr="00A2511C">
        <w:trPr>
          <w:jc w:val="center"/>
        </w:trPr>
        <w:tc>
          <w:tcPr>
            <w:tcW w:w="1384" w:type="dxa"/>
            <w:shd w:val="clear" w:color="auto" w:fill="auto"/>
          </w:tcPr>
          <w:p w14:paraId="5122F2B2" w14:textId="77777777" w:rsidR="00913C78" w:rsidRPr="0097400A" w:rsidRDefault="00913C78" w:rsidP="0097400A">
            <w:pPr>
              <w:pStyle w:val="ae"/>
              <w:rPr>
                <w:b w:val="0"/>
                <w:bCs/>
              </w:rPr>
            </w:pPr>
            <w:r w:rsidRPr="0097400A">
              <w:rPr>
                <w:rFonts w:hint="eastAsia"/>
                <w:b w:val="0"/>
                <w:bCs/>
              </w:rPr>
              <w:t>频率</w:t>
            </w:r>
            <w:r w:rsidRPr="0097400A">
              <w:rPr>
                <w:rFonts w:hint="eastAsia"/>
                <w:b w:val="0"/>
                <w:bCs/>
              </w:rPr>
              <w:t>/</w:t>
            </w:r>
            <w:r w:rsidRPr="0097400A">
              <w:rPr>
                <w:b w:val="0"/>
                <w:bCs/>
              </w:rPr>
              <w:t>Hz</w:t>
            </w:r>
          </w:p>
        </w:tc>
        <w:tc>
          <w:tcPr>
            <w:tcW w:w="892" w:type="dxa"/>
            <w:shd w:val="clear" w:color="auto" w:fill="auto"/>
          </w:tcPr>
          <w:p w14:paraId="44C586D5" w14:textId="77777777" w:rsidR="00913C78" w:rsidRPr="0097400A" w:rsidRDefault="00913C78" w:rsidP="0097400A">
            <w:pPr>
              <w:pStyle w:val="ae"/>
              <w:rPr>
                <w:b w:val="0"/>
                <w:bCs/>
              </w:rPr>
            </w:pPr>
            <w:r w:rsidRPr="0097400A">
              <w:rPr>
                <w:b w:val="0"/>
                <w:bCs/>
              </w:rPr>
              <w:t>100</w:t>
            </w:r>
          </w:p>
        </w:tc>
        <w:tc>
          <w:tcPr>
            <w:tcW w:w="892" w:type="dxa"/>
            <w:shd w:val="clear" w:color="auto" w:fill="auto"/>
          </w:tcPr>
          <w:p w14:paraId="68D26FFE" w14:textId="77777777" w:rsidR="00913C78" w:rsidRPr="0097400A" w:rsidRDefault="00913C78" w:rsidP="0097400A">
            <w:pPr>
              <w:pStyle w:val="ae"/>
              <w:rPr>
                <w:b w:val="0"/>
                <w:bCs/>
              </w:rPr>
            </w:pPr>
            <w:r w:rsidRPr="0097400A">
              <w:rPr>
                <w:b w:val="0"/>
                <w:bCs/>
              </w:rPr>
              <w:t>125</w:t>
            </w:r>
          </w:p>
        </w:tc>
        <w:tc>
          <w:tcPr>
            <w:tcW w:w="892" w:type="dxa"/>
            <w:shd w:val="clear" w:color="auto" w:fill="auto"/>
          </w:tcPr>
          <w:p w14:paraId="6C1F6293" w14:textId="77777777" w:rsidR="00913C78" w:rsidRPr="0097400A" w:rsidRDefault="00913C78" w:rsidP="0097400A">
            <w:pPr>
              <w:pStyle w:val="ae"/>
              <w:rPr>
                <w:b w:val="0"/>
                <w:bCs/>
              </w:rPr>
            </w:pPr>
            <w:r w:rsidRPr="0097400A">
              <w:rPr>
                <w:b w:val="0"/>
                <w:bCs/>
              </w:rPr>
              <w:t>160</w:t>
            </w:r>
          </w:p>
        </w:tc>
        <w:tc>
          <w:tcPr>
            <w:tcW w:w="893" w:type="dxa"/>
            <w:shd w:val="clear" w:color="auto" w:fill="auto"/>
          </w:tcPr>
          <w:p w14:paraId="0B15928C" w14:textId="77777777" w:rsidR="00913C78" w:rsidRPr="0097400A" w:rsidRDefault="00913C78" w:rsidP="0097400A">
            <w:pPr>
              <w:pStyle w:val="ae"/>
              <w:rPr>
                <w:b w:val="0"/>
                <w:bCs/>
              </w:rPr>
            </w:pPr>
            <w:r w:rsidRPr="0097400A">
              <w:rPr>
                <w:b w:val="0"/>
                <w:bCs/>
              </w:rPr>
              <w:t>200</w:t>
            </w:r>
          </w:p>
        </w:tc>
        <w:tc>
          <w:tcPr>
            <w:tcW w:w="892" w:type="dxa"/>
            <w:shd w:val="clear" w:color="auto" w:fill="auto"/>
          </w:tcPr>
          <w:p w14:paraId="55A3C320" w14:textId="77777777" w:rsidR="00913C78" w:rsidRPr="0097400A" w:rsidRDefault="00913C78" w:rsidP="0097400A">
            <w:pPr>
              <w:pStyle w:val="ae"/>
              <w:rPr>
                <w:b w:val="0"/>
                <w:bCs/>
              </w:rPr>
            </w:pPr>
            <w:r w:rsidRPr="0097400A">
              <w:rPr>
                <w:b w:val="0"/>
                <w:bCs/>
              </w:rPr>
              <w:t>250</w:t>
            </w:r>
          </w:p>
        </w:tc>
        <w:tc>
          <w:tcPr>
            <w:tcW w:w="892" w:type="dxa"/>
            <w:shd w:val="clear" w:color="auto" w:fill="auto"/>
          </w:tcPr>
          <w:p w14:paraId="06817A4C" w14:textId="77777777" w:rsidR="00913C78" w:rsidRPr="0097400A" w:rsidRDefault="00913C78" w:rsidP="0097400A">
            <w:pPr>
              <w:pStyle w:val="ae"/>
              <w:rPr>
                <w:b w:val="0"/>
                <w:bCs/>
              </w:rPr>
            </w:pPr>
            <w:r w:rsidRPr="0097400A">
              <w:rPr>
                <w:b w:val="0"/>
                <w:bCs/>
              </w:rPr>
              <w:t>315</w:t>
            </w:r>
          </w:p>
        </w:tc>
        <w:tc>
          <w:tcPr>
            <w:tcW w:w="892" w:type="dxa"/>
            <w:shd w:val="clear" w:color="auto" w:fill="auto"/>
          </w:tcPr>
          <w:p w14:paraId="303D56A7" w14:textId="77777777" w:rsidR="00913C78" w:rsidRPr="0097400A" w:rsidRDefault="00913C78" w:rsidP="0097400A">
            <w:pPr>
              <w:pStyle w:val="ae"/>
              <w:rPr>
                <w:b w:val="0"/>
                <w:bCs/>
              </w:rPr>
            </w:pPr>
            <w:r w:rsidRPr="0097400A">
              <w:rPr>
                <w:b w:val="0"/>
                <w:bCs/>
              </w:rPr>
              <w:t>400</w:t>
            </w:r>
          </w:p>
        </w:tc>
        <w:tc>
          <w:tcPr>
            <w:tcW w:w="893" w:type="dxa"/>
            <w:shd w:val="clear" w:color="auto" w:fill="auto"/>
          </w:tcPr>
          <w:p w14:paraId="3C32227B" w14:textId="77777777" w:rsidR="00913C78" w:rsidRPr="0097400A" w:rsidRDefault="00913C78" w:rsidP="0097400A">
            <w:pPr>
              <w:pStyle w:val="ae"/>
              <w:rPr>
                <w:b w:val="0"/>
                <w:bCs/>
              </w:rPr>
            </w:pPr>
            <w:r w:rsidRPr="0097400A">
              <w:rPr>
                <w:b w:val="0"/>
                <w:bCs/>
              </w:rPr>
              <w:t>500</w:t>
            </w:r>
          </w:p>
        </w:tc>
      </w:tr>
      <w:tr w:rsidR="00913C78" w:rsidRPr="0097400A" w14:paraId="055AB7D4" w14:textId="77777777" w:rsidTr="00A2511C">
        <w:trPr>
          <w:jc w:val="center"/>
        </w:trPr>
        <w:tc>
          <w:tcPr>
            <w:tcW w:w="1384" w:type="dxa"/>
            <w:shd w:val="clear" w:color="auto" w:fill="auto"/>
          </w:tcPr>
          <w:p w14:paraId="3B466726" w14:textId="77777777" w:rsidR="00913C78" w:rsidRPr="0097400A" w:rsidRDefault="00913C78" w:rsidP="0097400A">
            <w:pPr>
              <w:pStyle w:val="ae"/>
              <w:rPr>
                <w:b w:val="0"/>
                <w:bCs/>
              </w:rPr>
            </w:pPr>
            <w:r w:rsidRPr="0097400A">
              <w:rPr>
                <w:rFonts w:hint="eastAsia"/>
                <w:b w:val="0"/>
                <w:bCs/>
              </w:rPr>
              <w:t>隔声量</w:t>
            </w:r>
            <w:r w:rsidRPr="0097400A">
              <w:rPr>
                <w:rFonts w:hint="eastAsia"/>
                <w:b w:val="0"/>
                <w:bCs/>
              </w:rPr>
              <w:t>/</w:t>
            </w:r>
            <w:r w:rsidRPr="0097400A">
              <w:rPr>
                <w:b w:val="0"/>
                <w:bCs/>
              </w:rPr>
              <w:t>dB</w:t>
            </w:r>
          </w:p>
        </w:tc>
        <w:tc>
          <w:tcPr>
            <w:tcW w:w="892" w:type="dxa"/>
            <w:shd w:val="clear" w:color="auto" w:fill="auto"/>
          </w:tcPr>
          <w:p w14:paraId="16EFFEE3" w14:textId="77777777" w:rsidR="00913C78" w:rsidRPr="0097400A" w:rsidRDefault="00913C78" w:rsidP="0097400A">
            <w:pPr>
              <w:pStyle w:val="ae"/>
              <w:rPr>
                <w:b w:val="0"/>
                <w:bCs/>
              </w:rPr>
            </w:pPr>
            <w:r w:rsidRPr="0097400A">
              <w:rPr>
                <w:b w:val="0"/>
                <w:bCs/>
              </w:rPr>
              <w:t>22</w:t>
            </w:r>
          </w:p>
        </w:tc>
        <w:tc>
          <w:tcPr>
            <w:tcW w:w="892" w:type="dxa"/>
            <w:shd w:val="clear" w:color="auto" w:fill="auto"/>
          </w:tcPr>
          <w:p w14:paraId="10121B64" w14:textId="77777777" w:rsidR="00913C78" w:rsidRPr="0097400A" w:rsidRDefault="00913C78" w:rsidP="0097400A">
            <w:pPr>
              <w:pStyle w:val="ae"/>
              <w:rPr>
                <w:b w:val="0"/>
                <w:bCs/>
              </w:rPr>
            </w:pPr>
            <w:r w:rsidRPr="0097400A">
              <w:rPr>
                <w:b w:val="0"/>
                <w:bCs/>
              </w:rPr>
              <w:t>31</w:t>
            </w:r>
          </w:p>
        </w:tc>
        <w:tc>
          <w:tcPr>
            <w:tcW w:w="892" w:type="dxa"/>
            <w:shd w:val="clear" w:color="auto" w:fill="auto"/>
          </w:tcPr>
          <w:p w14:paraId="21B18566" w14:textId="77777777" w:rsidR="00913C78" w:rsidRPr="0097400A" w:rsidRDefault="00913C78" w:rsidP="0097400A">
            <w:pPr>
              <w:pStyle w:val="ae"/>
              <w:rPr>
                <w:b w:val="0"/>
                <w:bCs/>
              </w:rPr>
            </w:pPr>
            <w:r w:rsidRPr="0097400A">
              <w:rPr>
                <w:b w:val="0"/>
                <w:bCs/>
              </w:rPr>
              <w:t>38</w:t>
            </w:r>
          </w:p>
        </w:tc>
        <w:tc>
          <w:tcPr>
            <w:tcW w:w="893" w:type="dxa"/>
            <w:shd w:val="clear" w:color="auto" w:fill="auto"/>
          </w:tcPr>
          <w:p w14:paraId="32576B21" w14:textId="77777777" w:rsidR="00913C78" w:rsidRPr="0097400A" w:rsidRDefault="00913C78" w:rsidP="0097400A">
            <w:pPr>
              <w:pStyle w:val="ae"/>
              <w:rPr>
                <w:b w:val="0"/>
                <w:bCs/>
              </w:rPr>
            </w:pPr>
            <w:r w:rsidRPr="0097400A">
              <w:rPr>
                <w:b w:val="0"/>
                <w:bCs/>
              </w:rPr>
              <w:t>36</w:t>
            </w:r>
          </w:p>
        </w:tc>
        <w:tc>
          <w:tcPr>
            <w:tcW w:w="892" w:type="dxa"/>
            <w:shd w:val="clear" w:color="auto" w:fill="auto"/>
          </w:tcPr>
          <w:p w14:paraId="5EB598FE" w14:textId="77777777" w:rsidR="00913C78" w:rsidRPr="0097400A" w:rsidRDefault="00913C78" w:rsidP="0097400A">
            <w:pPr>
              <w:pStyle w:val="ae"/>
              <w:rPr>
                <w:b w:val="0"/>
                <w:bCs/>
              </w:rPr>
            </w:pPr>
            <w:r w:rsidRPr="0097400A">
              <w:rPr>
                <w:b w:val="0"/>
                <w:bCs/>
              </w:rPr>
              <w:t>40</w:t>
            </w:r>
          </w:p>
        </w:tc>
        <w:tc>
          <w:tcPr>
            <w:tcW w:w="892" w:type="dxa"/>
            <w:shd w:val="clear" w:color="auto" w:fill="auto"/>
          </w:tcPr>
          <w:p w14:paraId="77BB3777" w14:textId="77777777" w:rsidR="00913C78" w:rsidRPr="0097400A" w:rsidRDefault="00913C78" w:rsidP="0097400A">
            <w:pPr>
              <w:pStyle w:val="ae"/>
              <w:rPr>
                <w:b w:val="0"/>
                <w:bCs/>
              </w:rPr>
            </w:pPr>
            <w:r w:rsidRPr="0097400A">
              <w:rPr>
                <w:b w:val="0"/>
                <w:bCs/>
              </w:rPr>
              <w:t>43</w:t>
            </w:r>
          </w:p>
        </w:tc>
        <w:tc>
          <w:tcPr>
            <w:tcW w:w="892" w:type="dxa"/>
            <w:shd w:val="clear" w:color="auto" w:fill="auto"/>
          </w:tcPr>
          <w:p w14:paraId="644BBF59" w14:textId="77777777" w:rsidR="00913C78" w:rsidRPr="0097400A" w:rsidRDefault="00913C78" w:rsidP="0097400A">
            <w:pPr>
              <w:pStyle w:val="ae"/>
              <w:rPr>
                <w:b w:val="0"/>
                <w:bCs/>
              </w:rPr>
            </w:pPr>
            <w:r w:rsidRPr="0097400A">
              <w:rPr>
                <w:b w:val="0"/>
                <w:bCs/>
              </w:rPr>
              <w:t>43</w:t>
            </w:r>
          </w:p>
        </w:tc>
        <w:tc>
          <w:tcPr>
            <w:tcW w:w="893" w:type="dxa"/>
            <w:shd w:val="clear" w:color="auto" w:fill="auto"/>
          </w:tcPr>
          <w:p w14:paraId="48F8A18F" w14:textId="77777777" w:rsidR="00913C78" w:rsidRPr="0097400A" w:rsidRDefault="00913C78" w:rsidP="0097400A">
            <w:pPr>
              <w:pStyle w:val="ae"/>
              <w:rPr>
                <w:b w:val="0"/>
                <w:bCs/>
              </w:rPr>
            </w:pPr>
            <w:r w:rsidRPr="0097400A">
              <w:rPr>
                <w:b w:val="0"/>
                <w:bCs/>
              </w:rPr>
              <w:t>48</w:t>
            </w:r>
          </w:p>
        </w:tc>
      </w:tr>
      <w:tr w:rsidR="00913C78" w:rsidRPr="0097400A" w14:paraId="7E8770FE" w14:textId="77777777" w:rsidTr="00A2511C">
        <w:trPr>
          <w:jc w:val="center"/>
        </w:trPr>
        <w:tc>
          <w:tcPr>
            <w:tcW w:w="1384" w:type="dxa"/>
            <w:shd w:val="clear" w:color="auto" w:fill="auto"/>
          </w:tcPr>
          <w:p w14:paraId="044B016F" w14:textId="77777777" w:rsidR="00913C78" w:rsidRPr="0097400A" w:rsidRDefault="00913C78" w:rsidP="0097400A">
            <w:pPr>
              <w:pStyle w:val="ae"/>
              <w:rPr>
                <w:b w:val="0"/>
                <w:bCs/>
              </w:rPr>
            </w:pPr>
            <w:r w:rsidRPr="0097400A">
              <w:rPr>
                <w:rFonts w:hint="eastAsia"/>
                <w:b w:val="0"/>
                <w:bCs/>
              </w:rPr>
              <w:t>频率</w:t>
            </w:r>
            <w:r w:rsidRPr="0097400A">
              <w:rPr>
                <w:rFonts w:hint="eastAsia"/>
                <w:b w:val="0"/>
                <w:bCs/>
              </w:rPr>
              <w:t>/</w:t>
            </w:r>
            <w:r w:rsidRPr="0097400A">
              <w:rPr>
                <w:b w:val="0"/>
                <w:bCs/>
              </w:rPr>
              <w:t>Hz</w:t>
            </w:r>
          </w:p>
        </w:tc>
        <w:tc>
          <w:tcPr>
            <w:tcW w:w="892" w:type="dxa"/>
            <w:shd w:val="clear" w:color="auto" w:fill="auto"/>
          </w:tcPr>
          <w:p w14:paraId="4C82A264" w14:textId="77777777" w:rsidR="00913C78" w:rsidRPr="0097400A" w:rsidRDefault="00913C78" w:rsidP="0097400A">
            <w:pPr>
              <w:pStyle w:val="ae"/>
              <w:rPr>
                <w:b w:val="0"/>
                <w:bCs/>
              </w:rPr>
            </w:pPr>
            <w:r w:rsidRPr="0097400A">
              <w:rPr>
                <w:b w:val="0"/>
                <w:bCs/>
              </w:rPr>
              <w:t>630</w:t>
            </w:r>
          </w:p>
        </w:tc>
        <w:tc>
          <w:tcPr>
            <w:tcW w:w="892" w:type="dxa"/>
            <w:shd w:val="clear" w:color="auto" w:fill="auto"/>
          </w:tcPr>
          <w:p w14:paraId="4A9CB077" w14:textId="77777777" w:rsidR="00913C78" w:rsidRPr="0097400A" w:rsidRDefault="00913C78" w:rsidP="0097400A">
            <w:pPr>
              <w:pStyle w:val="ae"/>
              <w:rPr>
                <w:b w:val="0"/>
                <w:bCs/>
              </w:rPr>
            </w:pPr>
            <w:r w:rsidRPr="0097400A">
              <w:rPr>
                <w:b w:val="0"/>
                <w:bCs/>
              </w:rPr>
              <w:t>800</w:t>
            </w:r>
          </w:p>
        </w:tc>
        <w:tc>
          <w:tcPr>
            <w:tcW w:w="892" w:type="dxa"/>
            <w:shd w:val="clear" w:color="auto" w:fill="auto"/>
          </w:tcPr>
          <w:p w14:paraId="782AB2C6" w14:textId="77777777" w:rsidR="00913C78" w:rsidRPr="0097400A" w:rsidRDefault="00913C78" w:rsidP="0097400A">
            <w:pPr>
              <w:pStyle w:val="ae"/>
              <w:rPr>
                <w:b w:val="0"/>
                <w:bCs/>
              </w:rPr>
            </w:pPr>
            <w:r w:rsidRPr="0097400A">
              <w:rPr>
                <w:b w:val="0"/>
                <w:bCs/>
              </w:rPr>
              <w:t>1000</w:t>
            </w:r>
          </w:p>
        </w:tc>
        <w:tc>
          <w:tcPr>
            <w:tcW w:w="893" w:type="dxa"/>
            <w:shd w:val="clear" w:color="auto" w:fill="auto"/>
          </w:tcPr>
          <w:p w14:paraId="19194533" w14:textId="77777777" w:rsidR="00913C78" w:rsidRPr="0097400A" w:rsidRDefault="00913C78" w:rsidP="0097400A">
            <w:pPr>
              <w:pStyle w:val="ae"/>
              <w:rPr>
                <w:b w:val="0"/>
                <w:bCs/>
              </w:rPr>
            </w:pPr>
            <w:r w:rsidRPr="0097400A">
              <w:rPr>
                <w:b w:val="0"/>
                <w:bCs/>
              </w:rPr>
              <w:t>1250</w:t>
            </w:r>
          </w:p>
        </w:tc>
        <w:tc>
          <w:tcPr>
            <w:tcW w:w="892" w:type="dxa"/>
            <w:shd w:val="clear" w:color="auto" w:fill="auto"/>
          </w:tcPr>
          <w:p w14:paraId="79808553" w14:textId="77777777" w:rsidR="00913C78" w:rsidRPr="0097400A" w:rsidRDefault="00913C78" w:rsidP="0097400A">
            <w:pPr>
              <w:pStyle w:val="ae"/>
              <w:rPr>
                <w:b w:val="0"/>
                <w:bCs/>
              </w:rPr>
            </w:pPr>
            <w:r w:rsidRPr="0097400A">
              <w:rPr>
                <w:b w:val="0"/>
                <w:bCs/>
              </w:rPr>
              <w:t>1600</w:t>
            </w:r>
          </w:p>
        </w:tc>
        <w:tc>
          <w:tcPr>
            <w:tcW w:w="892" w:type="dxa"/>
            <w:shd w:val="clear" w:color="auto" w:fill="auto"/>
          </w:tcPr>
          <w:p w14:paraId="5287AC26" w14:textId="77777777" w:rsidR="00913C78" w:rsidRPr="0097400A" w:rsidRDefault="00913C78" w:rsidP="0097400A">
            <w:pPr>
              <w:pStyle w:val="ae"/>
              <w:rPr>
                <w:b w:val="0"/>
                <w:bCs/>
              </w:rPr>
            </w:pPr>
            <w:r w:rsidRPr="0097400A">
              <w:rPr>
                <w:b w:val="0"/>
                <w:bCs/>
              </w:rPr>
              <w:t>2000</w:t>
            </w:r>
          </w:p>
        </w:tc>
        <w:tc>
          <w:tcPr>
            <w:tcW w:w="892" w:type="dxa"/>
            <w:shd w:val="clear" w:color="auto" w:fill="auto"/>
          </w:tcPr>
          <w:p w14:paraId="39E41655" w14:textId="77777777" w:rsidR="00913C78" w:rsidRPr="0097400A" w:rsidRDefault="00913C78" w:rsidP="0097400A">
            <w:pPr>
              <w:pStyle w:val="ae"/>
              <w:rPr>
                <w:b w:val="0"/>
                <w:bCs/>
              </w:rPr>
            </w:pPr>
            <w:r w:rsidRPr="0097400A">
              <w:rPr>
                <w:b w:val="0"/>
                <w:bCs/>
              </w:rPr>
              <w:t>2500</w:t>
            </w:r>
          </w:p>
        </w:tc>
        <w:tc>
          <w:tcPr>
            <w:tcW w:w="893" w:type="dxa"/>
            <w:shd w:val="clear" w:color="auto" w:fill="auto"/>
          </w:tcPr>
          <w:p w14:paraId="7E397D43" w14:textId="77777777" w:rsidR="00913C78" w:rsidRPr="0097400A" w:rsidRDefault="00913C78" w:rsidP="0097400A">
            <w:pPr>
              <w:pStyle w:val="ae"/>
              <w:rPr>
                <w:b w:val="0"/>
                <w:bCs/>
              </w:rPr>
            </w:pPr>
            <w:r w:rsidRPr="0097400A">
              <w:rPr>
                <w:b w:val="0"/>
                <w:bCs/>
              </w:rPr>
              <w:t>3150</w:t>
            </w:r>
          </w:p>
        </w:tc>
      </w:tr>
      <w:tr w:rsidR="00913C78" w:rsidRPr="0097400A" w14:paraId="53CD7FE9" w14:textId="77777777" w:rsidTr="00A2511C">
        <w:trPr>
          <w:jc w:val="center"/>
        </w:trPr>
        <w:tc>
          <w:tcPr>
            <w:tcW w:w="1384" w:type="dxa"/>
            <w:shd w:val="clear" w:color="auto" w:fill="auto"/>
          </w:tcPr>
          <w:p w14:paraId="2D06B1A4" w14:textId="77777777" w:rsidR="00913C78" w:rsidRPr="0097400A" w:rsidRDefault="00913C78" w:rsidP="0097400A">
            <w:pPr>
              <w:pStyle w:val="ae"/>
              <w:rPr>
                <w:b w:val="0"/>
                <w:bCs/>
              </w:rPr>
            </w:pPr>
            <w:r w:rsidRPr="0097400A">
              <w:rPr>
                <w:rFonts w:hint="eastAsia"/>
                <w:b w:val="0"/>
                <w:bCs/>
              </w:rPr>
              <w:t>隔声量</w:t>
            </w:r>
            <w:r w:rsidRPr="0097400A">
              <w:rPr>
                <w:rFonts w:hint="eastAsia"/>
                <w:b w:val="0"/>
                <w:bCs/>
              </w:rPr>
              <w:t>/</w:t>
            </w:r>
            <w:r w:rsidRPr="0097400A">
              <w:rPr>
                <w:b w:val="0"/>
                <w:bCs/>
              </w:rPr>
              <w:t>dB</w:t>
            </w:r>
          </w:p>
        </w:tc>
        <w:tc>
          <w:tcPr>
            <w:tcW w:w="892" w:type="dxa"/>
            <w:shd w:val="clear" w:color="auto" w:fill="auto"/>
            <w:vAlign w:val="bottom"/>
          </w:tcPr>
          <w:p w14:paraId="74D9B3AC" w14:textId="77777777" w:rsidR="00913C78" w:rsidRPr="0097400A" w:rsidRDefault="00913C78" w:rsidP="0097400A">
            <w:pPr>
              <w:pStyle w:val="ae"/>
              <w:rPr>
                <w:b w:val="0"/>
                <w:bCs/>
              </w:rPr>
            </w:pPr>
            <w:r w:rsidRPr="0097400A">
              <w:rPr>
                <w:b w:val="0"/>
                <w:bCs/>
              </w:rPr>
              <w:t>51</w:t>
            </w:r>
          </w:p>
        </w:tc>
        <w:tc>
          <w:tcPr>
            <w:tcW w:w="892" w:type="dxa"/>
            <w:shd w:val="clear" w:color="auto" w:fill="auto"/>
            <w:vAlign w:val="bottom"/>
          </w:tcPr>
          <w:p w14:paraId="5ECEB82E" w14:textId="77777777" w:rsidR="00913C78" w:rsidRPr="0097400A" w:rsidRDefault="00913C78" w:rsidP="0097400A">
            <w:pPr>
              <w:pStyle w:val="ae"/>
              <w:rPr>
                <w:b w:val="0"/>
                <w:bCs/>
              </w:rPr>
            </w:pPr>
            <w:r w:rsidRPr="0097400A">
              <w:rPr>
                <w:b w:val="0"/>
                <w:bCs/>
              </w:rPr>
              <w:t>53</w:t>
            </w:r>
          </w:p>
        </w:tc>
        <w:tc>
          <w:tcPr>
            <w:tcW w:w="892" w:type="dxa"/>
            <w:shd w:val="clear" w:color="auto" w:fill="auto"/>
            <w:vAlign w:val="bottom"/>
          </w:tcPr>
          <w:p w14:paraId="3B7CAFBA" w14:textId="77777777" w:rsidR="00913C78" w:rsidRPr="0097400A" w:rsidRDefault="00913C78" w:rsidP="0097400A">
            <w:pPr>
              <w:pStyle w:val="ae"/>
              <w:rPr>
                <w:b w:val="0"/>
                <w:bCs/>
              </w:rPr>
            </w:pPr>
            <w:r w:rsidRPr="0097400A">
              <w:rPr>
                <w:b w:val="0"/>
                <w:bCs/>
              </w:rPr>
              <w:t>55</w:t>
            </w:r>
          </w:p>
        </w:tc>
        <w:tc>
          <w:tcPr>
            <w:tcW w:w="893" w:type="dxa"/>
            <w:shd w:val="clear" w:color="auto" w:fill="auto"/>
            <w:vAlign w:val="bottom"/>
          </w:tcPr>
          <w:p w14:paraId="396E4571" w14:textId="77777777" w:rsidR="00913C78" w:rsidRPr="0097400A" w:rsidRDefault="00913C78" w:rsidP="0097400A">
            <w:pPr>
              <w:pStyle w:val="ae"/>
              <w:rPr>
                <w:b w:val="0"/>
                <w:bCs/>
              </w:rPr>
            </w:pPr>
            <w:r w:rsidRPr="0097400A">
              <w:rPr>
                <w:b w:val="0"/>
                <w:bCs/>
              </w:rPr>
              <w:t>58</w:t>
            </w:r>
          </w:p>
        </w:tc>
        <w:tc>
          <w:tcPr>
            <w:tcW w:w="892" w:type="dxa"/>
            <w:shd w:val="clear" w:color="auto" w:fill="auto"/>
            <w:vAlign w:val="bottom"/>
          </w:tcPr>
          <w:p w14:paraId="566AD5D8" w14:textId="77777777" w:rsidR="00913C78" w:rsidRPr="0097400A" w:rsidRDefault="00913C78" w:rsidP="0097400A">
            <w:pPr>
              <w:pStyle w:val="ae"/>
              <w:rPr>
                <w:b w:val="0"/>
                <w:bCs/>
              </w:rPr>
            </w:pPr>
            <w:r w:rsidRPr="0097400A">
              <w:rPr>
                <w:b w:val="0"/>
                <w:bCs/>
              </w:rPr>
              <w:t>60</w:t>
            </w:r>
          </w:p>
        </w:tc>
        <w:tc>
          <w:tcPr>
            <w:tcW w:w="892" w:type="dxa"/>
            <w:shd w:val="clear" w:color="auto" w:fill="auto"/>
            <w:vAlign w:val="bottom"/>
          </w:tcPr>
          <w:p w14:paraId="5B9A987B" w14:textId="77777777" w:rsidR="00913C78" w:rsidRPr="0097400A" w:rsidRDefault="00913C78" w:rsidP="0097400A">
            <w:pPr>
              <w:pStyle w:val="ae"/>
              <w:rPr>
                <w:b w:val="0"/>
                <w:bCs/>
              </w:rPr>
            </w:pPr>
            <w:r w:rsidRPr="0097400A">
              <w:rPr>
                <w:b w:val="0"/>
                <w:bCs/>
              </w:rPr>
              <w:t>62</w:t>
            </w:r>
          </w:p>
        </w:tc>
        <w:tc>
          <w:tcPr>
            <w:tcW w:w="892" w:type="dxa"/>
            <w:shd w:val="clear" w:color="auto" w:fill="auto"/>
            <w:vAlign w:val="bottom"/>
          </w:tcPr>
          <w:p w14:paraId="54D89ECB" w14:textId="77777777" w:rsidR="00913C78" w:rsidRPr="0097400A" w:rsidRDefault="00913C78" w:rsidP="0097400A">
            <w:pPr>
              <w:pStyle w:val="ae"/>
              <w:rPr>
                <w:b w:val="0"/>
                <w:bCs/>
              </w:rPr>
            </w:pPr>
            <w:r w:rsidRPr="0097400A">
              <w:rPr>
                <w:b w:val="0"/>
                <w:bCs/>
              </w:rPr>
              <w:t>63</w:t>
            </w:r>
          </w:p>
        </w:tc>
        <w:tc>
          <w:tcPr>
            <w:tcW w:w="893" w:type="dxa"/>
            <w:shd w:val="clear" w:color="auto" w:fill="auto"/>
            <w:vAlign w:val="bottom"/>
          </w:tcPr>
          <w:p w14:paraId="1550B21B" w14:textId="77777777" w:rsidR="00913C78" w:rsidRPr="0097400A" w:rsidRDefault="00913C78" w:rsidP="0097400A">
            <w:pPr>
              <w:pStyle w:val="ae"/>
              <w:rPr>
                <w:b w:val="0"/>
                <w:bCs/>
              </w:rPr>
            </w:pPr>
            <w:r w:rsidRPr="0097400A">
              <w:rPr>
                <w:b w:val="0"/>
                <w:bCs/>
              </w:rPr>
              <w:t>66</w:t>
            </w:r>
          </w:p>
        </w:tc>
      </w:tr>
    </w:tbl>
    <w:p w14:paraId="0DB10023" w14:textId="77777777" w:rsidR="00913C78" w:rsidRPr="00913C78" w:rsidRDefault="00913C78" w:rsidP="00913C78">
      <w:pPr>
        <w:ind w:firstLine="420"/>
      </w:pPr>
    </w:p>
    <w:p w14:paraId="5A5F072B" w14:textId="77777777" w:rsidR="00913C78" w:rsidRPr="00913C78" w:rsidRDefault="00913C78" w:rsidP="00913C78">
      <w:pPr>
        <w:ind w:firstLine="420"/>
      </w:pPr>
      <w:r w:rsidRPr="00913C78">
        <w:rPr>
          <w:rFonts w:hint="eastAsia"/>
        </w:rPr>
        <w:t>将附表</w:t>
      </w:r>
      <w:r w:rsidRPr="00913C78">
        <w:rPr>
          <w:rFonts w:hint="eastAsia"/>
        </w:rPr>
        <w:t>B.6.9</w:t>
      </w:r>
      <w:r w:rsidRPr="00913C78">
        <w:rPr>
          <w:rFonts w:hint="eastAsia"/>
        </w:rPr>
        <w:t>中数据计权得到其计权隔声量为</w:t>
      </w:r>
      <w:r w:rsidRPr="00913C78">
        <w:t>49dB</w:t>
      </w:r>
      <w:r w:rsidRPr="00913C78">
        <w:rPr>
          <w:rFonts w:hint="eastAsia"/>
        </w:rPr>
        <w:t>，即</w:t>
      </w:r>
      <w:r w:rsidRPr="00913C78">
        <w:t>Rw=49dB</w:t>
      </w:r>
      <w:r w:rsidRPr="00913C78">
        <w:rPr>
          <w:rFonts w:hint="eastAsia"/>
        </w:rPr>
        <w:t>。</w:t>
      </w:r>
    </w:p>
    <w:p w14:paraId="0AA2EF44" w14:textId="77777777" w:rsidR="00913C78" w:rsidRPr="00913C78" w:rsidRDefault="00913C78" w:rsidP="00913C78">
      <w:pPr>
        <w:ind w:firstLine="420"/>
      </w:pPr>
      <w:r w:rsidRPr="00913C78">
        <w:rPr>
          <w:rFonts w:hint="eastAsia"/>
        </w:rPr>
        <w:t>实际工程中，必须考虑门扇安装后，门缝的漏声情况。参照《噪声与振动控制工程手册》中实测数据，门缝不做处理与门缝全密封两种不同情况隔声量差异很大，可达</w:t>
      </w:r>
      <w:r w:rsidRPr="00913C78">
        <w:t>14dB</w:t>
      </w:r>
      <w:r w:rsidRPr="00913C78">
        <w:rPr>
          <w:rFonts w:hint="eastAsia"/>
        </w:rPr>
        <w:t>（可近似认为计权隔声量差值可达</w:t>
      </w:r>
      <w:r w:rsidRPr="00913C78">
        <w:t>14dB</w:t>
      </w:r>
      <w:r w:rsidRPr="00913C78">
        <w:rPr>
          <w:rFonts w:hint="eastAsia"/>
        </w:rPr>
        <w:t>），详见附表</w:t>
      </w:r>
      <w:r w:rsidRPr="00913C78">
        <w:rPr>
          <w:rFonts w:hint="eastAsia"/>
        </w:rPr>
        <w:t>B.6.10</w:t>
      </w:r>
      <w:r w:rsidRPr="00913C78">
        <w:rPr>
          <w:rFonts w:hint="eastAsia"/>
        </w:rPr>
        <w:t>。</w:t>
      </w:r>
    </w:p>
    <w:p w14:paraId="27C1B3BC" w14:textId="77777777" w:rsidR="00913C78" w:rsidRPr="00913C78" w:rsidRDefault="00913C78" w:rsidP="0097400A">
      <w:pPr>
        <w:pStyle w:val="ae"/>
      </w:pPr>
      <w:r w:rsidRPr="00913C78">
        <w:rPr>
          <w:rFonts w:hint="eastAsia"/>
        </w:rPr>
        <w:t>附表</w:t>
      </w:r>
      <w:r w:rsidRPr="00913C78">
        <w:rPr>
          <w:rFonts w:hint="eastAsia"/>
        </w:rPr>
        <w:t>B.6.10</w:t>
      </w:r>
      <w:r w:rsidRPr="00913C78">
        <w:t xml:space="preserve">  </w:t>
      </w:r>
      <w:r w:rsidRPr="00913C78">
        <w:rPr>
          <w:rFonts w:hint="eastAsia"/>
        </w:rPr>
        <w:t>门缝密封程度对隔声性能的影响</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28" w:type="dxa"/>
        </w:tblCellMar>
        <w:tblLook w:val="04A0" w:firstRow="1" w:lastRow="0" w:firstColumn="1" w:lastColumn="0" w:noHBand="0" w:noVBand="1"/>
      </w:tblPr>
      <w:tblGrid>
        <w:gridCol w:w="1197"/>
        <w:gridCol w:w="3858"/>
        <w:gridCol w:w="2315"/>
      </w:tblGrid>
      <w:tr w:rsidR="00913C78" w:rsidRPr="0097400A" w14:paraId="2207AA48" w14:textId="77777777" w:rsidTr="00A2511C">
        <w:trPr>
          <w:jc w:val="center"/>
        </w:trPr>
        <w:tc>
          <w:tcPr>
            <w:tcW w:w="1040" w:type="dxa"/>
            <w:shd w:val="clear" w:color="auto" w:fill="auto"/>
          </w:tcPr>
          <w:p w14:paraId="4D18F755" w14:textId="77777777" w:rsidR="00913C78" w:rsidRPr="0097400A" w:rsidRDefault="00913C78" w:rsidP="0097400A">
            <w:pPr>
              <w:pStyle w:val="ae"/>
              <w:rPr>
                <w:b w:val="0"/>
                <w:bCs/>
              </w:rPr>
            </w:pPr>
            <w:r w:rsidRPr="0097400A">
              <w:rPr>
                <w:rFonts w:hint="eastAsia"/>
                <w:b w:val="0"/>
                <w:bCs/>
              </w:rPr>
              <w:t>编号</w:t>
            </w:r>
          </w:p>
        </w:tc>
        <w:tc>
          <w:tcPr>
            <w:tcW w:w="3353" w:type="dxa"/>
            <w:shd w:val="clear" w:color="auto" w:fill="auto"/>
          </w:tcPr>
          <w:p w14:paraId="51D54F05" w14:textId="77777777" w:rsidR="00913C78" w:rsidRPr="0097400A" w:rsidRDefault="00913C78" w:rsidP="0097400A">
            <w:pPr>
              <w:pStyle w:val="ae"/>
              <w:rPr>
                <w:b w:val="0"/>
                <w:bCs/>
              </w:rPr>
            </w:pPr>
            <w:r w:rsidRPr="0097400A">
              <w:rPr>
                <w:rFonts w:hint="eastAsia"/>
                <w:b w:val="0"/>
                <w:bCs/>
              </w:rPr>
              <w:t>门缝处理</w:t>
            </w:r>
          </w:p>
        </w:tc>
        <w:tc>
          <w:tcPr>
            <w:tcW w:w="2012" w:type="dxa"/>
            <w:shd w:val="clear" w:color="auto" w:fill="auto"/>
          </w:tcPr>
          <w:p w14:paraId="7F45562B" w14:textId="77777777" w:rsidR="00913C78" w:rsidRPr="0097400A" w:rsidRDefault="00913C78" w:rsidP="0097400A">
            <w:pPr>
              <w:pStyle w:val="ae"/>
              <w:rPr>
                <w:b w:val="0"/>
                <w:bCs/>
              </w:rPr>
            </w:pPr>
            <w:r w:rsidRPr="0097400A">
              <w:rPr>
                <w:rFonts w:hint="eastAsia"/>
                <w:b w:val="0"/>
                <w:bCs/>
              </w:rPr>
              <w:t>平均隔声量</w:t>
            </w:r>
            <w:r w:rsidRPr="0097400A">
              <w:rPr>
                <w:rFonts w:hint="eastAsia"/>
                <w:b w:val="0"/>
                <w:bCs/>
              </w:rPr>
              <w:t>/</w:t>
            </w:r>
            <w:r w:rsidRPr="0097400A">
              <w:rPr>
                <w:b w:val="0"/>
                <w:bCs/>
              </w:rPr>
              <w:t>dB</w:t>
            </w:r>
          </w:p>
        </w:tc>
      </w:tr>
      <w:tr w:rsidR="00913C78" w:rsidRPr="0097400A" w14:paraId="4506CDDB" w14:textId="77777777" w:rsidTr="00A2511C">
        <w:trPr>
          <w:jc w:val="center"/>
        </w:trPr>
        <w:tc>
          <w:tcPr>
            <w:tcW w:w="1040" w:type="dxa"/>
            <w:shd w:val="clear" w:color="auto" w:fill="auto"/>
          </w:tcPr>
          <w:p w14:paraId="1B1C4CF9" w14:textId="77777777" w:rsidR="00913C78" w:rsidRPr="0097400A" w:rsidRDefault="00913C78" w:rsidP="0097400A">
            <w:pPr>
              <w:pStyle w:val="ae"/>
              <w:rPr>
                <w:b w:val="0"/>
                <w:bCs/>
              </w:rPr>
            </w:pPr>
            <w:r w:rsidRPr="0097400A">
              <w:rPr>
                <w:b w:val="0"/>
                <w:bCs/>
              </w:rPr>
              <w:t>1</w:t>
            </w:r>
          </w:p>
        </w:tc>
        <w:tc>
          <w:tcPr>
            <w:tcW w:w="3353" w:type="dxa"/>
            <w:shd w:val="clear" w:color="auto" w:fill="auto"/>
          </w:tcPr>
          <w:p w14:paraId="27C1A481" w14:textId="77777777" w:rsidR="00913C78" w:rsidRPr="0097400A" w:rsidRDefault="00913C78" w:rsidP="0097400A">
            <w:pPr>
              <w:pStyle w:val="ae"/>
              <w:rPr>
                <w:b w:val="0"/>
                <w:bCs/>
              </w:rPr>
            </w:pPr>
            <w:r w:rsidRPr="0097400A">
              <w:rPr>
                <w:rFonts w:hint="eastAsia"/>
                <w:b w:val="0"/>
                <w:bCs/>
              </w:rPr>
              <w:t>全密封</w:t>
            </w:r>
          </w:p>
        </w:tc>
        <w:tc>
          <w:tcPr>
            <w:tcW w:w="2012" w:type="dxa"/>
            <w:shd w:val="clear" w:color="auto" w:fill="auto"/>
          </w:tcPr>
          <w:p w14:paraId="4AD0BD9B" w14:textId="77777777" w:rsidR="00913C78" w:rsidRPr="0097400A" w:rsidRDefault="00913C78" w:rsidP="0097400A">
            <w:pPr>
              <w:pStyle w:val="ae"/>
              <w:rPr>
                <w:b w:val="0"/>
                <w:bCs/>
              </w:rPr>
            </w:pPr>
            <w:r w:rsidRPr="0097400A">
              <w:rPr>
                <w:b w:val="0"/>
                <w:bCs/>
              </w:rPr>
              <w:t>33.3</w:t>
            </w:r>
          </w:p>
        </w:tc>
      </w:tr>
      <w:tr w:rsidR="00913C78" w:rsidRPr="0097400A" w14:paraId="3ECAA015" w14:textId="77777777" w:rsidTr="00A2511C">
        <w:trPr>
          <w:jc w:val="center"/>
        </w:trPr>
        <w:tc>
          <w:tcPr>
            <w:tcW w:w="1040" w:type="dxa"/>
            <w:shd w:val="clear" w:color="auto" w:fill="auto"/>
          </w:tcPr>
          <w:p w14:paraId="31142FA3" w14:textId="77777777" w:rsidR="00913C78" w:rsidRPr="0097400A" w:rsidRDefault="00913C78" w:rsidP="0097400A">
            <w:pPr>
              <w:pStyle w:val="ae"/>
              <w:rPr>
                <w:b w:val="0"/>
                <w:bCs/>
              </w:rPr>
            </w:pPr>
            <w:r w:rsidRPr="0097400A">
              <w:rPr>
                <w:b w:val="0"/>
                <w:bCs/>
              </w:rPr>
              <w:lastRenderedPageBreak/>
              <w:t>2</w:t>
            </w:r>
          </w:p>
        </w:tc>
        <w:tc>
          <w:tcPr>
            <w:tcW w:w="3353" w:type="dxa"/>
            <w:shd w:val="clear" w:color="auto" w:fill="auto"/>
          </w:tcPr>
          <w:p w14:paraId="6E745B53" w14:textId="77777777" w:rsidR="00913C78" w:rsidRPr="0097400A" w:rsidRDefault="00913C78" w:rsidP="0097400A">
            <w:pPr>
              <w:pStyle w:val="ae"/>
              <w:rPr>
                <w:b w:val="0"/>
                <w:bCs/>
              </w:rPr>
            </w:pPr>
            <w:r w:rsidRPr="0097400A">
              <w:rPr>
                <w:rFonts w:hint="eastAsia"/>
                <w:b w:val="0"/>
                <w:bCs/>
              </w:rPr>
              <w:t>双道橡胶</w:t>
            </w:r>
            <w:r w:rsidRPr="0097400A">
              <w:rPr>
                <w:b w:val="0"/>
                <w:bCs/>
              </w:rPr>
              <w:t>9</w:t>
            </w:r>
            <w:r w:rsidRPr="0097400A">
              <w:rPr>
                <w:rFonts w:hint="eastAsia"/>
                <w:b w:val="0"/>
                <w:bCs/>
              </w:rPr>
              <w:t>字形条</w:t>
            </w:r>
          </w:p>
        </w:tc>
        <w:tc>
          <w:tcPr>
            <w:tcW w:w="2012" w:type="dxa"/>
            <w:shd w:val="clear" w:color="auto" w:fill="auto"/>
          </w:tcPr>
          <w:p w14:paraId="00E07A90" w14:textId="77777777" w:rsidR="00913C78" w:rsidRPr="0097400A" w:rsidRDefault="00913C78" w:rsidP="0097400A">
            <w:pPr>
              <w:pStyle w:val="ae"/>
              <w:rPr>
                <w:b w:val="0"/>
                <w:bCs/>
              </w:rPr>
            </w:pPr>
            <w:r w:rsidRPr="0097400A">
              <w:rPr>
                <w:b w:val="0"/>
                <w:bCs/>
              </w:rPr>
              <w:t>30.6</w:t>
            </w:r>
          </w:p>
        </w:tc>
      </w:tr>
      <w:tr w:rsidR="00913C78" w:rsidRPr="0097400A" w14:paraId="0ABDD6A0" w14:textId="77777777" w:rsidTr="00A2511C">
        <w:trPr>
          <w:jc w:val="center"/>
        </w:trPr>
        <w:tc>
          <w:tcPr>
            <w:tcW w:w="1040" w:type="dxa"/>
            <w:shd w:val="clear" w:color="auto" w:fill="auto"/>
          </w:tcPr>
          <w:p w14:paraId="7E6C2130" w14:textId="77777777" w:rsidR="00913C78" w:rsidRPr="0097400A" w:rsidRDefault="00913C78" w:rsidP="0097400A">
            <w:pPr>
              <w:pStyle w:val="ae"/>
              <w:rPr>
                <w:b w:val="0"/>
                <w:bCs/>
              </w:rPr>
            </w:pPr>
            <w:r w:rsidRPr="0097400A">
              <w:rPr>
                <w:b w:val="0"/>
                <w:bCs/>
              </w:rPr>
              <w:t>3</w:t>
            </w:r>
          </w:p>
        </w:tc>
        <w:tc>
          <w:tcPr>
            <w:tcW w:w="3353" w:type="dxa"/>
            <w:shd w:val="clear" w:color="auto" w:fill="auto"/>
            <w:vAlign w:val="bottom"/>
          </w:tcPr>
          <w:p w14:paraId="154238C2" w14:textId="77777777" w:rsidR="00913C78" w:rsidRPr="0097400A" w:rsidRDefault="00913C78" w:rsidP="0097400A">
            <w:pPr>
              <w:pStyle w:val="ae"/>
              <w:rPr>
                <w:b w:val="0"/>
                <w:bCs/>
              </w:rPr>
            </w:pPr>
            <w:r w:rsidRPr="0097400A">
              <w:rPr>
                <w:rFonts w:hint="eastAsia"/>
                <w:b w:val="0"/>
                <w:bCs/>
              </w:rPr>
              <w:t>单道软橡胶</w:t>
            </w:r>
            <w:r w:rsidRPr="0097400A">
              <w:rPr>
                <w:b w:val="0"/>
                <w:bCs/>
              </w:rPr>
              <w:t>9</w:t>
            </w:r>
            <w:r w:rsidRPr="0097400A">
              <w:rPr>
                <w:rFonts w:hint="eastAsia"/>
                <w:b w:val="0"/>
                <w:bCs/>
              </w:rPr>
              <w:t>字形条</w:t>
            </w:r>
          </w:p>
        </w:tc>
        <w:tc>
          <w:tcPr>
            <w:tcW w:w="2012" w:type="dxa"/>
            <w:shd w:val="clear" w:color="auto" w:fill="auto"/>
            <w:vAlign w:val="bottom"/>
          </w:tcPr>
          <w:p w14:paraId="288829F1" w14:textId="77777777" w:rsidR="00913C78" w:rsidRPr="0097400A" w:rsidRDefault="00913C78" w:rsidP="0097400A">
            <w:pPr>
              <w:pStyle w:val="ae"/>
              <w:rPr>
                <w:b w:val="0"/>
                <w:bCs/>
              </w:rPr>
            </w:pPr>
            <w:r w:rsidRPr="0097400A">
              <w:rPr>
                <w:b w:val="0"/>
                <w:bCs/>
              </w:rPr>
              <w:t>27.6</w:t>
            </w:r>
          </w:p>
        </w:tc>
      </w:tr>
      <w:tr w:rsidR="00913C78" w:rsidRPr="0097400A" w14:paraId="6920B0EC" w14:textId="77777777" w:rsidTr="00A2511C">
        <w:trPr>
          <w:jc w:val="center"/>
        </w:trPr>
        <w:tc>
          <w:tcPr>
            <w:tcW w:w="1040" w:type="dxa"/>
            <w:shd w:val="clear" w:color="auto" w:fill="auto"/>
          </w:tcPr>
          <w:p w14:paraId="2FDF63F6" w14:textId="77777777" w:rsidR="00913C78" w:rsidRPr="0097400A" w:rsidRDefault="00913C78" w:rsidP="0097400A">
            <w:pPr>
              <w:pStyle w:val="ae"/>
              <w:rPr>
                <w:b w:val="0"/>
                <w:bCs/>
              </w:rPr>
            </w:pPr>
            <w:r w:rsidRPr="0097400A">
              <w:rPr>
                <w:b w:val="0"/>
                <w:bCs/>
              </w:rPr>
              <w:t>4</w:t>
            </w:r>
          </w:p>
        </w:tc>
        <w:tc>
          <w:tcPr>
            <w:tcW w:w="3353" w:type="dxa"/>
            <w:shd w:val="clear" w:color="auto" w:fill="auto"/>
            <w:vAlign w:val="bottom"/>
          </w:tcPr>
          <w:p w14:paraId="280A91CF" w14:textId="77777777" w:rsidR="00913C78" w:rsidRPr="0097400A" w:rsidRDefault="00913C78" w:rsidP="0097400A">
            <w:pPr>
              <w:pStyle w:val="ae"/>
              <w:rPr>
                <w:b w:val="0"/>
                <w:bCs/>
              </w:rPr>
            </w:pPr>
            <w:r w:rsidRPr="0097400A">
              <w:rPr>
                <w:rFonts w:hint="eastAsia"/>
                <w:b w:val="0"/>
                <w:bCs/>
              </w:rPr>
              <w:t>单道硬橡胶</w:t>
            </w:r>
            <w:r w:rsidRPr="0097400A">
              <w:rPr>
                <w:b w:val="0"/>
                <w:bCs/>
              </w:rPr>
              <w:t>9</w:t>
            </w:r>
            <w:r w:rsidRPr="0097400A">
              <w:rPr>
                <w:rFonts w:hint="eastAsia"/>
                <w:b w:val="0"/>
                <w:bCs/>
              </w:rPr>
              <w:t>字形条</w:t>
            </w:r>
          </w:p>
        </w:tc>
        <w:tc>
          <w:tcPr>
            <w:tcW w:w="2012" w:type="dxa"/>
            <w:shd w:val="clear" w:color="auto" w:fill="auto"/>
            <w:vAlign w:val="bottom"/>
          </w:tcPr>
          <w:p w14:paraId="388889F1" w14:textId="77777777" w:rsidR="00913C78" w:rsidRPr="0097400A" w:rsidRDefault="00913C78" w:rsidP="0097400A">
            <w:pPr>
              <w:pStyle w:val="ae"/>
              <w:rPr>
                <w:b w:val="0"/>
                <w:bCs/>
              </w:rPr>
            </w:pPr>
            <w:r w:rsidRPr="0097400A">
              <w:rPr>
                <w:b w:val="0"/>
                <w:bCs/>
              </w:rPr>
              <w:t>25.6</w:t>
            </w:r>
          </w:p>
        </w:tc>
      </w:tr>
      <w:tr w:rsidR="00913C78" w:rsidRPr="0097400A" w14:paraId="4839A0E2" w14:textId="77777777" w:rsidTr="00A2511C">
        <w:trPr>
          <w:jc w:val="center"/>
        </w:trPr>
        <w:tc>
          <w:tcPr>
            <w:tcW w:w="1040" w:type="dxa"/>
            <w:shd w:val="clear" w:color="auto" w:fill="auto"/>
          </w:tcPr>
          <w:p w14:paraId="26304DCA" w14:textId="77777777" w:rsidR="00913C78" w:rsidRPr="0097400A" w:rsidRDefault="00913C78" w:rsidP="0097400A">
            <w:pPr>
              <w:pStyle w:val="ae"/>
              <w:rPr>
                <w:b w:val="0"/>
                <w:bCs/>
              </w:rPr>
            </w:pPr>
            <w:r w:rsidRPr="0097400A">
              <w:rPr>
                <w:b w:val="0"/>
                <w:bCs/>
              </w:rPr>
              <w:t>5</w:t>
            </w:r>
          </w:p>
        </w:tc>
        <w:tc>
          <w:tcPr>
            <w:tcW w:w="3353" w:type="dxa"/>
            <w:shd w:val="clear" w:color="auto" w:fill="auto"/>
            <w:vAlign w:val="bottom"/>
          </w:tcPr>
          <w:p w14:paraId="2625021F" w14:textId="77777777" w:rsidR="00913C78" w:rsidRPr="0097400A" w:rsidRDefault="00913C78" w:rsidP="0097400A">
            <w:pPr>
              <w:pStyle w:val="ae"/>
              <w:rPr>
                <w:b w:val="0"/>
                <w:bCs/>
              </w:rPr>
            </w:pPr>
            <w:r w:rsidRPr="0097400A">
              <w:rPr>
                <w:rFonts w:hint="eastAsia"/>
                <w:b w:val="0"/>
                <w:bCs/>
              </w:rPr>
              <w:t>不处理</w:t>
            </w:r>
          </w:p>
        </w:tc>
        <w:tc>
          <w:tcPr>
            <w:tcW w:w="2012" w:type="dxa"/>
            <w:shd w:val="clear" w:color="auto" w:fill="auto"/>
            <w:vAlign w:val="bottom"/>
          </w:tcPr>
          <w:p w14:paraId="74CF1A87" w14:textId="77777777" w:rsidR="00913C78" w:rsidRPr="0097400A" w:rsidRDefault="00913C78" w:rsidP="0097400A">
            <w:pPr>
              <w:pStyle w:val="ae"/>
              <w:rPr>
                <w:b w:val="0"/>
                <w:bCs/>
              </w:rPr>
            </w:pPr>
            <w:r w:rsidRPr="0097400A">
              <w:rPr>
                <w:b w:val="0"/>
                <w:bCs/>
              </w:rPr>
              <w:t>19.8</w:t>
            </w:r>
          </w:p>
        </w:tc>
      </w:tr>
    </w:tbl>
    <w:p w14:paraId="65DDD10C" w14:textId="77777777" w:rsidR="00913C78" w:rsidRPr="00913C78" w:rsidRDefault="00913C78" w:rsidP="00913C78">
      <w:pPr>
        <w:ind w:firstLine="420"/>
      </w:pPr>
    </w:p>
    <w:p w14:paraId="09A99620" w14:textId="77777777" w:rsidR="00913C78" w:rsidRPr="00913C78" w:rsidRDefault="00913C78" w:rsidP="00913C78">
      <w:pPr>
        <w:ind w:firstLine="420"/>
      </w:pPr>
      <w:r w:rsidRPr="00913C78">
        <w:rPr>
          <w:rFonts w:hint="eastAsia"/>
        </w:rPr>
        <w:t>考虑不利情况（门缝“不处理”），示例</w:t>
      </w:r>
      <w:r w:rsidRPr="00913C78">
        <w:t>中</w:t>
      </w:r>
      <w:r w:rsidRPr="00913C78">
        <w:rPr>
          <w:rFonts w:hint="eastAsia"/>
        </w:rPr>
        <w:t>分户门空气声计权隔声量的区间近似为</w:t>
      </w:r>
      <w:r w:rsidRPr="00913C78">
        <w:t>35dB</w:t>
      </w:r>
      <w:r w:rsidRPr="00913C78">
        <w:rPr>
          <w:rFonts w:hint="eastAsia"/>
        </w:rPr>
        <w:t>。</w:t>
      </w:r>
    </w:p>
    <w:p w14:paraId="49F0F828" w14:textId="77777777" w:rsidR="00913C78" w:rsidRPr="00913C78" w:rsidRDefault="00913C78" w:rsidP="00913C78">
      <w:pPr>
        <w:ind w:firstLine="420"/>
      </w:pPr>
      <w:r w:rsidRPr="00913C78">
        <w:rPr>
          <w:rFonts w:hint="eastAsia"/>
        </w:rPr>
        <w:t>谱修正量</w:t>
      </w:r>
      <w:r w:rsidRPr="00913C78">
        <w:rPr>
          <w:rFonts w:hint="eastAsia"/>
        </w:rPr>
        <w:t>Cj</w:t>
      </w:r>
      <w:r w:rsidRPr="00913C78">
        <w:rPr>
          <w:rFonts w:hint="eastAsia"/>
        </w:rPr>
        <w:t>按式（</w:t>
      </w:r>
      <w:r w:rsidRPr="00913C78">
        <w:rPr>
          <w:rFonts w:hint="eastAsia"/>
        </w:rPr>
        <w:t>B.6.3</w:t>
      </w:r>
      <w:r w:rsidRPr="00913C78">
        <w:rPr>
          <w:rFonts w:hint="eastAsia"/>
        </w:rPr>
        <w:t>）计算，计算出外墙构造的计权隔声量</w:t>
      </w:r>
      <w:r w:rsidRPr="00913C78">
        <w:rPr>
          <w:rFonts w:hint="eastAsia"/>
        </w:rPr>
        <w:t>+</w:t>
      </w:r>
      <w:r w:rsidRPr="00913C78">
        <w:rPr>
          <w:rFonts w:hint="eastAsia"/>
        </w:rPr>
        <w:t>粉红噪声频谱修正值（</w:t>
      </w:r>
      <w:r w:rsidRPr="00913C78">
        <w:rPr>
          <w:rFonts w:hint="eastAsia"/>
        </w:rPr>
        <w:t>Rw+C</w:t>
      </w:r>
      <w:r w:rsidRPr="00913C78">
        <w:rPr>
          <w:rFonts w:hint="eastAsia"/>
        </w:rPr>
        <w:t>）结果</w:t>
      </w:r>
      <w:r w:rsidRPr="00913C78">
        <w:t>，</w:t>
      </w:r>
      <w:r w:rsidRPr="00913C78">
        <w:rPr>
          <w:rFonts w:hint="eastAsia"/>
        </w:rPr>
        <w:t>据此判断门的空气声隔声性能是否满足《民用建筑隔声设计规范》（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）要求。</w:t>
      </w:r>
    </w:p>
    <w:p w14:paraId="3C6CE8A7" w14:textId="77777777" w:rsidR="00913C78" w:rsidRPr="00913C78" w:rsidRDefault="00913C78" w:rsidP="00913C78">
      <w:pPr>
        <w:ind w:firstLine="420"/>
      </w:pPr>
      <w:bookmarkStart w:id="426" w:name="_Toc476401986"/>
      <w:r w:rsidRPr="00913C78">
        <w:rPr>
          <w:rFonts w:hint="eastAsia"/>
        </w:rPr>
        <w:t>（</w:t>
      </w:r>
      <w:r w:rsidRPr="00913C78">
        <w:rPr>
          <w:rFonts w:hint="eastAsia"/>
        </w:rPr>
        <w:t>6</w:t>
      </w:r>
      <w:r w:rsidRPr="00913C78">
        <w:rPr>
          <w:rFonts w:hint="eastAsia"/>
        </w:rPr>
        <w:t>）外窗的空气声计权隔声量</w:t>
      </w:r>
      <w:bookmarkEnd w:id="426"/>
    </w:p>
    <w:p w14:paraId="39262B81" w14:textId="77777777" w:rsidR="00913C78" w:rsidRPr="00913C78" w:rsidRDefault="00913C78" w:rsidP="00913C78">
      <w:pPr>
        <w:ind w:firstLine="420"/>
      </w:pPr>
      <w:r w:rsidRPr="00913C78">
        <w:rPr>
          <w:rFonts w:hint="eastAsia"/>
        </w:rPr>
        <w:t>应说明项目交通干线采用</w:t>
      </w:r>
      <w:r w:rsidRPr="00913C78">
        <w:t>的</w:t>
      </w:r>
      <w:r w:rsidRPr="00913C78">
        <w:rPr>
          <w:rFonts w:hint="eastAsia"/>
        </w:rPr>
        <w:t>外窗构造，</w:t>
      </w:r>
      <w:r w:rsidRPr="00913C78">
        <w:t>明确其</w:t>
      </w:r>
      <w:r w:rsidRPr="00913C78">
        <w:rPr>
          <w:rFonts w:hint="eastAsia"/>
        </w:rPr>
        <w:t>隔声</w:t>
      </w:r>
      <w:r w:rsidRPr="00913C78">
        <w:t>性能等级。</w:t>
      </w:r>
      <w:r w:rsidRPr="00913C78">
        <w:rPr>
          <w:rFonts w:hint="eastAsia"/>
        </w:rPr>
        <w:t>《建筑门窗空气声隔声性能分级及检测方法》（</w:t>
      </w:r>
      <w:r w:rsidRPr="00913C78">
        <w:rPr>
          <w:rFonts w:hint="eastAsia"/>
        </w:rPr>
        <w:t>GB/T 8485</w:t>
      </w:r>
      <w:r w:rsidRPr="00913C78">
        <w:rPr>
          <w:rFonts w:hint="eastAsia"/>
        </w:rPr>
        <w:t>—</w:t>
      </w:r>
      <w:r w:rsidRPr="00913C78">
        <w:rPr>
          <w:rFonts w:hint="eastAsia"/>
        </w:rPr>
        <w:t>2008</w:t>
      </w:r>
      <w:r w:rsidRPr="00913C78">
        <w:rPr>
          <w:rFonts w:hint="eastAsia"/>
        </w:rPr>
        <w:t>）中给出了建筑门窗的空气声隔声性能分级指标值，见附表</w:t>
      </w:r>
      <w:r w:rsidRPr="00913C78">
        <w:rPr>
          <w:rFonts w:hint="eastAsia"/>
        </w:rPr>
        <w:t>B.6.11</w:t>
      </w:r>
      <w:r w:rsidRPr="00913C78">
        <w:rPr>
          <w:rFonts w:hint="eastAsia"/>
        </w:rPr>
        <w:t>。</w:t>
      </w:r>
    </w:p>
    <w:p w14:paraId="085FCFBB" w14:textId="77777777" w:rsidR="00913C78" w:rsidRPr="00913C78" w:rsidRDefault="00913C78" w:rsidP="0097400A">
      <w:pPr>
        <w:pStyle w:val="ae"/>
      </w:pPr>
      <w:r w:rsidRPr="00913C78">
        <w:rPr>
          <w:rFonts w:hint="eastAsia"/>
        </w:rPr>
        <w:t>附表</w:t>
      </w:r>
      <w:r w:rsidRPr="00913C78">
        <w:rPr>
          <w:rFonts w:hint="eastAsia"/>
        </w:rPr>
        <w:t xml:space="preserve">B.6.11 </w:t>
      </w:r>
      <w:r w:rsidRPr="00913C78">
        <w:t xml:space="preserve"> </w:t>
      </w:r>
      <w:r w:rsidRPr="00913C78">
        <w:rPr>
          <w:rFonts w:hint="eastAsia"/>
        </w:rPr>
        <w:t>建筑门窗的空气声隔声性能分级</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1196"/>
        <w:gridCol w:w="3087"/>
        <w:gridCol w:w="3087"/>
      </w:tblGrid>
      <w:tr w:rsidR="00913C78" w:rsidRPr="0097400A" w14:paraId="25C5619E" w14:textId="77777777" w:rsidTr="00A2511C">
        <w:trPr>
          <w:jc w:val="center"/>
        </w:trPr>
        <w:tc>
          <w:tcPr>
            <w:tcW w:w="812" w:type="pct"/>
            <w:shd w:val="clear" w:color="auto" w:fill="auto"/>
          </w:tcPr>
          <w:p w14:paraId="5EB0E092" w14:textId="77777777" w:rsidR="00913C78" w:rsidRPr="0097400A" w:rsidRDefault="00913C78" w:rsidP="0097400A">
            <w:pPr>
              <w:pStyle w:val="ae"/>
              <w:rPr>
                <w:b w:val="0"/>
                <w:bCs/>
              </w:rPr>
            </w:pPr>
            <w:r w:rsidRPr="0097400A">
              <w:rPr>
                <w:rFonts w:hint="eastAsia"/>
                <w:b w:val="0"/>
                <w:bCs/>
              </w:rPr>
              <w:t>分级</w:t>
            </w:r>
          </w:p>
        </w:tc>
        <w:tc>
          <w:tcPr>
            <w:tcW w:w="2094" w:type="pct"/>
            <w:shd w:val="clear" w:color="auto" w:fill="auto"/>
          </w:tcPr>
          <w:p w14:paraId="42A41E40" w14:textId="77777777" w:rsidR="00913C78" w:rsidRPr="0097400A" w:rsidRDefault="00913C78" w:rsidP="0097400A">
            <w:pPr>
              <w:pStyle w:val="ae"/>
              <w:rPr>
                <w:b w:val="0"/>
                <w:bCs/>
              </w:rPr>
            </w:pPr>
            <w:r w:rsidRPr="0097400A">
              <w:rPr>
                <w:rFonts w:hint="eastAsia"/>
                <w:b w:val="0"/>
                <w:bCs/>
              </w:rPr>
              <w:t>外门、外窗的分级指标值</w:t>
            </w:r>
            <w:r w:rsidRPr="0097400A">
              <w:rPr>
                <w:rFonts w:hint="eastAsia"/>
                <w:b w:val="0"/>
                <w:bCs/>
              </w:rPr>
              <w:t>/dB</w:t>
            </w:r>
          </w:p>
        </w:tc>
        <w:tc>
          <w:tcPr>
            <w:tcW w:w="2094" w:type="pct"/>
            <w:shd w:val="clear" w:color="auto" w:fill="auto"/>
          </w:tcPr>
          <w:p w14:paraId="2D295598" w14:textId="77777777" w:rsidR="00913C78" w:rsidRPr="0097400A" w:rsidRDefault="00913C78" w:rsidP="0097400A">
            <w:pPr>
              <w:pStyle w:val="ae"/>
              <w:rPr>
                <w:b w:val="0"/>
                <w:bCs/>
              </w:rPr>
            </w:pPr>
            <w:r w:rsidRPr="0097400A">
              <w:rPr>
                <w:rFonts w:hint="eastAsia"/>
                <w:b w:val="0"/>
                <w:bCs/>
              </w:rPr>
              <w:t>内门、内窗的分级指标值</w:t>
            </w:r>
            <w:r w:rsidRPr="0097400A">
              <w:rPr>
                <w:rFonts w:hint="eastAsia"/>
                <w:b w:val="0"/>
                <w:bCs/>
              </w:rPr>
              <w:t>/dB</w:t>
            </w:r>
          </w:p>
        </w:tc>
      </w:tr>
      <w:tr w:rsidR="00913C78" w:rsidRPr="0097400A" w14:paraId="693B3F2B" w14:textId="77777777" w:rsidTr="00A2511C">
        <w:trPr>
          <w:jc w:val="center"/>
        </w:trPr>
        <w:tc>
          <w:tcPr>
            <w:tcW w:w="812" w:type="pct"/>
            <w:shd w:val="clear" w:color="auto" w:fill="auto"/>
          </w:tcPr>
          <w:p w14:paraId="203EA31F" w14:textId="77777777" w:rsidR="00913C78" w:rsidRPr="0097400A" w:rsidRDefault="00913C78" w:rsidP="0097400A">
            <w:pPr>
              <w:pStyle w:val="ae"/>
              <w:rPr>
                <w:b w:val="0"/>
                <w:bCs/>
              </w:rPr>
            </w:pPr>
            <w:r w:rsidRPr="0097400A">
              <w:rPr>
                <w:b w:val="0"/>
                <w:bCs/>
              </w:rPr>
              <w:t>1</w:t>
            </w:r>
          </w:p>
        </w:tc>
        <w:tc>
          <w:tcPr>
            <w:tcW w:w="2094" w:type="pct"/>
            <w:shd w:val="clear" w:color="auto" w:fill="auto"/>
          </w:tcPr>
          <w:p w14:paraId="1E04A2FF" w14:textId="77777777" w:rsidR="00913C78" w:rsidRPr="0097400A" w:rsidRDefault="00913C78" w:rsidP="0097400A">
            <w:pPr>
              <w:pStyle w:val="ae"/>
              <w:rPr>
                <w:b w:val="0"/>
                <w:bCs/>
              </w:rPr>
            </w:pPr>
            <w:r w:rsidRPr="0097400A">
              <w:rPr>
                <w:b w:val="0"/>
                <w:bCs/>
              </w:rPr>
              <w:t>20≤Rw+Ctr</w:t>
            </w:r>
            <w:r w:rsidRPr="0097400A">
              <w:rPr>
                <w:rFonts w:hint="eastAsia"/>
                <w:b w:val="0"/>
                <w:bCs/>
              </w:rPr>
              <w:t>＜</w:t>
            </w:r>
            <w:r w:rsidRPr="0097400A">
              <w:rPr>
                <w:b w:val="0"/>
                <w:bCs/>
              </w:rPr>
              <w:t>25</w:t>
            </w:r>
          </w:p>
        </w:tc>
        <w:tc>
          <w:tcPr>
            <w:tcW w:w="2094" w:type="pct"/>
            <w:shd w:val="clear" w:color="auto" w:fill="auto"/>
          </w:tcPr>
          <w:p w14:paraId="32EDD619" w14:textId="77777777" w:rsidR="00913C78" w:rsidRPr="0097400A" w:rsidRDefault="00913C78" w:rsidP="0097400A">
            <w:pPr>
              <w:pStyle w:val="ae"/>
              <w:rPr>
                <w:b w:val="0"/>
                <w:bCs/>
              </w:rPr>
            </w:pPr>
            <w:r w:rsidRPr="0097400A">
              <w:rPr>
                <w:b w:val="0"/>
                <w:bCs/>
              </w:rPr>
              <w:t>20≤Rw +C</w:t>
            </w:r>
            <w:r w:rsidRPr="0097400A">
              <w:rPr>
                <w:rFonts w:hint="eastAsia"/>
                <w:b w:val="0"/>
                <w:bCs/>
              </w:rPr>
              <w:t>＜</w:t>
            </w:r>
            <w:r w:rsidRPr="0097400A">
              <w:rPr>
                <w:b w:val="0"/>
                <w:bCs/>
              </w:rPr>
              <w:t>25</w:t>
            </w:r>
          </w:p>
        </w:tc>
      </w:tr>
      <w:tr w:rsidR="00913C78" w:rsidRPr="0097400A" w14:paraId="28148966" w14:textId="77777777" w:rsidTr="00A2511C">
        <w:trPr>
          <w:jc w:val="center"/>
        </w:trPr>
        <w:tc>
          <w:tcPr>
            <w:tcW w:w="812" w:type="pct"/>
            <w:shd w:val="clear" w:color="auto" w:fill="auto"/>
          </w:tcPr>
          <w:p w14:paraId="20F33668" w14:textId="77777777" w:rsidR="00913C78" w:rsidRPr="0097400A" w:rsidRDefault="00913C78" w:rsidP="0097400A">
            <w:pPr>
              <w:pStyle w:val="ae"/>
              <w:rPr>
                <w:b w:val="0"/>
                <w:bCs/>
              </w:rPr>
            </w:pPr>
            <w:r w:rsidRPr="0097400A">
              <w:rPr>
                <w:b w:val="0"/>
                <w:bCs/>
              </w:rPr>
              <w:t>2</w:t>
            </w:r>
          </w:p>
        </w:tc>
        <w:tc>
          <w:tcPr>
            <w:tcW w:w="2094" w:type="pct"/>
            <w:shd w:val="clear" w:color="auto" w:fill="auto"/>
          </w:tcPr>
          <w:p w14:paraId="2D7AE8D5" w14:textId="77777777" w:rsidR="00913C78" w:rsidRPr="0097400A" w:rsidRDefault="00913C78" w:rsidP="0097400A">
            <w:pPr>
              <w:pStyle w:val="ae"/>
              <w:rPr>
                <w:b w:val="0"/>
                <w:bCs/>
              </w:rPr>
            </w:pPr>
            <w:r w:rsidRPr="0097400A">
              <w:rPr>
                <w:b w:val="0"/>
                <w:bCs/>
              </w:rPr>
              <w:t>25≤Rw+Ctr</w:t>
            </w:r>
            <w:r w:rsidRPr="0097400A">
              <w:rPr>
                <w:rFonts w:hint="eastAsia"/>
                <w:b w:val="0"/>
                <w:bCs/>
              </w:rPr>
              <w:t>＜</w:t>
            </w:r>
            <w:r w:rsidRPr="0097400A">
              <w:rPr>
                <w:b w:val="0"/>
                <w:bCs/>
              </w:rPr>
              <w:t>30</w:t>
            </w:r>
          </w:p>
        </w:tc>
        <w:tc>
          <w:tcPr>
            <w:tcW w:w="2094" w:type="pct"/>
            <w:shd w:val="clear" w:color="auto" w:fill="auto"/>
          </w:tcPr>
          <w:p w14:paraId="5F42FDEE" w14:textId="77777777" w:rsidR="00913C78" w:rsidRPr="0097400A" w:rsidRDefault="00913C78" w:rsidP="0097400A">
            <w:pPr>
              <w:pStyle w:val="ae"/>
              <w:rPr>
                <w:b w:val="0"/>
                <w:bCs/>
              </w:rPr>
            </w:pPr>
            <w:r w:rsidRPr="0097400A">
              <w:rPr>
                <w:b w:val="0"/>
                <w:bCs/>
              </w:rPr>
              <w:t>25≤Rw +C</w:t>
            </w:r>
            <w:r w:rsidRPr="0097400A">
              <w:rPr>
                <w:rFonts w:hint="eastAsia"/>
                <w:b w:val="0"/>
                <w:bCs/>
              </w:rPr>
              <w:t>＜</w:t>
            </w:r>
            <w:r w:rsidRPr="0097400A">
              <w:rPr>
                <w:b w:val="0"/>
                <w:bCs/>
              </w:rPr>
              <w:t>30</w:t>
            </w:r>
          </w:p>
        </w:tc>
      </w:tr>
      <w:tr w:rsidR="00913C78" w:rsidRPr="0097400A" w14:paraId="4EB70102" w14:textId="77777777" w:rsidTr="00A2511C">
        <w:trPr>
          <w:jc w:val="center"/>
        </w:trPr>
        <w:tc>
          <w:tcPr>
            <w:tcW w:w="812" w:type="pct"/>
            <w:shd w:val="clear" w:color="auto" w:fill="auto"/>
          </w:tcPr>
          <w:p w14:paraId="36E7E426" w14:textId="77777777" w:rsidR="00913C78" w:rsidRPr="0097400A" w:rsidRDefault="00913C78" w:rsidP="0097400A">
            <w:pPr>
              <w:pStyle w:val="ae"/>
              <w:rPr>
                <w:b w:val="0"/>
                <w:bCs/>
              </w:rPr>
            </w:pPr>
            <w:r w:rsidRPr="0097400A">
              <w:rPr>
                <w:b w:val="0"/>
                <w:bCs/>
              </w:rPr>
              <w:t>3</w:t>
            </w:r>
          </w:p>
        </w:tc>
        <w:tc>
          <w:tcPr>
            <w:tcW w:w="2094" w:type="pct"/>
            <w:shd w:val="clear" w:color="auto" w:fill="auto"/>
          </w:tcPr>
          <w:p w14:paraId="79285454" w14:textId="77777777" w:rsidR="00913C78" w:rsidRPr="0097400A" w:rsidRDefault="00913C78" w:rsidP="0097400A">
            <w:pPr>
              <w:pStyle w:val="ae"/>
              <w:rPr>
                <w:b w:val="0"/>
                <w:bCs/>
              </w:rPr>
            </w:pPr>
            <w:r w:rsidRPr="0097400A">
              <w:rPr>
                <w:b w:val="0"/>
                <w:bCs/>
              </w:rPr>
              <w:t>30≤Rw+Ctr</w:t>
            </w:r>
            <w:r w:rsidRPr="0097400A">
              <w:rPr>
                <w:rFonts w:hint="eastAsia"/>
                <w:b w:val="0"/>
                <w:bCs/>
              </w:rPr>
              <w:t>＜</w:t>
            </w:r>
            <w:r w:rsidRPr="0097400A">
              <w:rPr>
                <w:b w:val="0"/>
                <w:bCs/>
              </w:rPr>
              <w:t>35</w:t>
            </w:r>
          </w:p>
        </w:tc>
        <w:tc>
          <w:tcPr>
            <w:tcW w:w="2094" w:type="pct"/>
            <w:shd w:val="clear" w:color="auto" w:fill="auto"/>
          </w:tcPr>
          <w:p w14:paraId="1B380225" w14:textId="77777777" w:rsidR="00913C78" w:rsidRPr="0097400A" w:rsidRDefault="00913C78" w:rsidP="0097400A">
            <w:pPr>
              <w:pStyle w:val="ae"/>
              <w:rPr>
                <w:b w:val="0"/>
                <w:bCs/>
              </w:rPr>
            </w:pPr>
            <w:r w:rsidRPr="0097400A">
              <w:rPr>
                <w:b w:val="0"/>
                <w:bCs/>
              </w:rPr>
              <w:t>30≤Rw +C</w:t>
            </w:r>
            <w:r w:rsidRPr="0097400A">
              <w:rPr>
                <w:rFonts w:hint="eastAsia"/>
                <w:b w:val="0"/>
                <w:bCs/>
              </w:rPr>
              <w:t>＜</w:t>
            </w:r>
            <w:r w:rsidRPr="0097400A">
              <w:rPr>
                <w:b w:val="0"/>
                <w:bCs/>
              </w:rPr>
              <w:t>35</w:t>
            </w:r>
          </w:p>
        </w:tc>
      </w:tr>
      <w:tr w:rsidR="00913C78" w:rsidRPr="0097400A" w14:paraId="6896EF67" w14:textId="77777777" w:rsidTr="00A2511C">
        <w:trPr>
          <w:jc w:val="center"/>
        </w:trPr>
        <w:tc>
          <w:tcPr>
            <w:tcW w:w="812" w:type="pct"/>
            <w:shd w:val="clear" w:color="auto" w:fill="auto"/>
          </w:tcPr>
          <w:p w14:paraId="5DAE9313" w14:textId="77777777" w:rsidR="00913C78" w:rsidRPr="0097400A" w:rsidRDefault="00913C78" w:rsidP="0097400A">
            <w:pPr>
              <w:pStyle w:val="ae"/>
              <w:rPr>
                <w:b w:val="0"/>
                <w:bCs/>
              </w:rPr>
            </w:pPr>
            <w:r w:rsidRPr="0097400A">
              <w:rPr>
                <w:b w:val="0"/>
                <w:bCs/>
              </w:rPr>
              <w:t>4</w:t>
            </w:r>
          </w:p>
        </w:tc>
        <w:tc>
          <w:tcPr>
            <w:tcW w:w="2094" w:type="pct"/>
            <w:shd w:val="clear" w:color="auto" w:fill="auto"/>
          </w:tcPr>
          <w:p w14:paraId="0D4D2895" w14:textId="77777777" w:rsidR="00913C78" w:rsidRPr="0097400A" w:rsidRDefault="00913C78" w:rsidP="0097400A">
            <w:pPr>
              <w:pStyle w:val="ae"/>
              <w:rPr>
                <w:b w:val="0"/>
                <w:bCs/>
              </w:rPr>
            </w:pPr>
            <w:r w:rsidRPr="0097400A">
              <w:rPr>
                <w:b w:val="0"/>
                <w:bCs/>
              </w:rPr>
              <w:t>35≤Rw+Ctr</w:t>
            </w:r>
            <w:r w:rsidRPr="0097400A">
              <w:rPr>
                <w:rFonts w:hint="eastAsia"/>
                <w:b w:val="0"/>
                <w:bCs/>
              </w:rPr>
              <w:t>＜</w:t>
            </w:r>
            <w:r w:rsidRPr="0097400A">
              <w:rPr>
                <w:b w:val="0"/>
                <w:bCs/>
              </w:rPr>
              <w:t>40</w:t>
            </w:r>
          </w:p>
        </w:tc>
        <w:tc>
          <w:tcPr>
            <w:tcW w:w="2094" w:type="pct"/>
            <w:shd w:val="clear" w:color="auto" w:fill="auto"/>
          </w:tcPr>
          <w:p w14:paraId="641A8616" w14:textId="77777777" w:rsidR="00913C78" w:rsidRPr="0097400A" w:rsidRDefault="00913C78" w:rsidP="0097400A">
            <w:pPr>
              <w:pStyle w:val="ae"/>
              <w:rPr>
                <w:b w:val="0"/>
                <w:bCs/>
              </w:rPr>
            </w:pPr>
            <w:r w:rsidRPr="0097400A">
              <w:rPr>
                <w:b w:val="0"/>
                <w:bCs/>
              </w:rPr>
              <w:t>35≤Rw +C</w:t>
            </w:r>
            <w:r w:rsidRPr="0097400A">
              <w:rPr>
                <w:rFonts w:hint="eastAsia"/>
                <w:b w:val="0"/>
                <w:bCs/>
              </w:rPr>
              <w:t>＜</w:t>
            </w:r>
            <w:r w:rsidRPr="0097400A">
              <w:rPr>
                <w:b w:val="0"/>
                <w:bCs/>
              </w:rPr>
              <w:t>40</w:t>
            </w:r>
          </w:p>
        </w:tc>
      </w:tr>
      <w:tr w:rsidR="00913C78" w:rsidRPr="0097400A" w14:paraId="170795E3" w14:textId="77777777" w:rsidTr="00A2511C">
        <w:trPr>
          <w:jc w:val="center"/>
        </w:trPr>
        <w:tc>
          <w:tcPr>
            <w:tcW w:w="812" w:type="pct"/>
            <w:shd w:val="clear" w:color="auto" w:fill="auto"/>
          </w:tcPr>
          <w:p w14:paraId="016B3477" w14:textId="77777777" w:rsidR="00913C78" w:rsidRPr="0097400A" w:rsidRDefault="00913C78" w:rsidP="0097400A">
            <w:pPr>
              <w:pStyle w:val="ae"/>
              <w:rPr>
                <w:b w:val="0"/>
                <w:bCs/>
              </w:rPr>
            </w:pPr>
            <w:r w:rsidRPr="0097400A">
              <w:rPr>
                <w:b w:val="0"/>
                <w:bCs/>
              </w:rPr>
              <w:t>5</w:t>
            </w:r>
          </w:p>
        </w:tc>
        <w:tc>
          <w:tcPr>
            <w:tcW w:w="2094" w:type="pct"/>
            <w:shd w:val="clear" w:color="auto" w:fill="auto"/>
          </w:tcPr>
          <w:p w14:paraId="08C857E1" w14:textId="77777777" w:rsidR="00913C78" w:rsidRPr="0097400A" w:rsidRDefault="00913C78" w:rsidP="0097400A">
            <w:pPr>
              <w:pStyle w:val="ae"/>
              <w:rPr>
                <w:b w:val="0"/>
                <w:bCs/>
              </w:rPr>
            </w:pPr>
            <w:r w:rsidRPr="0097400A">
              <w:rPr>
                <w:b w:val="0"/>
                <w:bCs/>
              </w:rPr>
              <w:t>40≤Rw+Ctr</w:t>
            </w:r>
            <w:r w:rsidRPr="0097400A">
              <w:rPr>
                <w:rFonts w:hint="eastAsia"/>
                <w:b w:val="0"/>
                <w:bCs/>
              </w:rPr>
              <w:t>＜</w:t>
            </w:r>
            <w:r w:rsidRPr="0097400A">
              <w:rPr>
                <w:b w:val="0"/>
                <w:bCs/>
              </w:rPr>
              <w:t>45</w:t>
            </w:r>
          </w:p>
        </w:tc>
        <w:tc>
          <w:tcPr>
            <w:tcW w:w="2094" w:type="pct"/>
            <w:shd w:val="clear" w:color="auto" w:fill="auto"/>
          </w:tcPr>
          <w:p w14:paraId="08E01162" w14:textId="77777777" w:rsidR="00913C78" w:rsidRPr="0097400A" w:rsidRDefault="00913C78" w:rsidP="0097400A">
            <w:pPr>
              <w:pStyle w:val="ae"/>
              <w:rPr>
                <w:b w:val="0"/>
                <w:bCs/>
              </w:rPr>
            </w:pPr>
            <w:r w:rsidRPr="0097400A">
              <w:rPr>
                <w:b w:val="0"/>
                <w:bCs/>
              </w:rPr>
              <w:t>40≤Rw +C</w:t>
            </w:r>
            <w:r w:rsidRPr="0097400A">
              <w:rPr>
                <w:rFonts w:hint="eastAsia"/>
                <w:b w:val="0"/>
                <w:bCs/>
              </w:rPr>
              <w:t>＜</w:t>
            </w:r>
            <w:r w:rsidRPr="0097400A">
              <w:rPr>
                <w:b w:val="0"/>
                <w:bCs/>
              </w:rPr>
              <w:t>45</w:t>
            </w:r>
          </w:p>
        </w:tc>
      </w:tr>
      <w:tr w:rsidR="00913C78" w:rsidRPr="0097400A" w14:paraId="66AA2E15" w14:textId="77777777" w:rsidTr="00A2511C">
        <w:trPr>
          <w:jc w:val="center"/>
        </w:trPr>
        <w:tc>
          <w:tcPr>
            <w:tcW w:w="812" w:type="pct"/>
            <w:shd w:val="clear" w:color="auto" w:fill="auto"/>
          </w:tcPr>
          <w:p w14:paraId="190DE6EB" w14:textId="77777777" w:rsidR="00913C78" w:rsidRPr="0097400A" w:rsidRDefault="00913C78" w:rsidP="0097400A">
            <w:pPr>
              <w:pStyle w:val="ae"/>
              <w:rPr>
                <w:b w:val="0"/>
                <w:bCs/>
              </w:rPr>
            </w:pPr>
            <w:r w:rsidRPr="0097400A">
              <w:rPr>
                <w:b w:val="0"/>
                <w:bCs/>
              </w:rPr>
              <w:t>6</w:t>
            </w:r>
          </w:p>
        </w:tc>
        <w:tc>
          <w:tcPr>
            <w:tcW w:w="2094" w:type="pct"/>
            <w:shd w:val="clear" w:color="auto" w:fill="auto"/>
          </w:tcPr>
          <w:p w14:paraId="45607F1A" w14:textId="77777777" w:rsidR="00913C78" w:rsidRPr="0097400A" w:rsidRDefault="00913C78" w:rsidP="0097400A">
            <w:pPr>
              <w:pStyle w:val="ae"/>
              <w:rPr>
                <w:b w:val="0"/>
                <w:bCs/>
              </w:rPr>
            </w:pPr>
            <w:r w:rsidRPr="0097400A">
              <w:rPr>
                <w:b w:val="0"/>
                <w:bCs/>
              </w:rPr>
              <w:t>Rw+Ctr≥45</w:t>
            </w:r>
          </w:p>
        </w:tc>
        <w:tc>
          <w:tcPr>
            <w:tcW w:w="2094" w:type="pct"/>
            <w:shd w:val="clear" w:color="auto" w:fill="auto"/>
          </w:tcPr>
          <w:p w14:paraId="21F8F3B5" w14:textId="77777777" w:rsidR="00913C78" w:rsidRPr="0097400A" w:rsidRDefault="00913C78" w:rsidP="0097400A">
            <w:pPr>
              <w:pStyle w:val="ae"/>
              <w:rPr>
                <w:b w:val="0"/>
                <w:bCs/>
              </w:rPr>
            </w:pPr>
            <w:r w:rsidRPr="0097400A">
              <w:rPr>
                <w:b w:val="0"/>
                <w:bCs/>
              </w:rPr>
              <w:t>Rw +C≥45</w:t>
            </w:r>
          </w:p>
        </w:tc>
      </w:tr>
    </w:tbl>
    <w:p w14:paraId="29B6D8D6" w14:textId="77777777" w:rsidR="00913C78" w:rsidRPr="00913C78" w:rsidRDefault="00913C78" w:rsidP="00913C78">
      <w:pPr>
        <w:ind w:firstLine="420"/>
      </w:pPr>
    </w:p>
    <w:p w14:paraId="66A95139" w14:textId="77777777" w:rsidR="00913C78" w:rsidRPr="00913C78" w:rsidRDefault="00913C78" w:rsidP="00913C78">
      <w:pPr>
        <w:ind w:firstLine="420"/>
      </w:pPr>
      <w:r w:rsidRPr="00913C78">
        <w:rPr>
          <w:rFonts w:hint="eastAsia"/>
        </w:rPr>
        <w:t>例如，隔声性能为</w:t>
      </w:r>
      <w:r w:rsidRPr="00913C78">
        <w:rPr>
          <w:rFonts w:hint="eastAsia"/>
        </w:rPr>
        <w:t>3</w:t>
      </w:r>
      <w:r w:rsidRPr="00913C78">
        <w:rPr>
          <w:rFonts w:hint="eastAsia"/>
        </w:rPr>
        <w:t>级的外窗空气声计权隔声量在</w:t>
      </w:r>
      <w:r w:rsidRPr="00913C78">
        <w:rPr>
          <w:rFonts w:hint="eastAsia"/>
        </w:rPr>
        <w:t>30</w:t>
      </w:r>
      <w:r w:rsidRPr="00913C78">
        <w:rPr>
          <w:rFonts w:hint="eastAsia"/>
        </w:rPr>
        <w:t>～</w:t>
      </w:r>
      <w:r w:rsidRPr="00913C78">
        <w:rPr>
          <w:rFonts w:hint="eastAsia"/>
        </w:rPr>
        <w:t>35dB</w:t>
      </w:r>
      <w:r w:rsidRPr="00913C78">
        <w:rPr>
          <w:rFonts w:hint="eastAsia"/>
        </w:rPr>
        <w:t>。</w:t>
      </w:r>
    </w:p>
    <w:p w14:paraId="089DDC7D" w14:textId="77777777" w:rsidR="00913C78" w:rsidRPr="00913C78" w:rsidRDefault="00913C78" w:rsidP="00913C78">
      <w:pPr>
        <w:ind w:firstLine="420"/>
      </w:pPr>
      <w:r w:rsidRPr="00913C78">
        <w:rPr>
          <w:rFonts w:hint="eastAsia"/>
        </w:rPr>
        <w:t>此外</w:t>
      </w:r>
      <w:r w:rsidRPr="00913C78">
        <w:t>，还可以参考</w:t>
      </w:r>
      <w:r w:rsidRPr="00913C78">
        <w:rPr>
          <w:rFonts w:hint="eastAsia"/>
        </w:rPr>
        <w:t>国家建筑材料工业建筑五金水暖产品质量监督检验测试中心公开发表的相关资料，查找</w:t>
      </w:r>
      <w:r w:rsidRPr="00913C78">
        <w:t>与项目外窗</w:t>
      </w:r>
      <w:r w:rsidRPr="00913C78">
        <w:rPr>
          <w:rFonts w:hint="eastAsia"/>
        </w:rPr>
        <w:t>结构</w:t>
      </w:r>
      <w:r w:rsidRPr="00913C78">
        <w:t>相近</w:t>
      </w:r>
      <w:r w:rsidRPr="00913C78">
        <w:rPr>
          <w:rFonts w:hint="eastAsia"/>
        </w:rPr>
        <w:t>的计权隔声量。</w:t>
      </w:r>
    </w:p>
    <w:p w14:paraId="2B2066A7" w14:textId="77777777" w:rsidR="00913C78" w:rsidRPr="00913C78" w:rsidRDefault="00913C78" w:rsidP="00913C78">
      <w:pPr>
        <w:ind w:firstLine="420"/>
      </w:pPr>
      <w:r w:rsidRPr="00913C78">
        <w:rPr>
          <w:rFonts w:hint="eastAsia"/>
        </w:rPr>
        <w:t>根据以上</w:t>
      </w:r>
      <w:r w:rsidRPr="00913C78">
        <w:t>数据</w:t>
      </w:r>
      <w:r w:rsidRPr="00913C78">
        <w:rPr>
          <w:rFonts w:hint="eastAsia"/>
        </w:rPr>
        <w:t>，可以</w:t>
      </w:r>
      <w:r w:rsidRPr="00913C78">
        <w:t>判断</w:t>
      </w:r>
      <w:r w:rsidRPr="00913C78">
        <w:rPr>
          <w:rFonts w:hint="eastAsia"/>
        </w:rPr>
        <w:t>交通干线外窗空气声隔声性能是否满足《民用建筑隔声设计规范》（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）要求。</w:t>
      </w:r>
    </w:p>
    <w:p w14:paraId="150ED3D6" w14:textId="77777777" w:rsidR="00913C78" w:rsidRPr="00913C78" w:rsidRDefault="00913C78" w:rsidP="00913C78">
      <w:pPr>
        <w:ind w:firstLine="420"/>
      </w:pPr>
      <w:bookmarkStart w:id="427" w:name="_Toc476401987"/>
      <w:r w:rsidRPr="00913C78">
        <w:rPr>
          <w:rFonts w:hint="eastAsia"/>
        </w:rPr>
        <w:t>◎</w:t>
      </w:r>
      <w:r w:rsidRPr="00913C78">
        <w:t xml:space="preserve"> </w:t>
      </w:r>
      <w:r w:rsidRPr="00913C78">
        <w:rPr>
          <w:rFonts w:hint="eastAsia"/>
        </w:rPr>
        <w:t>楼板的计权标准化撞击声压级</w:t>
      </w:r>
      <w:bookmarkEnd w:id="427"/>
    </w:p>
    <w:p w14:paraId="74E170EF" w14:textId="77777777" w:rsidR="00913C78" w:rsidRPr="00913C78" w:rsidRDefault="00913C78" w:rsidP="00913C78">
      <w:pPr>
        <w:ind w:firstLine="420"/>
      </w:pPr>
      <w:r w:rsidRPr="00913C78">
        <w:rPr>
          <w:rFonts w:hint="eastAsia"/>
        </w:rPr>
        <w:lastRenderedPageBreak/>
        <w:t>楼板构造及相关参数与计算空气隔声量时相同，需说明</w:t>
      </w:r>
      <w:r w:rsidRPr="00913C78">
        <w:t>吊顶形式</w:t>
      </w:r>
      <w:r w:rsidRPr="00913C78">
        <w:rPr>
          <w:rFonts w:hint="eastAsia"/>
        </w:rPr>
        <w:t>。</w:t>
      </w:r>
      <w:r w:rsidRPr="00913C78">
        <w:t>例如</w:t>
      </w:r>
      <w:r w:rsidRPr="00913C78">
        <w:rPr>
          <w:rFonts w:hint="eastAsia"/>
        </w:rPr>
        <w:t>，采用轻钢龙骨石膏板吊顶，</w:t>
      </w:r>
      <w:r w:rsidRPr="00913C78">
        <w:t>以</w:t>
      </w:r>
      <w:r w:rsidRPr="00913C78">
        <w:rPr>
          <w:rFonts w:hint="eastAsia"/>
        </w:rPr>
        <w:t>附</w:t>
      </w:r>
      <w:r w:rsidRPr="00913C78">
        <w:t>表</w:t>
      </w:r>
      <w:r w:rsidRPr="00913C78">
        <w:rPr>
          <w:rFonts w:hint="eastAsia"/>
        </w:rPr>
        <w:t>B.6.7</w:t>
      </w:r>
      <w:r w:rsidRPr="00913C78">
        <w:rPr>
          <w:rFonts w:hint="eastAsia"/>
        </w:rPr>
        <w:t>的</w:t>
      </w:r>
      <w:r w:rsidRPr="00913C78">
        <w:t>楼板构造为例</w:t>
      </w:r>
      <w:r w:rsidRPr="00913C78">
        <w:rPr>
          <w:rFonts w:hint="eastAsia"/>
        </w:rPr>
        <w:t>。</w:t>
      </w:r>
    </w:p>
    <w:p w14:paraId="07B689DF" w14:textId="77777777" w:rsidR="00913C78" w:rsidRPr="00913C78" w:rsidRDefault="00913C78" w:rsidP="00913C78">
      <w:pPr>
        <w:ind w:firstLine="420"/>
      </w:pPr>
      <w:r w:rsidRPr="00913C78">
        <w:rPr>
          <w:rFonts w:hint="eastAsia"/>
        </w:rPr>
        <w:t>《建筑声学设计原理》可查得与本项目楼板类似构造，详见附</w:t>
      </w:r>
      <w:r w:rsidRPr="00913C78">
        <w:t>表</w:t>
      </w:r>
      <w:r w:rsidRPr="00913C78">
        <w:rPr>
          <w:rFonts w:hint="eastAsia"/>
        </w:rPr>
        <w:t>B.6.12</w:t>
      </w:r>
      <w:r w:rsidRPr="00913C78">
        <w:rPr>
          <w:rFonts w:hint="eastAsia"/>
        </w:rPr>
        <w:t>。</w:t>
      </w:r>
    </w:p>
    <w:p w14:paraId="00D3EC09" w14:textId="77777777" w:rsidR="00913C78" w:rsidRPr="00913C78" w:rsidRDefault="00913C78" w:rsidP="0097400A">
      <w:pPr>
        <w:pStyle w:val="ae"/>
      </w:pPr>
      <w:r w:rsidRPr="00913C78">
        <w:rPr>
          <w:rFonts w:hint="eastAsia"/>
        </w:rPr>
        <w:t>附</w:t>
      </w:r>
      <w:r w:rsidRPr="00913C78">
        <w:t>表</w:t>
      </w:r>
      <w:r w:rsidRPr="00913C78">
        <w:rPr>
          <w:rFonts w:hint="eastAsia"/>
        </w:rPr>
        <w:t xml:space="preserve">B.6.12 </w:t>
      </w:r>
      <w:r w:rsidRPr="00913C78">
        <w:t xml:space="preserve"> </w:t>
      </w:r>
      <w:r w:rsidRPr="00913C78">
        <w:rPr>
          <w:rFonts w:hint="eastAsia"/>
        </w:rPr>
        <w:t>某楼板标准撞击声级</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2387"/>
        <w:gridCol w:w="776"/>
        <w:gridCol w:w="776"/>
        <w:gridCol w:w="776"/>
        <w:gridCol w:w="881"/>
        <w:gridCol w:w="881"/>
        <w:gridCol w:w="893"/>
      </w:tblGrid>
      <w:tr w:rsidR="00913C78" w:rsidRPr="0097400A" w14:paraId="3E2A7055" w14:textId="77777777" w:rsidTr="00A2511C">
        <w:trPr>
          <w:jc w:val="center"/>
        </w:trPr>
        <w:tc>
          <w:tcPr>
            <w:tcW w:w="1299" w:type="pct"/>
            <w:vMerge w:val="restart"/>
            <w:shd w:val="clear" w:color="auto" w:fill="auto"/>
            <w:vAlign w:val="center"/>
          </w:tcPr>
          <w:p w14:paraId="5D12B556" w14:textId="77777777" w:rsidR="00913C78" w:rsidRPr="0097400A" w:rsidRDefault="00913C78" w:rsidP="0097400A">
            <w:pPr>
              <w:pStyle w:val="ae"/>
              <w:rPr>
                <w:b w:val="0"/>
                <w:bCs/>
              </w:rPr>
            </w:pPr>
            <w:r w:rsidRPr="0097400A">
              <w:rPr>
                <w:rFonts w:hint="eastAsia"/>
                <w:b w:val="0"/>
                <w:bCs/>
              </w:rPr>
              <w:t>构造</w:t>
            </w:r>
          </w:p>
        </w:tc>
        <w:tc>
          <w:tcPr>
            <w:tcW w:w="2838" w:type="pct"/>
            <w:gridSpan w:val="5"/>
            <w:shd w:val="clear" w:color="auto" w:fill="auto"/>
            <w:vAlign w:val="center"/>
          </w:tcPr>
          <w:p w14:paraId="31C39A8E" w14:textId="77777777" w:rsidR="00913C78" w:rsidRPr="0097400A" w:rsidRDefault="00913C78" w:rsidP="0097400A">
            <w:pPr>
              <w:pStyle w:val="ae"/>
              <w:rPr>
                <w:b w:val="0"/>
                <w:bCs/>
              </w:rPr>
            </w:pPr>
            <w:r w:rsidRPr="0097400A">
              <w:rPr>
                <w:rFonts w:hint="eastAsia"/>
                <w:b w:val="0"/>
                <w:bCs/>
              </w:rPr>
              <w:t>各频带的标准撞击声级</w:t>
            </w:r>
            <w:r w:rsidRPr="0097400A">
              <w:rPr>
                <w:rFonts w:hint="eastAsia"/>
                <w:b w:val="0"/>
                <w:bCs/>
              </w:rPr>
              <w:t>/</w:t>
            </w:r>
            <w:r w:rsidRPr="0097400A">
              <w:rPr>
                <w:b w:val="0"/>
                <w:bCs/>
              </w:rPr>
              <w:t>dB</w:t>
            </w:r>
          </w:p>
        </w:tc>
        <w:tc>
          <w:tcPr>
            <w:tcW w:w="863" w:type="pct"/>
            <w:vMerge w:val="restart"/>
            <w:shd w:val="clear" w:color="auto" w:fill="auto"/>
            <w:vAlign w:val="center"/>
          </w:tcPr>
          <w:p w14:paraId="380D179F" w14:textId="77777777" w:rsidR="00913C78" w:rsidRPr="0097400A" w:rsidRDefault="00913C78" w:rsidP="0097400A">
            <w:pPr>
              <w:pStyle w:val="ae"/>
              <w:rPr>
                <w:b w:val="0"/>
                <w:bCs/>
              </w:rPr>
            </w:pPr>
            <w:r w:rsidRPr="0097400A">
              <w:rPr>
                <w:rFonts w:hint="eastAsia"/>
                <w:b w:val="0"/>
                <w:bCs/>
              </w:rPr>
              <w:t>平均撞击声</w:t>
            </w:r>
          </w:p>
          <w:p w14:paraId="69500706" w14:textId="77777777" w:rsidR="00913C78" w:rsidRPr="0097400A" w:rsidRDefault="00913C78" w:rsidP="0097400A">
            <w:pPr>
              <w:pStyle w:val="ae"/>
              <w:rPr>
                <w:b w:val="0"/>
                <w:bCs/>
              </w:rPr>
            </w:pPr>
            <w:r w:rsidRPr="0097400A">
              <w:rPr>
                <w:rFonts w:hint="eastAsia"/>
                <w:b w:val="0"/>
                <w:bCs/>
              </w:rPr>
              <w:t>压级</w:t>
            </w:r>
            <w:r w:rsidRPr="0097400A">
              <w:rPr>
                <w:rFonts w:hint="eastAsia"/>
                <w:b w:val="0"/>
                <w:bCs/>
              </w:rPr>
              <w:t>/</w:t>
            </w:r>
            <w:r w:rsidRPr="0097400A">
              <w:rPr>
                <w:b w:val="0"/>
                <w:bCs/>
              </w:rPr>
              <w:t>dB</w:t>
            </w:r>
          </w:p>
        </w:tc>
      </w:tr>
      <w:tr w:rsidR="00913C78" w:rsidRPr="0097400A" w14:paraId="196B57B4" w14:textId="77777777" w:rsidTr="00A2511C">
        <w:trPr>
          <w:jc w:val="center"/>
        </w:trPr>
        <w:tc>
          <w:tcPr>
            <w:tcW w:w="1299" w:type="pct"/>
            <w:vMerge/>
            <w:shd w:val="clear" w:color="auto" w:fill="auto"/>
            <w:vAlign w:val="center"/>
          </w:tcPr>
          <w:p w14:paraId="7D245015" w14:textId="77777777" w:rsidR="00913C78" w:rsidRPr="0097400A" w:rsidRDefault="00913C78" w:rsidP="0097400A">
            <w:pPr>
              <w:pStyle w:val="ae"/>
              <w:rPr>
                <w:b w:val="0"/>
                <w:bCs/>
              </w:rPr>
            </w:pPr>
          </w:p>
        </w:tc>
        <w:tc>
          <w:tcPr>
            <w:tcW w:w="511" w:type="pct"/>
            <w:shd w:val="clear" w:color="auto" w:fill="auto"/>
            <w:vAlign w:val="center"/>
          </w:tcPr>
          <w:p w14:paraId="75212259" w14:textId="77777777" w:rsidR="00913C78" w:rsidRPr="0097400A" w:rsidRDefault="00913C78" w:rsidP="0097400A">
            <w:pPr>
              <w:pStyle w:val="ae"/>
              <w:rPr>
                <w:b w:val="0"/>
                <w:bCs/>
              </w:rPr>
            </w:pPr>
            <w:r w:rsidRPr="0097400A">
              <w:rPr>
                <w:b w:val="0"/>
                <w:bCs/>
              </w:rPr>
              <w:t>125Hz</w:t>
            </w:r>
          </w:p>
        </w:tc>
        <w:tc>
          <w:tcPr>
            <w:tcW w:w="545" w:type="pct"/>
            <w:shd w:val="clear" w:color="auto" w:fill="auto"/>
            <w:vAlign w:val="center"/>
          </w:tcPr>
          <w:p w14:paraId="132F9FC1" w14:textId="77777777" w:rsidR="00913C78" w:rsidRPr="0097400A" w:rsidRDefault="00913C78" w:rsidP="0097400A">
            <w:pPr>
              <w:pStyle w:val="ae"/>
              <w:rPr>
                <w:b w:val="0"/>
                <w:bCs/>
              </w:rPr>
            </w:pPr>
            <w:r w:rsidRPr="0097400A">
              <w:rPr>
                <w:b w:val="0"/>
                <w:bCs/>
              </w:rPr>
              <w:t>250Hz</w:t>
            </w:r>
          </w:p>
        </w:tc>
        <w:tc>
          <w:tcPr>
            <w:tcW w:w="546" w:type="pct"/>
            <w:shd w:val="clear" w:color="auto" w:fill="auto"/>
            <w:vAlign w:val="center"/>
          </w:tcPr>
          <w:p w14:paraId="2510667D" w14:textId="77777777" w:rsidR="00913C78" w:rsidRPr="0097400A" w:rsidRDefault="00913C78" w:rsidP="0097400A">
            <w:pPr>
              <w:pStyle w:val="ae"/>
              <w:rPr>
                <w:b w:val="0"/>
                <w:bCs/>
              </w:rPr>
            </w:pPr>
            <w:r w:rsidRPr="0097400A">
              <w:rPr>
                <w:b w:val="0"/>
                <w:bCs/>
              </w:rPr>
              <w:t>500Hz</w:t>
            </w:r>
          </w:p>
        </w:tc>
        <w:tc>
          <w:tcPr>
            <w:tcW w:w="617" w:type="pct"/>
            <w:shd w:val="clear" w:color="auto" w:fill="auto"/>
            <w:vAlign w:val="center"/>
          </w:tcPr>
          <w:p w14:paraId="013885CE" w14:textId="77777777" w:rsidR="00913C78" w:rsidRPr="0097400A" w:rsidRDefault="00913C78" w:rsidP="0097400A">
            <w:pPr>
              <w:pStyle w:val="ae"/>
              <w:rPr>
                <w:b w:val="0"/>
                <w:bCs/>
              </w:rPr>
            </w:pPr>
            <w:r w:rsidRPr="0097400A">
              <w:rPr>
                <w:b w:val="0"/>
                <w:bCs/>
              </w:rPr>
              <w:t>1000Hz</w:t>
            </w:r>
          </w:p>
        </w:tc>
        <w:tc>
          <w:tcPr>
            <w:tcW w:w="618" w:type="pct"/>
            <w:shd w:val="clear" w:color="auto" w:fill="auto"/>
            <w:vAlign w:val="center"/>
          </w:tcPr>
          <w:p w14:paraId="7071F2BF" w14:textId="77777777" w:rsidR="00913C78" w:rsidRPr="0097400A" w:rsidRDefault="00913C78" w:rsidP="0097400A">
            <w:pPr>
              <w:pStyle w:val="ae"/>
              <w:rPr>
                <w:b w:val="0"/>
                <w:bCs/>
              </w:rPr>
            </w:pPr>
            <w:r w:rsidRPr="0097400A">
              <w:rPr>
                <w:b w:val="0"/>
                <w:bCs/>
              </w:rPr>
              <w:t>2000Hz</w:t>
            </w:r>
          </w:p>
        </w:tc>
        <w:tc>
          <w:tcPr>
            <w:tcW w:w="863" w:type="pct"/>
            <w:vMerge/>
            <w:shd w:val="clear" w:color="auto" w:fill="auto"/>
            <w:vAlign w:val="center"/>
          </w:tcPr>
          <w:p w14:paraId="5E7A6B18" w14:textId="77777777" w:rsidR="00913C78" w:rsidRPr="0097400A" w:rsidRDefault="00913C78" w:rsidP="0097400A">
            <w:pPr>
              <w:pStyle w:val="ae"/>
              <w:rPr>
                <w:b w:val="0"/>
                <w:bCs/>
              </w:rPr>
            </w:pPr>
          </w:p>
        </w:tc>
      </w:tr>
      <w:tr w:rsidR="00913C78" w:rsidRPr="0097400A" w14:paraId="7E140184" w14:textId="77777777" w:rsidTr="00A2511C">
        <w:trPr>
          <w:jc w:val="center"/>
        </w:trPr>
        <w:tc>
          <w:tcPr>
            <w:tcW w:w="1299" w:type="pct"/>
            <w:shd w:val="clear" w:color="auto" w:fill="auto"/>
            <w:vAlign w:val="center"/>
          </w:tcPr>
          <w:p w14:paraId="46106204" w14:textId="77777777" w:rsidR="00913C78" w:rsidRPr="0097400A" w:rsidRDefault="00913C78" w:rsidP="0097400A">
            <w:pPr>
              <w:pStyle w:val="ae"/>
              <w:rPr>
                <w:b w:val="0"/>
                <w:bCs/>
              </w:rPr>
            </w:pPr>
            <w:r w:rsidRPr="0097400A">
              <w:rPr>
                <w:b w:val="0"/>
                <w:bCs/>
                <w:noProof/>
              </w:rPr>
              <w:drawing>
                <wp:inline distT="0" distB="0" distL="0" distR="0" wp14:anchorId="5B588FCE" wp14:editId="6F91C0E1">
                  <wp:extent cx="1378585" cy="1280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8585" cy="1280160"/>
                          </a:xfrm>
                          <a:prstGeom prst="rect">
                            <a:avLst/>
                          </a:prstGeom>
                          <a:noFill/>
                          <a:ln>
                            <a:noFill/>
                          </a:ln>
                        </pic:spPr>
                      </pic:pic>
                    </a:graphicData>
                  </a:graphic>
                </wp:inline>
              </w:drawing>
            </w:r>
          </w:p>
        </w:tc>
        <w:tc>
          <w:tcPr>
            <w:tcW w:w="511" w:type="pct"/>
            <w:shd w:val="clear" w:color="auto" w:fill="auto"/>
            <w:vAlign w:val="center"/>
          </w:tcPr>
          <w:p w14:paraId="7D8D142F" w14:textId="77777777" w:rsidR="00913C78" w:rsidRPr="0097400A" w:rsidRDefault="00913C78" w:rsidP="0097400A">
            <w:pPr>
              <w:pStyle w:val="ae"/>
              <w:rPr>
                <w:b w:val="0"/>
                <w:bCs/>
              </w:rPr>
            </w:pPr>
            <w:r w:rsidRPr="0097400A">
              <w:rPr>
                <w:b w:val="0"/>
                <w:bCs/>
              </w:rPr>
              <w:t>70</w:t>
            </w:r>
          </w:p>
        </w:tc>
        <w:tc>
          <w:tcPr>
            <w:tcW w:w="545" w:type="pct"/>
            <w:shd w:val="clear" w:color="auto" w:fill="auto"/>
            <w:vAlign w:val="center"/>
          </w:tcPr>
          <w:p w14:paraId="284C3C06" w14:textId="77777777" w:rsidR="00913C78" w:rsidRPr="0097400A" w:rsidRDefault="00913C78" w:rsidP="0097400A">
            <w:pPr>
              <w:pStyle w:val="ae"/>
              <w:rPr>
                <w:b w:val="0"/>
                <w:bCs/>
              </w:rPr>
            </w:pPr>
            <w:r w:rsidRPr="0097400A">
              <w:rPr>
                <w:b w:val="0"/>
                <w:bCs/>
              </w:rPr>
              <w:t>73</w:t>
            </w:r>
          </w:p>
        </w:tc>
        <w:tc>
          <w:tcPr>
            <w:tcW w:w="546" w:type="pct"/>
            <w:shd w:val="clear" w:color="auto" w:fill="auto"/>
            <w:vAlign w:val="center"/>
          </w:tcPr>
          <w:p w14:paraId="0FA769DB" w14:textId="77777777" w:rsidR="00913C78" w:rsidRPr="0097400A" w:rsidRDefault="00913C78" w:rsidP="0097400A">
            <w:pPr>
              <w:pStyle w:val="ae"/>
              <w:rPr>
                <w:b w:val="0"/>
                <w:bCs/>
              </w:rPr>
            </w:pPr>
            <w:r w:rsidRPr="0097400A">
              <w:rPr>
                <w:b w:val="0"/>
                <w:bCs/>
              </w:rPr>
              <w:t>72</w:t>
            </w:r>
          </w:p>
        </w:tc>
        <w:tc>
          <w:tcPr>
            <w:tcW w:w="617" w:type="pct"/>
            <w:shd w:val="clear" w:color="auto" w:fill="auto"/>
            <w:vAlign w:val="center"/>
          </w:tcPr>
          <w:p w14:paraId="2494A876" w14:textId="77777777" w:rsidR="00913C78" w:rsidRPr="0097400A" w:rsidRDefault="00913C78" w:rsidP="0097400A">
            <w:pPr>
              <w:pStyle w:val="ae"/>
              <w:rPr>
                <w:b w:val="0"/>
                <w:bCs/>
              </w:rPr>
            </w:pPr>
            <w:r w:rsidRPr="0097400A">
              <w:rPr>
                <w:b w:val="0"/>
                <w:bCs/>
              </w:rPr>
              <w:t>71</w:t>
            </w:r>
          </w:p>
        </w:tc>
        <w:tc>
          <w:tcPr>
            <w:tcW w:w="618" w:type="pct"/>
            <w:shd w:val="clear" w:color="auto" w:fill="auto"/>
            <w:vAlign w:val="center"/>
          </w:tcPr>
          <w:p w14:paraId="760F8FA7" w14:textId="77777777" w:rsidR="00913C78" w:rsidRPr="0097400A" w:rsidRDefault="00913C78" w:rsidP="0097400A">
            <w:pPr>
              <w:pStyle w:val="ae"/>
              <w:rPr>
                <w:b w:val="0"/>
                <w:bCs/>
              </w:rPr>
            </w:pPr>
            <w:r w:rsidRPr="0097400A">
              <w:rPr>
                <w:b w:val="0"/>
                <w:bCs/>
              </w:rPr>
              <w:t>66</w:t>
            </w:r>
          </w:p>
        </w:tc>
        <w:tc>
          <w:tcPr>
            <w:tcW w:w="863" w:type="pct"/>
            <w:shd w:val="clear" w:color="auto" w:fill="auto"/>
            <w:vAlign w:val="center"/>
          </w:tcPr>
          <w:p w14:paraId="4E07033C" w14:textId="77777777" w:rsidR="00913C78" w:rsidRPr="0097400A" w:rsidRDefault="00913C78" w:rsidP="0097400A">
            <w:pPr>
              <w:pStyle w:val="ae"/>
              <w:rPr>
                <w:b w:val="0"/>
                <w:bCs/>
              </w:rPr>
            </w:pPr>
            <w:r w:rsidRPr="0097400A">
              <w:rPr>
                <w:b w:val="0"/>
                <w:bCs/>
              </w:rPr>
              <w:t>67</w:t>
            </w:r>
          </w:p>
        </w:tc>
      </w:tr>
    </w:tbl>
    <w:p w14:paraId="608B144B" w14:textId="77777777" w:rsidR="00913C78" w:rsidRPr="00913C78" w:rsidRDefault="00913C78" w:rsidP="00913C78">
      <w:pPr>
        <w:ind w:firstLine="420"/>
      </w:pPr>
    </w:p>
    <w:p w14:paraId="52967E73" w14:textId="77777777" w:rsidR="00913C78" w:rsidRPr="00913C78" w:rsidRDefault="00913C78" w:rsidP="00913C78">
      <w:pPr>
        <w:ind w:firstLine="420"/>
      </w:pPr>
      <w:r w:rsidRPr="00913C78">
        <w:rPr>
          <w:rFonts w:hint="eastAsia"/>
        </w:rPr>
        <w:t>《噪声控制与建筑声学设备和材料选用手册》可查得与本项目类似的构造，</w:t>
      </w:r>
      <w:r w:rsidRPr="00913C78">
        <w:t>详见</w:t>
      </w:r>
      <w:r w:rsidRPr="00913C78">
        <w:rPr>
          <w:rFonts w:hint="eastAsia"/>
        </w:rPr>
        <w:t>附表</w:t>
      </w:r>
      <w:r w:rsidRPr="00913C78">
        <w:rPr>
          <w:rFonts w:hint="eastAsia"/>
        </w:rPr>
        <w:t>B.6.13</w:t>
      </w:r>
      <w:r w:rsidRPr="00913C78">
        <w:rPr>
          <w:rFonts w:hint="eastAsia"/>
        </w:rPr>
        <w:t>。</w:t>
      </w:r>
    </w:p>
    <w:p w14:paraId="727DEF9F" w14:textId="12D78223" w:rsidR="00913C78" w:rsidRPr="00913C78" w:rsidRDefault="00913C78" w:rsidP="0097400A">
      <w:pPr>
        <w:pStyle w:val="ae"/>
      </w:pPr>
      <w:r w:rsidRPr="00913C78">
        <w:rPr>
          <w:rFonts w:hint="eastAsia"/>
        </w:rPr>
        <w:t>附</w:t>
      </w:r>
      <w:r w:rsidRPr="00913C78">
        <w:t>表</w:t>
      </w:r>
      <w:r w:rsidRPr="00913C78">
        <w:rPr>
          <w:rFonts w:hint="eastAsia"/>
        </w:rPr>
        <w:t xml:space="preserve">B.6.13 </w:t>
      </w:r>
      <w:r w:rsidRPr="00913C78">
        <w:t xml:space="preserve"> </w:t>
      </w:r>
      <w:r w:rsidRPr="00913C78">
        <w:rPr>
          <w:rFonts w:hint="eastAsia"/>
        </w:rPr>
        <w:t>某楼板标准撞击声级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bottom w:w="28" w:type="dxa"/>
          <w:right w:w="57" w:type="dxa"/>
        </w:tblCellMar>
        <w:tblLook w:val="04A0" w:firstRow="1" w:lastRow="0" w:firstColumn="1" w:lastColumn="0" w:noHBand="0" w:noVBand="1"/>
      </w:tblPr>
      <w:tblGrid>
        <w:gridCol w:w="3114"/>
        <w:gridCol w:w="674"/>
        <w:gridCol w:w="674"/>
        <w:gridCol w:w="674"/>
        <w:gridCol w:w="674"/>
        <w:gridCol w:w="779"/>
        <w:gridCol w:w="779"/>
        <w:gridCol w:w="1058"/>
      </w:tblGrid>
      <w:tr w:rsidR="00913C78" w:rsidRPr="0097400A" w14:paraId="32806680" w14:textId="77777777" w:rsidTr="00A2511C">
        <w:trPr>
          <w:jc w:val="center"/>
        </w:trPr>
        <w:tc>
          <w:tcPr>
            <w:tcW w:w="0" w:type="auto"/>
            <w:vMerge w:val="restart"/>
            <w:shd w:val="clear" w:color="auto" w:fill="auto"/>
            <w:vAlign w:val="center"/>
          </w:tcPr>
          <w:p w14:paraId="645E8B8A" w14:textId="77777777" w:rsidR="00913C78" w:rsidRPr="0097400A" w:rsidRDefault="00913C78" w:rsidP="0097400A">
            <w:pPr>
              <w:pStyle w:val="ae"/>
              <w:rPr>
                <w:b w:val="0"/>
                <w:bCs/>
              </w:rPr>
            </w:pPr>
            <w:r w:rsidRPr="0097400A">
              <w:rPr>
                <w:rFonts w:hint="eastAsia"/>
                <w:b w:val="0"/>
                <w:bCs/>
              </w:rPr>
              <w:t>构造</w:t>
            </w:r>
          </w:p>
        </w:tc>
        <w:tc>
          <w:tcPr>
            <w:tcW w:w="0" w:type="auto"/>
            <w:gridSpan w:val="6"/>
            <w:shd w:val="clear" w:color="auto" w:fill="auto"/>
            <w:vAlign w:val="center"/>
          </w:tcPr>
          <w:p w14:paraId="1A1C12D0" w14:textId="77777777" w:rsidR="00913C78" w:rsidRPr="0097400A" w:rsidRDefault="00913C78" w:rsidP="0097400A">
            <w:pPr>
              <w:pStyle w:val="ae"/>
              <w:rPr>
                <w:b w:val="0"/>
                <w:bCs/>
              </w:rPr>
            </w:pPr>
            <w:r w:rsidRPr="0097400A">
              <w:rPr>
                <w:rFonts w:hint="eastAsia"/>
                <w:b w:val="0"/>
                <w:bCs/>
              </w:rPr>
              <w:t>各频带的标准撞击声级</w:t>
            </w:r>
            <w:r w:rsidRPr="0097400A">
              <w:rPr>
                <w:rFonts w:hint="eastAsia"/>
                <w:b w:val="0"/>
                <w:bCs/>
              </w:rPr>
              <w:t>/</w:t>
            </w:r>
            <w:r w:rsidRPr="0097400A">
              <w:rPr>
                <w:b w:val="0"/>
                <w:bCs/>
              </w:rPr>
              <w:t>dB</w:t>
            </w:r>
          </w:p>
        </w:tc>
        <w:tc>
          <w:tcPr>
            <w:tcW w:w="0" w:type="auto"/>
            <w:vMerge w:val="restart"/>
            <w:shd w:val="clear" w:color="auto" w:fill="auto"/>
            <w:vAlign w:val="center"/>
          </w:tcPr>
          <w:p w14:paraId="420A7BB2" w14:textId="77777777" w:rsidR="00913C78" w:rsidRPr="0097400A" w:rsidRDefault="00913C78" w:rsidP="0097400A">
            <w:pPr>
              <w:pStyle w:val="ae"/>
              <w:rPr>
                <w:b w:val="0"/>
                <w:bCs/>
              </w:rPr>
            </w:pPr>
            <w:r w:rsidRPr="0097400A">
              <w:rPr>
                <w:rFonts w:hint="eastAsia"/>
                <w:b w:val="0"/>
                <w:bCs/>
              </w:rPr>
              <w:t>平均撞击声</w:t>
            </w:r>
          </w:p>
          <w:p w14:paraId="2738361B" w14:textId="77777777" w:rsidR="00913C78" w:rsidRPr="0097400A" w:rsidRDefault="00913C78" w:rsidP="0097400A">
            <w:pPr>
              <w:pStyle w:val="ae"/>
              <w:rPr>
                <w:b w:val="0"/>
                <w:bCs/>
              </w:rPr>
            </w:pPr>
            <w:r w:rsidRPr="0097400A">
              <w:rPr>
                <w:rFonts w:hint="eastAsia"/>
                <w:b w:val="0"/>
                <w:bCs/>
              </w:rPr>
              <w:t>压级</w:t>
            </w:r>
            <w:r w:rsidRPr="0097400A">
              <w:rPr>
                <w:rFonts w:hint="eastAsia"/>
                <w:b w:val="0"/>
                <w:bCs/>
              </w:rPr>
              <w:t>/</w:t>
            </w:r>
            <w:r w:rsidRPr="0097400A">
              <w:rPr>
                <w:b w:val="0"/>
                <w:bCs/>
              </w:rPr>
              <w:t>dB</w:t>
            </w:r>
          </w:p>
        </w:tc>
      </w:tr>
      <w:tr w:rsidR="00913C78" w:rsidRPr="0097400A" w14:paraId="4E8BDB14" w14:textId="77777777" w:rsidTr="00A2511C">
        <w:trPr>
          <w:jc w:val="center"/>
        </w:trPr>
        <w:tc>
          <w:tcPr>
            <w:tcW w:w="0" w:type="auto"/>
            <w:vMerge/>
            <w:shd w:val="clear" w:color="auto" w:fill="auto"/>
            <w:vAlign w:val="center"/>
          </w:tcPr>
          <w:p w14:paraId="02E91B4A" w14:textId="77777777" w:rsidR="00913C78" w:rsidRPr="0097400A" w:rsidRDefault="00913C78" w:rsidP="0097400A">
            <w:pPr>
              <w:pStyle w:val="ae"/>
              <w:rPr>
                <w:b w:val="0"/>
                <w:bCs/>
              </w:rPr>
            </w:pPr>
          </w:p>
        </w:tc>
        <w:tc>
          <w:tcPr>
            <w:tcW w:w="0" w:type="auto"/>
            <w:shd w:val="clear" w:color="auto" w:fill="auto"/>
            <w:vAlign w:val="center"/>
          </w:tcPr>
          <w:p w14:paraId="43C890BE" w14:textId="77777777" w:rsidR="00913C78" w:rsidRPr="0097400A" w:rsidRDefault="00913C78" w:rsidP="0097400A">
            <w:pPr>
              <w:pStyle w:val="ae"/>
              <w:rPr>
                <w:b w:val="0"/>
                <w:bCs/>
              </w:rPr>
            </w:pPr>
            <w:r w:rsidRPr="0097400A">
              <w:rPr>
                <w:b w:val="0"/>
                <w:bCs/>
              </w:rPr>
              <w:t>100Hz</w:t>
            </w:r>
          </w:p>
        </w:tc>
        <w:tc>
          <w:tcPr>
            <w:tcW w:w="0" w:type="auto"/>
            <w:shd w:val="clear" w:color="auto" w:fill="auto"/>
            <w:vAlign w:val="center"/>
          </w:tcPr>
          <w:p w14:paraId="00659EF9" w14:textId="77777777" w:rsidR="00913C78" w:rsidRPr="0097400A" w:rsidRDefault="00913C78" w:rsidP="0097400A">
            <w:pPr>
              <w:pStyle w:val="ae"/>
              <w:rPr>
                <w:b w:val="0"/>
                <w:bCs/>
              </w:rPr>
            </w:pPr>
            <w:r w:rsidRPr="0097400A">
              <w:rPr>
                <w:b w:val="0"/>
                <w:bCs/>
              </w:rPr>
              <w:t>200Hz</w:t>
            </w:r>
          </w:p>
        </w:tc>
        <w:tc>
          <w:tcPr>
            <w:tcW w:w="0" w:type="auto"/>
            <w:shd w:val="clear" w:color="auto" w:fill="auto"/>
            <w:vAlign w:val="center"/>
          </w:tcPr>
          <w:p w14:paraId="559067AF" w14:textId="77777777" w:rsidR="00913C78" w:rsidRPr="0097400A" w:rsidRDefault="00913C78" w:rsidP="0097400A">
            <w:pPr>
              <w:pStyle w:val="ae"/>
              <w:rPr>
                <w:b w:val="0"/>
                <w:bCs/>
              </w:rPr>
            </w:pPr>
            <w:r w:rsidRPr="0097400A">
              <w:rPr>
                <w:b w:val="0"/>
                <w:bCs/>
              </w:rPr>
              <w:t>400Hz</w:t>
            </w:r>
          </w:p>
        </w:tc>
        <w:tc>
          <w:tcPr>
            <w:tcW w:w="0" w:type="auto"/>
            <w:shd w:val="clear" w:color="auto" w:fill="auto"/>
            <w:vAlign w:val="center"/>
          </w:tcPr>
          <w:p w14:paraId="1FE68B61" w14:textId="77777777" w:rsidR="00913C78" w:rsidRPr="0097400A" w:rsidRDefault="00913C78" w:rsidP="0097400A">
            <w:pPr>
              <w:pStyle w:val="ae"/>
              <w:rPr>
                <w:b w:val="0"/>
                <w:bCs/>
              </w:rPr>
            </w:pPr>
            <w:r w:rsidRPr="0097400A">
              <w:rPr>
                <w:b w:val="0"/>
                <w:bCs/>
              </w:rPr>
              <w:t>800Hz</w:t>
            </w:r>
          </w:p>
        </w:tc>
        <w:tc>
          <w:tcPr>
            <w:tcW w:w="0" w:type="auto"/>
            <w:shd w:val="clear" w:color="auto" w:fill="auto"/>
            <w:vAlign w:val="center"/>
          </w:tcPr>
          <w:p w14:paraId="6A7DD231" w14:textId="77777777" w:rsidR="00913C78" w:rsidRPr="0097400A" w:rsidRDefault="00913C78" w:rsidP="0097400A">
            <w:pPr>
              <w:pStyle w:val="ae"/>
              <w:rPr>
                <w:b w:val="0"/>
                <w:bCs/>
              </w:rPr>
            </w:pPr>
            <w:r w:rsidRPr="0097400A">
              <w:rPr>
                <w:b w:val="0"/>
                <w:bCs/>
              </w:rPr>
              <w:t>1600Hz</w:t>
            </w:r>
          </w:p>
        </w:tc>
        <w:tc>
          <w:tcPr>
            <w:tcW w:w="0" w:type="auto"/>
            <w:shd w:val="clear" w:color="auto" w:fill="auto"/>
            <w:vAlign w:val="center"/>
          </w:tcPr>
          <w:p w14:paraId="77F5865A" w14:textId="77777777" w:rsidR="00913C78" w:rsidRPr="0097400A" w:rsidRDefault="00913C78" w:rsidP="0097400A">
            <w:pPr>
              <w:pStyle w:val="ae"/>
              <w:rPr>
                <w:b w:val="0"/>
                <w:bCs/>
              </w:rPr>
            </w:pPr>
            <w:r w:rsidRPr="0097400A">
              <w:rPr>
                <w:b w:val="0"/>
                <w:bCs/>
              </w:rPr>
              <w:t>3200Hz</w:t>
            </w:r>
          </w:p>
        </w:tc>
        <w:tc>
          <w:tcPr>
            <w:tcW w:w="0" w:type="auto"/>
            <w:vMerge/>
            <w:shd w:val="clear" w:color="auto" w:fill="auto"/>
            <w:vAlign w:val="center"/>
          </w:tcPr>
          <w:p w14:paraId="213021C2" w14:textId="77777777" w:rsidR="00913C78" w:rsidRPr="0097400A" w:rsidRDefault="00913C78" w:rsidP="0097400A">
            <w:pPr>
              <w:pStyle w:val="ae"/>
              <w:rPr>
                <w:b w:val="0"/>
                <w:bCs/>
              </w:rPr>
            </w:pPr>
          </w:p>
        </w:tc>
      </w:tr>
      <w:tr w:rsidR="00913C78" w:rsidRPr="0097400A" w14:paraId="0A1656A5" w14:textId="77777777" w:rsidTr="00A2511C">
        <w:trPr>
          <w:jc w:val="center"/>
        </w:trPr>
        <w:tc>
          <w:tcPr>
            <w:tcW w:w="0" w:type="auto"/>
            <w:shd w:val="clear" w:color="auto" w:fill="auto"/>
            <w:vAlign w:val="center"/>
          </w:tcPr>
          <w:p w14:paraId="666072AB" w14:textId="77777777" w:rsidR="00913C78" w:rsidRPr="0097400A" w:rsidRDefault="00913C78" w:rsidP="0097400A">
            <w:pPr>
              <w:pStyle w:val="ae"/>
              <w:rPr>
                <w:b w:val="0"/>
                <w:bCs/>
              </w:rPr>
            </w:pPr>
            <w:r w:rsidRPr="0097400A">
              <w:rPr>
                <w:b w:val="0"/>
                <w:bCs/>
                <w:noProof/>
              </w:rPr>
              <w:drawing>
                <wp:inline distT="0" distB="0" distL="0" distR="0" wp14:anchorId="45A158EC" wp14:editId="59DD1FD6">
                  <wp:extent cx="1899285" cy="1497965"/>
                  <wp:effectExtent l="0" t="0" r="5715" b="698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899285" cy="1497965"/>
                          </a:xfrm>
                          <a:prstGeom prst="rect">
                            <a:avLst/>
                          </a:prstGeom>
                          <a:noFill/>
                          <a:ln>
                            <a:noFill/>
                          </a:ln>
                        </pic:spPr>
                      </pic:pic>
                    </a:graphicData>
                  </a:graphic>
                </wp:inline>
              </w:drawing>
            </w:r>
          </w:p>
        </w:tc>
        <w:tc>
          <w:tcPr>
            <w:tcW w:w="0" w:type="auto"/>
            <w:shd w:val="clear" w:color="auto" w:fill="auto"/>
            <w:vAlign w:val="center"/>
          </w:tcPr>
          <w:p w14:paraId="1D1BF33F" w14:textId="77777777" w:rsidR="00913C78" w:rsidRPr="0097400A" w:rsidRDefault="00913C78" w:rsidP="0097400A">
            <w:pPr>
              <w:pStyle w:val="ae"/>
              <w:rPr>
                <w:b w:val="0"/>
                <w:bCs/>
              </w:rPr>
            </w:pPr>
            <w:r w:rsidRPr="0097400A">
              <w:rPr>
                <w:b w:val="0"/>
                <w:bCs/>
              </w:rPr>
              <w:t>61</w:t>
            </w:r>
          </w:p>
        </w:tc>
        <w:tc>
          <w:tcPr>
            <w:tcW w:w="0" w:type="auto"/>
            <w:shd w:val="clear" w:color="auto" w:fill="auto"/>
            <w:vAlign w:val="center"/>
          </w:tcPr>
          <w:p w14:paraId="544F8BA8" w14:textId="77777777" w:rsidR="00913C78" w:rsidRPr="0097400A" w:rsidRDefault="00913C78" w:rsidP="0097400A">
            <w:pPr>
              <w:pStyle w:val="ae"/>
              <w:rPr>
                <w:b w:val="0"/>
                <w:bCs/>
              </w:rPr>
            </w:pPr>
            <w:r w:rsidRPr="0097400A">
              <w:rPr>
                <w:b w:val="0"/>
                <w:bCs/>
              </w:rPr>
              <w:t>57.5</w:t>
            </w:r>
          </w:p>
        </w:tc>
        <w:tc>
          <w:tcPr>
            <w:tcW w:w="0" w:type="auto"/>
            <w:shd w:val="clear" w:color="auto" w:fill="auto"/>
            <w:vAlign w:val="center"/>
          </w:tcPr>
          <w:p w14:paraId="0AAD88B9" w14:textId="77777777" w:rsidR="00913C78" w:rsidRPr="0097400A" w:rsidRDefault="00913C78" w:rsidP="0097400A">
            <w:pPr>
              <w:pStyle w:val="ae"/>
              <w:rPr>
                <w:b w:val="0"/>
                <w:bCs/>
              </w:rPr>
            </w:pPr>
            <w:r w:rsidRPr="0097400A">
              <w:rPr>
                <w:b w:val="0"/>
                <w:bCs/>
              </w:rPr>
              <w:t>58</w:t>
            </w:r>
          </w:p>
        </w:tc>
        <w:tc>
          <w:tcPr>
            <w:tcW w:w="0" w:type="auto"/>
            <w:shd w:val="clear" w:color="auto" w:fill="auto"/>
            <w:vAlign w:val="center"/>
          </w:tcPr>
          <w:p w14:paraId="3E62C8C5" w14:textId="77777777" w:rsidR="00913C78" w:rsidRPr="0097400A" w:rsidRDefault="00913C78" w:rsidP="0097400A">
            <w:pPr>
              <w:pStyle w:val="ae"/>
              <w:rPr>
                <w:b w:val="0"/>
                <w:bCs/>
              </w:rPr>
            </w:pPr>
            <w:r w:rsidRPr="0097400A">
              <w:rPr>
                <w:b w:val="0"/>
                <w:bCs/>
              </w:rPr>
              <w:t>66</w:t>
            </w:r>
          </w:p>
        </w:tc>
        <w:tc>
          <w:tcPr>
            <w:tcW w:w="0" w:type="auto"/>
            <w:shd w:val="clear" w:color="auto" w:fill="auto"/>
            <w:vAlign w:val="center"/>
          </w:tcPr>
          <w:p w14:paraId="6EBD03CE" w14:textId="77777777" w:rsidR="00913C78" w:rsidRPr="0097400A" w:rsidRDefault="00913C78" w:rsidP="0097400A">
            <w:pPr>
              <w:pStyle w:val="ae"/>
              <w:rPr>
                <w:b w:val="0"/>
                <w:bCs/>
              </w:rPr>
            </w:pPr>
            <w:r w:rsidRPr="0097400A">
              <w:rPr>
                <w:b w:val="0"/>
                <w:bCs/>
              </w:rPr>
              <w:t>56.3</w:t>
            </w:r>
          </w:p>
        </w:tc>
        <w:tc>
          <w:tcPr>
            <w:tcW w:w="0" w:type="auto"/>
            <w:shd w:val="clear" w:color="auto" w:fill="auto"/>
            <w:vAlign w:val="center"/>
          </w:tcPr>
          <w:p w14:paraId="6447F8A9" w14:textId="77777777" w:rsidR="00913C78" w:rsidRPr="0097400A" w:rsidRDefault="00913C78" w:rsidP="0097400A">
            <w:pPr>
              <w:pStyle w:val="ae"/>
              <w:rPr>
                <w:b w:val="0"/>
                <w:bCs/>
              </w:rPr>
            </w:pPr>
            <w:r w:rsidRPr="0097400A">
              <w:rPr>
                <w:b w:val="0"/>
                <w:bCs/>
              </w:rPr>
              <w:t>55</w:t>
            </w:r>
          </w:p>
        </w:tc>
        <w:tc>
          <w:tcPr>
            <w:tcW w:w="0" w:type="auto"/>
            <w:shd w:val="clear" w:color="auto" w:fill="auto"/>
            <w:vAlign w:val="center"/>
          </w:tcPr>
          <w:p w14:paraId="381B4AEE" w14:textId="77777777" w:rsidR="00913C78" w:rsidRPr="0097400A" w:rsidRDefault="00913C78" w:rsidP="0097400A">
            <w:pPr>
              <w:pStyle w:val="ae"/>
              <w:rPr>
                <w:b w:val="0"/>
                <w:bCs/>
              </w:rPr>
            </w:pPr>
            <w:r w:rsidRPr="0097400A">
              <w:rPr>
                <w:b w:val="0"/>
                <w:bCs/>
              </w:rPr>
              <w:t>59</w:t>
            </w:r>
          </w:p>
        </w:tc>
      </w:tr>
    </w:tbl>
    <w:p w14:paraId="1606A4AD" w14:textId="77777777" w:rsidR="00913C78" w:rsidRPr="00913C78" w:rsidRDefault="00913C78" w:rsidP="00913C78">
      <w:pPr>
        <w:ind w:firstLine="420"/>
      </w:pPr>
    </w:p>
    <w:p w14:paraId="17E8452F" w14:textId="77777777" w:rsidR="00913C78" w:rsidRPr="00913C78" w:rsidRDefault="00913C78" w:rsidP="00913C78">
      <w:pPr>
        <w:ind w:firstLine="420"/>
      </w:pPr>
      <w:r w:rsidRPr="00913C78">
        <w:rPr>
          <w:rFonts w:hint="eastAsia"/>
        </w:rPr>
        <w:t>由此</w:t>
      </w:r>
      <w:r w:rsidRPr="00913C78">
        <w:t>，</w:t>
      </w:r>
      <w:r w:rsidRPr="00913C78">
        <w:rPr>
          <w:rFonts w:hint="eastAsia"/>
        </w:rPr>
        <w:t>可以根据</w:t>
      </w:r>
      <w:r w:rsidRPr="00913C78">
        <w:t>项目</w:t>
      </w:r>
      <w:r w:rsidRPr="00913C78">
        <w:rPr>
          <w:rFonts w:hint="eastAsia"/>
        </w:rPr>
        <w:t>的</w:t>
      </w:r>
      <w:r w:rsidRPr="00913C78">
        <w:t>实际</w:t>
      </w:r>
      <w:r w:rsidRPr="00913C78">
        <w:rPr>
          <w:rFonts w:hint="eastAsia"/>
        </w:rPr>
        <w:t>情况估算的计权标准化撞击声声压级，据此判断楼板的计权标准化撞击声压级是否满足《民用建筑隔声设计规范》（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）要求。</w:t>
      </w:r>
    </w:p>
    <w:p w14:paraId="44B2E8BA" w14:textId="77777777" w:rsidR="00913C78" w:rsidRPr="00913C78" w:rsidRDefault="00913C78" w:rsidP="00913C78">
      <w:pPr>
        <w:ind w:firstLine="420"/>
      </w:pPr>
      <w:r w:rsidRPr="00913C78">
        <w:rPr>
          <w:rFonts w:hint="eastAsia"/>
        </w:rPr>
        <w:t>如果</w:t>
      </w:r>
      <w:r w:rsidRPr="00913C78">
        <w:t>未能找到</w:t>
      </w:r>
      <w:r w:rsidRPr="00913C78">
        <w:rPr>
          <w:rFonts w:hint="eastAsia"/>
        </w:rPr>
        <w:t>相近构造</w:t>
      </w:r>
      <w:r w:rsidRPr="00913C78">
        <w:t>的</w:t>
      </w:r>
      <w:r w:rsidRPr="00913C78">
        <w:rPr>
          <w:rFonts w:hint="eastAsia"/>
        </w:rPr>
        <w:t>平均撞击声压级参数</w:t>
      </w:r>
      <w:r w:rsidRPr="00913C78">
        <w:t>，则应根据</w:t>
      </w:r>
      <w:r w:rsidRPr="00913C78">
        <w:rPr>
          <w:rFonts w:hint="eastAsia"/>
        </w:rPr>
        <w:t>《建筑隔声评价标准》（</w:t>
      </w:r>
      <w:r w:rsidRPr="00913C78">
        <w:rPr>
          <w:rFonts w:hint="eastAsia"/>
        </w:rPr>
        <w:t xml:space="preserve">GB/T </w:t>
      </w:r>
      <w:r w:rsidRPr="00913C78">
        <w:rPr>
          <w:rFonts w:hint="eastAsia"/>
        </w:rPr>
        <w:lastRenderedPageBreak/>
        <w:t>50121</w:t>
      </w:r>
      <w:r w:rsidRPr="00913C78">
        <w:rPr>
          <w:rFonts w:hint="eastAsia"/>
        </w:rPr>
        <w:t>—</w:t>
      </w:r>
      <w:r w:rsidRPr="00913C78">
        <w:rPr>
          <w:rFonts w:hint="eastAsia"/>
        </w:rPr>
        <w:t>2005</w:t>
      </w:r>
      <w:r w:rsidRPr="00913C78">
        <w:rPr>
          <w:rFonts w:hint="eastAsia"/>
        </w:rPr>
        <w:t>）第</w:t>
      </w:r>
      <w:r w:rsidRPr="00913C78">
        <w:rPr>
          <w:rFonts w:hint="eastAsia"/>
        </w:rPr>
        <w:t>4</w:t>
      </w:r>
      <w:r w:rsidRPr="00913C78">
        <w:rPr>
          <w:rFonts w:hint="eastAsia"/>
        </w:rPr>
        <w:t>章介绍</w:t>
      </w:r>
      <w:r w:rsidRPr="00913C78">
        <w:t>的计算方法</w:t>
      </w:r>
      <w:r w:rsidRPr="00913C78">
        <w:rPr>
          <w:rFonts w:hint="eastAsia"/>
        </w:rPr>
        <w:t>对计权标准化撞击声压级</w:t>
      </w:r>
      <w:r w:rsidRPr="00913C78">
        <w:t>进行计算</w:t>
      </w:r>
      <w:r w:rsidRPr="00913C78">
        <w:rPr>
          <w:rFonts w:hint="eastAsia"/>
        </w:rPr>
        <w:t>。</w:t>
      </w:r>
    </w:p>
    <w:p w14:paraId="1E96FA72" w14:textId="77777777" w:rsidR="00913C78" w:rsidRPr="00913C78" w:rsidRDefault="00913C78" w:rsidP="00913C78">
      <w:pPr>
        <w:ind w:firstLine="420"/>
      </w:pPr>
      <w:bookmarkStart w:id="428" w:name="_Toc476401988"/>
      <w:r w:rsidRPr="00913C78">
        <w:rPr>
          <w:rFonts w:hint="eastAsia"/>
        </w:rPr>
        <w:t>◎</w:t>
      </w:r>
      <w:r w:rsidRPr="00913C78">
        <w:t xml:space="preserve"> </w:t>
      </w:r>
      <w:r w:rsidRPr="00913C78">
        <w:rPr>
          <w:rFonts w:hint="eastAsia"/>
        </w:rPr>
        <w:t>室内背景噪声级计算</w:t>
      </w:r>
      <w:bookmarkEnd w:id="428"/>
    </w:p>
    <w:p w14:paraId="211296D9" w14:textId="77777777" w:rsidR="00913C78" w:rsidRPr="00913C78" w:rsidRDefault="00913C78" w:rsidP="00913C78">
      <w:pPr>
        <w:ind w:firstLine="420"/>
      </w:pPr>
      <w:bookmarkStart w:id="429" w:name="_Toc393185585"/>
      <w:bookmarkStart w:id="430" w:name="_Toc470486465"/>
      <w:bookmarkStart w:id="431" w:name="_Toc476401989"/>
      <w:r w:rsidRPr="00913C78">
        <w:rPr>
          <w:rFonts w:hint="eastAsia"/>
        </w:rPr>
        <w:t>（</w:t>
      </w:r>
      <w:r w:rsidRPr="00913C78">
        <w:rPr>
          <w:rFonts w:hint="eastAsia"/>
        </w:rPr>
        <w:t>1</w:t>
      </w:r>
      <w:r w:rsidRPr="00913C78">
        <w:rPr>
          <w:rFonts w:hint="eastAsia"/>
        </w:rPr>
        <w:t>）室外噪声条件及分析对象</w:t>
      </w:r>
      <w:bookmarkEnd w:id="429"/>
      <w:bookmarkEnd w:id="430"/>
      <w:bookmarkEnd w:id="431"/>
    </w:p>
    <w:p w14:paraId="6131B57B" w14:textId="77777777" w:rsidR="00913C78" w:rsidRPr="00913C78" w:rsidRDefault="00913C78" w:rsidP="00913C78">
      <w:pPr>
        <w:ind w:firstLine="420"/>
      </w:pPr>
      <w:r w:rsidRPr="00913C78">
        <w:rPr>
          <w:rFonts w:hint="eastAsia"/>
        </w:rPr>
        <w:t>室外</w:t>
      </w:r>
      <w:r w:rsidRPr="00913C78">
        <w:t>噪声条件</w:t>
      </w:r>
      <w:r w:rsidRPr="00913C78">
        <w:rPr>
          <w:rFonts w:hint="eastAsia"/>
        </w:rPr>
        <w:t>可</w:t>
      </w:r>
      <w:r w:rsidRPr="00913C78">
        <w:t>参考以下</w:t>
      </w:r>
      <w:r w:rsidRPr="00913C78">
        <w:rPr>
          <w:rFonts w:hint="eastAsia"/>
        </w:rPr>
        <w:t>资料</w:t>
      </w:r>
      <w:r w:rsidRPr="00913C78">
        <w:t>：</w:t>
      </w:r>
    </w:p>
    <w:p w14:paraId="4B0C27CB" w14:textId="77777777" w:rsidR="00913C78" w:rsidRPr="00913C78" w:rsidRDefault="00913C78" w:rsidP="00913C78">
      <w:pPr>
        <w:ind w:firstLine="420"/>
      </w:pPr>
      <w:r w:rsidRPr="00913C78">
        <w:t>1</w:t>
      </w:r>
      <w:r w:rsidRPr="00913C78">
        <w:rPr>
          <w:rFonts w:hint="eastAsia"/>
        </w:rPr>
        <w:t>）</w:t>
      </w:r>
      <w:r w:rsidRPr="00913C78">
        <w:t> </w:t>
      </w:r>
      <w:r w:rsidRPr="00913C78">
        <w:t>根据</w:t>
      </w:r>
      <w:r w:rsidRPr="00913C78">
        <w:rPr>
          <w:rFonts w:hint="eastAsia"/>
        </w:rPr>
        <w:t>项目《室外声环境数值分析报告》的分析</w:t>
      </w:r>
      <w:r w:rsidRPr="00913C78">
        <w:t>结果</w:t>
      </w:r>
      <w:r w:rsidRPr="00913C78">
        <w:rPr>
          <w:rFonts w:hint="eastAsia"/>
        </w:rPr>
        <w:t>作为室外</w:t>
      </w:r>
      <w:r w:rsidRPr="00913C78">
        <w:t>噪声的</w:t>
      </w:r>
      <w:r w:rsidRPr="00913C78">
        <w:rPr>
          <w:rFonts w:hint="eastAsia"/>
        </w:rPr>
        <w:t>基础</w:t>
      </w:r>
      <w:r w:rsidRPr="00913C78">
        <w:t>参数。</w:t>
      </w:r>
    </w:p>
    <w:p w14:paraId="2C5F771B"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根据项目所在地的</w:t>
      </w:r>
      <w:r w:rsidRPr="00913C78">
        <w:t>实际情况，分析其主要噪声源</w:t>
      </w:r>
      <w:r w:rsidRPr="00913C78">
        <w:rPr>
          <w:rFonts w:hint="eastAsia"/>
        </w:rPr>
        <w:t>。并根据项目《环境影响报告书》，节选</w:t>
      </w:r>
      <w:r w:rsidRPr="00913C78">
        <w:t>出</w:t>
      </w:r>
      <w:r w:rsidRPr="00913C78">
        <w:rPr>
          <w:rFonts w:hint="eastAsia"/>
        </w:rPr>
        <w:t>环境监测站对项目所在场地的昼夜间声环境的监测结果为室外</w:t>
      </w:r>
      <w:r w:rsidRPr="00913C78">
        <w:t>噪声的</w:t>
      </w:r>
      <w:r w:rsidRPr="00913C78">
        <w:rPr>
          <w:rFonts w:hint="eastAsia"/>
        </w:rPr>
        <w:t>基础</w:t>
      </w:r>
      <w:r w:rsidRPr="00913C78">
        <w:t>参数</w:t>
      </w:r>
      <w:r w:rsidRPr="00913C78">
        <w:rPr>
          <w:rFonts w:hint="eastAsia"/>
        </w:rPr>
        <w:t>。</w:t>
      </w:r>
    </w:p>
    <w:p w14:paraId="656910E9" w14:textId="77777777" w:rsidR="00913C78" w:rsidRPr="00913C78" w:rsidRDefault="00913C78" w:rsidP="00913C78">
      <w:pPr>
        <w:ind w:firstLine="420"/>
      </w:pPr>
      <w:r w:rsidRPr="00913C78">
        <w:rPr>
          <w:rFonts w:hint="eastAsia"/>
        </w:rPr>
        <w:t>判断项目所在地昼、夜间声环境是否满足《声环境质量标准》（</w:t>
      </w:r>
      <w:r w:rsidRPr="00913C78">
        <w:t>GB 3096</w:t>
      </w:r>
      <w:r w:rsidRPr="00913C78">
        <w:rPr>
          <w:rFonts w:hint="eastAsia"/>
        </w:rPr>
        <w:t>—</w:t>
      </w:r>
      <w:r w:rsidRPr="00913C78">
        <w:rPr>
          <w:rFonts w:hint="eastAsia"/>
        </w:rPr>
        <w:t>2008</w:t>
      </w:r>
      <w:r w:rsidRPr="00913C78">
        <w:rPr>
          <w:rFonts w:hint="eastAsia"/>
        </w:rPr>
        <w:t>）中相关区域标准。</w:t>
      </w:r>
    </w:p>
    <w:p w14:paraId="0ABAAD23" w14:textId="77777777" w:rsidR="00913C78" w:rsidRPr="00913C78" w:rsidRDefault="00913C78" w:rsidP="00913C78">
      <w:pPr>
        <w:ind w:firstLine="420"/>
      </w:pPr>
      <w:r w:rsidRPr="00913C78">
        <w:rPr>
          <w:rFonts w:hint="eastAsia"/>
        </w:rPr>
        <w:t>根据建筑的平面功能分布，选取建筑</w:t>
      </w:r>
      <w:r w:rsidRPr="00913C78">
        <w:t>的</w:t>
      </w:r>
      <w:r w:rsidRPr="00913C78">
        <w:rPr>
          <w:rFonts w:hint="eastAsia"/>
        </w:rPr>
        <w:t>最不利噪声房间。室外</w:t>
      </w:r>
      <w:r w:rsidRPr="00913C78">
        <w:t>噪声应</w:t>
      </w:r>
      <w:r w:rsidRPr="00913C78">
        <w:rPr>
          <w:rFonts w:hint="eastAsia"/>
        </w:rPr>
        <w:t>选取测试得到的最不利噪声值计算，如室外噪声</w:t>
      </w:r>
      <w:r w:rsidRPr="00913C78">
        <w:t>最不利结果为</w:t>
      </w:r>
      <w:r w:rsidRPr="00913C78">
        <w:rPr>
          <w:rFonts w:hint="eastAsia"/>
        </w:rPr>
        <w:t>64.5dB</w:t>
      </w:r>
      <w:r w:rsidRPr="00913C78">
        <w:rPr>
          <w:rFonts w:hint="eastAsia"/>
        </w:rPr>
        <w:t>（</w:t>
      </w:r>
      <w:r w:rsidRPr="00913C78">
        <w:rPr>
          <w:rFonts w:hint="eastAsia"/>
        </w:rPr>
        <w:t>A</w:t>
      </w:r>
      <w:r w:rsidRPr="00913C78">
        <w:rPr>
          <w:rFonts w:hint="eastAsia"/>
        </w:rPr>
        <w:t>）。</w:t>
      </w:r>
    </w:p>
    <w:p w14:paraId="3690E02C" w14:textId="77777777" w:rsidR="00913C78" w:rsidRPr="00913C78" w:rsidRDefault="00913C78" w:rsidP="00913C78">
      <w:pPr>
        <w:ind w:firstLine="420"/>
      </w:pPr>
      <w:bookmarkStart w:id="432" w:name="_Toc393185586"/>
      <w:bookmarkStart w:id="433" w:name="_Toc470486466"/>
      <w:bookmarkStart w:id="434" w:name="_Toc476401990"/>
      <w:r w:rsidRPr="00913C78">
        <w:rPr>
          <w:rFonts w:hint="eastAsia"/>
        </w:rPr>
        <w:t>（</w:t>
      </w:r>
      <w:r w:rsidRPr="00913C78">
        <w:rPr>
          <w:rFonts w:hint="eastAsia"/>
        </w:rPr>
        <w:t>2</w:t>
      </w:r>
      <w:r w:rsidRPr="00913C78">
        <w:rPr>
          <w:rFonts w:hint="eastAsia"/>
        </w:rPr>
        <w:t>）围护结构不同频率隔声量</w:t>
      </w:r>
      <w:bookmarkEnd w:id="432"/>
      <w:bookmarkEnd w:id="433"/>
      <w:bookmarkEnd w:id="434"/>
    </w:p>
    <w:p w14:paraId="6EF4C442" w14:textId="77777777" w:rsidR="00913C78" w:rsidRPr="00913C78" w:rsidRDefault="00913C78" w:rsidP="00913C78">
      <w:pPr>
        <w:ind w:firstLine="420"/>
      </w:pPr>
      <w:r w:rsidRPr="00913C78">
        <w:rPr>
          <w:rFonts w:hint="eastAsia"/>
        </w:rPr>
        <w:t>应</w:t>
      </w:r>
      <w:r w:rsidRPr="00913C78">
        <w:t>说明</w:t>
      </w:r>
      <w:r w:rsidRPr="00913C78">
        <w:rPr>
          <w:rFonts w:hint="eastAsia"/>
        </w:rPr>
        <w:t>最不利噪声</w:t>
      </w:r>
      <w:r w:rsidRPr="00913C78">
        <w:t>房间</w:t>
      </w:r>
      <w:r w:rsidRPr="00913C78">
        <w:rPr>
          <w:rFonts w:hint="eastAsia"/>
        </w:rPr>
        <w:t>外围护</w:t>
      </w:r>
      <w:r w:rsidRPr="00913C78">
        <w:t>结构</w:t>
      </w:r>
      <w:r w:rsidRPr="00913C78">
        <w:rPr>
          <w:rFonts w:hint="eastAsia"/>
        </w:rPr>
        <w:t>构造的</w:t>
      </w:r>
      <w:r w:rsidRPr="00913C78">
        <w:t>隔声量</w:t>
      </w:r>
      <w:r w:rsidRPr="00913C78">
        <w:rPr>
          <w:rFonts w:hint="eastAsia"/>
        </w:rPr>
        <w:t>，一般包括外</w:t>
      </w:r>
      <w:r w:rsidRPr="00913C78">
        <w:t>墙和外窗。</w:t>
      </w:r>
    </w:p>
    <w:p w14:paraId="3F1A14BC" w14:textId="77777777" w:rsidR="00913C78" w:rsidRPr="00913C78" w:rsidRDefault="00913C78" w:rsidP="00913C78">
      <w:pPr>
        <w:ind w:firstLine="420"/>
      </w:pPr>
      <w:bookmarkStart w:id="435" w:name="_Toc476401991"/>
      <w:r w:rsidRPr="00913C78">
        <w:rPr>
          <w:rFonts w:hint="eastAsia"/>
        </w:rPr>
        <w:t>（</w:t>
      </w:r>
      <w:r w:rsidRPr="00913C78">
        <w:rPr>
          <w:rFonts w:hint="eastAsia"/>
        </w:rPr>
        <w:t>3</w:t>
      </w:r>
      <w:r w:rsidRPr="00913C78">
        <w:rPr>
          <w:rFonts w:hint="eastAsia"/>
        </w:rPr>
        <w:t>）组合墙计权隔声量计算</w:t>
      </w:r>
      <w:bookmarkEnd w:id="435"/>
    </w:p>
    <w:p w14:paraId="669A3468" w14:textId="77777777" w:rsidR="00913C78" w:rsidRPr="00913C78" w:rsidRDefault="00913C78" w:rsidP="00913C78">
      <w:pPr>
        <w:ind w:firstLine="420"/>
      </w:pPr>
      <w:r w:rsidRPr="00913C78">
        <w:rPr>
          <w:rFonts w:hint="eastAsia"/>
        </w:rPr>
        <w:t>组合墙隔声</w:t>
      </w:r>
      <w:r w:rsidRPr="00913C78">
        <w:t>量计算</w:t>
      </w:r>
      <w:r w:rsidRPr="00913C78">
        <w:rPr>
          <w:rFonts w:hint="eastAsia"/>
        </w:rPr>
        <w:t>应</w:t>
      </w:r>
      <w:r w:rsidRPr="00913C78">
        <w:t>按</w:t>
      </w:r>
      <w:r w:rsidRPr="00913C78">
        <w:rPr>
          <w:rFonts w:hint="eastAsia"/>
        </w:rPr>
        <w:t>式（</w:t>
      </w:r>
      <w:r w:rsidRPr="00913C78">
        <w:rPr>
          <w:rFonts w:hint="eastAsia"/>
        </w:rPr>
        <w:t>B.6.6</w:t>
      </w:r>
      <w:r w:rsidRPr="00913C78">
        <w:rPr>
          <w:rFonts w:hint="eastAsia"/>
        </w:rPr>
        <w:t>）计算</w:t>
      </w:r>
    </w:p>
    <w:p w14:paraId="44D957E4" w14:textId="5F69B650" w:rsidR="00913C78" w:rsidRPr="00913C78" w:rsidRDefault="00913C78" w:rsidP="00A624AE">
      <w:pPr>
        <w:pStyle w:val="af8"/>
      </w:pPr>
      <w:r w:rsidRPr="00913C78">
        <w:rPr>
          <w:rFonts w:hint="eastAsia"/>
        </w:rPr>
        <w:tab/>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=10</m:t>
        </m:r>
        <m:func>
          <m:funcPr>
            <m:ctrlPr>
              <w:rPr>
                <w:rFonts w:ascii="Cambria Math" w:hAnsi="Cambria Math"/>
                <w:i/>
              </w:rPr>
            </m:ctrlPr>
          </m:funcPr>
          <m:fName>
            <m:r>
              <m:rPr>
                <m:sty m:val="p"/>
              </m:rPr>
              <w:rPr>
                <w:rFonts w:ascii="Cambria Math" w:hAnsi="Cambria Math"/>
              </w:rPr>
              <m:t>lg</m:t>
            </m:r>
          </m:fName>
          <m:e>
            <m:f>
              <m:fPr>
                <m:ctrlPr>
                  <w:rPr>
                    <w:rFonts w:ascii="Cambria Math" w:hAnsi="Cambria Math"/>
                    <w:i/>
                  </w:rPr>
                </m:ctrlPr>
              </m:fPr>
              <m:num>
                <m:r>
                  <m:rPr>
                    <m:sty m:val="p"/>
                  </m:rPr>
                  <w:rPr>
                    <w:rFonts w:ascii="Cambria Math" w:hAnsi="Cambria Math"/>
                  </w:rPr>
                  <m:t>1</m:t>
                </m:r>
              </m:num>
              <m:den>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0</m:t>
                    </m:r>
                  </m:sub>
                </m:sSub>
              </m:den>
            </m:f>
          </m:e>
        </m:func>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R</m:t>
            </m:r>
          </m:e>
          <m:sub>
            <m:r>
              <m:rPr>
                <m:sty m:val="p"/>
              </m:rPr>
              <w:rPr>
                <w:rFonts w:ascii="Cambria Math"/>
                <w:noProof/>
              </w:rPr>
              <m:t>0</m:t>
            </m:r>
          </m:sub>
        </m:sSub>
        <m:r>
          <m:rPr>
            <m:sty m:val="p"/>
          </m:rPr>
          <w:rPr>
            <w:rFonts w:ascii="Cambria Math"/>
            <w:noProof/>
          </w:rPr>
          <m:t>=10</m:t>
        </m:r>
        <m:func>
          <m:funcPr>
            <m:ctrlPr>
              <w:rPr>
                <w:rFonts w:ascii="Cambria Math" w:hAnsi="Cambria Math"/>
                <w:i/>
                <w:noProof/>
              </w:rPr>
            </m:ctrlPr>
          </m:funcPr>
          <m:fName>
            <m:r>
              <m:rPr>
                <m:sty m:val="p"/>
              </m:rPr>
              <w:rPr>
                <w:rFonts w:ascii="Cambria Math"/>
                <w:noProof/>
              </w:rPr>
              <m:t>lg</m:t>
            </m:r>
          </m:fName>
          <m:e>
            <m:f>
              <m:fPr>
                <m:ctrlPr>
                  <w:rPr>
                    <w:rFonts w:ascii="Cambria Math" w:hAnsi="Cambria Math"/>
                    <w:i/>
                    <w:noProof/>
                  </w:rPr>
                </m:ctrlPr>
              </m:fPr>
              <m:num>
                <m:r>
                  <m:rPr>
                    <m:sty m:val="p"/>
                  </m:rPr>
                  <w:rPr>
                    <w:rFonts w:ascii="Cambria Math"/>
                    <w:noProof/>
                  </w:rPr>
                  <m:t>1</m:t>
                </m:r>
              </m:num>
              <m:den>
                <m:sSub>
                  <m:sSubPr>
                    <m:ctrlPr>
                      <w:rPr>
                        <w:rFonts w:ascii="Cambria Math" w:hAnsi="Cambria Math"/>
                        <w:i/>
                        <w:noProof/>
                      </w:rPr>
                    </m:ctrlPr>
                  </m:sSubPr>
                  <m:e>
                    <m:r>
                      <m:rPr>
                        <m:sty m:val="p"/>
                      </m:rPr>
                      <w:rPr>
                        <w:rFonts w:ascii="Cambria Math"/>
                        <w:noProof/>
                      </w:rPr>
                      <m:t>τ</m:t>
                    </m:r>
                  </m:e>
                  <m:sub>
                    <m:r>
                      <m:rPr>
                        <m:sty m:val="p"/>
                      </m:rPr>
                      <w:rPr>
                        <w:rFonts w:ascii="Cambria Math"/>
                        <w:noProof/>
                      </w:rPr>
                      <m:t>0</m:t>
                    </m:r>
                  </m:sub>
                </m:sSub>
              </m:den>
            </m:f>
          </m:e>
        </m:func>
      </m:oMath>
      <w:r w:rsidRPr="00913C78">
        <w:fldChar w:fldCharType="end"/>
      </w:r>
      <w:r w:rsidRPr="00913C78">
        <w:rPr>
          <w:rFonts w:hint="eastAsia"/>
        </w:rPr>
        <w:tab/>
      </w:r>
      <w:r w:rsidRPr="00913C78">
        <w:rPr>
          <w:rFonts w:hint="eastAsia"/>
        </w:rPr>
        <w:t>（</w:t>
      </w:r>
      <w:r w:rsidRPr="00913C78">
        <w:rPr>
          <w:rFonts w:hint="eastAsia"/>
        </w:rPr>
        <w:t>B.6.6</w:t>
      </w:r>
      <w:r w:rsidRPr="00913C78">
        <w:rPr>
          <w:rFonts w:hint="eastAsia"/>
        </w:rPr>
        <w:t>）</w:t>
      </w:r>
    </w:p>
    <w:p w14:paraId="610DA50F" w14:textId="75840C47" w:rsidR="00913C78" w:rsidRPr="00913C78" w:rsidRDefault="00913C78" w:rsidP="00A624AE">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R</m:t>
            </m:r>
          </m:e>
          <m:sub>
            <m:r>
              <m:rPr>
                <m:sty m:val="p"/>
              </m:rPr>
              <w:rPr>
                <w:rFonts w:ascii="Cambria Math"/>
                <w:noProof/>
              </w:rPr>
              <m:t>0</m:t>
            </m:r>
          </m:sub>
        </m:sSub>
      </m:oMath>
      <w:r w:rsidRPr="00913C78">
        <w:fldChar w:fldCharType="end"/>
      </w:r>
      <w:r w:rsidRPr="00913C78">
        <w:t>——</w:t>
      </w:r>
      <w:r w:rsidRPr="00913C78">
        <w:rPr>
          <w:rFonts w:hint="eastAsia"/>
        </w:rPr>
        <w:t>组合墙隔声</w:t>
      </w:r>
      <w:r w:rsidRPr="00913C78">
        <w:t>量</w:t>
      </w:r>
      <w:r w:rsidRPr="00913C78">
        <w:rPr>
          <w:rFonts w:hint="eastAsia"/>
        </w:rPr>
        <w:t>；</w:t>
      </w:r>
    </w:p>
    <w:p w14:paraId="63822B7B" w14:textId="65D7EB3D" w:rsidR="00913C78" w:rsidRPr="00913C78" w:rsidRDefault="00913C78" w:rsidP="00A624AE">
      <w:pPr>
        <w:ind w:leftChars="337" w:left="708" w:firstLine="42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0</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τ</m:t>
            </m:r>
          </m:e>
          <m:sub>
            <m:r>
              <m:rPr>
                <m:sty m:val="p"/>
              </m:rPr>
              <w:rPr>
                <w:rFonts w:ascii="Cambria Math"/>
                <w:noProof/>
              </w:rPr>
              <m:t>0</m:t>
            </m:r>
          </m:sub>
        </m:sSub>
      </m:oMath>
      <w:r w:rsidRPr="00913C78">
        <w:fldChar w:fldCharType="end"/>
      </w:r>
      <w:r w:rsidRPr="00913C78">
        <w:t>——</w:t>
      </w:r>
      <w:r w:rsidRPr="00913C78">
        <w:rPr>
          <w:rFonts w:hint="eastAsia"/>
        </w:rPr>
        <w:t>组合后的</w:t>
      </w:r>
      <w:r w:rsidRPr="00913C78">
        <w:t>等效透射系数</w:t>
      </w:r>
      <w:r w:rsidRPr="00913C78">
        <w:rPr>
          <w:rFonts w:hint="eastAsia"/>
        </w:rPr>
        <w:t>，即</w:t>
      </w:r>
    </w:p>
    <w:p w14:paraId="13CAF144" w14:textId="27686F49" w:rsidR="00913C78" w:rsidRPr="00913C78" w:rsidRDefault="00913C78" w:rsidP="00A624AE">
      <w:pPr>
        <w:pStyle w:val="af8"/>
      </w:pPr>
      <w:r w:rsidRPr="00913C78">
        <w:rPr>
          <w:rFonts w:hint="eastAsia"/>
        </w:rPr>
        <w:tab/>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0</m:t>
            </m:r>
          </m:sub>
        </m:sSub>
        <m:r>
          <m:rPr>
            <m:sty m:val="p"/>
          </m:rP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n</m:t>
                    </m:r>
                  </m:sub>
                </m:sSub>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n</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n</m:t>
                    </m:r>
                  </m:sub>
                </m:sSub>
              </m:e>
            </m:nary>
          </m:den>
        </m:f>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τ</m:t>
            </m:r>
          </m:e>
          <m:sub>
            <m:r>
              <m:rPr>
                <m:sty m:val="p"/>
              </m:rPr>
              <w:rPr>
                <w:rFonts w:ascii="Cambria Math"/>
                <w:noProof/>
              </w:rPr>
              <m:t>0</m:t>
            </m:r>
          </m:sub>
        </m:sSub>
        <m:r>
          <m:rPr>
            <m:sty m:val="p"/>
          </m:rPr>
          <w:rPr>
            <w:rFonts w:ascii="Cambria Math"/>
            <w:noProof/>
          </w:rPr>
          <m:t>=</m:t>
        </m:r>
        <m:f>
          <m:fPr>
            <m:ctrlPr>
              <w:rPr>
                <w:rFonts w:ascii="Cambria Math" w:hAnsi="Cambria Math"/>
                <w:i/>
                <w:noProof/>
              </w:rPr>
            </m:ctrlPr>
          </m:fPr>
          <m:num>
            <m:nary>
              <m:naryPr>
                <m:chr m:val="∑"/>
                <m:subHide m:val="1"/>
                <m:supHide m:val="1"/>
                <m:ctrlPr>
                  <w:rPr>
                    <w:rFonts w:ascii="Cambria Math" w:hAnsi="Cambria Math"/>
                    <w:i/>
                    <w:noProof/>
                  </w:rPr>
                </m:ctrlPr>
              </m:naryPr>
              <m:sub/>
              <m:sup/>
              <m:e>
                <m:sSub>
                  <m:sSubPr>
                    <m:ctrlPr>
                      <w:rPr>
                        <w:rFonts w:ascii="Cambria Math" w:hAnsi="Cambria Math"/>
                        <w:i/>
                        <w:noProof/>
                      </w:rPr>
                    </m:ctrlPr>
                  </m:sSubPr>
                  <m:e>
                    <m:r>
                      <m:rPr>
                        <m:sty m:val="p"/>
                      </m:rPr>
                      <w:rPr>
                        <w:rFonts w:ascii="Cambria Math"/>
                        <w:noProof/>
                      </w:rPr>
                      <m:t>τ</m:t>
                    </m:r>
                  </m:e>
                  <m:sub>
                    <m:r>
                      <m:rPr>
                        <m:sty m:val="p"/>
                      </m:rPr>
                      <w:rPr>
                        <w:rFonts w:ascii="Cambria Math"/>
                        <w:noProof/>
                      </w:rPr>
                      <m:t>n</m:t>
                    </m:r>
                  </m:sub>
                </m:sSub>
                <m:sSub>
                  <m:sSubPr>
                    <m:ctrlPr>
                      <w:rPr>
                        <w:rFonts w:ascii="Cambria Math" w:hAnsi="Cambria Math"/>
                        <w:i/>
                        <w:noProof/>
                      </w:rPr>
                    </m:ctrlPr>
                  </m:sSubPr>
                  <m:e>
                    <m:r>
                      <m:rPr>
                        <m:sty m:val="p"/>
                      </m:rPr>
                      <w:rPr>
                        <w:rFonts w:ascii="Cambria Math"/>
                        <w:noProof/>
                      </w:rPr>
                      <m:t>S</m:t>
                    </m:r>
                  </m:e>
                  <m:sub>
                    <m:r>
                      <m:rPr>
                        <m:sty m:val="p"/>
                      </m:rPr>
                      <w:rPr>
                        <w:rFonts w:ascii="Cambria Math"/>
                        <w:noProof/>
                      </w:rPr>
                      <m:t>n</m:t>
                    </m:r>
                  </m:sub>
                </m:sSub>
              </m:e>
            </m:nary>
          </m:num>
          <m:den>
            <m:nary>
              <m:naryPr>
                <m:chr m:val="∑"/>
                <m:subHide m:val="1"/>
                <m:supHide m:val="1"/>
                <m:ctrlPr>
                  <w:rPr>
                    <w:rFonts w:ascii="Cambria Math" w:hAnsi="Cambria Math"/>
                    <w:i/>
                    <w:noProof/>
                  </w:rPr>
                </m:ctrlPr>
              </m:naryPr>
              <m:sub/>
              <m:sup/>
              <m:e>
                <m:sSub>
                  <m:sSubPr>
                    <m:ctrlPr>
                      <w:rPr>
                        <w:rFonts w:ascii="Cambria Math" w:hAnsi="Cambria Math"/>
                        <w:i/>
                        <w:noProof/>
                      </w:rPr>
                    </m:ctrlPr>
                  </m:sSubPr>
                  <m:e>
                    <m:r>
                      <m:rPr>
                        <m:sty m:val="p"/>
                      </m:rPr>
                      <w:rPr>
                        <w:rFonts w:ascii="Cambria Math"/>
                        <w:noProof/>
                      </w:rPr>
                      <m:t>S</m:t>
                    </m:r>
                  </m:e>
                  <m:sub>
                    <m:r>
                      <m:rPr>
                        <m:sty m:val="p"/>
                      </m:rPr>
                      <w:rPr>
                        <w:rFonts w:ascii="Cambria Math"/>
                        <w:noProof/>
                      </w:rPr>
                      <m:t>n</m:t>
                    </m:r>
                  </m:sub>
                </m:sSub>
              </m:e>
            </m:nary>
          </m:den>
        </m:f>
      </m:oMath>
      <w:r w:rsidRPr="00913C78">
        <w:fldChar w:fldCharType="end"/>
      </w:r>
      <w:r w:rsidRPr="00913C78">
        <w:t xml:space="preserve">   </w:t>
      </w:r>
      <w:r w:rsidRPr="00913C78">
        <w:rPr>
          <w:rFonts w:hint="eastAsia"/>
        </w:rPr>
        <w:tab/>
      </w:r>
      <w:r w:rsidRPr="00913C78">
        <w:rPr>
          <w:rFonts w:hint="eastAsia"/>
        </w:rPr>
        <w:t>（</w:t>
      </w:r>
      <w:r w:rsidRPr="00913C78">
        <w:rPr>
          <w:rFonts w:hint="eastAsia"/>
        </w:rPr>
        <w:t>B.6.7</w:t>
      </w:r>
      <w:r w:rsidRPr="00913C78">
        <w:rPr>
          <w:rFonts w:hint="eastAsia"/>
        </w:rPr>
        <w:t>）</w:t>
      </w:r>
    </w:p>
    <w:p w14:paraId="6B968089" w14:textId="518B7F32" w:rsidR="00913C78" w:rsidRPr="00913C78" w:rsidRDefault="00913C78" w:rsidP="00A624AE">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τ</m:t>
            </m:r>
          </m:e>
          <m:sub>
            <m:r>
              <m:rPr>
                <m:sty m:val="p"/>
              </m:rPr>
              <w:rPr>
                <w:rFonts w:ascii="Cambria Math" w:hAnsi="Cambria Math"/>
              </w:rPr>
              <m:t>n</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τ</m:t>
            </m:r>
          </m:e>
          <m:sub>
            <m:r>
              <m:rPr>
                <m:sty m:val="p"/>
              </m:rPr>
              <w:rPr>
                <w:rFonts w:ascii="Cambria Math"/>
                <w:noProof/>
              </w:rPr>
              <m:t>n</m:t>
            </m:r>
          </m:sub>
        </m:sSub>
      </m:oMath>
      <w:r w:rsidRPr="00913C78">
        <w:fldChar w:fldCharType="end"/>
      </w:r>
      <w:r w:rsidRPr="00913C78">
        <w:t>——</w:t>
      </w:r>
      <w:r w:rsidRPr="00913C78">
        <w:rPr>
          <w:rFonts w:hint="eastAsia"/>
        </w:rPr>
        <w:t>各构件的</w:t>
      </w:r>
      <w:r w:rsidRPr="00913C78">
        <w:t>透射系数，</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τ</m:t>
            </m:r>
          </m:e>
          <m:sub>
            <m:r>
              <m:rPr>
                <m:sty m:val="p"/>
              </m:rPr>
              <w:rPr>
                <w:rFonts w:ascii="Cambria Math" w:hAnsi="Cambria Math"/>
              </w:rPr>
              <m:t>n</m:t>
            </m:r>
          </m:sub>
        </m:sSub>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m:t>
            </m:r>
            <m:f>
              <m:fPr>
                <m:ctrlPr>
                  <w:rPr>
                    <w:rFonts w:ascii="Cambria Math" w:hAnsi="Cambria Math"/>
                    <w:i/>
                  </w:rPr>
                </m:ctrlPr>
              </m:fPr>
              <m:num>
                <m:r>
                  <m:rPr>
                    <m:sty m:val="p"/>
                  </m:rPr>
                  <w:rPr>
                    <w:rFonts w:ascii="Cambria Math" w:hAnsi="Cambria Math"/>
                  </w:rPr>
                  <m:t>R</m:t>
                </m:r>
              </m:num>
              <m:den>
                <m:r>
                  <m:rPr>
                    <m:sty m:val="p"/>
                  </m:rPr>
                  <w:rPr>
                    <w:rFonts w:ascii="Cambria Math" w:hAnsi="Cambria Math"/>
                  </w:rPr>
                  <m:t>10</m:t>
                </m:r>
              </m:den>
            </m:f>
          </m:sup>
        </m:sSup>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τ</m:t>
            </m:r>
          </m:e>
          <m:sub>
            <m:r>
              <m:rPr>
                <m:sty m:val="p"/>
              </m:rPr>
              <w:rPr>
                <w:rFonts w:ascii="Cambria Math"/>
                <w:noProof/>
              </w:rPr>
              <m:t>n</m:t>
            </m:r>
          </m:sub>
        </m:sSub>
        <m:r>
          <m:rPr>
            <m:sty m:val="p"/>
          </m:rPr>
          <w:rPr>
            <w:rFonts w:ascii="Cambria Math"/>
            <w:noProof/>
          </w:rPr>
          <m:t>=1</m:t>
        </m:r>
        <m:sSup>
          <m:sSupPr>
            <m:ctrlPr>
              <w:rPr>
                <w:rFonts w:ascii="Cambria Math" w:hAnsi="Cambria Math"/>
                <w:i/>
                <w:noProof/>
              </w:rPr>
            </m:ctrlPr>
          </m:sSupPr>
          <m:e>
            <m:r>
              <m:rPr>
                <m:sty m:val="p"/>
              </m:rPr>
              <w:rPr>
                <w:rFonts w:ascii="Cambria Math"/>
                <w:noProof/>
              </w:rPr>
              <m:t>0</m:t>
            </m:r>
          </m:e>
          <m:sup>
            <m:r>
              <m:rPr>
                <m:sty m:val="p"/>
              </m:rPr>
              <w:rPr>
                <w:rFonts w:ascii="Cambria Math"/>
                <w:noProof/>
              </w:rPr>
              <m:t>-</m:t>
            </m:r>
            <m:f>
              <m:fPr>
                <m:ctrlPr>
                  <w:rPr>
                    <w:rFonts w:ascii="Cambria Math" w:hAnsi="Cambria Math"/>
                    <w:i/>
                    <w:noProof/>
                  </w:rPr>
                </m:ctrlPr>
              </m:fPr>
              <m:num>
                <m:r>
                  <m:rPr>
                    <m:sty m:val="p"/>
                  </m:rPr>
                  <w:rPr>
                    <w:rFonts w:ascii="Cambria Math"/>
                    <w:noProof/>
                  </w:rPr>
                  <m:t>R</m:t>
                </m:r>
              </m:num>
              <m:den>
                <m:r>
                  <m:rPr>
                    <m:sty m:val="p"/>
                  </m:rPr>
                  <w:rPr>
                    <w:rFonts w:ascii="Cambria Math"/>
                    <w:noProof/>
                  </w:rPr>
                  <m:t>10</m:t>
                </m:r>
              </m:den>
            </m:f>
          </m:sup>
        </m:sSup>
      </m:oMath>
      <w:r w:rsidRPr="00913C78">
        <w:fldChar w:fldCharType="end"/>
      </w:r>
      <w:r w:rsidRPr="00913C78">
        <w:rPr>
          <w:rFonts w:hint="eastAsia"/>
        </w:rPr>
        <w:t>；</w:t>
      </w:r>
    </w:p>
    <w:p w14:paraId="07CE08E0" w14:textId="6F9B7E26" w:rsidR="00913C78" w:rsidRPr="00913C78" w:rsidRDefault="00913C78" w:rsidP="00A624AE">
      <w:pPr>
        <w:ind w:leftChars="270" w:left="567" w:firstLine="42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S</m:t>
            </m:r>
          </m:e>
          <m:sub>
            <m:r>
              <m:rPr>
                <m:sty m:val="p"/>
              </m:rPr>
              <w:rPr>
                <w:rFonts w:ascii="Cambria Math" w:hAnsi="Cambria Math"/>
              </w:rPr>
              <m:t>n</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S</m:t>
            </m:r>
          </m:e>
          <m:sub>
            <m:r>
              <m:rPr>
                <m:sty m:val="p"/>
              </m:rPr>
              <w:rPr>
                <w:rFonts w:ascii="Cambria Math"/>
                <w:noProof/>
              </w:rPr>
              <m:t>n</m:t>
            </m:r>
          </m:sub>
        </m:sSub>
      </m:oMath>
      <w:r w:rsidRPr="00913C78">
        <w:fldChar w:fldCharType="end"/>
      </w:r>
      <w:r w:rsidRPr="00913C78">
        <w:t>——</w:t>
      </w:r>
      <w:r w:rsidRPr="00913C78">
        <w:rPr>
          <w:rFonts w:hint="eastAsia"/>
        </w:rPr>
        <w:t>各</w:t>
      </w:r>
      <w:r w:rsidRPr="00913C78">
        <w:t>构件的面积</w:t>
      </w:r>
      <w:r w:rsidRPr="00913C78">
        <w:rPr>
          <w:rFonts w:hint="eastAsia"/>
        </w:rPr>
        <w:t>。</w:t>
      </w:r>
    </w:p>
    <w:p w14:paraId="06372BA8" w14:textId="77777777" w:rsidR="00913C78" w:rsidRPr="00913C78" w:rsidRDefault="00913C78" w:rsidP="00913C78">
      <w:pPr>
        <w:ind w:firstLine="420"/>
      </w:pPr>
      <w:bookmarkStart w:id="436" w:name="_Toc393185590"/>
      <w:bookmarkStart w:id="437" w:name="_Toc470486470"/>
      <w:bookmarkStart w:id="438" w:name="_Toc476401992"/>
      <w:r w:rsidRPr="00913C78">
        <w:rPr>
          <w:rFonts w:hint="eastAsia"/>
        </w:rPr>
        <w:t>（</w:t>
      </w:r>
      <w:r w:rsidRPr="00913C78">
        <w:rPr>
          <w:rFonts w:hint="eastAsia"/>
        </w:rPr>
        <w:t>4</w:t>
      </w:r>
      <w:r w:rsidRPr="00913C78">
        <w:rPr>
          <w:rFonts w:hint="eastAsia"/>
        </w:rPr>
        <w:t>）窗墙间缝隙对隔声的影响</w:t>
      </w:r>
      <w:bookmarkEnd w:id="436"/>
      <w:bookmarkEnd w:id="437"/>
      <w:bookmarkEnd w:id="438"/>
    </w:p>
    <w:p w14:paraId="0D927AF1" w14:textId="77777777" w:rsidR="00913C78" w:rsidRPr="00913C78" w:rsidRDefault="00913C78" w:rsidP="00913C78">
      <w:pPr>
        <w:ind w:firstLine="420"/>
      </w:pPr>
      <w:r w:rsidRPr="00913C78">
        <w:rPr>
          <w:rFonts w:hint="eastAsia"/>
        </w:rPr>
        <w:t>通常窗和墙之间有</w:t>
      </w:r>
      <w:r w:rsidRPr="00913C78">
        <w:rPr>
          <w:rFonts w:hint="eastAsia"/>
        </w:rPr>
        <w:t>0.5cm</w:t>
      </w:r>
      <w:r w:rsidRPr="00F83296">
        <w:rPr>
          <w:vertAlign w:val="superscript"/>
        </w:rPr>
        <w:t>2</w:t>
      </w:r>
      <w:r w:rsidRPr="00913C78">
        <w:rPr>
          <w:rFonts w:hint="eastAsia"/>
        </w:rPr>
        <w:t>左右的缝隙，该处缝隙会用材料填实。考虑到填充材料并不具备一定的隔声性能以及最不利的原则，认为该处为窗墙间缝隙。窗墙</w:t>
      </w:r>
      <w:r w:rsidRPr="00913C78">
        <w:t>间</w:t>
      </w:r>
      <w:r w:rsidRPr="00913C78">
        <w:rPr>
          <w:rFonts w:hint="eastAsia"/>
        </w:rPr>
        <w:t>缝隙对</w:t>
      </w:r>
      <w:r w:rsidRPr="00913C78">
        <w:t>隔声量的影响</w:t>
      </w:r>
      <w:r w:rsidRPr="00913C78">
        <w:rPr>
          <w:rFonts w:hint="eastAsia"/>
        </w:rPr>
        <w:t>应</w:t>
      </w:r>
      <w:r w:rsidRPr="00913C78">
        <w:t>根据</w:t>
      </w:r>
      <w:r w:rsidRPr="00913C78">
        <w:rPr>
          <w:rFonts w:hint="eastAsia"/>
        </w:rPr>
        <w:t>附</w:t>
      </w:r>
      <w:r w:rsidRPr="00913C78">
        <w:t>图</w:t>
      </w:r>
      <w:r w:rsidRPr="00913C78">
        <w:rPr>
          <w:rFonts w:hint="eastAsia"/>
        </w:rPr>
        <w:t>B.6.2</w:t>
      </w:r>
      <w:r w:rsidRPr="00913C78">
        <w:rPr>
          <w:rFonts w:hint="eastAsia"/>
        </w:rPr>
        <w:t>计算</w:t>
      </w:r>
      <w:r w:rsidRPr="00913C78">
        <w:t>。</w:t>
      </w:r>
    </w:p>
    <w:p w14:paraId="478317CA" w14:textId="77777777" w:rsidR="00913C78" w:rsidRPr="00913C78" w:rsidRDefault="00913C78" w:rsidP="0097400A">
      <w:pPr>
        <w:ind w:firstLine="420"/>
        <w:jc w:val="center"/>
      </w:pPr>
      <w:r w:rsidRPr="00913C78">
        <w:rPr>
          <w:noProof/>
        </w:rPr>
        <w:lastRenderedPageBreak/>
        <w:drawing>
          <wp:inline distT="0" distB="0" distL="0" distR="0" wp14:anchorId="131B473C" wp14:editId="18889141">
            <wp:extent cx="3369310" cy="4487545"/>
            <wp:effectExtent l="0" t="0" r="2540" b="825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369310" cy="4487545"/>
                    </a:xfrm>
                    <a:prstGeom prst="rect">
                      <a:avLst/>
                    </a:prstGeom>
                    <a:noFill/>
                    <a:ln>
                      <a:noFill/>
                    </a:ln>
                  </pic:spPr>
                </pic:pic>
              </a:graphicData>
            </a:graphic>
          </wp:inline>
        </w:drawing>
      </w:r>
    </w:p>
    <w:p w14:paraId="0B34689E" w14:textId="77777777" w:rsidR="00913C78" w:rsidRPr="00913C78" w:rsidRDefault="00913C78" w:rsidP="0097400A">
      <w:pPr>
        <w:ind w:firstLine="420"/>
        <w:jc w:val="center"/>
      </w:pPr>
      <w:r w:rsidRPr="00913C78">
        <w:rPr>
          <w:rFonts w:hint="eastAsia"/>
        </w:rPr>
        <w:t>附</w:t>
      </w:r>
      <w:r w:rsidRPr="00913C78">
        <w:t>图</w:t>
      </w:r>
      <w:r w:rsidRPr="00913C78">
        <w:rPr>
          <w:rFonts w:hint="eastAsia"/>
        </w:rPr>
        <w:t xml:space="preserve">B.6.2 </w:t>
      </w:r>
      <w:r w:rsidRPr="00913C78">
        <w:t xml:space="preserve"> </w:t>
      </w:r>
      <w:r w:rsidRPr="00913C78">
        <w:rPr>
          <w:rFonts w:hint="eastAsia"/>
        </w:rPr>
        <w:t>缝隙</w:t>
      </w:r>
      <w:r w:rsidRPr="00913C78">
        <w:t>对</w:t>
      </w:r>
      <w:r w:rsidRPr="00913C78">
        <w:rPr>
          <w:rFonts w:hint="eastAsia"/>
        </w:rPr>
        <w:t>构件隔声</w:t>
      </w:r>
      <w:r w:rsidRPr="00913C78">
        <w:t>影响的</w:t>
      </w:r>
      <w:r w:rsidRPr="00913C78">
        <w:rPr>
          <w:rFonts w:hint="eastAsia"/>
        </w:rPr>
        <w:t>计算</w:t>
      </w:r>
      <w:r w:rsidRPr="00913C78">
        <w:t>图表</w:t>
      </w:r>
    </w:p>
    <w:p w14:paraId="749E2CC4" w14:textId="77777777" w:rsidR="00913C78" w:rsidRPr="00913C78" w:rsidRDefault="00913C78" w:rsidP="00913C78">
      <w:pPr>
        <w:ind w:firstLine="420"/>
      </w:pPr>
      <w:r w:rsidRPr="00913C78">
        <w:rPr>
          <w:rFonts w:hint="eastAsia"/>
        </w:rPr>
        <w:t>由此</w:t>
      </w:r>
      <w:r w:rsidRPr="00913C78">
        <w:t>，</w:t>
      </w:r>
      <w:r w:rsidRPr="00913C78">
        <w:rPr>
          <w:rFonts w:hint="eastAsia"/>
        </w:rPr>
        <w:t>可以</w:t>
      </w:r>
      <w:r w:rsidRPr="00913C78">
        <w:t>计算</w:t>
      </w:r>
      <w:r w:rsidRPr="00913C78">
        <w:rPr>
          <w:rFonts w:hint="eastAsia"/>
        </w:rPr>
        <w:t>窗墙组合在缝隙影响下的隔声量。</w:t>
      </w:r>
    </w:p>
    <w:p w14:paraId="73286452" w14:textId="10CB3345" w:rsidR="00913C78" w:rsidRPr="00913C78" w:rsidRDefault="00913C78" w:rsidP="0097400A">
      <w:pPr>
        <w:ind w:firstLineChars="0" w:firstLine="0"/>
      </w:pPr>
      <w:bookmarkStart w:id="439" w:name="_Toc476401993"/>
      <w:r w:rsidRPr="00913C78">
        <w:rPr>
          <w:rFonts w:hint="eastAsia"/>
        </w:rPr>
        <w:t>（</w:t>
      </w:r>
      <w:r w:rsidRPr="00913C78">
        <w:rPr>
          <w:rFonts w:hint="eastAsia"/>
        </w:rPr>
        <w:t>5</w:t>
      </w:r>
      <w:r w:rsidRPr="00913C78">
        <w:rPr>
          <w:rFonts w:hint="eastAsia"/>
        </w:rPr>
        <w:t>）室外噪声源引起的室内声压级计算</w:t>
      </w:r>
      <w:bookmarkEnd w:id="439"/>
    </w:p>
    <w:p w14:paraId="6F9D8736" w14:textId="77777777" w:rsidR="00913C78" w:rsidRPr="00913C78" w:rsidRDefault="00913C78" w:rsidP="00913C78">
      <w:pPr>
        <w:ind w:firstLine="420"/>
      </w:pPr>
      <w:r w:rsidRPr="00913C78">
        <w:rPr>
          <w:rFonts w:hint="eastAsia"/>
        </w:rPr>
        <w:t>室外</w:t>
      </w:r>
      <w:r w:rsidRPr="00913C78">
        <w:t>声源</w:t>
      </w:r>
      <w:r w:rsidRPr="00913C78">
        <w:rPr>
          <w:rFonts w:hint="eastAsia"/>
        </w:rPr>
        <w:t>可以</w:t>
      </w:r>
      <w:r w:rsidRPr="00913C78">
        <w:t>认为</w:t>
      </w:r>
      <w:r w:rsidRPr="00913C78">
        <w:rPr>
          <w:rFonts w:hint="eastAsia"/>
        </w:rPr>
        <w:t>距离</w:t>
      </w:r>
      <w:r w:rsidRPr="00913C78">
        <w:t>室内</w:t>
      </w:r>
      <w:r w:rsidRPr="00913C78">
        <w:rPr>
          <w:rFonts w:hint="eastAsia"/>
        </w:rPr>
        <w:t>有</w:t>
      </w:r>
      <w:r w:rsidRPr="00913C78">
        <w:t>一定距离，所以</w:t>
      </w:r>
      <w:r w:rsidRPr="00913C78">
        <w:rPr>
          <w:rFonts w:hint="eastAsia"/>
        </w:rPr>
        <w:t>室内</w:t>
      </w:r>
      <w:r w:rsidRPr="00913C78">
        <w:t>声压级</w:t>
      </w:r>
      <w:r w:rsidRPr="00913C78">
        <w:rPr>
          <w:rFonts w:hint="eastAsia"/>
        </w:rPr>
        <w:t>计算为</w:t>
      </w:r>
    </w:p>
    <w:p w14:paraId="09591257" w14:textId="3B43619B" w:rsidR="00913C78" w:rsidRPr="00913C78" w:rsidRDefault="00913C78" w:rsidP="00A624AE">
      <w:pPr>
        <w:pStyle w:val="af8"/>
      </w:pPr>
      <w:r w:rsidRPr="00913C78">
        <w:rPr>
          <w:rFonts w:hint="eastAsia"/>
        </w:rPr>
        <w:tab/>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m:t>
            </m:r>
          </m:sub>
        </m:sSub>
        <m:r>
          <m:rPr>
            <m:sty m:val="p"/>
          </m:rPr>
          <w:rPr>
            <w:rFonts w:ascii="Cambria Math" w:hAnsi="Cambria Math"/>
          </w:rPr>
          <m:t>=</m:t>
        </m:r>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w</m:t>
            </m:r>
          </m:sub>
        </m:sSub>
        <m:r>
          <m:rPr>
            <m:sty m:val="p"/>
          </m:rPr>
          <w:rPr>
            <w:rFonts w:ascii="Cambria Math" w:hAnsi="Cambria Math"/>
          </w:rPr>
          <m:t>+10</m:t>
        </m:r>
        <m:func>
          <m:funcPr>
            <m:ctrlPr>
              <w:rPr>
                <w:rFonts w:ascii="Cambria Math" w:hAnsi="Cambria Math"/>
                <w:i/>
              </w:rPr>
            </m:ctrlPr>
          </m:funcPr>
          <m:fName>
            <m:r>
              <m:rPr>
                <m:sty m:val="p"/>
              </m:rPr>
              <w:rPr>
                <w:rFonts w:ascii="Cambria Math" w:hAnsi="Cambria Math"/>
              </w:rPr>
              <m:t>lg</m:t>
            </m:r>
          </m:fName>
          <m:e>
            <m:f>
              <m:fPr>
                <m:ctrlPr>
                  <w:rPr>
                    <w:rFonts w:ascii="Cambria Math" w:hAnsi="Cambria Math"/>
                    <w:i/>
                  </w:rPr>
                </m:ctrlPr>
              </m:fPr>
              <m:num>
                <m:r>
                  <m:rPr>
                    <m:sty m:val="p"/>
                  </m:rPr>
                  <w:rPr>
                    <w:rFonts w:ascii="Cambria Math" w:hAnsi="Cambria Math"/>
                  </w:rPr>
                  <m:t>4</m:t>
                </m:r>
              </m:num>
              <m:den>
                <m:r>
                  <m:rPr>
                    <m:sty m:val="p"/>
                  </m:rPr>
                  <w:rPr>
                    <w:rFonts w:ascii="Cambria Math" w:hAnsi="Cambria Math"/>
                  </w:rPr>
                  <m:t>R</m:t>
                </m:r>
              </m:den>
            </m:f>
          </m:e>
        </m:func>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m:t>
            </m:r>
          </m:sub>
        </m:sSub>
        <m:r>
          <m:rPr>
            <m:sty m:val="p"/>
          </m:rPr>
          <w:rPr>
            <w:rFonts w:ascii="Cambria Math"/>
            <w:noProof/>
          </w:rPr>
          <m:t>=</m:t>
        </m:r>
        <m:sSub>
          <m:sSubPr>
            <m:ctrlPr>
              <w:rPr>
                <w:rFonts w:ascii="Cambria Math" w:hAnsi="Cambria Math"/>
                <w:i/>
                <w:noProof/>
              </w:rPr>
            </m:ctrlPr>
          </m:sSubPr>
          <m:e>
            <m:r>
              <m:rPr>
                <m:sty m:val="p"/>
              </m:rPr>
              <w:rPr>
                <w:rFonts w:ascii="Cambria Math"/>
                <w:noProof/>
              </w:rPr>
              <m:t>L</m:t>
            </m:r>
          </m:e>
          <m:sub>
            <m:r>
              <m:rPr>
                <m:sty m:val="p"/>
              </m:rPr>
              <w:rPr>
                <w:rFonts w:ascii="Cambria Math"/>
                <w:noProof/>
              </w:rPr>
              <m:t>W</m:t>
            </m:r>
          </m:sub>
        </m:sSub>
        <m:r>
          <m:rPr>
            <m:sty m:val="p"/>
          </m:rPr>
          <w:rPr>
            <w:rFonts w:ascii="Cambria Math"/>
            <w:noProof/>
          </w:rPr>
          <m:t>+10</m:t>
        </m:r>
        <m:func>
          <m:funcPr>
            <m:ctrlPr>
              <w:rPr>
                <w:rFonts w:ascii="Cambria Math" w:hAnsi="Cambria Math"/>
                <w:i/>
                <w:noProof/>
              </w:rPr>
            </m:ctrlPr>
          </m:funcPr>
          <m:fName>
            <m:r>
              <m:rPr>
                <m:sty m:val="p"/>
              </m:rPr>
              <w:rPr>
                <w:rFonts w:ascii="Cambria Math"/>
                <w:noProof/>
              </w:rPr>
              <m:t>lg</m:t>
            </m:r>
          </m:fName>
          <m:e>
            <m:f>
              <m:fPr>
                <m:ctrlPr>
                  <w:rPr>
                    <w:rFonts w:ascii="Cambria Math" w:hAnsi="Cambria Math"/>
                    <w:i/>
                    <w:noProof/>
                  </w:rPr>
                </m:ctrlPr>
              </m:fPr>
              <m:num>
                <m:r>
                  <m:rPr>
                    <m:sty m:val="p"/>
                  </m:rPr>
                  <w:rPr>
                    <w:rFonts w:ascii="Cambria Math"/>
                    <w:noProof/>
                  </w:rPr>
                  <m:t>4</m:t>
                </m:r>
              </m:num>
              <m:den>
                <m:r>
                  <m:rPr>
                    <m:sty m:val="p"/>
                  </m:rPr>
                  <w:rPr>
                    <w:rFonts w:ascii="Cambria Math"/>
                    <w:noProof/>
                  </w:rPr>
                  <m:t>R</m:t>
                </m:r>
              </m:den>
            </m:f>
          </m:e>
        </m:func>
      </m:oMath>
      <w:r w:rsidRPr="00913C78">
        <w:fldChar w:fldCharType="end"/>
      </w:r>
      <w:r w:rsidRPr="00913C78">
        <w:t xml:space="preserve">       </w:t>
      </w:r>
      <w:r w:rsidRPr="00913C78">
        <w:rPr>
          <w:rFonts w:hint="eastAsia"/>
        </w:rPr>
        <w:tab/>
      </w:r>
      <w:r w:rsidRPr="00913C78">
        <w:rPr>
          <w:rFonts w:hint="eastAsia"/>
        </w:rPr>
        <w:t>（</w:t>
      </w:r>
      <w:r w:rsidRPr="00913C78">
        <w:rPr>
          <w:rFonts w:hint="eastAsia"/>
        </w:rPr>
        <w:t>B.6.8</w:t>
      </w:r>
      <w:r w:rsidRPr="00913C78">
        <w:rPr>
          <w:rFonts w:hint="eastAsia"/>
        </w:rPr>
        <w:t>）</w:t>
      </w:r>
    </w:p>
    <w:p w14:paraId="3921407D" w14:textId="23043D12" w:rsidR="00913C78" w:rsidRPr="00913C78" w:rsidRDefault="00913C78" w:rsidP="00A624AE">
      <w:pPr>
        <w:ind w:firstLine="420"/>
      </w:pPr>
      <w:r w:rsidRPr="00913C78">
        <w:rPr>
          <w:rFonts w:hint="eastAsia"/>
        </w:rPr>
        <w:t>式中，</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m:t>
            </m:r>
          </m:sub>
        </m:sSub>
      </m:oMath>
      <w:r w:rsidRPr="00913C78">
        <w:fldChar w:fldCharType="end"/>
      </w:r>
      <w:r w:rsidRPr="00913C78">
        <w:t>——</w:t>
      </w:r>
      <w:r w:rsidRPr="00913C78">
        <w:rPr>
          <w:rFonts w:hint="eastAsia"/>
        </w:rPr>
        <w:t>室内</w:t>
      </w:r>
      <w:r w:rsidRPr="00913C78">
        <w:t>声压级</w:t>
      </w:r>
      <w:r w:rsidRPr="00913C78">
        <w:rPr>
          <w:rFonts w:hint="eastAsia"/>
        </w:rPr>
        <w:t>，</w:t>
      </w:r>
      <w:r w:rsidRPr="00913C78">
        <w:t>dB</w:t>
      </w:r>
      <w:r w:rsidRPr="00913C78">
        <w:rPr>
          <w:rFonts w:hint="eastAsia"/>
        </w:rPr>
        <w:t>；</w:t>
      </w:r>
    </w:p>
    <w:p w14:paraId="4BB3CDAE" w14:textId="74A79322" w:rsidR="00913C78" w:rsidRPr="00913C78" w:rsidRDefault="00913C78" w:rsidP="00A624AE">
      <w:pPr>
        <w:ind w:leftChars="270" w:left="567" w:firstLine="420"/>
      </w:pP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w</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W</m:t>
            </m:r>
          </m:sub>
        </m:sSub>
      </m:oMath>
      <w:r w:rsidRPr="00913C78">
        <w:fldChar w:fldCharType="end"/>
      </w:r>
      <w:r w:rsidRPr="00913C78">
        <w:t>——</w:t>
      </w:r>
      <w:r w:rsidRPr="00913C78">
        <w:rPr>
          <w:rFonts w:hint="eastAsia"/>
        </w:rPr>
        <w:t>声源声功率级</w:t>
      </w:r>
      <w:r w:rsidRPr="00913C78">
        <w:t>，</w:t>
      </w:r>
      <w:r w:rsidRPr="00913C78">
        <w:rPr>
          <w:rFonts w:hint="eastAsia"/>
        </w:rPr>
        <w:t>d</w:t>
      </w:r>
      <w:r w:rsidRPr="00913C78">
        <w:t>B</w:t>
      </w:r>
      <w:r w:rsidRPr="00913C78">
        <w:rPr>
          <w:rFonts w:hint="eastAsia"/>
        </w:rPr>
        <w:t>；</w:t>
      </w:r>
    </w:p>
    <w:p w14:paraId="4BE676FC" w14:textId="5BC47703" w:rsidR="00913C78" w:rsidRPr="00913C78" w:rsidRDefault="00913C78" w:rsidP="00A624AE">
      <w:pPr>
        <w:ind w:leftChars="270" w:left="567" w:firstLine="420"/>
      </w:pPr>
      <w:r w:rsidRPr="00913C78">
        <w:fldChar w:fldCharType="begin"/>
      </w:r>
      <w:r w:rsidRPr="00913C78">
        <w:instrText xml:space="preserve"> QUOTE </w:instrText>
      </w:r>
      <m:oMath>
        <m:r>
          <m:rPr>
            <m:sty m:val="p"/>
          </m:rPr>
          <w:rPr>
            <w:rFonts w:ascii="Cambria Math" w:hAnsi="Cambria Math"/>
          </w:rPr>
          <m:t>R</m:t>
        </m:r>
      </m:oMath>
      <w:r w:rsidRPr="00913C78">
        <w:instrText xml:space="preserve"> </w:instrText>
      </w:r>
      <w:r w:rsidRPr="00913C78">
        <w:fldChar w:fldCharType="separate"/>
      </w:r>
      <m:oMath>
        <m:r>
          <m:rPr>
            <m:sty m:val="p"/>
          </m:rPr>
          <w:rPr>
            <w:rFonts w:ascii="Cambria Math"/>
            <w:noProof/>
          </w:rPr>
          <m:t>R</m:t>
        </m:r>
      </m:oMath>
      <w:r w:rsidRPr="00913C78">
        <w:fldChar w:fldCharType="end"/>
      </w:r>
      <w:r w:rsidRPr="00913C78">
        <w:t>——</w:t>
      </w:r>
      <w:r w:rsidRPr="00913C78">
        <w:rPr>
          <w:rFonts w:hint="eastAsia"/>
        </w:rPr>
        <w:t>房间常数，</w:t>
      </w:r>
      <w:r w:rsidRPr="00913C78">
        <w:t>按</w:t>
      </w:r>
      <w:r w:rsidRPr="00913C78">
        <w:rPr>
          <w:rFonts w:hint="eastAsia"/>
        </w:rPr>
        <w:t>式（</w:t>
      </w:r>
      <w:r w:rsidRPr="00913C78">
        <w:rPr>
          <w:rFonts w:hint="eastAsia"/>
        </w:rPr>
        <w:t>B.6.8</w:t>
      </w:r>
      <w:r w:rsidRPr="00913C78">
        <w:rPr>
          <w:rFonts w:hint="eastAsia"/>
        </w:rPr>
        <w:t>）计算：</w:t>
      </w:r>
    </w:p>
    <w:p w14:paraId="636F752A" w14:textId="1B168B14" w:rsidR="00913C78" w:rsidRPr="00913C78" w:rsidRDefault="00913C78" w:rsidP="00A624AE">
      <w:pPr>
        <w:pStyle w:val="af8"/>
      </w:pPr>
      <w:r w:rsidRPr="00913C78">
        <w:rPr>
          <w:rFonts w:hint="eastAsia"/>
        </w:rPr>
        <w:tab/>
      </w:r>
      <w:r w:rsidRPr="00913C78">
        <w:fldChar w:fldCharType="begin"/>
      </w:r>
      <w:r w:rsidRPr="00913C78">
        <w:instrText xml:space="preserve"> QUOTE </w:instrText>
      </w:r>
      <m:oMath>
        <m:r>
          <m:rPr>
            <m:sty m:val="p"/>
          </m:rPr>
          <w:rPr>
            <w:rFonts w:ascii="Cambria Math" w:hAnsi="Cambria Math"/>
          </w:rPr>
          <m:t>R=</m:t>
        </m:r>
        <m:f>
          <m:fPr>
            <m:ctrlPr>
              <w:rPr>
                <w:rFonts w:ascii="Cambria Math" w:hAnsi="Cambria Math"/>
                <w:i/>
              </w:rPr>
            </m:ctrlPr>
          </m:fPr>
          <m:num>
            <m:r>
              <m:rPr>
                <m:sty m:val="p"/>
              </m:rPr>
              <w:rPr>
                <w:rFonts w:ascii="Cambria Math" w:hAnsi="Cambria Math"/>
              </w:rPr>
              <m:t>S</m:t>
            </m:r>
            <m:acc>
              <m:accPr>
                <m:chr m:val="̅"/>
                <m:ctrlPr>
                  <w:rPr>
                    <w:rFonts w:ascii="Cambria Math" w:hAnsi="Cambria Math"/>
                    <w:i/>
                  </w:rPr>
                </m:ctrlPr>
              </m:accPr>
              <m:e>
                <m:r>
                  <m:rPr>
                    <m:sty m:val="p"/>
                  </m:rPr>
                  <w:rPr>
                    <w:rFonts w:ascii="Cambria Math" w:hAnsi="Cambria Math"/>
                  </w:rPr>
                  <m:t>α</m:t>
                </m:r>
              </m:e>
            </m:acc>
          </m:num>
          <m:den>
            <m:r>
              <m:rPr>
                <m:sty m:val="p"/>
              </m:rPr>
              <w:rPr>
                <w:rFonts w:ascii="Cambria Math" w:hAnsi="Cambria Math"/>
              </w:rPr>
              <m:t>1-</m:t>
            </m:r>
            <m:acc>
              <m:accPr>
                <m:chr m:val="̅"/>
                <m:ctrlPr>
                  <w:rPr>
                    <w:rFonts w:ascii="Cambria Math" w:hAnsi="Cambria Math"/>
                    <w:i/>
                  </w:rPr>
                </m:ctrlPr>
              </m:accPr>
              <m:e>
                <m:r>
                  <m:rPr>
                    <m:sty m:val="p"/>
                  </m:rPr>
                  <w:rPr>
                    <w:rFonts w:ascii="Cambria Math" w:hAnsi="Cambria Math"/>
                  </w:rPr>
                  <m:t>α</m:t>
                </m:r>
              </m:e>
            </m:acc>
          </m:den>
        </m:f>
      </m:oMath>
      <w:r w:rsidRPr="00913C78">
        <w:instrText xml:space="preserve"> </w:instrText>
      </w:r>
      <w:r w:rsidRPr="00913C78">
        <w:fldChar w:fldCharType="separate"/>
      </w:r>
      <m:oMath>
        <m:r>
          <m:rPr>
            <m:sty m:val="p"/>
          </m:rPr>
          <w:rPr>
            <w:rFonts w:ascii="Cambria Math"/>
            <w:noProof/>
          </w:rPr>
          <m:t>R=</m:t>
        </m:r>
        <m:f>
          <m:fPr>
            <m:ctrlPr>
              <w:rPr>
                <w:rFonts w:ascii="Cambria Math" w:hAnsi="Cambria Math"/>
                <w:i/>
                <w:noProof/>
              </w:rPr>
            </m:ctrlPr>
          </m:fPr>
          <m:num>
            <m:r>
              <m:rPr>
                <m:sty m:val="p"/>
              </m:rPr>
              <w:rPr>
                <w:rFonts w:ascii="Cambria Math"/>
                <w:noProof/>
              </w:rPr>
              <m:t>S</m:t>
            </m:r>
            <m:acc>
              <m:accPr>
                <m:chr m:val="̄"/>
                <m:ctrlPr>
                  <w:rPr>
                    <w:rFonts w:ascii="Cambria Math" w:hAnsi="Cambria Math"/>
                    <w:i/>
                    <w:noProof/>
                  </w:rPr>
                </m:ctrlPr>
              </m:accPr>
              <m:e>
                <m:r>
                  <m:rPr>
                    <m:sty m:val="p"/>
                  </m:rPr>
                  <w:rPr>
                    <w:rFonts w:ascii="Cambria Math"/>
                    <w:noProof/>
                  </w:rPr>
                  <m:t>α</m:t>
                </m:r>
              </m:e>
            </m:acc>
          </m:num>
          <m:den>
            <m:r>
              <m:rPr>
                <m:sty m:val="p"/>
              </m:rPr>
              <w:rPr>
                <w:rFonts w:ascii="Cambria Math"/>
                <w:noProof/>
              </w:rPr>
              <m:t>1-</m:t>
            </m:r>
            <m:acc>
              <m:accPr>
                <m:chr m:val="̄"/>
                <m:ctrlPr>
                  <w:rPr>
                    <w:rFonts w:ascii="Cambria Math" w:hAnsi="Cambria Math"/>
                    <w:i/>
                    <w:noProof/>
                  </w:rPr>
                </m:ctrlPr>
              </m:accPr>
              <m:e>
                <m:r>
                  <m:rPr>
                    <m:sty m:val="p"/>
                  </m:rPr>
                  <w:rPr>
                    <w:rFonts w:ascii="Cambria Math"/>
                    <w:noProof/>
                  </w:rPr>
                  <m:t>α</m:t>
                </m:r>
              </m:e>
            </m:acc>
          </m:den>
        </m:f>
      </m:oMath>
      <w:r w:rsidRPr="00913C78">
        <w:fldChar w:fldCharType="end"/>
      </w:r>
      <w:r w:rsidRPr="00913C78">
        <w:t xml:space="preserve">  </w:t>
      </w:r>
      <w:r w:rsidRPr="00913C78">
        <w:rPr>
          <w:rFonts w:hint="eastAsia"/>
        </w:rPr>
        <w:tab/>
      </w:r>
      <w:r w:rsidRPr="00913C78">
        <w:rPr>
          <w:rFonts w:hint="eastAsia"/>
        </w:rPr>
        <w:t>（</w:t>
      </w:r>
      <w:r w:rsidRPr="00913C78">
        <w:rPr>
          <w:rFonts w:hint="eastAsia"/>
        </w:rPr>
        <w:t>B.6.9</w:t>
      </w:r>
      <w:r w:rsidRPr="00913C78">
        <w:rPr>
          <w:rFonts w:hint="eastAsia"/>
        </w:rPr>
        <w:t>）</w:t>
      </w:r>
    </w:p>
    <w:p w14:paraId="45EEC15F" w14:textId="4AE241B3" w:rsidR="00913C78" w:rsidRPr="00913C78" w:rsidRDefault="00913C78" w:rsidP="00A624AE">
      <w:pPr>
        <w:ind w:firstLine="420"/>
      </w:pPr>
      <w:r w:rsidRPr="00913C78">
        <w:rPr>
          <w:rFonts w:hint="eastAsia"/>
        </w:rPr>
        <w:t>式中：</w:t>
      </w:r>
      <w:r w:rsidRPr="00913C78">
        <w:fldChar w:fldCharType="begin"/>
      </w:r>
      <w:r w:rsidRPr="00913C78">
        <w:instrText xml:space="preserve"> QUOTE </w:instrText>
      </w:r>
      <m:oMath>
        <m:r>
          <m:rPr>
            <m:sty m:val="p"/>
          </m:rPr>
          <w:rPr>
            <w:rFonts w:ascii="Cambria Math" w:hAnsi="Cambria Math"/>
          </w:rPr>
          <m:t>S</m:t>
        </m:r>
      </m:oMath>
      <w:r w:rsidRPr="00913C78">
        <w:instrText xml:space="preserve"> </w:instrText>
      </w:r>
      <w:r w:rsidRPr="00913C78">
        <w:fldChar w:fldCharType="separate"/>
      </w:r>
      <m:oMath>
        <m:r>
          <m:rPr>
            <m:sty m:val="p"/>
          </m:rPr>
          <w:rPr>
            <w:rFonts w:ascii="Cambria Math"/>
            <w:noProof/>
          </w:rPr>
          <m:t>S</m:t>
        </m:r>
      </m:oMath>
      <w:r w:rsidRPr="00913C78">
        <w:fldChar w:fldCharType="end"/>
      </w:r>
      <w:r w:rsidRPr="00913C78">
        <w:t>——</w:t>
      </w:r>
      <w:r w:rsidRPr="00913C78">
        <w:rPr>
          <w:rFonts w:hint="eastAsia"/>
        </w:rPr>
        <w:t>室内</w:t>
      </w:r>
      <w:r w:rsidRPr="00913C78">
        <w:t>总表面积</w:t>
      </w:r>
      <w:r w:rsidRPr="00913C78">
        <w:rPr>
          <w:rFonts w:hint="eastAsia"/>
        </w:rPr>
        <w:t>，</w:t>
      </w:r>
      <w:r w:rsidRPr="00913C78">
        <w:rPr>
          <w:rFonts w:hint="eastAsia"/>
        </w:rPr>
        <w:t>m</w:t>
      </w:r>
      <w:r w:rsidRPr="00913C78">
        <w:t>2</w:t>
      </w:r>
      <w:r w:rsidRPr="00913C78">
        <w:rPr>
          <w:rFonts w:hint="eastAsia"/>
        </w:rPr>
        <w:t>；</w:t>
      </w:r>
    </w:p>
    <w:p w14:paraId="737D2FAD" w14:textId="64FF5C26" w:rsidR="00913C78" w:rsidRPr="00913C78" w:rsidRDefault="00913C78" w:rsidP="00A624AE">
      <w:pPr>
        <w:ind w:leftChars="470" w:left="1617" w:hangingChars="300" w:hanging="630"/>
      </w:pPr>
      <w:r w:rsidRPr="00913C78">
        <w:fldChar w:fldCharType="begin"/>
      </w:r>
      <w:r w:rsidRPr="00913C78">
        <w:instrText xml:space="preserve"> QUOTE </w:instrText>
      </w:r>
      <m:oMath>
        <m:acc>
          <m:accPr>
            <m:chr m:val="̅"/>
            <m:ctrlPr>
              <w:rPr>
                <w:rFonts w:ascii="Cambria Math" w:hAnsi="Cambria Math"/>
                <w:i/>
              </w:rPr>
            </m:ctrlPr>
          </m:accPr>
          <m:e>
            <m:r>
              <m:rPr>
                <m:sty m:val="p"/>
              </m:rPr>
              <w:rPr>
                <w:rFonts w:ascii="Cambria Math" w:hAnsi="Cambria Math"/>
              </w:rPr>
              <m:t>α</m:t>
            </m:r>
          </m:e>
        </m:acc>
      </m:oMath>
      <w:r w:rsidRPr="00913C78">
        <w:instrText xml:space="preserve"> </w:instrText>
      </w:r>
      <w:r w:rsidRPr="00913C78">
        <w:fldChar w:fldCharType="separate"/>
      </w:r>
      <m:oMath>
        <m:acc>
          <m:accPr>
            <m:chr m:val="̄"/>
            <m:ctrlPr>
              <w:rPr>
                <w:rFonts w:ascii="Cambria Math" w:hAnsi="Cambria Math"/>
                <w:i/>
                <w:noProof/>
              </w:rPr>
            </m:ctrlPr>
          </m:accPr>
          <m:e>
            <m:r>
              <m:rPr>
                <m:sty m:val="p"/>
              </m:rPr>
              <w:rPr>
                <w:rFonts w:ascii="Cambria Math"/>
                <w:noProof/>
              </w:rPr>
              <m:t>α</m:t>
            </m:r>
          </m:e>
        </m:acc>
      </m:oMath>
      <w:r w:rsidRPr="00913C78">
        <w:fldChar w:fldCharType="end"/>
      </w:r>
      <w:r w:rsidRPr="00913C78">
        <w:t>——</w:t>
      </w:r>
      <w:r w:rsidRPr="00913C78">
        <w:rPr>
          <w:rFonts w:hint="eastAsia"/>
        </w:rPr>
        <w:t>室内平均</w:t>
      </w:r>
      <w:r w:rsidRPr="00913C78">
        <w:t>吸声系数</w:t>
      </w:r>
      <w:r w:rsidRPr="00913C78">
        <w:rPr>
          <w:rFonts w:hint="eastAsia"/>
        </w:rPr>
        <w:t>，常用</w:t>
      </w:r>
      <w:r w:rsidRPr="00913C78">
        <w:t>材料和</w:t>
      </w:r>
      <w:r w:rsidRPr="00913C78">
        <w:rPr>
          <w:rFonts w:hint="eastAsia"/>
        </w:rPr>
        <w:t>结构</w:t>
      </w:r>
      <w:r w:rsidRPr="00913C78">
        <w:t>的吸声</w:t>
      </w:r>
      <w:r w:rsidRPr="00913C78">
        <w:rPr>
          <w:rFonts w:hint="eastAsia"/>
        </w:rPr>
        <w:t>系数</w:t>
      </w:r>
      <w:r w:rsidRPr="00913C78">
        <w:t>可参考</w:t>
      </w:r>
      <w:r w:rsidRPr="00913C78">
        <w:rPr>
          <w:rFonts w:hint="eastAsia"/>
        </w:rPr>
        <w:t>《建筑</w:t>
      </w:r>
      <w:r w:rsidRPr="00913C78">
        <w:t>声学</w:t>
      </w:r>
      <w:r w:rsidRPr="00913C78">
        <w:rPr>
          <w:rFonts w:hint="eastAsia"/>
        </w:rPr>
        <w:t>设计原理》附录一。</w:t>
      </w:r>
    </w:p>
    <w:p w14:paraId="249AFBB5" w14:textId="337EFBC4" w:rsidR="00913C78" w:rsidRPr="00913C78" w:rsidRDefault="00913C78" w:rsidP="00A624AE">
      <w:pPr>
        <w:ind w:firstLine="420"/>
      </w:pPr>
      <w:r w:rsidRPr="00913C78">
        <w:rPr>
          <w:rFonts w:hint="eastAsia"/>
        </w:rPr>
        <w:t>由此</w:t>
      </w:r>
      <w:r w:rsidRPr="00913C78">
        <w:t>，可以计算出</w:t>
      </w:r>
      <w:r w:rsidRPr="00913C78">
        <w:rPr>
          <w:rFonts w:hint="eastAsia"/>
        </w:rPr>
        <w:t>由</w:t>
      </w:r>
      <w:r w:rsidRPr="00913C78">
        <w:t>室外</w:t>
      </w:r>
      <w:r w:rsidRPr="00913C78">
        <w:rPr>
          <w:rFonts w:hint="eastAsia"/>
        </w:rPr>
        <w:t>噪声源引起</w:t>
      </w:r>
      <w:r w:rsidRPr="00913C78">
        <w:t>的室内声压级</w:t>
      </w:r>
      <w:r w:rsidRPr="00913C78">
        <w:fldChar w:fldCharType="begin"/>
      </w:r>
      <w:r w:rsidRPr="00913C78">
        <w:instrText xml:space="preserve"> QUOTE </w:instrText>
      </w:r>
      <m:oMath>
        <m:sSub>
          <m:sSubPr>
            <m:ctrlPr>
              <w:rPr>
                <w:rFonts w:ascii="Cambria Math" w:hAnsi="Cambria Math"/>
                <w:i/>
              </w:rPr>
            </m:ctrlPr>
          </m:sSubPr>
          <m:e>
            <m:r>
              <m:rPr>
                <m:sty m:val="p"/>
              </m:rPr>
              <w:rPr>
                <w:rFonts w:ascii="Cambria Math" w:hAnsi="Cambria Math"/>
              </w:rPr>
              <m:t>L</m:t>
            </m:r>
          </m:e>
          <m:sub>
            <m:r>
              <m:rPr>
                <m:sty m:val="p"/>
              </m:rPr>
              <w:rPr>
                <w:rFonts w:ascii="Cambria Math" w:hAnsi="Cambria Math"/>
              </w:rPr>
              <m:t>P1</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p1</m:t>
            </m:r>
          </m:sub>
        </m:sSub>
      </m:oMath>
      <w:r w:rsidRPr="00913C78">
        <w:fldChar w:fldCharType="end"/>
      </w:r>
      <w:r w:rsidRPr="00913C78">
        <w:t>。</w:t>
      </w:r>
    </w:p>
    <w:p w14:paraId="68B70BF8" w14:textId="77777777" w:rsidR="00913C78" w:rsidRPr="00913C78" w:rsidRDefault="00913C78" w:rsidP="00913C78">
      <w:pPr>
        <w:ind w:firstLine="420"/>
      </w:pPr>
      <w:bookmarkStart w:id="440" w:name="_Toc392577153"/>
      <w:bookmarkStart w:id="441" w:name="_Toc393185591"/>
      <w:bookmarkStart w:id="442" w:name="_Toc470486471"/>
      <w:bookmarkStart w:id="443" w:name="_Toc476401994"/>
      <w:r w:rsidRPr="00913C78">
        <w:rPr>
          <w:rFonts w:hint="eastAsia"/>
        </w:rPr>
        <w:lastRenderedPageBreak/>
        <w:t>（</w:t>
      </w:r>
      <w:r w:rsidRPr="00913C78">
        <w:rPr>
          <w:rFonts w:hint="eastAsia"/>
        </w:rPr>
        <w:t>6</w:t>
      </w:r>
      <w:r w:rsidRPr="00913C78">
        <w:rPr>
          <w:rFonts w:hint="eastAsia"/>
        </w:rPr>
        <w:t>）室内空调噪声影响值</w:t>
      </w:r>
      <w:bookmarkEnd w:id="440"/>
      <w:bookmarkEnd w:id="441"/>
      <w:bookmarkEnd w:id="442"/>
      <w:bookmarkEnd w:id="443"/>
    </w:p>
    <w:p w14:paraId="5153124B" w14:textId="77777777" w:rsidR="00913C78" w:rsidRPr="00913C78" w:rsidRDefault="00913C78" w:rsidP="00913C78">
      <w:pPr>
        <w:ind w:firstLine="420"/>
      </w:pPr>
      <w:r w:rsidRPr="00913C78">
        <w:rPr>
          <w:rFonts w:hint="eastAsia"/>
        </w:rPr>
        <w:t>应说明最不利</w:t>
      </w:r>
      <w:r w:rsidRPr="00913C78">
        <w:t>噪声房间</w:t>
      </w:r>
      <w:r w:rsidRPr="00913C78">
        <w:rPr>
          <w:rFonts w:hint="eastAsia"/>
        </w:rPr>
        <w:t>的</w:t>
      </w:r>
      <w:r w:rsidRPr="00913C78">
        <w:t>风系统形式</w:t>
      </w:r>
      <w:r w:rsidRPr="00913C78">
        <w:rPr>
          <w:rFonts w:hint="eastAsia"/>
        </w:rPr>
        <w:t>，</w:t>
      </w:r>
      <w:r w:rsidRPr="00913C78">
        <w:t>给出</w:t>
      </w:r>
      <w:r w:rsidRPr="00913C78">
        <w:rPr>
          <w:rFonts w:hint="eastAsia"/>
        </w:rPr>
        <w:t>该</w:t>
      </w:r>
      <w:r w:rsidRPr="00913C78">
        <w:t>房间的空调风系统平面图，</w:t>
      </w:r>
      <w:r w:rsidRPr="00913C78">
        <w:rPr>
          <w:rFonts w:hint="eastAsia"/>
        </w:rPr>
        <w:t>如果</w:t>
      </w:r>
      <w:r w:rsidRPr="00913C78">
        <w:t>是</w:t>
      </w:r>
      <w:r w:rsidRPr="00913C78">
        <w:rPr>
          <w:rFonts w:hint="eastAsia"/>
        </w:rPr>
        <w:t>风机盘管加新风系统，还</w:t>
      </w:r>
      <w:r w:rsidRPr="00913C78">
        <w:t>应</w:t>
      </w:r>
      <w:r w:rsidRPr="00913C78">
        <w:rPr>
          <w:rFonts w:hint="eastAsia"/>
        </w:rPr>
        <w:t>列出房间风机盘管型号及噪声，如附表</w:t>
      </w:r>
      <w:r w:rsidRPr="00913C78">
        <w:t> </w:t>
      </w:r>
      <w:r w:rsidRPr="00913C78">
        <w:rPr>
          <w:rFonts w:hint="eastAsia"/>
        </w:rPr>
        <w:t>B.6.14</w:t>
      </w:r>
      <w:r w:rsidRPr="00913C78">
        <w:rPr>
          <w:rFonts w:hint="eastAsia"/>
        </w:rPr>
        <w:t>。</w:t>
      </w:r>
    </w:p>
    <w:p w14:paraId="7AF1A1FB" w14:textId="77777777" w:rsidR="00913C78" w:rsidRPr="00913C78" w:rsidRDefault="00913C78" w:rsidP="0097400A">
      <w:pPr>
        <w:pStyle w:val="ae"/>
      </w:pPr>
      <w:r w:rsidRPr="00913C78">
        <w:rPr>
          <w:rFonts w:hint="eastAsia"/>
        </w:rPr>
        <w:t>附表</w:t>
      </w:r>
      <w:r w:rsidRPr="00913C78">
        <w:rPr>
          <w:rFonts w:hint="eastAsia"/>
        </w:rPr>
        <w:t>B.6.14</w:t>
      </w:r>
      <w:r w:rsidRPr="00913C78">
        <w:t xml:space="preserve"> </w:t>
      </w:r>
      <w:r w:rsidRPr="00913C78">
        <w:rPr>
          <w:rFonts w:hint="eastAsia"/>
        </w:rPr>
        <w:t xml:space="preserve"> </w:t>
      </w:r>
      <w:r w:rsidRPr="00913C78">
        <w:rPr>
          <w:rFonts w:hint="eastAsia"/>
        </w:rPr>
        <w:t>房间风机盘管型号及噪声</w:t>
      </w: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1523"/>
        <w:gridCol w:w="1489"/>
        <w:gridCol w:w="1088"/>
        <w:gridCol w:w="1088"/>
        <w:gridCol w:w="1088"/>
        <w:gridCol w:w="1237"/>
      </w:tblGrid>
      <w:tr w:rsidR="00913C78" w:rsidRPr="0097400A" w14:paraId="7BC58671" w14:textId="77777777" w:rsidTr="00A2511C">
        <w:trPr>
          <w:trHeight w:val="528"/>
          <w:jc w:val="center"/>
        </w:trPr>
        <w:tc>
          <w:tcPr>
            <w:tcW w:w="1014" w:type="pct"/>
            <w:shd w:val="clear" w:color="auto" w:fill="auto"/>
            <w:vAlign w:val="center"/>
          </w:tcPr>
          <w:p w14:paraId="22E0191D" w14:textId="77777777" w:rsidR="00913C78" w:rsidRPr="0097400A" w:rsidRDefault="00913C78" w:rsidP="0097400A">
            <w:pPr>
              <w:pStyle w:val="ae"/>
              <w:rPr>
                <w:b w:val="0"/>
                <w:bCs/>
              </w:rPr>
            </w:pPr>
            <w:r w:rsidRPr="0097400A">
              <w:rPr>
                <w:rFonts w:hint="eastAsia"/>
                <w:b w:val="0"/>
                <w:bCs/>
              </w:rPr>
              <w:t>设备编号</w:t>
            </w:r>
          </w:p>
        </w:tc>
        <w:tc>
          <w:tcPr>
            <w:tcW w:w="991" w:type="pct"/>
            <w:shd w:val="clear" w:color="auto" w:fill="auto"/>
            <w:vAlign w:val="center"/>
          </w:tcPr>
          <w:p w14:paraId="0A303BFD" w14:textId="77777777" w:rsidR="00913C78" w:rsidRPr="0097400A" w:rsidRDefault="00913C78" w:rsidP="0097400A">
            <w:pPr>
              <w:pStyle w:val="ae"/>
              <w:rPr>
                <w:b w:val="0"/>
                <w:bCs/>
              </w:rPr>
            </w:pPr>
            <w:r w:rsidRPr="0097400A">
              <w:rPr>
                <w:rFonts w:hint="eastAsia"/>
                <w:b w:val="0"/>
                <w:bCs/>
              </w:rPr>
              <w:t>设备型号</w:t>
            </w:r>
          </w:p>
        </w:tc>
        <w:tc>
          <w:tcPr>
            <w:tcW w:w="724" w:type="pct"/>
            <w:shd w:val="clear" w:color="auto" w:fill="auto"/>
            <w:vAlign w:val="center"/>
          </w:tcPr>
          <w:p w14:paraId="777A1334" w14:textId="77777777" w:rsidR="00913C78" w:rsidRPr="0097400A" w:rsidRDefault="00913C78" w:rsidP="0097400A">
            <w:pPr>
              <w:pStyle w:val="ae"/>
              <w:rPr>
                <w:b w:val="0"/>
                <w:bCs/>
              </w:rPr>
            </w:pPr>
            <w:r w:rsidRPr="0097400A">
              <w:rPr>
                <w:rFonts w:hint="eastAsia"/>
                <w:b w:val="0"/>
                <w:bCs/>
              </w:rPr>
              <w:t>风量</w:t>
            </w:r>
          </w:p>
          <w:p w14:paraId="213F97DF" w14:textId="77777777" w:rsidR="00913C78" w:rsidRPr="0097400A" w:rsidRDefault="00913C78" w:rsidP="0097400A">
            <w:pPr>
              <w:pStyle w:val="ae"/>
              <w:rPr>
                <w:b w:val="0"/>
                <w:bCs/>
              </w:rPr>
            </w:pPr>
            <w:r w:rsidRPr="0097400A">
              <w:rPr>
                <w:rFonts w:hint="eastAsia"/>
                <w:b w:val="0"/>
                <w:bCs/>
              </w:rPr>
              <w:t>/</w:t>
            </w:r>
            <w:r w:rsidRPr="0097400A">
              <w:rPr>
                <w:b w:val="0"/>
                <w:bCs/>
              </w:rPr>
              <w:t>（</w:t>
            </w:r>
            <w:r w:rsidRPr="0097400A">
              <w:rPr>
                <w:b w:val="0"/>
                <w:bCs/>
              </w:rPr>
              <w:t>m</w:t>
            </w:r>
            <w:r w:rsidRPr="0097400A">
              <w:rPr>
                <w:rFonts w:hint="eastAsia"/>
                <w:b w:val="0"/>
                <w:bCs/>
              </w:rPr>
              <w:t>3</w:t>
            </w:r>
            <w:r w:rsidRPr="0097400A">
              <w:rPr>
                <w:b w:val="0"/>
                <w:bCs/>
              </w:rPr>
              <w:t>/h</w:t>
            </w:r>
            <w:r w:rsidRPr="0097400A">
              <w:rPr>
                <w:b w:val="0"/>
                <w:bCs/>
              </w:rPr>
              <w:t>）</w:t>
            </w:r>
          </w:p>
        </w:tc>
        <w:tc>
          <w:tcPr>
            <w:tcW w:w="724" w:type="pct"/>
            <w:shd w:val="clear" w:color="auto" w:fill="auto"/>
            <w:vAlign w:val="center"/>
          </w:tcPr>
          <w:p w14:paraId="1FB201BB" w14:textId="77777777" w:rsidR="00913C78" w:rsidRPr="0097400A" w:rsidRDefault="00913C78" w:rsidP="0097400A">
            <w:pPr>
              <w:pStyle w:val="ae"/>
              <w:rPr>
                <w:b w:val="0"/>
                <w:bCs/>
              </w:rPr>
            </w:pPr>
            <w:r w:rsidRPr="0097400A">
              <w:rPr>
                <w:rFonts w:hint="eastAsia"/>
                <w:b w:val="0"/>
                <w:bCs/>
              </w:rPr>
              <w:t>电机功率</w:t>
            </w:r>
          </w:p>
          <w:p w14:paraId="0AF933DC" w14:textId="77777777" w:rsidR="00913C78" w:rsidRPr="0097400A" w:rsidRDefault="00913C78" w:rsidP="0097400A">
            <w:pPr>
              <w:pStyle w:val="ae"/>
              <w:rPr>
                <w:b w:val="0"/>
                <w:bCs/>
              </w:rPr>
            </w:pPr>
            <w:r w:rsidRPr="0097400A">
              <w:rPr>
                <w:rFonts w:hint="eastAsia"/>
                <w:b w:val="0"/>
                <w:bCs/>
              </w:rPr>
              <w:t>/</w:t>
            </w:r>
            <w:r w:rsidRPr="0097400A">
              <w:rPr>
                <w:b w:val="0"/>
                <w:bCs/>
              </w:rPr>
              <w:t>W</w:t>
            </w:r>
          </w:p>
        </w:tc>
        <w:tc>
          <w:tcPr>
            <w:tcW w:w="724" w:type="pct"/>
            <w:shd w:val="clear" w:color="auto" w:fill="auto"/>
            <w:vAlign w:val="center"/>
          </w:tcPr>
          <w:p w14:paraId="154738FF" w14:textId="77777777" w:rsidR="00913C78" w:rsidRPr="0097400A" w:rsidRDefault="00913C78" w:rsidP="0097400A">
            <w:pPr>
              <w:pStyle w:val="ae"/>
              <w:rPr>
                <w:b w:val="0"/>
                <w:bCs/>
              </w:rPr>
            </w:pPr>
            <w:r w:rsidRPr="0097400A">
              <w:rPr>
                <w:rFonts w:hint="eastAsia"/>
                <w:b w:val="0"/>
                <w:bCs/>
              </w:rPr>
              <w:t>水流量</w:t>
            </w:r>
          </w:p>
          <w:p w14:paraId="68623958" w14:textId="77777777" w:rsidR="00913C78" w:rsidRPr="0097400A" w:rsidRDefault="00913C78" w:rsidP="0097400A">
            <w:pPr>
              <w:pStyle w:val="ae"/>
              <w:rPr>
                <w:b w:val="0"/>
                <w:bCs/>
              </w:rPr>
            </w:pPr>
            <w:r w:rsidRPr="0097400A">
              <w:rPr>
                <w:rFonts w:hint="eastAsia"/>
                <w:b w:val="0"/>
                <w:bCs/>
              </w:rPr>
              <w:t>/</w:t>
            </w:r>
            <w:r w:rsidRPr="0097400A">
              <w:rPr>
                <w:b w:val="0"/>
                <w:bCs/>
              </w:rPr>
              <w:t>（</w:t>
            </w:r>
            <w:r w:rsidRPr="0097400A">
              <w:rPr>
                <w:b w:val="0"/>
                <w:bCs/>
              </w:rPr>
              <w:t>m</w:t>
            </w:r>
            <w:r w:rsidRPr="0097400A">
              <w:rPr>
                <w:rFonts w:hint="eastAsia"/>
                <w:b w:val="0"/>
                <w:bCs/>
              </w:rPr>
              <w:t>3</w:t>
            </w:r>
            <w:r w:rsidRPr="0097400A">
              <w:rPr>
                <w:b w:val="0"/>
                <w:bCs/>
              </w:rPr>
              <w:t>/h</w:t>
            </w:r>
            <w:r w:rsidRPr="0097400A">
              <w:rPr>
                <w:b w:val="0"/>
                <w:bCs/>
              </w:rPr>
              <w:t>）</w:t>
            </w:r>
          </w:p>
        </w:tc>
        <w:tc>
          <w:tcPr>
            <w:tcW w:w="823" w:type="pct"/>
            <w:shd w:val="clear" w:color="auto" w:fill="auto"/>
            <w:vAlign w:val="center"/>
          </w:tcPr>
          <w:p w14:paraId="1B3ED357" w14:textId="77777777" w:rsidR="00913C78" w:rsidRPr="0097400A" w:rsidRDefault="00913C78" w:rsidP="0097400A">
            <w:pPr>
              <w:pStyle w:val="ae"/>
              <w:rPr>
                <w:b w:val="0"/>
                <w:bCs/>
              </w:rPr>
            </w:pPr>
            <w:r w:rsidRPr="0097400A">
              <w:rPr>
                <w:rFonts w:hint="eastAsia"/>
                <w:b w:val="0"/>
                <w:bCs/>
              </w:rPr>
              <w:t>噪声</w:t>
            </w:r>
          </w:p>
          <w:p w14:paraId="543E796F" w14:textId="77777777" w:rsidR="00913C78" w:rsidRPr="0097400A" w:rsidRDefault="00913C78" w:rsidP="0097400A">
            <w:pPr>
              <w:pStyle w:val="ae"/>
              <w:rPr>
                <w:b w:val="0"/>
                <w:bCs/>
              </w:rPr>
            </w:pPr>
            <w:r w:rsidRPr="0097400A">
              <w:rPr>
                <w:rFonts w:hint="eastAsia"/>
                <w:b w:val="0"/>
                <w:bCs/>
              </w:rPr>
              <w:t>/</w:t>
            </w:r>
            <w:r w:rsidRPr="0097400A">
              <w:rPr>
                <w:b w:val="0"/>
                <w:bCs/>
              </w:rPr>
              <w:t>dB</w:t>
            </w:r>
            <w:r w:rsidRPr="0097400A">
              <w:rPr>
                <w:rFonts w:hint="eastAsia"/>
                <w:b w:val="0"/>
                <w:bCs/>
              </w:rPr>
              <w:t>（</w:t>
            </w:r>
            <w:r w:rsidRPr="0097400A">
              <w:rPr>
                <w:rFonts w:hint="eastAsia"/>
                <w:b w:val="0"/>
                <w:bCs/>
              </w:rPr>
              <w:t>A</w:t>
            </w:r>
            <w:r w:rsidRPr="0097400A">
              <w:rPr>
                <w:rFonts w:hint="eastAsia"/>
                <w:b w:val="0"/>
                <w:bCs/>
              </w:rPr>
              <w:t>）</w:t>
            </w:r>
          </w:p>
        </w:tc>
      </w:tr>
      <w:tr w:rsidR="00913C78" w:rsidRPr="0097400A" w14:paraId="143EC7D4" w14:textId="77777777" w:rsidTr="00A2511C">
        <w:trPr>
          <w:jc w:val="center"/>
        </w:trPr>
        <w:tc>
          <w:tcPr>
            <w:tcW w:w="1014" w:type="pct"/>
            <w:shd w:val="clear" w:color="auto" w:fill="auto"/>
            <w:vAlign w:val="center"/>
          </w:tcPr>
          <w:p w14:paraId="63C38533" w14:textId="77777777" w:rsidR="00913C78" w:rsidRPr="0097400A" w:rsidRDefault="00913C78" w:rsidP="0097400A">
            <w:pPr>
              <w:pStyle w:val="ae"/>
              <w:rPr>
                <w:b w:val="0"/>
                <w:bCs/>
              </w:rPr>
            </w:pPr>
            <w:r w:rsidRPr="0097400A">
              <w:rPr>
                <w:b w:val="0"/>
                <w:bCs/>
              </w:rPr>
              <w:t>FCU-1</w:t>
            </w:r>
          </w:p>
        </w:tc>
        <w:tc>
          <w:tcPr>
            <w:tcW w:w="991" w:type="pct"/>
            <w:shd w:val="clear" w:color="auto" w:fill="auto"/>
            <w:vAlign w:val="center"/>
          </w:tcPr>
          <w:p w14:paraId="5ED9E1F2" w14:textId="77777777" w:rsidR="00913C78" w:rsidRPr="0097400A" w:rsidRDefault="00913C78" w:rsidP="0097400A">
            <w:pPr>
              <w:pStyle w:val="ae"/>
              <w:rPr>
                <w:b w:val="0"/>
                <w:bCs/>
              </w:rPr>
            </w:pPr>
            <w:r w:rsidRPr="0097400A">
              <w:rPr>
                <w:b w:val="0"/>
                <w:bCs/>
              </w:rPr>
              <w:t>YGFC03CC3S</w:t>
            </w:r>
          </w:p>
        </w:tc>
        <w:tc>
          <w:tcPr>
            <w:tcW w:w="724" w:type="pct"/>
            <w:shd w:val="clear" w:color="auto" w:fill="auto"/>
            <w:vAlign w:val="center"/>
          </w:tcPr>
          <w:p w14:paraId="67BDFABF" w14:textId="77777777" w:rsidR="00913C78" w:rsidRPr="0097400A" w:rsidRDefault="00913C78" w:rsidP="0097400A">
            <w:pPr>
              <w:pStyle w:val="ae"/>
              <w:rPr>
                <w:b w:val="0"/>
                <w:bCs/>
              </w:rPr>
            </w:pPr>
            <w:r w:rsidRPr="0097400A">
              <w:rPr>
                <w:b w:val="0"/>
                <w:bCs/>
              </w:rPr>
              <w:t>430</w:t>
            </w:r>
          </w:p>
        </w:tc>
        <w:tc>
          <w:tcPr>
            <w:tcW w:w="724" w:type="pct"/>
            <w:shd w:val="clear" w:color="auto" w:fill="auto"/>
            <w:vAlign w:val="center"/>
          </w:tcPr>
          <w:p w14:paraId="7E49588F" w14:textId="77777777" w:rsidR="00913C78" w:rsidRPr="0097400A" w:rsidRDefault="00913C78" w:rsidP="0097400A">
            <w:pPr>
              <w:pStyle w:val="ae"/>
              <w:rPr>
                <w:b w:val="0"/>
                <w:bCs/>
              </w:rPr>
            </w:pPr>
            <w:r w:rsidRPr="0097400A">
              <w:rPr>
                <w:b w:val="0"/>
                <w:bCs/>
              </w:rPr>
              <w:t>28</w:t>
            </w:r>
          </w:p>
        </w:tc>
        <w:tc>
          <w:tcPr>
            <w:tcW w:w="724" w:type="pct"/>
            <w:shd w:val="clear" w:color="auto" w:fill="auto"/>
            <w:vAlign w:val="center"/>
          </w:tcPr>
          <w:p w14:paraId="5ED76AB8" w14:textId="77777777" w:rsidR="00913C78" w:rsidRPr="0097400A" w:rsidRDefault="00913C78" w:rsidP="0097400A">
            <w:pPr>
              <w:pStyle w:val="ae"/>
              <w:rPr>
                <w:b w:val="0"/>
                <w:bCs/>
              </w:rPr>
            </w:pPr>
            <w:r w:rsidRPr="0097400A">
              <w:rPr>
                <w:b w:val="0"/>
                <w:bCs/>
              </w:rPr>
              <w:t>0.569</w:t>
            </w:r>
          </w:p>
        </w:tc>
        <w:tc>
          <w:tcPr>
            <w:tcW w:w="823" w:type="pct"/>
            <w:shd w:val="clear" w:color="auto" w:fill="auto"/>
            <w:vAlign w:val="center"/>
          </w:tcPr>
          <w:p w14:paraId="09260FF4" w14:textId="298D5F81" w:rsidR="00913C78" w:rsidRPr="0097400A" w:rsidRDefault="00D20A1F" w:rsidP="00A624AE">
            <w:pPr>
              <w:pStyle w:val="ae"/>
              <w:rPr>
                <w:b w:val="0"/>
                <w:bCs/>
              </w:rPr>
            </w:pPr>
            <m:oMathPara>
              <m:oMath>
                <m:sSub>
                  <m:sSubPr>
                    <m:ctrlPr>
                      <w:rPr>
                        <w:rFonts w:ascii="Cambria Math" w:hAnsi="Cambria Math"/>
                        <w:b w:val="0"/>
                        <w:bCs/>
                        <w:i/>
                        <w:noProof/>
                      </w:rPr>
                    </m:ctrlPr>
                  </m:sSubPr>
                  <m:e>
                    <m:r>
                      <m:rPr>
                        <m:sty m:val="bi"/>
                      </m:rPr>
                      <w:rPr>
                        <w:rFonts w:ascii="Cambria Math"/>
                        <w:noProof/>
                      </w:rPr>
                      <m:t>L</m:t>
                    </m:r>
                  </m:e>
                  <m:sub>
                    <m:r>
                      <m:rPr>
                        <m:sty m:val="bi"/>
                      </m:rPr>
                      <w:rPr>
                        <w:rFonts w:ascii="Cambria Math"/>
                        <w:noProof/>
                      </w:rPr>
                      <m:t>p</m:t>
                    </m:r>
                    <m:r>
                      <m:rPr>
                        <m:sty m:val="bi"/>
                      </m:rPr>
                      <w:rPr>
                        <w:rFonts w:ascii="Cambria Math"/>
                        <w:noProof/>
                      </w:rPr>
                      <m:t>2</m:t>
                    </m:r>
                  </m:sub>
                </m:sSub>
                <m:r>
                  <m:rPr>
                    <m:sty m:val="bi"/>
                  </m:rPr>
                  <w:rPr>
                    <w:rFonts w:ascii="Cambria Math"/>
                    <w:noProof/>
                  </w:rPr>
                  <m:t>=38</m:t>
                </m:r>
              </m:oMath>
            </m:oMathPara>
          </w:p>
        </w:tc>
      </w:tr>
      <w:tr w:rsidR="00913C78" w:rsidRPr="0097400A" w14:paraId="79CECA5E" w14:textId="77777777" w:rsidTr="00A2511C">
        <w:trPr>
          <w:jc w:val="center"/>
        </w:trPr>
        <w:tc>
          <w:tcPr>
            <w:tcW w:w="1014" w:type="pct"/>
            <w:shd w:val="clear" w:color="auto" w:fill="auto"/>
            <w:vAlign w:val="center"/>
          </w:tcPr>
          <w:p w14:paraId="4784CEBB" w14:textId="77777777" w:rsidR="00913C78" w:rsidRPr="0097400A" w:rsidRDefault="00913C78" w:rsidP="0097400A">
            <w:pPr>
              <w:pStyle w:val="ae"/>
              <w:rPr>
                <w:b w:val="0"/>
                <w:bCs/>
              </w:rPr>
            </w:pPr>
            <w:r w:rsidRPr="0097400A">
              <w:rPr>
                <w:b w:val="0"/>
                <w:bCs/>
              </w:rPr>
              <w:t>FCU-2</w:t>
            </w:r>
          </w:p>
        </w:tc>
        <w:tc>
          <w:tcPr>
            <w:tcW w:w="991" w:type="pct"/>
            <w:shd w:val="clear" w:color="auto" w:fill="auto"/>
            <w:vAlign w:val="center"/>
          </w:tcPr>
          <w:p w14:paraId="4CFBB70C" w14:textId="77777777" w:rsidR="00913C78" w:rsidRPr="0097400A" w:rsidRDefault="00913C78" w:rsidP="0097400A">
            <w:pPr>
              <w:pStyle w:val="ae"/>
              <w:rPr>
                <w:b w:val="0"/>
                <w:bCs/>
              </w:rPr>
            </w:pPr>
            <w:r w:rsidRPr="0097400A">
              <w:rPr>
                <w:b w:val="0"/>
                <w:bCs/>
              </w:rPr>
              <w:t>YGFC04CC3S</w:t>
            </w:r>
          </w:p>
        </w:tc>
        <w:tc>
          <w:tcPr>
            <w:tcW w:w="724" w:type="pct"/>
            <w:shd w:val="clear" w:color="auto" w:fill="auto"/>
            <w:vAlign w:val="center"/>
          </w:tcPr>
          <w:p w14:paraId="6FAA1C67" w14:textId="77777777" w:rsidR="00913C78" w:rsidRPr="0097400A" w:rsidRDefault="00913C78" w:rsidP="0097400A">
            <w:pPr>
              <w:pStyle w:val="ae"/>
              <w:rPr>
                <w:b w:val="0"/>
                <w:bCs/>
              </w:rPr>
            </w:pPr>
            <w:r w:rsidRPr="0097400A">
              <w:rPr>
                <w:b w:val="0"/>
                <w:bCs/>
              </w:rPr>
              <w:t>530</w:t>
            </w:r>
          </w:p>
        </w:tc>
        <w:tc>
          <w:tcPr>
            <w:tcW w:w="724" w:type="pct"/>
            <w:shd w:val="clear" w:color="auto" w:fill="auto"/>
            <w:vAlign w:val="center"/>
          </w:tcPr>
          <w:p w14:paraId="6C107B79" w14:textId="77777777" w:rsidR="00913C78" w:rsidRPr="0097400A" w:rsidRDefault="00913C78" w:rsidP="0097400A">
            <w:pPr>
              <w:pStyle w:val="ae"/>
              <w:rPr>
                <w:b w:val="0"/>
                <w:bCs/>
              </w:rPr>
            </w:pPr>
            <w:r w:rsidRPr="0097400A">
              <w:rPr>
                <w:b w:val="0"/>
                <w:bCs/>
              </w:rPr>
              <w:t>41</w:t>
            </w:r>
          </w:p>
        </w:tc>
        <w:tc>
          <w:tcPr>
            <w:tcW w:w="724" w:type="pct"/>
            <w:shd w:val="clear" w:color="auto" w:fill="auto"/>
            <w:vAlign w:val="center"/>
          </w:tcPr>
          <w:p w14:paraId="4F5DCC10" w14:textId="77777777" w:rsidR="00913C78" w:rsidRPr="0097400A" w:rsidRDefault="00913C78" w:rsidP="0097400A">
            <w:pPr>
              <w:pStyle w:val="ae"/>
              <w:rPr>
                <w:b w:val="0"/>
                <w:bCs/>
              </w:rPr>
            </w:pPr>
            <w:r w:rsidRPr="0097400A">
              <w:rPr>
                <w:b w:val="0"/>
                <w:bCs/>
              </w:rPr>
              <w:t>0.724</w:t>
            </w:r>
          </w:p>
        </w:tc>
        <w:tc>
          <w:tcPr>
            <w:tcW w:w="823" w:type="pct"/>
            <w:shd w:val="clear" w:color="auto" w:fill="auto"/>
            <w:vAlign w:val="center"/>
          </w:tcPr>
          <w:p w14:paraId="5C6A6C6F" w14:textId="2F958E6A" w:rsidR="00913C78" w:rsidRPr="0097400A" w:rsidRDefault="00D20A1F" w:rsidP="00A624AE">
            <w:pPr>
              <w:pStyle w:val="ae"/>
              <w:rPr>
                <w:b w:val="0"/>
                <w:bCs/>
              </w:rPr>
            </w:pPr>
            <m:oMathPara>
              <m:oMath>
                <m:sSub>
                  <m:sSubPr>
                    <m:ctrlPr>
                      <w:rPr>
                        <w:rFonts w:ascii="Cambria Math" w:hAnsi="Cambria Math"/>
                        <w:b w:val="0"/>
                        <w:bCs/>
                        <w:i/>
                        <w:noProof/>
                      </w:rPr>
                    </m:ctrlPr>
                  </m:sSubPr>
                  <m:e>
                    <m:r>
                      <m:rPr>
                        <m:sty m:val="bi"/>
                      </m:rPr>
                      <w:rPr>
                        <w:rFonts w:ascii="Cambria Math"/>
                        <w:noProof/>
                      </w:rPr>
                      <m:t>L</m:t>
                    </m:r>
                  </m:e>
                  <m:sub>
                    <m:r>
                      <m:rPr>
                        <m:sty m:val="bi"/>
                      </m:rPr>
                      <w:rPr>
                        <w:rFonts w:ascii="Cambria Math"/>
                        <w:noProof/>
                      </w:rPr>
                      <m:t>p</m:t>
                    </m:r>
                    <m:r>
                      <m:rPr>
                        <m:sty m:val="bi"/>
                      </m:rPr>
                      <w:rPr>
                        <w:rFonts w:ascii="Cambria Math"/>
                        <w:noProof/>
                      </w:rPr>
                      <m:t>3</m:t>
                    </m:r>
                  </m:sub>
                </m:sSub>
                <m:r>
                  <m:rPr>
                    <m:sty m:val="bi"/>
                  </m:rPr>
                  <w:rPr>
                    <w:rFonts w:ascii="Cambria Math"/>
                    <w:noProof/>
                  </w:rPr>
                  <m:t>=40.5</m:t>
                </m:r>
              </m:oMath>
            </m:oMathPara>
          </w:p>
        </w:tc>
      </w:tr>
    </w:tbl>
    <w:p w14:paraId="0D367582" w14:textId="77777777" w:rsidR="00913C78" w:rsidRPr="00913C78" w:rsidRDefault="00913C78" w:rsidP="00913C78">
      <w:pPr>
        <w:ind w:firstLine="420"/>
      </w:pPr>
      <w:bookmarkStart w:id="444" w:name="_Toc476401995"/>
    </w:p>
    <w:p w14:paraId="7D46AB5A" w14:textId="77777777" w:rsidR="00913C78" w:rsidRPr="00913C78" w:rsidRDefault="00913C78" w:rsidP="00913C78">
      <w:pPr>
        <w:ind w:firstLine="420"/>
      </w:pPr>
      <w:r w:rsidRPr="00913C78">
        <w:rPr>
          <w:rFonts w:hint="eastAsia"/>
        </w:rPr>
        <w:t>（</w:t>
      </w:r>
      <w:r w:rsidRPr="00913C78">
        <w:rPr>
          <w:rFonts w:hint="eastAsia"/>
        </w:rPr>
        <w:t>7</w:t>
      </w:r>
      <w:r w:rsidRPr="00913C78">
        <w:rPr>
          <w:rFonts w:hint="eastAsia"/>
        </w:rPr>
        <w:t>）室内背景噪声级计算结果</w:t>
      </w:r>
      <w:bookmarkEnd w:id="444"/>
    </w:p>
    <w:p w14:paraId="1B28A591" w14:textId="0CE2C49E" w:rsidR="00913C78" w:rsidRPr="00913C78" w:rsidRDefault="00913C78" w:rsidP="00A624AE">
      <w:pPr>
        <w:ind w:firstLine="420"/>
      </w:pPr>
      <w:r w:rsidRPr="00913C78">
        <w:rPr>
          <w:rFonts w:hint="eastAsia"/>
        </w:rPr>
        <w:t>根据</w:t>
      </w:r>
      <w:r w:rsidRPr="00913C78">
        <w:t>室外</w:t>
      </w:r>
      <w:r w:rsidRPr="00913C78">
        <w:rPr>
          <w:rFonts w:hint="eastAsia"/>
        </w:rPr>
        <w:t>噪声源引起</w:t>
      </w:r>
      <w:r w:rsidRPr="00913C78">
        <w:t>的室内声压级</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P1</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p1</m:t>
            </m:r>
          </m:sub>
        </m:sSub>
      </m:oMath>
      <w:r w:rsidRPr="00913C78">
        <w:fldChar w:fldCharType="end"/>
      </w:r>
      <w:r w:rsidRPr="00913C78">
        <w:rPr>
          <w:rFonts w:hint="eastAsia"/>
        </w:rPr>
        <w:t>，室内空调噪声影响值</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P2</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p2</m:t>
            </m:r>
          </m:sub>
        </m:sSub>
      </m:oMath>
      <w:r w:rsidRPr="00913C78">
        <w:fldChar w:fldCharType="end"/>
      </w:r>
      <w:r w:rsidRPr="00913C78">
        <w:rPr>
          <w:rFonts w:hint="eastAsia"/>
        </w:rPr>
        <w:t>和</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P3</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p3</m:t>
            </m:r>
          </m:sub>
        </m:sSub>
      </m:oMath>
      <w:r w:rsidRPr="00913C78">
        <w:fldChar w:fldCharType="end"/>
      </w:r>
      <w:r w:rsidRPr="00913C78">
        <w:rPr>
          <w:rFonts w:hint="eastAsia"/>
        </w:rPr>
        <w:t>，综合考虑室外噪声和室内设备噪声后，</w:t>
      </w:r>
      <w:r w:rsidRPr="00913C78">
        <w:t>对室内背景噪声</w:t>
      </w:r>
      <w:r w:rsidRPr="00913C78">
        <w:rPr>
          <w:rFonts w:hint="eastAsia"/>
        </w:rPr>
        <w:t>级</w:t>
      </w:r>
      <w:r w:rsidRPr="00913C78">
        <w:t>进行</w:t>
      </w:r>
      <w:r w:rsidRPr="00913C78">
        <w:rPr>
          <w:rFonts w:hint="eastAsia"/>
        </w:rPr>
        <w:t>声级</w:t>
      </w:r>
      <w:r w:rsidRPr="00913C78">
        <w:t>叠加计算</w:t>
      </w:r>
      <w:r w:rsidRPr="00913C78">
        <w:rPr>
          <w:rFonts w:hint="eastAsia"/>
        </w:rPr>
        <w:t>。</w:t>
      </w:r>
    </w:p>
    <w:p w14:paraId="0164678C" w14:textId="77777777" w:rsidR="00913C78" w:rsidRPr="00913C78" w:rsidRDefault="00913C78" w:rsidP="00913C78">
      <w:pPr>
        <w:ind w:firstLine="420"/>
      </w:pPr>
      <w:r w:rsidRPr="00913C78">
        <w:rPr>
          <w:rFonts w:hint="eastAsia"/>
        </w:rPr>
        <w:t>声压级</w:t>
      </w:r>
      <w:r w:rsidRPr="00913C78">
        <w:t>叠加</w:t>
      </w:r>
      <w:r w:rsidRPr="00913C78">
        <w:rPr>
          <w:rFonts w:hint="eastAsia"/>
        </w:rPr>
        <w:t>计算</w:t>
      </w:r>
      <w:r w:rsidRPr="00913C78">
        <w:t>按</w:t>
      </w:r>
      <w:r w:rsidRPr="00913C78">
        <w:rPr>
          <w:rFonts w:hint="eastAsia"/>
        </w:rPr>
        <w:t>附</w:t>
      </w:r>
      <w:r w:rsidRPr="00913C78">
        <w:t>表</w:t>
      </w:r>
      <w:r w:rsidRPr="00913C78">
        <w:rPr>
          <w:rFonts w:hint="eastAsia"/>
        </w:rPr>
        <w:t>B.6.15</w:t>
      </w:r>
      <w:r w:rsidRPr="00913C78">
        <w:rPr>
          <w:rFonts w:hint="eastAsia"/>
        </w:rPr>
        <w:t>进行</w:t>
      </w:r>
      <w:r w:rsidRPr="00913C78">
        <w:t>，</w:t>
      </w:r>
      <w:r w:rsidRPr="00913C78">
        <w:rPr>
          <w:rFonts w:hint="eastAsia"/>
        </w:rPr>
        <w:t>计算原则如下</w:t>
      </w:r>
      <w:r w:rsidRPr="00913C78">
        <w:t>：</w:t>
      </w:r>
    </w:p>
    <w:p w14:paraId="03E51E5C" w14:textId="729D8FED" w:rsidR="00913C78" w:rsidRPr="00913C78" w:rsidRDefault="00913C78" w:rsidP="00A624AE">
      <w:pPr>
        <w:ind w:firstLine="420"/>
      </w:pPr>
      <w:r w:rsidRPr="00913C78">
        <w:t>1</w:t>
      </w:r>
      <w:r w:rsidRPr="00913C78">
        <w:rPr>
          <w:rFonts w:hint="eastAsia"/>
        </w:rPr>
        <w:t>）</w:t>
      </w:r>
      <w:r w:rsidRPr="00913C78">
        <w:t> </w:t>
      </w:r>
      <w:r w:rsidRPr="00913C78">
        <w:rPr>
          <w:rFonts w:hint="eastAsia"/>
        </w:rPr>
        <w:t>由两个</w:t>
      </w:r>
      <w:r w:rsidRPr="00913C78">
        <w:t>声压级</w:t>
      </w:r>
      <w:r w:rsidRPr="00913C78">
        <w:rPr>
          <w:rFonts w:hint="eastAsia"/>
        </w:rPr>
        <w:t>的</w:t>
      </w:r>
      <w:r w:rsidRPr="00913C78">
        <w:t>差（</w:t>
      </w:r>
      <w:r w:rsidRPr="00913C78">
        <w:fldChar w:fldCharType="begin"/>
      </w:r>
      <w:r w:rsidRPr="00913C78">
        <w:instrText xml:space="preserve"> QUOTE </w:instrText>
      </w:r>
      <m:oMath>
        <m:sSub>
          <m:sSubPr>
            <m:ctrlPr>
              <w:rPr>
                <w:rFonts w:ascii="Cambria Math" w:hAnsi="Cambria Math"/>
              </w:rPr>
            </m:ctrlPr>
          </m:sSubPr>
          <m:e>
            <m:r>
              <m:rPr>
                <m:sty m:val="p"/>
              </m:rPr>
              <w:rPr>
                <w:rFonts w:ascii="Cambria Math" w:hAnsi="Cambria Math"/>
              </w:rPr>
              <m:t>L</m:t>
            </m:r>
          </m:e>
          <m:sub>
            <m:r>
              <m:rPr>
                <m:sty m:val="p"/>
              </m:rPr>
              <w:rPr>
                <w:rFonts w:ascii="Cambria Math" w:hAnsi="Cambria Math"/>
              </w:rPr>
              <m:t>P1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L</m:t>
            </m:r>
          </m:e>
          <m:sub>
            <m:r>
              <m:rPr>
                <m:sty m:val="p"/>
              </m:rPr>
              <w:rPr>
                <w:rFonts w:ascii="Cambria Math" w:hAnsi="Cambria Math"/>
              </w:rPr>
              <m:t>P2</m:t>
            </m:r>
          </m:sub>
        </m:sSub>
      </m:oMath>
      <w:r w:rsidRPr="00913C78">
        <w:instrText xml:space="preserve"> </w:instrText>
      </w:r>
      <w:r w:rsidRPr="00913C78">
        <w:fldChar w:fldCharType="separate"/>
      </w:r>
      <m:oMath>
        <m:sSub>
          <m:sSubPr>
            <m:ctrlPr>
              <w:rPr>
                <w:rFonts w:ascii="Cambria Math" w:hAnsi="Cambria Math"/>
                <w:i/>
                <w:noProof/>
              </w:rPr>
            </m:ctrlPr>
          </m:sSubPr>
          <m:e>
            <m:r>
              <m:rPr>
                <m:sty m:val="p"/>
              </m:rPr>
              <w:rPr>
                <w:rFonts w:ascii="Cambria Math"/>
                <w:noProof/>
              </w:rPr>
              <m:t>L</m:t>
            </m:r>
          </m:e>
          <m:sub>
            <m:r>
              <m:rPr>
                <m:sty m:val="p"/>
              </m:rPr>
              <w:rPr>
                <w:rFonts w:ascii="Cambria Math"/>
                <w:noProof/>
              </w:rPr>
              <m:t>p1</m:t>
            </m:r>
          </m:sub>
        </m:sSub>
        <m:r>
          <m:rPr>
            <m:sty m:val="p"/>
          </m:rPr>
          <w:rPr>
            <w:rFonts w:ascii="Cambria Math"/>
            <w:noProof/>
          </w:rPr>
          <m:t>-</m:t>
        </m:r>
        <m:sSub>
          <m:sSubPr>
            <m:ctrlPr>
              <w:rPr>
                <w:rFonts w:ascii="Cambria Math" w:hAnsi="Cambria Math"/>
                <w:i/>
                <w:noProof/>
              </w:rPr>
            </m:ctrlPr>
          </m:sSubPr>
          <m:e>
            <m:r>
              <m:rPr>
                <m:sty m:val="p"/>
              </m:rPr>
              <w:rPr>
                <w:rFonts w:ascii="Cambria Math"/>
                <w:noProof/>
              </w:rPr>
              <m:t>L</m:t>
            </m:r>
          </m:e>
          <m:sub>
            <m:r>
              <m:rPr>
                <m:sty m:val="p"/>
              </m:rPr>
              <w:rPr>
                <w:rFonts w:ascii="Cambria Math"/>
                <w:noProof/>
              </w:rPr>
              <m:t>p2</m:t>
            </m:r>
          </m:sub>
        </m:sSub>
      </m:oMath>
      <w:r w:rsidRPr="00913C78">
        <w:fldChar w:fldCharType="end"/>
      </w:r>
      <w:r w:rsidRPr="00913C78">
        <w:t>）</w:t>
      </w:r>
      <w:r w:rsidRPr="00913C78">
        <w:rPr>
          <w:rFonts w:hint="eastAsia"/>
        </w:rPr>
        <w:t>从</w:t>
      </w:r>
      <w:r w:rsidRPr="00913C78">
        <w:t>表中</w:t>
      </w:r>
      <w:r w:rsidRPr="00913C78">
        <w:rPr>
          <w:rFonts w:hint="eastAsia"/>
        </w:rPr>
        <w:t>求得对应</w:t>
      </w:r>
      <w:r w:rsidRPr="00913C78">
        <w:t>的附加值</w:t>
      </w:r>
      <w:r w:rsidRPr="00913C78">
        <w:rPr>
          <w:rFonts w:hint="eastAsia"/>
        </w:rPr>
        <w:t>，将它加到较高</w:t>
      </w:r>
      <w:r w:rsidRPr="00913C78">
        <w:t>的</w:t>
      </w:r>
      <w:r w:rsidRPr="00913C78">
        <w:rPr>
          <w:rFonts w:hint="eastAsia"/>
        </w:rPr>
        <w:t>那个</w:t>
      </w:r>
      <w:r w:rsidRPr="00913C78">
        <w:t>声压级</w:t>
      </w:r>
      <w:r w:rsidRPr="00913C78">
        <w:rPr>
          <w:rFonts w:hint="eastAsia"/>
        </w:rPr>
        <w:t>上</w:t>
      </w:r>
      <w:r w:rsidRPr="00913C78">
        <w:t>，</w:t>
      </w:r>
      <w:r w:rsidRPr="00913C78">
        <w:rPr>
          <w:rFonts w:hint="eastAsia"/>
        </w:rPr>
        <w:t>即可</w:t>
      </w:r>
      <w:r w:rsidRPr="00913C78">
        <w:t>求出</w:t>
      </w:r>
      <w:r w:rsidRPr="00913C78">
        <w:rPr>
          <w:rFonts w:hint="eastAsia"/>
        </w:rPr>
        <w:t>两者</w:t>
      </w:r>
      <w:r w:rsidRPr="00913C78">
        <w:t>的</w:t>
      </w:r>
      <w:r w:rsidRPr="00913C78">
        <w:rPr>
          <w:rFonts w:hint="eastAsia"/>
        </w:rPr>
        <w:t>总</w:t>
      </w:r>
      <w:r w:rsidRPr="00913C78">
        <w:t>声压级</w:t>
      </w:r>
      <w:r w:rsidRPr="00913C78">
        <w:rPr>
          <w:rFonts w:hint="eastAsia"/>
        </w:rPr>
        <w:t>。</w:t>
      </w:r>
    </w:p>
    <w:p w14:paraId="07CA6141" w14:textId="77777777" w:rsidR="00913C78" w:rsidRPr="00913C78" w:rsidRDefault="00913C78" w:rsidP="00913C78">
      <w:pPr>
        <w:ind w:firstLine="420"/>
      </w:pPr>
      <w:r w:rsidRPr="00913C78">
        <w:t>2</w:t>
      </w:r>
      <w:r w:rsidRPr="00913C78">
        <w:rPr>
          <w:rFonts w:hint="eastAsia"/>
        </w:rPr>
        <w:t>）</w:t>
      </w:r>
      <w:r w:rsidRPr="00913C78">
        <w:t> </w:t>
      </w:r>
      <w:r w:rsidRPr="00913C78">
        <w:rPr>
          <w:rFonts w:hint="eastAsia"/>
        </w:rPr>
        <w:t>当</w:t>
      </w:r>
      <w:r w:rsidRPr="00913C78">
        <w:t>数个</w:t>
      </w:r>
      <w:r w:rsidRPr="00913C78">
        <w:rPr>
          <w:rFonts w:hint="eastAsia"/>
        </w:rPr>
        <w:t>声压级进行</w:t>
      </w:r>
      <w:r w:rsidRPr="00913C78">
        <w:t>叠加</w:t>
      </w:r>
      <w:r w:rsidRPr="00913C78">
        <w:rPr>
          <w:rFonts w:hint="eastAsia"/>
        </w:rPr>
        <w:t>时</w:t>
      </w:r>
      <w:r w:rsidRPr="00913C78">
        <w:t>，</w:t>
      </w:r>
      <w:r w:rsidRPr="00913C78">
        <w:rPr>
          <w:rFonts w:hint="eastAsia"/>
        </w:rPr>
        <w:t>可</w:t>
      </w:r>
      <w:r w:rsidRPr="00913C78">
        <w:t>按从小到大</w:t>
      </w:r>
      <w:r w:rsidRPr="00913C78">
        <w:rPr>
          <w:rFonts w:hint="eastAsia"/>
        </w:rPr>
        <w:t>的</w:t>
      </w:r>
      <w:r w:rsidRPr="00913C78">
        <w:t>顺序，</w:t>
      </w:r>
      <w:r w:rsidRPr="00913C78">
        <w:rPr>
          <w:rFonts w:hint="eastAsia"/>
        </w:rPr>
        <w:t>反复运用</w:t>
      </w:r>
      <w:r w:rsidRPr="00913C78">
        <w:t>这个</w:t>
      </w:r>
      <w:r w:rsidRPr="00913C78">
        <w:rPr>
          <w:rFonts w:hint="eastAsia"/>
        </w:rPr>
        <w:t>方法</w:t>
      </w:r>
      <w:r w:rsidRPr="00913C78">
        <w:t>逐次</w:t>
      </w:r>
      <w:r w:rsidRPr="00913C78">
        <w:rPr>
          <w:rFonts w:hint="eastAsia"/>
        </w:rPr>
        <w:t>进行。</w:t>
      </w:r>
    </w:p>
    <w:p w14:paraId="7A01B191" w14:textId="77777777" w:rsidR="00913C78" w:rsidRPr="00913C78" w:rsidRDefault="00913C78" w:rsidP="00913C78">
      <w:pPr>
        <w:ind w:firstLine="420"/>
      </w:pPr>
      <w:r w:rsidRPr="00913C78">
        <w:t>3</w:t>
      </w:r>
      <w:r w:rsidRPr="00913C78">
        <w:rPr>
          <w:rFonts w:hint="eastAsia"/>
        </w:rPr>
        <w:t>）</w:t>
      </w:r>
      <w:r w:rsidRPr="00913C78">
        <w:t> </w:t>
      </w:r>
      <w:r w:rsidRPr="00913C78">
        <w:rPr>
          <w:rFonts w:hint="eastAsia"/>
        </w:rPr>
        <w:t>如果两个声压级差超过</w:t>
      </w:r>
      <w:r w:rsidRPr="00913C78">
        <w:rPr>
          <w:rFonts w:hint="eastAsia"/>
        </w:rPr>
        <w:t>15</w:t>
      </w:r>
      <w:r w:rsidRPr="00913C78">
        <w:t>dB</w:t>
      </w:r>
      <w:r w:rsidRPr="00913C78">
        <w:rPr>
          <w:rFonts w:hint="eastAsia"/>
        </w:rPr>
        <w:t>，则</w:t>
      </w:r>
      <w:r w:rsidRPr="00913C78">
        <w:t>附加值</w:t>
      </w:r>
      <w:r w:rsidRPr="00913C78">
        <w:rPr>
          <w:rFonts w:hint="eastAsia"/>
        </w:rPr>
        <w:t>可以</w:t>
      </w:r>
      <w:r w:rsidRPr="00913C78">
        <w:t>忽略</w:t>
      </w:r>
      <w:r w:rsidRPr="00913C78">
        <w:rPr>
          <w:rFonts w:hint="eastAsia"/>
        </w:rPr>
        <w:t>不计</w:t>
      </w:r>
      <w:r w:rsidRPr="00913C78">
        <w:t>。</w:t>
      </w:r>
    </w:p>
    <w:p w14:paraId="2E05F607" w14:textId="0592CA47" w:rsidR="00913C78" w:rsidRPr="00913C78" w:rsidRDefault="00913C78" w:rsidP="00A2511C">
      <w:pPr>
        <w:pStyle w:val="ae"/>
      </w:pPr>
      <w:r w:rsidRPr="00913C78">
        <w:rPr>
          <w:rFonts w:hint="eastAsia"/>
        </w:rPr>
        <w:t>附</w:t>
      </w:r>
      <w:r w:rsidRPr="00913C78">
        <w:t>表</w:t>
      </w:r>
      <w:r w:rsidRPr="00913C78">
        <w:rPr>
          <w:rFonts w:hint="eastAsia"/>
        </w:rPr>
        <w:t xml:space="preserve">B.6.15 </w:t>
      </w:r>
      <w:r w:rsidRPr="00913C78">
        <w:t xml:space="preserve"> </w:t>
      </w:r>
      <w:r w:rsidRPr="00913C78">
        <w:rPr>
          <w:rFonts w:hint="eastAsia"/>
        </w:rPr>
        <w:t>声压级</w:t>
      </w:r>
      <w:r w:rsidRPr="00913C78">
        <w:t>的</w:t>
      </w:r>
      <w:r w:rsidRPr="00913C78">
        <w:rPr>
          <w:rFonts w:hint="eastAsia"/>
        </w:rPr>
        <w:t>差值与</w:t>
      </w:r>
      <w:r w:rsidRPr="00913C78">
        <w:t>增值的关系</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645"/>
        <w:gridCol w:w="645"/>
        <w:gridCol w:w="645"/>
        <w:gridCol w:w="645"/>
        <w:gridCol w:w="645"/>
        <w:gridCol w:w="645"/>
        <w:gridCol w:w="645"/>
        <w:gridCol w:w="646"/>
        <w:gridCol w:w="646"/>
        <w:gridCol w:w="646"/>
      </w:tblGrid>
      <w:tr w:rsidR="00913C78" w:rsidRPr="00913C78" w14:paraId="41ECE117" w14:textId="77777777" w:rsidTr="00A2511C">
        <w:trPr>
          <w:jc w:val="center"/>
        </w:trPr>
        <w:tc>
          <w:tcPr>
            <w:tcW w:w="918" w:type="dxa"/>
            <w:shd w:val="clear" w:color="auto" w:fill="auto"/>
            <w:vAlign w:val="center"/>
          </w:tcPr>
          <w:p w14:paraId="35BC3B3E" w14:textId="21A76F96" w:rsidR="00913C78" w:rsidRPr="00A2511C" w:rsidRDefault="00913C78" w:rsidP="0097400A">
            <w:pPr>
              <w:pStyle w:val="ae"/>
              <w:rPr>
                <w:b w:val="0"/>
                <w:bCs/>
              </w:rPr>
            </w:pPr>
          </w:p>
        </w:tc>
        <w:tc>
          <w:tcPr>
            <w:tcW w:w="645" w:type="dxa"/>
            <w:shd w:val="clear" w:color="auto" w:fill="auto"/>
            <w:vAlign w:val="center"/>
          </w:tcPr>
          <w:p w14:paraId="1139850E" w14:textId="77777777" w:rsidR="00913C78" w:rsidRPr="0097400A" w:rsidRDefault="00913C78" w:rsidP="0097400A">
            <w:pPr>
              <w:pStyle w:val="ae"/>
              <w:rPr>
                <w:b w:val="0"/>
                <w:bCs/>
              </w:rPr>
            </w:pPr>
            <w:r w:rsidRPr="0097400A">
              <w:rPr>
                <w:rFonts w:hint="eastAsia"/>
                <w:b w:val="0"/>
                <w:bCs/>
              </w:rPr>
              <w:t>0</w:t>
            </w:r>
          </w:p>
        </w:tc>
        <w:tc>
          <w:tcPr>
            <w:tcW w:w="645" w:type="dxa"/>
            <w:shd w:val="clear" w:color="auto" w:fill="auto"/>
            <w:vAlign w:val="center"/>
          </w:tcPr>
          <w:p w14:paraId="66B22128" w14:textId="77777777" w:rsidR="00913C78" w:rsidRPr="0097400A" w:rsidRDefault="00913C78" w:rsidP="0097400A">
            <w:pPr>
              <w:pStyle w:val="ae"/>
              <w:rPr>
                <w:b w:val="0"/>
                <w:bCs/>
              </w:rPr>
            </w:pPr>
            <w:r w:rsidRPr="0097400A">
              <w:rPr>
                <w:rFonts w:hint="eastAsia"/>
                <w:b w:val="0"/>
                <w:bCs/>
              </w:rPr>
              <w:t>0.1</w:t>
            </w:r>
          </w:p>
        </w:tc>
        <w:tc>
          <w:tcPr>
            <w:tcW w:w="645" w:type="dxa"/>
            <w:shd w:val="clear" w:color="auto" w:fill="auto"/>
            <w:vAlign w:val="center"/>
          </w:tcPr>
          <w:p w14:paraId="5AAEE8C7" w14:textId="77777777" w:rsidR="00913C78" w:rsidRPr="0097400A" w:rsidRDefault="00913C78" w:rsidP="0097400A">
            <w:pPr>
              <w:pStyle w:val="ae"/>
              <w:rPr>
                <w:b w:val="0"/>
                <w:bCs/>
              </w:rPr>
            </w:pPr>
            <w:r w:rsidRPr="0097400A">
              <w:rPr>
                <w:rFonts w:hint="eastAsia"/>
                <w:b w:val="0"/>
                <w:bCs/>
              </w:rPr>
              <w:t>0.2</w:t>
            </w:r>
          </w:p>
        </w:tc>
        <w:tc>
          <w:tcPr>
            <w:tcW w:w="645" w:type="dxa"/>
            <w:shd w:val="clear" w:color="auto" w:fill="auto"/>
            <w:vAlign w:val="center"/>
          </w:tcPr>
          <w:p w14:paraId="0324EDB1" w14:textId="77777777" w:rsidR="00913C78" w:rsidRPr="0097400A" w:rsidRDefault="00913C78" w:rsidP="0097400A">
            <w:pPr>
              <w:pStyle w:val="ae"/>
              <w:rPr>
                <w:b w:val="0"/>
                <w:bCs/>
              </w:rPr>
            </w:pPr>
            <w:r w:rsidRPr="0097400A">
              <w:rPr>
                <w:rFonts w:hint="eastAsia"/>
                <w:b w:val="0"/>
                <w:bCs/>
              </w:rPr>
              <w:t>0.3</w:t>
            </w:r>
          </w:p>
        </w:tc>
        <w:tc>
          <w:tcPr>
            <w:tcW w:w="645" w:type="dxa"/>
            <w:shd w:val="clear" w:color="auto" w:fill="auto"/>
            <w:vAlign w:val="center"/>
          </w:tcPr>
          <w:p w14:paraId="3ABF5925" w14:textId="77777777" w:rsidR="00913C78" w:rsidRPr="0097400A" w:rsidRDefault="00913C78" w:rsidP="0097400A">
            <w:pPr>
              <w:pStyle w:val="ae"/>
              <w:rPr>
                <w:b w:val="0"/>
                <w:bCs/>
              </w:rPr>
            </w:pPr>
            <w:r w:rsidRPr="0097400A">
              <w:rPr>
                <w:rFonts w:hint="eastAsia"/>
                <w:b w:val="0"/>
                <w:bCs/>
              </w:rPr>
              <w:t>0.4</w:t>
            </w:r>
          </w:p>
        </w:tc>
        <w:tc>
          <w:tcPr>
            <w:tcW w:w="645" w:type="dxa"/>
            <w:shd w:val="clear" w:color="auto" w:fill="auto"/>
            <w:vAlign w:val="center"/>
          </w:tcPr>
          <w:p w14:paraId="59CBC2F9" w14:textId="77777777" w:rsidR="00913C78" w:rsidRPr="0097400A" w:rsidRDefault="00913C78" w:rsidP="0097400A">
            <w:pPr>
              <w:pStyle w:val="ae"/>
              <w:rPr>
                <w:b w:val="0"/>
                <w:bCs/>
              </w:rPr>
            </w:pPr>
            <w:r w:rsidRPr="0097400A">
              <w:rPr>
                <w:rFonts w:hint="eastAsia"/>
                <w:b w:val="0"/>
                <w:bCs/>
              </w:rPr>
              <w:t>0.5</w:t>
            </w:r>
          </w:p>
        </w:tc>
        <w:tc>
          <w:tcPr>
            <w:tcW w:w="645" w:type="dxa"/>
            <w:shd w:val="clear" w:color="auto" w:fill="auto"/>
            <w:vAlign w:val="center"/>
          </w:tcPr>
          <w:p w14:paraId="7903B5D3" w14:textId="77777777" w:rsidR="00913C78" w:rsidRPr="0097400A" w:rsidRDefault="00913C78" w:rsidP="0097400A">
            <w:pPr>
              <w:pStyle w:val="ae"/>
              <w:rPr>
                <w:b w:val="0"/>
                <w:bCs/>
              </w:rPr>
            </w:pPr>
            <w:r w:rsidRPr="0097400A">
              <w:rPr>
                <w:rFonts w:hint="eastAsia"/>
                <w:b w:val="0"/>
                <w:bCs/>
              </w:rPr>
              <w:t>0.6</w:t>
            </w:r>
          </w:p>
        </w:tc>
        <w:tc>
          <w:tcPr>
            <w:tcW w:w="646" w:type="dxa"/>
            <w:shd w:val="clear" w:color="auto" w:fill="auto"/>
            <w:vAlign w:val="center"/>
          </w:tcPr>
          <w:p w14:paraId="1E636B05" w14:textId="77777777" w:rsidR="00913C78" w:rsidRPr="0097400A" w:rsidRDefault="00913C78" w:rsidP="0097400A">
            <w:pPr>
              <w:pStyle w:val="ae"/>
              <w:rPr>
                <w:b w:val="0"/>
                <w:bCs/>
              </w:rPr>
            </w:pPr>
            <w:r w:rsidRPr="0097400A">
              <w:rPr>
                <w:rFonts w:hint="eastAsia"/>
                <w:b w:val="0"/>
                <w:bCs/>
              </w:rPr>
              <w:t>0.7</w:t>
            </w:r>
          </w:p>
        </w:tc>
        <w:tc>
          <w:tcPr>
            <w:tcW w:w="646" w:type="dxa"/>
            <w:shd w:val="clear" w:color="auto" w:fill="auto"/>
            <w:vAlign w:val="center"/>
          </w:tcPr>
          <w:p w14:paraId="670D72F5" w14:textId="77777777" w:rsidR="00913C78" w:rsidRPr="0097400A" w:rsidRDefault="00913C78" w:rsidP="0097400A">
            <w:pPr>
              <w:pStyle w:val="ae"/>
              <w:rPr>
                <w:b w:val="0"/>
                <w:bCs/>
              </w:rPr>
            </w:pPr>
            <w:r w:rsidRPr="0097400A">
              <w:rPr>
                <w:rFonts w:hint="eastAsia"/>
                <w:b w:val="0"/>
                <w:bCs/>
              </w:rPr>
              <w:t>0.8</w:t>
            </w:r>
          </w:p>
        </w:tc>
        <w:tc>
          <w:tcPr>
            <w:tcW w:w="646" w:type="dxa"/>
            <w:shd w:val="clear" w:color="auto" w:fill="auto"/>
            <w:vAlign w:val="center"/>
          </w:tcPr>
          <w:p w14:paraId="0A002089" w14:textId="77777777" w:rsidR="00913C78" w:rsidRPr="0097400A" w:rsidRDefault="00913C78" w:rsidP="0097400A">
            <w:pPr>
              <w:pStyle w:val="ae"/>
              <w:rPr>
                <w:b w:val="0"/>
                <w:bCs/>
              </w:rPr>
            </w:pPr>
            <w:r w:rsidRPr="0097400A">
              <w:rPr>
                <w:rFonts w:hint="eastAsia"/>
                <w:b w:val="0"/>
                <w:bCs/>
              </w:rPr>
              <w:t>0.9</w:t>
            </w:r>
          </w:p>
        </w:tc>
      </w:tr>
      <w:tr w:rsidR="00913C78" w:rsidRPr="00913C78" w14:paraId="6BDC7F72" w14:textId="77777777" w:rsidTr="00A2511C">
        <w:trPr>
          <w:trHeight w:val="3558"/>
          <w:jc w:val="center"/>
        </w:trPr>
        <w:tc>
          <w:tcPr>
            <w:tcW w:w="918" w:type="dxa"/>
            <w:shd w:val="clear" w:color="auto" w:fill="auto"/>
          </w:tcPr>
          <w:p w14:paraId="37840779" w14:textId="77777777" w:rsidR="00913C78" w:rsidRPr="0097400A" w:rsidRDefault="00913C78" w:rsidP="0097400A">
            <w:pPr>
              <w:pStyle w:val="ae"/>
              <w:rPr>
                <w:b w:val="0"/>
                <w:bCs/>
              </w:rPr>
            </w:pPr>
            <w:r w:rsidRPr="0097400A">
              <w:rPr>
                <w:rFonts w:hint="eastAsia"/>
                <w:b w:val="0"/>
                <w:bCs/>
              </w:rPr>
              <w:t>0</w:t>
            </w:r>
          </w:p>
          <w:p w14:paraId="5F1F77CF" w14:textId="77777777" w:rsidR="00913C78" w:rsidRPr="0097400A" w:rsidRDefault="00913C78" w:rsidP="0097400A">
            <w:pPr>
              <w:pStyle w:val="ae"/>
              <w:rPr>
                <w:b w:val="0"/>
                <w:bCs/>
              </w:rPr>
            </w:pPr>
            <w:r w:rsidRPr="0097400A">
              <w:rPr>
                <w:rFonts w:hint="eastAsia"/>
                <w:b w:val="0"/>
                <w:bCs/>
              </w:rPr>
              <w:t>1</w:t>
            </w:r>
          </w:p>
          <w:p w14:paraId="55442BA5" w14:textId="77777777" w:rsidR="00913C78" w:rsidRPr="0097400A" w:rsidRDefault="00913C78" w:rsidP="0097400A">
            <w:pPr>
              <w:pStyle w:val="ae"/>
              <w:rPr>
                <w:b w:val="0"/>
                <w:bCs/>
              </w:rPr>
            </w:pPr>
            <w:r w:rsidRPr="0097400A">
              <w:rPr>
                <w:rFonts w:hint="eastAsia"/>
                <w:b w:val="0"/>
                <w:bCs/>
              </w:rPr>
              <w:t>2</w:t>
            </w:r>
          </w:p>
          <w:p w14:paraId="334B44EA" w14:textId="77777777" w:rsidR="00913C78" w:rsidRPr="0097400A" w:rsidRDefault="00913C78" w:rsidP="0097400A">
            <w:pPr>
              <w:pStyle w:val="ae"/>
              <w:rPr>
                <w:b w:val="0"/>
                <w:bCs/>
              </w:rPr>
            </w:pPr>
            <w:r w:rsidRPr="0097400A">
              <w:rPr>
                <w:rFonts w:hint="eastAsia"/>
                <w:b w:val="0"/>
                <w:bCs/>
              </w:rPr>
              <w:t>3</w:t>
            </w:r>
          </w:p>
          <w:p w14:paraId="699F9507" w14:textId="77777777" w:rsidR="00913C78" w:rsidRPr="0097400A" w:rsidRDefault="00913C78" w:rsidP="0097400A">
            <w:pPr>
              <w:pStyle w:val="ae"/>
              <w:rPr>
                <w:b w:val="0"/>
                <w:bCs/>
              </w:rPr>
            </w:pPr>
            <w:r w:rsidRPr="0097400A">
              <w:rPr>
                <w:rFonts w:hint="eastAsia"/>
                <w:b w:val="0"/>
                <w:bCs/>
              </w:rPr>
              <w:t>4</w:t>
            </w:r>
          </w:p>
          <w:p w14:paraId="2A252D72" w14:textId="77777777" w:rsidR="00913C78" w:rsidRPr="0097400A" w:rsidRDefault="00913C78" w:rsidP="0097400A">
            <w:pPr>
              <w:pStyle w:val="ae"/>
              <w:rPr>
                <w:b w:val="0"/>
                <w:bCs/>
              </w:rPr>
            </w:pPr>
            <w:r w:rsidRPr="0097400A">
              <w:rPr>
                <w:rFonts w:hint="eastAsia"/>
                <w:b w:val="0"/>
                <w:bCs/>
              </w:rPr>
              <w:t>5</w:t>
            </w:r>
          </w:p>
          <w:p w14:paraId="6F4D4A93" w14:textId="77777777" w:rsidR="00913C78" w:rsidRPr="0097400A" w:rsidRDefault="00913C78" w:rsidP="0097400A">
            <w:pPr>
              <w:pStyle w:val="ae"/>
              <w:rPr>
                <w:b w:val="0"/>
                <w:bCs/>
              </w:rPr>
            </w:pPr>
            <w:r w:rsidRPr="0097400A">
              <w:rPr>
                <w:rFonts w:hint="eastAsia"/>
                <w:b w:val="0"/>
                <w:bCs/>
              </w:rPr>
              <w:t>6</w:t>
            </w:r>
          </w:p>
          <w:p w14:paraId="0332D348" w14:textId="77777777" w:rsidR="00913C78" w:rsidRPr="0097400A" w:rsidRDefault="00913C78" w:rsidP="0097400A">
            <w:pPr>
              <w:pStyle w:val="ae"/>
              <w:rPr>
                <w:b w:val="0"/>
                <w:bCs/>
              </w:rPr>
            </w:pPr>
            <w:r w:rsidRPr="0097400A">
              <w:rPr>
                <w:rFonts w:hint="eastAsia"/>
                <w:b w:val="0"/>
                <w:bCs/>
              </w:rPr>
              <w:t>7</w:t>
            </w:r>
          </w:p>
          <w:p w14:paraId="4FE01798" w14:textId="77777777" w:rsidR="00913C78" w:rsidRPr="0097400A" w:rsidRDefault="00913C78" w:rsidP="0097400A">
            <w:pPr>
              <w:pStyle w:val="ae"/>
              <w:rPr>
                <w:b w:val="0"/>
                <w:bCs/>
              </w:rPr>
            </w:pPr>
            <w:r w:rsidRPr="0097400A">
              <w:rPr>
                <w:rFonts w:hint="eastAsia"/>
                <w:b w:val="0"/>
                <w:bCs/>
              </w:rPr>
              <w:t>8</w:t>
            </w:r>
          </w:p>
          <w:p w14:paraId="62F60307" w14:textId="77777777" w:rsidR="00913C78" w:rsidRPr="0097400A" w:rsidRDefault="00913C78" w:rsidP="0097400A">
            <w:pPr>
              <w:pStyle w:val="ae"/>
              <w:rPr>
                <w:b w:val="0"/>
                <w:bCs/>
              </w:rPr>
            </w:pPr>
            <w:r w:rsidRPr="0097400A">
              <w:rPr>
                <w:rFonts w:hint="eastAsia"/>
                <w:b w:val="0"/>
                <w:bCs/>
              </w:rPr>
              <w:lastRenderedPageBreak/>
              <w:t>9</w:t>
            </w:r>
          </w:p>
          <w:p w14:paraId="12DF081A" w14:textId="77777777" w:rsidR="00913C78" w:rsidRPr="0097400A" w:rsidRDefault="00913C78" w:rsidP="0097400A">
            <w:pPr>
              <w:pStyle w:val="ae"/>
              <w:rPr>
                <w:b w:val="0"/>
                <w:bCs/>
              </w:rPr>
            </w:pPr>
            <w:r w:rsidRPr="0097400A">
              <w:rPr>
                <w:rFonts w:hint="eastAsia"/>
                <w:b w:val="0"/>
                <w:bCs/>
              </w:rPr>
              <w:t>10</w:t>
            </w:r>
          </w:p>
          <w:p w14:paraId="114677C8" w14:textId="77777777" w:rsidR="00913C78" w:rsidRPr="0097400A" w:rsidRDefault="00913C78" w:rsidP="0097400A">
            <w:pPr>
              <w:pStyle w:val="ae"/>
              <w:rPr>
                <w:b w:val="0"/>
                <w:bCs/>
              </w:rPr>
            </w:pPr>
            <w:r w:rsidRPr="0097400A">
              <w:rPr>
                <w:rFonts w:hint="eastAsia"/>
                <w:b w:val="0"/>
                <w:bCs/>
              </w:rPr>
              <w:t>11</w:t>
            </w:r>
          </w:p>
          <w:p w14:paraId="576DFF2F" w14:textId="77777777" w:rsidR="00913C78" w:rsidRPr="0097400A" w:rsidRDefault="00913C78" w:rsidP="0097400A">
            <w:pPr>
              <w:pStyle w:val="ae"/>
              <w:rPr>
                <w:b w:val="0"/>
                <w:bCs/>
              </w:rPr>
            </w:pPr>
            <w:r w:rsidRPr="0097400A">
              <w:rPr>
                <w:rFonts w:hint="eastAsia"/>
                <w:b w:val="0"/>
                <w:bCs/>
              </w:rPr>
              <w:t>12</w:t>
            </w:r>
          </w:p>
          <w:p w14:paraId="31E38B83" w14:textId="77777777" w:rsidR="00913C78" w:rsidRPr="0097400A" w:rsidRDefault="00913C78" w:rsidP="0097400A">
            <w:pPr>
              <w:pStyle w:val="ae"/>
              <w:rPr>
                <w:b w:val="0"/>
                <w:bCs/>
              </w:rPr>
            </w:pPr>
            <w:r w:rsidRPr="0097400A">
              <w:rPr>
                <w:rFonts w:hint="eastAsia"/>
                <w:b w:val="0"/>
                <w:bCs/>
              </w:rPr>
              <w:t>13</w:t>
            </w:r>
          </w:p>
          <w:p w14:paraId="016BE77A" w14:textId="77777777" w:rsidR="00913C78" w:rsidRPr="0097400A" w:rsidRDefault="00913C78" w:rsidP="0097400A">
            <w:pPr>
              <w:pStyle w:val="ae"/>
              <w:rPr>
                <w:b w:val="0"/>
                <w:bCs/>
              </w:rPr>
            </w:pPr>
            <w:r w:rsidRPr="0097400A">
              <w:rPr>
                <w:rFonts w:hint="eastAsia"/>
                <w:b w:val="0"/>
                <w:bCs/>
              </w:rPr>
              <w:t>14</w:t>
            </w:r>
          </w:p>
          <w:p w14:paraId="239BE05B" w14:textId="77777777" w:rsidR="00913C78" w:rsidRPr="0097400A" w:rsidRDefault="00913C78" w:rsidP="0097400A">
            <w:pPr>
              <w:pStyle w:val="ae"/>
              <w:rPr>
                <w:b w:val="0"/>
                <w:bCs/>
              </w:rPr>
            </w:pPr>
            <w:r w:rsidRPr="0097400A">
              <w:rPr>
                <w:rFonts w:hint="eastAsia"/>
                <w:b w:val="0"/>
                <w:bCs/>
              </w:rPr>
              <w:t>15</w:t>
            </w:r>
          </w:p>
        </w:tc>
        <w:tc>
          <w:tcPr>
            <w:tcW w:w="645" w:type="dxa"/>
            <w:shd w:val="clear" w:color="auto" w:fill="auto"/>
          </w:tcPr>
          <w:p w14:paraId="2DFABCE8" w14:textId="77777777" w:rsidR="00913C78" w:rsidRPr="0097400A" w:rsidRDefault="00913C78" w:rsidP="0097400A">
            <w:pPr>
              <w:pStyle w:val="ae"/>
              <w:rPr>
                <w:b w:val="0"/>
                <w:bCs/>
              </w:rPr>
            </w:pPr>
            <w:r w:rsidRPr="0097400A">
              <w:rPr>
                <w:rFonts w:hint="eastAsia"/>
                <w:b w:val="0"/>
                <w:bCs/>
              </w:rPr>
              <w:lastRenderedPageBreak/>
              <w:t>3.0</w:t>
            </w:r>
          </w:p>
          <w:p w14:paraId="072DD7F4" w14:textId="77777777" w:rsidR="00913C78" w:rsidRPr="0097400A" w:rsidRDefault="00913C78" w:rsidP="0097400A">
            <w:pPr>
              <w:pStyle w:val="ae"/>
              <w:rPr>
                <w:b w:val="0"/>
                <w:bCs/>
              </w:rPr>
            </w:pPr>
            <w:r w:rsidRPr="0097400A">
              <w:rPr>
                <w:rFonts w:hint="eastAsia"/>
                <w:b w:val="0"/>
                <w:bCs/>
              </w:rPr>
              <w:t>2.5</w:t>
            </w:r>
          </w:p>
          <w:p w14:paraId="04C2684D" w14:textId="77777777" w:rsidR="00913C78" w:rsidRPr="0097400A" w:rsidRDefault="00913C78" w:rsidP="0097400A">
            <w:pPr>
              <w:pStyle w:val="ae"/>
              <w:rPr>
                <w:b w:val="0"/>
                <w:bCs/>
              </w:rPr>
            </w:pPr>
            <w:r w:rsidRPr="0097400A">
              <w:rPr>
                <w:rFonts w:hint="eastAsia"/>
                <w:b w:val="0"/>
                <w:bCs/>
              </w:rPr>
              <w:t>2.1</w:t>
            </w:r>
          </w:p>
          <w:p w14:paraId="3127F3BB" w14:textId="77777777" w:rsidR="00913C78" w:rsidRPr="0097400A" w:rsidRDefault="00913C78" w:rsidP="0097400A">
            <w:pPr>
              <w:pStyle w:val="ae"/>
              <w:rPr>
                <w:b w:val="0"/>
                <w:bCs/>
              </w:rPr>
            </w:pPr>
            <w:r w:rsidRPr="0097400A">
              <w:rPr>
                <w:rFonts w:hint="eastAsia"/>
                <w:b w:val="0"/>
                <w:bCs/>
              </w:rPr>
              <w:t>1.8</w:t>
            </w:r>
          </w:p>
          <w:p w14:paraId="64BE0D08" w14:textId="77777777" w:rsidR="00913C78" w:rsidRPr="0097400A" w:rsidRDefault="00913C78" w:rsidP="0097400A">
            <w:pPr>
              <w:pStyle w:val="ae"/>
              <w:rPr>
                <w:b w:val="0"/>
                <w:bCs/>
              </w:rPr>
            </w:pPr>
            <w:r w:rsidRPr="0097400A">
              <w:rPr>
                <w:rFonts w:hint="eastAsia"/>
                <w:b w:val="0"/>
                <w:bCs/>
              </w:rPr>
              <w:t>1.5</w:t>
            </w:r>
          </w:p>
          <w:p w14:paraId="6A06E806" w14:textId="77777777" w:rsidR="00913C78" w:rsidRPr="0097400A" w:rsidRDefault="00913C78" w:rsidP="0097400A">
            <w:pPr>
              <w:pStyle w:val="ae"/>
              <w:rPr>
                <w:b w:val="0"/>
                <w:bCs/>
              </w:rPr>
            </w:pPr>
            <w:r w:rsidRPr="0097400A">
              <w:rPr>
                <w:rFonts w:hint="eastAsia"/>
                <w:b w:val="0"/>
                <w:bCs/>
              </w:rPr>
              <w:t>1.2</w:t>
            </w:r>
          </w:p>
          <w:p w14:paraId="260016EE" w14:textId="77777777" w:rsidR="00913C78" w:rsidRPr="0097400A" w:rsidRDefault="00913C78" w:rsidP="0097400A">
            <w:pPr>
              <w:pStyle w:val="ae"/>
              <w:rPr>
                <w:b w:val="0"/>
                <w:bCs/>
              </w:rPr>
            </w:pPr>
            <w:r w:rsidRPr="0097400A">
              <w:rPr>
                <w:rFonts w:hint="eastAsia"/>
                <w:b w:val="0"/>
                <w:bCs/>
              </w:rPr>
              <w:t>1.0</w:t>
            </w:r>
          </w:p>
          <w:p w14:paraId="6C7C7FC0" w14:textId="77777777" w:rsidR="00913C78" w:rsidRPr="0097400A" w:rsidRDefault="00913C78" w:rsidP="0097400A">
            <w:pPr>
              <w:pStyle w:val="ae"/>
              <w:rPr>
                <w:b w:val="0"/>
                <w:bCs/>
              </w:rPr>
            </w:pPr>
            <w:r w:rsidRPr="0097400A">
              <w:rPr>
                <w:rFonts w:hint="eastAsia"/>
                <w:b w:val="0"/>
                <w:bCs/>
              </w:rPr>
              <w:t>0.8</w:t>
            </w:r>
          </w:p>
          <w:p w14:paraId="7F3DDA0A" w14:textId="77777777" w:rsidR="00913C78" w:rsidRPr="0097400A" w:rsidRDefault="00913C78" w:rsidP="0097400A">
            <w:pPr>
              <w:pStyle w:val="ae"/>
              <w:rPr>
                <w:b w:val="0"/>
                <w:bCs/>
              </w:rPr>
            </w:pPr>
            <w:r w:rsidRPr="0097400A">
              <w:rPr>
                <w:rFonts w:hint="eastAsia"/>
                <w:b w:val="0"/>
                <w:bCs/>
              </w:rPr>
              <w:t>0.6</w:t>
            </w:r>
          </w:p>
          <w:p w14:paraId="02E2A40D" w14:textId="77777777" w:rsidR="00913C78" w:rsidRPr="0097400A" w:rsidRDefault="00913C78" w:rsidP="0097400A">
            <w:pPr>
              <w:pStyle w:val="ae"/>
              <w:rPr>
                <w:b w:val="0"/>
                <w:bCs/>
              </w:rPr>
            </w:pPr>
            <w:r w:rsidRPr="0097400A">
              <w:rPr>
                <w:rFonts w:hint="eastAsia"/>
                <w:b w:val="0"/>
                <w:bCs/>
              </w:rPr>
              <w:lastRenderedPageBreak/>
              <w:t>0.5</w:t>
            </w:r>
          </w:p>
          <w:p w14:paraId="4BBC4849" w14:textId="77777777" w:rsidR="00913C78" w:rsidRPr="0097400A" w:rsidRDefault="00913C78" w:rsidP="0097400A">
            <w:pPr>
              <w:pStyle w:val="ae"/>
              <w:rPr>
                <w:b w:val="0"/>
                <w:bCs/>
              </w:rPr>
            </w:pPr>
            <w:r w:rsidRPr="0097400A">
              <w:rPr>
                <w:rFonts w:hint="eastAsia"/>
                <w:b w:val="0"/>
                <w:bCs/>
              </w:rPr>
              <w:t>0.4</w:t>
            </w:r>
          </w:p>
          <w:p w14:paraId="112DEFE4" w14:textId="77777777" w:rsidR="00913C78" w:rsidRPr="0097400A" w:rsidRDefault="00913C78" w:rsidP="0097400A">
            <w:pPr>
              <w:pStyle w:val="ae"/>
              <w:rPr>
                <w:b w:val="0"/>
                <w:bCs/>
              </w:rPr>
            </w:pPr>
            <w:r w:rsidRPr="0097400A">
              <w:rPr>
                <w:rFonts w:hint="eastAsia"/>
                <w:b w:val="0"/>
                <w:bCs/>
              </w:rPr>
              <w:t>0.3</w:t>
            </w:r>
          </w:p>
          <w:p w14:paraId="2A58C05E" w14:textId="77777777" w:rsidR="00913C78" w:rsidRPr="0097400A" w:rsidRDefault="00913C78" w:rsidP="0097400A">
            <w:pPr>
              <w:pStyle w:val="ae"/>
              <w:rPr>
                <w:b w:val="0"/>
                <w:bCs/>
              </w:rPr>
            </w:pPr>
            <w:r w:rsidRPr="0097400A">
              <w:rPr>
                <w:rFonts w:hint="eastAsia"/>
                <w:b w:val="0"/>
                <w:bCs/>
              </w:rPr>
              <w:t>0.3</w:t>
            </w:r>
          </w:p>
          <w:p w14:paraId="29D89504" w14:textId="77777777" w:rsidR="00913C78" w:rsidRPr="0097400A" w:rsidRDefault="00913C78" w:rsidP="0097400A">
            <w:pPr>
              <w:pStyle w:val="ae"/>
              <w:rPr>
                <w:b w:val="0"/>
                <w:bCs/>
              </w:rPr>
            </w:pPr>
            <w:r w:rsidRPr="0097400A">
              <w:rPr>
                <w:rFonts w:hint="eastAsia"/>
                <w:b w:val="0"/>
                <w:bCs/>
              </w:rPr>
              <w:t>0.2</w:t>
            </w:r>
          </w:p>
          <w:p w14:paraId="74D97D23" w14:textId="77777777" w:rsidR="00913C78" w:rsidRPr="0097400A" w:rsidRDefault="00913C78" w:rsidP="0097400A">
            <w:pPr>
              <w:pStyle w:val="ae"/>
              <w:rPr>
                <w:b w:val="0"/>
                <w:bCs/>
              </w:rPr>
            </w:pPr>
            <w:r w:rsidRPr="0097400A">
              <w:rPr>
                <w:rFonts w:hint="eastAsia"/>
                <w:b w:val="0"/>
                <w:bCs/>
              </w:rPr>
              <w:t>0.2</w:t>
            </w:r>
          </w:p>
          <w:p w14:paraId="56A29AE1" w14:textId="77777777" w:rsidR="00913C78" w:rsidRPr="0097400A" w:rsidRDefault="00913C78" w:rsidP="0097400A">
            <w:pPr>
              <w:pStyle w:val="ae"/>
              <w:rPr>
                <w:b w:val="0"/>
                <w:bCs/>
              </w:rPr>
            </w:pPr>
            <w:r w:rsidRPr="0097400A">
              <w:rPr>
                <w:rFonts w:hint="eastAsia"/>
                <w:b w:val="0"/>
                <w:bCs/>
              </w:rPr>
              <w:t>0.1</w:t>
            </w:r>
          </w:p>
        </w:tc>
        <w:tc>
          <w:tcPr>
            <w:tcW w:w="645" w:type="dxa"/>
            <w:shd w:val="clear" w:color="auto" w:fill="auto"/>
          </w:tcPr>
          <w:p w14:paraId="371C8A9F" w14:textId="77777777" w:rsidR="00913C78" w:rsidRPr="0097400A" w:rsidRDefault="00913C78" w:rsidP="0097400A">
            <w:pPr>
              <w:pStyle w:val="ae"/>
              <w:rPr>
                <w:b w:val="0"/>
                <w:bCs/>
              </w:rPr>
            </w:pPr>
            <w:r w:rsidRPr="0097400A">
              <w:rPr>
                <w:rFonts w:hint="eastAsia"/>
                <w:b w:val="0"/>
                <w:bCs/>
              </w:rPr>
              <w:lastRenderedPageBreak/>
              <w:t>3.0</w:t>
            </w:r>
          </w:p>
          <w:p w14:paraId="5CFECA48" w14:textId="77777777" w:rsidR="00913C78" w:rsidRPr="0097400A" w:rsidRDefault="00913C78" w:rsidP="0097400A">
            <w:pPr>
              <w:pStyle w:val="ae"/>
              <w:rPr>
                <w:b w:val="0"/>
                <w:bCs/>
              </w:rPr>
            </w:pPr>
            <w:r w:rsidRPr="0097400A">
              <w:rPr>
                <w:rFonts w:hint="eastAsia"/>
                <w:b w:val="0"/>
                <w:bCs/>
              </w:rPr>
              <w:t>2.5</w:t>
            </w:r>
          </w:p>
          <w:p w14:paraId="35A301CD" w14:textId="77777777" w:rsidR="00913C78" w:rsidRPr="0097400A" w:rsidRDefault="00913C78" w:rsidP="0097400A">
            <w:pPr>
              <w:pStyle w:val="ae"/>
              <w:rPr>
                <w:b w:val="0"/>
                <w:bCs/>
              </w:rPr>
            </w:pPr>
            <w:r w:rsidRPr="0097400A">
              <w:rPr>
                <w:rFonts w:hint="eastAsia"/>
                <w:b w:val="0"/>
                <w:bCs/>
              </w:rPr>
              <w:t>2.1</w:t>
            </w:r>
          </w:p>
          <w:p w14:paraId="4988E08D" w14:textId="77777777" w:rsidR="00913C78" w:rsidRPr="0097400A" w:rsidRDefault="00913C78" w:rsidP="0097400A">
            <w:pPr>
              <w:pStyle w:val="ae"/>
              <w:rPr>
                <w:b w:val="0"/>
                <w:bCs/>
              </w:rPr>
            </w:pPr>
            <w:r w:rsidRPr="0097400A">
              <w:rPr>
                <w:rFonts w:hint="eastAsia"/>
                <w:b w:val="0"/>
                <w:bCs/>
              </w:rPr>
              <w:t>1.7</w:t>
            </w:r>
          </w:p>
          <w:p w14:paraId="231B5B37" w14:textId="77777777" w:rsidR="00913C78" w:rsidRPr="0097400A" w:rsidRDefault="00913C78" w:rsidP="0097400A">
            <w:pPr>
              <w:pStyle w:val="ae"/>
              <w:rPr>
                <w:b w:val="0"/>
                <w:bCs/>
              </w:rPr>
            </w:pPr>
            <w:r w:rsidRPr="0097400A">
              <w:rPr>
                <w:rFonts w:hint="eastAsia"/>
                <w:b w:val="0"/>
                <w:bCs/>
              </w:rPr>
              <w:t>1.4</w:t>
            </w:r>
          </w:p>
          <w:p w14:paraId="6B870639" w14:textId="77777777" w:rsidR="00913C78" w:rsidRPr="0097400A" w:rsidRDefault="00913C78" w:rsidP="0097400A">
            <w:pPr>
              <w:pStyle w:val="ae"/>
              <w:rPr>
                <w:b w:val="0"/>
                <w:bCs/>
              </w:rPr>
            </w:pPr>
            <w:r w:rsidRPr="0097400A">
              <w:rPr>
                <w:rFonts w:hint="eastAsia"/>
                <w:b w:val="0"/>
                <w:bCs/>
              </w:rPr>
              <w:t>1.2</w:t>
            </w:r>
          </w:p>
          <w:p w14:paraId="3606B038" w14:textId="77777777" w:rsidR="00913C78" w:rsidRPr="0097400A" w:rsidRDefault="00913C78" w:rsidP="0097400A">
            <w:pPr>
              <w:pStyle w:val="ae"/>
              <w:rPr>
                <w:b w:val="0"/>
                <w:bCs/>
              </w:rPr>
            </w:pPr>
            <w:r w:rsidRPr="0097400A">
              <w:rPr>
                <w:rFonts w:hint="eastAsia"/>
                <w:b w:val="0"/>
                <w:bCs/>
              </w:rPr>
              <w:t>1.0</w:t>
            </w:r>
          </w:p>
          <w:p w14:paraId="39A32365" w14:textId="77777777" w:rsidR="00913C78" w:rsidRPr="0097400A" w:rsidRDefault="00913C78" w:rsidP="0097400A">
            <w:pPr>
              <w:pStyle w:val="ae"/>
              <w:rPr>
                <w:b w:val="0"/>
                <w:bCs/>
              </w:rPr>
            </w:pPr>
            <w:r w:rsidRPr="0097400A">
              <w:rPr>
                <w:rFonts w:hint="eastAsia"/>
                <w:b w:val="0"/>
                <w:bCs/>
              </w:rPr>
              <w:t>0.8</w:t>
            </w:r>
          </w:p>
          <w:p w14:paraId="4291A55F" w14:textId="77777777" w:rsidR="00913C78" w:rsidRPr="0097400A" w:rsidRDefault="00913C78" w:rsidP="0097400A">
            <w:pPr>
              <w:pStyle w:val="ae"/>
              <w:rPr>
                <w:b w:val="0"/>
                <w:bCs/>
              </w:rPr>
            </w:pPr>
            <w:r w:rsidRPr="0097400A">
              <w:rPr>
                <w:rFonts w:hint="eastAsia"/>
                <w:b w:val="0"/>
                <w:bCs/>
              </w:rPr>
              <w:t>0.6</w:t>
            </w:r>
          </w:p>
          <w:p w14:paraId="6881F285" w14:textId="77777777" w:rsidR="00913C78" w:rsidRPr="0097400A" w:rsidRDefault="00913C78" w:rsidP="0097400A">
            <w:pPr>
              <w:pStyle w:val="ae"/>
              <w:rPr>
                <w:b w:val="0"/>
                <w:bCs/>
              </w:rPr>
            </w:pPr>
            <w:r w:rsidRPr="0097400A">
              <w:rPr>
                <w:rFonts w:hint="eastAsia"/>
                <w:b w:val="0"/>
                <w:bCs/>
              </w:rPr>
              <w:lastRenderedPageBreak/>
              <w:t>0.5</w:t>
            </w:r>
          </w:p>
          <w:p w14:paraId="5C41BD51" w14:textId="77777777" w:rsidR="00913C78" w:rsidRPr="0097400A" w:rsidRDefault="00913C78" w:rsidP="0097400A">
            <w:pPr>
              <w:pStyle w:val="ae"/>
              <w:rPr>
                <w:b w:val="0"/>
                <w:bCs/>
              </w:rPr>
            </w:pPr>
            <w:r w:rsidRPr="0097400A">
              <w:rPr>
                <w:rFonts w:hint="eastAsia"/>
                <w:b w:val="0"/>
                <w:bCs/>
              </w:rPr>
              <w:t>—</w:t>
            </w:r>
          </w:p>
          <w:p w14:paraId="6108C6EF" w14:textId="77777777" w:rsidR="00913C78" w:rsidRPr="0097400A" w:rsidRDefault="00913C78" w:rsidP="0097400A">
            <w:pPr>
              <w:pStyle w:val="ae"/>
              <w:rPr>
                <w:b w:val="0"/>
                <w:bCs/>
              </w:rPr>
            </w:pPr>
            <w:r w:rsidRPr="0097400A">
              <w:rPr>
                <w:rFonts w:hint="eastAsia"/>
                <w:b w:val="0"/>
                <w:bCs/>
              </w:rPr>
              <w:t>—</w:t>
            </w:r>
          </w:p>
          <w:p w14:paraId="28C497FE" w14:textId="77777777" w:rsidR="00913C78" w:rsidRPr="0097400A" w:rsidRDefault="00913C78" w:rsidP="0097400A">
            <w:pPr>
              <w:pStyle w:val="ae"/>
              <w:rPr>
                <w:b w:val="0"/>
                <w:bCs/>
              </w:rPr>
            </w:pPr>
            <w:r w:rsidRPr="0097400A">
              <w:rPr>
                <w:rFonts w:hint="eastAsia"/>
                <w:b w:val="0"/>
                <w:bCs/>
              </w:rPr>
              <w:t>—</w:t>
            </w:r>
          </w:p>
          <w:p w14:paraId="1907A499" w14:textId="77777777" w:rsidR="00913C78" w:rsidRPr="0097400A" w:rsidRDefault="00913C78" w:rsidP="0097400A">
            <w:pPr>
              <w:pStyle w:val="ae"/>
              <w:rPr>
                <w:b w:val="0"/>
                <w:bCs/>
              </w:rPr>
            </w:pPr>
            <w:r w:rsidRPr="0097400A">
              <w:rPr>
                <w:rFonts w:hint="eastAsia"/>
                <w:b w:val="0"/>
                <w:bCs/>
              </w:rPr>
              <w:t>—</w:t>
            </w:r>
          </w:p>
          <w:p w14:paraId="55423355" w14:textId="77777777" w:rsidR="00913C78" w:rsidRPr="0097400A" w:rsidRDefault="00913C78" w:rsidP="0097400A">
            <w:pPr>
              <w:pStyle w:val="ae"/>
              <w:rPr>
                <w:b w:val="0"/>
                <w:bCs/>
              </w:rPr>
            </w:pPr>
            <w:r w:rsidRPr="0097400A">
              <w:rPr>
                <w:rFonts w:hint="eastAsia"/>
                <w:b w:val="0"/>
                <w:bCs/>
              </w:rPr>
              <w:t>—</w:t>
            </w:r>
          </w:p>
          <w:p w14:paraId="67B83518" w14:textId="77777777" w:rsidR="00913C78" w:rsidRPr="0097400A" w:rsidRDefault="00913C78" w:rsidP="0097400A">
            <w:pPr>
              <w:pStyle w:val="ae"/>
              <w:rPr>
                <w:b w:val="0"/>
                <w:bCs/>
              </w:rPr>
            </w:pPr>
            <w:r w:rsidRPr="0097400A">
              <w:rPr>
                <w:rFonts w:hint="eastAsia"/>
                <w:b w:val="0"/>
                <w:bCs/>
              </w:rPr>
              <w:t>—</w:t>
            </w:r>
          </w:p>
        </w:tc>
        <w:tc>
          <w:tcPr>
            <w:tcW w:w="645" w:type="dxa"/>
            <w:shd w:val="clear" w:color="auto" w:fill="auto"/>
          </w:tcPr>
          <w:p w14:paraId="20D9C52B" w14:textId="77777777" w:rsidR="00913C78" w:rsidRPr="0097400A" w:rsidRDefault="00913C78" w:rsidP="0097400A">
            <w:pPr>
              <w:pStyle w:val="ae"/>
              <w:rPr>
                <w:b w:val="0"/>
                <w:bCs/>
              </w:rPr>
            </w:pPr>
            <w:r w:rsidRPr="0097400A">
              <w:rPr>
                <w:rFonts w:hint="eastAsia"/>
                <w:b w:val="0"/>
                <w:bCs/>
              </w:rPr>
              <w:lastRenderedPageBreak/>
              <w:t>2.9</w:t>
            </w:r>
          </w:p>
          <w:p w14:paraId="5D6DC83A" w14:textId="77777777" w:rsidR="00913C78" w:rsidRPr="0097400A" w:rsidRDefault="00913C78" w:rsidP="0097400A">
            <w:pPr>
              <w:pStyle w:val="ae"/>
              <w:rPr>
                <w:b w:val="0"/>
                <w:bCs/>
              </w:rPr>
            </w:pPr>
            <w:r w:rsidRPr="0097400A">
              <w:rPr>
                <w:rFonts w:hint="eastAsia"/>
                <w:b w:val="0"/>
                <w:bCs/>
              </w:rPr>
              <w:t>2.5</w:t>
            </w:r>
          </w:p>
          <w:p w14:paraId="57A74F75" w14:textId="77777777" w:rsidR="00913C78" w:rsidRPr="0097400A" w:rsidRDefault="00913C78" w:rsidP="0097400A">
            <w:pPr>
              <w:pStyle w:val="ae"/>
              <w:rPr>
                <w:b w:val="0"/>
                <w:bCs/>
              </w:rPr>
            </w:pPr>
            <w:r w:rsidRPr="0097400A">
              <w:rPr>
                <w:rFonts w:hint="eastAsia"/>
                <w:b w:val="0"/>
                <w:bCs/>
              </w:rPr>
              <w:t>2.1</w:t>
            </w:r>
          </w:p>
          <w:p w14:paraId="48A0150B" w14:textId="77777777" w:rsidR="00913C78" w:rsidRPr="0097400A" w:rsidRDefault="00913C78" w:rsidP="0097400A">
            <w:pPr>
              <w:pStyle w:val="ae"/>
              <w:rPr>
                <w:b w:val="0"/>
                <w:bCs/>
              </w:rPr>
            </w:pPr>
            <w:r w:rsidRPr="0097400A">
              <w:rPr>
                <w:rFonts w:hint="eastAsia"/>
                <w:b w:val="0"/>
                <w:bCs/>
              </w:rPr>
              <w:t>1.7</w:t>
            </w:r>
          </w:p>
          <w:p w14:paraId="40542328" w14:textId="77777777" w:rsidR="00913C78" w:rsidRPr="0097400A" w:rsidRDefault="00913C78" w:rsidP="0097400A">
            <w:pPr>
              <w:pStyle w:val="ae"/>
              <w:rPr>
                <w:b w:val="0"/>
                <w:bCs/>
              </w:rPr>
            </w:pPr>
            <w:r w:rsidRPr="0097400A">
              <w:rPr>
                <w:rFonts w:hint="eastAsia"/>
                <w:b w:val="0"/>
                <w:bCs/>
              </w:rPr>
              <w:t>1.4</w:t>
            </w:r>
          </w:p>
          <w:p w14:paraId="76D59F67" w14:textId="77777777" w:rsidR="00913C78" w:rsidRPr="0097400A" w:rsidRDefault="00913C78" w:rsidP="0097400A">
            <w:pPr>
              <w:pStyle w:val="ae"/>
              <w:rPr>
                <w:b w:val="0"/>
                <w:bCs/>
              </w:rPr>
            </w:pPr>
            <w:r w:rsidRPr="0097400A">
              <w:rPr>
                <w:rFonts w:hint="eastAsia"/>
                <w:b w:val="0"/>
                <w:bCs/>
              </w:rPr>
              <w:t>1.2</w:t>
            </w:r>
          </w:p>
          <w:p w14:paraId="7C512581" w14:textId="77777777" w:rsidR="00913C78" w:rsidRPr="0097400A" w:rsidRDefault="00913C78" w:rsidP="0097400A">
            <w:pPr>
              <w:pStyle w:val="ae"/>
              <w:rPr>
                <w:b w:val="0"/>
                <w:bCs/>
              </w:rPr>
            </w:pPr>
            <w:r w:rsidRPr="0097400A">
              <w:rPr>
                <w:rFonts w:hint="eastAsia"/>
                <w:b w:val="0"/>
                <w:bCs/>
              </w:rPr>
              <w:t>0.9</w:t>
            </w:r>
          </w:p>
          <w:p w14:paraId="5018C611" w14:textId="77777777" w:rsidR="00913C78" w:rsidRPr="0097400A" w:rsidRDefault="00913C78" w:rsidP="0097400A">
            <w:pPr>
              <w:pStyle w:val="ae"/>
              <w:rPr>
                <w:b w:val="0"/>
                <w:bCs/>
              </w:rPr>
            </w:pPr>
            <w:r w:rsidRPr="0097400A">
              <w:rPr>
                <w:rFonts w:hint="eastAsia"/>
                <w:b w:val="0"/>
                <w:bCs/>
              </w:rPr>
              <w:t>0.8</w:t>
            </w:r>
          </w:p>
          <w:p w14:paraId="61734BEC" w14:textId="77777777" w:rsidR="00913C78" w:rsidRPr="0097400A" w:rsidRDefault="00913C78" w:rsidP="0097400A">
            <w:pPr>
              <w:pStyle w:val="ae"/>
              <w:rPr>
                <w:b w:val="0"/>
                <w:bCs/>
              </w:rPr>
            </w:pPr>
            <w:r w:rsidRPr="0097400A">
              <w:rPr>
                <w:rFonts w:hint="eastAsia"/>
                <w:b w:val="0"/>
                <w:bCs/>
              </w:rPr>
              <w:t>0.6</w:t>
            </w:r>
          </w:p>
          <w:p w14:paraId="1F347D18" w14:textId="77777777" w:rsidR="00913C78" w:rsidRPr="0097400A" w:rsidRDefault="00913C78" w:rsidP="0097400A">
            <w:pPr>
              <w:pStyle w:val="ae"/>
              <w:rPr>
                <w:b w:val="0"/>
                <w:bCs/>
              </w:rPr>
            </w:pPr>
            <w:r w:rsidRPr="0097400A">
              <w:rPr>
                <w:rFonts w:hint="eastAsia"/>
                <w:b w:val="0"/>
                <w:bCs/>
              </w:rPr>
              <w:lastRenderedPageBreak/>
              <w:t>0.5</w:t>
            </w:r>
          </w:p>
          <w:p w14:paraId="3BAFCBD3" w14:textId="77777777" w:rsidR="00913C78" w:rsidRPr="0097400A" w:rsidRDefault="00913C78" w:rsidP="0097400A">
            <w:pPr>
              <w:pStyle w:val="ae"/>
              <w:rPr>
                <w:b w:val="0"/>
                <w:bCs/>
              </w:rPr>
            </w:pPr>
            <w:r w:rsidRPr="0097400A">
              <w:rPr>
                <w:rFonts w:hint="eastAsia"/>
                <w:b w:val="0"/>
                <w:bCs/>
              </w:rPr>
              <w:t>—</w:t>
            </w:r>
          </w:p>
          <w:p w14:paraId="622B29C7" w14:textId="77777777" w:rsidR="00913C78" w:rsidRPr="0097400A" w:rsidRDefault="00913C78" w:rsidP="0097400A">
            <w:pPr>
              <w:pStyle w:val="ae"/>
              <w:rPr>
                <w:b w:val="0"/>
                <w:bCs/>
              </w:rPr>
            </w:pPr>
            <w:r w:rsidRPr="0097400A">
              <w:rPr>
                <w:rFonts w:hint="eastAsia"/>
                <w:b w:val="0"/>
                <w:bCs/>
              </w:rPr>
              <w:t>—</w:t>
            </w:r>
          </w:p>
          <w:p w14:paraId="2CEEA61D" w14:textId="77777777" w:rsidR="00913C78" w:rsidRPr="0097400A" w:rsidRDefault="00913C78" w:rsidP="0097400A">
            <w:pPr>
              <w:pStyle w:val="ae"/>
              <w:rPr>
                <w:b w:val="0"/>
                <w:bCs/>
              </w:rPr>
            </w:pPr>
            <w:r w:rsidRPr="0097400A">
              <w:rPr>
                <w:rFonts w:hint="eastAsia"/>
                <w:b w:val="0"/>
                <w:bCs/>
              </w:rPr>
              <w:t>—</w:t>
            </w:r>
          </w:p>
          <w:p w14:paraId="5A6772D0" w14:textId="77777777" w:rsidR="00913C78" w:rsidRPr="0097400A" w:rsidRDefault="00913C78" w:rsidP="0097400A">
            <w:pPr>
              <w:pStyle w:val="ae"/>
              <w:rPr>
                <w:b w:val="0"/>
                <w:bCs/>
              </w:rPr>
            </w:pPr>
            <w:r w:rsidRPr="0097400A">
              <w:rPr>
                <w:rFonts w:hint="eastAsia"/>
                <w:b w:val="0"/>
                <w:bCs/>
              </w:rPr>
              <w:t>—</w:t>
            </w:r>
          </w:p>
          <w:p w14:paraId="4DAC6BF4" w14:textId="77777777" w:rsidR="00913C78" w:rsidRPr="0097400A" w:rsidRDefault="00913C78" w:rsidP="0097400A">
            <w:pPr>
              <w:pStyle w:val="ae"/>
              <w:rPr>
                <w:b w:val="0"/>
                <w:bCs/>
              </w:rPr>
            </w:pPr>
            <w:r w:rsidRPr="0097400A">
              <w:rPr>
                <w:rFonts w:hint="eastAsia"/>
                <w:b w:val="0"/>
                <w:bCs/>
              </w:rPr>
              <w:t>—</w:t>
            </w:r>
          </w:p>
          <w:p w14:paraId="6AB65A09" w14:textId="77777777" w:rsidR="00913C78" w:rsidRPr="0097400A" w:rsidRDefault="00913C78" w:rsidP="0097400A">
            <w:pPr>
              <w:pStyle w:val="ae"/>
              <w:rPr>
                <w:b w:val="0"/>
                <w:bCs/>
              </w:rPr>
            </w:pPr>
            <w:r w:rsidRPr="0097400A">
              <w:rPr>
                <w:rFonts w:hint="eastAsia"/>
                <w:b w:val="0"/>
                <w:bCs/>
              </w:rPr>
              <w:t>—</w:t>
            </w:r>
          </w:p>
        </w:tc>
        <w:tc>
          <w:tcPr>
            <w:tcW w:w="645" w:type="dxa"/>
            <w:shd w:val="clear" w:color="auto" w:fill="auto"/>
          </w:tcPr>
          <w:p w14:paraId="70A908C6" w14:textId="77777777" w:rsidR="00913C78" w:rsidRPr="0097400A" w:rsidRDefault="00913C78" w:rsidP="0097400A">
            <w:pPr>
              <w:pStyle w:val="ae"/>
              <w:rPr>
                <w:b w:val="0"/>
                <w:bCs/>
              </w:rPr>
            </w:pPr>
            <w:r w:rsidRPr="0097400A">
              <w:rPr>
                <w:rFonts w:hint="eastAsia"/>
                <w:b w:val="0"/>
                <w:bCs/>
              </w:rPr>
              <w:lastRenderedPageBreak/>
              <w:t>2.9</w:t>
            </w:r>
          </w:p>
          <w:p w14:paraId="1FC27749" w14:textId="77777777" w:rsidR="00913C78" w:rsidRPr="0097400A" w:rsidRDefault="00913C78" w:rsidP="0097400A">
            <w:pPr>
              <w:pStyle w:val="ae"/>
              <w:rPr>
                <w:b w:val="0"/>
                <w:bCs/>
              </w:rPr>
            </w:pPr>
            <w:r w:rsidRPr="0097400A">
              <w:rPr>
                <w:rFonts w:hint="eastAsia"/>
                <w:b w:val="0"/>
                <w:bCs/>
              </w:rPr>
              <w:t>2.4</w:t>
            </w:r>
          </w:p>
          <w:p w14:paraId="0266FFF8" w14:textId="77777777" w:rsidR="00913C78" w:rsidRPr="0097400A" w:rsidRDefault="00913C78" w:rsidP="0097400A">
            <w:pPr>
              <w:pStyle w:val="ae"/>
              <w:rPr>
                <w:b w:val="0"/>
                <w:bCs/>
              </w:rPr>
            </w:pPr>
            <w:r w:rsidRPr="0097400A">
              <w:rPr>
                <w:rFonts w:hint="eastAsia"/>
                <w:b w:val="0"/>
                <w:bCs/>
              </w:rPr>
              <w:t>2.0</w:t>
            </w:r>
          </w:p>
          <w:p w14:paraId="44767568" w14:textId="77777777" w:rsidR="00913C78" w:rsidRPr="0097400A" w:rsidRDefault="00913C78" w:rsidP="0097400A">
            <w:pPr>
              <w:pStyle w:val="ae"/>
              <w:rPr>
                <w:b w:val="0"/>
                <w:bCs/>
              </w:rPr>
            </w:pPr>
            <w:r w:rsidRPr="0097400A">
              <w:rPr>
                <w:rFonts w:hint="eastAsia"/>
                <w:b w:val="0"/>
                <w:bCs/>
              </w:rPr>
              <w:t>1.7</w:t>
            </w:r>
          </w:p>
          <w:p w14:paraId="0F82E5FC" w14:textId="77777777" w:rsidR="00913C78" w:rsidRPr="0097400A" w:rsidRDefault="00913C78" w:rsidP="0097400A">
            <w:pPr>
              <w:pStyle w:val="ae"/>
              <w:rPr>
                <w:b w:val="0"/>
                <w:bCs/>
              </w:rPr>
            </w:pPr>
            <w:r w:rsidRPr="0097400A">
              <w:rPr>
                <w:rFonts w:hint="eastAsia"/>
                <w:b w:val="0"/>
                <w:bCs/>
              </w:rPr>
              <w:t>1.4</w:t>
            </w:r>
          </w:p>
          <w:p w14:paraId="2BBDBECD" w14:textId="77777777" w:rsidR="00913C78" w:rsidRPr="0097400A" w:rsidRDefault="00913C78" w:rsidP="0097400A">
            <w:pPr>
              <w:pStyle w:val="ae"/>
              <w:rPr>
                <w:b w:val="0"/>
                <w:bCs/>
              </w:rPr>
            </w:pPr>
            <w:r w:rsidRPr="0097400A">
              <w:rPr>
                <w:rFonts w:hint="eastAsia"/>
                <w:b w:val="0"/>
                <w:bCs/>
              </w:rPr>
              <w:t>1.1</w:t>
            </w:r>
          </w:p>
          <w:p w14:paraId="294D988A" w14:textId="77777777" w:rsidR="00913C78" w:rsidRPr="0097400A" w:rsidRDefault="00913C78" w:rsidP="0097400A">
            <w:pPr>
              <w:pStyle w:val="ae"/>
              <w:rPr>
                <w:b w:val="0"/>
                <w:bCs/>
              </w:rPr>
            </w:pPr>
            <w:r w:rsidRPr="0097400A">
              <w:rPr>
                <w:rFonts w:hint="eastAsia"/>
                <w:b w:val="0"/>
                <w:bCs/>
              </w:rPr>
              <w:t>0.9</w:t>
            </w:r>
          </w:p>
          <w:p w14:paraId="20E1A659" w14:textId="77777777" w:rsidR="00913C78" w:rsidRPr="0097400A" w:rsidRDefault="00913C78" w:rsidP="0097400A">
            <w:pPr>
              <w:pStyle w:val="ae"/>
              <w:rPr>
                <w:b w:val="0"/>
                <w:bCs/>
              </w:rPr>
            </w:pPr>
            <w:r w:rsidRPr="0097400A">
              <w:rPr>
                <w:rFonts w:hint="eastAsia"/>
                <w:b w:val="0"/>
                <w:bCs/>
              </w:rPr>
              <w:t>0.7</w:t>
            </w:r>
          </w:p>
          <w:p w14:paraId="0BB7715D" w14:textId="77777777" w:rsidR="00913C78" w:rsidRPr="0097400A" w:rsidRDefault="00913C78" w:rsidP="0097400A">
            <w:pPr>
              <w:pStyle w:val="ae"/>
              <w:rPr>
                <w:b w:val="0"/>
                <w:bCs/>
              </w:rPr>
            </w:pPr>
            <w:r w:rsidRPr="0097400A">
              <w:rPr>
                <w:rFonts w:hint="eastAsia"/>
                <w:b w:val="0"/>
                <w:bCs/>
              </w:rPr>
              <w:t>0.6</w:t>
            </w:r>
          </w:p>
          <w:p w14:paraId="1784A5C6" w14:textId="77777777" w:rsidR="00913C78" w:rsidRPr="0097400A" w:rsidRDefault="00913C78" w:rsidP="0097400A">
            <w:pPr>
              <w:pStyle w:val="ae"/>
              <w:rPr>
                <w:b w:val="0"/>
                <w:bCs/>
              </w:rPr>
            </w:pPr>
            <w:r w:rsidRPr="0097400A">
              <w:rPr>
                <w:rFonts w:hint="eastAsia"/>
                <w:b w:val="0"/>
                <w:bCs/>
              </w:rPr>
              <w:lastRenderedPageBreak/>
              <w:t>0.5</w:t>
            </w:r>
          </w:p>
          <w:p w14:paraId="56D85E1E" w14:textId="77777777" w:rsidR="00913C78" w:rsidRPr="0097400A" w:rsidRDefault="00913C78" w:rsidP="0097400A">
            <w:pPr>
              <w:pStyle w:val="ae"/>
              <w:rPr>
                <w:b w:val="0"/>
                <w:bCs/>
              </w:rPr>
            </w:pPr>
            <w:r w:rsidRPr="0097400A">
              <w:rPr>
                <w:rFonts w:hint="eastAsia"/>
                <w:b w:val="0"/>
                <w:bCs/>
              </w:rPr>
              <w:t>—</w:t>
            </w:r>
          </w:p>
          <w:p w14:paraId="459F7FC9" w14:textId="77777777" w:rsidR="00913C78" w:rsidRPr="0097400A" w:rsidRDefault="00913C78" w:rsidP="0097400A">
            <w:pPr>
              <w:pStyle w:val="ae"/>
              <w:rPr>
                <w:b w:val="0"/>
                <w:bCs/>
              </w:rPr>
            </w:pPr>
            <w:r w:rsidRPr="0097400A">
              <w:rPr>
                <w:rFonts w:hint="eastAsia"/>
                <w:b w:val="0"/>
                <w:bCs/>
              </w:rPr>
              <w:t>—</w:t>
            </w:r>
          </w:p>
          <w:p w14:paraId="12F62886" w14:textId="77777777" w:rsidR="00913C78" w:rsidRPr="0097400A" w:rsidRDefault="00913C78" w:rsidP="0097400A">
            <w:pPr>
              <w:pStyle w:val="ae"/>
              <w:rPr>
                <w:b w:val="0"/>
                <w:bCs/>
              </w:rPr>
            </w:pPr>
            <w:r w:rsidRPr="0097400A">
              <w:rPr>
                <w:rFonts w:hint="eastAsia"/>
                <w:b w:val="0"/>
                <w:bCs/>
              </w:rPr>
              <w:t>—</w:t>
            </w:r>
          </w:p>
          <w:p w14:paraId="087D62BE" w14:textId="77777777" w:rsidR="00913C78" w:rsidRPr="0097400A" w:rsidRDefault="00913C78" w:rsidP="0097400A">
            <w:pPr>
              <w:pStyle w:val="ae"/>
              <w:rPr>
                <w:b w:val="0"/>
                <w:bCs/>
              </w:rPr>
            </w:pPr>
            <w:r w:rsidRPr="0097400A">
              <w:rPr>
                <w:rFonts w:hint="eastAsia"/>
                <w:b w:val="0"/>
                <w:bCs/>
              </w:rPr>
              <w:t>—</w:t>
            </w:r>
          </w:p>
          <w:p w14:paraId="4D41C021" w14:textId="77777777" w:rsidR="00913C78" w:rsidRPr="0097400A" w:rsidRDefault="00913C78" w:rsidP="0097400A">
            <w:pPr>
              <w:pStyle w:val="ae"/>
              <w:rPr>
                <w:b w:val="0"/>
                <w:bCs/>
              </w:rPr>
            </w:pPr>
            <w:r w:rsidRPr="0097400A">
              <w:rPr>
                <w:rFonts w:hint="eastAsia"/>
                <w:b w:val="0"/>
                <w:bCs/>
              </w:rPr>
              <w:t>—</w:t>
            </w:r>
          </w:p>
          <w:p w14:paraId="6E749929" w14:textId="77777777" w:rsidR="00913C78" w:rsidRPr="0097400A" w:rsidRDefault="00913C78" w:rsidP="0097400A">
            <w:pPr>
              <w:pStyle w:val="ae"/>
              <w:rPr>
                <w:b w:val="0"/>
                <w:bCs/>
              </w:rPr>
            </w:pPr>
            <w:r w:rsidRPr="0097400A">
              <w:rPr>
                <w:rFonts w:hint="eastAsia"/>
                <w:b w:val="0"/>
                <w:bCs/>
              </w:rPr>
              <w:t>—</w:t>
            </w:r>
          </w:p>
        </w:tc>
        <w:tc>
          <w:tcPr>
            <w:tcW w:w="645" w:type="dxa"/>
            <w:shd w:val="clear" w:color="auto" w:fill="auto"/>
          </w:tcPr>
          <w:p w14:paraId="0A24BEAC" w14:textId="77777777" w:rsidR="00913C78" w:rsidRPr="0097400A" w:rsidRDefault="00913C78" w:rsidP="0097400A">
            <w:pPr>
              <w:pStyle w:val="ae"/>
              <w:rPr>
                <w:b w:val="0"/>
                <w:bCs/>
              </w:rPr>
            </w:pPr>
            <w:r w:rsidRPr="0097400A">
              <w:rPr>
                <w:rFonts w:hint="eastAsia"/>
                <w:b w:val="0"/>
                <w:bCs/>
              </w:rPr>
              <w:lastRenderedPageBreak/>
              <w:t>2.8</w:t>
            </w:r>
          </w:p>
          <w:p w14:paraId="3EB37ADE" w14:textId="77777777" w:rsidR="00913C78" w:rsidRPr="0097400A" w:rsidRDefault="00913C78" w:rsidP="0097400A">
            <w:pPr>
              <w:pStyle w:val="ae"/>
              <w:rPr>
                <w:b w:val="0"/>
                <w:bCs/>
              </w:rPr>
            </w:pPr>
            <w:r w:rsidRPr="0097400A">
              <w:rPr>
                <w:rFonts w:hint="eastAsia"/>
                <w:b w:val="0"/>
                <w:bCs/>
              </w:rPr>
              <w:t>2.4</w:t>
            </w:r>
          </w:p>
          <w:p w14:paraId="067D5AD6" w14:textId="77777777" w:rsidR="00913C78" w:rsidRPr="0097400A" w:rsidRDefault="00913C78" w:rsidP="0097400A">
            <w:pPr>
              <w:pStyle w:val="ae"/>
              <w:rPr>
                <w:b w:val="0"/>
                <w:bCs/>
              </w:rPr>
            </w:pPr>
            <w:r w:rsidRPr="0097400A">
              <w:rPr>
                <w:rFonts w:hint="eastAsia"/>
                <w:b w:val="0"/>
                <w:bCs/>
              </w:rPr>
              <w:t>2.0</w:t>
            </w:r>
          </w:p>
          <w:p w14:paraId="12128276" w14:textId="77777777" w:rsidR="00913C78" w:rsidRPr="0097400A" w:rsidRDefault="00913C78" w:rsidP="0097400A">
            <w:pPr>
              <w:pStyle w:val="ae"/>
              <w:rPr>
                <w:b w:val="0"/>
                <w:bCs/>
              </w:rPr>
            </w:pPr>
            <w:r w:rsidRPr="0097400A">
              <w:rPr>
                <w:rFonts w:hint="eastAsia"/>
                <w:b w:val="0"/>
                <w:bCs/>
              </w:rPr>
              <w:t>1.6</w:t>
            </w:r>
          </w:p>
          <w:p w14:paraId="6B239D9D" w14:textId="77777777" w:rsidR="00913C78" w:rsidRPr="0097400A" w:rsidRDefault="00913C78" w:rsidP="0097400A">
            <w:pPr>
              <w:pStyle w:val="ae"/>
              <w:rPr>
                <w:b w:val="0"/>
                <w:bCs/>
              </w:rPr>
            </w:pPr>
            <w:r w:rsidRPr="0097400A">
              <w:rPr>
                <w:rFonts w:hint="eastAsia"/>
                <w:b w:val="0"/>
                <w:bCs/>
              </w:rPr>
              <w:t>1.4</w:t>
            </w:r>
          </w:p>
          <w:p w14:paraId="50628B71" w14:textId="77777777" w:rsidR="00913C78" w:rsidRPr="0097400A" w:rsidRDefault="00913C78" w:rsidP="0097400A">
            <w:pPr>
              <w:pStyle w:val="ae"/>
              <w:rPr>
                <w:b w:val="0"/>
                <w:bCs/>
              </w:rPr>
            </w:pPr>
            <w:r w:rsidRPr="0097400A">
              <w:rPr>
                <w:rFonts w:hint="eastAsia"/>
                <w:b w:val="0"/>
                <w:bCs/>
              </w:rPr>
              <w:t>1.1</w:t>
            </w:r>
          </w:p>
          <w:p w14:paraId="6F8C4E2E" w14:textId="77777777" w:rsidR="00913C78" w:rsidRPr="0097400A" w:rsidRDefault="00913C78" w:rsidP="0097400A">
            <w:pPr>
              <w:pStyle w:val="ae"/>
              <w:rPr>
                <w:b w:val="0"/>
                <w:bCs/>
              </w:rPr>
            </w:pPr>
            <w:r w:rsidRPr="0097400A">
              <w:rPr>
                <w:rFonts w:hint="eastAsia"/>
                <w:b w:val="0"/>
                <w:bCs/>
              </w:rPr>
              <w:t>0.9</w:t>
            </w:r>
          </w:p>
          <w:p w14:paraId="74A03CA2" w14:textId="77777777" w:rsidR="00913C78" w:rsidRPr="0097400A" w:rsidRDefault="00913C78" w:rsidP="0097400A">
            <w:pPr>
              <w:pStyle w:val="ae"/>
              <w:rPr>
                <w:b w:val="0"/>
                <w:bCs/>
              </w:rPr>
            </w:pPr>
            <w:r w:rsidRPr="0097400A">
              <w:rPr>
                <w:rFonts w:hint="eastAsia"/>
                <w:b w:val="0"/>
                <w:bCs/>
              </w:rPr>
              <w:t>0.7</w:t>
            </w:r>
          </w:p>
          <w:p w14:paraId="424311DB" w14:textId="77777777" w:rsidR="00913C78" w:rsidRPr="0097400A" w:rsidRDefault="00913C78" w:rsidP="0097400A">
            <w:pPr>
              <w:pStyle w:val="ae"/>
              <w:rPr>
                <w:b w:val="0"/>
                <w:bCs/>
              </w:rPr>
            </w:pPr>
            <w:r w:rsidRPr="0097400A">
              <w:rPr>
                <w:rFonts w:hint="eastAsia"/>
                <w:b w:val="0"/>
                <w:bCs/>
              </w:rPr>
              <w:t>0.6</w:t>
            </w:r>
          </w:p>
          <w:p w14:paraId="2210D3E7" w14:textId="77777777" w:rsidR="00913C78" w:rsidRPr="0097400A" w:rsidRDefault="00913C78" w:rsidP="0097400A">
            <w:pPr>
              <w:pStyle w:val="ae"/>
              <w:rPr>
                <w:b w:val="0"/>
                <w:bCs/>
              </w:rPr>
            </w:pPr>
            <w:r w:rsidRPr="0097400A">
              <w:rPr>
                <w:rFonts w:hint="eastAsia"/>
                <w:b w:val="0"/>
                <w:bCs/>
              </w:rPr>
              <w:lastRenderedPageBreak/>
              <w:t>0.5</w:t>
            </w:r>
          </w:p>
          <w:p w14:paraId="7A9E1A7C" w14:textId="77777777" w:rsidR="00913C78" w:rsidRPr="0097400A" w:rsidRDefault="00913C78" w:rsidP="0097400A">
            <w:pPr>
              <w:pStyle w:val="ae"/>
              <w:rPr>
                <w:b w:val="0"/>
                <w:bCs/>
              </w:rPr>
            </w:pPr>
            <w:r w:rsidRPr="0097400A">
              <w:rPr>
                <w:rFonts w:hint="eastAsia"/>
                <w:b w:val="0"/>
                <w:bCs/>
              </w:rPr>
              <w:t>—</w:t>
            </w:r>
          </w:p>
          <w:p w14:paraId="1E6AF186" w14:textId="77777777" w:rsidR="00913C78" w:rsidRPr="0097400A" w:rsidRDefault="00913C78" w:rsidP="0097400A">
            <w:pPr>
              <w:pStyle w:val="ae"/>
              <w:rPr>
                <w:b w:val="0"/>
                <w:bCs/>
              </w:rPr>
            </w:pPr>
            <w:r w:rsidRPr="0097400A">
              <w:rPr>
                <w:rFonts w:hint="eastAsia"/>
                <w:b w:val="0"/>
                <w:bCs/>
              </w:rPr>
              <w:t>—</w:t>
            </w:r>
          </w:p>
          <w:p w14:paraId="07C05981" w14:textId="77777777" w:rsidR="00913C78" w:rsidRPr="0097400A" w:rsidRDefault="00913C78" w:rsidP="0097400A">
            <w:pPr>
              <w:pStyle w:val="ae"/>
              <w:rPr>
                <w:b w:val="0"/>
                <w:bCs/>
              </w:rPr>
            </w:pPr>
            <w:r w:rsidRPr="0097400A">
              <w:rPr>
                <w:rFonts w:hint="eastAsia"/>
                <w:b w:val="0"/>
                <w:bCs/>
              </w:rPr>
              <w:t>—</w:t>
            </w:r>
          </w:p>
          <w:p w14:paraId="793669B3" w14:textId="77777777" w:rsidR="00913C78" w:rsidRPr="0097400A" w:rsidRDefault="00913C78" w:rsidP="0097400A">
            <w:pPr>
              <w:pStyle w:val="ae"/>
              <w:rPr>
                <w:b w:val="0"/>
                <w:bCs/>
              </w:rPr>
            </w:pPr>
            <w:r w:rsidRPr="0097400A">
              <w:rPr>
                <w:rFonts w:hint="eastAsia"/>
                <w:b w:val="0"/>
                <w:bCs/>
              </w:rPr>
              <w:t>—</w:t>
            </w:r>
          </w:p>
          <w:p w14:paraId="3781EEF0" w14:textId="77777777" w:rsidR="00913C78" w:rsidRPr="0097400A" w:rsidRDefault="00913C78" w:rsidP="0097400A">
            <w:pPr>
              <w:pStyle w:val="ae"/>
              <w:rPr>
                <w:b w:val="0"/>
                <w:bCs/>
              </w:rPr>
            </w:pPr>
            <w:r w:rsidRPr="0097400A">
              <w:rPr>
                <w:rFonts w:hint="eastAsia"/>
                <w:b w:val="0"/>
                <w:bCs/>
              </w:rPr>
              <w:t>—</w:t>
            </w:r>
          </w:p>
          <w:p w14:paraId="0EB85138" w14:textId="77777777" w:rsidR="00913C78" w:rsidRPr="0097400A" w:rsidRDefault="00913C78" w:rsidP="0097400A">
            <w:pPr>
              <w:pStyle w:val="ae"/>
              <w:rPr>
                <w:b w:val="0"/>
                <w:bCs/>
              </w:rPr>
            </w:pPr>
            <w:r w:rsidRPr="0097400A">
              <w:rPr>
                <w:rFonts w:hint="eastAsia"/>
                <w:b w:val="0"/>
                <w:bCs/>
              </w:rPr>
              <w:t>—</w:t>
            </w:r>
          </w:p>
        </w:tc>
        <w:tc>
          <w:tcPr>
            <w:tcW w:w="645" w:type="dxa"/>
            <w:shd w:val="clear" w:color="auto" w:fill="auto"/>
          </w:tcPr>
          <w:p w14:paraId="501097A0" w14:textId="77777777" w:rsidR="00913C78" w:rsidRPr="0097400A" w:rsidRDefault="00913C78" w:rsidP="0097400A">
            <w:pPr>
              <w:pStyle w:val="ae"/>
              <w:rPr>
                <w:b w:val="0"/>
                <w:bCs/>
              </w:rPr>
            </w:pPr>
            <w:r w:rsidRPr="0097400A">
              <w:rPr>
                <w:rFonts w:hint="eastAsia"/>
                <w:b w:val="0"/>
                <w:bCs/>
              </w:rPr>
              <w:lastRenderedPageBreak/>
              <w:t>2.8</w:t>
            </w:r>
          </w:p>
          <w:p w14:paraId="2795BD80" w14:textId="77777777" w:rsidR="00913C78" w:rsidRPr="0097400A" w:rsidRDefault="00913C78" w:rsidP="0097400A">
            <w:pPr>
              <w:pStyle w:val="ae"/>
              <w:rPr>
                <w:b w:val="0"/>
                <w:bCs/>
              </w:rPr>
            </w:pPr>
            <w:r w:rsidRPr="0097400A">
              <w:rPr>
                <w:rFonts w:hint="eastAsia"/>
                <w:b w:val="0"/>
                <w:bCs/>
              </w:rPr>
              <w:t>2.3</w:t>
            </w:r>
          </w:p>
          <w:p w14:paraId="3693B250" w14:textId="77777777" w:rsidR="00913C78" w:rsidRPr="0097400A" w:rsidRDefault="00913C78" w:rsidP="0097400A">
            <w:pPr>
              <w:pStyle w:val="ae"/>
              <w:rPr>
                <w:b w:val="0"/>
                <w:bCs/>
              </w:rPr>
            </w:pPr>
            <w:r w:rsidRPr="0097400A">
              <w:rPr>
                <w:rFonts w:hint="eastAsia"/>
                <w:b w:val="0"/>
                <w:bCs/>
              </w:rPr>
              <w:t>1.9</w:t>
            </w:r>
          </w:p>
          <w:p w14:paraId="5B2C8698" w14:textId="77777777" w:rsidR="00913C78" w:rsidRPr="0097400A" w:rsidRDefault="00913C78" w:rsidP="0097400A">
            <w:pPr>
              <w:pStyle w:val="ae"/>
              <w:rPr>
                <w:b w:val="0"/>
                <w:bCs/>
              </w:rPr>
            </w:pPr>
            <w:r w:rsidRPr="0097400A">
              <w:rPr>
                <w:rFonts w:hint="eastAsia"/>
                <w:b w:val="0"/>
                <w:bCs/>
              </w:rPr>
              <w:t>1.6</w:t>
            </w:r>
          </w:p>
          <w:p w14:paraId="563465C3" w14:textId="77777777" w:rsidR="00913C78" w:rsidRPr="0097400A" w:rsidRDefault="00913C78" w:rsidP="0097400A">
            <w:pPr>
              <w:pStyle w:val="ae"/>
              <w:rPr>
                <w:b w:val="0"/>
                <w:bCs/>
              </w:rPr>
            </w:pPr>
            <w:r w:rsidRPr="0097400A">
              <w:rPr>
                <w:rFonts w:hint="eastAsia"/>
                <w:b w:val="0"/>
                <w:bCs/>
              </w:rPr>
              <w:t>1.3</w:t>
            </w:r>
          </w:p>
          <w:p w14:paraId="3330BCF0" w14:textId="77777777" w:rsidR="00913C78" w:rsidRPr="0097400A" w:rsidRDefault="00913C78" w:rsidP="0097400A">
            <w:pPr>
              <w:pStyle w:val="ae"/>
              <w:rPr>
                <w:b w:val="0"/>
                <w:bCs/>
              </w:rPr>
            </w:pPr>
            <w:r w:rsidRPr="0097400A">
              <w:rPr>
                <w:rFonts w:hint="eastAsia"/>
                <w:b w:val="0"/>
                <w:bCs/>
              </w:rPr>
              <w:t>1.1</w:t>
            </w:r>
          </w:p>
          <w:p w14:paraId="6FCD0785" w14:textId="77777777" w:rsidR="00913C78" w:rsidRPr="0097400A" w:rsidRDefault="00913C78" w:rsidP="0097400A">
            <w:pPr>
              <w:pStyle w:val="ae"/>
              <w:rPr>
                <w:b w:val="0"/>
                <w:bCs/>
              </w:rPr>
            </w:pPr>
            <w:r w:rsidRPr="0097400A">
              <w:rPr>
                <w:rFonts w:hint="eastAsia"/>
                <w:b w:val="0"/>
                <w:bCs/>
              </w:rPr>
              <w:t>0.9</w:t>
            </w:r>
          </w:p>
          <w:p w14:paraId="27A66C55" w14:textId="77777777" w:rsidR="00913C78" w:rsidRPr="0097400A" w:rsidRDefault="00913C78" w:rsidP="0097400A">
            <w:pPr>
              <w:pStyle w:val="ae"/>
              <w:rPr>
                <w:b w:val="0"/>
                <w:bCs/>
              </w:rPr>
            </w:pPr>
            <w:r w:rsidRPr="0097400A">
              <w:rPr>
                <w:rFonts w:hint="eastAsia"/>
                <w:b w:val="0"/>
                <w:bCs/>
              </w:rPr>
              <w:t>0.7</w:t>
            </w:r>
          </w:p>
          <w:p w14:paraId="3696CBD3" w14:textId="77777777" w:rsidR="00913C78" w:rsidRPr="0097400A" w:rsidRDefault="00913C78" w:rsidP="0097400A">
            <w:pPr>
              <w:pStyle w:val="ae"/>
              <w:rPr>
                <w:b w:val="0"/>
                <w:bCs/>
              </w:rPr>
            </w:pPr>
            <w:r w:rsidRPr="0097400A">
              <w:rPr>
                <w:rFonts w:hint="eastAsia"/>
                <w:b w:val="0"/>
                <w:bCs/>
              </w:rPr>
              <w:t>0.6</w:t>
            </w:r>
          </w:p>
          <w:p w14:paraId="52163A6A" w14:textId="77777777" w:rsidR="00913C78" w:rsidRPr="0097400A" w:rsidRDefault="00913C78" w:rsidP="0097400A">
            <w:pPr>
              <w:pStyle w:val="ae"/>
              <w:rPr>
                <w:b w:val="0"/>
                <w:bCs/>
              </w:rPr>
            </w:pPr>
            <w:r w:rsidRPr="0097400A">
              <w:rPr>
                <w:rFonts w:hint="eastAsia"/>
                <w:b w:val="0"/>
                <w:bCs/>
              </w:rPr>
              <w:lastRenderedPageBreak/>
              <w:t>0.5</w:t>
            </w:r>
          </w:p>
          <w:p w14:paraId="39CBC967" w14:textId="77777777" w:rsidR="00913C78" w:rsidRPr="0097400A" w:rsidRDefault="00913C78" w:rsidP="0097400A">
            <w:pPr>
              <w:pStyle w:val="ae"/>
              <w:rPr>
                <w:b w:val="0"/>
                <w:bCs/>
              </w:rPr>
            </w:pPr>
            <w:r w:rsidRPr="0097400A">
              <w:rPr>
                <w:rFonts w:hint="eastAsia"/>
                <w:b w:val="0"/>
                <w:bCs/>
              </w:rPr>
              <w:t>—</w:t>
            </w:r>
          </w:p>
          <w:p w14:paraId="59FA468A" w14:textId="77777777" w:rsidR="00913C78" w:rsidRPr="0097400A" w:rsidRDefault="00913C78" w:rsidP="0097400A">
            <w:pPr>
              <w:pStyle w:val="ae"/>
              <w:rPr>
                <w:b w:val="0"/>
                <w:bCs/>
              </w:rPr>
            </w:pPr>
            <w:r w:rsidRPr="0097400A">
              <w:rPr>
                <w:rFonts w:hint="eastAsia"/>
                <w:b w:val="0"/>
                <w:bCs/>
              </w:rPr>
              <w:t>—</w:t>
            </w:r>
          </w:p>
          <w:p w14:paraId="7170F8F7" w14:textId="77777777" w:rsidR="00913C78" w:rsidRPr="0097400A" w:rsidRDefault="00913C78" w:rsidP="0097400A">
            <w:pPr>
              <w:pStyle w:val="ae"/>
              <w:rPr>
                <w:b w:val="0"/>
                <w:bCs/>
              </w:rPr>
            </w:pPr>
            <w:r w:rsidRPr="0097400A">
              <w:rPr>
                <w:rFonts w:hint="eastAsia"/>
                <w:b w:val="0"/>
                <w:bCs/>
              </w:rPr>
              <w:t>—</w:t>
            </w:r>
          </w:p>
          <w:p w14:paraId="160C1DF5" w14:textId="77777777" w:rsidR="00913C78" w:rsidRPr="0097400A" w:rsidRDefault="00913C78" w:rsidP="0097400A">
            <w:pPr>
              <w:pStyle w:val="ae"/>
              <w:rPr>
                <w:b w:val="0"/>
                <w:bCs/>
              </w:rPr>
            </w:pPr>
            <w:r w:rsidRPr="0097400A">
              <w:rPr>
                <w:rFonts w:hint="eastAsia"/>
                <w:b w:val="0"/>
                <w:bCs/>
              </w:rPr>
              <w:t>—</w:t>
            </w:r>
          </w:p>
          <w:p w14:paraId="69E60E27" w14:textId="77777777" w:rsidR="00913C78" w:rsidRPr="0097400A" w:rsidRDefault="00913C78" w:rsidP="0097400A">
            <w:pPr>
              <w:pStyle w:val="ae"/>
              <w:rPr>
                <w:b w:val="0"/>
                <w:bCs/>
              </w:rPr>
            </w:pPr>
            <w:r w:rsidRPr="0097400A">
              <w:rPr>
                <w:rFonts w:hint="eastAsia"/>
                <w:b w:val="0"/>
                <w:bCs/>
              </w:rPr>
              <w:t>—</w:t>
            </w:r>
          </w:p>
          <w:p w14:paraId="39B9D951" w14:textId="77777777" w:rsidR="00913C78" w:rsidRPr="0097400A" w:rsidRDefault="00913C78" w:rsidP="0097400A">
            <w:pPr>
              <w:pStyle w:val="ae"/>
              <w:rPr>
                <w:b w:val="0"/>
                <w:bCs/>
              </w:rPr>
            </w:pPr>
            <w:r w:rsidRPr="0097400A">
              <w:rPr>
                <w:rFonts w:hint="eastAsia"/>
                <w:b w:val="0"/>
                <w:bCs/>
              </w:rPr>
              <w:t>—</w:t>
            </w:r>
          </w:p>
        </w:tc>
        <w:tc>
          <w:tcPr>
            <w:tcW w:w="645" w:type="dxa"/>
            <w:shd w:val="clear" w:color="auto" w:fill="auto"/>
          </w:tcPr>
          <w:p w14:paraId="29D2C887" w14:textId="77777777" w:rsidR="00913C78" w:rsidRPr="0097400A" w:rsidRDefault="00913C78" w:rsidP="0097400A">
            <w:pPr>
              <w:pStyle w:val="ae"/>
              <w:rPr>
                <w:b w:val="0"/>
                <w:bCs/>
              </w:rPr>
            </w:pPr>
            <w:r w:rsidRPr="0097400A">
              <w:rPr>
                <w:rFonts w:hint="eastAsia"/>
                <w:b w:val="0"/>
                <w:bCs/>
              </w:rPr>
              <w:lastRenderedPageBreak/>
              <w:t>2.7</w:t>
            </w:r>
          </w:p>
          <w:p w14:paraId="16639D31" w14:textId="77777777" w:rsidR="00913C78" w:rsidRPr="0097400A" w:rsidRDefault="00913C78" w:rsidP="0097400A">
            <w:pPr>
              <w:pStyle w:val="ae"/>
              <w:rPr>
                <w:b w:val="0"/>
                <w:bCs/>
              </w:rPr>
            </w:pPr>
            <w:r w:rsidRPr="0097400A">
              <w:rPr>
                <w:rFonts w:hint="eastAsia"/>
                <w:b w:val="0"/>
                <w:bCs/>
              </w:rPr>
              <w:t>2.3</w:t>
            </w:r>
          </w:p>
          <w:p w14:paraId="0692127B" w14:textId="77777777" w:rsidR="00913C78" w:rsidRPr="0097400A" w:rsidRDefault="00913C78" w:rsidP="0097400A">
            <w:pPr>
              <w:pStyle w:val="ae"/>
              <w:rPr>
                <w:b w:val="0"/>
                <w:bCs/>
              </w:rPr>
            </w:pPr>
            <w:r w:rsidRPr="0097400A">
              <w:rPr>
                <w:rFonts w:hint="eastAsia"/>
                <w:b w:val="0"/>
                <w:bCs/>
              </w:rPr>
              <w:t>1.9</w:t>
            </w:r>
          </w:p>
          <w:p w14:paraId="2CDBBC92" w14:textId="77777777" w:rsidR="00913C78" w:rsidRPr="0097400A" w:rsidRDefault="00913C78" w:rsidP="0097400A">
            <w:pPr>
              <w:pStyle w:val="ae"/>
              <w:rPr>
                <w:b w:val="0"/>
                <w:bCs/>
              </w:rPr>
            </w:pPr>
            <w:r w:rsidRPr="0097400A">
              <w:rPr>
                <w:rFonts w:hint="eastAsia"/>
                <w:b w:val="0"/>
                <w:bCs/>
              </w:rPr>
              <w:t>1.6</w:t>
            </w:r>
          </w:p>
          <w:p w14:paraId="04DDF63F" w14:textId="77777777" w:rsidR="00913C78" w:rsidRPr="0097400A" w:rsidRDefault="00913C78" w:rsidP="0097400A">
            <w:pPr>
              <w:pStyle w:val="ae"/>
              <w:rPr>
                <w:b w:val="0"/>
                <w:bCs/>
              </w:rPr>
            </w:pPr>
            <w:r w:rsidRPr="0097400A">
              <w:rPr>
                <w:rFonts w:hint="eastAsia"/>
                <w:b w:val="0"/>
                <w:bCs/>
              </w:rPr>
              <w:t>1.3</w:t>
            </w:r>
          </w:p>
          <w:p w14:paraId="523C941F" w14:textId="77777777" w:rsidR="00913C78" w:rsidRPr="0097400A" w:rsidRDefault="00913C78" w:rsidP="0097400A">
            <w:pPr>
              <w:pStyle w:val="ae"/>
              <w:rPr>
                <w:b w:val="0"/>
                <w:bCs/>
              </w:rPr>
            </w:pPr>
            <w:r w:rsidRPr="0097400A">
              <w:rPr>
                <w:rFonts w:hint="eastAsia"/>
                <w:b w:val="0"/>
                <w:bCs/>
              </w:rPr>
              <w:t>1.1</w:t>
            </w:r>
          </w:p>
          <w:p w14:paraId="790B3CCE" w14:textId="77777777" w:rsidR="00913C78" w:rsidRPr="0097400A" w:rsidRDefault="00913C78" w:rsidP="0097400A">
            <w:pPr>
              <w:pStyle w:val="ae"/>
              <w:rPr>
                <w:b w:val="0"/>
                <w:bCs/>
              </w:rPr>
            </w:pPr>
            <w:r w:rsidRPr="0097400A">
              <w:rPr>
                <w:rFonts w:hint="eastAsia"/>
                <w:b w:val="0"/>
                <w:bCs/>
              </w:rPr>
              <w:t>0.9</w:t>
            </w:r>
          </w:p>
          <w:p w14:paraId="3F2898FB" w14:textId="77777777" w:rsidR="00913C78" w:rsidRPr="0097400A" w:rsidRDefault="00913C78" w:rsidP="0097400A">
            <w:pPr>
              <w:pStyle w:val="ae"/>
              <w:rPr>
                <w:b w:val="0"/>
                <w:bCs/>
              </w:rPr>
            </w:pPr>
            <w:r w:rsidRPr="0097400A">
              <w:rPr>
                <w:rFonts w:hint="eastAsia"/>
                <w:b w:val="0"/>
                <w:bCs/>
              </w:rPr>
              <w:t>0.7</w:t>
            </w:r>
          </w:p>
          <w:p w14:paraId="1381AFA0" w14:textId="77777777" w:rsidR="00913C78" w:rsidRPr="0097400A" w:rsidRDefault="00913C78" w:rsidP="0097400A">
            <w:pPr>
              <w:pStyle w:val="ae"/>
              <w:rPr>
                <w:b w:val="0"/>
                <w:bCs/>
              </w:rPr>
            </w:pPr>
            <w:r w:rsidRPr="0097400A">
              <w:rPr>
                <w:rFonts w:hint="eastAsia"/>
                <w:b w:val="0"/>
                <w:bCs/>
              </w:rPr>
              <w:t>0.6</w:t>
            </w:r>
          </w:p>
          <w:p w14:paraId="713B49D0" w14:textId="77777777" w:rsidR="00913C78" w:rsidRPr="0097400A" w:rsidRDefault="00913C78" w:rsidP="0097400A">
            <w:pPr>
              <w:pStyle w:val="ae"/>
              <w:rPr>
                <w:b w:val="0"/>
                <w:bCs/>
              </w:rPr>
            </w:pPr>
            <w:r w:rsidRPr="0097400A">
              <w:rPr>
                <w:rFonts w:hint="eastAsia"/>
                <w:b w:val="0"/>
                <w:bCs/>
              </w:rPr>
              <w:lastRenderedPageBreak/>
              <w:t>0.5</w:t>
            </w:r>
          </w:p>
          <w:p w14:paraId="0A8BB5B7" w14:textId="77777777" w:rsidR="00913C78" w:rsidRPr="0097400A" w:rsidRDefault="00913C78" w:rsidP="0097400A">
            <w:pPr>
              <w:pStyle w:val="ae"/>
              <w:rPr>
                <w:b w:val="0"/>
                <w:bCs/>
              </w:rPr>
            </w:pPr>
            <w:r w:rsidRPr="0097400A">
              <w:rPr>
                <w:rFonts w:hint="eastAsia"/>
                <w:b w:val="0"/>
                <w:bCs/>
              </w:rPr>
              <w:t>—</w:t>
            </w:r>
          </w:p>
          <w:p w14:paraId="2CC6D86A" w14:textId="77777777" w:rsidR="00913C78" w:rsidRPr="0097400A" w:rsidRDefault="00913C78" w:rsidP="0097400A">
            <w:pPr>
              <w:pStyle w:val="ae"/>
              <w:rPr>
                <w:b w:val="0"/>
                <w:bCs/>
              </w:rPr>
            </w:pPr>
            <w:r w:rsidRPr="0097400A">
              <w:rPr>
                <w:rFonts w:hint="eastAsia"/>
                <w:b w:val="0"/>
                <w:bCs/>
              </w:rPr>
              <w:t>—</w:t>
            </w:r>
          </w:p>
          <w:p w14:paraId="6369376B" w14:textId="77777777" w:rsidR="00913C78" w:rsidRPr="0097400A" w:rsidRDefault="00913C78" w:rsidP="0097400A">
            <w:pPr>
              <w:pStyle w:val="ae"/>
              <w:rPr>
                <w:b w:val="0"/>
                <w:bCs/>
              </w:rPr>
            </w:pPr>
            <w:r w:rsidRPr="0097400A">
              <w:rPr>
                <w:rFonts w:hint="eastAsia"/>
                <w:b w:val="0"/>
                <w:bCs/>
              </w:rPr>
              <w:t>—</w:t>
            </w:r>
          </w:p>
          <w:p w14:paraId="567FE6B3" w14:textId="77777777" w:rsidR="00913C78" w:rsidRPr="0097400A" w:rsidRDefault="00913C78" w:rsidP="0097400A">
            <w:pPr>
              <w:pStyle w:val="ae"/>
              <w:rPr>
                <w:b w:val="0"/>
                <w:bCs/>
              </w:rPr>
            </w:pPr>
            <w:r w:rsidRPr="0097400A">
              <w:rPr>
                <w:rFonts w:hint="eastAsia"/>
                <w:b w:val="0"/>
                <w:bCs/>
              </w:rPr>
              <w:t>—</w:t>
            </w:r>
          </w:p>
          <w:p w14:paraId="03C25146" w14:textId="77777777" w:rsidR="00913C78" w:rsidRPr="0097400A" w:rsidRDefault="00913C78" w:rsidP="0097400A">
            <w:pPr>
              <w:pStyle w:val="ae"/>
              <w:rPr>
                <w:b w:val="0"/>
                <w:bCs/>
              </w:rPr>
            </w:pPr>
            <w:r w:rsidRPr="0097400A">
              <w:rPr>
                <w:rFonts w:hint="eastAsia"/>
                <w:b w:val="0"/>
                <w:bCs/>
              </w:rPr>
              <w:t>—</w:t>
            </w:r>
          </w:p>
          <w:p w14:paraId="50B4A1A7" w14:textId="77777777" w:rsidR="00913C78" w:rsidRPr="0097400A" w:rsidRDefault="00913C78" w:rsidP="0097400A">
            <w:pPr>
              <w:pStyle w:val="ae"/>
              <w:rPr>
                <w:b w:val="0"/>
                <w:bCs/>
              </w:rPr>
            </w:pPr>
            <w:r w:rsidRPr="0097400A">
              <w:rPr>
                <w:rFonts w:hint="eastAsia"/>
                <w:b w:val="0"/>
                <w:bCs/>
              </w:rPr>
              <w:t>—</w:t>
            </w:r>
          </w:p>
        </w:tc>
        <w:tc>
          <w:tcPr>
            <w:tcW w:w="646" w:type="dxa"/>
            <w:shd w:val="clear" w:color="auto" w:fill="auto"/>
          </w:tcPr>
          <w:p w14:paraId="3CAA587D" w14:textId="77777777" w:rsidR="00913C78" w:rsidRPr="0097400A" w:rsidRDefault="00913C78" w:rsidP="0097400A">
            <w:pPr>
              <w:pStyle w:val="ae"/>
              <w:rPr>
                <w:b w:val="0"/>
                <w:bCs/>
              </w:rPr>
            </w:pPr>
            <w:r w:rsidRPr="0097400A">
              <w:rPr>
                <w:rFonts w:hint="eastAsia"/>
                <w:b w:val="0"/>
                <w:bCs/>
              </w:rPr>
              <w:lastRenderedPageBreak/>
              <w:t>2.7</w:t>
            </w:r>
          </w:p>
          <w:p w14:paraId="6E117E90" w14:textId="77777777" w:rsidR="00913C78" w:rsidRPr="0097400A" w:rsidRDefault="00913C78" w:rsidP="0097400A">
            <w:pPr>
              <w:pStyle w:val="ae"/>
              <w:rPr>
                <w:b w:val="0"/>
                <w:bCs/>
              </w:rPr>
            </w:pPr>
            <w:r w:rsidRPr="0097400A">
              <w:rPr>
                <w:rFonts w:hint="eastAsia"/>
                <w:b w:val="0"/>
                <w:bCs/>
              </w:rPr>
              <w:t>2.3</w:t>
            </w:r>
          </w:p>
          <w:p w14:paraId="30313B45" w14:textId="77777777" w:rsidR="00913C78" w:rsidRPr="0097400A" w:rsidRDefault="00913C78" w:rsidP="0097400A">
            <w:pPr>
              <w:pStyle w:val="ae"/>
              <w:rPr>
                <w:b w:val="0"/>
                <w:bCs/>
              </w:rPr>
            </w:pPr>
            <w:r w:rsidRPr="0097400A">
              <w:rPr>
                <w:rFonts w:hint="eastAsia"/>
                <w:b w:val="0"/>
                <w:bCs/>
              </w:rPr>
              <w:t>1.9</w:t>
            </w:r>
          </w:p>
          <w:p w14:paraId="6BBBA1B4" w14:textId="77777777" w:rsidR="00913C78" w:rsidRPr="0097400A" w:rsidRDefault="00913C78" w:rsidP="0097400A">
            <w:pPr>
              <w:pStyle w:val="ae"/>
              <w:rPr>
                <w:b w:val="0"/>
                <w:bCs/>
              </w:rPr>
            </w:pPr>
            <w:r w:rsidRPr="0097400A">
              <w:rPr>
                <w:rFonts w:hint="eastAsia"/>
                <w:b w:val="0"/>
                <w:bCs/>
              </w:rPr>
              <w:t>1.5</w:t>
            </w:r>
          </w:p>
          <w:p w14:paraId="183755DA" w14:textId="77777777" w:rsidR="00913C78" w:rsidRPr="0097400A" w:rsidRDefault="00913C78" w:rsidP="0097400A">
            <w:pPr>
              <w:pStyle w:val="ae"/>
              <w:rPr>
                <w:b w:val="0"/>
                <w:bCs/>
              </w:rPr>
            </w:pPr>
            <w:r w:rsidRPr="0097400A">
              <w:rPr>
                <w:rFonts w:hint="eastAsia"/>
                <w:b w:val="0"/>
                <w:bCs/>
              </w:rPr>
              <w:t>1.3</w:t>
            </w:r>
          </w:p>
          <w:p w14:paraId="1DE54F8F" w14:textId="77777777" w:rsidR="00913C78" w:rsidRPr="0097400A" w:rsidRDefault="00913C78" w:rsidP="0097400A">
            <w:pPr>
              <w:pStyle w:val="ae"/>
              <w:rPr>
                <w:b w:val="0"/>
                <w:bCs/>
              </w:rPr>
            </w:pPr>
            <w:r w:rsidRPr="0097400A">
              <w:rPr>
                <w:rFonts w:hint="eastAsia"/>
                <w:b w:val="0"/>
                <w:bCs/>
              </w:rPr>
              <w:t>1.0</w:t>
            </w:r>
          </w:p>
          <w:p w14:paraId="0129DFBE" w14:textId="77777777" w:rsidR="00913C78" w:rsidRPr="0097400A" w:rsidRDefault="00913C78" w:rsidP="0097400A">
            <w:pPr>
              <w:pStyle w:val="ae"/>
              <w:rPr>
                <w:b w:val="0"/>
                <w:bCs/>
              </w:rPr>
            </w:pPr>
            <w:r w:rsidRPr="0097400A">
              <w:rPr>
                <w:rFonts w:hint="eastAsia"/>
                <w:b w:val="0"/>
                <w:bCs/>
              </w:rPr>
              <w:t>0.8</w:t>
            </w:r>
          </w:p>
          <w:p w14:paraId="3E7937BE" w14:textId="77777777" w:rsidR="00913C78" w:rsidRPr="0097400A" w:rsidRDefault="00913C78" w:rsidP="0097400A">
            <w:pPr>
              <w:pStyle w:val="ae"/>
              <w:rPr>
                <w:b w:val="0"/>
                <w:bCs/>
              </w:rPr>
            </w:pPr>
            <w:r w:rsidRPr="0097400A">
              <w:rPr>
                <w:rFonts w:hint="eastAsia"/>
                <w:b w:val="0"/>
                <w:bCs/>
              </w:rPr>
              <w:t>0.7</w:t>
            </w:r>
          </w:p>
          <w:p w14:paraId="4B5C44F2" w14:textId="77777777" w:rsidR="00913C78" w:rsidRPr="0097400A" w:rsidRDefault="00913C78" w:rsidP="0097400A">
            <w:pPr>
              <w:pStyle w:val="ae"/>
              <w:rPr>
                <w:b w:val="0"/>
                <w:bCs/>
              </w:rPr>
            </w:pPr>
            <w:r w:rsidRPr="0097400A">
              <w:rPr>
                <w:rFonts w:hint="eastAsia"/>
                <w:b w:val="0"/>
                <w:bCs/>
              </w:rPr>
              <w:t>0.6</w:t>
            </w:r>
          </w:p>
          <w:p w14:paraId="2DCDE3D0" w14:textId="77777777" w:rsidR="00913C78" w:rsidRPr="0097400A" w:rsidRDefault="00913C78" w:rsidP="0097400A">
            <w:pPr>
              <w:pStyle w:val="ae"/>
              <w:rPr>
                <w:b w:val="0"/>
                <w:bCs/>
              </w:rPr>
            </w:pPr>
            <w:r w:rsidRPr="0097400A">
              <w:rPr>
                <w:rFonts w:hint="eastAsia"/>
                <w:b w:val="0"/>
                <w:bCs/>
              </w:rPr>
              <w:lastRenderedPageBreak/>
              <w:t>0.4</w:t>
            </w:r>
          </w:p>
          <w:p w14:paraId="4EA96B9E" w14:textId="77777777" w:rsidR="00913C78" w:rsidRPr="0097400A" w:rsidRDefault="00913C78" w:rsidP="0097400A">
            <w:pPr>
              <w:pStyle w:val="ae"/>
              <w:rPr>
                <w:b w:val="0"/>
                <w:bCs/>
              </w:rPr>
            </w:pPr>
            <w:r w:rsidRPr="0097400A">
              <w:rPr>
                <w:rFonts w:hint="eastAsia"/>
                <w:b w:val="0"/>
                <w:bCs/>
              </w:rPr>
              <w:t>—</w:t>
            </w:r>
          </w:p>
          <w:p w14:paraId="54926A0F" w14:textId="77777777" w:rsidR="00913C78" w:rsidRPr="0097400A" w:rsidRDefault="00913C78" w:rsidP="0097400A">
            <w:pPr>
              <w:pStyle w:val="ae"/>
              <w:rPr>
                <w:b w:val="0"/>
                <w:bCs/>
              </w:rPr>
            </w:pPr>
            <w:r w:rsidRPr="0097400A">
              <w:rPr>
                <w:rFonts w:hint="eastAsia"/>
                <w:b w:val="0"/>
                <w:bCs/>
              </w:rPr>
              <w:t>—</w:t>
            </w:r>
          </w:p>
          <w:p w14:paraId="0FFB9D3D" w14:textId="77777777" w:rsidR="00913C78" w:rsidRPr="0097400A" w:rsidRDefault="00913C78" w:rsidP="0097400A">
            <w:pPr>
              <w:pStyle w:val="ae"/>
              <w:rPr>
                <w:b w:val="0"/>
                <w:bCs/>
              </w:rPr>
            </w:pPr>
            <w:r w:rsidRPr="0097400A">
              <w:rPr>
                <w:rFonts w:hint="eastAsia"/>
                <w:b w:val="0"/>
                <w:bCs/>
              </w:rPr>
              <w:t>—</w:t>
            </w:r>
          </w:p>
          <w:p w14:paraId="42CBF431" w14:textId="77777777" w:rsidR="00913C78" w:rsidRPr="0097400A" w:rsidRDefault="00913C78" w:rsidP="0097400A">
            <w:pPr>
              <w:pStyle w:val="ae"/>
              <w:rPr>
                <w:b w:val="0"/>
                <w:bCs/>
              </w:rPr>
            </w:pPr>
            <w:r w:rsidRPr="0097400A">
              <w:rPr>
                <w:rFonts w:hint="eastAsia"/>
                <w:b w:val="0"/>
                <w:bCs/>
              </w:rPr>
              <w:t>—</w:t>
            </w:r>
          </w:p>
          <w:p w14:paraId="2563DD22" w14:textId="77777777" w:rsidR="00913C78" w:rsidRPr="0097400A" w:rsidRDefault="00913C78" w:rsidP="0097400A">
            <w:pPr>
              <w:pStyle w:val="ae"/>
              <w:rPr>
                <w:b w:val="0"/>
                <w:bCs/>
              </w:rPr>
            </w:pPr>
            <w:r w:rsidRPr="0097400A">
              <w:rPr>
                <w:rFonts w:hint="eastAsia"/>
                <w:b w:val="0"/>
                <w:bCs/>
              </w:rPr>
              <w:t>—</w:t>
            </w:r>
          </w:p>
          <w:p w14:paraId="03273952" w14:textId="77777777" w:rsidR="00913C78" w:rsidRPr="0097400A" w:rsidRDefault="00913C78" w:rsidP="0097400A">
            <w:pPr>
              <w:pStyle w:val="ae"/>
              <w:rPr>
                <w:b w:val="0"/>
                <w:bCs/>
              </w:rPr>
            </w:pPr>
            <w:r w:rsidRPr="0097400A">
              <w:rPr>
                <w:rFonts w:hint="eastAsia"/>
                <w:b w:val="0"/>
                <w:bCs/>
              </w:rPr>
              <w:t>—</w:t>
            </w:r>
          </w:p>
        </w:tc>
        <w:tc>
          <w:tcPr>
            <w:tcW w:w="646" w:type="dxa"/>
            <w:shd w:val="clear" w:color="auto" w:fill="auto"/>
          </w:tcPr>
          <w:p w14:paraId="12CEBBB5" w14:textId="77777777" w:rsidR="00913C78" w:rsidRPr="0097400A" w:rsidRDefault="00913C78" w:rsidP="0097400A">
            <w:pPr>
              <w:pStyle w:val="ae"/>
              <w:rPr>
                <w:b w:val="0"/>
                <w:bCs/>
              </w:rPr>
            </w:pPr>
            <w:r w:rsidRPr="0097400A">
              <w:rPr>
                <w:rFonts w:hint="eastAsia"/>
                <w:b w:val="0"/>
                <w:bCs/>
              </w:rPr>
              <w:lastRenderedPageBreak/>
              <w:t>2.6</w:t>
            </w:r>
          </w:p>
          <w:p w14:paraId="2003DC16" w14:textId="77777777" w:rsidR="00913C78" w:rsidRPr="0097400A" w:rsidRDefault="00913C78" w:rsidP="0097400A">
            <w:pPr>
              <w:pStyle w:val="ae"/>
              <w:rPr>
                <w:b w:val="0"/>
                <w:bCs/>
              </w:rPr>
            </w:pPr>
            <w:r w:rsidRPr="0097400A">
              <w:rPr>
                <w:rFonts w:hint="eastAsia"/>
                <w:b w:val="0"/>
                <w:bCs/>
              </w:rPr>
              <w:t>2.2</w:t>
            </w:r>
          </w:p>
          <w:p w14:paraId="4F1EED7E" w14:textId="77777777" w:rsidR="00913C78" w:rsidRPr="0097400A" w:rsidRDefault="00913C78" w:rsidP="0097400A">
            <w:pPr>
              <w:pStyle w:val="ae"/>
              <w:rPr>
                <w:b w:val="0"/>
                <w:bCs/>
              </w:rPr>
            </w:pPr>
            <w:r w:rsidRPr="0097400A">
              <w:rPr>
                <w:rFonts w:hint="eastAsia"/>
                <w:b w:val="0"/>
                <w:bCs/>
              </w:rPr>
              <w:t>1.8</w:t>
            </w:r>
          </w:p>
          <w:p w14:paraId="7089C8C5" w14:textId="77777777" w:rsidR="00913C78" w:rsidRPr="0097400A" w:rsidRDefault="00913C78" w:rsidP="0097400A">
            <w:pPr>
              <w:pStyle w:val="ae"/>
              <w:rPr>
                <w:b w:val="0"/>
                <w:bCs/>
              </w:rPr>
            </w:pPr>
            <w:r w:rsidRPr="0097400A">
              <w:rPr>
                <w:rFonts w:hint="eastAsia"/>
                <w:b w:val="0"/>
                <w:bCs/>
              </w:rPr>
              <w:t>1.5</w:t>
            </w:r>
          </w:p>
          <w:p w14:paraId="70E83123" w14:textId="77777777" w:rsidR="00913C78" w:rsidRPr="0097400A" w:rsidRDefault="00913C78" w:rsidP="0097400A">
            <w:pPr>
              <w:pStyle w:val="ae"/>
              <w:rPr>
                <w:b w:val="0"/>
                <w:bCs/>
              </w:rPr>
            </w:pPr>
            <w:r w:rsidRPr="0097400A">
              <w:rPr>
                <w:rFonts w:hint="eastAsia"/>
                <w:b w:val="0"/>
                <w:bCs/>
              </w:rPr>
              <w:t>1.2</w:t>
            </w:r>
          </w:p>
          <w:p w14:paraId="16B20A6C" w14:textId="77777777" w:rsidR="00913C78" w:rsidRPr="0097400A" w:rsidRDefault="00913C78" w:rsidP="0097400A">
            <w:pPr>
              <w:pStyle w:val="ae"/>
              <w:rPr>
                <w:b w:val="0"/>
                <w:bCs/>
              </w:rPr>
            </w:pPr>
            <w:r w:rsidRPr="0097400A">
              <w:rPr>
                <w:rFonts w:hint="eastAsia"/>
                <w:b w:val="0"/>
                <w:bCs/>
              </w:rPr>
              <w:t>1.0</w:t>
            </w:r>
          </w:p>
          <w:p w14:paraId="47468AB4" w14:textId="77777777" w:rsidR="00913C78" w:rsidRPr="0097400A" w:rsidRDefault="00913C78" w:rsidP="0097400A">
            <w:pPr>
              <w:pStyle w:val="ae"/>
              <w:rPr>
                <w:b w:val="0"/>
                <w:bCs/>
              </w:rPr>
            </w:pPr>
            <w:r w:rsidRPr="0097400A">
              <w:rPr>
                <w:rFonts w:hint="eastAsia"/>
                <w:b w:val="0"/>
                <w:bCs/>
              </w:rPr>
              <w:t>0.8</w:t>
            </w:r>
          </w:p>
          <w:p w14:paraId="78440171" w14:textId="77777777" w:rsidR="00913C78" w:rsidRPr="0097400A" w:rsidRDefault="00913C78" w:rsidP="0097400A">
            <w:pPr>
              <w:pStyle w:val="ae"/>
              <w:rPr>
                <w:b w:val="0"/>
                <w:bCs/>
              </w:rPr>
            </w:pPr>
            <w:r w:rsidRPr="0097400A">
              <w:rPr>
                <w:rFonts w:hint="eastAsia"/>
                <w:b w:val="0"/>
                <w:bCs/>
              </w:rPr>
              <w:t>0.7</w:t>
            </w:r>
          </w:p>
          <w:p w14:paraId="63F83506" w14:textId="77777777" w:rsidR="00913C78" w:rsidRPr="0097400A" w:rsidRDefault="00913C78" w:rsidP="0097400A">
            <w:pPr>
              <w:pStyle w:val="ae"/>
              <w:rPr>
                <w:b w:val="0"/>
                <w:bCs/>
              </w:rPr>
            </w:pPr>
            <w:r w:rsidRPr="0097400A">
              <w:rPr>
                <w:rFonts w:hint="eastAsia"/>
                <w:b w:val="0"/>
                <w:bCs/>
              </w:rPr>
              <w:t>0.5</w:t>
            </w:r>
          </w:p>
          <w:p w14:paraId="44171373" w14:textId="77777777" w:rsidR="00913C78" w:rsidRPr="0097400A" w:rsidRDefault="00913C78" w:rsidP="0097400A">
            <w:pPr>
              <w:pStyle w:val="ae"/>
              <w:rPr>
                <w:b w:val="0"/>
                <w:bCs/>
              </w:rPr>
            </w:pPr>
            <w:r w:rsidRPr="0097400A">
              <w:rPr>
                <w:rFonts w:hint="eastAsia"/>
                <w:b w:val="0"/>
                <w:bCs/>
              </w:rPr>
              <w:lastRenderedPageBreak/>
              <w:t>0.4</w:t>
            </w:r>
          </w:p>
          <w:p w14:paraId="44520EAD" w14:textId="77777777" w:rsidR="00913C78" w:rsidRPr="0097400A" w:rsidRDefault="00913C78" w:rsidP="0097400A">
            <w:pPr>
              <w:pStyle w:val="ae"/>
              <w:rPr>
                <w:b w:val="0"/>
                <w:bCs/>
              </w:rPr>
            </w:pPr>
            <w:r w:rsidRPr="0097400A">
              <w:rPr>
                <w:rFonts w:hint="eastAsia"/>
                <w:b w:val="0"/>
                <w:bCs/>
              </w:rPr>
              <w:t>—</w:t>
            </w:r>
          </w:p>
          <w:p w14:paraId="1B09CBE8" w14:textId="77777777" w:rsidR="00913C78" w:rsidRPr="0097400A" w:rsidRDefault="00913C78" w:rsidP="0097400A">
            <w:pPr>
              <w:pStyle w:val="ae"/>
              <w:rPr>
                <w:b w:val="0"/>
                <w:bCs/>
              </w:rPr>
            </w:pPr>
            <w:r w:rsidRPr="0097400A">
              <w:rPr>
                <w:rFonts w:hint="eastAsia"/>
                <w:b w:val="0"/>
                <w:bCs/>
              </w:rPr>
              <w:t>—</w:t>
            </w:r>
          </w:p>
          <w:p w14:paraId="61E03A94" w14:textId="77777777" w:rsidR="00913C78" w:rsidRPr="0097400A" w:rsidRDefault="00913C78" w:rsidP="0097400A">
            <w:pPr>
              <w:pStyle w:val="ae"/>
              <w:rPr>
                <w:b w:val="0"/>
                <w:bCs/>
              </w:rPr>
            </w:pPr>
            <w:r w:rsidRPr="0097400A">
              <w:rPr>
                <w:rFonts w:hint="eastAsia"/>
                <w:b w:val="0"/>
                <w:bCs/>
              </w:rPr>
              <w:t>—</w:t>
            </w:r>
          </w:p>
          <w:p w14:paraId="72341B8D" w14:textId="77777777" w:rsidR="00913C78" w:rsidRPr="0097400A" w:rsidRDefault="00913C78" w:rsidP="0097400A">
            <w:pPr>
              <w:pStyle w:val="ae"/>
              <w:rPr>
                <w:b w:val="0"/>
                <w:bCs/>
              </w:rPr>
            </w:pPr>
            <w:r w:rsidRPr="0097400A">
              <w:rPr>
                <w:rFonts w:hint="eastAsia"/>
                <w:b w:val="0"/>
                <w:bCs/>
              </w:rPr>
              <w:t>—</w:t>
            </w:r>
          </w:p>
          <w:p w14:paraId="5411DD9E" w14:textId="77777777" w:rsidR="00913C78" w:rsidRPr="0097400A" w:rsidRDefault="00913C78" w:rsidP="0097400A">
            <w:pPr>
              <w:pStyle w:val="ae"/>
              <w:rPr>
                <w:b w:val="0"/>
                <w:bCs/>
              </w:rPr>
            </w:pPr>
            <w:r w:rsidRPr="0097400A">
              <w:rPr>
                <w:rFonts w:hint="eastAsia"/>
                <w:b w:val="0"/>
                <w:bCs/>
              </w:rPr>
              <w:t>—</w:t>
            </w:r>
          </w:p>
          <w:p w14:paraId="4C6FD7BB" w14:textId="77777777" w:rsidR="00913C78" w:rsidRPr="0097400A" w:rsidRDefault="00913C78" w:rsidP="0097400A">
            <w:pPr>
              <w:pStyle w:val="ae"/>
              <w:rPr>
                <w:b w:val="0"/>
                <w:bCs/>
              </w:rPr>
            </w:pPr>
            <w:r w:rsidRPr="0097400A">
              <w:rPr>
                <w:rFonts w:hint="eastAsia"/>
                <w:b w:val="0"/>
                <w:bCs/>
              </w:rPr>
              <w:t>—</w:t>
            </w:r>
          </w:p>
        </w:tc>
        <w:tc>
          <w:tcPr>
            <w:tcW w:w="646" w:type="dxa"/>
            <w:shd w:val="clear" w:color="auto" w:fill="auto"/>
          </w:tcPr>
          <w:p w14:paraId="79B3F8E5" w14:textId="77777777" w:rsidR="00913C78" w:rsidRPr="0097400A" w:rsidRDefault="00913C78" w:rsidP="0097400A">
            <w:pPr>
              <w:pStyle w:val="ae"/>
              <w:rPr>
                <w:b w:val="0"/>
                <w:bCs/>
              </w:rPr>
            </w:pPr>
            <w:r w:rsidRPr="0097400A">
              <w:rPr>
                <w:rFonts w:hint="eastAsia"/>
                <w:b w:val="0"/>
                <w:bCs/>
              </w:rPr>
              <w:lastRenderedPageBreak/>
              <w:t>2.6</w:t>
            </w:r>
          </w:p>
          <w:p w14:paraId="086072D7" w14:textId="77777777" w:rsidR="00913C78" w:rsidRPr="0097400A" w:rsidRDefault="00913C78" w:rsidP="0097400A">
            <w:pPr>
              <w:pStyle w:val="ae"/>
              <w:rPr>
                <w:b w:val="0"/>
                <w:bCs/>
              </w:rPr>
            </w:pPr>
            <w:r w:rsidRPr="0097400A">
              <w:rPr>
                <w:rFonts w:hint="eastAsia"/>
                <w:b w:val="0"/>
                <w:bCs/>
              </w:rPr>
              <w:t>2.2</w:t>
            </w:r>
          </w:p>
          <w:p w14:paraId="77224924" w14:textId="77777777" w:rsidR="00913C78" w:rsidRPr="0097400A" w:rsidRDefault="00913C78" w:rsidP="0097400A">
            <w:pPr>
              <w:pStyle w:val="ae"/>
              <w:rPr>
                <w:b w:val="0"/>
                <w:bCs/>
              </w:rPr>
            </w:pPr>
            <w:r w:rsidRPr="0097400A">
              <w:rPr>
                <w:rFonts w:hint="eastAsia"/>
                <w:b w:val="0"/>
                <w:bCs/>
              </w:rPr>
              <w:t>1.8</w:t>
            </w:r>
          </w:p>
          <w:p w14:paraId="795CDC44" w14:textId="77777777" w:rsidR="00913C78" w:rsidRPr="0097400A" w:rsidRDefault="00913C78" w:rsidP="0097400A">
            <w:pPr>
              <w:pStyle w:val="ae"/>
              <w:rPr>
                <w:b w:val="0"/>
                <w:bCs/>
              </w:rPr>
            </w:pPr>
            <w:r w:rsidRPr="0097400A">
              <w:rPr>
                <w:rFonts w:hint="eastAsia"/>
                <w:b w:val="0"/>
                <w:bCs/>
              </w:rPr>
              <w:t>1.5</w:t>
            </w:r>
          </w:p>
          <w:p w14:paraId="7A7B1602" w14:textId="77777777" w:rsidR="00913C78" w:rsidRPr="0097400A" w:rsidRDefault="00913C78" w:rsidP="0097400A">
            <w:pPr>
              <w:pStyle w:val="ae"/>
              <w:rPr>
                <w:b w:val="0"/>
                <w:bCs/>
              </w:rPr>
            </w:pPr>
            <w:r w:rsidRPr="0097400A">
              <w:rPr>
                <w:rFonts w:hint="eastAsia"/>
                <w:b w:val="0"/>
                <w:bCs/>
              </w:rPr>
              <w:t>1.2</w:t>
            </w:r>
          </w:p>
          <w:p w14:paraId="5F084DED" w14:textId="77777777" w:rsidR="00913C78" w:rsidRPr="0097400A" w:rsidRDefault="00913C78" w:rsidP="0097400A">
            <w:pPr>
              <w:pStyle w:val="ae"/>
              <w:rPr>
                <w:b w:val="0"/>
                <w:bCs/>
              </w:rPr>
            </w:pPr>
            <w:r w:rsidRPr="0097400A">
              <w:rPr>
                <w:rFonts w:hint="eastAsia"/>
                <w:b w:val="0"/>
                <w:bCs/>
              </w:rPr>
              <w:t>1.0</w:t>
            </w:r>
          </w:p>
          <w:p w14:paraId="5CA25909" w14:textId="77777777" w:rsidR="00913C78" w:rsidRPr="0097400A" w:rsidRDefault="00913C78" w:rsidP="0097400A">
            <w:pPr>
              <w:pStyle w:val="ae"/>
              <w:rPr>
                <w:b w:val="0"/>
                <w:bCs/>
              </w:rPr>
            </w:pPr>
            <w:r w:rsidRPr="0097400A">
              <w:rPr>
                <w:rFonts w:hint="eastAsia"/>
                <w:b w:val="0"/>
                <w:bCs/>
              </w:rPr>
              <w:t>0.8</w:t>
            </w:r>
          </w:p>
          <w:p w14:paraId="5B3E833D" w14:textId="77777777" w:rsidR="00913C78" w:rsidRPr="0097400A" w:rsidRDefault="00913C78" w:rsidP="0097400A">
            <w:pPr>
              <w:pStyle w:val="ae"/>
              <w:rPr>
                <w:b w:val="0"/>
                <w:bCs/>
              </w:rPr>
            </w:pPr>
            <w:r w:rsidRPr="0097400A">
              <w:rPr>
                <w:rFonts w:hint="eastAsia"/>
                <w:b w:val="0"/>
                <w:bCs/>
              </w:rPr>
              <w:t>0.7</w:t>
            </w:r>
          </w:p>
          <w:p w14:paraId="083D9441" w14:textId="77777777" w:rsidR="00913C78" w:rsidRPr="0097400A" w:rsidRDefault="00913C78" w:rsidP="0097400A">
            <w:pPr>
              <w:pStyle w:val="ae"/>
              <w:rPr>
                <w:b w:val="0"/>
                <w:bCs/>
              </w:rPr>
            </w:pPr>
            <w:r w:rsidRPr="0097400A">
              <w:rPr>
                <w:rFonts w:hint="eastAsia"/>
                <w:b w:val="0"/>
                <w:bCs/>
              </w:rPr>
              <w:t>0.5</w:t>
            </w:r>
          </w:p>
          <w:p w14:paraId="3D6D33F7" w14:textId="77777777" w:rsidR="00913C78" w:rsidRPr="0097400A" w:rsidRDefault="00913C78" w:rsidP="0097400A">
            <w:pPr>
              <w:pStyle w:val="ae"/>
              <w:rPr>
                <w:b w:val="0"/>
                <w:bCs/>
              </w:rPr>
            </w:pPr>
            <w:r w:rsidRPr="0097400A">
              <w:rPr>
                <w:rFonts w:hint="eastAsia"/>
                <w:b w:val="0"/>
                <w:bCs/>
              </w:rPr>
              <w:lastRenderedPageBreak/>
              <w:t>0.4</w:t>
            </w:r>
          </w:p>
          <w:p w14:paraId="216F66F8" w14:textId="77777777" w:rsidR="00913C78" w:rsidRPr="0097400A" w:rsidRDefault="00913C78" w:rsidP="0097400A">
            <w:pPr>
              <w:pStyle w:val="ae"/>
              <w:rPr>
                <w:b w:val="0"/>
                <w:bCs/>
              </w:rPr>
            </w:pPr>
            <w:r w:rsidRPr="0097400A">
              <w:rPr>
                <w:rFonts w:hint="eastAsia"/>
                <w:b w:val="0"/>
                <w:bCs/>
              </w:rPr>
              <w:t>—</w:t>
            </w:r>
          </w:p>
          <w:p w14:paraId="49CE0292" w14:textId="77777777" w:rsidR="00913C78" w:rsidRPr="0097400A" w:rsidRDefault="00913C78" w:rsidP="0097400A">
            <w:pPr>
              <w:pStyle w:val="ae"/>
              <w:rPr>
                <w:b w:val="0"/>
                <w:bCs/>
              </w:rPr>
            </w:pPr>
            <w:r w:rsidRPr="0097400A">
              <w:rPr>
                <w:rFonts w:hint="eastAsia"/>
                <w:b w:val="0"/>
                <w:bCs/>
              </w:rPr>
              <w:t>—</w:t>
            </w:r>
          </w:p>
          <w:p w14:paraId="7F458A01" w14:textId="77777777" w:rsidR="00913C78" w:rsidRPr="0097400A" w:rsidRDefault="00913C78" w:rsidP="0097400A">
            <w:pPr>
              <w:pStyle w:val="ae"/>
              <w:rPr>
                <w:b w:val="0"/>
                <w:bCs/>
              </w:rPr>
            </w:pPr>
            <w:r w:rsidRPr="0097400A">
              <w:rPr>
                <w:rFonts w:hint="eastAsia"/>
                <w:b w:val="0"/>
                <w:bCs/>
              </w:rPr>
              <w:t>—</w:t>
            </w:r>
          </w:p>
          <w:p w14:paraId="29CC48F1" w14:textId="77777777" w:rsidR="00913C78" w:rsidRPr="0097400A" w:rsidRDefault="00913C78" w:rsidP="0097400A">
            <w:pPr>
              <w:pStyle w:val="ae"/>
              <w:rPr>
                <w:b w:val="0"/>
                <w:bCs/>
              </w:rPr>
            </w:pPr>
            <w:r w:rsidRPr="0097400A">
              <w:rPr>
                <w:rFonts w:hint="eastAsia"/>
                <w:b w:val="0"/>
                <w:bCs/>
              </w:rPr>
              <w:t>—</w:t>
            </w:r>
          </w:p>
          <w:p w14:paraId="1D1713B4" w14:textId="77777777" w:rsidR="00913C78" w:rsidRPr="0097400A" w:rsidRDefault="00913C78" w:rsidP="0097400A">
            <w:pPr>
              <w:pStyle w:val="ae"/>
              <w:rPr>
                <w:b w:val="0"/>
                <w:bCs/>
              </w:rPr>
            </w:pPr>
            <w:r w:rsidRPr="0097400A">
              <w:rPr>
                <w:rFonts w:hint="eastAsia"/>
                <w:b w:val="0"/>
                <w:bCs/>
              </w:rPr>
              <w:t>—</w:t>
            </w:r>
          </w:p>
          <w:p w14:paraId="195BA52D" w14:textId="77777777" w:rsidR="00913C78" w:rsidRPr="0097400A" w:rsidRDefault="00913C78" w:rsidP="0097400A">
            <w:pPr>
              <w:pStyle w:val="ae"/>
              <w:rPr>
                <w:b w:val="0"/>
                <w:bCs/>
              </w:rPr>
            </w:pPr>
            <w:r w:rsidRPr="0097400A">
              <w:rPr>
                <w:rFonts w:hint="eastAsia"/>
                <w:b w:val="0"/>
                <w:bCs/>
              </w:rPr>
              <w:t>—</w:t>
            </w:r>
          </w:p>
        </w:tc>
      </w:tr>
    </w:tbl>
    <w:p w14:paraId="051218ED" w14:textId="77777777" w:rsidR="00913C78" w:rsidRPr="00913C78" w:rsidRDefault="00913C78" w:rsidP="00913C78">
      <w:pPr>
        <w:ind w:firstLine="420"/>
      </w:pPr>
    </w:p>
    <w:p w14:paraId="2252EDC7" w14:textId="77777777" w:rsidR="00913C78" w:rsidRPr="00913C78" w:rsidRDefault="00913C78" w:rsidP="00913C78">
      <w:pPr>
        <w:ind w:firstLine="420"/>
      </w:pPr>
      <w:r w:rsidRPr="00913C78">
        <w:rPr>
          <w:rFonts w:hint="eastAsia"/>
        </w:rPr>
        <w:t>由此</w:t>
      </w:r>
      <w:r w:rsidRPr="00913C78">
        <w:t>，可以计算出</w:t>
      </w:r>
      <w:r w:rsidRPr="00913C78">
        <w:rPr>
          <w:rFonts w:hint="eastAsia"/>
        </w:rPr>
        <w:t>综合室内背景噪声级，</w:t>
      </w:r>
      <w:r w:rsidRPr="00913C78">
        <w:t>据此</w:t>
      </w:r>
      <w:r w:rsidRPr="00913C78">
        <w:rPr>
          <w:rFonts w:hint="eastAsia"/>
        </w:rPr>
        <w:t>判断室内背景噪声级是否满足《民用建筑隔声设计规范》（</w:t>
      </w:r>
      <w:r w:rsidRPr="00913C78">
        <w:rPr>
          <w:rFonts w:hint="eastAsia"/>
        </w:rPr>
        <w:t>GB 50118</w:t>
      </w:r>
      <w:r w:rsidRPr="00913C78">
        <w:rPr>
          <w:rFonts w:hint="eastAsia"/>
        </w:rPr>
        <w:t>—</w:t>
      </w:r>
      <w:r w:rsidRPr="00913C78">
        <w:rPr>
          <w:rFonts w:hint="eastAsia"/>
        </w:rPr>
        <w:t>2010</w:t>
      </w:r>
      <w:r w:rsidRPr="00913C78">
        <w:rPr>
          <w:rFonts w:hint="eastAsia"/>
        </w:rPr>
        <w:t>）要求。</w:t>
      </w:r>
    </w:p>
    <w:p w14:paraId="6278AF2D" w14:textId="77777777" w:rsidR="00913C78" w:rsidRPr="00913C78" w:rsidRDefault="00913C78" w:rsidP="0097400A">
      <w:pPr>
        <w:pStyle w:val="32"/>
      </w:pPr>
      <w:bookmarkStart w:id="445" w:name="_Toc476401996"/>
      <w:bookmarkStart w:id="446" w:name="_Toc35364824"/>
      <w:r w:rsidRPr="00913C78">
        <w:rPr>
          <w:rFonts w:hint="eastAsia"/>
        </w:rPr>
        <w:t xml:space="preserve">B.6.3 </w:t>
      </w:r>
      <w:r w:rsidRPr="00913C78">
        <w:t xml:space="preserve"> </w:t>
      </w:r>
      <w:r w:rsidRPr="00913C78">
        <w:rPr>
          <w:rFonts w:hint="eastAsia"/>
        </w:rPr>
        <w:t>结论</w:t>
      </w:r>
      <w:bookmarkEnd w:id="445"/>
      <w:bookmarkEnd w:id="446"/>
    </w:p>
    <w:p w14:paraId="4AE540EA" w14:textId="77777777" w:rsidR="00913C78" w:rsidRPr="00913C78" w:rsidRDefault="00913C78" w:rsidP="00913C78">
      <w:pPr>
        <w:ind w:firstLine="420"/>
      </w:pPr>
      <w:r w:rsidRPr="00913C78">
        <w:rPr>
          <w:rFonts w:hint="eastAsia"/>
        </w:rPr>
        <w:t>将</w:t>
      </w:r>
      <w:r w:rsidRPr="00913C78">
        <w:t>以上所有计算结果</w:t>
      </w:r>
      <w:r w:rsidRPr="00913C78">
        <w:rPr>
          <w:rFonts w:hint="eastAsia"/>
        </w:rPr>
        <w:t>逐一</w:t>
      </w:r>
      <w:r w:rsidRPr="00913C78">
        <w:t>与标准对比，</w:t>
      </w:r>
      <w:r w:rsidRPr="00913C78">
        <w:rPr>
          <w:rFonts w:hint="eastAsia"/>
        </w:rPr>
        <w:t>进行达标判定，</w:t>
      </w:r>
      <w:r w:rsidRPr="00913C78">
        <w:t>并</w:t>
      </w:r>
      <w:r w:rsidRPr="00913C78">
        <w:rPr>
          <w:rFonts w:hint="eastAsia"/>
        </w:rPr>
        <w:t>给出结论。</w:t>
      </w:r>
    </w:p>
    <w:p w14:paraId="57F83C9B" w14:textId="77777777" w:rsidR="00913C78" w:rsidRPr="00913C78" w:rsidRDefault="00913C78" w:rsidP="0097400A">
      <w:pPr>
        <w:pStyle w:val="32"/>
      </w:pPr>
      <w:bookmarkStart w:id="447" w:name="_Toc476401997"/>
      <w:bookmarkStart w:id="448" w:name="_Toc35364825"/>
      <w:r w:rsidRPr="00913C78">
        <w:rPr>
          <w:rFonts w:hint="eastAsia"/>
        </w:rPr>
        <w:t>B.6.</w:t>
      </w:r>
      <w:r w:rsidRPr="00913C78">
        <w:t>4</w:t>
      </w:r>
      <w:r w:rsidRPr="00913C78">
        <w:rPr>
          <w:rFonts w:hint="eastAsia"/>
        </w:rPr>
        <w:t xml:space="preserve">  </w:t>
      </w:r>
      <w:r w:rsidRPr="00913C78">
        <w:rPr>
          <w:rFonts w:hint="eastAsia"/>
        </w:rPr>
        <w:t>审查要点</w:t>
      </w:r>
      <w:bookmarkEnd w:id="447"/>
      <w:r w:rsidRPr="00913C78">
        <w:rPr>
          <w:rFonts w:hint="eastAsia"/>
        </w:rPr>
        <w:t>（附表</w:t>
      </w:r>
      <w:r w:rsidRPr="00913C78">
        <w:rPr>
          <w:rFonts w:hint="eastAsia"/>
        </w:rPr>
        <w:t>B.6.16</w:t>
      </w:r>
      <w:r w:rsidRPr="00913C78">
        <w:rPr>
          <w:rFonts w:hint="eastAsia"/>
        </w:rPr>
        <w:t>）</w:t>
      </w:r>
      <w:bookmarkEnd w:id="448"/>
    </w:p>
    <w:p w14:paraId="7CB0E49E" w14:textId="77777777" w:rsidR="0097400A" w:rsidRDefault="0097400A" w:rsidP="00913C78">
      <w:pPr>
        <w:ind w:firstLine="420"/>
      </w:pPr>
    </w:p>
    <w:p w14:paraId="6939D9DA" w14:textId="2E75EA79" w:rsidR="00913C78" w:rsidRPr="00913C78" w:rsidRDefault="00913C78" w:rsidP="0097400A">
      <w:pPr>
        <w:pStyle w:val="ae"/>
      </w:pPr>
      <w:r w:rsidRPr="00913C78">
        <w:rPr>
          <w:rFonts w:hint="eastAsia"/>
        </w:rPr>
        <w:t>附表</w:t>
      </w:r>
      <w:r w:rsidRPr="00913C78">
        <w:rPr>
          <w:rFonts w:hint="eastAsia"/>
        </w:rPr>
        <w:t xml:space="preserve">B.6.16  </w:t>
      </w:r>
      <w:r w:rsidRPr="00913C78">
        <w:rPr>
          <w:rFonts w:hint="eastAsia"/>
        </w:rPr>
        <w:t>建筑构件隔声性能及室内背景噪声计算报告专家判断表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28" w:type="dxa"/>
          <w:right w:w="28" w:type="dxa"/>
        </w:tblCellMar>
        <w:tblLook w:val="04A0" w:firstRow="1" w:lastRow="0" w:firstColumn="1" w:lastColumn="0" w:noHBand="0" w:noVBand="1"/>
      </w:tblPr>
      <w:tblGrid>
        <w:gridCol w:w="406"/>
        <w:gridCol w:w="1288"/>
        <w:gridCol w:w="5011"/>
        <w:gridCol w:w="665"/>
      </w:tblGrid>
      <w:tr w:rsidR="00913C78" w:rsidRPr="0097400A" w14:paraId="751BB5CD" w14:textId="77777777" w:rsidTr="0065215E">
        <w:trPr>
          <w:jc w:val="center"/>
        </w:trPr>
        <w:tc>
          <w:tcPr>
            <w:tcW w:w="406" w:type="dxa"/>
            <w:shd w:val="clear" w:color="auto" w:fill="auto"/>
            <w:vAlign w:val="center"/>
            <w:hideMark/>
          </w:tcPr>
          <w:p w14:paraId="6B676E56" w14:textId="77777777" w:rsidR="00913C78" w:rsidRPr="0097400A" w:rsidRDefault="00913C78" w:rsidP="0097400A">
            <w:pPr>
              <w:pStyle w:val="ae"/>
              <w:rPr>
                <w:b w:val="0"/>
                <w:bCs/>
              </w:rPr>
            </w:pPr>
            <w:r w:rsidRPr="0097400A">
              <w:rPr>
                <w:rFonts w:hint="eastAsia"/>
                <w:b w:val="0"/>
                <w:bCs/>
              </w:rPr>
              <w:t>编号</w:t>
            </w:r>
          </w:p>
        </w:tc>
        <w:tc>
          <w:tcPr>
            <w:tcW w:w="1288" w:type="dxa"/>
            <w:shd w:val="clear" w:color="auto" w:fill="auto"/>
            <w:vAlign w:val="center"/>
            <w:hideMark/>
          </w:tcPr>
          <w:p w14:paraId="7A00D9E4" w14:textId="77777777" w:rsidR="00913C78" w:rsidRPr="0097400A" w:rsidRDefault="00913C78" w:rsidP="0097400A">
            <w:pPr>
              <w:pStyle w:val="ae"/>
              <w:rPr>
                <w:b w:val="0"/>
                <w:bCs/>
              </w:rPr>
            </w:pPr>
            <w:r w:rsidRPr="0097400A">
              <w:rPr>
                <w:rFonts w:hint="eastAsia"/>
                <w:b w:val="0"/>
                <w:bCs/>
              </w:rPr>
              <w:t>审查要点</w:t>
            </w:r>
          </w:p>
        </w:tc>
        <w:tc>
          <w:tcPr>
            <w:tcW w:w="5011" w:type="dxa"/>
            <w:shd w:val="clear" w:color="auto" w:fill="auto"/>
            <w:vAlign w:val="center"/>
            <w:hideMark/>
          </w:tcPr>
          <w:p w14:paraId="0DB3FB63" w14:textId="77777777" w:rsidR="00913C78" w:rsidRPr="0097400A" w:rsidRDefault="00913C78" w:rsidP="0097400A">
            <w:pPr>
              <w:pStyle w:val="ae"/>
              <w:rPr>
                <w:b w:val="0"/>
                <w:bCs/>
              </w:rPr>
            </w:pPr>
            <w:r w:rsidRPr="0097400A">
              <w:rPr>
                <w:rFonts w:hint="eastAsia"/>
                <w:b w:val="0"/>
                <w:bCs/>
              </w:rPr>
              <w:t>具体判断</w:t>
            </w:r>
          </w:p>
        </w:tc>
        <w:tc>
          <w:tcPr>
            <w:tcW w:w="665" w:type="dxa"/>
            <w:shd w:val="clear" w:color="auto" w:fill="auto"/>
            <w:vAlign w:val="center"/>
            <w:hideMark/>
          </w:tcPr>
          <w:p w14:paraId="4CBFCCAC" w14:textId="77777777" w:rsidR="00913C78" w:rsidRPr="0097400A" w:rsidRDefault="00913C78" w:rsidP="0097400A">
            <w:pPr>
              <w:pStyle w:val="ae"/>
              <w:rPr>
                <w:b w:val="0"/>
                <w:bCs/>
              </w:rPr>
            </w:pPr>
            <w:r w:rsidRPr="0097400A">
              <w:rPr>
                <w:rFonts w:hint="eastAsia"/>
                <w:b w:val="0"/>
                <w:bCs/>
              </w:rPr>
              <w:t>是否满足</w:t>
            </w:r>
          </w:p>
        </w:tc>
      </w:tr>
      <w:tr w:rsidR="00913C78" w:rsidRPr="0097400A" w14:paraId="224BD530" w14:textId="77777777" w:rsidTr="0065215E">
        <w:trPr>
          <w:jc w:val="center"/>
        </w:trPr>
        <w:tc>
          <w:tcPr>
            <w:tcW w:w="406" w:type="dxa"/>
            <w:shd w:val="clear" w:color="auto" w:fill="auto"/>
            <w:vAlign w:val="center"/>
            <w:hideMark/>
          </w:tcPr>
          <w:p w14:paraId="431A7913" w14:textId="77777777" w:rsidR="00913C78" w:rsidRPr="0097400A" w:rsidRDefault="00913C78" w:rsidP="0097400A">
            <w:pPr>
              <w:pStyle w:val="ae"/>
              <w:rPr>
                <w:b w:val="0"/>
                <w:bCs/>
              </w:rPr>
            </w:pPr>
            <w:r w:rsidRPr="0097400A">
              <w:rPr>
                <w:rFonts w:hint="eastAsia"/>
                <w:b w:val="0"/>
                <w:bCs/>
              </w:rPr>
              <w:t>1</w:t>
            </w:r>
          </w:p>
        </w:tc>
        <w:tc>
          <w:tcPr>
            <w:tcW w:w="1288" w:type="dxa"/>
            <w:shd w:val="clear" w:color="auto" w:fill="auto"/>
            <w:vAlign w:val="center"/>
            <w:hideMark/>
          </w:tcPr>
          <w:p w14:paraId="69A3B4A0" w14:textId="77777777" w:rsidR="00913C78" w:rsidRPr="0097400A" w:rsidRDefault="00913C78" w:rsidP="0097400A">
            <w:pPr>
              <w:pStyle w:val="ae"/>
              <w:rPr>
                <w:b w:val="0"/>
                <w:bCs/>
              </w:rPr>
            </w:pPr>
            <w:r w:rsidRPr="0097400A">
              <w:rPr>
                <w:rFonts w:hint="eastAsia"/>
                <w:b w:val="0"/>
                <w:bCs/>
              </w:rPr>
              <w:t>计算依据</w:t>
            </w:r>
          </w:p>
        </w:tc>
        <w:tc>
          <w:tcPr>
            <w:tcW w:w="5011" w:type="dxa"/>
            <w:shd w:val="clear" w:color="auto" w:fill="auto"/>
            <w:vAlign w:val="center"/>
            <w:hideMark/>
          </w:tcPr>
          <w:p w14:paraId="48555F73" w14:textId="77777777" w:rsidR="00913C78" w:rsidRPr="0097400A" w:rsidRDefault="00913C78" w:rsidP="0097400A">
            <w:pPr>
              <w:pStyle w:val="af7"/>
            </w:pPr>
            <w:r w:rsidRPr="0097400A">
              <w:rPr>
                <w:rFonts w:hint="eastAsia"/>
              </w:rPr>
              <w:t>计算基础数据有可靠来源，写明基础数据及来源、参考标准、资料</w:t>
            </w:r>
          </w:p>
        </w:tc>
        <w:tc>
          <w:tcPr>
            <w:tcW w:w="665" w:type="dxa"/>
            <w:shd w:val="clear" w:color="auto" w:fill="auto"/>
            <w:vAlign w:val="center"/>
            <w:hideMark/>
          </w:tcPr>
          <w:p w14:paraId="0E3BAC40" w14:textId="77777777" w:rsidR="00913C78" w:rsidRPr="0097400A" w:rsidRDefault="00913C78" w:rsidP="0097400A">
            <w:pPr>
              <w:pStyle w:val="ae"/>
              <w:rPr>
                <w:b w:val="0"/>
                <w:bCs/>
              </w:rPr>
            </w:pPr>
          </w:p>
        </w:tc>
      </w:tr>
      <w:tr w:rsidR="00913C78" w:rsidRPr="0097400A" w14:paraId="57F76E38" w14:textId="77777777" w:rsidTr="0065215E">
        <w:trPr>
          <w:jc w:val="center"/>
        </w:trPr>
        <w:tc>
          <w:tcPr>
            <w:tcW w:w="406" w:type="dxa"/>
            <w:shd w:val="clear" w:color="auto" w:fill="auto"/>
            <w:vAlign w:val="center"/>
            <w:hideMark/>
          </w:tcPr>
          <w:p w14:paraId="523E6648" w14:textId="77777777" w:rsidR="00913C78" w:rsidRPr="0097400A" w:rsidRDefault="00913C78" w:rsidP="0097400A">
            <w:pPr>
              <w:pStyle w:val="ae"/>
              <w:rPr>
                <w:b w:val="0"/>
                <w:bCs/>
              </w:rPr>
            </w:pPr>
            <w:r w:rsidRPr="0097400A">
              <w:rPr>
                <w:rFonts w:hint="eastAsia"/>
                <w:b w:val="0"/>
                <w:bCs/>
              </w:rPr>
              <w:t>2</w:t>
            </w:r>
          </w:p>
        </w:tc>
        <w:tc>
          <w:tcPr>
            <w:tcW w:w="1288" w:type="dxa"/>
            <w:shd w:val="clear" w:color="auto" w:fill="auto"/>
            <w:vAlign w:val="center"/>
            <w:hideMark/>
          </w:tcPr>
          <w:p w14:paraId="3EE6BBD0" w14:textId="77777777" w:rsidR="00913C78" w:rsidRPr="0097400A" w:rsidRDefault="00913C78" w:rsidP="0097400A">
            <w:pPr>
              <w:pStyle w:val="ae"/>
              <w:rPr>
                <w:b w:val="0"/>
                <w:bCs/>
              </w:rPr>
            </w:pPr>
            <w:r w:rsidRPr="0097400A">
              <w:rPr>
                <w:rFonts w:hint="eastAsia"/>
                <w:b w:val="0"/>
                <w:bCs/>
              </w:rPr>
              <w:t>围护结构计权隔声量</w:t>
            </w:r>
          </w:p>
        </w:tc>
        <w:tc>
          <w:tcPr>
            <w:tcW w:w="5011" w:type="dxa"/>
            <w:shd w:val="clear" w:color="auto" w:fill="auto"/>
            <w:vAlign w:val="center"/>
            <w:hideMark/>
          </w:tcPr>
          <w:p w14:paraId="34BFE45E" w14:textId="77777777" w:rsidR="00913C78" w:rsidRPr="0097400A" w:rsidRDefault="00913C78" w:rsidP="0097400A">
            <w:pPr>
              <w:pStyle w:val="af7"/>
            </w:pPr>
            <w:r w:rsidRPr="0097400A">
              <w:rPr>
                <w:rFonts w:hint="eastAsia"/>
              </w:rPr>
              <w:t>计算方法明确</w:t>
            </w:r>
            <w:r w:rsidRPr="0097400A">
              <w:t>，计算过程</w:t>
            </w:r>
            <w:r w:rsidRPr="0097400A">
              <w:rPr>
                <w:rFonts w:hint="eastAsia"/>
              </w:rPr>
              <w:t>清晰，</w:t>
            </w:r>
            <w:r w:rsidRPr="0097400A">
              <w:t>计算内容包含第</w:t>
            </w:r>
            <w:r w:rsidRPr="0097400A">
              <w:rPr>
                <w:rFonts w:hint="eastAsia"/>
              </w:rPr>
              <w:t>B.6.2</w:t>
            </w:r>
            <w:r w:rsidRPr="0097400A">
              <w:rPr>
                <w:rFonts w:hint="eastAsia"/>
              </w:rPr>
              <w:t>节中围护结构计数隔声量的</w:t>
            </w:r>
            <w:r w:rsidRPr="0097400A">
              <w:t>所有内容</w:t>
            </w:r>
            <w:r w:rsidRPr="0097400A">
              <w:rPr>
                <w:rFonts w:hint="eastAsia"/>
              </w:rPr>
              <w:t>。</w:t>
            </w:r>
          </w:p>
          <w:p w14:paraId="40A8C0C4" w14:textId="77777777" w:rsidR="00913C78" w:rsidRPr="0097400A" w:rsidRDefault="00913C78" w:rsidP="0097400A">
            <w:pPr>
              <w:pStyle w:val="af7"/>
            </w:pPr>
            <w:r w:rsidRPr="0097400A">
              <w:rPr>
                <w:rFonts w:hint="eastAsia"/>
              </w:rPr>
              <w:t>有</w:t>
            </w:r>
            <w:r w:rsidRPr="0097400A">
              <w:t>相关资料（</w:t>
            </w:r>
            <w:r w:rsidRPr="0097400A">
              <w:rPr>
                <w:rFonts w:hint="eastAsia"/>
              </w:rPr>
              <w:t>如《建筑声学设计原理》《噪声与振动控制工程手册》</w:t>
            </w:r>
            <w:r w:rsidRPr="0097400A">
              <w:t>）</w:t>
            </w:r>
            <w:r w:rsidRPr="0097400A">
              <w:rPr>
                <w:rFonts w:hint="eastAsia"/>
              </w:rPr>
              <w:t>提供</w:t>
            </w:r>
            <w:r w:rsidRPr="0097400A">
              <w:t>隔声量的</w:t>
            </w:r>
            <w:r w:rsidRPr="0097400A">
              <w:rPr>
                <w:rFonts w:hint="eastAsia"/>
              </w:rPr>
              <w:t>结果</w:t>
            </w:r>
            <w:r w:rsidRPr="0097400A">
              <w:t>，说明其</w:t>
            </w:r>
            <w:r w:rsidRPr="0097400A">
              <w:rPr>
                <w:rFonts w:hint="eastAsia"/>
              </w:rPr>
              <w:t>数据</w:t>
            </w:r>
            <w:r w:rsidRPr="0097400A">
              <w:t>出处</w:t>
            </w:r>
            <w:r w:rsidRPr="0097400A">
              <w:rPr>
                <w:rFonts w:hint="eastAsia"/>
              </w:rPr>
              <w:t>；如果未能找到相近构造的计权隔声量数据，则应根据第</w:t>
            </w:r>
            <w:r w:rsidRPr="0097400A">
              <w:rPr>
                <w:rFonts w:hint="eastAsia"/>
              </w:rPr>
              <w:lastRenderedPageBreak/>
              <w:t>B.6.2</w:t>
            </w:r>
            <w:r w:rsidRPr="0097400A">
              <w:rPr>
                <w:rFonts w:hint="eastAsia"/>
              </w:rPr>
              <w:t>节介绍的计算方法对计权隔声量进行计算</w:t>
            </w:r>
          </w:p>
        </w:tc>
        <w:tc>
          <w:tcPr>
            <w:tcW w:w="665" w:type="dxa"/>
            <w:shd w:val="clear" w:color="auto" w:fill="auto"/>
            <w:vAlign w:val="center"/>
            <w:hideMark/>
          </w:tcPr>
          <w:p w14:paraId="24F7F825" w14:textId="77777777" w:rsidR="00913C78" w:rsidRPr="0097400A" w:rsidRDefault="00913C78" w:rsidP="0097400A">
            <w:pPr>
              <w:pStyle w:val="ae"/>
              <w:rPr>
                <w:b w:val="0"/>
                <w:bCs/>
              </w:rPr>
            </w:pPr>
          </w:p>
        </w:tc>
      </w:tr>
      <w:tr w:rsidR="00913C78" w:rsidRPr="0097400A" w14:paraId="2421489E" w14:textId="77777777" w:rsidTr="0065215E">
        <w:trPr>
          <w:jc w:val="center"/>
        </w:trPr>
        <w:tc>
          <w:tcPr>
            <w:tcW w:w="406" w:type="dxa"/>
            <w:shd w:val="clear" w:color="auto" w:fill="auto"/>
            <w:vAlign w:val="center"/>
          </w:tcPr>
          <w:p w14:paraId="4A4C3ED3" w14:textId="77777777" w:rsidR="00913C78" w:rsidRPr="0097400A" w:rsidRDefault="00913C78" w:rsidP="0097400A">
            <w:pPr>
              <w:pStyle w:val="ae"/>
              <w:rPr>
                <w:b w:val="0"/>
                <w:bCs/>
              </w:rPr>
            </w:pPr>
            <w:r w:rsidRPr="0097400A">
              <w:rPr>
                <w:rFonts w:hint="eastAsia"/>
                <w:b w:val="0"/>
                <w:bCs/>
              </w:rPr>
              <w:lastRenderedPageBreak/>
              <w:t>3</w:t>
            </w:r>
          </w:p>
        </w:tc>
        <w:tc>
          <w:tcPr>
            <w:tcW w:w="1288" w:type="dxa"/>
            <w:shd w:val="clear" w:color="auto" w:fill="auto"/>
            <w:vAlign w:val="center"/>
          </w:tcPr>
          <w:p w14:paraId="6A12EE61" w14:textId="77777777" w:rsidR="00913C78" w:rsidRPr="0097400A" w:rsidRDefault="00913C78" w:rsidP="0097400A">
            <w:pPr>
              <w:pStyle w:val="ae"/>
              <w:rPr>
                <w:b w:val="0"/>
                <w:bCs/>
              </w:rPr>
            </w:pPr>
            <w:r w:rsidRPr="0097400A">
              <w:rPr>
                <w:rFonts w:hint="eastAsia"/>
                <w:b w:val="0"/>
                <w:bCs/>
              </w:rPr>
              <w:t>楼板的计权标准化撞击声压级</w:t>
            </w:r>
          </w:p>
        </w:tc>
        <w:tc>
          <w:tcPr>
            <w:tcW w:w="5011" w:type="dxa"/>
            <w:shd w:val="clear" w:color="auto" w:fill="auto"/>
            <w:vAlign w:val="center"/>
          </w:tcPr>
          <w:p w14:paraId="734FF53F" w14:textId="77777777" w:rsidR="00913C78" w:rsidRPr="0097400A" w:rsidRDefault="00913C78" w:rsidP="0097400A">
            <w:pPr>
              <w:pStyle w:val="af7"/>
            </w:pPr>
            <w:r w:rsidRPr="0097400A">
              <w:rPr>
                <w:rFonts w:hint="eastAsia"/>
              </w:rPr>
              <w:t>如果未能找到相近构造的平均撞击声压级参数，则应根据《建筑隔声评价标准》（</w:t>
            </w:r>
            <w:r w:rsidRPr="0097400A">
              <w:rPr>
                <w:rFonts w:hint="eastAsia"/>
              </w:rPr>
              <w:t>GB/T 50121</w:t>
            </w:r>
            <w:r w:rsidRPr="0097400A">
              <w:rPr>
                <w:rFonts w:hint="eastAsia"/>
              </w:rPr>
              <w:t>—</w:t>
            </w:r>
            <w:r w:rsidRPr="0097400A">
              <w:rPr>
                <w:rFonts w:hint="eastAsia"/>
              </w:rPr>
              <w:t>2005</w:t>
            </w:r>
            <w:r w:rsidRPr="0097400A">
              <w:rPr>
                <w:rFonts w:hint="eastAsia"/>
              </w:rPr>
              <w:t>）第</w:t>
            </w:r>
            <w:r w:rsidRPr="0097400A">
              <w:rPr>
                <w:rFonts w:hint="eastAsia"/>
              </w:rPr>
              <w:t>4</w:t>
            </w:r>
            <w:r w:rsidRPr="0097400A">
              <w:rPr>
                <w:rFonts w:hint="eastAsia"/>
              </w:rPr>
              <w:t>章介绍的计算方法对计权标准化撞击声压级进行计算</w:t>
            </w:r>
          </w:p>
        </w:tc>
        <w:tc>
          <w:tcPr>
            <w:tcW w:w="665" w:type="dxa"/>
            <w:shd w:val="clear" w:color="auto" w:fill="auto"/>
            <w:vAlign w:val="center"/>
          </w:tcPr>
          <w:p w14:paraId="5D80754F" w14:textId="77777777" w:rsidR="00913C78" w:rsidRPr="0097400A" w:rsidRDefault="00913C78" w:rsidP="0097400A">
            <w:pPr>
              <w:pStyle w:val="ae"/>
              <w:rPr>
                <w:b w:val="0"/>
                <w:bCs/>
              </w:rPr>
            </w:pPr>
          </w:p>
        </w:tc>
      </w:tr>
      <w:tr w:rsidR="00913C78" w:rsidRPr="0097400A" w14:paraId="014CA8F3" w14:textId="77777777" w:rsidTr="0065215E">
        <w:trPr>
          <w:jc w:val="center"/>
        </w:trPr>
        <w:tc>
          <w:tcPr>
            <w:tcW w:w="406" w:type="dxa"/>
            <w:shd w:val="clear" w:color="auto" w:fill="auto"/>
            <w:vAlign w:val="center"/>
            <w:hideMark/>
          </w:tcPr>
          <w:p w14:paraId="2BEBA4F9" w14:textId="77777777" w:rsidR="00913C78" w:rsidRPr="0097400A" w:rsidRDefault="00913C78" w:rsidP="0097400A">
            <w:pPr>
              <w:pStyle w:val="ae"/>
              <w:rPr>
                <w:b w:val="0"/>
                <w:bCs/>
              </w:rPr>
            </w:pPr>
            <w:r w:rsidRPr="0097400A">
              <w:rPr>
                <w:b w:val="0"/>
                <w:bCs/>
              </w:rPr>
              <w:t>4</w:t>
            </w:r>
          </w:p>
        </w:tc>
        <w:tc>
          <w:tcPr>
            <w:tcW w:w="1288" w:type="dxa"/>
            <w:shd w:val="clear" w:color="auto" w:fill="auto"/>
            <w:vAlign w:val="center"/>
            <w:hideMark/>
          </w:tcPr>
          <w:p w14:paraId="0A24BA8E" w14:textId="77777777" w:rsidR="00913C78" w:rsidRPr="0097400A" w:rsidRDefault="00913C78" w:rsidP="0097400A">
            <w:pPr>
              <w:pStyle w:val="ae"/>
              <w:rPr>
                <w:b w:val="0"/>
                <w:bCs/>
              </w:rPr>
            </w:pPr>
            <w:r w:rsidRPr="0097400A">
              <w:rPr>
                <w:rFonts w:hint="eastAsia"/>
                <w:b w:val="0"/>
                <w:bCs/>
              </w:rPr>
              <w:t>室内背景噪声计算</w:t>
            </w:r>
          </w:p>
        </w:tc>
        <w:tc>
          <w:tcPr>
            <w:tcW w:w="5011" w:type="dxa"/>
            <w:shd w:val="clear" w:color="auto" w:fill="auto"/>
            <w:vAlign w:val="center"/>
            <w:hideMark/>
          </w:tcPr>
          <w:p w14:paraId="3E1581BF" w14:textId="77777777" w:rsidR="00913C78" w:rsidRPr="0097400A" w:rsidRDefault="00913C78" w:rsidP="0097400A">
            <w:pPr>
              <w:pStyle w:val="af7"/>
            </w:pPr>
            <w:r w:rsidRPr="0097400A">
              <w:rPr>
                <w:rFonts w:hint="eastAsia"/>
              </w:rPr>
              <w:t>计算方法明确</w:t>
            </w:r>
            <w:r w:rsidRPr="0097400A">
              <w:t>，计算过程</w:t>
            </w:r>
            <w:r w:rsidRPr="0097400A">
              <w:rPr>
                <w:rFonts w:hint="eastAsia"/>
              </w:rPr>
              <w:t>清晰，</w:t>
            </w:r>
            <w:r w:rsidRPr="0097400A">
              <w:t>计算内容包含第</w:t>
            </w:r>
            <w:r w:rsidRPr="0097400A">
              <w:rPr>
                <w:rFonts w:hint="eastAsia"/>
              </w:rPr>
              <w:t>B.6.2</w:t>
            </w:r>
            <w:r w:rsidRPr="0097400A">
              <w:rPr>
                <w:rFonts w:hint="eastAsia"/>
              </w:rPr>
              <w:t>节中室内背景噪声级计算的</w:t>
            </w:r>
            <w:r w:rsidRPr="0097400A">
              <w:t>所有的内容</w:t>
            </w:r>
          </w:p>
        </w:tc>
        <w:tc>
          <w:tcPr>
            <w:tcW w:w="665" w:type="dxa"/>
            <w:shd w:val="clear" w:color="auto" w:fill="auto"/>
            <w:vAlign w:val="center"/>
            <w:hideMark/>
          </w:tcPr>
          <w:p w14:paraId="5A1F6403" w14:textId="77777777" w:rsidR="00913C78" w:rsidRPr="0097400A" w:rsidRDefault="00913C78" w:rsidP="0097400A">
            <w:pPr>
              <w:pStyle w:val="ae"/>
              <w:rPr>
                <w:b w:val="0"/>
                <w:bCs/>
              </w:rPr>
            </w:pPr>
          </w:p>
        </w:tc>
      </w:tr>
      <w:tr w:rsidR="00913C78" w:rsidRPr="0097400A" w14:paraId="4059637E" w14:textId="77777777" w:rsidTr="0065215E">
        <w:trPr>
          <w:jc w:val="center"/>
        </w:trPr>
        <w:tc>
          <w:tcPr>
            <w:tcW w:w="406" w:type="dxa"/>
            <w:shd w:val="clear" w:color="auto" w:fill="auto"/>
            <w:vAlign w:val="center"/>
          </w:tcPr>
          <w:p w14:paraId="74FA2E4B" w14:textId="77777777" w:rsidR="00913C78" w:rsidRPr="0097400A" w:rsidRDefault="00913C78" w:rsidP="0097400A">
            <w:pPr>
              <w:pStyle w:val="ae"/>
              <w:rPr>
                <w:b w:val="0"/>
                <w:bCs/>
              </w:rPr>
            </w:pPr>
            <w:r w:rsidRPr="0097400A">
              <w:rPr>
                <w:rFonts w:hint="eastAsia"/>
                <w:b w:val="0"/>
                <w:bCs/>
              </w:rPr>
              <w:t>5</w:t>
            </w:r>
          </w:p>
        </w:tc>
        <w:tc>
          <w:tcPr>
            <w:tcW w:w="1288" w:type="dxa"/>
            <w:shd w:val="clear" w:color="auto" w:fill="auto"/>
            <w:vAlign w:val="center"/>
          </w:tcPr>
          <w:p w14:paraId="3CCEE00B" w14:textId="77777777" w:rsidR="00913C78" w:rsidRPr="0097400A" w:rsidRDefault="00913C78" w:rsidP="0097400A">
            <w:pPr>
              <w:pStyle w:val="ae"/>
              <w:rPr>
                <w:b w:val="0"/>
                <w:bCs/>
              </w:rPr>
            </w:pPr>
            <w:r w:rsidRPr="0097400A">
              <w:rPr>
                <w:rFonts w:hint="eastAsia"/>
                <w:b w:val="0"/>
                <w:bCs/>
              </w:rPr>
              <w:t>计算</w:t>
            </w:r>
            <w:r w:rsidRPr="0097400A">
              <w:rPr>
                <w:b w:val="0"/>
                <w:bCs/>
              </w:rPr>
              <w:t>结果</w:t>
            </w:r>
          </w:p>
        </w:tc>
        <w:tc>
          <w:tcPr>
            <w:tcW w:w="5011" w:type="dxa"/>
            <w:shd w:val="clear" w:color="auto" w:fill="auto"/>
            <w:vAlign w:val="center"/>
          </w:tcPr>
          <w:p w14:paraId="6775E17B" w14:textId="77777777" w:rsidR="00913C78" w:rsidRPr="0097400A" w:rsidRDefault="00913C78" w:rsidP="0097400A">
            <w:pPr>
              <w:pStyle w:val="af7"/>
            </w:pPr>
            <w:r w:rsidRPr="0097400A">
              <w:t>通过</w:t>
            </w:r>
            <w:r w:rsidRPr="0097400A">
              <w:rPr>
                <w:rFonts w:hint="eastAsia"/>
              </w:rPr>
              <w:t>计算</w:t>
            </w:r>
            <w:r w:rsidRPr="0097400A">
              <w:t>，</w:t>
            </w:r>
            <w:r w:rsidRPr="0097400A">
              <w:rPr>
                <w:rFonts w:hint="eastAsia"/>
              </w:rPr>
              <w:t>项目</w:t>
            </w:r>
            <w:r w:rsidRPr="0097400A">
              <w:t>的</w:t>
            </w:r>
            <w:r w:rsidRPr="0097400A">
              <w:rPr>
                <w:rFonts w:hint="eastAsia"/>
              </w:rPr>
              <w:t>围护结构计权隔声量、楼板的计权标准化撞击声压级、室内背景噪声级计算结果</w:t>
            </w:r>
            <w:r w:rsidRPr="0097400A">
              <w:t>满足</w:t>
            </w:r>
            <w:r w:rsidRPr="0097400A">
              <w:rPr>
                <w:rFonts w:hint="eastAsia"/>
              </w:rPr>
              <w:t>《民用建筑隔声设计规范》（</w:t>
            </w:r>
            <w:r w:rsidRPr="0097400A">
              <w:rPr>
                <w:rFonts w:hint="eastAsia"/>
              </w:rPr>
              <w:t>GB 50118</w:t>
            </w:r>
            <w:r w:rsidRPr="0097400A">
              <w:rPr>
                <w:rFonts w:hint="eastAsia"/>
              </w:rPr>
              <w:t>—</w:t>
            </w:r>
            <w:r w:rsidRPr="0097400A">
              <w:rPr>
                <w:rFonts w:hint="eastAsia"/>
              </w:rPr>
              <w:t>2010</w:t>
            </w:r>
            <w:r w:rsidRPr="0097400A">
              <w:rPr>
                <w:rFonts w:hint="eastAsia"/>
              </w:rPr>
              <w:t>）要求</w:t>
            </w:r>
          </w:p>
        </w:tc>
        <w:tc>
          <w:tcPr>
            <w:tcW w:w="665" w:type="dxa"/>
            <w:shd w:val="clear" w:color="auto" w:fill="auto"/>
            <w:vAlign w:val="center"/>
          </w:tcPr>
          <w:p w14:paraId="30582392" w14:textId="77777777" w:rsidR="00913C78" w:rsidRPr="0097400A" w:rsidRDefault="00913C78" w:rsidP="0097400A">
            <w:pPr>
              <w:pStyle w:val="ae"/>
              <w:rPr>
                <w:b w:val="0"/>
                <w:bCs/>
              </w:rPr>
            </w:pPr>
          </w:p>
        </w:tc>
      </w:tr>
    </w:tbl>
    <w:p w14:paraId="1A49582D" w14:textId="77777777" w:rsidR="00213A3F" w:rsidRDefault="00213A3F" w:rsidP="00913C78">
      <w:pPr>
        <w:ind w:firstLine="420"/>
      </w:pPr>
    </w:p>
    <w:p w14:paraId="47AA1D24" w14:textId="77777777" w:rsidR="00213A3F" w:rsidRDefault="00213A3F">
      <w:pPr>
        <w:widowControl/>
        <w:spacing w:line="240" w:lineRule="auto"/>
        <w:ind w:firstLineChars="0" w:firstLine="0"/>
        <w:jc w:val="left"/>
      </w:pPr>
      <w:r>
        <w:br w:type="page"/>
      </w:r>
    </w:p>
    <w:p w14:paraId="404AAF3E" w14:textId="0AC877D7" w:rsidR="00913C78" w:rsidRPr="00913C78" w:rsidRDefault="00913C78" w:rsidP="00213A3F">
      <w:pPr>
        <w:pStyle w:val="24"/>
      </w:pPr>
      <w:bookmarkStart w:id="449" w:name="_Toc35364826"/>
      <w:r w:rsidRPr="00913C78">
        <w:rPr>
          <w:rFonts w:hint="eastAsia"/>
        </w:rPr>
        <w:lastRenderedPageBreak/>
        <w:t>附录</w:t>
      </w:r>
      <w:r w:rsidRPr="00913C78">
        <w:t xml:space="preserve">B.7  </w:t>
      </w:r>
      <w:r w:rsidRPr="00913C78">
        <w:rPr>
          <w:rFonts w:hint="eastAsia"/>
        </w:rPr>
        <w:t>室内空气质量预评（计算）方法</w:t>
      </w:r>
      <w:bookmarkEnd w:id="449"/>
    </w:p>
    <w:p w14:paraId="0C31A888" w14:textId="77777777" w:rsidR="00913C78" w:rsidRPr="00913C78" w:rsidRDefault="00913C78" w:rsidP="00213A3F">
      <w:pPr>
        <w:pStyle w:val="32"/>
      </w:pPr>
      <w:bookmarkStart w:id="450" w:name="_Toc35364827"/>
      <w:r w:rsidRPr="00913C78">
        <w:t xml:space="preserve">B.7.1  </w:t>
      </w:r>
      <w:r w:rsidRPr="00913C78">
        <w:rPr>
          <w:rFonts w:hint="eastAsia"/>
        </w:rPr>
        <w:t>综合概况</w:t>
      </w:r>
      <w:bookmarkEnd w:id="450"/>
    </w:p>
    <w:p w14:paraId="681B1610" w14:textId="77777777" w:rsidR="00913C78" w:rsidRPr="00913C78" w:rsidRDefault="00913C78" w:rsidP="00913C78">
      <w:pPr>
        <w:ind w:firstLine="420"/>
      </w:pPr>
      <w:r w:rsidRPr="00913C78">
        <w:rPr>
          <w:rFonts w:hint="eastAsia"/>
        </w:rPr>
        <w:t>◎</w:t>
      </w:r>
      <w:r w:rsidRPr="00913C78">
        <w:t xml:space="preserve"> </w:t>
      </w:r>
      <w:r w:rsidRPr="00913C78">
        <w:rPr>
          <w:rFonts w:hint="eastAsia"/>
        </w:rPr>
        <w:t>项目基本信息</w:t>
      </w:r>
    </w:p>
    <w:p w14:paraId="722A478A" w14:textId="77777777" w:rsidR="00913C78" w:rsidRPr="00913C78" w:rsidRDefault="00913C78" w:rsidP="00913C78">
      <w:pPr>
        <w:ind w:firstLine="420"/>
      </w:pPr>
      <w:r w:rsidRPr="00913C78">
        <w:rPr>
          <w:rFonts w:hint="eastAsia"/>
        </w:rPr>
        <w:t>项目基本信息应包括但不限于：建筑面积、建筑布局、建筑功能、建筑装修方案及建材使用量、建筑气密性、暖通空调系统、净化系统等。</w:t>
      </w:r>
    </w:p>
    <w:p w14:paraId="5B077044" w14:textId="77777777" w:rsidR="00913C78" w:rsidRPr="00913C78" w:rsidRDefault="00913C78" w:rsidP="00913C78">
      <w:pPr>
        <w:ind w:firstLine="420"/>
      </w:pPr>
      <w:r w:rsidRPr="00913C78">
        <w:rPr>
          <w:rFonts w:hint="eastAsia"/>
        </w:rPr>
        <w:t>◎</w:t>
      </w:r>
      <w:r w:rsidRPr="00913C78">
        <w:t xml:space="preserve"> </w:t>
      </w:r>
      <w:r w:rsidRPr="00913C78">
        <w:rPr>
          <w:rFonts w:hint="eastAsia"/>
        </w:rPr>
        <w:t>标准要求</w:t>
      </w:r>
    </w:p>
    <w:p w14:paraId="476AD9B6" w14:textId="77777777" w:rsidR="00913C78" w:rsidRPr="00913C78" w:rsidRDefault="00913C78" w:rsidP="00913C78">
      <w:pPr>
        <w:ind w:firstLine="420"/>
      </w:pPr>
      <w:r w:rsidRPr="00913C78">
        <w:rPr>
          <w:rFonts w:hint="eastAsia"/>
        </w:rPr>
        <w:t>标准要求应包括：对应的绿色建筑标准条款、标准规定的计算要求、评分要求及达标要求。</w:t>
      </w:r>
    </w:p>
    <w:p w14:paraId="692F025E" w14:textId="77777777" w:rsidR="00913C78" w:rsidRPr="00913C78" w:rsidRDefault="00913C78" w:rsidP="00213A3F">
      <w:pPr>
        <w:pStyle w:val="32"/>
      </w:pPr>
      <w:bookmarkStart w:id="451" w:name="_Toc35364828"/>
      <w:bookmarkStart w:id="452" w:name="OLE_LINK29"/>
      <w:r w:rsidRPr="00913C78">
        <w:t xml:space="preserve">B.7.2  </w:t>
      </w:r>
      <w:r w:rsidRPr="00913C78">
        <w:rPr>
          <w:rFonts w:hint="eastAsia"/>
        </w:rPr>
        <w:t>计算过程</w:t>
      </w:r>
      <w:bookmarkEnd w:id="451"/>
    </w:p>
    <w:p w14:paraId="4B7AB587" w14:textId="77777777" w:rsidR="00913C78" w:rsidRPr="00913C78" w:rsidRDefault="00913C78" w:rsidP="00913C78">
      <w:pPr>
        <w:ind w:firstLine="420"/>
      </w:pPr>
      <w:bookmarkStart w:id="453" w:name="OLE_LINK1"/>
      <w:bookmarkEnd w:id="452"/>
      <w:r w:rsidRPr="00913C78">
        <w:rPr>
          <w:rFonts w:hint="eastAsia"/>
        </w:rPr>
        <w:t>◎</w:t>
      </w:r>
      <w:r w:rsidRPr="00913C78">
        <w:t xml:space="preserve"> </w:t>
      </w:r>
      <w:r w:rsidRPr="00913C78">
        <w:rPr>
          <w:rFonts w:hint="eastAsia"/>
        </w:rPr>
        <w:t>计算依据</w:t>
      </w:r>
    </w:p>
    <w:bookmarkEnd w:id="453"/>
    <w:p w14:paraId="3D92CCAB" w14:textId="77777777" w:rsidR="00913C78" w:rsidRPr="00913C78" w:rsidRDefault="00913C78" w:rsidP="00913C78">
      <w:pPr>
        <w:ind w:firstLine="420"/>
      </w:pPr>
      <w:r w:rsidRPr="00913C78">
        <w:rPr>
          <w:rFonts w:hint="eastAsia"/>
        </w:rPr>
        <w:t>计算依据应包括但不限于：应写明基础数据来源、参考标准、资料。</w:t>
      </w:r>
    </w:p>
    <w:p w14:paraId="43C280AE" w14:textId="77777777" w:rsidR="00913C78" w:rsidRPr="00913C78" w:rsidRDefault="00913C78" w:rsidP="00913C78">
      <w:pPr>
        <w:ind w:firstLine="420"/>
      </w:pPr>
      <w:r w:rsidRPr="00913C78">
        <w:t>1</w:t>
      </w:r>
      <w:r w:rsidRPr="00913C78">
        <w:t>）</w:t>
      </w:r>
      <w:r w:rsidRPr="00913C78">
        <w:t> </w:t>
      </w:r>
      <w:r w:rsidRPr="00913C78">
        <w:rPr>
          <w:rFonts w:hint="eastAsia"/>
        </w:rPr>
        <w:t>《绿色建筑评价标准》</w:t>
      </w:r>
      <w:r w:rsidRPr="00913C78">
        <w:t>GB/T 50378-2019</w:t>
      </w:r>
      <w:r w:rsidRPr="00913C78">
        <w:t>、《公共建筑室内空气质量控制设计标准》（</w:t>
      </w:r>
      <w:r w:rsidRPr="00913C78">
        <w:t>JGJ/T461-2019</w:t>
      </w:r>
      <w:r w:rsidRPr="00913C78">
        <w:t>）。</w:t>
      </w:r>
    </w:p>
    <w:p w14:paraId="17CF74C5" w14:textId="77777777" w:rsidR="00913C78" w:rsidRPr="00913C78" w:rsidRDefault="00913C78" w:rsidP="00913C78">
      <w:pPr>
        <w:ind w:firstLine="420"/>
      </w:pPr>
      <w:r w:rsidRPr="00913C78">
        <w:t>2</w:t>
      </w:r>
      <w:r w:rsidRPr="00913C78">
        <w:t>）</w:t>
      </w:r>
      <w:r w:rsidRPr="00913C78">
        <w:t> </w:t>
      </w:r>
      <w:r w:rsidRPr="00913C78">
        <w:rPr>
          <w:rFonts w:hint="eastAsia"/>
        </w:rPr>
        <w:t>项目暖通空调施工图、项目节能（绿建）设计专篇、项目概预算清单。</w:t>
      </w:r>
    </w:p>
    <w:p w14:paraId="0CBF7014" w14:textId="77777777" w:rsidR="00913C78" w:rsidRPr="00913C78" w:rsidRDefault="00913C78" w:rsidP="00913C78">
      <w:pPr>
        <w:ind w:firstLine="420"/>
      </w:pPr>
      <w:bookmarkStart w:id="454" w:name="OLE_LINK28"/>
      <w:r w:rsidRPr="00913C78">
        <w:rPr>
          <w:rFonts w:hint="eastAsia"/>
        </w:rPr>
        <w:t>◎</w:t>
      </w:r>
      <w:r w:rsidRPr="00913C78">
        <w:t xml:space="preserve"> </w:t>
      </w:r>
      <w:r w:rsidRPr="00913C78">
        <w:rPr>
          <w:rFonts w:hint="eastAsia"/>
        </w:rPr>
        <w:t>计算方法及过程</w:t>
      </w:r>
    </w:p>
    <w:bookmarkEnd w:id="454"/>
    <w:p w14:paraId="273B5FD2" w14:textId="77777777" w:rsidR="00913C78" w:rsidRPr="00913C78" w:rsidRDefault="00913C78" w:rsidP="00913C78">
      <w:pPr>
        <w:ind w:firstLine="420"/>
      </w:pPr>
      <w:r w:rsidRPr="00913C78">
        <w:rPr>
          <w:rFonts w:hint="eastAsia"/>
        </w:rPr>
        <w:t>室内空气污染物浓度应按下式计算：</w:t>
      </w:r>
    </w:p>
    <w:p w14:paraId="2BD7C9BE" w14:textId="099D940A" w:rsidR="00913C78" w:rsidRPr="00101E96" w:rsidRDefault="007C2C5F" w:rsidP="00213A3F">
      <w:pPr>
        <w:pStyle w:val="af8"/>
      </w:pPr>
      <w:r>
        <w:tab/>
      </w:r>
      <m:oMath>
        <m:f>
          <m:fPr>
            <m:ctrlPr>
              <w:rPr>
                <w:rFonts w:ascii="Cambria Math" w:hAnsi="Cambria Math"/>
              </w:rPr>
            </m:ctrlPr>
          </m:fPr>
          <m:num>
            <m:r>
              <w:rPr>
                <w:rFonts w:ascii="Cambria Math" w:hAnsi="Cambria Math"/>
              </w:rPr>
              <m:t>G</m:t>
            </m:r>
          </m:num>
          <m:den>
            <m:r>
              <w:rPr>
                <w:rFonts w:ascii="Cambria Math" w:hAnsi="Cambria Math"/>
              </w:rPr>
              <m:t>V</m:t>
            </m:r>
          </m:den>
        </m:f>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ι</m:t>
            </m:r>
          </m:sub>
        </m:sSub>
        <m:sSub>
          <m:sSubPr>
            <m:ctrlPr>
              <w:rPr>
                <w:rFonts w:ascii="Cambria Math" w:hAnsi="Cambria Math"/>
              </w:rPr>
            </m:ctrlPr>
          </m:sSubPr>
          <m:e>
            <m:r>
              <w:rPr>
                <w:rFonts w:ascii="Cambria Math" w:hAnsi="Cambria Math"/>
              </w:rPr>
              <m:t>P</m:t>
            </m:r>
          </m:e>
          <m:sub>
            <m:r>
              <w:rPr>
                <w:rFonts w:ascii="Cambria Math" w:hAnsi="Cambria Math"/>
              </w:rPr>
              <m:t>ι</m:t>
            </m:r>
          </m:sub>
        </m:sSub>
        <m:sSub>
          <m:sSubPr>
            <m:ctrlPr>
              <w:rPr>
                <w:rFonts w:ascii="Cambria Math" w:hAnsi="Cambria Math"/>
              </w:rPr>
            </m:ctrlPr>
          </m:sSubPr>
          <m:e>
            <m:r>
              <w:rPr>
                <w:rFonts w:ascii="Cambria Math" w:hAnsi="Cambria Math"/>
              </w:rPr>
              <m:t>C</m:t>
            </m:r>
          </m:e>
          <m:sub>
            <m:r>
              <w:rPr>
                <w:rFonts w:ascii="Cambria Math" w:hAnsi="Cambria Math" w:hint="eastAsia"/>
              </w:rPr>
              <m:t>o</m:t>
            </m:r>
          </m:sub>
        </m:sSub>
        <m:r>
          <m:rPr>
            <m:sty m:val="p"/>
          </m:rPr>
          <w:rPr>
            <w:rFonts w:ascii="Cambria Math" w:hAnsi="Cambria Math" w:hint="eastAsia"/>
          </w:rPr>
          <m:t>+</m:t>
        </m:r>
        <m:sSub>
          <m:sSubPr>
            <m:ctrlPr>
              <w:rPr>
                <w:rFonts w:ascii="Cambria Math" w:hAnsi="Cambria Math"/>
              </w:rPr>
            </m:ctrlPr>
          </m:sSubPr>
          <m:e>
            <m:r>
              <w:rPr>
                <w:rFonts w:ascii="Cambria Math" w:hAnsi="Cambria Math"/>
              </w:rPr>
              <m:t>α</m:t>
            </m:r>
          </m:e>
          <m:sub>
            <m:r>
              <w:rPr>
                <w:rFonts w:ascii="Cambria Math" w:hAnsi="Cambria Math" w:hint="eastAsia"/>
              </w:rPr>
              <m:t>o</m:t>
            </m:r>
          </m:sub>
        </m:sSub>
        <m:sSub>
          <m:sSubPr>
            <m:ctrlPr>
              <w:rPr>
                <w:rFonts w:ascii="Cambria Math" w:hAnsi="Cambria Math"/>
              </w:rPr>
            </m:ctrlPr>
          </m:sSubPr>
          <m:e>
            <m:r>
              <w:rPr>
                <w:rFonts w:ascii="Cambria Math" w:hAnsi="Cambria Math"/>
              </w:rPr>
              <m:t>C</m:t>
            </m:r>
          </m:e>
          <m:sub>
            <m:r>
              <w:rPr>
                <w:rFonts w:ascii="Cambria Math" w:hAnsi="Cambria Math" w:hint="eastAsia"/>
              </w:rPr>
              <m:t>o</m:t>
            </m:r>
          </m:sub>
        </m:sSub>
        <m:sSub>
          <m:sSubPr>
            <m:ctrlPr>
              <w:rPr>
                <w:rFonts w:ascii="Cambria Math" w:hAnsi="Cambria Math"/>
              </w:rPr>
            </m:ctrlPr>
          </m:sSubPr>
          <m:e>
            <m:r>
              <w:rPr>
                <w:rFonts w:ascii="Cambria Math" w:hAnsi="Cambria Math"/>
              </w:rPr>
              <m:t>P</m:t>
            </m:r>
          </m:e>
          <m:sub>
            <m:r>
              <w:rPr>
                <w:rFonts w:ascii="Cambria Math" w:hAnsi="Cambria Math" w:hint="eastAsia"/>
              </w:rPr>
              <m:t>eo</m:t>
            </m:r>
          </m:sub>
        </m:sSub>
        <m:r>
          <m:rPr>
            <m:sty m:val="p"/>
          </m:rPr>
          <w:rPr>
            <w:rFonts w:ascii="Cambria Math" w:hAnsi="Cambria Math" w:hint="eastAsia"/>
          </w:rPr>
          <m:t>+</m:t>
        </m:r>
        <m:sSub>
          <m:sSubPr>
            <m:ctrlPr>
              <w:rPr>
                <w:rFonts w:ascii="Cambria Math" w:hAnsi="Cambria Math"/>
              </w:rPr>
            </m:ctrlPr>
          </m:sSubPr>
          <m:e>
            <m:r>
              <w:rPr>
                <w:rFonts w:ascii="Cambria Math" w:hAnsi="Cambria Math"/>
              </w:rPr>
              <m:t>α</m:t>
            </m:r>
          </m:e>
          <m:sub>
            <m:r>
              <w:rPr>
                <w:rFonts w:ascii="Cambria Math" w:hAnsi="Cambria Math" w:hint="eastAsia"/>
              </w:rPr>
              <m:t>r</m:t>
            </m:r>
          </m:sub>
        </m:sSub>
        <m:r>
          <w:rPr>
            <w:rFonts w:ascii="Cambria Math" w:hAnsi="Cambria Math"/>
          </w:rPr>
          <m:t>C</m:t>
        </m:r>
        <m:sSub>
          <m:sSubPr>
            <m:ctrlPr>
              <w:rPr>
                <w:rFonts w:ascii="Cambria Math" w:hAnsi="Cambria Math"/>
              </w:rPr>
            </m:ctrlPr>
          </m:sSubPr>
          <m:e>
            <m:r>
              <w:rPr>
                <w:rFonts w:ascii="Cambria Math" w:hAnsi="Cambria Math"/>
              </w:rPr>
              <m:t>P</m:t>
            </m:r>
          </m:e>
          <m:sub>
            <m:r>
              <w:rPr>
                <w:rFonts w:ascii="Cambria Math" w:hAnsi="Cambria Math" w:hint="eastAsia"/>
              </w:rPr>
              <m:t>er</m:t>
            </m:r>
          </m:sub>
        </m:sSub>
        <m:r>
          <m:rPr>
            <m:sty m:val="p"/>
          </m:rPr>
          <w:rPr>
            <w:rFonts w:ascii="Cambria Math" w:hAnsi="Cambria Math" w:hint="eastAsia"/>
          </w:rPr>
          <m:t>+</m:t>
        </m:r>
        <m:sSub>
          <m:sSubPr>
            <m:ctrlPr>
              <w:rPr>
                <w:rFonts w:ascii="Cambria Math" w:hAnsi="Cambria Math"/>
              </w:rPr>
            </m:ctrlPr>
          </m:sSubPr>
          <m:e>
            <m:r>
              <w:rPr>
                <w:rFonts w:ascii="Cambria Math" w:hAnsi="Cambria Math"/>
              </w:rPr>
              <m:t>α</m:t>
            </m:r>
          </m:e>
          <m:sub>
            <m:r>
              <w:rPr>
                <w:rFonts w:ascii="Cambria Math" w:hAnsi="Cambria Math" w:hint="eastAsia"/>
              </w:rPr>
              <m:t>ir</m:t>
            </m:r>
          </m:sub>
        </m:sSub>
        <m:r>
          <w:rPr>
            <w:rFonts w:ascii="Cambria Math" w:hAnsi="Cambria Math"/>
          </w:rPr>
          <m:t>C</m:t>
        </m:r>
        <m:sSub>
          <m:sSubPr>
            <m:ctrlPr>
              <w:rPr>
                <w:rFonts w:ascii="Cambria Math" w:hAnsi="Cambria Math"/>
              </w:rPr>
            </m:ctrlPr>
          </m:sSubPr>
          <m:e>
            <m:r>
              <w:rPr>
                <w:rFonts w:ascii="Cambria Math" w:hAnsi="Cambria Math"/>
              </w:rPr>
              <m:t>P</m:t>
            </m:r>
          </m:e>
          <m:sub>
            <m:r>
              <w:rPr>
                <w:rFonts w:ascii="Cambria Math" w:hAnsi="Cambria Math" w:hint="eastAsia"/>
              </w:rPr>
              <m:t>ir</m:t>
            </m:r>
          </m:sub>
        </m:sSub>
        <m:r>
          <m:rPr>
            <m:sty m:val="p"/>
          </m:rPr>
          <w:rPr>
            <w:rFonts w:ascii="Cambria Math" w:eastAsia="微软雅黑" w:hAnsi="Cambria Math" w:cs="微软雅黑" w:hint="eastAsia"/>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α</m:t>
                </m:r>
              </m:e>
              <m:sub>
                <m:r>
                  <w:rPr>
                    <w:rFonts w:ascii="Cambria Math" w:hAnsi="Cambria Math"/>
                  </w:rPr>
                  <m:t>ι</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o</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r</m:t>
                </m:r>
              </m:sub>
            </m:sSub>
            <m:r>
              <m:rPr>
                <m:sty m:val="p"/>
              </m:rPr>
              <w:rPr>
                <w:rFonts w:ascii="Cambria Math" w:hAnsi="Cambria Math"/>
              </w:rPr>
              <m:t>+</m:t>
            </m:r>
            <m:sSub>
              <m:sSubPr>
                <m:ctrlPr>
                  <w:rPr>
                    <w:rFonts w:ascii="Cambria Math" w:hAnsi="Cambria Math"/>
                  </w:rPr>
                </m:ctrlPr>
              </m:sSubPr>
              <m:e>
                <m:r>
                  <w:rPr>
                    <w:rFonts w:ascii="Cambria Math" w:hAnsi="Cambria Math"/>
                  </w:rPr>
                  <m:t>α</m:t>
                </m:r>
              </m:e>
              <m:sub>
                <m:r>
                  <w:rPr>
                    <w:rFonts w:ascii="Cambria Math" w:hAnsi="Cambria Math"/>
                  </w:rPr>
                  <m:t>ir</m:t>
                </m:r>
              </m:sub>
            </m:sSub>
          </m:e>
        </m:d>
        <m:r>
          <w:rPr>
            <w:rFonts w:ascii="Cambria Math" w:hAnsi="Cambria Math"/>
          </w:rPr>
          <m:t>C</m:t>
        </m:r>
        <m:r>
          <m:rPr>
            <m:sty m:val="p"/>
          </m:rPr>
          <w:rPr>
            <w:rFonts w:ascii="Cambria Math" w:hAnsi="Cambria Math"/>
          </w:rPr>
          <m:t>=</m:t>
        </m:r>
        <m:f>
          <m:fPr>
            <m:ctrlPr>
              <w:rPr>
                <w:rFonts w:ascii="Cambria Math" w:hAnsi="Cambria Math"/>
              </w:rPr>
            </m:ctrlPr>
          </m:fPr>
          <m:num>
            <m:r>
              <w:rPr>
                <w:rFonts w:ascii="Cambria Math" w:hAnsi="Cambria Math"/>
              </w:rPr>
              <m:t>dC</m:t>
            </m:r>
          </m:num>
          <m:den>
            <m:r>
              <w:rPr>
                <w:rFonts w:ascii="Cambria Math" w:hAnsi="Cambria Math"/>
              </w:rPr>
              <m:t>dτ</m:t>
            </m:r>
          </m:den>
        </m:f>
      </m:oMath>
      <w:r>
        <w:tab/>
      </w:r>
      <w:r>
        <w:rPr>
          <w:rFonts w:hint="eastAsia"/>
        </w:rPr>
        <w:t>(</w:t>
      </w:r>
      <w:r>
        <w:t>B.7.1)</w:t>
      </w:r>
    </w:p>
    <w:p w14:paraId="10633852" w14:textId="77777777" w:rsidR="00913C78" w:rsidRPr="00913C78" w:rsidRDefault="00913C78" w:rsidP="00913C78">
      <w:pPr>
        <w:ind w:firstLine="420"/>
      </w:pPr>
      <w:r w:rsidRPr="00913C78">
        <w:rPr>
          <w:rFonts w:hint="eastAsia"/>
        </w:rPr>
        <w:t>式中：</w:t>
      </w:r>
      <w:r w:rsidRPr="00913C78">
        <w:rPr>
          <w:rFonts w:hint="eastAsia"/>
        </w:rPr>
        <w:t xml:space="preserve">  G  </w:t>
      </w:r>
      <w:r w:rsidRPr="00913C78">
        <w:rPr>
          <w:rFonts w:hint="eastAsia"/>
        </w:rPr>
        <w:t>——</w:t>
      </w:r>
      <w:r w:rsidRPr="00913C78">
        <w:rPr>
          <w:rFonts w:hint="eastAsia"/>
        </w:rPr>
        <w:t xml:space="preserve">  </w:t>
      </w:r>
      <w:r w:rsidRPr="00913C78">
        <w:rPr>
          <w:rFonts w:hint="eastAsia"/>
        </w:rPr>
        <w:t>室内污染物源强（μ</w:t>
      </w:r>
      <w:r w:rsidRPr="00913C78">
        <w:rPr>
          <w:rFonts w:hint="eastAsia"/>
        </w:rPr>
        <w:t>g/h</w:t>
      </w:r>
      <w:r w:rsidRPr="00913C78">
        <w:rPr>
          <w:rFonts w:hint="eastAsia"/>
        </w:rPr>
        <w:t>）；</w:t>
      </w:r>
    </w:p>
    <w:p w14:paraId="49746167" w14:textId="77777777" w:rsidR="00913C78" w:rsidRPr="00913C78" w:rsidRDefault="00913C78" w:rsidP="00913C78">
      <w:pPr>
        <w:ind w:firstLine="420"/>
      </w:pPr>
      <w:r w:rsidRPr="00913C78">
        <w:rPr>
          <w:rFonts w:hint="eastAsia"/>
        </w:rPr>
        <w:t xml:space="preserve"> </w:t>
      </w:r>
      <w:r w:rsidRPr="00913C78">
        <w:t xml:space="preserve">       </w:t>
      </w:r>
      <w:r w:rsidRPr="00913C78">
        <w:rPr>
          <w:rFonts w:hint="eastAsia"/>
        </w:rPr>
        <w:t xml:space="preserve">V  </w:t>
      </w:r>
      <w:r w:rsidRPr="00913C78">
        <w:rPr>
          <w:rFonts w:hint="eastAsia"/>
        </w:rPr>
        <w:t>——</w:t>
      </w:r>
      <w:r w:rsidRPr="00913C78">
        <w:rPr>
          <w:rFonts w:hint="eastAsia"/>
        </w:rPr>
        <w:t xml:space="preserve">  </w:t>
      </w:r>
      <w:r w:rsidRPr="00913C78">
        <w:rPr>
          <w:rFonts w:hint="eastAsia"/>
        </w:rPr>
        <w:t>房间体积（</w:t>
      </w:r>
      <w:r w:rsidRPr="00913C78">
        <w:rPr>
          <w:rFonts w:hint="eastAsia"/>
        </w:rPr>
        <w:t>m3</w:t>
      </w:r>
      <w:r w:rsidRPr="00913C78">
        <w:rPr>
          <w:rFonts w:hint="eastAsia"/>
        </w:rPr>
        <w:t>）；</w:t>
      </w:r>
    </w:p>
    <w:p w14:paraId="10C98E6D" w14:textId="77777777" w:rsidR="00913C78" w:rsidRPr="00913C78" w:rsidRDefault="00913C78" w:rsidP="00913C78">
      <w:pPr>
        <w:ind w:firstLine="420"/>
      </w:pPr>
      <w:r w:rsidRPr="00913C78">
        <w:rPr>
          <w:rFonts w:hint="eastAsia"/>
        </w:rPr>
        <w:t xml:space="preserve">        C  </w:t>
      </w:r>
      <w:r w:rsidRPr="00913C78">
        <w:rPr>
          <w:rFonts w:hint="eastAsia"/>
        </w:rPr>
        <w:t>——</w:t>
      </w:r>
      <w:r w:rsidRPr="00913C78">
        <w:rPr>
          <w:rFonts w:hint="eastAsia"/>
        </w:rPr>
        <w:t xml:space="preserve">  </w:t>
      </w:r>
      <w:r w:rsidRPr="00913C78">
        <w:rPr>
          <w:rFonts w:hint="eastAsia"/>
        </w:rPr>
        <w:t>室内污染物浓度（μ</w:t>
      </w:r>
      <w:r w:rsidRPr="00913C78">
        <w:rPr>
          <w:rFonts w:hint="eastAsia"/>
        </w:rPr>
        <w:t>g/m</w:t>
      </w:r>
      <w:r w:rsidRPr="00913C78">
        <w:t>3</w:t>
      </w:r>
      <w:r w:rsidRPr="00913C78">
        <w:rPr>
          <w:rFonts w:hint="eastAsia"/>
        </w:rPr>
        <w:t>）；</w:t>
      </w:r>
    </w:p>
    <w:p w14:paraId="1F69B58E" w14:textId="77777777" w:rsidR="00913C78" w:rsidRPr="00913C78" w:rsidRDefault="00913C78" w:rsidP="00913C78">
      <w:pPr>
        <w:ind w:firstLine="420"/>
      </w:pPr>
      <w:r w:rsidRPr="00913C78">
        <w:rPr>
          <w:rFonts w:hint="eastAsia"/>
        </w:rPr>
        <w:t xml:space="preserve">        </w:t>
      </w:r>
      <m:oMath>
        <m:sSub>
          <m:sSubPr>
            <m:ctrlPr>
              <w:rPr>
                <w:rFonts w:ascii="Cambria Math" w:hAnsi="Cambria Math"/>
                <w:i/>
              </w:rPr>
            </m:ctrlPr>
          </m:sSubPr>
          <m:e>
            <m:r>
              <w:rPr>
                <w:rFonts w:ascii="Cambria Math" w:hAnsi="Cambria Math"/>
              </w:rPr>
              <m:t>C</m:t>
            </m:r>
          </m:e>
          <m:sub>
            <m:r>
              <w:rPr>
                <w:rFonts w:ascii="Cambria Math" w:hAnsi="Cambria Math" w:hint="eastAsia"/>
              </w:rPr>
              <m:t>o</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室外设计日浓度（μ</w:t>
      </w:r>
      <w:r w:rsidRPr="00913C78">
        <w:rPr>
          <w:rFonts w:hint="eastAsia"/>
        </w:rPr>
        <w:t>g/ m3</w:t>
      </w:r>
      <w:r w:rsidRPr="00913C78">
        <w:rPr>
          <w:rFonts w:hint="eastAsia"/>
        </w:rPr>
        <w:t>）；</w:t>
      </w:r>
    </w:p>
    <w:p w14:paraId="3566C6C7" w14:textId="77777777" w:rsidR="00913C78" w:rsidRPr="00913C78" w:rsidRDefault="00913C78" w:rsidP="00913C78">
      <w:pPr>
        <w:ind w:firstLine="420"/>
      </w:pPr>
      <w:r w:rsidRPr="00913C78">
        <w:rPr>
          <w:rFonts w:hint="eastAsia"/>
        </w:rPr>
        <w:t xml:space="preserve">  </w:t>
      </w:r>
      <w:r w:rsidRPr="00913C78">
        <w:t xml:space="preserve">      </w:t>
      </w:r>
      <m:oMath>
        <m:sSub>
          <m:sSubPr>
            <m:ctrlPr>
              <w:rPr>
                <w:rFonts w:ascii="Cambria Math" w:hAnsi="Cambria Math"/>
                <w:i/>
              </w:rPr>
            </m:ctrlPr>
          </m:sSubPr>
          <m:e>
            <m:r>
              <w:rPr>
                <w:rFonts w:ascii="Cambria Math" w:hAnsi="Cambria Math"/>
              </w:rPr>
              <m:t>α</m:t>
            </m:r>
          </m:e>
          <m:sub>
            <m:r>
              <w:rPr>
                <w:rFonts w:ascii="Cambria Math" w:hAnsi="Cambria Math"/>
              </w:rPr>
              <m:t>ι</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渗透风换气次数（次</w:t>
      </w:r>
      <w:r w:rsidRPr="00913C78">
        <w:rPr>
          <w:rFonts w:hint="eastAsia"/>
        </w:rPr>
        <w:t>/h</w:t>
      </w:r>
      <w:r w:rsidRPr="00913C78">
        <w:rPr>
          <w:rFonts w:hint="eastAsia"/>
        </w:rPr>
        <w:t>）；</w:t>
      </w:r>
    </w:p>
    <w:p w14:paraId="42E490FE" w14:textId="77777777" w:rsidR="00913C78" w:rsidRPr="00913C78" w:rsidRDefault="00913C78" w:rsidP="00913C78">
      <w:pPr>
        <w:ind w:firstLine="420"/>
      </w:pPr>
      <w:r w:rsidRPr="00913C78">
        <w:rPr>
          <w:rFonts w:hint="eastAsia"/>
        </w:rPr>
        <w:t xml:space="preserve">       </w:t>
      </w:r>
      <w:r w:rsidRPr="00913C78">
        <w:t xml:space="preserve"> </w:t>
      </w:r>
      <m:oMath>
        <m:sSub>
          <m:sSubPr>
            <m:ctrlPr>
              <w:rPr>
                <w:rFonts w:ascii="Cambria Math" w:hAnsi="Cambria Math"/>
                <w:i/>
              </w:rPr>
            </m:ctrlPr>
          </m:sSubPr>
          <m:e>
            <m:r>
              <w:rPr>
                <w:rFonts w:ascii="Cambria Math" w:hAnsi="Cambria Math"/>
              </w:rPr>
              <m:t>P</m:t>
            </m:r>
          </m:e>
          <m:sub>
            <m:r>
              <w:rPr>
                <w:rFonts w:ascii="Cambria Math" w:hAnsi="Cambria Math"/>
              </w:rPr>
              <m:t>ι</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穿透系数；</w:t>
      </w:r>
    </w:p>
    <w:p w14:paraId="559B2BCD" w14:textId="77777777" w:rsidR="00913C78" w:rsidRPr="00913C78" w:rsidRDefault="00913C78" w:rsidP="00913C78">
      <w:pPr>
        <w:ind w:firstLine="420"/>
      </w:pPr>
      <w:r w:rsidRPr="00913C78">
        <w:rPr>
          <w:rFonts w:hint="eastAsia"/>
        </w:rPr>
        <w:t xml:space="preserve">        </w:t>
      </w:r>
      <m:oMath>
        <m:sSub>
          <m:sSubPr>
            <m:ctrlPr>
              <w:rPr>
                <w:rFonts w:ascii="Cambria Math" w:hAnsi="Cambria Math"/>
                <w:i/>
              </w:rPr>
            </m:ctrlPr>
          </m:sSubPr>
          <m:e>
            <m:r>
              <w:rPr>
                <w:rFonts w:ascii="Cambria Math" w:hAnsi="Cambria Math"/>
              </w:rPr>
              <m:t>α</m:t>
            </m:r>
          </m:e>
          <m:sub>
            <m:r>
              <w:rPr>
                <w:rFonts w:ascii="Cambria Math" w:hAnsi="Cambria Math" w:hint="eastAsia"/>
              </w:rPr>
              <m:t>o</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新风换气次数（次</w:t>
      </w:r>
      <w:r w:rsidRPr="00913C78">
        <w:rPr>
          <w:rFonts w:hint="eastAsia"/>
        </w:rPr>
        <w:t>/h</w:t>
      </w:r>
      <w:r w:rsidRPr="00913C78">
        <w:rPr>
          <w:rFonts w:hint="eastAsia"/>
        </w:rPr>
        <w:t>）；</w:t>
      </w:r>
    </w:p>
    <w:p w14:paraId="3CEC34E9" w14:textId="02647502" w:rsidR="00913C78" w:rsidRPr="00913C78" w:rsidRDefault="00913C78" w:rsidP="00913C78">
      <w:pPr>
        <w:ind w:firstLine="420"/>
      </w:pPr>
      <w:r w:rsidRPr="00913C78">
        <w:rPr>
          <w:rFonts w:hint="eastAsia"/>
        </w:rPr>
        <w:t xml:space="preserve">      </w:t>
      </w:r>
      <w:r w:rsidR="0065215E">
        <w:t xml:space="preserve"> </w:t>
      </w:r>
      <w:r w:rsidRPr="00913C78">
        <w:rPr>
          <w:rFonts w:hint="eastAsia"/>
        </w:rPr>
        <w:t xml:space="preserve"> </w:t>
      </w:r>
      <m:oMath>
        <m:sSub>
          <m:sSubPr>
            <m:ctrlPr>
              <w:rPr>
                <w:rFonts w:ascii="Cambria Math" w:hAnsi="Cambria Math"/>
                <w:i/>
              </w:rPr>
            </m:ctrlPr>
          </m:sSubPr>
          <m:e>
            <m:r>
              <w:rPr>
                <w:rFonts w:ascii="Cambria Math" w:hAnsi="Cambria Math"/>
              </w:rPr>
              <m:t>P</m:t>
            </m:r>
          </m:e>
          <m:sub>
            <m:r>
              <w:rPr>
                <w:rFonts w:ascii="Cambria Math" w:hAnsi="Cambria Math" w:hint="eastAsia"/>
              </w:rPr>
              <m:t>eo</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新风净化设备当量穿透系数；</w:t>
      </w:r>
    </w:p>
    <w:p w14:paraId="4CB69587" w14:textId="77777777" w:rsidR="00913C78" w:rsidRPr="00913C78" w:rsidRDefault="00913C78" w:rsidP="00913C78">
      <w:pPr>
        <w:ind w:firstLine="420"/>
      </w:pPr>
      <w:r w:rsidRPr="00913C78">
        <w:rPr>
          <w:rFonts w:hint="eastAsia"/>
        </w:rPr>
        <w:lastRenderedPageBreak/>
        <w:t xml:space="preserve"> </w:t>
      </w:r>
      <w:r w:rsidRPr="00913C78">
        <w:t xml:space="preserve">       </w:t>
      </w:r>
      <m:oMath>
        <m:sSub>
          <m:sSubPr>
            <m:ctrlPr>
              <w:rPr>
                <w:rFonts w:ascii="Cambria Math" w:hAnsi="Cambria Math"/>
                <w:i/>
              </w:rPr>
            </m:ctrlPr>
          </m:sSubPr>
          <m:e>
            <m:r>
              <w:rPr>
                <w:rFonts w:ascii="Cambria Math" w:hAnsi="Cambria Math"/>
              </w:rPr>
              <m:t>α</m:t>
            </m:r>
          </m:e>
          <m:sub>
            <m:r>
              <w:rPr>
                <w:rFonts w:ascii="Cambria Math" w:hAnsi="Cambria Math" w:hint="eastAsia"/>
              </w:rPr>
              <m:t>r</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回风换气次数（次</w:t>
      </w:r>
      <w:r w:rsidRPr="00913C78">
        <w:rPr>
          <w:rFonts w:hint="eastAsia"/>
        </w:rPr>
        <w:t>/h</w:t>
      </w:r>
      <w:r w:rsidRPr="00913C78">
        <w:rPr>
          <w:rFonts w:hint="eastAsia"/>
        </w:rPr>
        <w:t>），按暖通设计获取；</w:t>
      </w:r>
    </w:p>
    <w:p w14:paraId="13932F71" w14:textId="77777777" w:rsidR="00913C78" w:rsidRPr="00913C78" w:rsidRDefault="00913C78" w:rsidP="00913C78">
      <w:pPr>
        <w:ind w:firstLine="420"/>
      </w:pPr>
      <w:r w:rsidRPr="00913C78">
        <w:rPr>
          <w:rFonts w:hint="eastAsia"/>
        </w:rPr>
        <w:t xml:space="preserve"> </w:t>
      </w:r>
      <w:r w:rsidRPr="00913C78">
        <w:t xml:space="preserve">      </w:t>
      </w:r>
      <m:oMath>
        <m:sSub>
          <m:sSubPr>
            <m:ctrlPr>
              <w:rPr>
                <w:rFonts w:ascii="Cambria Math" w:hAnsi="Cambria Math"/>
                <w:i/>
              </w:rPr>
            </m:ctrlPr>
          </m:sSubPr>
          <m:e>
            <m:r>
              <w:rPr>
                <w:rFonts w:ascii="Cambria Math" w:hAnsi="Cambria Math"/>
              </w:rPr>
              <m:t>P</m:t>
            </m:r>
          </m:e>
          <m:sub>
            <m:r>
              <w:rPr>
                <w:rFonts w:ascii="Cambria Math" w:hAnsi="Cambria Math" w:hint="eastAsia"/>
              </w:rPr>
              <m:t>er</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回风净化设备当量穿透率；</w:t>
      </w:r>
    </w:p>
    <w:p w14:paraId="21A002D0" w14:textId="77777777" w:rsidR="0065215E" w:rsidRDefault="00913C78" w:rsidP="0065215E">
      <w:pPr>
        <w:ind w:firstLine="420"/>
      </w:pPr>
      <w:r w:rsidRPr="00913C78">
        <w:rPr>
          <w:rFonts w:hint="eastAsia"/>
        </w:rPr>
        <w:t xml:space="preserve"> </w:t>
      </w:r>
      <w:r w:rsidRPr="00913C78">
        <w:t xml:space="preserve">      </w:t>
      </w:r>
      <m:oMath>
        <m:sSub>
          <m:sSubPr>
            <m:ctrlPr>
              <w:rPr>
                <w:rFonts w:ascii="Cambria Math" w:hAnsi="Cambria Math"/>
                <w:i/>
              </w:rPr>
            </m:ctrlPr>
          </m:sSubPr>
          <m:e>
            <m:r>
              <w:rPr>
                <w:rFonts w:ascii="Cambria Math" w:hAnsi="Cambria Math"/>
              </w:rPr>
              <m:t>α</m:t>
            </m:r>
          </m:e>
          <m:sub>
            <m:r>
              <w:rPr>
                <w:rFonts w:ascii="Cambria Math" w:hAnsi="Cambria Math" w:hint="eastAsia"/>
              </w:rPr>
              <m:t>ir</m:t>
            </m:r>
          </m:sub>
        </m:sSub>
      </m:oMath>
      <w:r w:rsidRPr="00913C78">
        <w:rPr>
          <w:rFonts w:hint="eastAsia"/>
        </w:rPr>
        <w:t xml:space="preserve"> </w:t>
      </w:r>
      <w:r w:rsidRPr="00913C78">
        <w:rPr>
          <w:rFonts w:hint="eastAsia"/>
        </w:rPr>
        <w:t>——</w:t>
      </w:r>
      <w:r w:rsidRPr="00913C78">
        <w:rPr>
          <w:rFonts w:hint="eastAsia"/>
        </w:rPr>
        <w:t xml:space="preserve">  </w:t>
      </w:r>
      <w:r w:rsidRPr="00913C78">
        <w:rPr>
          <w:rFonts w:hint="eastAsia"/>
        </w:rPr>
        <w:t>空气净化器循环风换气次数（次</w:t>
      </w:r>
      <w:r w:rsidRPr="00913C78">
        <w:rPr>
          <w:rFonts w:hint="eastAsia"/>
        </w:rPr>
        <w:t>/h</w:t>
      </w:r>
      <w:r w:rsidRPr="00913C78">
        <w:rPr>
          <w:rFonts w:hint="eastAsia"/>
        </w:rPr>
        <w:t>），按产品铭牌、说明书取值；</w:t>
      </w:r>
    </w:p>
    <w:p w14:paraId="752822B8" w14:textId="470839D9" w:rsidR="00913C78" w:rsidRPr="00913C78" w:rsidRDefault="00D20A1F" w:rsidP="0065215E">
      <w:pPr>
        <w:ind w:firstLineChars="600" w:firstLine="1260"/>
      </w:pPr>
      <m:oMath>
        <m:sSub>
          <m:sSubPr>
            <m:ctrlPr>
              <w:rPr>
                <w:rFonts w:ascii="Cambria Math" w:hAnsi="Cambria Math"/>
                <w:i/>
              </w:rPr>
            </m:ctrlPr>
          </m:sSubPr>
          <m:e>
            <m:r>
              <w:rPr>
                <w:rFonts w:ascii="Cambria Math" w:hAnsi="Cambria Math"/>
              </w:rPr>
              <m:t>P</m:t>
            </m:r>
          </m:e>
          <m:sub>
            <m:r>
              <w:rPr>
                <w:rFonts w:ascii="Cambria Math" w:hAnsi="Cambria Math" w:hint="eastAsia"/>
              </w:rPr>
              <m:t>ir</m:t>
            </m:r>
          </m:sub>
        </m:sSub>
      </m:oMath>
      <w:r w:rsidR="00913C78" w:rsidRPr="00913C78">
        <w:rPr>
          <w:rFonts w:hint="eastAsia"/>
        </w:rPr>
        <w:t xml:space="preserve">  </w:t>
      </w:r>
      <w:r w:rsidR="00913C78" w:rsidRPr="00913C78">
        <w:rPr>
          <w:rFonts w:hint="eastAsia"/>
        </w:rPr>
        <w:t>——</w:t>
      </w:r>
      <w:r w:rsidR="00913C78" w:rsidRPr="00913C78">
        <w:rPr>
          <w:rFonts w:hint="eastAsia"/>
        </w:rPr>
        <w:t xml:space="preserve">  </w:t>
      </w:r>
      <w:r w:rsidR="00913C78" w:rsidRPr="00913C78">
        <w:rPr>
          <w:rFonts w:hint="eastAsia"/>
        </w:rPr>
        <w:t>空气净化器穿透系数；</w:t>
      </w:r>
    </w:p>
    <w:p w14:paraId="1FC8E794" w14:textId="77777777" w:rsidR="00913C78" w:rsidRPr="00913C78" w:rsidRDefault="00913C78" w:rsidP="0065215E">
      <w:pPr>
        <w:ind w:firstLineChars="595" w:firstLine="1249"/>
      </w:pPr>
      <w:r w:rsidRPr="00913C78">
        <w:rPr>
          <w:rFonts w:hint="eastAsia"/>
        </w:rPr>
        <w:t>τ</w:t>
      </w:r>
      <w:r w:rsidRPr="00913C78">
        <w:rPr>
          <w:rFonts w:hint="eastAsia"/>
        </w:rPr>
        <w:t xml:space="preserve"> </w:t>
      </w:r>
      <w:r w:rsidRPr="00913C78">
        <w:rPr>
          <w:rFonts w:hint="eastAsia"/>
        </w:rPr>
        <w:t>——</w:t>
      </w:r>
      <w:r w:rsidRPr="00913C78">
        <w:rPr>
          <w:rFonts w:hint="eastAsia"/>
        </w:rPr>
        <w:t xml:space="preserve">  </w:t>
      </w:r>
      <w:r w:rsidRPr="00913C78">
        <w:rPr>
          <w:rFonts w:hint="eastAsia"/>
        </w:rPr>
        <w:t>时间。</w:t>
      </w:r>
    </w:p>
    <w:p w14:paraId="7968E09E" w14:textId="77777777" w:rsidR="00913C78" w:rsidRPr="00913C78" w:rsidRDefault="00913C78" w:rsidP="00913C78">
      <w:pPr>
        <w:ind w:firstLine="420"/>
      </w:pPr>
      <w:r w:rsidRPr="00913C78">
        <w:rPr>
          <w:rFonts w:hint="eastAsia"/>
        </w:rPr>
        <w:t>以上各参数按下列方式确定：</w:t>
      </w:r>
    </w:p>
    <w:p w14:paraId="477E1505" w14:textId="77777777" w:rsidR="00913C78" w:rsidRPr="00913C78" w:rsidRDefault="00913C78" w:rsidP="00913C78">
      <w:pPr>
        <w:ind w:firstLine="420"/>
      </w:pPr>
      <w:bookmarkStart w:id="455" w:name="OLE_LINK14"/>
      <w:r w:rsidRPr="00913C78">
        <w:rPr>
          <w:rFonts w:hint="eastAsia"/>
        </w:rPr>
        <w:t>（</w:t>
      </w:r>
      <w:r w:rsidRPr="00913C78">
        <w:rPr>
          <w:rFonts w:hint="eastAsia"/>
        </w:rPr>
        <w:t>1</w:t>
      </w:r>
      <w:r w:rsidRPr="00913C78">
        <w:rPr>
          <w:rFonts w:hint="eastAsia"/>
        </w:rPr>
        <w:t>）室内污染物源强</w:t>
      </w:r>
      <w:r w:rsidRPr="00913C78">
        <w:t>G</w:t>
      </w:r>
    </w:p>
    <w:bookmarkEnd w:id="455"/>
    <w:p w14:paraId="4AF931F7" w14:textId="77777777" w:rsidR="00913C78" w:rsidRPr="00913C78" w:rsidRDefault="00913C78" w:rsidP="00913C78">
      <w:pPr>
        <w:ind w:firstLine="420"/>
      </w:pPr>
      <w:r w:rsidRPr="00913C78">
        <w:rPr>
          <w:rFonts w:hint="eastAsia"/>
        </w:rPr>
        <w:t>室内污染源应包括</w:t>
      </w:r>
      <w:r w:rsidRPr="00913C78">
        <w:rPr>
          <w:rFonts w:hint="eastAsia"/>
        </w:rPr>
        <w:t>PM2.5</w:t>
      </w:r>
      <w:r w:rsidRPr="00913C78">
        <w:rPr>
          <w:rFonts w:hint="eastAsia"/>
        </w:rPr>
        <w:t>污染源及化学污染源。</w:t>
      </w:r>
    </w:p>
    <w:p w14:paraId="54FE9FB4" w14:textId="77777777" w:rsidR="00913C78" w:rsidRPr="00913C78" w:rsidRDefault="00913C78" w:rsidP="00913C78">
      <w:pPr>
        <w:ind w:firstLine="420"/>
      </w:pPr>
      <w:r w:rsidRPr="00913C78">
        <w:t>室内</w:t>
      </w:r>
      <w:r w:rsidRPr="00913C78">
        <w:t>PM2.5</w:t>
      </w:r>
      <w:r w:rsidRPr="00913C78">
        <w:t>源强</w:t>
      </w:r>
      <w:r w:rsidRPr="00913C78">
        <w:rPr>
          <w:rFonts w:hint="eastAsia"/>
        </w:rPr>
        <w:t>应</w:t>
      </w:r>
      <w:r w:rsidRPr="00913C78">
        <w:t>按下式计算</w:t>
      </w:r>
      <w:r w:rsidRPr="00913C78">
        <w:rPr>
          <w:rFonts w:hint="eastAsia"/>
        </w:rPr>
        <w:t>：</w:t>
      </w:r>
    </w:p>
    <w:p w14:paraId="4741A777" w14:textId="11C3D8CA" w:rsidR="00913C78" w:rsidRPr="007C2C5F" w:rsidRDefault="007C2C5F" w:rsidP="00F83296">
      <w:pPr>
        <w:pStyle w:val="af8"/>
      </w:pPr>
      <w:bookmarkStart w:id="456" w:name="OLE_LINK67"/>
      <w:bookmarkStart w:id="457" w:name="OLE_LINK147"/>
      <w:bookmarkStart w:id="458" w:name="OLE_LINK633"/>
      <w:r>
        <w:tab/>
      </w:r>
      <m:oMath>
        <m:sSub>
          <m:sSubPr>
            <m:ctrlPr>
              <w:rPr>
                <w:rFonts w:ascii="Cambria Math" w:hAnsi="Cambria Math"/>
              </w:rPr>
            </m:ctrlPr>
          </m:sSubPr>
          <m:e>
            <m:r>
              <w:rPr>
                <w:rFonts w:ascii="Cambria Math" w:hAnsi="Cambria Math"/>
              </w:rPr>
              <m:t>G</m:t>
            </m:r>
          </m:e>
          <m:sub>
            <m:r>
              <m:rPr>
                <m:nor/>
              </m:rPr>
              <m:t>pm</m:t>
            </m:r>
          </m:sub>
        </m:sSub>
        <m:r>
          <m:rPr>
            <m:sty m:val="p"/>
          </m:rPr>
          <w:rPr>
            <w:rFonts w:ascii="Cambria Math" w:hAnsi="Cambria Math"/>
          </w:rPr>
          <m:t>=</m:t>
        </m:r>
        <m:nary>
          <m:naryPr>
            <m:chr m:val="∑"/>
            <m:ctrlPr>
              <w:rPr>
                <w:rFonts w:ascii="Cambria Math" w:hAnsi="Cambria Math"/>
              </w:rPr>
            </m:ctrlPr>
          </m:naryPr>
          <m:sub>
            <m:r>
              <m:rPr>
                <m:nor/>
              </m:rPr>
              <m:t>pmi</m:t>
            </m:r>
            <m:r>
              <m:rPr>
                <m:sty m:val="p"/>
              </m:rPr>
              <w:rPr>
                <w:rFonts w:ascii="Cambria Math" w:hAnsi="Cambria Math"/>
              </w:rPr>
              <m:t>=1</m:t>
            </m:r>
          </m:sub>
          <m:sup>
            <m:r>
              <m:rPr>
                <m:nor/>
              </m:rPr>
              <m:t>Npm</m:t>
            </m:r>
          </m:sup>
          <m:e>
            <m:sSub>
              <m:sSubPr>
                <m:ctrlPr>
                  <w:rPr>
                    <w:rFonts w:ascii="Cambria Math" w:hAnsi="Cambria Math"/>
                  </w:rPr>
                </m:ctrlPr>
              </m:sSubPr>
              <m:e>
                <m:r>
                  <w:rPr>
                    <w:rFonts w:ascii="Cambria Math" w:hAnsi="Cambria Math"/>
                  </w:rPr>
                  <m:t>G</m:t>
                </m:r>
              </m:e>
              <m:sub>
                <m:r>
                  <m:rPr>
                    <m:nor/>
                  </m:rPr>
                  <m:t>pmi</m:t>
                </m:r>
              </m:sub>
            </m:sSub>
          </m:e>
        </m:nary>
      </m:oMath>
      <w:bookmarkEnd w:id="456"/>
      <w:bookmarkEnd w:id="457"/>
      <w:bookmarkEnd w:id="458"/>
      <w:r>
        <w:tab/>
      </w:r>
      <w:r w:rsidRPr="007C2C5F">
        <w:rPr>
          <w:rFonts w:hint="eastAsia"/>
        </w:rPr>
        <w:t>（</w:t>
      </w:r>
      <w:r w:rsidRPr="007C2C5F">
        <w:rPr>
          <w:rFonts w:hint="eastAsia"/>
        </w:rPr>
        <w:t>B</w:t>
      </w:r>
      <w:r w:rsidRPr="007C2C5F">
        <w:t>.7.2</w:t>
      </w:r>
      <w:r w:rsidRPr="007C2C5F">
        <w:rPr>
          <w:rFonts w:hint="eastAsia"/>
        </w:rPr>
        <w:t>）</w:t>
      </w:r>
    </w:p>
    <w:p w14:paraId="3CC2495C" w14:textId="77777777" w:rsidR="00913C78" w:rsidRPr="00913C78" w:rsidRDefault="00913C78" w:rsidP="00913C78">
      <w:pPr>
        <w:ind w:firstLine="420"/>
      </w:pPr>
      <w:r w:rsidRPr="00913C78">
        <w:t>式中：</w:t>
      </w:r>
      <w:r w:rsidRPr="00913C78">
        <w:t xml:space="preserve"> G</w:t>
      </w:r>
      <w:r w:rsidRPr="00F83296">
        <w:rPr>
          <w:vertAlign w:val="subscript"/>
        </w:rPr>
        <w:t>pm</w:t>
      </w:r>
      <w:r w:rsidRPr="00913C78">
        <w:t xml:space="preserve">  —— </w:t>
      </w:r>
      <w:r w:rsidRPr="00913C78">
        <w:t>室内</w:t>
      </w:r>
      <w:r w:rsidRPr="00913C78">
        <w:t>PM2.5</w:t>
      </w:r>
      <w:r w:rsidRPr="00913C78">
        <w:t>源强</w:t>
      </w:r>
      <w:r w:rsidRPr="00913C78">
        <w:rPr>
          <w:rFonts w:hint="eastAsia"/>
        </w:rPr>
        <w:t>（</w:t>
      </w:r>
      <w:r w:rsidRPr="00913C78">
        <w:t>μg/h</w:t>
      </w:r>
      <w:r w:rsidRPr="00913C78">
        <w:rPr>
          <w:rFonts w:hint="eastAsia"/>
        </w:rPr>
        <w:t>）；</w:t>
      </w:r>
    </w:p>
    <w:p w14:paraId="0485330E" w14:textId="74E10C3D" w:rsidR="00913C78" w:rsidRPr="00913C78" w:rsidRDefault="00913C78" w:rsidP="00213A3F">
      <w:pPr>
        <w:ind w:leftChars="337" w:left="708" w:firstLine="420"/>
      </w:pPr>
      <w:r w:rsidRPr="00913C78">
        <w:t>G</w:t>
      </w:r>
      <w:r w:rsidRPr="00913C78">
        <w:rPr>
          <w:rFonts w:hint="eastAsia"/>
        </w:rPr>
        <w:t>pm</w:t>
      </w:r>
      <w:r w:rsidRPr="00913C78">
        <w:t>i</w:t>
      </w:r>
      <w:bookmarkStart w:id="459" w:name="OLE_LINK910"/>
      <w:bookmarkStart w:id="460" w:name="OLE_LINK909"/>
      <w:r w:rsidRPr="00913C78">
        <w:t xml:space="preserve">  —— </w:t>
      </w:r>
      <w:r w:rsidRPr="00913C78">
        <w:t>室内第</w:t>
      </w:r>
      <w:r w:rsidRPr="00913C78">
        <w:t>i</w:t>
      </w:r>
      <w:r w:rsidRPr="00913C78">
        <w:t>个</w:t>
      </w:r>
      <w:bookmarkStart w:id="461" w:name="OLE_LINK7"/>
      <w:r w:rsidRPr="00913C78">
        <w:t>PM2.5</w:t>
      </w:r>
      <w:bookmarkEnd w:id="461"/>
      <w:r w:rsidRPr="00913C78">
        <w:t>发生源强</w:t>
      </w:r>
      <w:bookmarkStart w:id="462" w:name="OLE_LINK197"/>
      <w:bookmarkStart w:id="463" w:name="OLE_LINK148"/>
      <w:bookmarkStart w:id="464" w:name="OLE_LINK196"/>
      <w:bookmarkStart w:id="465" w:name="OLE_LINK205"/>
      <w:bookmarkStart w:id="466" w:name="OLE_LINK206"/>
      <w:bookmarkEnd w:id="459"/>
      <w:bookmarkEnd w:id="460"/>
      <w:r w:rsidRPr="00913C78">
        <w:rPr>
          <w:rFonts w:hint="eastAsia"/>
        </w:rPr>
        <w:t>（</w:t>
      </w:r>
      <w:bookmarkStart w:id="467" w:name="OLE_LINK11"/>
      <w:r w:rsidRPr="00913C78">
        <w:t>μg/h</w:t>
      </w:r>
      <w:bookmarkEnd w:id="467"/>
      <w:r w:rsidRPr="00913C78">
        <w:rPr>
          <w:rFonts w:hint="eastAsia"/>
        </w:rPr>
        <w:t>）</w:t>
      </w:r>
      <w:bookmarkEnd w:id="462"/>
      <w:bookmarkEnd w:id="463"/>
      <w:bookmarkEnd w:id="464"/>
      <w:bookmarkEnd w:id="465"/>
      <w:bookmarkEnd w:id="466"/>
      <w:r w:rsidRPr="00913C78">
        <w:t>；</w:t>
      </w:r>
      <w:r w:rsidRPr="00913C78">
        <w:rPr>
          <w:rFonts w:hint="eastAsia"/>
        </w:rPr>
        <w:t>源强应按表</w:t>
      </w:r>
      <w:bookmarkStart w:id="468" w:name="OLE_LINK6"/>
      <w:r w:rsidRPr="00913C78">
        <w:rPr>
          <w:rFonts w:hint="eastAsia"/>
        </w:rPr>
        <w:t>B.7.1</w:t>
      </w:r>
      <w:bookmarkEnd w:id="468"/>
      <w:r w:rsidRPr="00913C78">
        <w:rPr>
          <w:rFonts w:hint="eastAsia"/>
        </w:rPr>
        <w:t>取值；</w:t>
      </w:r>
    </w:p>
    <w:p w14:paraId="05045165" w14:textId="77777777" w:rsidR="00913C78" w:rsidRPr="00913C78" w:rsidRDefault="00913C78" w:rsidP="00213A3F">
      <w:pPr>
        <w:ind w:leftChars="337" w:left="708" w:firstLine="420"/>
      </w:pPr>
      <w:r w:rsidRPr="00913C78">
        <w:rPr>
          <w:rFonts w:hint="eastAsia"/>
        </w:rPr>
        <w:t>pmi</w:t>
      </w:r>
      <w:r w:rsidRPr="00913C78">
        <w:t xml:space="preserve">   —— </w:t>
      </w:r>
      <w:r w:rsidRPr="00913C78">
        <w:t>室内</w:t>
      </w:r>
      <w:r w:rsidRPr="00913C78">
        <w:rPr>
          <w:rFonts w:hint="eastAsia"/>
        </w:rPr>
        <w:t>第</w:t>
      </w:r>
      <w:r w:rsidRPr="00913C78">
        <w:rPr>
          <w:rFonts w:hint="eastAsia"/>
        </w:rPr>
        <w:t>i</w:t>
      </w:r>
      <w:r w:rsidRPr="00913C78">
        <w:rPr>
          <w:rFonts w:hint="eastAsia"/>
        </w:rPr>
        <w:t>个</w:t>
      </w:r>
      <w:r w:rsidRPr="00913C78">
        <w:t>PM2.5</w:t>
      </w:r>
      <w:r w:rsidRPr="00913C78">
        <w:t>发生源</w:t>
      </w:r>
      <w:r w:rsidRPr="00913C78">
        <w:rPr>
          <w:rFonts w:hint="eastAsia"/>
        </w:rPr>
        <w:t>数；</w:t>
      </w:r>
    </w:p>
    <w:p w14:paraId="11B330BD" w14:textId="77777777" w:rsidR="00913C78" w:rsidRPr="00913C78" w:rsidRDefault="00913C78" w:rsidP="00213A3F">
      <w:pPr>
        <w:ind w:leftChars="337" w:left="708" w:firstLine="420"/>
      </w:pPr>
      <w:bookmarkStart w:id="469" w:name="OLE_LINK911"/>
      <w:r w:rsidRPr="00913C78">
        <w:rPr>
          <w:rFonts w:hint="eastAsia"/>
        </w:rPr>
        <w:t>Npm</w:t>
      </w:r>
      <w:r w:rsidRPr="00913C78">
        <w:t xml:space="preserve">  —— </w:t>
      </w:r>
      <w:r w:rsidRPr="00913C78">
        <w:t>室内</w:t>
      </w:r>
      <w:r w:rsidRPr="00913C78">
        <w:t>PM2.5</w:t>
      </w:r>
      <w:r w:rsidRPr="00913C78">
        <w:t>发生源</w:t>
      </w:r>
      <w:r w:rsidRPr="00913C78">
        <w:rPr>
          <w:rFonts w:hint="eastAsia"/>
        </w:rPr>
        <w:t>总数</w:t>
      </w:r>
      <w:bookmarkEnd w:id="469"/>
      <w:r w:rsidRPr="00913C78">
        <w:rPr>
          <w:rFonts w:hint="eastAsia"/>
        </w:rPr>
        <w:t>。</w:t>
      </w:r>
    </w:p>
    <w:p w14:paraId="22617A1C" w14:textId="77777777" w:rsidR="00913C78" w:rsidRPr="00913C78" w:rsidRDefault="00913C78" w:rsidP="00213A3F">
      <w:pPr>
        <w:pStyle w:val="ae"/>
      </w:pPr>
      <w:r w:rsidRPr="00913C78">
        <w:rPr>
          <w:rFonts w:hint="eastAsia"/>
        </w:rPr>
        <w:t>表</w:t>
      </w:r>
      <w:r w:rsidRPr="00913C78">
        <w:rPr>
          <w:rFonts w:hint="eastAsia"/>
        </w:rPr>
        <w:t xml:space="preserve">B.7.1 </w:t>
      </w:r>
      <w:bookmarkStart w:id="470" w:name="OLE_LINK8"/>
      <w:r w:rsidRPr="00913C78">
        <w:rPr>
          <w:rFonts w:hint="eastAsia"/>
        </w:rPr>
        <w:t>人员</w:t>
      </w:r>
      <w:r w:rsidRPr="00913C78">
        <w:t>PM2.5</w:t>
      </w:r>
      <w:r w:rsidRPr="00913C78">
        <w:rPr>
          <w:rFonts w:hint="eastAsia"/>
        </w:rPr>
        <w:t>源强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1"/>
        <w:gridCol w:w="4261"/>
      </w:tblGrid>
      <w:tr w:rsidR="00913C78" w:rsidRPr="00213A3F" w14:paraId="58057D07" w14:textId="77777777" w:rsidTr="00913C78">
        <w:tc>
          <w:tcPr>
            <w:tcW w:w="4261" w:type="dxa"/>
            <w:shd w:val="clear" w:color="auto" w:fill="auto"/>
          </w:tcPr>
          <w:bookmarkEnd w:id="470"/>
          <w:p w14:paraId="10964789" w14:textId="77777777" w:rsidR="00913C78" w:rsidRPr="00213A3F" w:rsidRDefault="00913C78" w:rsidP="00213A3F">
            <w:pPr>
              <w:pStyle w:val="ae"/>
              <w:rPr>
                <w:b w:val="0"/>
                <w:bCs/>
              </w:rPr>
            </w:pPr>
            <w:r w:rsidRPr="00213A3F">
              <w:rPr>
                <w:rFonts w:hint="eastAsia"/>
                <w:b w:val="0"/>
                <w:bCs/>
              </w:rPr>
              <w:t>人员</w:t>
            </w:r>
            <w:r w:rsidRPr="00213A3F">
              <w:rPr>
                <w:b w:val="0"/>
                <w:bCs/>
              </w:rPr>
              <w:t>PM2.5</w:t>
            </w:r>
            <w:r w:rsidRPr="00213A3F">
              <w:rPr>
                <w:rFonts w:hint="eastAsia"/>
                <w:b w:val="0"/>
                <w:bCs/>
              </w:rPr>
              <w:t>源强</w:t>
            </w:r>
            <w:r w:rsidRPr="00213A3F">
              <w:rPr>
                <w:rFonts w:hint="eastAsia"/>
                <w:b w:val="0"/>
                <w:bCs/>
              </w:rPr>
              <w:t>[</w:t>
            </w:r>
            <w:r w:rsidRPr="00213A3F">
              <w:rPr>
                <w:b w:val="0"/>
                <w:bCs/>
              </w:rPr>
              <w:t>μg/h·</w:t>
            </w:r>
            <w:r w:rsidRPr="00213A3F">
              <w:rPr>
                <w:rFonts w:hint="eastAsia"/>
                <w:b w:val="0"/>
                <w:bCs/>
              </w:rPr>
              <w:t>人</w:t>
            </w:r>
            <w:r w:rsidRPr="00213A3F">
              <w:rPr>
                <w:rFonts w:hint="eastAsia"/>
                <w:b w:val="0"/>
                <w:bCs/>
              </w:rPr>
              <w:t>]</w:t>
            </w:r>
          </w:p>
        </w:tc>
        <w:tc>
          <w:tcPr>
            <w:tcW w:w="4261" w:type="dxa"/>
            <w:shd w:val="clear" w:color="auto" w:fill="auto"/>
          </w:tcPr>
          <w:p w14:paraId="7043118F" w14:textId="77777777" w:rsidR="00913C78" w:rsidRPr="00213A3F" w:rsidRDefault="00913C78" w:rsidP="00213A3F">
            <w:pPr>
              <w:pStyle w:val="ae"/>
              <w:rPr>
                <w:b w:val="0"/>
                <w:bCs/>
              </w:rPr>
            </w:pPr>
            <w:r w:rsidRPr="00213A3F">
              <w:rPr>
                <w:rFonts w:hint="eastAsia"/>
                <w:b w:val="0"/>
                <w:bCs/>
              </w:rPr>
              <w:t>人员密度（人</w:t>
            </w:r>
            <w:r w:rsidRPr="00213A3F">
              <w:rPr>
                <w:rFonts w:hint="eastAsia"/>
                <w:b w:val="0"/>
                <w:bCs/>
              </w:rPr>
              <w:t>/</w:t>
            </w:r>
            <w:r w:rsidRPr="00213A3F">
              <w:rPr>
                <w:b w:val="0"/>
                <w:bCs/>
              </w:rPr>
              <w:t>m</w:t>
            </w:r>
            <w:r w:rsidRPr="00F83296">
              <w:rPr>
                <w:b w:val="0"/>
                <w:bCs/>
                <w:vertAlign w:val="superscript"/>
              </w:rPr>
              <w:t>2</w:t>
            </w:r>
            <w:r w:rsidRPr="00213A3F">
              <w:rPr>
                <w:rFonts w:hint="eastAsia"/>
                <w:b w:val="0"/>
                <w:bCs/>
              </w:rPr>
              <w:t>）</w:t>
            </w:r>
          </w:p>
        </w:tc>
      </w:tr>
      <w:tr w:rsidR="00913C78" w:rsidRPr="00213A3F" w14:paraId="651533BD" w14:textId="77777777" w:rsidTr="00913C78">
        <w:tc>
          <w:tcPr>
            <w:tcW w:w="4261" w:type="dxa"/>
            <w:shd w:val="clear" w:color="auto" w:fill="auto"/>
          </w:tcPr>
          <w:p w14:paraId="659A6CE7" w14:textId="77777777" w:rsidR="00913C78" w:rsidRPr="00213A3F" w:rsidRDefault="00913C78" w:rsidP="00213A3F">
            <w:pPr>
              <w:pStyle w:val="ae"/>
              <w:rPr>
                <w:b w:val="0"/>
                <w:bCs/>
              </w:rPr>
            </w:pPr>
            <w:r w:rsidRPr="00213A3F">
              <w:rPr>
                <w:rFonts w:hint="eastAsia"/>
                <w:b w:val="0"/>
                <w:bCs/>
              </w:rPr>
              <w:t>0.9</w:t>
            </w:r>
          </w:p>
        </w:tc>
        <w:tc>
          <w:tcPr>
            <w:tcW w:w="4261" w:type="dxa"/>
            <w:shd w:val="clear" w:color="auto" w:fill="auto"/>
          </w:tcPr>
          <w:p w14:paraId="7050C151" w14:textId="77777777" w:rsidR="00913C78" w:rsidRPr="00213A3F" w:rsidRDefault="00913C78" w:rsidP="00213A3F">
            <w:pPr>
              <w:pStyle w:val="ae"/>
              <w:rPr>
                <w:b w:val="0"/>
                <w:bCs/>
              </w:rPr>
            </w:pPr>
            <w:r w:rsidRPr="00213A3F">
              <w:rPr>
                <w:b w:val="0"/>
                <w:bCs/>
              </w:rPr>
              <w:t>&gt;</w:t>
            </w:r>
            <w:r w:rsidRPr="00213A3F">
              <w:rPr>
                <w:rFonts w:hint="eastAsia"/>
                <w:b w:val="0"/>
                <w:bCs/>
              </w:rPr>
              <w:t>0.4</w:t>
            </w:r>
          </w:p>
        </w:tc>
      </w:tr>
      <w:tr w:rsidR="00913C78" w:rsidRPr="00213A3F" w14:paraId="71C8CDE8" w14:textId="77777777" w:rsidTr="00913C78">
        <w:tc>
          <w:tcPr>
            <w:tcW w:w="4261" w:type="dxa"/>
            <w:shd w:val="clear" w:color="auto" w:fill="auto"/>
          </w:tcPr>
          <w:p w14:paraId="796EC87A" w14:textId="77777777" w:rsidR="00913C78" w:rsidRPr="00213A3F" w:rsidRDefault="00913C78" w:rsidP="00213A3F">
            <w:pPr>
              <w:pStyle w:val="ae"/>
              <w:rPr>
                <w:b w:val="0"/>
                <w:bCs/>
              </w:rPr>
            </w:pPr>
            <w:r w:rsidRPr="00213A3F">
              <w:rPr>
                <w:rFonts w:hint="eastAsia"/>
                <w:b w:val="0"/>
                <w:bCs/>
              </w:rPr>
              <w:t>忽略不计</w:t>
            </w:r>
          </w:p>
        </w:tc>
        <w:tc>
          <w:tcPr>
            <w:tcW w:w="4261" w:type="dxa"/>
            <w:shd w:val="clear" w:color="auto" w:fill="auto"/>
          </w:tcPr>
          <w:p w14:paraId="2A0DE2F6" w14:textId="77777777" w:rsidR="00913C78" w:rsidRPr="00213A3F" w:rsidRDefault="00913C78" w:rsidP="00213A3F">
            <w:pPr>
              <w:pStyle w:val="ae"/>
              <w:rPr>
                <w:b w:val="0"/>
                <w:bCs/>
              </w:rPr>
            </w:pPr>
            <w:r w:rsidRPr="00213A3F">
              <w:rPr>
                <w:b w:val="0"/>
                <w:bCs/>
              </w:rPr>
              <w:t>≤</w:t>
            </w:r>
            <w:r w:rsidRPr="00213A3F">
              <w:rPr>
                <w:rFonts w:hint="eastAsia"/>
                <w:b w:val="0"/>
                <w:bCs/>
              </w:rPr>
              <w:t>0.4</w:t>
            </w:r>
          </w:p>
        </w:tc>
      </w:tr>
    </w:tbl>
    <w:p w14:paraId="3F90359E" w14:textId="77777777" w:rsidR="00913C78" w:rsidRPr="00913C78" w:rsidRDefault="00913C78" w:rsidP="00913C78">
      <w:pPr>
        <w:ind w:firstLine="420"/>
      </w:pPr>
    </w:p>
    <w:p w14:paraId="1A65BD73" w14:textId="77777777" w:rsidR="00913C78" w:rsidRPr="00913C78" w:rsidRDefault="00913C78" w:rsidP="00913C78">
      <w:pPr>
        <w:ind w:firstLine="420"/>
      </w:pPr>
      <w:r w:rsidRPr="00913C78">
        <w:t>室内化学污染物散发强度应对各污染物参数分别计算。各类污染物参数的散发强度</w:t>
      </w:r>
      <w:r w:rsidRPr="00913C78">
        <w:rPr>
          <w:rFonts w:hint="eastAsia"/>
        </w:rPr>
        <w:t>应</w:t>
      </w:r>
      <w:r w:rsidRPr="00913C78">
        <w:t>按下式计算</w:t>
      </w:r>
      <w:r w:rsidRPr="00913C78">
        <w:rPr>
          <w:rFonts w:hint="eastAsia"/>
        </w:rPr>
        <w:t>：</w:t>
      </w:r>
    </w:p>
    <w:p w14:paraId="4C21B074" w14:textId="59D4FA3B" w:rsidR="00913C78" w:rsidRPr="00913C78" w:rsidRDefault="007C2C5F" w:rsidP="00F83296">
      <w:pPr>
        <w:pStyle w:val="af8"/>
      </w:pPr>
      <w:bookmarkStart w:id="471" w:name="OLE_LINK615"/>
      <w:bookmarkStart w:id="472" w:name="OLE_LINK607"/>
      <w:bookmarkStart w:id="473" w:name="OLE_LINK608"/>
      <w:bookmarkStart w:id="474" w:name="OLE_LINK614"/>
      <w:r>
        <w:tab/>
      </w:r>
      <m:oMath>
        <m:sSub>
          <m:sSubPr>
            <m:ctrlPr>
              <w:rPr>
                <w:rFonts w:ascii="Cambria Math" w:hAnsi="Cambria Math"/>
                <w:i/>
                <w:noProof/>
              </w:rPr>
            </m:ctrlPr>
          </m:sSubPr>
          <m:e>
            <m:r>
              <w:rPr>
                <w:rFonts w:ascii="Cambria Math" w:hAnsi="Cambria Math"/>
                <w:noProof/>
              </w:rPr>
              <m:t>G</m:t>
            </m:r>
          </m:e>
          <m:sub>
            <m:r>
              <m:rPr>
                <m:nor/>
              </m:rPr>
              <w:rPr>
                <w:noProof/>
              </w:rPr>
              <m:t>cp,j</m:t>
            </m:r>
            <m:ctrlPr>
              <w:rPr>
                <w:rFonts w:ascii="Cambria Math" w:hAnsi="Cambria Math"/>
                <w:noProof/>
              </w:rPr>
            </m:ctrlPr>
          </m:sub>
        </m:sSub>
        <m:r>
          <w:rPr>
            <w:rFonts w:ascii="Cambria Math" w:hAnsi="Cambria Math"/>
            <w:noProof/>
          </w:rPr>
          <m:t>=</m:t>
        </m:r>
        <m:nary>
          <m:naryPr>
            <m:chr m:val="∑"/>
            <m:ctrlPr>
              <w:rPr>
                <w:rFonts w:ascii="Cambria Math" w:hAnsi="Cambria Math"/>
                <w:noProof/>
              </w:rPr>
            </m:ctrlPr>
          </m:naryPr>
          <m:sub>
            <m:r>
              <m:rPr>
                <m:nor/>
              </m:rPr>
              <w:rPr>
                <w:noProof/>
              </w:rPr>
              <m:t>cpi</m:t>
            </m:r>
            <m:r>
              <m:rPr>
                <m:sty m:val="p"/>
              </m:rPr>
              <w:rPr>
                <w:rFonts w:ascii="Cambria Math" w:hAnsi="Cambria Math"/>
                <w:noProof/>
              </w:rPr>
              <m:t>=1</m:t>
            </m:r>
          </m:sub>
          <m:sup>
            <m:r>
              <m:rPr>
                <m:nor/>
              </m:rPr>
              <w:rPr>
                <w:noProof/>
              </w:rPr>
              <m:t>Ncp</m:t>
            </m:r>
          </m:sup>
          <m:e>
            <m:sSub>
              <m:sSubPr>
                <m:ctrlPr>
                  <w:rPr>
                    <w:rFonts w:ascii="Cambria Math" w:hAnsi="Cambria Math"/>
                    <w:i/>
                    <w:noProof/>
                  </w:rPr>
                </m:ctrlPr>
              </m:sSubPr>
              <m:e>
                <m:r>
                  <w:rPr>
                    <w:rFonts w:ascii="Cambria Math" w:hAnsi="Cambria Math"/>
                    <w:noProof/>
                  </w:rPr>
                  <m:t>E</m:t>
                </m:r>
              </m:e>
              <m:sub>
                <m:r>
                  <m:rPr>
                    <m:nor/>
                  </m:rPr>
                  <w:rPr>
                    <w:noProof/>
                  </w:rPr>
                  <m:t>cpi,j</m:t>
                </m:r>
                <m:ctrlPr>
                  <w:rPr>
                    <w:rFonts w:ascii="Cambria Math" w:hAnsi="Cambria Math"/>
                    <w:noProof/>
                  </w:rPr>
                </m:ctrlPr>
              </m:sub>
            </m:sSub>
            <m:sSub>
              <m:sSubPr>
                <m:ctrlPr>
                  <w:rPr>
                    <w:rFonts w:ascii="Cambria Math" w:hAnsi="Cambria Math"/>
                    <w:i/>
                    <w:noProof/>
                  </w:rPr>
                </m:ctrlPr>
              </m:sSubPr>
              <m:e>
                <m:r>
                  <w:rPr>
                    <w:rFonts w:ascii="Cambria Math" w:hAnsi="Cambria Math"/>
                    <w:noProof/>
                  </w:rPr>
                  <m:t>L</m:t>
                </m:r>
              </m:e>
              <m:sub>
                <m:r>
                  <m:rPr>
                    <m:nor/>
                  </m:rPr>
                  <w:rPr>
                    <w:noProof/>
                  </w:rPr>
                  <m:t>cpi,j</m:t>
                </m:r>
                <m:ctrlPr>
                  <w:rPr>
                    <w:rFonts w:ascii="Cambria Math" w:hAnsi="Cambria Math"/>
                    <w:noProof/>
                  </w:rPr>
                </m:ctrlPr>
              </m:sub>
            </m:sSub>
            <m:ctrlPr>
              <w:rPr>
                <w:rFonts w:ascii="Cambria Math" w:hAnsi="Cambria Math"/>
                <w:i/>
                <w:noProof/>
              </w:rPr>
            </m:ctrlPr>
          </m:e>
        </m:nary>
      </m:oMath>
      <w:bookmarkEnd w:id="471"/>
      <w:bookmarkEnd w:id="472"/>
      <w:bookmarkEnd w:id="473"/>
      <w:bookmarkEnd w:id="474"/>
      <w:r>
        <w:tab/>
      </w:r>
      <w:r>
        <w:rPr>
          <w:rFonts w:hint="eastAsia"/>
        </w:rPr>
        <w:t>(</w:t>
      </w:r>
      <w:r>
        <w:t>B.7.3)</w:t>
      </w:r>
    </w:p>
    <w:p w14:paraId="437B3D83" w14:textId="77777777" w:rsidR="00913C78" w:rsidRPr="00913C78" w:rsidRDefault="00913C78" w:rsidP="00913C78">
      <w:pPr>
        <w:ind w:firstLine="420"/>
      </w:pPr>
      <w:r w:rsidRPr="00913C78">
        <w:t>式中：</w:t>
      </w:r>
      <w:r w:rsidRPr="00913C78">
        <w:t>G</w:t>
      </w:r>
      <w:r w:rsidRPr="00F83296">
        <w:rPr>
          <w:vertAlign w:val="subscript"/>
        </w:rPr>
        <w:t>cp,j</w:t>
      </w:r>
      <w:r w:rsidRPr="00913C78">
        <w:t xml:space="preserve">  ——  </w:t>
      </w:r>
      <w:r w:rsidRPr="00913C78">
        <w:t>室内第</w:t>
      </w:r>
      <w:r w:rsidRPr="00913C78">
        <w:t>j</w:t>
      </w:r>
      <w:r w:rsidRPr="00913C78">
        <w:t>类化学污染物参数散发强度</w:t>
      </w:r>
      <w:r w:rsidRPr="00913C78">
        <w:rPr>
          <w:rFonts w:hint="eastAsia"/>
        </w:rPr>
        <w:t>（</w:t>
      </w:r>
      <w:r w:rsidRPr="00913C78">
        <w:t>mg/h</w:t>
      </w:r>
      <w:r w:rsidRPr="00913C78">
        <w:rPr>
          <w:rFonts w:hint="eastAsia"/>
        </w:rPr>
        <w:t>）</w:t>
      </w:r>
      <w:r w:rsidRPr="00913C78">
        <w:t>；</w:t>
      </w:r>
    </w:p>
    <w:p w14:paraId="69F3AF97" w14:textId="25537F60" w:rsidR="00913C78" w:rsidRPr="00913C78" w:rsidRDefault="00913C78" w:rsidP="00213A3F">
      <w:pPr>
        <w:ind w:leftChars="470" w:left="2247" w:hangingChars="600" w:hanging="1260"/>
      </w:pPr>
      <w:bookmarkStart w:id="475" w:name="OLE_LINK602"/>
      <w:bookmarkStart w:id="476" w:name="OLE_LINK603"/>
      <w:bookmarkStart w:id="477" w:name="OLE_LINK604"/>
      <w:r w:rsidRPr="00913C78">
        <w:t>E</w:t>
      </w:r>
      <w:r w:rsidRPr="00F83296">
        <w:rPr>
          <w:vertAlign w:val="subscript"/>
        </w:rPr>
        <w:t>cpi</w:t>
      </w:r>
      <w:bookmarkEnd w:id="475"/>
      <w:bookmarkEnd w:id="476"/>
      <w:bookmarkEnd w:id="477"/>
      <w:r w:rsidRPr="00F83296">
        <w:rPr>
          <w:vertAlign w:val="subscript"/>
        </w:rPr>
        <w:t>,j</w:t>
      </w:r>
      <w:r w:rsidRPr="00913C78">
        <w:t xml:space="preserve">  ——  </w:t>
      </w:r>
      <w:r w:rsidRPr="00913C78">
        <w:t>室内第</w:t>
      </w:r>
      <w:r w:rsidRPr="00913C78">
        <w:t>i</w:t>
      </w:r>
      <w:r w:rsidRPr="00913C78">
        <w:t>个化学污染源</w:t>
      </w:r>
      <w:r w:rsidRPr="00913C78">
        <w:rPr>
          <w:rFonts w:hint="eastAsia"/>
        </w:rPr>
        <w:t>的第</w:t>
      </w:r>
      <w:r w:rsidRPr="00913C78">
        <w:rPr>
          <w:rFonts w:hint="eastAsia"/>
        </w:rPr>
        <w:t>j</w:t>
      </w:r>
      <w:r w:rsidRPr="00913C78">
        <w:rPr>
          <w:rFonts w:hint="eastAsia"/>
        </w:rPr>
        <w:t>类化学污染物的</w:t>
      </w:r>
      <w:r w:rsidRPr="00913C78">
        <w:t>释放率</w:t>
      </w:r>
      <w:bookmarkStart w:id="478" w:name="OLE_LINK491"/>
      <w:bookmarkStart w:id="479" w:name="OLE_LINK488"/>
      <w:r w:rsidRPr="00913C78">
        <w:rPr>
          <w:rFonts w:hint="eastAsia"/>
        </w:rPr>
        <w:t>[</w:t>
      </w:r>
      <w:r w:rsidRPr="00913C78">
        <w:t>mg/(m</w:t>
      </w:r>
      <w:r w:rsidRPr="00F83296">
        <w:rPr>
          <w:vertAlign w:val="superscript"/>
        </w:rPr>
        <w:t>2</w:t>
      </w:r>
      <w:r w:rsidRPr="00913C78">
        <w:t>·h)</w:t>
      </w:r>
      <w:r w:rsidRPr="00913C78">
        <w:rPr>
          <w:rFonts w:hint="eastAsia"/>
        </w:rPr>
        <w:t>]</w:t>
      </w:r>
      <w:bookmarkStart w:id="480" w:name="OLE_LINK805"/>
      <w:bookmarkStart w:id="481" w:name="OLE_LINK806"/>
      <w:bookmarkEnd w:id="478"/>
      <w:bookmarkEnd w:id="479"/>
      <w:r w:rsidRPr="00913C78">
        <w:rPr>
          <w:rFonts w:hint="eastAsia"/>
        </w:rPr>
        <w:t>；</w:t>
      </w:r>
      <w:bookmarkEnd w:id="480"/>
      <w:bookmarkEnd w:id="481"/>
      <w:r w:rsidR="00213A3F">
        <w:rPr>
          <w:rFonts w:hint="eastAsia"/>
        </w:rPr>
        <w:t xml:space="preserve"> </w:t>
      </w:r>
      <w:r w:rsidRPr="00913C78">
        <w:rPr>
          <w:rFonts w:hint="eastAsia"/>
        </w:rPr>
        <w:t>室内建筑装饰装修材料、构件、家具用品等的化学污染物释放率可按稳定释放率或源释放模型计算；设计中应计算温度、湿度变化对污染物释放率的影响。测试标准工况为</w:t>
      </w:r>
      <w:r w:rsidRPr="00913C78">
        <w:rPr>
          <w:rFonts w:hint="eastAsia"/>
        </w:rPr>
        <w:t>23</w:t>
      </w:r>
      <w:r w:rsidRPr="00913C78">
        <w:rPr>
          <w:rFonts w:hint="eastAsia"/>
        </w:rPr>
        <w:t>℃，湿度</w:t>
      </w:r>
      <w:r w:rsidRPr="00913C78">
        <w:rPr>
          <w:rFonts w:hint="eastAsia"/>
        </w:rPr>
        <w:t>50</w:t>
      </w:r>
      <w:r w:rsidRPr="00913C78">
        <w:rPr>
          <w:rFonts w:hint="eastAsia"/>
        </w:rPr>
        <w:t>％，其他温度、湿度条件下板材的甲醛温度、湿度综合影响计算系数</w:t>
      </w:r>
      <w:r w:rsidRPr="00913C78">
        <w:rPr>
          <w:rFonts w:hint="eastAsia"/>
        </w:rPr>
        <w:t>(ks)</w:t>
      </w:r>
      <w:r w:rsidRPr="00913C78">
        <w:rPr>
          <w:rFonts w:hint="eastAsia"/>
        </w:rPr>
        <w:t>，应按表</w:t>
      </w:r>
      <w:r w:rsidRPr="00913C78">
        <w:rPr>
          <w:rFonts w:hint="eastAsia"/>
        </w:rPr>
        <w:lastRenderedPageBreak/>
        <w:t>B.</w:t>
      </w:r>
      <w:bookmarkStart w:id="482" w:name="OLE_LINK13"/>
      <w:r w:rsidRPr="00913C78">
        <w:rPr>
          <w:rFonts w:hint="eastAsia"/>
        </w:rPr>
        <w:t>7.2</w:t>
      </w:r>
      <w:bookmarkEnd w:id="482"/>
      <w:r w:rsidRPr="00913C78">
        <w:rPr>
          <w:rFonts w:hint="eastAsia"/>
        </w:rPr>
        <w:t>取值</w:t>
      </w:r>
    </w:p>
    <w:p w14:paraId="44A42E5D" w14:textId="77777777" w:rsidR="00913C78" w:rsidRPr="00913C78" w:rsidRDefault="00913C78" w:rsidP="00213A3F">
      <w:pPr>
        <w:ind w:leftChars="472" w:left="991" w:firstLineChars="0" w:firstLine="2"/>
      </w:pPr>
      <w:bookmarkStart w:id="483" w:name="OLE_LINK605"/>
      <w:bookmarkStart w:id="484" w:name="OLE_LINK606"/>
      <w:r w:rsidRPr="00913C78">
        <w:t>L</w:t>
      </w:r>
      <w:bookmarkEnd w:id="483"/>
      <w:bookmarkEnd w:id="484"/>
      <w:r w:rsidRPr="00F83296">
        <w:rPr>
          <w:vertAlign w:val="subscript"/>
        </w:rPr>
        <w:t>cpi,j</w:t>
      </w:r>
      <w:r w:rsidRPr="00913C78">
        <w:t xml:space="preserve">  ——  </w:t>
      </w:r>
      <w:r w:rsidRPr="00913C78">
        <w:t>室内第</w:t>
      </w:r>
      <w:r w:rsidRPr="00913C78">
        <w:t>i</w:t>
      </w:r>
      <w:r w:rsidRPr="00913C78">
        <w:t>个化学污染</w:t>
      </w:r>
      <w:r w:rsidRPr="00913C78">
        <w:rPr>
          <w:rFonts w:hint="eastAsia"/>
        </w:rPr>
        <w:t>源的第</w:t>
      </w:r>
      <w:r w:rsidRPr="00913C78">
        <w:rPr>
          <w:rFonts w:hint="eastAsia"/>
        </w:rPr>
        <w:t>j</w:t>
      </w:r>
      <w:r w:rsidRPr="00913C78">
        <w:rPr>
          <w:rFonts w:hint="eastAsia"/>
        </w:rPr>
        <w:t>类化学污染物的</w:t>
      </w:r>
      <w:r w:rsidRPr="00913C78">
        <w:t>载荷</w:t>
      </w:r>
      <w:r w:rsidRPr="00913C78">
        <w:rPr>
          <w:rFonts w:hint="eastAsia"/>
        </w:rPr>
        <w:t>（</w:t>
      </w:r>
      <w:r w:rsidRPr="00913C78">
        <w:t>m</w:t>
      </w:r>
      <w:r w:rsidRPr="00F83296">
        <w:rPr>
          <w:vertAlign w:val="superscript"/>
        </w:rPr>
        <w:t>2</w:t>
      </w:r>
      <w:r w:rsidRPr="00913C78">
        <w:rPr>
          <w:rFonts w:hint="eastAsia"/>
        </w:rPr>
        <w:t>）；</w:t>
      </w:r>
      <w:r w:rsidRPr="00913C78">
        <w:t xml:space="preserve">    </w:t>
      </w:r>
      <w:r w:rsidRPr="00913C78">
        <w:rPr>
          <w:rFonts w:hint="eastAsia"/>
        </w:rPr>
        <w:t xml:space="preserve"> </w:t>
      </w:r>
      <w:r w:rsidRPr="00913C78">
        <w:t xml:space="preserve"> </w:t>
      </w:r>
    </w:p>
    <w:p w14:paraId="69937EF3" w14:textId="77777777" w:rsidR="00913C78" w:rsidRPr="00913C78" w:rsidRDefault="00913C78" w:rsidP="00213A3F">
      <w:pPr>
        <w:ind w:leftChars="472" w:left="991" w:firstLineChars="0" w:firstLine="2"/>
      </w:pPr>
      <w:r w:rsidRPr="00913C78">
        <w:t xml:space="preserve">j  ——  </w:t>
      </w:r>
      <w:r w:rsidRPr="00913C78">
        <w:t>化学污染物，如甲醛、苯、甲苯、二甲苯、</w:t>
      </w:r>
      <w:r w:rsidRPr="00913C78">
        <w:t>TVOC</w:t>
      </w:r>
      <w:r w:rsidRPr="00913C78">
        <w:t>；</w:t>
      </w:r>
      <w:r w:rsidRPr="00913C78">
        <w:t xml:space="preserve"> </w:t>
      </w:r>
    </w:p>
    <w:p w14:paraId="5A7A0FF6" w14:textId="77777777" w:rsidR="00913C78" w:rsidRPr="00913C78" w:rsidRDefault="00913C78" w:rsidP="00213A3F">
      <w:pPr>
        <w:ind w:leftChars="203" w:left="991" w:hangingChars="269" w:hanging="565"/>
      </w:pPr>
      <w:r w:rsidRPr="00913C78">
        <w:t xml:space="preserve">   </w:t>
      </w:r>
      <w:r w:rsidRPr="00913C78">
        <w:rPr>
          <w:rFonts w:hint="eastAsia"/>
        </w:rPr>
        <w:t xml:space="preserve"> </w:t>
      </w:r>
      <w:r w:rsidRPr="00913C78">
        <w:t xml:space="preserve"> </w:t>
      </w:r>
      <w:r w:rsidRPr="00913C78">
        <w:rPr>
          <w:rFonts w:hint="eastAsia"/>
        </w:rPr>
        <w:t>cp</w:t>
      </w:r>
      <w:r w:rsidRPr="00913C78">
        <w:t xml:space="preserve">i  ——  </w:t>
      </w:r>
      <w:r w:rsidRPr="00913C78">
        <w:rPr>
          <w:rFonts w:hint="eastAsia"/>
        </w:rPr>
        <w:t>第</w:t>
      </w:r>
      <w:r w:rsidRPr="00913C78">
        <w:rPr>
          <w:rFonts w:hint="eastAsia"/>
        </w:rPr>
        <w:t>i</w:t>
      </w:r>
      <w:r w:rsidRPr="00913C78">
        <w:rPr>
          <w:rFonts w:hint="eastAsia"/>
        </w:rPr>
        <w:t>个</w:t>
      </w:r>
      <w:r w:rsidRPr="00913C78">
        <w:t>化学污染源，如地板、内墙涂料、油漆等</w:t>
      </w:r>
      <w:r w:rsidRPr="00913C78">
        <w:rPr>
          <w:rFonts w:hint="eastAsia"/>
        </w:rPr>
        <w:t>;</w:t>
      </w:r>
    </w:p>
    <w:p w14:paraId="17C3287C" w14:textId="77777777" w:rsidR="00913C78" w:rsidRPr="00913C78" w:rsidRDefault="00913C78" w:rsidP="00213A3F">
      <w:pPr>
        <w:ind w:firstLineChars="472" w:firstLine="991"/>
      </w:pPr>
      <w:r w:rsidRPr="00913C78">
        <w:rPr>
          <w:rFonts w:hint="eastAsia"/>
        </w:rPr>
        <w:t>Npm</w:t>
      </w:r>
      <w:r w:rsidRPr="00913C78">
        <w:t xml:space="preserve">  —— </w:t>
      </w:r>
      <w:r w:rsidRPr="00913C78">
        <w:t>室内</w:t>
      </w:r>
      <w:r w:rsidRPr="00913C78">
        <w:rPr>
          <w:rFonts w:hint="eastAsia"/>
        </w:rPr>
        <w:t>化学污染物</w:t>
      </w:r>
      <w:r w:rsidRPr="00913C78">
        <w:t>发生源</w:t>
      </w:r>
      <w:r w:rsidRPr="00913C78">
        <w:rPr>
          <w:rFonts w:hint="eastAsia"/>
        </w:rPr>
        <w:t>总数。</w:t>
      </w:r>
    </w:p>
    <w:p w14:paraId="34F4E7E7" w14:textId="77777777" w:rsidR="00913C78" w:rsidRPr="00913C78" w:rsidRDefault="00913C78" w:rsidP="00213A3F">
      <w:pPr>
        <w:pStyle w:val="ae"/>
      </w:pPr>
      <w:bookmarkStart w:id="485" w:name="_Toc485632079"/>
      <w:bookmarkStart w:id="486" w:name="_Toc485631034"/>
      <w:bookmarkStart w:id="487" w:name="_Toc485630652"/>
      <w:r w:rsidRPr="00913C78">
        <w:t>表</w:t>
      </w:r>
      <w:r w:rsidRPr="00913C78">
        <w:t xml:space="preserve"> B.</w:t>
      </w:r>
      <w:r w:rsidRPr="00913C78">
        <w:rPr>
          <w:rFonts w:hint="eastAsia"/>
        </w:rPr>
        <w:t>7.2</w:t>
      </w:r>
      <w:r w:rsidRPr="00913C78">
        <w:t xml:space="preserve"> </w:t>
      </w:r>
      <w:r w:rsidRPr="00913C78">
        <w:rPr>
          <w:rFonts w:hint="eastAsia"/>
        </w:rPr>
        <w:t xml:space="preserve"> </w:t>
      </w:r>
      <w:r w:rsidRPr="00913C78">
        <w:t>温湿度综合影响系数</w:t>
      </w:r>
      <w:r w:rsidRPr="00913C78">
        <w:t>k</w:t>
      </w:r>
      <w:bookmarkEnd w:id="485"/>
      <w:bookmarkEnd w:id="486"/>
      <w:bookmarkEnd w:id="487"/>
      <w:r w:rsidRPr="00913C78">
        <w:rPr>
          <w:rFonts w:hint="eastAsia"/>
        </w:rPr>
        <w:t>s</w:t>
      </w:r>
    </w:p>
    <w:tbl>
      <w:tblPr>
        <w:tblW w:w="0" w:type="auto"/>
        <w:jc w:val="center"/>
        <w:tblLook w:val="0000" w:firstRow="0" w:lastRow="0" w:firstColumn="0" w:lastColumn="0" w:noHBand="0" w:noVBand="0"/>
      </w:tblPr>
      <w:tblGrid>
        <w:gridCol w:w="2001"/>
        <w:gridCol w:w="584"/>
        <w:gridCol w:w="584"/>
        <w:gridCol w:w="584"/>
        <w:gridCol w:w="584"/>
        <w:gridCol w:w="584"/>
        <w:gridCol w:w="584"/>
        <w:gridCol w:w="584"/>
      </w:tblGrid>
      <w:tr w:rsidR="00213A3F" w:rsidRPr="00213A3F" w14:paraId="390A7275" w14:textId="77777777" w:rsidTr="00AF1261">
        <w:trPr>
          <w:trHeight w:val="270"/>
          <w:jc w:val="center"/>
        </w:trPr>
        <w:tc>
          <w:tcPr>
            <w:tcW w:w="0" w:type="auto"/>
            <w:tcBorders>
              <w:top w:val="single" w:sz="4" w:space="0" w:color="auto"/>
              <w:left w:val="single" w:sz="4" w:space="0" w:color="auto"/>
              <w:bottom w:val="single" w:sz="4" w:space="0" w:color="auto"/>
              <w:right w:val="single" w:sz="4" w:space="0" w:color="auto"/>
              <w:tl2br w:val="single" w:sz="4" w:space="0" w:color="auto"/>
            </w:tcBorders>
            <w:vAlign w:val="center"/>
          </w:tcPr>
          <w:p w14:paraId="36BE0D8C" w14:textId="77777777" w:rsidR="00213A3F" w:rsidRPr="00213A3F" w:rsidRDefault="00213A3F" w:rsidP="00213A3F">
            <w:pPr>
              <w:pStyle w:val="ae"/>
              <w:rPr>
                <w:b w:val="0"/>
                <w:bCs/>
              </w:rPr>
            </w:pPr>
            <w:bookmarkStart w:id="488" w:name="OLE_LINK17"/>
            <w:r w:rsidRPr="00213A3F">
              <w:rPr>
                <w:b w:val="0"/>
                <w:bCs/>
              </w:rPr>
              <w:t>设计</w:t>
            </w:r>
          </w:p>
          <w:p w14:paraId="341A8964" w14:textId="77777777" w:rsidR="00213A3F" w:rsidRPr="00213A3F" w:rsidRDefault="00213A3F" w:rsidP="00213A3F">
            <w:pPr>
              <w:pStyle w:val="ae"/>
              <w:rPr>
                <w:b w:val="0"/>
                <w:bCs/>
              </w:rPr>
            </w:pPr>
            <w:r w:rsidRPr="00213A3F">
              <w:rPr>
                <w:rFonts w:hint="eastAsia"/>
                <w:b w:val="0"/>
                <w:bCs/>
              </w:rPr>
              <w:t xml:space="preserve"> </w:t>
            </w:r>
            <w:r w:rsidRPr="00213A3F">
              <w:rPr>
                <w:b w:val="0"/>
                <w:bCs/>
              </w:rPr>
              <w:t xml:space="preserve">      </w:t>
            </w:r>
            <w:r w:rsidRPr="00213A3F">
              <w:rPr>
                <w:b w:val="0"/>
                <w:bCs/>
              </w:rPr>
              <w:t>温度（</w:t>
            </w:r>
            <w:r w:rsidRPr="00213A3F">
              <w:rPr>
                <w:rFonts w:ascii="宋体" w:hAnsi="宋体" w:cs="宋体" w:hint="eastAsia"/>
                <w:b w:val="0"/>
                <w:bCs/>
              </w:rPr>
              <w:t>℃</w:t>
            </w:r>
            <w:r w:rsidRPr="00213A3F">
              <w:rPr>
                <w:b w:val="0"/>
                <w:bCs/>
              </w:rPr>
              <w:t>）</w:t>
            </w:r>
          </w:p>
          <w:p w14:paraId="79159518" w14:textId="77777777" w:rsidR="00213A3F" w:rsidRPr="00213A3F" w:rsidRDefault="00213A3F" w:rsidP="00213A3F">
            <w:pPr>
              <w:pStyle w:val="ae"/>
              <w:rPr>
                <w:b w:val="0"/>
                <w:bCs/>
              </w:rPr>
            </w:pPr>
            <w:r w:rsidRPr="00213A3F">
              <w:rPr>
                <w:b w:val="0"/>
                <w:bCs/>
              </w:rPr>
              <w:t>设计</w:t>
            </w:r>
          </w:p>
          <w:p w14:paraId="4C05BCC5" w14:textId="77777777" w:rsidR="00213A3F" w:rsidRPr="00213A3F" w:rsidRDefault="00213A3F" w:rsidP="00213A3F">
            <w:pPr>
              <w:pStyle w:val="ae"/>
              <w:rPr>
                <w:b w:val="0"/>
                <w:bCs/>
              </w:rPr>
            </w:pPr>
            <w:r w:rsidRPr="00213A3F">
              <w:rPr>
                <w:b w:val="0"/>
                <w:bCs/>
              </w:rPr>
              <w:t>相对湿度（</w:t>
            </w:r>
            <w:r w:rsidRPr="00213A3F">
              <w:rPr>
                <w:b w:val="0"/>
                <w:bCs/>
              </w:rPr>
              <w:t>%</w:t>
            </w:r>
            <w:r w:rsidRPr="00213A3F">
              <w:rPr>
                <w:b w:val="0"/>
                <w:bCs/>
              </w:rPr>
              <w:t>）</w:t>
            </w:r>
          </w:p>
        </w:tc>
        <w:tc>
          <w:tcPr>
            <w:tcW w:w="0" w:type="auto"/>
            <w:tcBorders>
              <w:top w:val="single" w:sz="4" w:space="0" w:color="auto"/>
              <w:left w:val="nil"/>
              <w:bottom w:val="single" w:sz="4" w:space="0" w:color="auto"/>
              <w:right w:val="single" w:sz="4" w:space="0" w:color="auto"/>
            </w:tcBorders>
            <w:vAlign w:val="center"/>
          </w:tcPr>
          <w:p w14:paraId="13279F92" w14:textId="77777777" w:rsidR="00213A3F" w:rsidRPr="00213A3F" w:rsidRDefault="00213A3F" w:rsidP="00213A3F">
            <w:pPr>
              <w:pStyle w:val="ae"/>
              <w:rPr>
                <w:b w:val="0"/>
                <w:bCs/>
              </w:rPr>
            </w:pPr>
            <w:r w:rsidRPr="00213A3F">
              <w:rPr>
                <w:b w:val="0"/>
                <w:bCs/>
              </w:rPr>
              <w:t>18</w:t>
            </w:r>
          </w:p>
        </w:tc>
        <w:tc>
          <w:tcPr>
            <w:tcW w:w="0" w:type="auto"/>
            <w:tcBorders>
              <w:top w:val="single" w:sz="4" w:space="0" w:color="auto"/>
              <w:left w:val="nil"/>
              <w:bottom w:val="single" w:sz="4" w:space="0" w:color="auto"/>
              <w:right w:val="single" w:sz="4" w:space="0" w:color="auto"/>
            </w:tcBorders>
            <w:vAlign w:val="center"/>
          </w:tcPr>
          <w:p w14:paraId="72215AE2" w14:textId="77777777" w:rsidR="00213A3F" w:rsidRPr="00213A3F" w:rsidRDefault="00213A3F" w:rsidP="00213A3F">
            <w:pPr>
              <w:pStyle w:val="ae"/>
              <w:rPr>
                <w:b w:val="0"/>
                <w:bCs/>
              </w:rPr>
            </w:pPr>
            <w:r w:rsidRPr="00213A3F">
              <w:rPr>
                <w:b w:val="0"/>
                <w:bCs/>
              </w:rPr>
              <w:t>20</w:t>
            </w:r>
          </w:p>
        </w:tc>
        <w:tc>
          <w:tcPr>
            <w:tcW w:w="0" w:type="auto"/>
            <w:tcBorders>
              <w:top w:val="single" w:sz="4" w:space="0" w:color="auto"/>
              <w:left w:val="nil"/>
              <w:bottom w:val="single" w:sz="4" w:space="0" w:color="auto"/>
              <w:right w:val="single" w:sz="4" w:space="0" w:color="auto"/>
            </w:tcBorders>
            <w:vAlign w:val="center"/>
          </w:tcPr>
          <w:p w14:paraId="04A88ECF" w14:textId="77777777" w:rsidR="00213A3F" w:rsidRPr="00213A3F" w:rsidRDefault="00213A3F" w:rsidP="00213A3F">
            <w:pPr>
              <w:pStyle w:val="ae"/>
              <w:rPr>
                <w:b w:val="0"/>
                <w:bCs/>
              </w:rPr>
            </w:pPr>
            <w:r w:rsidRPr="00213A3F">
              <w:rPr>
                <w:b w:val="0"/>
                <w:bCs/>
              </w:rPr>
              <w:t>22</w:t>
            </w:r>
          </w:p>
        </w:tc>
        <w:tc>
          <w:tcPr>
            <w:tcW w:w="0" w:type="auto"/>
            <w:tcBorders>
              <w:top w:val="single" w:sz="4" w:space="0" w:color="auto"/>
              <w:left w:val="nil"/>
              <w:bottom w:val="single" w:sz="4" w:space="0" w:color="auto"/>
              <w:right w:val="single" w:sz="4" w:space="0" w:color="auto"/>
            </w:tcBorders>
            <w:vAlign w:val="center"/>
          </w:tcPr>
          <w:p w14:paraId="517B54AB" w14:textId="77777777" w:rsidR="00213A3F" w:rsidRPr="00213A3F" w:rsidRDefault="00213A3F" w:rsidP="00213A3F">
            <w:pPr>
              <w:pStyle w:val="ae"/>
              <w:rPr>
                <w:b w:val="0"/>
                <w:bCs/>
              </w:rPr>
            </w:pPr>
            <w:r w:rsidRPr="00213A3F">
              <w:rPr>
                <w:b w:val="0"/>
                <w:bCs/>
              </w:rPr>
              <w:t>23</w:t>
            </w:r>
          </w:p>
        </w:tc>
        <w:tc>
          <w:tcPr>
            <w:tcW w:w="0" w:type="auto"/>
            <w:tcBorders>
              <w:top w:val="single" w:sz="4" w:space="0" w:color="auto"/>
              <w:left w:val="nil"/>
              <w:bottom w:val="single" w:sz="4" w:space="0" w:color="auto"/>
              <w:right w:val="single" w:sz="4" w:space="0" w:color="auto"/>
            </w:tcBorders>
            <w:vAlign w:val="center"/>
          </w:tcPr>
          <w:p w14:paraId="036C0A2D" w14:textId="77777777" w:rsidR="00213A3F" w:rsidRPr="00213A3F" w:rsidRDefault="00213A3F" w:rsidP="00213A3F">
            <w:pPr>
              <w:pStyle w:val="ae"/>
              <w:rPr>
                <w:b w:val="0"/>
                <w:bCs/>
              </w:rPr>
            </w:pPr>
            <w:r w:rsidRPr="00213A3F">
              <w:rPr>
                <w:b w:val="0"/>
                <w:bCs/>
              </w:rPr>
              <w:t>24</w:t>
            </w:r>
          </w:p>
        </w:tc>
        <w:tc>
          <w:tcPr>
            <w:tcW w:w="0" w:type="auto"/>
            <w:tcBorders>
              <w:top w:val="single" w:sz="4" w:space="0" w:color="auto"/>
              <w:left w:val="nil"/>
              <w:bottom w:val="single" w:sz="4" w:space="0" w:color="auto"/>
              <w:right w:val="single" w:sz="4" w:space="0" w:color="auto"/>
            </w:tcBorders>
            <w:vAlign w:val="center"/>
          </w:tcPr>
          <w:p w14:paraId="62CF22F5" w14:textId="77777777" w:rsidR="00213A3F" w:rsidRPr="00213A3F" w:rsidRDefault="00213A3F" w:rsidP="00213A3F">
            <w:pPr>
              <w:pStyle w:val="ae"/>
              <w:rPr>
                <w:b w:val="0"/>
                <w:bCs/>
              </w:rPr>
            </w:pPr>
            <w:r w:rsidRPr="00213A3F">
              <w:rPr>
                <w:b w:val="0"/>
                <w:bCs/>
              </w:rPr>
              <w:t>26</w:t>
            </w:r>
          </w:p>
        </w:tc>
        <w:tc>
          <w:tcPr>
            <w:tcW w:w="0" w:type="auto"/>
            <w:tcBorders>
              <w:top w:val="single" w:sz="4" w:space="0" w:color="auto"/>
              <w:left w:val="nil"/>
              <w:bottom w:val="single" w:sz="4" w:space="0" w:color="auto"/>
              <w:right w:val="single" w:sz="4" w:space="0" w:color="auto"/>
            </w:tcBorders>
            <w:vAlign w:val="center"/>
          </w:tcPr>
          <w:p w14:paraId="3F7CFD33" w14:textId="77777777" w:rsidR="00213A3F" w:rsidRPr="00213A3F" w:rsidRDefault="00213A3F" w:rsidP="00213A3F">
            <w:pPr>
              <w:pStyle w:val="ae"/>
              <w:rPr>
                <w:b w:val="0"/>
                <w:bCs/>
              </w:rPr>
            </w:pPr>
            <w:r w:rsidRPr="00213A3F">
              <w:rPr>
                <w:b w:val="0"/>
                <w:bCs/>
              </w:rPr>
              <w:t>28</w:t>
            </w:r>
          </w:p>
        </w:tc>
      </w:tr>
      <w:tr w:rsidR="00213A3F" w:rsidRPr="00213A3F" w14:paraId="4913FA16"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60D5BFAE" w14:textId="77777777" w:rsidR="00213A3F" w:rsidRPr="00213A3F" w:rsidRDefault="00213A3F" w:rsidP="00213A3F">
            <w:pPr>
              <w:pStyle w:val="ae"/>
              <w:rPr>
                <w:b w:val="0"/>
                <w:bCs/>
              </w:rPr>
            </w:pPr>
            <w:r w:rsidRPr="00213A3F">
              <w:rPr>
                <w:b w:val="0"/>
                <w:bCs/>
              </w:rPr>
              <w:t>30</w:t>
            </w:r>
          </w:p>
        </w:tc>
        <w:tc>
          <w:tcPr>
            <w:tcW w:w="0" w:type="auto"/>
            <w:tcBorders>
              <w:top w:val="nil"/>
              <w:left w:val="nil"/>
              <w:bottom w:val="single" w:sz="4" w:space="0" w:color="auto"/>
              <w:right w:val="single" w:sz="4" w:space="0" w:color="auto"/>
            </w:tcBorders>
            <w:vAlign w:val="center"/>
          </w:tcPr>
          <w:p w14:paraId="03275380" w14:textId="77777777" w:rsidR="00213A3F" w:rsidRPr="00213A3F" w:rsidRDefault="00213A3F" w:rsidP="00213A3F">
            <w:pPr>
              <w:pStyle w:val="ae"/>
              <w:rPr>
                <w:b w:val="0"/>
                <w:bCs/>
              </w:rPr>
            </w:pPr>
            <w:r w:rsidRPr="00213A3F">
              <w:rPr>
                <w:b w:val="0"/>
                <w:bCs/>
              </w:rPr>
              <w:t xml:space="preserve">0.37 </w:t>
            </w:r>
          </w:p>
        </w:tc>
        <w:tc>
          <w:tcPr>
            <w:tcW w:w="0" w:type="auto"/>
            <w:tcBorders>
              <w:top w:val="nil"/>
              <w:left w:val="nil"/>
              <w:bottom w:val="single" w:sz="4" w:space="0" w:color="auto"/>
              <w:right w:val="single" w:sz="4" w:space="0" w:color="auto"/>
            </w:tcBorders>
            <w:vAlign w:val="center"/>
          </w:tcPr>
          <w:p w14:paraId="16BB0E73" w14:textId="77777777" w:rsidR="00213A3F" w:rsidRPr="00213A3F" w:rsidRDefault="00213A3F" w:rsidP="00213A3F">
            <w:pPr>
              <w:pStyle w:val="ae"/>
              <w:rPr>
                <w:b w:val="0"/>
                <w:bCs/>
              </w:rPr>
            </w:pPr>
            <w:r w:rsidRPr="00213A3F">
              <w:rPr>
                <w:b w:val="0"/>
                <w:bCs/>
              </w:rPr>
              <w:t xml:space="preserve">0.46 </w:t>
            </w:r>
          </w:p>
        </w:tc>
        <w:tc>
          <w:tcPr>
            <w:tcW w:w="0" w:type="auto"/>
            <w:tcBorders>
              <w:top w:val="nil"/>
              <w:left w:val="nil"/>
              <w:bottom w:val="single" w:sz="4" w:space="0" w:color="auto"/>
              <w:right w:val="single" w:sz="4" w:space="0" w:color="auto"/>
            </w:tcBorders>
            <w:vAlign w:val="center"/>
          </w:tcPr>
          <w:p w14:paraId="2126070E" w14:textId="77777777" w:rsidR="00213A3F" w:rsidRPr="00213A3F" w:rsidRDefault="00213A3F" w:rsidP="00213A3F">
            <w:pPr>
              <w:pStyle w:val="ae"/>
              <w:rPr>
                <w:b w:val="0"/>
                <w:bCs/>
              </w:rPr>
            </w:pPr>
            <w:r w:rsidRPr="00213A3F">
              <w:rPr>
                <w:b w:val="0"/>
                <w:bCs/>
              </w:rPr>
              <w:t xml:space="preserve">0.58 </w:t>
            </w:r>
          </w:p>
        </w:tc>
        <w:tc>
          <w:tcPr>
            <w:tcW w:w="0" w:type="auto"/>
            <w:tcBorders>
              <w:top w:val="nil"/>
              <w:left w:val="nil"/>
              <w:bottom w:val="single" w:sz="4" w:space="0" w:color="auto"/>
              <w:right w:val="single" w:sz="4" w:space="0" w:color="auto"/>
            </w:tcBorders>
            <w:vAlign w:val="center"/>
          </w:tcPr>
          <w:p w14:paraId="4AE9742F" w14:textId="77777777" w:rsidR="00213A3F" w:rsidRPr="00213A3F" w:rsidRDefault="00213A3F" w:rsidP="00213A3F">
            <w:pPr>
              <w:pStyle w:val="ae"/>
              <w:rPr>
                <w:b w:val="0"/>
                <w:bCs/>
              </w:rPr>
            </w:pPr>
            <w:r w:rsidRPr="00213A3F">
              <w:rPr>
                <w:b w:val="0"/>
                <w:bCs/>
              </w:rPr>
              <w:t xml:space="preserve">0.65 </w:t>
            </w:r>
          </w:p>
        </w:tc>
        <w:tc>
          <w:tcPr>
            <w:tcW w:w="0" w:type="auto"/>
            <w:tcBorders>
              <w:top w:val="nil"/>
              <w:left w:val="nil"/>
              <w:bottom w:val="single" w:sz="4" w:space="0" w:color="auto"/>
              <w:right w:val="single" w:sz="4" w:space="0" w:color="auto"/>
            </w:tcBorders>
            <w:vAlign w:val="center"/>
          </w:tcPr>
          <w:p w14:paraId="791B0F94" w14:textId="77777777" w:rsidR="00213A3F" w:rsidRPr="00213A3F" w:rsidRDefault="00213A3F" w:rsidP="00213A3F">
            <w:pPr>
              <w:pStyle w:val="ae"/>
              <w:rPr>
                <w:b w:val="0"/>
                <w:bCs/>
              </w:rPr>
            </w:pPr>
            <w:r w:rsidRPr="00213A3F">
              <w:rPr>
                <w:b w:val="0"/>
                <w:bCs/>
              </w:rPr>
              <w:t xml:space="preserve">0.73 </w:t>
            </w:r>
          </w:p>
        </w:tc>
        <w:tc>
          <w:tcPr>
            <w:tcW w:w="0" w:type="auto"/>
            <w:tcBorders>
              <w:top w:val="nil"/>
              <w:left w:val="nil"/>
              <w:bottom w:val="single" w:sz="4" w:space="0" w:color="auto"/>
              <w:right w:val="single" w:sz="4" w:space="0" w:color="auto"/>
            </w:tcBorders>
            <w:vAlign w:val="center"/>
          </w:tcPr>
          <w:p w14:paraId="1E319F2C" w14:textId="77777777" w:rsidR="00213A3F" w:rsidRPr="00213A3F" w:rsidRDefault="00213A3F" w:rsidP="00213A3F">
            <w:pPr>
              <w:pStyle w:val="ae"/>
              <w:rPr>
                <w:b w:val="0"/>
                <w:bCs/>
              </w:rPr>
            </w:pPr>
            <w:r w:rsidRPr="00213A3F">
              <w:rPr>
                <w:b w:val="0"/>
                <w:bCs/>
              </w:rPr>
              <w:t xml:space="preserve">0.91 </w:t>
            </w:r>
          </w:p>
        </w:tc>
        <w:tc>
          <w:tcPr>
            <w:tcW w:w="0" w:type="auto"/>
            <w:tcBorders>
              <w:top w:val="nil"/>
              <w:left w:val="nil"/>
              <w:bottom w:val="single" w:sz="4" w:space="0" w:color="auto"/>
              <w:right w:val="single" w:sz="4" w:space="0" w:color="auto"/>
            </w:tcBorders>
            <w:vAlign w:val="center"/>
          </w:tcPr>
          <w:p w14:paraId="70B41EF1" w14:textId="77777777" w:rsidR="00213A3F" w:rsidRPr="00213A3F" w:rsidRDefault="00213A3F" w:rsidP="00213A3F">
            <w:pPr>
              <w:pStyle w:val="ae"/>
              <w:rPr>
                <w:b w:val="0"/>
                <w:bCs/>
              </w:rPr>
            </w:pPr>
            <w:r w:rsidRPr="00213A3F">
              <w:rPr>
                <w:b w:val="0"/>
                <w:bCs/>
              </w:rPr>
              <w:t xml:space="preserve">1.13 </w:t>
            </w:r>
          </w:p>
        </w:tc>
      </w:tr>
      <w:tr w:rsidR="00213A3F" w:rsidRPr="00213A3F" w14:paraId="1987C72A"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1E6E059F" w14:textId="77777777" w:rsidR="00213A3F" w:rsidRPr="00213A3F" w:rsidRDefault="00213A3F" w:rsidP="00213A3F">
            <w:pPr>
              <w:pStyle w:val="ae"/>
              <w:rPr>
                <w:b w:val="0"/>
                <w:bCs/>
              </w:rPr>
            </w:pPr>
            <w:r w:rsidRPr="00213A3F">
              <w:rPr>
                <w:b w:val="0"/>
                <w:bCs/>
              </w:rPr>
              <w:t>35</w:t>
            </w:r>
          </w:p>
        </w:tc>
        <w:tc>
          <w:tcPr>
            <w:tcW w:w="0" w:type="auto"/>
            <w:tcBorders>
              <w:top w:val="nil"/>
              <w:left w:val="nil"/>
              <w:bottom w:val="single" w:sz="4" w:space="0" w:color="auto"/>
              <w:right w:val="single" w:sz="4" w:space="0" w:color="auto"/>
            </w:tcBorders>
            <w:vAlign w:val="center"/>
          </w:tcPr>
          <w:p w14:paraId="7DDA6040" w14:textId="77777777" w:rsidR="00213A3F" w:rsidRPr="00213A3F" w:rsidRDefault="00213A3F" w:rsidP="00213A3F">
            <w:pPr>
              <w:pStyle w:val="ae"/>
              <w:rPr>
                <w:b w:val="0"/>
                <w:bCs/>
              </w:rPr>
            </w:pPr>
            <w:r w:rsidRPr="00213A3F">
              <w:rPr>
                <w:b w:val="0"/>
                <w:bCs/>
              </w:rPr>
              <w:t xml:space="preserve">0.42 </w:t>
            </w:r>
          </w:p>
        </w:tc>
        <w:tc>
          <w:tcPr>
            <w:tcW w:w="0" w:type="auto"/>
            <w:tcBorders>
              <w:top w:val="nil"/>
              <w:left w:val="nil"/>
              <w:bottom w:val="single" w:sz="4" w:space="0" w:color="auto"/>
              <w:right w:val="single" w:sz="4" w:space="0" w:color="auto"/>
            </w:tcBorders>
            <w:vAlign w:val="center"/>
          </w:tcPr>
          <w:p w14:paraId="3DAB7FFF" w14:textId="77777777" w:rsidR="00213A3F" w:rsidRPr="00213A3F" w:rsidRDefault="00213A3F" w:rsidP="00213A3F">
            <w:pPr>
              <w:pStyle w:val="ae"/>
              <w:rPr>
                <w:b w:val="0"/>
                <w:bCs/>
              </w:rPr>
            </w:pPr>
            <w:r w:rsidRPr="00213A3F">
              <w:rPr>
                <w:b w:val="0"/>
                <w:bCs/>
              </w:rPr>
              <w:t xml:space="preserve">0.53 </w:t>
            </w:r>
          </w:p>
        </w:tc>
        <w:tc>
          <w:tcPr>
            <w:tcW w:w="0" w:type="auto"/>
            <w:tcBorders>
              <w:top w:val="nil"/>
              <w:left w:val="nil"/>
              <w:bottom w:val="single" w:sz="4" w:space="0" w:color="auto"/>
              <w:right w:val="single" w:sz="4" w:space="0" w:color="auto"/>
            </w:tcBorders>
            <w:vAlign w:val="center"/>
          </w:tcPr>
          <w:p w14:paraId="775A2024" w14:textId="77777777" w:rsidR="00213A3F" w:rsidRPr="00213A3F" w:rsidRDefault="00213A3F" w:rsidP="00213A3F">
            <w:pPr>
              <w:pStyle w:val="ae"/>
              <w:rPr>
                <w:b w:val="0"/>
                <w:bCs/>
              </w:rPr>
            </w:pPr>
            <w:r w:rsidRPr="00213A3F">
              <w:rPr>
                <w:b w:val="0"/>
                <w:bCs/>
              </w:rPr>
              <w:t xml:space="preserve">0.66 </w:t>
            </w:r>
          </w:p>
        </w:tc>
        <w:tc>
          <w:tcPr>
            <w:tcW w:w="0" w:type="auto"/>
            <w:tcBorders>
              <w:top w:val="nil"/>
              <w:left w:val="nil"/>
              <w:bottom w:val="single" w:sz="4" w:space="0" w:color="auto"/>
              <w:right w:val="single" w:sz="4" w:space="0" w:color="auto"/>
            </w:tcBorders>
            <w:vAlign w:val="center"/>
          </w:tcPr>
          <w:p w14:paraId="5790025B" w14:textId="77777777" w:rsidR="00213A3F" w:rsidRPr="00213A3F" w:rsidRDefault="00213A3F" w:rsidP="00213A3F">
            <w:pPr>
              <w:pStyle w:val="ae"/>
              <w:rPr>
                <w:b w:val="0"/>
                <w:bCs/>
              </w:rPr>
            </w:pPr>
            <w:r w:rsidRPr="00213A3F">
              <w:rPr>
                <w:b w:val="0"/>
                <w:bCs/>
              </w:rPr>
              <w:t xml:space="preserve">0.74 </w:t>
            </w:r>
          </w:p>
        </w:tc>
        <w:tc>
          <w:tcPr>
            <w:tcW w:w="0" w:type="auto"/>
            <w:tcBorders>
              <w:top w:val="nil"/>
              <w:left w:val="nil"/>
              <w:bottom w:val="single" w:sz="4" w:space="0" w:color="auto"/>
              <w:right w:val="single" w:sz="4" w:space="0" w:color="auto"/>
            </w:tcBorders>
            <w:vAlign w:val="center"/>
          </w:tcPr>
          <w:p w14:paraId="4AB751DF" w14:textId="77777777" w:rsidR="00213A3F" w:rsidRPr="00213A3F" w:rsidRDefault="00213A3F" w:rsidP="00213A3F">
            <w:pPr>
              <w:pStyle w:val="ae"/>
              <w:rPr>
                <w:b w:val="0"/>
                <w:bCs/>
              </w:rPr>
            </w:pPr>
            <w:r w:rsidRPr="00213A3F">
              <w:rPr>
                <w:b w:val="0"/>
                <w:bCs/>
              </w:rPr>
              <w:t xml:space="preserve">0.82 </w:t>
            </w:r>
          </w:p>
        </w:tc>
        <w:tc>
          <w:tcPr>
            <w:tcW w:w="0" w:type="auto"/>
            <w:tcBorders>
              <w:top w:val="nil"/>
              <w:left w:val="nil"/>
              <w:bottom w:val="single" w:sz="4" w:space="0" w:color="auto"/>
              <w:right w:val="single" w:sz="4" w:space="0" w:color="auto"/>
            </w:tcBorders>
            <w:vAlign w:val="center"/>
          </w:tcPr>
          <w:p w14:paraId="75CCB8AB" w14:textId="77777777" w:rsidR="00213A3F" w:rsidRPr="00213A3F" w:rsidRDefault="00213A3F" w:rsidP="00213A3F">
            <w:pPr>
              <w:pStyle w:val="ae"/>
              <w:rPr>
                <w:b w:val="0"/>
                <w:bCs/>
              </w:rPr>
            </w:pPr>
            <w:r w:rsidRPr="00213A3F">
              <w:rPr>
                <w:b w:val="0"/>
                <w:bCs/>
              </w:rPr>
              <w:t xml:space="preserve">1.03 </w:t>
            </w:r>
          </w:p>
        </w:tc>
        <w:tc>
          <w:tcPr>
            <w:tcW w:w="0" w:type="auto"/>
            <w:tcBorders>
              <w:top w:val="nil"/>
              <w:left w:val="nil"/>
              <w:bottom w:val="single" w:sz="4" w:space="0" w:color="auto"/>
              <w:right w:val="single" w:sz="4" w:space="0" w:color="auto"/>
            </w:tcBorders>
            <w:vAlign w:val="center"/>
          </w:tcPr>
          <w:p w14:paraId="49D55E19" w14:textId="77777777" w:rsidR="00213A3F" w:rsidRPr="00213A3F" w:rsidRDefault="00213A3F" w:rsidP="00213A3F">
            <w:pPr>
              <w:pStyle w:val="ae"/>
              <w:rPr>
                <w:b w:val="0"/>
                <w:bCs/>
              </w:rPr>
            </w:pPr>
            <w:r w:rsidRPr="00213A3F">
              <w:rPr>
                <w:b w:val="0"/>
                <w:bCs/>
              </w:rPr>
              <w:t xml:space="preserve">1.28 </w:t>
            </w:r>
          </w:p>
        </w:tc>
      </w:tr>
      <w:tr w:rsidR="00213A3F" w:rsidRPr="00213A3F" w14:paraId="069EF41A"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08F0672F" w14:textId="77777777" w:rsidR="00213A3F" w:rsidRPr="00213A3F" w:rsidRDefault="00213A3F" w:rsidP="00213A3F">
            <w:pPr>
              <w:pStyle w:val="ae"/>
              <w:rPr>
                <w:b w:val="0"/>
                <w:bCs/>
              </w:rPr>
            </w:pPr>
            <w:r w:rsidRPr="00213A3F">
              <w:rPr>
                <w:b w:val="0"/>
                <w:bCs/>
              </w:rPr>
              <w:t>40</w:t>
            </w:r>
          </w:p>
        </w:tc>
        <w:tc>
          <w:tcPr>
            <w:tcW w:w="0" w:type="auto"/>
            <w:tcBorders>
              <w:top w:val="nil"/>
              <w:left w:val="nil"/>
              <w:bottom w:val="single" w:sz="4" w:space="0" w:color="auto"/>
              <w:right w:val="single" w:sz="4" w:space="0" w:color="auto"/>
            </w:tcBorders>
            <w:vAlign w:val="center"/>
          </w:tcPr>
          <w:p w14:paraId="09B33026" w14:textId="77777777" w:rsidR="00213A3F" w:rsidRPr="00213A3F" w:rsidRDefault="00213A3F" w:rsidP="00213A3F">
            <w:pPr>
              <w:pStyle w:val="ae"/>
              <w:rPr>
                <w:b w:val="0"/>
                <w:bCs/>
              </w:rPr>
            </w:pPr>
            <w:r w:rsidRPr="00213A3F">
              <w:rPr>
                <w:b w:val="0"/>
                <w:bCs/>
              </w:rPr>
              <w:t xml:space="preserve">0.47 </w:t>
            </w:r>
          </w:p>
        </w:tc>
        <w:tc>
          <w:tcPr>
            <w:tcW w:w="0" w:type="auto"/>
            <w:tcBorders>
              <w:top w:val="nil"/>
              <w:left w:val="nil"/>
              <w:bottom w:val="single" w:sz="4" w:space="0" w:color="auto"/>
              <w:right w:val="single" w:sz="4" w:space="0" w:color="auto"/>
            </w:tcBorders>
            <w:vAlign w:val="center"/>
          </w:tcPr>
          <w:p w14:paraId="3A4ACC84" w14:textId="77777777" w:rsidR="00213A3F" w:rsidRPr="00213A3F" w:rsidRDefault="00213A3F" w:rsidP="00213A3F">
            <w:pPr>
              <w:pStyle w:val="ae"/>
              <w:rPr>
                <w:b w:val="0"/>
                <w:bCs/>
              </w:rPr>
            </w:pPr>
            <w:r w:rsidRPr="00213A3F">
              <w:rPr>
                <w:b w:val="0"/>
                <w:bCs/>
              </w:rPr>
              <w:t xml:space="preserve">0.59 </w:t>
            </w:r>
          </w:p>
        </w:tc>
        <w:tc>
          <w:tcPr>
            <w:tcW w:w="0" w:type="auto"/>
            <w:tcBorders>
              <w:top w:val="nil"/>
              <w:left w:val="nil"/>
              <w:bottom w:val="single" w:sz="4" w:space="0" w:color="auto"/>
              <w:right w:val="single" w:sz="4" w:space="0" w:color="auto"/>
            </w:tcBorders>
            <w:vAlign w:val="center"/>
          </w:tcPr>
          <w:p w14:paraId="6294ABF5" w14:textId="77777777" w:rsidR="00213A3F" w:rsidRPr="00213A3F" w:rsidRDefault="00213A3F" w:rsidP="00213A3F">
            <w:pPr>
              <w:pStyle w:val="ae"/>
              <w:rPr>
                <w:b w:val="0"/>
                <w:bCs/>
              </w:rPr>
            </w:pPr>
            <w:r w:rsidRPr="00213A3F">
              <w:rPr>
                <w:b w:val="0"/>
                <w:bCs/>
              </w:rPr>
              <w:t xml:space="preserve">0.74 </w:t>
            </w:r>
          </w:p>
        </w:tc>
        <w:tc>
          <w:tcPr>
            <w:tcW w:w="0" w:type="auto"/>
            <w:tcBorders>
              <w:top w:val="nil"/>
              <w:left w:val="nil"/>
              <w:bottom w:val="single" w:sz="4" w:space="0" w:color="auto"/>
              <w:right w:val="single" w:sz="4" w:space="0" w:color="auto"/>
            </w:tcBorders>
            <w:vAlign w:val="center"/>
          </w:tcPr>
          <w:p w14:paraId="7C95C532" w14:textId="77777777" w:rsidR="00213A3F" w:rsidRPr="00213A3F" w:rsidRDefault="00213A3F" w:rsidP="00213A3F">
            <w:pPr>
              <w:pStyle w:val="ae"/>
              <w:rPr>
                <w:b w:val="0"/>
                <w:bCs/>
              </w:rPr>
            </w:pPr>
            <w:r w:rsidRPr="00213A3F">
              <w:rPr>
                <w:b w:val="0"/>
                <w:bCs/>
              </w:rPr>
              <w:t xml:space="preserve">0.83 </w:t>
            </w:r>
          </w:p>
        </w:tc>
        <w:tc>
          <w:tcPr>
            <w:tcW w:w="0" w:type="auto"/>
            <w:tcBorders>
              <w:top w:val="nil"/>
              <w:left w:val="nil"/>
              <w:bottom w:val="single" w:sz="4" w:space="0" w:color="auto"/>
              <w:right w:val="single" w:sz="4" w:space="0" w:color="auto"/>
            </w:tcBorders>
            <w:vAlign w:val="center"/>
          </w:tcPr>
          <w:p w14:paraId="18BAFE49" w14:textId="77777777" w:rsidR="00213A3F" w:rsidRPr="00213A3F" w:rsidRDefault="00213A3F" w:rsidP="00213A3F">
            <w:pPr>
              <w:pStyle w:val="ae"/>
              <w:rPr>
                <w:b w:val="0"/>
                <w:bCs/>
              </w:rPr>
            </w:pPr>
            <w:r w:rsidRPr="00213A3F">
              <w:rPr>
                <w:b w:val="0"/>
                <w:bCs/>
              </w:rPr>
              <w:t xml:space="preserve">0.92 </w:t>
            </w:r>
          </w:p>
        </w:tc>
        <w:tc>
          <w:tcPr>
            <w:tcW w:w="0" w:type="auto"/>
            <w:tcBorders>
              <w:top w:val="nil"/>
              <w:left w:val="nil"/>
              <w:bottom w:val="single" w:sz="4" w:space="0" w:color="auto"/>
              <w:right w:val="single" w:sz="4" w:space="0" w:color="auto"/>
            </w:tcBorders>
            <w:vAlign w:val="center"/>
          </w:tcPr>
          <w:p w14:paraId="58B9F861" w14:textId="77777777" w:rsidR="00213A3F" w:rsidRPr="00213A3F" w:rsidRDefault="00213A3F" w:rsidP="00213A3F">
            <w:pPr>
              <w:pStyle w:val="ae"/>
              <w:rPr>
                <w:b w:val="0"/>
                <w:bCs/>
              </w:rPr>
            </w:pPr>
            <w:r w:rsidRPr="00213A3F">
              <w:rPr>
                <w:b w:val="0"/>
                <w:bCs/>
              </w:rPr>
              <w:t xml:space="preserve">1.15 </w:t>
            </w:r>
          </w:p>
        </w:tc>
        <w:tc>
          <w:tcPr>
            <w:tcW w:w="0" w:type="auto"/>
            <w:tcBorders>
              <w:top w:val="nil"/>
              <w:left w:val="nil"/>
              <w:bottom w:val="single" w:sz="4" w:space="0" w:color="auto"/>
              <w:right w:val="single" w:sz="4" w:space="0" w:color="auto"/>
            </w:tcBorders>
            <w:vAlign w:val="center"/>
          </w:tcPr>
          <w:p w14:paraId="717A947A" w14:textId="77777777" w:rsidR="00213A3F" w:rsidRPr="00213A3F" w:rsidRDefault="00213A3F" w:rsidP="00213A3F">
            <w:pPr>
              <w:pStyle w:val="ae"/>
              <w:rPr>
                <w:b w:val="0"/>
                <w:bCs/>
              </w:rPr>
            </w:pPr>
            <w:r w:rsidRPr="00213A3F">
              <w:rPr>
                <w:b w:val="0"/>
                <w:bCs/>
              </w:rPr>
              <w:t xml:space="preserve">1.43 </w:t>
            </w:r>
          </w:p>
        </w:tc>
      </w:tr>
      <w:tr w:rsidR="00213A3F" w:rsidRPr="00213A3F" w14:paraId="5AEE683B"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1B072C97" w14:textId="77777777" w:rsidR="00213A3F" w:rsidRPr="00213A3F" w:rsidRDefault="00213A3F" w:rsidP="00213A3F">
            <w:pPr>
              <w:pStyle w:val="ae"/>
              <w:rPr>
                <w:b w:val="0"/>
                <w:bCs/>
              </w:rPr>
            </w:pPr>
            <w:r w:rsidRPr="00213A3F">
              <w:rPr>
                <w:b w:val="0"/>
                <w:bCs/>
              </w:rPr>
              <w:t>45</w:t>
            </w:r>
          </w:p>
        </w:tc>
        <w:tc>
          <w:tcPr>
            <w:tcW w:w="0" w:type="auto"/>
            <w:tcBorders>
              <w:top w:val="nil"/>
              <w:left w:val="nil"/>
              <w:bottom w:val="single" w:sz="4" w:space="0" w:color="auto"/>
              <w:right w:val="single" w:sz="4" w:space="0" w:color="auto"/>
            </w:tcBorders>
            <w:vAlign w:val="center"/>
          </w:tcPr>
          <w:p w14:paraId="7D465799" w14:textId="77777777" w:rsidR="00213A3F" w:rsidRPr="00213A3F" w:rsidRDefault="00213A3F" w:rsidP="00213A3F">
            <w:pPr>
              <w:pStyle w:val="ae"/>
              <w:rPr>
                <w:b w:val="0"/>
                <w:bCs/>
              </w:rPr>
            </w:pPr>
            <w:r w:rsidRPr="00213A3F">
              <w:rPr>
                <w:b w:val="0"/>
                <w:bCs/>
              </w:rPr>
              <w:t xml:space="preserve">0.52 </w:t>
            </w:r>
          </w:p>
        </w:tc>
        <w:tc>
          <w:tcPr>
            <w:tcW w:w="0" w:type="auto"/>
            <w:tcBorders>
              <w:top w:val="nil"/>
              <w:left w:val="nil"/>
              <w:bottom w:val="single" w:sz="4" w:space="0" w:color="auto"/>
              <w:right w:val="single" w:sz="4" w:space="0" w:color="auto"/>
            </w:tcBorders>
            <w:vAlign w:val="center"/>
          </w:tcPr>
          <w:p w14:paraId="0E9B7202" w14:textId="77777777" w:rsidR="00213A3F" w:rsidRPr="00213A3F" w:rsidRDefault="00213A3F" w:rsidP="00213A3F">
            <w:pPr>
              <w:pStyle w:val="ae"/>
              <w:rPr>
                <w:b w:val="0"/>
                <w:bCs/>
              </w:rPr>
            </w:pPr>
            <w:r w:rsidRPr="00213A3F">
              <w:rPr>
                <w:b w:val="0"/>
                <w:bCs/>
              </w:rPr>
              <w:t xml:space="preserve">0.65 </w:t>
            </w:r>
          </w:p>
        </w:tc>
        <w:tc>
          <w:tcPr>
            <w:tcW w:w="0" w:type="auto"/>
            <w:tcBorders>
              <w:top w:val="nil"/>
              <w:left w:val="nil"/>
              <w:bottom w:val="single" w:sz="4" w:space="0" w:color="auto"/>
              <w:right w:val="single" w:sz="4" w:space="0" w:color="auto"/>
            </w:tcBorders>
            <w:vAlign w:val="center"/>
          </w:tcPr>
          <w:p w14:paraId="7C718014" w14:textId="77777777" w:rsidR="00213A3F" w:rsidRPr="00213A3F" w:rsidRDefault="00213A3F" w:rsidP="00213A3F">
            <w:pPr>
              <w:pStyle w:val="ae"/>
              <w:rPr>
                <w:b w:val="0"/>
                <w:bCs/>
              </w:rPr>
            </w:pPr>
            <w:r w:rsidRPr="00213A3F">
              <w:rPr>
                <w:b w:val="0"/>
                <w:bCs/>
              </w:rPr>
              <w:t xml:space="preserve">0.82 </w:t>
            </w:r>
          </w:p>
        </w:tc>
        <w:tc>
          <w:tcPr>
            <w:tcW w:w="0" w:type="auto"/>
            <w:tcBorders>
              <w:top w:val="nil"/>
              <w:left w:val="nil"/>
              <w:bottom w:val="single" w:sz="4" w:space="0" w:color="auto"/>
              <w:right w:val="single" w:sz="4" w:space="0" w:color="auto"/>
            </w:tcBorders>
            <w:vAlign w:val="center"/>
          </w:tcPr>
          <w:p w14:paraId="294B78CD" w14:textId="77777777" w:rsidR="00213A3F" w:rsidRPr="00213A3F" w:rsidRDefault="00213A3F" w:rsidP="00213A3F">
            <w:pPr>
              <w:pStyle w:val="ae"/>
              <w:rPr>
                <w:b w:val="0"/>
                <w:bCs/>
              </w:rPr>
            </w:pPr>
            <w:r w:rsidRPr="00213A3F">
              <w:rPr>
                <w:b w:val="0"/>
                <w:bCs/>
              </w:rPr>
              <w:t xml:space="preserve">0.91 </w:t>
            </w:r>
          </w:p>
        </w:tc>
        <w:tc>
          <w:tcPr>
            <w:tcW w:w="0" w:type="auto"/>
            <w:tcBorders>
              <w:top w:val="nil"/>
              <w:left w:val="nil"/>
              <w:bottom w:val="single" w:sz="4" w:space="0" w:color="auto"/>
              <w:right w:val="single" w:sz="4" w:space="0" w:color="auto"/>
            </w:tcBorders>
            <w:vAlign w:val="center"/>
          </w:tcPr>
          <w:p w14:paraId="4F661BED" w14:textId="77777777" w:rsidR="00213A3F" w:rsidRPr="00213A3F" w:rsidRDefault="00213A3F" w:rsidP="00213A3F">
            <w:pPr>
              <w:pStyle w:val="ae"/>
              <w:rPr>
                <w:b w:val="0"/>
                <w:bCs/>
              </w:rPr>
            </w:pPr>
            <w:r w:rsidRPr="00213A3F">
              <w:rPr>
                <w:b w:val="0"/>
                <w:bCs/>
              </w:rPr>
              <w:t xml:space="preserve">1.02 </w:t>
            </w:r>
          </w:p>
        </w:tc>
        <w:tc>
          <w:tcPr>
            <w:tcW w:w="0" w:type="auto"/>
            <w:tcBorders>
              <w:top w:val="nil"/>
              <w:left w:val="nil"/>
              <w:bottom w:val="single" w:sz="4" w:space="0" w:color="auto"/>
              <w:right w:val="single" w:sz="4" w:space="0" w:color="auto"/>
            </w:tcBorders>
            <w:vAlign w:val="center"/>
          </w:tcPr>
          <w:p w14:paraId="1B4A2991" w14:textId="77777777" w:rsidR="00213A3F" w:rsidRPr="00213A3F" w:rsidRDefault="00213A3F" w:rsidP="00213A3F">
            <w:pPr>
              <w:pStyle w:val="ae"/>
              <w:rPr>
                <w:b w:val="0"/>
                <w:bCs/>
              </w:rPr>
            </w:pPr>
            <w:r w:rsidRPr="00213A3F">
              <w:rPr>
                <w:b w:val="0"/>
                <w:bCs/>
              </w:rPr>
              <w:t xml:space="preserve">1.27 </w:t>
            </w:r>
          </w:p>
        </w:tc>
        <w:tc>
          <w:tcPr>
            <w:tcW w:w="0" w:type="auto"/>
            <w:tcBorders>
              <w:top w:val="nil"/>
              <w:left w:val="nil"/>
              <w:bottom w:val="single" w:sz="4" w:space="0" w:color="auto"/>
              <w:right w:val="single" w:sz="4" w:space="0" w:color="auto"/>
            </w:tcBorders>
            <w:vAlign w:val="center"/>
          </w:tcPr>
          <w:p w14:paraId="07296AAF" w14:textId="77777777" w:rsidR="00213A3F" w:rsidRPr="00213A3F" w:rsidRDefault="00213A3F" w:rsidP="00213A3F">
            <w:pPr>
              <w:pStyle w:val="ae"/>
              <w:rPr>
                <w:b w:val="0"/>
                <w:bCs/>
              </w:rPr>
            </w:pPr>
            <w:r w:rsidRPr="00213A3F">
              <w:rPr>
                <w:b w:val="0"/>
                <w:bCs/>
              </w:rPr>
              <w:t xml:space="preserve">1.58 </w:t>
            </w:r>
          </w:p>
        </w:tc>
      </w:tr>
      <w:tr w:rsidR="00213A3F" w:rsidRPr="00213A3F" w14:paraId="5BA796C2"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0721832B" w14:textId="77777777" w:rsidR="00213A3F" w:rsidRPr="00213A3F" w:rsidRDefault="00213A3F" w:rsidP="00213A3F">
            <w:pPr>
              <w:pStyle w:val="ae"/>
              <w:rPr>
                <w:b w:val="0"/>
                <w:bCs/>
              </w:rPr>
            </w:pPr>
            <w:r w:rsidRPr="00213A3F">
              <w:rPr>
                <w:b w:val="0"/>
                <w:bCs/>
              </w:rPr>
              <w:t>50</w:t>
            </w:r>
          </w:p>
        </w:tc>
        <w:tc>
          <w:tcPr>
            <w:tcW w:w="0" w:type="auto"/>
            <w:tcBorders>
              <w:top w:val="nil"/>
              <w:left w:val="nil"/>
              <w:bottom w:val="single" w:sz="4" w:space="0" w:color="auto"/>
              <w:right w:val="single" w:sz="4" w:space="0" w:color="auto"/>
            </w:tcBorders>
            <w:vAlign w:val="center"/>
          </w:tcPr>
          <w:p w14:paraId="2BB1B308" w14:textId="77777777" w:rsidR="00213A3F" w:rsidRPr="00213A3F" w:rsidRDefault="00213A3F" w:rsidP="00213A3F">
            <w:pPr>
              <w:pStyle w:val="ae"/>
              <w:rPr>
                <w:b w:val="0"/>
                <w:bCs/>
              </w:rPr>
            </w:pPr>
            <w:r w:rsidRPr="00213A3F">
              <w:rPr>
                <w:b w:val="0"/>
                <w:bCs/>
              </w:rPr>
              <w:t xml:space="preserve">0.57 </w:t>
            </w:r>
          </w:p>
        </w:tc>
        <w:tc>
          <w:tcPr>
            <w:tcW w:w="0" w:type="auto"/>
            <w:tcBorders>
              <w:top w:val="nil"/>
              <w:left w:val="nil"/>
              <w:bottom w:val="single" w:sz="4" w:space="0" w:color="auto"/>
              <w:right w:val="single" w:sz="4" w:space="0" w:color="auto"/>
            </w:tcBorders>
            <w:vAlign w:val="center"/>
          </w:tcPr>
          <w:p w14:paraId="5B2E0C67" w14:textId="77777777" w:rsidR="00213A3F" w:rsidRPr="00213A3F" w:rsidRDefault="00213A3F" w:rsidP="00213A3F">
            <w:pPr>
              <w:pStyle w:val="ae"/>
              <w:rPr>
                <w:b w:val="0"/>
                <w:bCs/>
              </w:rPr>
            </w:pPr>
            <w:r w:rsidRPr="00213A3F">
              <w:rPr>
                <w:b w:val="0"/>
                <w:bCs/>
              </w:rPr>
              <w:t xml:space="preserve">0.71 </w:t>
            </w:r>
          </w:p>
        </w:tc>
        <w:tc>
          <w:tcPr>
            <w:tcW w:w="0" w:type="auto"/>
            <w:tcBorders>
              <w:top w:val="nil"/>
              <w:left w:val="nil"/>
              <w:bottom w:val="single" w:sz="4" w:space="0" w:color="auto"/>
              <w:right w:val="single" w:sz="4" w:space="0" w:color="auto"/>
            </w:tcBorders>
            <w:vAlign w:val="center"/>
          </w:tcPr>
          <w:p w14:paraId="109EA4BC" w14:textId="77777777" w:rsidR="00213A3F" w:rsidRPr="00213A3F" w:rsidRDefault="00213A3F" w:rsidP="00213A3F">
            <w:pPr>
              <w:pStyle w:val="ae"/>
              <w:rPr>
                <w:b w:val="0"/>
                <w:bCs/>
              </w:rPr>
            </w:pPr>
            <w:r w:rsidRPr="00213A3F">
              <w:rPr>
                <w:b w:val="0"/>
                <w:bCs/>
              </w:rPr>
              <w:t xml:space="preserve">0.89 </w:t>
            </w:r>
          </w:p>
        </w:tc>
        <w:tc>
          <w:tcPr>
            <w:tcW w:w="0" w:type="auto"/>
            <w:tcBorders>
              <w:top w:val="nil"/>
              <w:left w:val="nil"/>
              <w:bottom w:val="single" w:sz="4" w:space="0" w:color="auto"/>
              <w:right w:val="single" w:sz="4" w:space="0" w:color="auto"/>
            </w:tcBorders>
            <w:vAlign w:val="center"/>
          </w:tcPr>
          <w:p w14:paraId="3122878E" w14:textId="77777777" w:rsidR="00213A3F" w:rsidRPr="00213A3F" w:rsidRDefault="00213A3F" w:rsidP="00213A3F">
            <w:pPr>
              <w:pStyle w:val="ae"/>
              <w:rPr>
                <w:b w:val="0"/>
                <w:bCs/>
              </w:rPr>
            </w:pPr>
            <w:r w:rsidRPr="00213A3F">
              <w:rPr>
                <w:b w:val="0"/>
                <w:bCs/>
              </w:rPr>
              <w:t xml:space="preserve">1.00 </w:t>
            </w:r>
          </w:p>
        </w:tc>
        <w:tc>
          <w:tcPr>
            <w:tcW w:w="0" w:type="auto"/>
            <w:tcBorders>
              <w:top w:val="nil"/>
              <w:left w:val="nil"/>
              <w:bottom w:val="single" w:sz="4" w:space="0" w:color="auto"/>
              <w:right w:val="single" w:sz="4" w:space="0" w:color="auto"/>
            </w:tcBorders>
            <w:vAlign w:val="center"/>
          </w:tcPr>
          <w:p w14:paraId="14B72276" w14:textId="77777777" w:rsidR="00213A3F" w:rsidRPr="00213A3F" w:rsidRDefault="00213A3F" w:rsidP="00213A3F">
            <w:pPr>
              <w:pStyle w:val="ae"/>
              <w:rPr>
                <w:b w:val="0"/>
                <w:bCs/>
              </w:rPr>
            </w:pPr>
            <w:r w:rsidRPr="00213A3F">
              <w:rPr>
                <w:b w:val="0"/>
                <w:bCs/>
              </w:rPr>
              <w:t xml:space="preserve">1.12 </w:t>
            </w:r>
          </w:p>
        </w:tc>
        <w:tc>
          <w:tcPr>
            <w:tcW w:w="0" w:type="auto"/>
            <w:tcBorders>
              <w:top w:val="nil"/>
              <w:left w:val="nil"/>
              <w:bottom w:val="single" w:sz="4" w:space="0" w:color="auto"/>
              <w:right w:val="single" w:sz="4" w:space="0" w:color="auto"/>
            </w:tcBorders>
            <w:vAlign w:val="center"/>
          </w:tcPr>
          <w:p w14:paraId="50B1D478" w14:textId="77777777" w:rsidR="00213A3F" w:rsidRPr="00213A3F" w:rsidRDefault="00213A3F" w:rsidP="00213A3F">
            <w:pPr>
              <w:pStyle w:val="ae"/>
              <w:rPr>
                <w:b w:val="0"/>
                <w:bCs/>
              </w:rPr>
            </w:pPr>
            <w:r w:rsidRPr="00213A3F">
              <w:rPr>
                <w:b w:val="0"/>
                <w:bCs/>
              </w:rPr>
              <w:t xml:space="preserve">1.39 </w:t>
            </w:r>
          </w:p>
        </w:tc>
        <w:tc>
          <w:tcPr>
            <w:tcW w:w="0" w:type="auto"/>
            <w:tcBorders>
              <w:top w:val="nil"/>
              <w:left w:val="nil"/>
              <w:bottom w:val="single" w:sz="4" w:space="0" w:color="auto"/>
              <w:right w:val="single" w:sz="4" w:space="0" w:color="auto"/>
            </w:tcBorders>
            <w:vAlign w:val="center"/>
          </w:tcPr>
          <w:p w14:paraId="5130E3FF" w14:textId="77777777" w:rsidR="00213A3F" w:rsidRPr="00213A3F" w:rsidRDefault="00213A3F" w:rsidP="00213A3F">
            <w:pPr>
              <w:pStyle w:val="ae"/>
              <w:rPr>
                <w:b w:val="0"/>
                <w:bCs/>
              </w:rPr>
            </w:pPr>
            <w:r w:rsidRPr="00213A3F">
              <w:rPr>
                <w:b w:val="0"/>
                <w:bCs/>
              </w:rPr>
              <w:t xml:space="preserve">1.73 </w:t>
            </w:r>
          </w:p>
        </w:tc>
      </w:tr>
      <w:tr w:rsidR="00213A3F" w:rsidRPr="00213A3F" w14:paraId="008A25FF"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474F8A9C" w14:textId="77777777" w:rsidR="00213A3F" w:rsidRPr="00213A3F" w:rsidRDefault="00213A3F" w:rsidP="00213A3F">
            <w:pPr>
              <w:pStyle w:val="ae"/>
              <w:rPr>
                <w:b w:val="0"/>
                <w:bCs/>
              </w:rPr>
            </w:pPr>
            <w:r w:rsidRPr="00213A3F">
              <w:rPr>
                <w:b w:val="0"/>
                <w:bCs/>
              </w:rPr>
              <w:t>55</w:t>
            </w:r>
          </w:p>
        </w:tc>
        <w:tc>
          <w:tcPr>
            <w:tcW w:w="0" w:type="auto"/>
            <w:tcBorders>
              <w:top w:val="nil"/>
              <w:left w:val="nil"/>
              <w:bottom w:val="single" w:sz="4" w:space="0" w:color="auto"/>
              <w:right w:val="single" w:sz="4" w:space="0" w:color="auto"/>
            </w:tcBorders>
            <w:vAlign w:val="center"/>
          </w:tcPr>
          <w:p w14:paraId="51855F5C" w14:textId="77777777" w:rsidR="00213A3F" w:rsidRPr="00213A3F" w:rsidRDefault="00213A3F" w:rsidP="00213A3F">
            <w:pPr>
              <w:pStyle w:val="ae"/>
              <w:rPr>
                <w:b w:val="0"/>
                <w:bCs/>
              </w:rPr>
            </w:pPr>
            <w:r w:rsidRPr="00213A3F">
              <w:rPr>
                <w:b w:val="0"/>
                <w:bCs/>
              </w:rPr>
              <w:t xml:space="preserve">0.62 </w:t>
            </w:r>
          </w:p>
        </w:tc>
        <w:tc>
          <w:tcPr>
            <w:tcW w:w="0" w:type="auto"/>
            <w:tcBorders>
              <w:top w:val="nil"/>
              <w:left w:val="nil"/>
              <w:bottom w:val="single" w:sz="4" w:space="0" w:color="auto"/>
              <w:right w:val="single" w:sz="4" w:space="0" w:color="auto"/>
            </w:tcBorders>
            <w:vAlign w:val="center"/>
          </w:tcPr>
          <w:p w14:paraId="04A81A5A" w14:textId="77777777" w:rsidR="00213A3F" w:rsidRPr="00213A3F" w:rsidRDefault="00213A3F" w:rsidP="00213A3F">
            <w:pPr>
              <w:pStyle w:val="ae"/>
              <w:rPr>
                <w:b w:val="0"/>
                <w:bCs/>
              </w:rPr>
            </w:pPr>
            <w:r w:rsidRPr="00213A3F">
              <w:rPr>
                <w:b w:val="0"/>
                <w:bCs/>
              </w:rPr>
              <w:t xml:space="preserve">0.78 </w:t>
            </w:r>
          </w:p>
        </w:tc>
        <w:tc>
          <w:tcPr>
            <w:tcW w:w="0" w:type="auto"/>
            <w:tcBorders>
              <w:top w:val="nil"/>
              <w:left w:val="nil"/>
              <w:bottom w:val="single" w:sz="4" w:space="0" w:color="auto"/>
              <w:right w:val="single" w:sz="4" w:space="0" w:color="auto"/>
            </w:tcBorders>
            <w:vAlign w:val="center"/>
          </w:tcPr>
          <w:p w14:paraId="40079E93" w14:textId="77777777" w:rsidR="00213A3F" w:rsidRPr="00213A3F" w:rsidRDefault="00213A3F" w:rsidP="00213A3F">
            <w:pPr>
              <w:pStyle w:val="ae"/>
              <w:rPr>
                <w:b w:val="0"/>
                <w:bCs/>
              </w:rPr>
            </w:pPr>
            <w:r w:rsidRPr="00213A3F">
              <w:rPr>
                <w:b w:val="0"/>
                <w:bCs/>
              </w:rPr>
              <w:t xml:space="preserve">0.97 </w:t>
            </w:r>
          </w:p>
        </w:tc>
        <w:tc>
          <w:tcPr>
            <w:tcW w:w="0" w:type="auto"/>
            <w:tcBorders>
              <w:top w:val="nil"/>
              <w:left w:val="nil"/>
              <w:bottom w:val="single" w:sz="4" w:space="0" w:color="auto"/>
              <w:right w:val="single" w:sz="4" w:space="0" w:color="auto"/>
            </w:tcBorders>
            <w:vAlign w:val="center"/>
          </w:tcPr>
          <w:p w14:paraId="7F5B49DC" w14:textId="77777777" w:rsidR="00213A3F" w:rsidRPr="00213A3F" w:rsidRDefault="00213A3F" w:rsidP="00213A3F">
            <w:pPr>
              <w:pStyle w:val="ae"/>
              <w:rPr>
                <w:b w:val="0"/>
                <w:bCs/>
              </w:rPr>
            </w:pPr>
            <w:r w:rsidRPr="00213A3F">
              <w:rPr>
                <w:b w:val="0"/>
                <w:bCs/>
              </w:rPr>
              <w:t xml:space="preserve">1.09 </w:t>
            </w:r>
          </w:p>
        </w:tc>
        <w:tc>
          <w:tcPr>
            <w:tcW w:w="0" w:type="auto"/>
            <w:tcBorders>
              <w:top w:val="nil"/>
              <w:left w:val="nil"/>
              <w:bottom w:val="single" w:sz="4" w:space="0" w:color="auto"/>
              <w:right w:val="single" w:sz="4" w:space="0" w:color="auto"/>
            </w:tcBorders>
            <w:vAlign w:val="center"/>
          </w:tcPr>
          <w:p w14:paraId="6C2D82AB" w14:textId="77777777" w:rsidR="00213A3F" w:rsidRPr="00213A3F" w:rsidRDefault="00213A3F" w:rsidP="00213A3F">
            <w:pPr>
              <w:pStyle w:val="ae"/>
              <w:rPr>
                <w:b w:val="0"/>
                <w:bCs/>
              </w:rPr>
            </w:pPr>
            <w:r w:rsidRPr="00213A3F">
              <w:rPr>
                <w:b w:val="0"/>
                <w:bCs/>
              </w:rPr>
              <w:t xml:space="preserve">1.22 </w:t>
            </w:r>
          </w:p>
        </w:tc>
        <w:tc>
          <w:tcPr>
            <w:tcW w:w="0" w:type="auto"/>
            <w:tcBorders>
              <w:top w:val="nil"/>
              <w:left w:val="nil"/>
              <w:bottom w:val="single" w:sz="4" w:space="0" w:color="auto"/>
              <w:right w:val="single" w:sz="4" w:space="0" w:color="auto"/>
            </w:tcBorders>
            <w:vAlign w:val="center"/>
          </w:tcPr>
          <w:p w14:paraId="28FABCCE" w14:textId="77777777" w:rsidR="00213A3F" w:rsidRPr="00213A3F" w:rsidRDefault="00213A3F" w:rsidP="00213A3F">
            <w:pPr>
              <w:pStyle w:val="ae"/>
              <w:rPr>
                <w:b w:val="0"/>
                <w:bCs/>
              </w:rPr>
            </w:pPr>
            <w:r w:rsidRPr="00213A3F">
              <w:rPr>
                <w:b w:val="0"/>
                <w:bCs/>
              </w:rPr>
              <w:t xml:space="preserve">1.52 </w:t>
            </w:r>
          </w:p>
        </w:tc>
        <w:tc>
          <w:tcPr>
            <w:tcW w:w="0" w:type="auto"/>
            <w:tcBorders>
              <w:top w:val="nil"/>
              <w:left w:val="nil"/>
              <w:bottom w:val="single" w:sz="4" w:space="0" w:color="auto"/>
              <w:right w:val="single" w:sz="4" w:space="0" w:color="auto"/>
            </w:tcBorders>
            <w:vAlign w:val="center"/>
          </w:tcPr>
          <w:p w14:paraId="3629E6DB" w14:textId="77777777" w:rsidR="00213A3F" w:rsidRPr="00213A3F" w:rsidRDefault="00213A3F" w:rsidP="00213A3F">
            <w:pPr>
              <w:pStyle w:val="ae"/>
              <w:rPr>
                <w:b w:val="0"/>
                <w:bCs/>
              </w:rPr>
            </w:pPr>
            <w:r w:rsidRPr="00213A3F">
              <w:rPr>
                <w:b w:val="0"/>
                <w:bCs/>
              </w:rPr>
              <w:t xml:space="preserve">1.88 </w:t>
            </w:r>
          </w:p>
        </w:tc>
      </w:tr>
      <w:tr w:rsidR="00213A3F" w:rsidRPr="00213A3F" w14:paraId="73E04DDE"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4EE05139" w14:textId="77777777" w:rsidR="00213A3F" w:rsidRPr="00213A3F" w:rsidRDefault="00213A3F" w:rsidP="00213A3F">
            <w:pPr>
              <w:pStyle w:val="ae"/>
              <w:rPr>
                <w:b w:val="0"/>
                <w:bCs/>
              </w:rPr>
            </w:pPr>
            <w:r w:rsidRPr="00213A3F">
              <w:rPr>
                <w:b w:val="0"/>
                <w:bCs/>
              </w:rPr>
              <w:t>60</w:t>
            </w:r>
          </w:p>
        </w:tc>
        <w:tc>
          <w:tcPr>
            <w:tcW w:w="0" w:type="auto"/>
            <w:tcBorders>
              <w:top w:val="nil"/>
              <w:left w:val="nil"/>
              <w:bottom w:val="single" w:sz="4" w:space="0" w:color="auto"/>
              <w:right w:val="single" w:sz="4" w:space="0" w:color="auto"/>
            </w:tcBorders>
            <w:vAlign w:val="center"/>
          </w:tcPr>
          <w:p w14:paraId="0E98CA48" w14:textId="77777777" w:rsidR="00213A3F" w:rsidRPr="00213A3F" w:rsidRDefault="00213A3F" w:rsidP="00213A3F">
            <w:pPr>
              <w:pStyle w:val="ae"/>
              <w:rPr>
                <w:b w:val="0"/>
                <w:bCs/>
              </w:rPr>
            </w:pPr>
            <w:r w:rsidRPr="00213A3F">
              <w:rPr>
                <w:b w:val="0"/>
                <w:bCs/>
              </w:rPr>
              <w:t xml:space="preserve">0.67 </w:t>
            </w:r>
          </w:p>
        </w:tc>
        <w:tc>
          <w:tcPr>
            <w:tcW w:w="0" w:type="auto"/>
            <w:tcBorders>
              <w:top w:val="nil"/>
              <w:left w:val="nil"/>
              <w:bottom w:val="single" w:sz="4" w:space="0" w:color="auto"/>
              <w:right w:val="single" w:sz="4" w:space="0" w:color="auto"/>
            </w:tcBorders>
            <w:vAlign w:val="center"/>
          </w:tcPr>
          <w:p w14:paraId="1694F18B" w14:textId="77777777" w:rsidR="00213A3F" w:rsidRPr="00213A3F" w:rsidRDefault="00213A3F" w:rsidP="00213A3F">
            <w:pPr>
              <w:pStyle w:val="ae"/>
              <w:rPr>
                <w:b w:val="0"/>
                <w:bCs/>
              </w:rPr>
            </w:pPr>
            <w:r w:rsidRPr="00213A3F">
              <w:rPr>
                <w:b w:val="0"/>
                <w:bCs/>
              </w:rPr>
              <w:t xml:space="preserve">0.84 </w:t>
            </w:r>
          </w:p>
        </w:tc>
        <w:tc>
          <w:tcPr>
            <w:tcW w:w="0" w:type="auto"/>
            <w:tcBorders>
              <w:top w:val="nil"/>
              <w:left w:val="nil"/>
              <w:bottom w:val="single" w:sz="4" w:space="0" w:color="auto"/>
              <w:right w:val="single" w:sz="4" w:space="0" w:color="auto"/>
            </w:tcBorders>
            <w:vAlign w:val="center"/>
          </w:tcPr>
          <w:p w14:paraId="6B031C9D" w14:textId="77777777" w:rsidR="00213A3F" w:rsidRPr="00213A3F" w:rsidRDefault="00213A3F" w:rsidP="00213A3F">
            <w:pPr>
              <w:pStyle w:val="ae"/>
              <w:rPr>
                <w:b w:val="0"/>
                <w:bCs/>
              </w:rPr>
            </w:pPr>
            <w:r w:rsidRPr="00213A3F">
              <w:rPr>
                <w:b w:val="0"/>
                <w:bCs/>
              </w:rPr>
              <w:t xml:space="preserve">1.05 </w:t>
            </w:r>
          </w:p>
        </w:tc>
        <w:tc>
          <w:tcPr>
            <w:tcW w:w="0" w:type="auto"/>
            <w:tcBorders>
              <w:top w:val="nil"/>
              <w:left w:val="nil"/>
              <w:bottom w:val="single" w:sz="4" w:space="0" w:color="auto"/>
              <w:right w:val="single" w:sz="4" w:space="0" w:color="auto"/>
            </w:tcBorders>
            <w:vAlign w:val="center"/>
          </w:tcPr>
          <w:p w14:paraId="716D98EF" w14:textId="77777777" w:rsidR="00213A3F" w:rsidRPr="00213A3F" w:rsidRDefault="00213A3F" w:rsidP="00213A3F">
            <w:pPr>
              <w:pStyle w:val="ae"/>
              <w:rPr>
                <w:b w:val="0"/>
                <w:bCs/>
              </w:rPr>
            </w:pPr>
            <w:r w:rsidRPr="00213A3F">
              <w:rPr>
                <w:b w:val="0"/>
                <w:bCs/>
              </w:rPr>
              <w:t xml:space="preserve">1.18 </w:t>
            </w:r>
          </w:p>
        </w:tc>
        <w:tc>
          <w:tcPr>
            <w:tcW w:w="0" w:type="auto"/>
            <w:tcBorders>
              <w:top w:val="nil"/>
              <w:left w:val="nil"/>
              <w:bottom w:val="single" w:sz="4" w:space="0" w:color="auto"/>
              <w:right w:val="single" w:sz="4" w:space="0" w:color="auto"/>
            </w:tcBorders>
            <w:vAlign w:val="center"/>
          </w:tcPr>
          <w:p w14:paraId="14910A3A" w14:textId="77777777" w:rsidR="00213A3F" w:rsidRPr="00213A3F" w:rsidRDefault="00213A3F" w:rsidP="00213A3F">
            <w:pPr>
              <w:pStyle w:val="ae"/>
              <w:rPr>
                <w:b w:val="0"/>
                <w:bCs/>
              </w:rPr>
            </w:pPr>
            <w:r w:rsidRPr="00213A3F">
              <w:rPr>
                <w:b w:val="0"/>
                <w:bCs/>
              </w:rPr>
              <w:t xml:space="preserve">1.31 </w:t>
            </w:r>
          </w:p>
        </w:tc>
        <w:tc>
          <w:tcPr>
            <w:tcW w:w="0" w:type="auto"/>
            <w:tcBorders>
              <w:top w:val="nil"/>
              <w:left w:val="nil"/>
              <w:bottom w:val="single" w:sz="4" w:space="0" w:color="auto"/>
              <w:right w:val="single" w:sz="4" w:space="0" w:color="auto"/>
            </w:tcBorders>
            <w:vAlign w:val="center"/>
          </w:tcPr>
          <w:p w14:paraId="1B422139" w14:textId="77777777" w:rsidR="00213A3F" w:rsidRPr="00213A3F" w:rsidRDefault="00213A3F" w:rsidP="00213A3F">
            <w:pPr>
              <w:pStyle w:val="ae"/>
              <w:rPr>
                <w:b w:val="0"/>
                <w:bCs/>
              </w:rPr>
            </w:pPr>
            <w:r w:rsidRPr="00213A3F">
              <w:rPr>
                <w:b w:val="0"/>
                <w:bCs/>
              </w:rPr>
              <w:t xml:space="preserve">1.64 </w:t>
            </w:r>
          </w:p>
        </w:tc>
        <w:tc>
          <w:tcPr>
            <w:tcW w:w="0" w:type="auto"/>
            <w:tcBorders>
              <w:top w:val="nil"/>
              <w:left w:val="nil"/>
              <w:bottom w:val="single" w:sz="4" w:space="0" w:color="auto"/>
              <w:right w:val="single" w:sz="4" w:space="0" w:color="auto"/>
            </w:tcBorders>
            <w:vAlign w:val="center"/>
          </w:tcPr>
          <w:p w14:paraId="53014C7E" w14:textId="77777777" w:rsidR="00213A3F" w:rsidRPr="00213A3F" w:rsidRDefault="00213A3F" w:rsidP="00213A3F">
            <w:pPr>
              <w:pStyle w:val="ae"/>
              <w:rPr>
                <w:b w:val="0"/>
                <w:bCs/>
              </w:rPr>
            </w:pPr>
            <w:r w:rsidRPr="00213A3F">
              <w:rPr>
                <w:b w:val="0"/>
                <w:bCs/>
              </w:rPr>
              <w:t xml:space="preserve">2.04 </w:t>
            </w:r>
          </w:p>
        </w:tc>
      </w:tr>
      <w:tr w:rsidR="00213A3F" w:rsidRPr="00213A3F" w14:paraId="2AA43ED7"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7F184484" w14:textId="77777777" w:rsidR="00213A3F" w:rsidRPr="00213A3F" w:rsidRDefault="00213A3F" w:rsidP="00213A3F">
            <w:pPr>
              <w:pStyle w:val="ae"/>
              <w:rPr>
                <w:b w:val="0"/>
                <w:bCs/>
              </w:rPr>
            </w:pPr>
            <w:r w:rsidRPr="00213A3F">
              <w:rPr>
                <w:b w:val="0"/>
                <w:bCs/>
              </w:rPr>
              <w:t>65</w:t>
            </w:r>
          </w:p>
        </w:tc>
        <w:tc>
          <w:tcPr>
            <w:tcW w:w="0" w:type="auto"/>
            <w:tcBorders>
              <w:top w:val="nil"/>
              <w:left w:val="nil"/>
              <w:bottom w:val="single" w:sz="4" w:space="0" w:color="auto"/>
              <w:right w:val="single" w:sz="4" w:space="0" w:color="auto"/>
            </w:tcBorders>
            <w:vAlign w:val="center"/>
          </w:tcPr>
          <w:p w14:paraId="61097A5B" w14:textId="77777777" w:rsidR="00213A3F" w:rsidRPr="00213A3F" w:rsidRDefault="00213A3F" w:rsidP="00213A3F">
            <w:pPr>
              <w:pStyle w:val="ae"/>
              <w:rPr>
                <w:b w:val="0"/>
                <w:bCs/>
              </w:rPr>
            </w:pPr>
            <w:r w:rsidRPr="00213A3F">
              <w:rPr>
                <w:b w:val="0"/>
                <w:bCs/>
              </w:rPr>
              <w:t xml:space="preserve">0.72 </w:t>
            </w:r>
          </w:p>
        </w:tc>
        <w:tc>
          <w:tcPr>
            <w:tcW w:w="0" w:type="auto"/>
            <w:tcBorders>
              <w:top w:val="nil"/>
              <w:left w:val="nil"/>
              <w:bottom w:val="single" w:sz="4" w:space="0" w:color="auto"/>
              <w:right w:val="single" w:sz="4" w:space="0" w:color="auto"/>
            </w:tcBorders>
            <w:vAlign w:val="center"/>
          </w:tcPr>
          <w:p w14:paraId="43A7DF62" w14:textId="77777777" w:rsidR="00213A3F" w:rsidRPr="00213A3F" w:rsidRDefault="00213A3F" w:rsidP="00213A3F">
            <w:pPr>
              <w:pStyle w:val="ae"/>
              <w:rPr>
                <w:b w:val="0"/>
                <w:bCs/>
              </w:rPr>
            </w:pPr>
            <w:r w:rsidRPr="00213A3F">
              <w:rPr>
                <w:b w:val="0"/>
                <w:bCs/>
              </w:rPr>
              <w:t xml:space="preserve">0.90 </w:t>
            </w:r>
          </w:p>
        </w:tc>
        <w:tc>
          <w:tcPr>
            <w:tcW w:w="0" w:type="auto"/>
            <w:tcBorders>
              <w:top w:val="nil"/>
              <w:left w:val="nil"/>
              <w:bottom w:val="single" w:sz="4" w:space="0" w:color="auto"/>
              <w:right w:val="single" w:sz="4" w:space="0" w:color="auto"/>
            </w:tcBorders>
            <w:vAlign w:val="center"/>
          </w:tcPr>
          <w:p w14:paraId="1A3182C7" w14:textId="77777777" w:rsidR="00213A3F" w:rsidRPr="00213A3F" w:rsidRDefault="00213A3F" w:rsidP="00213A3F">
            <w:pPr>
              <w:pStyle w:val="ae"/>
              <w:rPr>
                <w:b w:val="0"/>
                <w:bCs/>
              </w:rPr>
            </w:pPr>
            <w:r w:rsidRPr="00213A3F">
              <w:rPr>
                <w:b w:val="0"/>
                <w:bCs/>
              </w:rPr>
              <w:t xml:space="preserve">1.13 </w:t>
            </w:r>
          </w:p>
        </w:tc>
        <w:tc>
          <w:tcPr>
            <w:tcW w:w="0" w:type="auto"/>
            <w:tcBorders>
              <w:top w:val="nil"/>
              <w:left w:val="nil"/>
              <w:bottom w:val="single" w:sz="4" w:space="0" w:color="auto"/>
              <w:right w:val="single" w:sz="4" w:space="0" w:color="auto"/>
            </w:tcBorders>
            <w:vAlign w:val="center"/>
          </w:tcPr>
          <w:p w14:paraId="7872CD67" w14:textId="77777777" w:rsidR="00213A3F" w:rsidRPr="00213A3F" w:rsidRDefault="00213A3F" w:rsidP="00213A3F">
            <w:pPr>
              <w:pStyle w:val="ae"/>
              <w:rPr>
                <w:b w:val="0"/>
                <w:bCs/>
              </w:rPr>
            </w:pPr>
            <w:r w:rsidRPr="00213A3F">
              <w:rPr>
                <w:b w:val="0"/>
                <w:bCs/>
              </w:rPr>
              <w:t xml:space="preserve">1.26 </w:t>
            </w:r>
          </w:p>
        </w:tc>
        <w:tc>
          <w:tcPr>
            <w:tcW w:w="0" w:type="auto"/>
            <w:tcBorders>
              <w:top w:val="nil"/>
              <w:left w:val="nil"/>
              <w:bottom w:val="single" w:sz="4" w:space="0" w:color="auto"/>
              <w:right w:val="single" w:sz="4" w:space="0" w:color="auto"/>
            </w:tcBorders>
            <w:vAlign w:val="center"/>
          </w:tcPr>
          <w:p w14:paraId="673EE2B3" w14:textId="77777777" w:rsidR="00213A3F" w:rsidRPr="00213A3F" w:rsidRDefault="00213A3F" w:rsidP="00213A3F">
            <w:pPr>
              <w:pStyle w:val="ae"/>
              <w:rPr>
                <w:b w:val="0"/>
                <w:bCs/>
              </w:rPr>
            </w:pPr>
            <w:r w:rsidRPr="00213A3F">
              <w:rPr>
                <w:b w:val="0"/>
                <w:bCs/>
              </w:rPr>
              <w:t xml:space="preserve">1.41 </w:t>
            </w:r>
          </w:p>
        </w:tc>
        <w:tc>
          <w:tcPr>
            <w:tcW w:w="0" w:type="auto"/>
            <w:tcBorders>
              <w:top w:val="nil"/>
              <w:left w:val="nil"/>
              <w:bottom w:val="single" w:sz="4" w:space="0" w:color="auto"/>
              <w:right w:val="single" w:sz="4" w:space="0" w:color="auto"/>
            </w:tcBorders>
            <w:vAlign w:val="center"/>
          </w:tcPr>
          <w:p w14:paraId="728BD7A6" w14:textId="77777777" w:rsidR="00213A3F" w:rsidRPr="00213A3F" w:rsidRDefault="00213A3F" w:rsidP="00213A3F">
            <w:pPr>
              <w:pStyle w:val="ae"/>
              <w:rPr>
                <w:b w:val="0"/>
                <w:bCs/>
              </w:rPr>
            </w:pPr>
            <w:r w:rsidRPr="00213A3F">
              <w:rPr>
                <w:b w:val="0"/>
                <w:bCs/>
              </w:rPr>
              <w:t xml:space="preserve">1.76 </w:t>
            </w:r>
          </w:p>
        </w:tc>
        <w:tc>
          <w:tcPr>
            <w:tcW w:w="0" w:type="auto"/>
            <w:tcBorders>
              <w:top w:val="nil"/>
              <w:left w:val="nil"/>
              <w:bottom w:val="single" w:sz="4" w:space="0" w:color="auto"/>
              <w:right w:val="single" w:sz="4" w:space="0" w:color="auto"/>
            </w:tcBorders>
            <w:vAlign w:val="center"/>
          </w:tcPr>
          <w:p w14:paraId="79DCE759" w14:textId="77777777" w:rsidR="00213A3F" w:rsidRPr="00213A3F" w:rsidRDefault="00213A3F" w:rsidP="00213A3F">
            <w:pPr>
              <w:pStyle w:val="ae"/>
              <w:rPr>
                <w:b w:val="0"/>
                <w:bCs/>
              </w:rPr>
            </w:pPr>
            <w:r w:rsidRPr="00213A3F">
              <w:rPr>
                <w:b w:val="0"/>
                <w:bCs/>
              </w:rPr>
              <w:t xml:space="preserve">2.19 </w:t>
            </w:r>
          </w:p>
        </w:tc>
      </w:tr>
      <w:tr w:rsidR="00213A3F" w:rsidRPr="00213A3F" w14:paraId="05355FBF" w14:textId="77777777" w:rsidTr="00AF1261">
        <w:trPr>
          <w:trHeight w:val="270"/>
          <w:jc w:val="center"/>
        </w:trPr>
        <w:tc>
          <w:tcPr>
            <w:tcW w:w="0" w:type="auto"/>
            <w:tcBorders>
              <w:top w:val="nil"/>
              <w:left w:val="single" w:sz="4" w:space="0" w:color="auto"/>
              <w:bottom w:val="single" w:sz="4" w:space="0" w:color="auto"/>
              <w:right w:val="single" w:sz="4" w:space="0" w:color="auto"/>
            </w:tcBorders>
            <w:vAlign w:val="center"/>
          </w:tcPr>
          <w:p w14:paraId="7A0B7B2B" w14:textId="77777777" w:rsidR="00213A3F" w:rsidRPr="00213A3F" w:rsidRDefault="00213A3F" w:rsidP="00213A3F">
            <w:pPr>
              <w:pStyle w:val="ae"/>
              <w:rPr>
                <w:b w:val="0"/>
                <w:bCs/>
              </w:rPr>
            </w:pPr>
            <w:r w:rsidRPr="00213A3F">
              <w:rPr>
                <w:b w:val="0"/>
                <w:bCs/>
              </w:rPr>
              <w:t>70</w:t>
            </w:r>
          </w:p>
        </w:tc>
        <w:tc>
          <w:tcPr>
            <w:tcW w:w="0" w:type="auto"/>
            <w:tcBorders>
              <w:top w:val="nil"/>
              <w:left w:val="nil"/>
              <w:bottom w:val="single" w:sz="4" w:space="0" w:color="auto"/>
              <w:right w:val="single" w:sz="4" w:space="0" w:color="auto"/>
            </w:tcBorders>
            <w:vAlign w:val="center"/>
          </w:tcPr>
          <w:p w14:paraId="25812240" w14:textId="77777777" w:rsidR="00213A3F" w:rsidRPr="00213A3F" w:rsidRDefault="00213A3F" w:rsidP="00213A3F">
            <w:pPr>
              <w:pStyle w:val="ae"/>
              <w:rPr>
                <w:b w:val="0"/>
                <w:bCs/>
              </w:rPr>
            </w:pPr>
            <w:r w:rsidRPr="00213A3F">
              <w:rPr>
                <w:b w:val="0"/>
                <w:bCs/>
              </w:rPr>
              <w:t xml:space="preserve">0.76 </w:t>
            </w:r>
          </w:p>
        </w:tc>
        <w:tc>
          <w:tcPr>
            <w:tcW w:w="0" w:type="auto"/>
            <w:tcBorders>
              <w:top w:val="nil"/>
              <w:left w:val="nil"/>
              <w:bottom w:val="single" w:sz="4" w:space="0" w:color="auto"/>
              <w:right w:val="single" w:sz="4" w:space="0" w:color="auto"/>
            </w:tcBorders>
            <w:vAlign w:val="center"/>
          </w:tcPr>
          <w:p w14:paraId="660BAE04" w14:textId="77777777" w:rsidR="00213A3F" w:rsidRPr="00213A3F" w:rsidRDefault="00213A3F" w:rsidP="00213A3F">
            <w:pPr>
              <w:pStyle w:val="ae"/>
              <w:rPr>
                <w:b w:val="0"/>
                <w:bCs/>
              </w:rPr>
            </w:pPr>
            <w:r w:rsidRPr="00213A3F">
              <w:rPr>
                <w:b w:val="0"/>
                <w:bCs/>
              </w:rPr>
              <w:t xml:space="preserve">0.96 </w:t>
            </w:r>
          </w:p>
        </w:tc>
        <w:tc>
          <w:tcPr>
            <w:tcW w:w="0" w:type="auto"/>
            <w:tcBorders>
              <w:top w:val="nil"/>
              <w:left w:val="nil"/>
              <w:bottom w:val="single" w:sz="4" w:space="0" w:color="auto"/>
              <w:right w:val="single" w:sz="4" w:space="0" w:color="auto"/>
            </w:tcBorders>
            <w:vAlign w:val="center"/>
          </w:tcPr>
          <w:p w14:paraId="691FB534" w14:textId="77777777" w:rsidR="00213A3F" w:rsidRPr="00213A3F" w:rsidRDefault="00213A3F" w:rsidP="00213A3F">
            <w:pPr>
              <w:pStyle w:val="ae"/>
              <w:rPr>
                <w:b w:val="0"/>
                <w:bCs/>
              </w:rPr>
            </w:pPr>
            <w:r w:rsidRPr="00213A3F">
              <w:rPr>
                <w:b w:val="0"/>
                <w:bCs/>
              </w:rPr>
              <w:t xml:space="preserve">1.21 </w:t>
            </w:r>
          </w:p>
        </w:tc>
        <w:tc>
          <w:tcPr>
            <w:tcW w:w="0" w:type="auto"/>
            <w:tcBorders>
              <w:top w:val="nil"/>
              <w:left w:val="nil"/>
              <w:bottom w:val="single" w:sz="4" w:space="0" w:color="auto"/>
              <w:right w:val="single" w:sz="4" w:space="0" w:color="auto"/>
            </w:tcBorders>
            <w:vAlign w:val="center"/>
          </w:tcPr>
          <w:p w14:paraId="00777F5C" w14:textId="77777777" w:rsidR="00213A3F" w:rsidRPr="00213A3F" w:rsidRDefault="00213A3F" w:rsidP="00213A3F">
            <w:pPr>
              <w:pStyle w:val="ae"/>
              <w:rPr>
                <w:b w:val="0"/>
                <w:bCs/>
              </w:rPr>
            </w:pPr>
            <w:r w:rsidRPr="00213A3F">
              <w:rPr>
                <w:b w:val="0"/>
                <w:bCs/>
              </w:rPr>
              <w:t xml:space="preserve">1.35 </w:t>
            </w:r>
          </w:p>
        </w:tc>
        <w:tc>
          <w:tcPr>
            <w:tcW w:w="0" w:type="auto"/>
            <w:tcBorders>
              <w:top w:val="nil"/>
              <w:left w:val="nil"/>
              <w:bottom w:val="single" w:sz="4" w:space="0" w:color="auto"/>
              <w:right w:val="single" w:sz="4" w:space="0" w:color="auto"/>
            </w:tcBorders>
            <w:vAlign w:val="center"/>
          </w:tcPr>
          <w:p w14:paraId="035D9C61" w14:textId="77777777" w:rsidR="00213A3F" w:rsidRPr="00213A3F" w:rsidRDefault="00213A3F" w:rsidP="00213A3F">
            <w:pPr>
              <w:pStyle w:val="ae"/>
              <w:rPr>
                <w:b w:val="0"/>
                <w:bCs/>
              </w:rPr>
            </w:pPr>
            <w:r w:rsidRPr="00213A3F">
              <w:rPr>
                <w:b w:val="0"/>
                <w:bCs/>
              </w:rPr>
              <w:t xml:space="preserve">1.51 </w:t>
            </w:r>
          </w:p>
        </w:tc>
        <w:tc>
          <w:tcPr>
            <w:tcW w:w="0" w:type="auto"/>
            <w:tcBorders>
              <w:top w:val="nil"/>
              <w:left w:val="nil"/>
              <w:bottom w:val="single" w:sz="4" w:space="0" w:color="auto"/>
              <w:right w:val="single" w:sz="4" w:space="0" w:color="auto"/>
            </w:tcBorders>
            <w:vAlign w:val="center"/>
          </w:tcPr>
          <w:p w14:paraId="3944F24F" w14:textId="77777777" w:rsidR="00213A3F" w:rsidRPr="00213A3F" w:rsidRDefault="00213A3F" w:rsidP="00213A3F">
            <w:pPr>
              <w:pStyle w:val="ae"/>
              <w:rPr>
                <w:b w:val="0"/>
                <w:bCs/>
              </w:rPr>
            </w:pPr>
            <w:r w:rsidRPr="00213A3F">
              <w:rPr>
                <w:b w:val="0"/>
                <w:bCs/>
              </w:rPr>
              <w:t xml:space="preserve">1.88 </w:t>
            </w:r>
          </w:p>
        </w:tc>
        <w:tc>
          <w:tcPr>
            <w:tcW w:w="0" w:type="auto"/>
            <w:tcBorders>
              <w:top w:val="nil"/>
              <w:left w:val="nil"/>
              <w:bottom w:val="single" w:sz="4" w:space="0" w:color="auto"/>
              <w:right w:val="single" w:sz="4" w:space="0" w:color="auto"/>
            </w:tcBorders>
            <w:vAlign w:val="center"/>
          </w:tcPr>
          <w:p w14:paraId="25108119" w14:textId="77777777" w:rsidR="00213A3F" w:rsidRPr="00213A3F" w:rsidRDefault="00213A3F" w:rsidP="00213A3F">
            <w:pPr>
              <w:pStyle w:val="ae"/>
              <w:rPr>
                <w:b w:val="0"/>
                <w:bCs/>
              </w:rPr>
            </w:pPr>
            <w:r w:rsidRPr="00213A3F">
              <w:rPr>
                <w:b w:val="0"/>
                <w:bCs/>
              </w:rPr>
              <w:t xml:space="preserve">2.34 </w:t>
            </w:r>
          </w:p>
        </w:tc>
      </w:tr>
    </w:tbl>
    <w:p w14:paraId="1733D2A9" w14:textId="77777777" w:rsidR="00913C78" w:rsidRPr="00913C78" w:rsidRDefault="00913C78" w:rsidP="00913C78">
      <w:pPr>
        <w:ind w:firstLine="420"/>
      </w:pPr>
      <w:r w:rsidRPr="00913C78">
        <w:rPr>
          <w:rFonts w:hint="eastAsia"/>
        </w:rPr>
        <w:t>（</w:t>
      </w:r>
      <w:r w:rsidRPr="00913C78">
        <w:rPr>
          <w:rFonts w:hint="eastAsia"/>
        </w:rPr>
        <w:t>2</w:t>
      </w:r>
      <w:r w:rsidRPr="00913C78">
        <w:rPr>
          <w:rFonts w:hint="eastAsia"/>
        </w:rPr>
        <w:t>）室外设计日浓度</w:t>
      </w:r>
      <w:r w:rsidRPr="00913C78">
        <w:t>C</w:t>
      </w:r>
      <w:r w:rsidRPr="00F83296">
        <w:rPr>
          <w:vertAlign w:val="subscript"/>
        </w:rPr>
        <w:t>o</w:t>
      </w:r>
    </w:p>
    <w:bookmarkEnd w:id="488"/>
    <w:p w14:paraId="3A25567E" w14:textId="77777777" w:rsidR="00913C78" w:rsidRPr="00913C78" w:rsidRDefault="00913C78" w:rsidP="00913C78">
      <w:pPr>
        <w:ind w:firstLine="420"/>
      </w:pPr>
      <w:r w:rsidRPr="00913C78">
        <w:t>应</w:t>
      </w:r>
      <w:r w:rsidRPr="00913C78">
        <w:rPr>
          <w:rFonts w:hint="eastAsia"/>
        </w:rPr>
        <w:t>根据</w:t>
      </w:r>
      <w:r w:rsidRPr="00913C78">
        <w:t>统计的</w:t>
      </w:r>
      <w:r w:rsidRPr="00913C78">
        <w:rPr>
          <w:rFonts w:hint="eastAsia"/>
        </w:rPr>
        <w:t>近三年最不利年的</w:t>
      </w:r>
      <w:r w:rsidRPr="00913C78">
        <w:t>室外空气污染物浓度环境资料确定建筑室外计算</w:t>
      </w:r>
      <w:r w:rsidRPr="00913C78">
        <w:rPr>
          <w:rFonts w:hint="eastAsia"/>
        </w:rPr>
        <w:t>日</w:t>
      </w:r>
      <w:r w:rsidRPr="00913C78">
        <w:t>浓度。</w:t>
      </w:r>
      <w:bookmarkStart w:id="489" w:name="OLE_LINK408"/>
      <w:r w:rsidRPr="00913C78">
        <w:t>若无法通过环境资料确定</w:t>
      </w:r>
      <w:bookmarkStart w:id="490" w:name="OLE_LINK595"/>
      <w:bookmarkStart w:id="491" w:name="OLE_LINK596"/>
      <w:r w:rsidRPr="00913C78">
        <w:rPr>
          <w:rFonts w:hint="eastAsia"/>
        </w:rPr>
        <w:t>，重庆地区</w:t>
      </w:r>
      <w:r w:rsidRPr="00913C78">
        <w:rPr>
          <w:rFonts w:hint="eastAsia"/>
        </w:rPr>
        <w:t>PM2.5</w:t>
      </w:r>
      <w:r w:rsidRPr="00913C78">
        <w:t>室外计算</w:t>
      </w:r>
      <w:r w:rsidRPr="00913C78">
        <w:rPr>
          <w:rFonts w:hint="eastAsia"/>
        </w:rPr>
        <w:t>日</w:t>
      </w:r>
      <w:r w:rsidRPr="00913C78">
        <w:t>浓度</w:t>
      </w:r>
      <w:bookmarkEnd w:id="490"/>
      <w:bookmarkEnd w:id="491"/>
      <w:r w:rsidRPr="00913C78">
        <w:t>可</w:t>
      </w:r>
      <w:r w:rsidRPr="00913C78">
        <w:rPr>
          <w:rFonts w:hint="eastAsia"/>
        </w:rPr>
        <w:t>按</w:t>
      </w:r>
      <w:r w:rsidRPr="00913C78">
        <w:rPr>
          <w:rFonts w:hint="eastAsia"/>
        </w:rPr>
        <w:t>173</w:t>
      </w:r>
      <w:r w:rsidRPr="00913C78">
        <w:t>μg/m</w:t>
      </w:r>
      <w:r w:rsidRPr="00F83296">
        <w:rPr>
          <w:vertAlign w:val="superscript"/>
        </w:rPr>
        <w:t>3</w:t>
      </w:r>
      <w:r w:rsidRPr="00913C78">
        <w:rPr>
          <w:rFonts w:hint="eastAsia"/>
        </w:rPr>
        <w:t>选取</w:t>
      </w:r>
      <w:r w:rsidRPr="00913C78">
        <w:t>。</w:t>
      </w:r>
      <w:bookmarkStart w:id="492" w:name="OLE_LINK581"/>
      <w:bookmarkStart w:id="493" w:name="OLE_LINK592"/>
      <w:bookmarkEnd w:id="489"/>
    </w:p>
    <w:bookmarkEnd w:id="492"/>
    <w:bookmarkEnd w:id="493"/>
    <w:p w14:paraId="4573E2FC" w14:textId="77777777" w:rsidR="00913C78" w:rsidRPr="00913C78" w:rsidRDefault="00913C78" w:rsidP="00913C78">
      <w:pPr>
        <w:ind w:firstLine="420"/>
      </w:pPr>
      <w:r w:rsidRPr="00913C78">
        <w:t>室外计算时浓度或室外计算日浓度宜</w:t>
      </w:r>
      <w:r w:rsidRPr="00913C78">
        <w:rPr>
          <w:rFonts w:hint="eastAsia"/>
        </w:rPr>
        <w:t>根据</w:t>
      </w:r>
      <w:r w:rsidRPr="00913C78">
        <w:t>建筑周边污染物浓度与距建筑物最近政府环境监测点的污染物浓度差异</w:t>
      </w:r>
      <w:r w:rsidRPr="00913C78">
        <w:rPr>
          <w:rFonts w:hint="eastAsia"/>
        </w:rPr>
        <w:t>确定</w:t>
      </w:r>
      <w:r w:rsidRPr="00913C78">
        <w:t>，当建筑周边有厂房、锅炉房、公路、机场等污染源时，</w:t>
      </w:r>
      <w:r w:rsidRPr="00913C78">
        <w:rPr>
          <w:rFonts w:hint="eastAsia"/>
        </w:rPr>
        <w:t>应</w:t>
      </w:r>
      <w:r w:rsidRPr="00913C78">
        <w:t>根据就地调查、实测并与邻近监测台站的环境资料比较确定。</w:t>
      </w:r>
    </w:p>
    <w:p w14:paraId="09D7B4C4" w14:textId="77777777" w:rsidR="00913C78" w:rsidRPr="00913C78" w:rsidRDefault="00913C78" w:rsidP="00913C78">
      <w:pPr>
        <w:ind w:firstLine="420"/>
      </w:pPr>
      <w:r w:rsidRPr="00913C78">
        <w:rPr>
          <w:rFonts w:hint="eastAsia"/>
        </w:rPr>
        <w:t>（</w:t>
      </w:r>
      <w:r w:rsidRPr="00913C78">
        <w:rPr>
          <w:rFonts w:hint="eastAsia"/>
        </w:rPr>
        <w:t>3</w:t>
      </w:r>
      <w:r w:rsidRPr="00913C78">
        <w:rPr>
          <w:rFonts w:hint="eastAsia"/>
        </w:rPr>
        <w:t>）</w:t>
      </w:r>
      <w:r w:rsidRPr="00913C78">
        <w:t>渗透风换气次数</w:t>
      </w:r>
      <w:r w:rsidRPr="00913C78">
        <w:t>α</w:t>
      </w:r>
      <w:r w:rsidRPr="00F83296">
        <w:rPr>
          <w:vertAlign w:val="subscript"/>
        </w:rPr>
        <w:t>l</w:t>
      </w:r>
      <w:r w:rsidRPr="00913C78">
        <w:rPr>
          <w:rFonts w:hint="eastAsia"/>
        </w:rPr>
        <w:t>与渗透风换气次数</w:t>
      </w:r>
      <w:r w:rsidRPr="00913C78">
        <w:rPr>
          <w:rFonts w:hint="eastAsia"/>
        </w:rPr>
        <w:t>P</w:t>
      </w:r>
      <w:r w:rsidRPr="00F83296">
        <w:rPr>
          <w:vertAlign w:val="subscript"/>
        </w:rPr>
        <w:t>l</w:t>
      </w:r>
      <w:r w:rsidRPr="00913C78">
        <w:t xml:space="preserve"> </w:t>
      </w:r>
    </w:p>
    <w:p w14:paraId="333E872A" w14:textId="77777777" w:rsidR="00913C78" w:rsidRPr="00913C78" w:rsidRDefault="00913C78" w:rsidP="00913C78">
      <w:pPr>
        <w:ind w:firstLine="420"/>
      </w:pPr>
      <w:r w:rsidRPr="00913C78">
        <w:rPr>
          <w:rFonts w:hint="eastAsia"/>
        </w:rPr>
        <w:t>建筑围护结构的气密性设计应符合现行国家标准《公共建筑节能设计标准》</w:t>
      </w:r>
      <w:r w:rsidRPr="00913C78">
        <w:rPr>
          <w:rFonts w:hint="eastAsia"/>
        </w:rPr>
        <w:t>GB 50189</w:t>
      </w:r>
      <w:r w:rsidRPr="00913C78">
        <w:rPr>
          <w:rFonts w:hint="eastAsia"/>
        </w:rPr>
        <w:t>的规定。对于开启频繁的外门，应设计门斗、旋转门、门帘等，或设置带有净化功能的空气幕；对于所有缝隙和孔洞应填实、密封。</w:t>
      </w:r>
    </w:p>
    <w:p w14:paraId="00D4266F" w14:textId="77777777" w:rsidR="00913C78" w:rsidRPr="00913C78" w:rsidRDefault="00913C78" w:rsidP="00913C78">
      <w:pPr>
        <w:ind w:firstLine="420"/>
      </w:pPr>
      <w:r w:rsidRPr="00913C78">
        <w:lastRenderedPageBreak/>
        <w:t>目标污染物的穿透系数和建筑渗透风换气次数</w:t>
      </w:r>
      <w:r w:rsidRPr="00913C78">
        <w:rPr>
          <w:rFonts w:hint="eastAsia"/>
        </w:rPr>
        <w:t>应根据</w:t>
      </w:r>
      <w:r w:rsidRPr="00913C78">
        <w:t>建筑位置、周边环境、围护结构、施工质量等因素</w:t>
      </w:r>
      <w:r w:rsidRPr="00913C78">
        <w:rPr>
          <w:rFonts w:hint="eastAsia"/>
        </w:rPr>
        <w:t>确定</w:t>
      </w:r>
      <w:r w:rsidRPr="00913C78">
        <w:t>。当无实测参考数据时，</w:t>
      </w:r>
      <w:bookmarkStart w:id="494" w:name="OLE_LINK475"/>
      <w:bookmarkStart w:id="495" w:name="OLE_LINK487"/>
      <w:r w:rsidRPr="00913C78">
        <w:t>穿透系数可取</w:t>
      </w:r>
      <w:r w:rsidRPr="00913C78">
        <w:t>0.6</w:t>
      </w:r>
      <w:r w:rsidRPr="00913C78">
        <w:rPr>
          <w:rFonts w:hint="eastAsia"/>
        </w:rPr>
        <w:t>~</w:t>
      </w:r>
      <w:r w:rsidRPr="00913C78">
        <w:t>0.9</w:t>
      </w:r>
      <w:r w:rsidRPr="00913C78">
        <w:t>，</w:t>
      </w:r>
      <w:bookmarkStart w:id="496" w:name="OLE_LINK514"/>
      <w:bookmarkStart w:id="497" w:name="OLE_LINK513"/>
      <w:bookmarkStart w:id="498" w:name="OLE_LINK515"/>
      <w:r w:rsidRPr="00913C78">
        <w:t>渗透风换气次数</w:t>
      </w:r>
      <w:bookmarkEnd w:id="494"/>
      <w:bookmarkEnd w:id="495"/>
      <w:bookmarkEnd w:id="496"/>
      <w:bookmarkEnd w:id="497"/>
      <w:bookmarkEnd w:id="498"/>
      <w:r w:rsidRPr="00913C78">
        <w:t>可取</w:t>
      </w:r>
      <w:r w:rsidRPr="00913C78">
        <w:t>0.1h-1</w:t>
      </w:r>
      <w:r w:rsidRPr="00913C78">
        <w:rPr>
          <w:rFonts w:hint="eastAsia"/>
        </w:rPr>
        <w:t>~</w:t>
      </w:r>
      <w:r w:rsidRPr="00913C78">
        <w:t>0.6h-1</w:t>
      </w:r>
      <w:r w:rsidRPr="00913C78">
        <w:rPr>
          <w:rFonts w:hint="eastAsia"/>
        </w:rPr>
        <w:t>。后期</w:t>
      </w:r>
      <w:r w:rsidRPr="00913C78">
        <w:t>应通过建筑施工及建筑产品选择进行控制</w:t>
      </w:r>
      <w:r w:rsidRPr="00913C78">
        <w:rPr>
          <w:rFonts w:hint="eastAsia"/>
        </w:rPr>
        <w:t>，</w:t>
      </w:r>
      <w:r w:rsidRPr="00913C78">
        <w:t>建造完成</w:t>
      </w:r>
      <w:bookmarkStart w:id="499" w:name="OLE_LINK208"/>
      <w:bookmarkStart w:id="500" w:name="OLE_LINK207"/>
      <w:r w:rsidRPr="00913C78">
        <w:t>后渗透风换气次数</w:t>
      </w:r>
      <w:bookmarkEnd w:id="499"/>
      <w:bookmarkEnd w:id="500"/>
      <w:r w:rsidRPr="00913C78">
        <w:t>应达到设计</w:t>
      </w:r>
      <w:r w:rsidRPr="00913C78">
        <w:rPr>
          <w:rFonts w:hint="eastAsia"/>
        </w:rPr>
        <w:t>值</w:t>
      </w:r>
      <w:r w:rsidRPr="00913C78">
        <w:t>。</w:t>
      </w:r>
    </w:p>
    <w:p w14:paraId="65D3316F" w14:textId="77777777" w:rsidR="00913C78" w:rsidRPr="00913C78" w:rsidRDefault="00913C78" w:rsidP="00913C78">
      <w:pPr>
        <w:ind w:firstLine="420"/>
      </w:pPr>
      <w:bookmarkStart w:id="501" w:name="OLE_LINK26"/>
      <w:r w:rsidRPr="00913C78">
        <w:rPr>
          <w:rFonts w:hint="eastAsia"/>
        </w:rPr>
        <w:t>（</w:t>
      </w:r>
      <w:r w:rsidRPr="00913C78">
        <w:rPr>
          <w:rFonts w:hint="eastAsia"/>
        </w:rPr>
        <w:t>4</w:t>
      </w:r>
      <w:r w:rsidRPr="00913C78">
        <w:rPr>
          <w:rFonts w:hint="eastAsia"/>
        </w:rPr>
        <w:t>）新风换气次数</w:t>
      </w:r>
      <w:r w:rsidRPr="00913C78">
        <w:t>α</w:t>
      </w:r>
      <w:r w:rsidRPr="00F83296">
        <w:rPr>
          <w:vertAlign w:val="subscript"/>
        </w:rPr>
        <w:t xml:space="preserve">o </w:t>
      </w:r>
    </w:p>
    <w:p w14:paraId="721C699B" w14:textId="77777777" w:rsidR="00913C78" w:rsidRPr="00913C78" w:rsidRDefault="00913C78" w:rsidP="00913C78">
      <w:pPr>
        <w:ind w:firstLine="420"/>
      </w:pPr>
      <w:bookmarkStart w:id="502" w:name="OLE_LINK102"/>
      <w:bookmarkStart w:id="503" w:name="OLE_LINK103"/>
      <w:bookmarkStart w:id="504" w:name="OLE_LINK93"/>
      <w:bookmarkStart w:id="505" w:name="OLE_LINK96"/>
      <w:bookmarkStart w:id="506" w:name="OLE_LINK94"/>
      <w:bookmarkStart w:id="507" w:name="OLE_LINK99"/>
      <w:bookmarkStart w:id="508" w:name="OLE_LINK100"/>
      <w:bookmarkStart w:id="509" w:name="OLE_LINK101"/>
      <w:bookmarkStart w:id="510" w:name="OLE_LINK95"/>
      <w:bookmarkStart w:id="511" w:name="OLE_LINK104"/>
      <w:bookmarkEnd w:id="501"/>
      <w:r w:rsidRPr="00913C78">
        <w:t>人员呼吸区的设计最小新风量</w:t>
      </w:r>
      <w:bookmarkEnd w:id="502"/>
      <w:bookmarkEnd w:id="503"/>
      <w:bookmarkEnd w:id="504"/>
      <w:bookmarkEnd w:id="505"/>
      <w:bookmarkEnd w:id="506"/>
      <w:bookmarkEnd w:id="507"/>
      <w:bookmarkEnd w:id="508"/>
      <w:bookmarkEnd w:id="509"/>
      <w:bookmarkEnd w:id="510"/>
      <w:bookmarkEnd w:id="511"/>
      <w:r w:rsidRPr="00913C78">
        <w:t>应按下式计算</w:t>
      </w:r>
      <w:r w:rsidRPr="00913C78">
        <w:rPr>
          <w:rFonts w:hint="eastAsia"/>
        </w:rPr>
        <w:t>：</w:t>
      </w:r>
    </w:p>
    <w:p w14:paraId="037CC4CD" w14:textId="050C97E9" w:rsidR="00A624AE" w:rsidRPr="00913C78" w:rsidRDefault="007C2C5F" w:rsidP="00F83296">
      <w:pPr>
        <w:pStyle w:val="af8"/>
      </w:pPr>
      <w:r>
        <w:tab/>
      </w:r>
      <m:oMath>
        <m:sSub>
          <m:sSubPr>
            <m:ctrlPr>
              <w:rPr>
                <w:rFonts w:ascii="Cambria Math" w:hAnsi="Cambria Math"/>
              </w:rPr>
            </m:ctrlPr>
          </m:sSubPr>
          <m:e>
            <m:r>
              <w:rPr>
                <w:rFonts w:ascii="Cambria Math" w:hAnsi="Cambria Math"/>
              </w:rPr>
              <m:t>Q</m:t>
            </m:r>
          </m:e>
          <m:sub>
            <m:r>
              <w:rPr>
                <w:rFonts w:ascii="Cambria Math" w:hAnsi="Cambria Math" w:hint="eastAsia"/>
              </w:rPr>
              <m:t>b</m:t>
            </m:r>
          </m:sub>
        </m:sSub>
        <m:r>
          <m:rPr>
            <m:sty m:val="p"/>
          </m:rPr>
          <w:rPr>
            <w:rFonts w:ascii="Cambria Math" w:hAnsi="Cambria Math" w:hint="eastAsia"/>
          </w:rPr>
          <m:t>=</m:t>
        </m:r>
        <m:sSub>
          <m:sSubPr>
            <m:ctrlPr>
              <w:rPr>
                <w:rFonts w:ascii="Cambria Math" w:hAnsi="Cambria Math"/>
              </w:rPr>
            </m:ctrlPr>
          </m:sSubPr>
          <m:e>
            <m:r>
              <w:rPr>
                <w:rFonts w:ascii="Cambria Math" w:hAnsi="Cambria Math"/>
              </w:rPr>
              <m:t>Q</m:t>
            </m:r>
          </m:e>
          <m:sub>
            <m:r>
              <w:rPr>
                <w:rFonts w:ascii="Cambria Math" w:hAnsi="Cambria Math" w:hint="eastAsia"/>
              </w:rPr>
              <m:t>b</m:t>
            </m:r>
            <m:r>
              <m:rPr>
                <m:sty m:val="p"/>
              </m:rPr>
              <w:rPr>
                <w:rFonts w:ascii="Cambria Math" w:hAnsi="Cambria Math"/>
              </w:rPr>
              <m:t>1</m:t>
            </m:r>
          </m:sub>
        </m:sSub>
        <m:r>
          <m:rPr>
            <m:sty m:val="p"/>
          </m:rPr>
          <w:rPr>
            <w:rFonts w:ascii="Cambria Math" w:hAnsi="Cambria Math"/>
          </w:rPr>
          <m:t>×</m:t>
        </m:r>
        <m:r>
          <w:rPr>
            <w:rFonts w:ascii="Cambria Math" w:hAnsi="Cambria Math"/>
          </w:rPr>
          <m:t>P</m:t>
        </m:r>
        <m:r>
          <m:rPr>
            <m:sty m:val="p"/>
          </m:rPr>
          <w:rPr>
            <w:rFonts w:ascii="Cambria Math" w:hAnsi="Cambria Math" w:hint="eastAsia"/>
          </w:rPr>
          <m:t>+</m:t>
        </m:r>
        <m:sSub>
          <m:sSubPr>
            <m:ctrlPr>
              <w:rPr>
                <w:rFonts w:ascii="Cambria Math" w:hAnsi="Cambria Math"/>
              </w:rPr>
            </m:ctrlPr>
          </m:sSubPr>
          <m:e>
            <m:r>
              <w:rPr>
                <w:rFonts w:ascii="Cambria Math" w:hAnsi="Cambria Math"/>
              </w:rPr>
              <m:t>Q</m:t>
            </m:r>
          </m:e>
          <m:sub>
            <m:r>
              <w:rPr>
                <w:rFonts w:ascii="Cambria Math" w:hAnsi="Cambria Math" w:hint="eastAsia"/>
              </w:rPr>
              <m:t>b</m:t>
            </m:r>
            <m:r>
              <m:rPr>
                <m:sty m:val="p"/>
              </m:rPr>
              <w:rPr>
                <w:rFonts w:ascii="Cambria Math" w:hAnsi="Cambria Math"/>
              </w:rPr>
              <m:t>2</m:t>
            </m:r>
          </m:sub>
        </m:sSub>
        <m:r>
          <m:rPr>
            <m:sty m:val="p"/>
          </m:rPr>
          <w:rPr>
            <w:rFonts w:ascii="Cambria Math" w:hAnsi="Cambria Math"/>
          </w:rPr>
          <m:t>×</m:t>
        </m:r>
        <m:r>
          <w:rPr>
            <w:rFonts w:ascii="Cambria Math" w:hAnsi="Cambria Math"/>
          </w:rPr>
          <m:t>A</m:t>
        </m:r>
      </m:oMath>
      <w:r>
        <w:rPr>
          <w:iCs/>
        </w:rPr>
        <w:tab/>
      </w:r>
      <w:r>
        <w:rPr>
          <w:rFonts w:hint="eastAsia"/>
        </w:rPr>
        <w:t>(</w:t>
      </w:r>
      <w:r>
        <w:t>B.7.4)</w:t>
      </w:r>
    </w:p>
    <w:p w14:paraId="3F34E7B9" w14:textId="77777777" w:rsidR="00913C78" w:rsidRPr="00913C78" w:rsidRDefault="00913C78" w:rsidP="00913C78">
      <w:pPr>
        <w:ind w:firstLine="420"/>
      </w:pPr>
      <w:bookmarkStart w:id="512" w:name="OLE_LINK552"/>
      <w:bookmarkStart w:id="513" w:name="OLE_LINK551"/>
      <w:r w:rsidRPr="00913C78">
        <w:t>式中：</w:t>
      </w:r>
      <w:r w:rsidRPr="00913C78">
        <w:t xml:space="preserve"> </w:t>
      </w:r>
      <w:bookmarkStart w:id="514" w:name="OLE_LINK42"/>
      <w:bookmarkStart w:id="515" w:name="OLE_LINK88"/>
      <w:bookmarkStart w:id="516" w:name="OLE_LINK41"/>
      <w:r w:rsidRPr="00913C78">
        <w:t>Q</w:t>
      </w:r>
      <w:r w:rsidRPr="00F83296">
        <w:rPr>
          <w:vertAlign w:val="subscript"/>
        </w:rPr>
        <w:t xml:space="preserve">b </w:t>
      </w:r>
      <w:r w:rsidRPr="00913C78">
        <w:t xml:space="preserve">   </w:t>
      </w:r>
      <w:bookmarkStart w:id="517" w:name="OLE_LINK284"/>
      <w:bookmarkStart w:id="518" w:name="OLE_LINK283"/>
      <w:bookmarkStart w:id="519" w:name="OLE_LINK282"/>
      <w:r w:rsidRPr="00913C78">
        <w:t>——</w:t>
      </w:r>
      <w:bookmarkEnd w:id="517"/>
      <w:bookmarkEnd w:id="518"/>
      <w:bookmarkEnd w:id="519"/>
      <w:r w:rsidRPr="00913C78">
        <w:t xml:space="preserve">  </w:t>
      </w:r>
      <w:bookmarkStart w:id="520" w:name="OLE_LINK105"/>
      <w:bookmarkStart w:id="521" w:name="OLE_LINK107"/>
      <w:bookmarkStart w:id="522" w:name="OLE_LINK106"/>
      <w:r w:rsidRPr="00913C78">
        <w:t>人员呼吸区的设计最小新风量</w:t>
      </w:r>
      <w:bookmarkEnd w:id="520"/>
      <w:bookmarkEnd w:id="521"/>
      <w:bookmarkEnd w:id="522"/>
      <w:r w:rsidRPr="00913C78">
        <w:rPr>
          <w:rFonts w:hint="eastAsia"/>
        </w:rPr>
        <w:t>（</w:t>
      </w:r>
      <w:r w:rsidRPr="00913C78">
        <w:t>m</w:t>
      </w:r>
      <w:r w:rsidRPr="00F83296">
        <w:rPr>
          <w:vertAlign w:val="superscript"/>
        </w:rPr>
        <w:t>3</w:t>
      </w:r>
      <w:r w:rsidRPr="00913C78">
        <w:t>/h</w:t>
      </w:r>
      <w:r w:rsidRPr="00913C78">
        <w:rPr>
          <w:rFonts w:hint="eastAsia"/>
        </w:rPr>
        <w:t>）；</w:t>
      </w:r>
    </w:p>
    <w:p w14:paraId="6BAA6A7D" w14:textId="77777777" w:rsidR="00913C78" w:rsidRPr="00913C78" w:rsidRDefault="00913C78" w:rsidP="00213A3F">
      <w:pPr>
        <w:ind w:leftChars="337" w:left="708" w:firstLine="420"/>
      </w:pPr>
      <w:bookmarkStart w:id="523" w:name="OLE_LINK89"/>
      <w:bookmarkStart w:id="524" w:name="OLE_LINK92"/>
      <w:r w:rsidRPr="00913C78">
        <w:t>Q</w:t>
      </w:r>
      <w:r w:rsidRPr="00F83296">
        <w:rPr>
          <w:vertAlign w:val="subscript"/>
        </w:rPr>
        <w:t>b</w:t>
      </w:r>
      <w:bookmarkEnd w:id="514"/>
      <w:bookmarkEnd w:id="515"/>
      <w:bookmarkEnd w:id="516"/>
      <w:r w:rsidRPr="00F83296">
        <w:rPr>
          <w:vertAlign w:val="subscript"/>
        </w:rPr>
        <w:t>1</w:t>
      </w:r>
      <w:r w:rsidRPr="00913C78">
        <w:t xml:space="preserve">   ——  </w:t>
      </w:r>
      <w:r w:rsidRPr="00913C78">
        <w:t>人员所需最小新风量</w:t>
      </w:r>
      <w:r w:rsidRPr="00913C78">
        <w:rPr>
          <w:rFonts w:hint="eastAsia"/>
        </w:rPr>
        <w:t>[</w:t>
      </w:r>
      <w:r w:rsidRPr="00913C78">
        <w:t>m</w:t>
      </w:r>
      <w:r w:rsidRPr="00F83296">
        <w:rPr>
          <w:vertAlign w:val="superscript"/>
        </w:rPr>
        <w:t>3</w:t>
      </w:r>
      <w:r w:rsidRPr="00913C78">
        <w:t>/</w:t>
      </w:r>
      <w:r w:rsidRPr="00913C78">
        <w:rPr>
          <w:rFonts w:hint="eastAsia"/>
        </w:rPr>
        <w:t>(</w:t>
      </w:r>
      <w:r w:rsidRPr="00913C78">
        <w:t>h·</w:t>
      </w:r>
      <w:r w:rsidRPr="00913C78">
        <w:t>人</w:t>
      </w:r>
      <w:r w:rsidRPr="00913C78">
        <w:rPr>
          <w:rFonts w:hint="eastAsia"/>
        </w:rPr>
        <w:t>)]</w:t>
      </w:r>
      <w:bookmarkEnd w:id="523"/>
      <w:bookmarkEnd w:id="524"/>
      <w:r w:rsidRPr="00913C78">
        <w:t>；</w:t>
      </w:r>
    </w:p>
    <w:p w14:paraId="03C425CA" w14:textId="77777777" w:rsidR="00913C78" w:rsidRPr="00913C78" w:rsidRDefault="00913C78" w:rsidP="00213A3F">
      <w:pPr>
        <w:ind w:leftChars="337" w:left="708" w:firstLine="420"/>
      </w:pPr>
      <w:r w:rsidRPr="00913C78">
        <w:t xml:space="preserve">P   ——  </w:t>
      </w:r>
      <w:r w:rsidRPr="00913C78">
        <w:t>室内人数</w:t>
      </w:r>
      <w:r w:rsidRPr="00913C78">
        <w:rPr>
          <w:rFonts w:hint="eastAsia"/>
        </w:rPr>
        <w:t>（</w:t>
      </w:r>
      <w:r w:rsidRPr="00913C78">
        <w:t>人</w:t>
      </w:r>
      <w:r w:rsidRPr="00913C78">
        <w:rPr>
          <w:rFonts w:hint="eastAsia"/>
        </w:rPr>
        <w:t>）</w:t>
      </w:r>
      <w:r w:rsidRPr="00913C78">
        <w:t>；</w:t>
      </w:r>
    </w:p>
    <w:p w14:paraId="16EA6AE9" w14:textId="77777777" w:rsidR="00913C78" w:rsidRPr="00913C78" w:rsidRDefault="00913C78" w:rsidP="00213A3F">
      <w:pPr>
        <w:ind w:leftChars="337" w:left="708" w:firstLine="420"/>
      </w:pPr>
      <w:r w:rsidRPr="00913C78">
        <w:t>Q</w:t>
      </w:r>
      <w:r w:rsidRPr="00F83296">
        <w:rPr>
          <w:vertAlign w:val="subscript"/>
        </w:rPr>
        <w:t>b2</w:t>
      </w:r>
      <w:r w:rsidRPr="00913C78">
        <w:t xml:space="preserve">  —— </w:t>
      </w:r>
      <w:r w:rsidRPr="00913C78">
        <w:t>单位地板面积所需最小新风量</w:t>
      </w:r>
      <w:r w:rsidRPr="00913C78">
        <w:rPr>
          <w:rFonts w:hint="eastAsia"/>
        </w:rPr>
        <w:t>[</w:t>
      </w:r>
      <w:r w:rsidRPr="00913C78">
        <w:t>m</w:t>
      </w:r>
      <w:r w:rsidRPr="00F83296">
        <w:rPr>
          <w:vertAlign w:val="superscript"/>
        </w:rPr>
        <w:t>3</w:t>
      </w:r>
      <w:r w:rsidRPr="00913C78">
        <w:t>/</w:t>
      </w:r>
      <w:r w:rsidRPr="00913C78">
        <w:rPr>
          <w:rFonts w:hint="eastAsia"/>
        </w:rPr>
        <w:t>(</w:t>
      </w:r>
      <w:r w:rsidRPr="00913C78">
        <w:t>h·m</w:t>
      </w:r>
      <w:r w:rsidRPr="00F83296">
        <w:rPr>
          <w:vertAlign w:val="superscript"/>
        </w:rPr>
        <w:t>2</w:t>
      </w:r>
      <w:r w:rsidRPr="00913C78">
        <w:rPr>
          <w:rFonts w:hint="eastAsia"/>
        </w:rPr>
        <w:t>)]</w:t>
      </w:r>
      <w:r w:rsidRPr="00913C78">
        <w:t>；</w:t>
      </w:r>
    </w:p>
    <w:p w14:paraId="3A142CC9" w14:textId="77777777" w:rsidR="00913C78" w:rsidRPr="00913C78" w:rsidRDefault="00913C78" w:rsidP="00213A3F">
      <w:pPr>
        <w:ind w:leftChars="337" w:left="708" w:firstLine="420"/>
      </w:pPr>
      <w:r w:rsidRPr="00913C78">
        <w:t xml:space="preserve">A </w:t>
      </w:r>
      <w:r w:rsidRPr="00913C78">
        <w:rPr>
          <w:rFonts w:hint="eastAsia"/>
        </w:rPr>
        <w:t xml:space="preserve"> </w:t>
      </w:r>
      <w:r w:rsidRPr="00913C78">
        <w:t xml:space="preserve"> ——  </w:t>
      </w:r>
      <w:r w:rsidRPr="00913C78">
        <w:t>人员呼吸区的地板面积</w:t>
      </w:r>
      <w:r w:rsidRPr="00913C78">
        <w:rPr>
          <w:rFonts w:hint="eastAsia"/>
        </w:rPr>
        <w:t>（</w:t>
      </w:r>
      <w:r w:rsidRPr="00913C78">
        <w:t>m</w:t>
      </w:r>
      <w:r w:rsidRPr="00F83296">
        <w:rPr>
          <w:vertAlign w:val="superscript"/>
        </w:rPr>
        <w:t>2</w:t>
      </w:r>
      <w:r w:rsidRPr="00913C78">
        <w:rPr>
          <w:rFonts w:hint="eastAsia"/>
        </w:rPr>
        <w:t>）。</w:t>
      </w:r>
    </w:p>
    <w:bookmarkEnd w:id="512"/>
    <w:bookmarkEnd w:id="513"/>
    <w:p w14:paraId="3306E114" w14:textId="77777777" w:rsidR="00913C78" w:rsidRPr="00913C78" w:rsidRDefault="00913C78" w:rsidP="00913C78">
      <w:pPr>
        <w:ind w:firstLine="420"/>
      </w:pPr>
      <w:r w:rsidRPr="00913C78">
        <w:rPr>
          <w:rFonts w:hint="eastAsia"/>
        </w:rPr>
        <w:t>人员</w:t>
      </w:r>
      <w:r w:rsidRPr="00913C78">
        <w:t>所需最小新风量（</w:t>
      </w:r>
      <w:r w:rsidRPr="00913C78">
        <w:t>Q</w:t>
      </w:r>
      <w:r w:rsidRPr="00F83296">
        <w:rPr>
          <w:vertAlign w:val="subscript"/>
        </w:rPr>
        <w:t>b1</w:t>
      </w:r>
      <w:r w:rsidRPr="00913C78">
        <w:t>）应</w:t>
      </w:r>
      <w:r w:rsidRPr="00913C78">
        <w:rPr>
          <w:rFonts w:hint="eastAsia"/>
        </w:rPr>
        <w:t>符合</w:t>
      </w:r>
      <w:r w:rsidRPr="00913C78">
        <w:t>现行国家标准《民用建筑供暖通风与空气调节设计规范》</w:t>
      </w:r>
      <w:r w:rsidRPr="00913C78">
        <w:t>GB 50736</w:t>
      </w:r>
      <w:r w:rsidRPr="00913C78">
        <w:t>的规定。</w:t>
      </w:r>
    </w:p>
    <w:p w14:paraId="29F58FBD" w14:textId="77777777" w:rsidR="00913C78" w:rsidRPr="00913C78" w:rsidRDefault="00913C78" w:rsidP="00913C78">
      <w:pPr>
        <w:ind w:firstLine="420"/>
      </w:pPr>
      <w:bookmarkStart w:id="525" w:name="OLE_LINK943"/>
      <w:r w:rsidRPr="00913C78">
        <w:t>单位地板面积所需最小新风量</w:t>
      </w:r>
      <w:bookmarkEnd w:id="525"/>
      <w:r w:rsidRPr="00913C78">
        <w:t>（</w:t>
      </w:r>
      <w:r w:rsidRPr="00913C78">
        <w:t>Q</w:t>
      </w:r>
      <w:r w:rsidRPr="00F83296">
        <w:rPr>
          <w:vertAlign w:val="subscript"/>
        </w:rPr>
        <w:t>b2</w:t>
      </w:r>
      <w:r w:rsidRPr="00913C78">
        <w:t>）</w:t>
      </w:r>
      <w:r w:rsidRPr="00913C78">
        <w:rPr>
          <w:rFonts w:hint="eastAsia"/>
        </w:rPr>
        <w:t>应</w:t>
      </w:r>
      <w:r w:rsidRPr="00913C78">
        <w:t>按表</w:t>
      </w:r>
      <w:bookmarkStart w:id="526" w:name="OLE_LINK22"/>
      <w:r w:rsidRPr="00913C78">
        <w:rPr>
          <w:rFonts w:hint="eastAsia"/>
        </w:rPr>
        <w:t>B</w:t>
      </w:r>
      <w:r w:rsidRPr="00913C78">
        <w:t>.</w:t>
      </w:r>
      <w:r w:rsidRPr="00913C78">
        <w:rPr>
          <w:rFonts w:hint="eastAsia"/>
        </w:rPr>
        <w:t>7</w:t>
      </w:r>
      <w:r w:rsidRPr="00913C78">
        <w:t>.</w:t>
      </w:r>
      <w:r w:rsidRPr="00913C78">
        <w:rPr>
          <w:rFonts w:hint="eastAsia"/>
        </w:rPr>
        <w:t>3</w:t>
      </w:r>
      <w:bookmarkEnd w:id="526"/>
      <w:r w:rsidRPr="00913C78">
        <w:t>取值。</w:t>
      </w:r>
    </w:p>
    <w:p w14:paraId="4C980679" w14:textId="77777777" w:rsidR="00913C78" w:rsidRPr="00913C78" w:rsidRDefault="00913C78" w:rsidP="00213A3F">
      <w:pPr>
        <w:pStyle w:val="ae"/>
      </w:pPr>
      <w:r w:rsidRPr="00913C78">
        <w:t>表</w:t>
      </w:r>
      <w:bookmarkStart w:id="527" w:name="OLE_LINK23"/>
      <w:r w:rsidRPr="00913C78">
        <w:rPr>
          <w:rFonts w:hint="eastAsia"/>
        </w:rPr>
        <w:t>B</w:t>
      </w:r>
      <w:r w:rsidRPr="00913C78">
        <w:t>.</w:t>
      </w:r>
      <w:r w:rsidRPr="00913C78">
        <w:rPr>
          <w:rFonts w:hint="eastAsia"/>
        </w:rPr>
        <w:t>7</w:t>
      </w:r>
      <w:r w:rsidRPr="00913C78">
        <w:t>.</w:t>
      </w:r>
      <w:r w:rsidRPr="00913C78">
        <w:rPr>
          <w:rFonts w:hint="eastAsia"/>
        </w:rPr>
        <w:t>3</w:t>
      </w:r>
      <w:bookmarkEnd w:id="527"/>
      <w:r w:rsidRPr="00913C78">
        <w:t xml:space="preserve"> </w:t>
      </w:r>
      <w:r w:rsidRPr="00913C78">
        <w:t>单位地板面积</w:t>
      </w:r>
      <w:r w:rsidRPr="00913C78">
        <w:rPr>
          <w:rFonts w:hint="eastAsia"/>
        </w:rPr>
        <w:t>所需最小新风量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58"/>
        <w:gridCol w:w="3959"/>
      </w:tblGrid>
      <w:tr w:rsidR="00913C78" w:rsidRPr="00213A3F" w14:paraId="56B13573" w14:textId="77777777" w:rsidTr="00913C78">
        <w:trPr>
          <w:jc w:val="center"/>
        </w:trPr>
        <w:tc>
          <w:tcPr>
            <w:tcW w:w="3858" w:type="dxa"/>
            <w:vAlign w:val="center"/>
          </w:tcPr>
          <w:p w14:paraId="7F3D2E5D" w14:textId="77777777" w:rsidR="00913C78" w:rsidRPr="00213A3F" w:rsidRDefault="00913C78" w:rsidP="00213A3F">
            <w:pPr>
              <w:pStyle w:val="ae"/>
              <w:rPr>
                <w:b w:val="0"/>
                <w:bCs/>
              </w:rPr>
            </w:pPr>
            <w:r w:rsidRPr="00213A3F">
              <w:rPr>
                <w:b w:val="0"/>
                <w:bCs/>
              </w:rPr>
              <w:t>建筑分类</w:t>
            </w:r>
          </w:p>
        </w:tc>
        <w:tc>
          <w:tcPr>
            <w:tcW w:w="3959" w:type="dxa"/>
            <w:vAlign w:val="center"/>
          </w:tcPr>
          <w:p w14:paraId="6928A0E4" w14:textId="77777777" w:rsidR="00913C78" w:rsidRPr="00213A3F" w:rsidRDefault="00913C78" w:rsidP="00213A3F">
            <w:pPr>
              <w:pStyle w:val="ae"/>
              <w:rPr>
                <w:b w:val="0"/>
                <w:bCs/>
              </w:rPr>
            </w:pPr>
            <w:r w:rsidRPr="00213A3F">
              <w:rPr>
                <w:b w:val="0"/>
                <w:bCs/>
              </w:rPr>
              <w:t>建筑新风指标（</w:t>
            </w:r>
            <w:r w:rsidRPr="00213A3F">
              <w:rPr>
                <w:b w:val="0"/>
                <w:bCs/>
              </w:rPr>
              <w:t>m</w:t>
            </w:r>
            <w:r w:rsidRPr="00F83296">
              <w:rPr>
                <w:b w:val="0"/>
                <w:bCs/>
                <w:vertAlign w:val="superscript"/>
              </w:rPr>
              <w:t>3</w:t>
            </w:r>
            <w:r w:rsidRPr="00213A3F">
              <w:rPr>
                <w:b w:val="0"/>
                <w:bCs/>
              </w:rPr>
              <w:t>/</w:t>
            </w:r>
            <w:r w:rsidRPr="00213A3F">
              <w:rPr>
                <w:rFonts w:hint="eastAsia"/>
                <w:b w:val="0"/>
                <w:bCs/>
              </w:rPr>
              <w:t>（</w:t>
            </w:r>
            <w:r w:rsidRPr="00213A3F">
              <w:rPr>
                <w:b w:val="0"/>
                <w:bCs/>
              </w:rPr>
              <w:t>h·m</w:t>
            </w:r>
            <w:r w:rsidRPr="00F83296">
              <w:rPr>
                <w:b w:val="0"/>
                <w:bCs/>
                <w:vertAlign w:val="superscript"/>
              </w:rPr>
              <w:t>2</w:t>
            </w:r>
            <w:r w:rsidRPr="00213A3F">
              <w:rPr>
                <w:rFonts w:hint="eastAsia"/>
                <w:b w:val="0"/>
                <w:bCs/>
              </w:rPr>
              <w:t>）</w:t>
            </w:r>
            <w:r w:rsidRPr="00213A3F">
              <w:rPr>
                <w:b w:val="0"/>
                <w:bCs/>
              </w:rPr>
              <w:t>)</w:t>
            </w:r>
          </w:p>
        </w:tc>
      </w:tr>
      <w:tr w:rsidR="00913C78" w:rsidRPr="00213A3F" w14:paraId="0BFFB85D" w14:textId="77777777" w:rsidTr="00913C78">
        <w:trPr>
          <w:jc w:val="center"/>
        </w:trPr>
        <w:tc>
          <w:tcPr>
            <w:tcW w:w="3858" w:type="dxa"/>
            <w:vAlign w:val="center"/>
          </w:tcPr>
          <w:p w14:paraId="675C68D2" w14:textId="77777777" w:rsidR="00913C78" w:rsidRPr="00213A3F" w:rsidRDefault="00913C78" w:rsidP="00213A3F">
            <w:pPr>
              <w:pStyle w:val="ae"/>
              <w:rPr>
                <w:b w:val="0"/>
                <w:bCs/>
              </w:rPr>
            </w:pPr>
            <w:r w:rsidRPr="00213A3F">
              <w:rPr>
                <w:b w:val="0"/>
                <w:bCs/>
              </w:rPr>
              <w:t>低污染建筑</w:t>
            </w:r>
          </w:p>
        </w:tc>
        <w:tc>
          <w:tcPr>
            <w:tcW w:w="3959" w:type="dxa"/>
            <w:vAlign w:val="center"/>
          </w:tcPr>
          <w:p w14:paraId="5F2E3DA4" w14:textId="77777777" w:rsidR="00913C78" w:rsidRPr="00213A3F" w:rsidRDefault="00913C78" w:rsidP="00213A3F">
            <w:pPr>
              <w:pStyle w:val="ae"/>
              <w:rPr>
                <w:b w:val="0"/>
                <w:bCs/>
              </w:rPr>
            </w:pPr>
            <w:r w:rsidRPr="00213A3F">
              <w:rPr>
                <w:b w:val="0"/>
                <w:bCs/>
              </w:rPr>
              <w:t>0</w:t>
            </w:r>
          </w:p>
        </w:tc>
      </w:tr>
      <w:tr w:rsidR="00913C78" w:rsidRPr="00213A3F" w14:paraId="13E9AFB2" w14:textId="77777777" w:rsidTr="00913C78">
        <w:trPr>
          <w:jc w:val="center"/>
        </w:trPr>
        <w:tc>
          <w:tcPr>
            <w:tcW w:w="3858" w:type="dxa"/>
            <w:vAlign w:val="center"/>
          </w:tcPr>
          <w:p w14:paraId="6C507DF5" w14:textId="77777777" w:rsidR="00913C78" w:rsidRPr="00213A3F" w:rsidRDefault="00913C78" w:rsidP="00213A3F">
            <w:pPr>
              <w:pStyle w:val="ae"/>
              <w:rPr>
                <w:b w:val="0"/>
                <w:bCs/>
              </w:rPr>
            </w:pPr>
            <w:r w:rsidRPr="00213A3F">
              <w:rPr>
                <w:b w:val="0"/>
                <w:bCs/>
              </w:rPr>
              <w:t>中污染建筑</w:t>
            </w:r>
          </w:p>
        </w:tc>
        <w:tc>
          <w:tcPr>
            <w:tcW w:w="3959" w:type="dxa"/>
            <w:vAlign w:val="center"/>
          </w:tcPr>
          <w:p w14:paraId="66FD065B" w14:textId="77777777" w:rsidR="00913C78" w:rsidRPr="00213A3F" w:rsidRDefault="00913C78" w:rsidP="00213A3F">
            <w:pPr>
              <w:pStyle w:val="ae"/>
              <w:rPr>
                <w:b w:val="0"/>
                <w:bCs/>
              </w:rPr>
            </w:pPr>
            <w:r w:rsidRPr="00213A3F">
              <w:rPr>
                <w:b w:val="0"/>
                <w:bCs/>
              </w:rPr>
              <w:t>2.16</w:t>
            </w:r>
          </w:p>
        </w:tc>
      </w:tr>
      <w:tr w:rsidR="00913C78" w:rsidRPr="00213A3F" w14:paraId="3DE74F12" w14:textId="77777777" w:rsidTr="00913C78">
        <w:trPr>
          <w:jc w:val="center"/>
        </w:trPr>
        <w:tc>
          <w:tcPr>
            <w:tcW w:w="3858" w:type="dxa"/>
            <w:vAlign w:val="center"/>
          </w:tcPr>
          <w:p w14:paraId="070602F4" w14:textId="77777777" w:rsidR="00913C78" w:rsidRPr="00213A3F" w:rsidRDefault="00913C78" w:rsidP="00213A3F">
            <w:pPr>
              <w:pStyle w:val="ae"/>
              <w:rPr>
                <w:b w:val="0"/>
                <w:bCs/>
              </w:rPr>
            </w:pPr>
            <w:r w:rsidRPr="00213A3F">
              <w:rPr>
                <w:b w:val="0"/>
                <w:bCs/>
              </w:rPr>
              <w:t>高污染建筑</w:t>
            </w:r>
          </w:p>
        </w:tc>
        <w:tc>
          <w:tcPr>
            <w:tcW w:w="3959" w:type="dxa"/>
            <w:vAlign w:val="center"/>
          </w:tcPr>
          <w:p w14:paraId="0CAC0277" w14:textId="77777777" w:rsidR="00913C78" w:rsidRPr="00213A3F" w:rsidRDefault="00913C78" w:rsidP="00213A3F">
            <w:pPr>
              <w:pStyle w:val="ae"/>
              <w:rPr>
                <w:b w:val="0"/>
                <w:bCs/>
              </w:rPr>
            </w:pPr>
            <w:r w:rsidRPr="00213A3F">
              <w:rPr>
                <w:b w:val="0"/>
                <w:bCs/>
              </w:rPr>
              <w:t>3.24</w:t>
            </w:r>
          </w:p>
        </w:tc>
      </w:tr>
    </w:tbl>
    <w:p w14:paraId="6DD13616" w14:textId="77777777" w:rsidR="00913C78" w:rsidRPr="00913C78" w:rsidRDefault="00913C78" w:rsidP="00913C78">
      <w:pPr>
        <w:ind w:firstLine="420"/>
      </w:pPr>
      <w:r w:rsidRPr="00913C78">
        <w:rPr>
          <w:rFonts w:hint="eastAsia"/>
        </w:rPr>
        <w:t>公共建筑污染等级应分为一级污染建筑、二级污染建筑和三级污染建筑。一级污染建筑应为</w:t>
      </w:r>
      <w:r w:rsidRPr="00913C78">
        <w:rPr>
          <w:rFonts w:hint="eastAsia"/>
        </w:rPr>
        <w:t>100</w:t>
      </w:r>
      <w:r w:rsidRPr="00913C78">
        <w:rPr>
          <w:rFonts w:hint="eastAsia"/>
        </w:rPr>
        <w:t>％使用一级材料或使用二级材料不超过</w:t>
      </w:r>
      <w:r w:rsidRPr="00913C78">
        <w:rPr>
          <w:rFonts w:hint="eastAsia"/>
        </w:rPr>
        <w:t>20</w:t>
      </w:r>
      <w:r w:rsidRPr="00913C78">
        <w:rPr>
          <w:rFonts w:hint="eastAsia"/>
        </w:rPr>
        <w:t>％的建筑。二级污染建筑应为</w:t>
      </w:r>
      <w:r w:rsidRPr="00913C78">
        <w:rPr>
          <w:rFonts w:hint="eastAsia"/>
        </w:rPr>
        <w:t>100</w:t>
      </w:r>
      <w:r w:rsidRPr="00913C78">
        <w:rPr>
          <w:rFonts w:hint="eastAsia"/>
        </w:rPr>
        <w:t>％使用二级材料或使用三级材料不超过</w:t>
      </w:r>
      <w:r w:rsidRPr="00913C78">
        <w:rPr>
          <w:rFonts w:hint="eastAsia"/>
        </w:rPr>
        <w:t>20</w:t>
      </w:r>
      <w:r w:rsidRPr="00913C78">
        <w:rPr>
          <w:rFonts w:hint="eastAsia"/>
        </w:rPr>
        <w:t>％的建筑。三级污染建筑应为不属于一级污染建筑及二级污染建筑的建筑。</w:t>
      </w:r>
    </w:p>
    <w:p w14:paraId="58A22453" w14:textId="1387DC55" w:rsidR="00213A3F" w:rsidRDefault="00913C78" w:rsidP="00A624AE">
      <w:pPr>
        <w:ind w:firstLine="420"/>
      </w:pPr>
      <w:bookmarkStart w:id="528" w:name="OLE_LINK926"/>
      <w:bookmarkStart w:id="529" w:name="OLE_LINK927"/>
      <w:r w:rsidRPr="00913C78">
        <w:rPr>
          <w:rFonts w:hint="eastAsia"/>
        </w:rPr>
        <w:t>装饰装修材料污染</w:t>
      </w:r>
      <w:bookmarkEnd w:id="528"/>
      <w:bookmarkEnd w:id="529"/>
      <w:r w:rsidRPr="00913C78">
        <w:rPr>
          <w:rFonts w:hint="eastAsia"/>
        </w:rPr>
        <w:t>物释放率分级应符合表</w:t>
      </w:r>
      <w:bookmarkStart w:id="530" w:name="OLE_LINK24"/>
      <w:r w:rsidRPr="00913C78">
        <w:rPr>
          <w:rFonts w:hint="eastAsia"/>
        </w:rPr>
        <w:t>B</w:t>
      </w:r>
      <w:r w:rsidRPr="00913C78">
        <w:t>.</w:t>
      </w:r>
      <w:r w:rsidRPr="00913C78">
        <w:rPr>
          <w:rFonts w:hint="eastAsia"/>
        </w:rPr>
        <w:t>7</w:t>
      </w:r>
      <w:r w:rsidRPr="00913C78">
        <w:t>.</w:t>
      </w:r>
      <w:r w:rsidRPr="00913C78">
        <w:rPr>
          <w:rFonts w:hint="eastAsia"/>
        </w:rPr>
        <w:t>4</w:t>
      </w:r>
      <w:bookmarkEnd w:id="530"/>
      <w:r w:rsidRPr="00913C78">
        <w:rPr>
          <w:rFonts w:hint="eastAsia"/>
        </w:rPr>
        <w:t>的规定。</w:t>
      </w:r>
      <w:bookmarkStart w:id="531" w:name="OLE_LINK38"/>
      <w:bookmarkStart w:id="532" w:name="OLE_LINK37"/>
      <w:bookmarkStart w:id="533" w:name="OLE_LINK39"/>
    </w:p>
    <w:p w14:paraId="24C92718" w14:textId="71DA23F3" w:rsidR="00913C78" w:rsidRPr="00913C78" w:rsidRDefault="00913C78" w:rsidP="00213A3F">
      <w:pPr>
        <w:pStyle w:val="ae"/>
      </w:pPr>
      <w:r w:rsidRPr="00913C78">
        <w:t>表</w:t>
      </w:r>
      <w:r w:rsidRPr="00913C78">
        <w:t xml:space="preserve"> </w:t>
      </w:r>
      <w:r w:rsidRPr="00913C78">
        <w:rPr>
          <w:rFonts w:hint="eastAsia"/>
        </w:rPr>
        <w:t>B</w:t>
      </w:r>
      <w:r w:rsidRPr="00913C78">
        <w:t>.</w:t>
      </w:r>
      <w:r w:rsidRPr="00913C78">
        <w:rPr>
          <w:rFonts w:hint="eastAsia"/>
        </w:rPr>
        <w:t>7</w:t>
      </w:r>
      <w:r w:rsidRPr="00913C78">
        <w:t>.</w:t>
      </w:r>
      <w:r w:rsidRPr="00913C78">
        <w:rPr>
          <w:rFonts w:hint="eastAsia"/>
        </w:rPr>
        <w:t>4</w:t>
      </w:r>
      <w:r w:rsidRPr="00913C78">
        <w:t>装饰装修材料污染物释放率</w:t>
      </w:r>
      <w:r w:rsidRPr="00913C78">
        <w:rPr>
          <w:rFonts w:hint="eastAsia"/>
        </w:rPr>
        <w:t>(E)</w:t>
      </w:r>
      <w:r w:rsidRPr="00913C78">
        <w:rPr>
          <w:rFonts w:hint="eastAsia"/>
        </w:rPr>
        <w:t>分级</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1879"/>
        <w:gridCol w:w="1843"/>
        <w:gridCol w:w="1806"/>
      </w:tblGrid>
      <w:tr w:rsidR="00913C78" w:rsidRPr="00213A3F" w14:paraId="564E54FB" w14:textId="77777777" w:rsidTr="00913C78">
        <w:trPr>
          <w:jc w:val="center"/>
        </w:trPr>
        <w:tc>
          <w:tcPr>
            <w:tcW w:w="3190" w:type="dxa"/>
            <w:vAlign w:val="center"/>
          </w:tcPr>
          <w:p w14:paraId="53ED95EA" w14:textId="77777777" w:rsidR="00913C78" w:rsidRPr="00213A3F" w:rsidRDefault="00913C78" w:rsidP="00213A3F">
            <w:pPr>
              <w:pStyle w:val="ae"/>
              <w:rPr>
                <w:b w:val="0"/>
                <w:bCs/>
              </w:rPr>
            </w:pPr>
            <w:r w:rsidRPr="00213A3F">
              <w:rPr>
                <w:b w:val="0"/>
                <w:bCs/>
              </w:rPr>
              <w:t>材料类别</w:t>
            </w:r>
          </w:p>
        </w:tc>
        <w:tc>
          <w:tcPr>
            <w:tcW w:w="1879" w:type="dxa"/>
            <w:vAlign w:val="center"/>
          </w:tcPr>
          <w:p w14:paraId="5C9D15D0" w14:textId="77777777" w:rsidR="00913C78" w:rsidRPr="00213A3F" w:rsidRDefault="00913C78" w:rsidP="00213A3F">
            <w:pPr>
              <w:pStyle w:val="ae"/>
              <w:rPr>
                <w:b w:val="0"/>
                <w:bCs/>
              </w:rPr>
            </w:pPr>
            <w:r w:rsidRPr="00213A3F">
              <w:rPr>
                <w:b w:val="0"/>
                <w:bCs/>
              </w:rPr>
              <w:t>一级</w:t>
            </w:r>
          </w:p>
          <w:p w14:paraId="115AA44F" w14:textId="77777777" w:rsidR="00913C78" w:rsidRPr="00213A3F" w:rsidRDefault="00913C78" w:rsidP="00213A3F">
            <w:pPr>
              <w:pStyle w:val="ae"/>
              <w:rPr>
                <w:b w:val="0"/>
                <w:bCs/>
              </w:rPr>
            </w:pPr>
            <w:r w:rsidRPr="00213A3F">
              <w:rPr>
                <w:b w:val="0"/>
                <w:bCs/>
              </w:rPr>
              <w:t>（</w:t>
            </w:r>
            <w:r w:rsidRPr="00213A3F">
              <w:rPr>
                <w:b w:val="0"/>
                <w:bCs/>
              </w:rPr>
              <w:t>mg/m</w:t>
            </w:r>
            <w:r w:rsidRPr="00643310">
              <w:rPr>
                <w:b w:val="0"/>
                <w:bCs/>
                <w:vertAlign w:val="superscript"/>
              </w:rPr>
              <w:t>2</w:t>
            </w:r>
            <w:bookmarkStart w:id="534" w:name="OLE_LINK575"/>
            <w:bookmarkStart w:id="535" w:name="OLE_LINK574"/>
            <w:r w:rsidRPr="00213A3F">
              <w:rPr>
                <w:b w:val="0"/>
                <w:bCs/>
              </w:rPr>
              <w:t>·</w:t>
            </w:r>
            <w:bookmarkEnd w:id="534"/>
            <w:bookmarkEnd w:id="535"/>
            <w:r w:rsidRPr="00213A3F">
              <w:rPr>
                <w:b w:val="0"/>
                <w:bCs/>
              </w:rPr>
              <w:t>h</w:t>
            </w:r>
            <w:r w:rsidRPr="00213A3F">
              <w:rPr>
                <w:b w:val="0"/>
                <w:bCs/>
              </w:rPr>
              <w:t>）</w:t>
            </w:r>
          </w:p>
        </w:tc>
        <w:tc>
          <w:tcPr>
            <w:tcW w:w="1843" w:type="dxa"/>
            <w:vAlign w:val="center"/>
          </w:tcPr>
          <w:p w14:paraId="5D5E12B6" w14:textId="77777777" w:rsidR="00913C78" w:rsidRPr="00213A3F" w:rsidRDefault="00913C78" w:rsidP="00213A3F">
            <w:pPr>
              <w:pStyle w:val="ae"/>
              <w:rPr>
                <w:b w:val="0"/>
                <w:bCs/>
              </w:rPr>
            </w:pPr>
            <w:r w:rsidRPr="00213A3F">
              <w:rPr>
                <w:b w:val="0"/>
                <w:bCs/>
              </w:rPr>
              <w:t>二级</w:t>
            </w:r>
          </w:p>
          <w:p w14:paraId="7D00A9CE" w14:textId="77777777" w:rsidR="00913C78" w:rsidRPr="00213A3F" w:rsidRDefault="00913C78" w:rsidP="00213A3F">
            <w:pPr>
              <w:pStyle w:val="ae"/>
              <w:rPr>
                <w:b w:val="0"/>
                <w:bCs/>
              </w:rPr>
            </w:pPr>
            <w:r w:rsidRPr="00213A3F">
              <w:rPr>
                <w:b w:val="0"/>
                <w:bCs/>
              </w:rPr>
              <w:t>（</w:t>
            </w:r>
            <w:r w:rsidRPr="00213A3F">
              <w:rPr>
                <w:b w:val="0"/>
                <w:bCs/>
              </w:rPr>
              <w:t>mg/m</w:t>
            </w:r>
            <w:r w:rsidRPr="00643310">
              <w:rPr>
                <w:b w:val="0"/>
                <w:bCs/>
                <w:vertAlign w:val="superscript"/>
              </w:rPr>
              <w:t>2</w:t>
            </w:r>
            <w:r w:rsidRPr="00213A3F">
              <w:rPr>
                <w:b w:val="0"/>
                <w:bCs/>
              </w:rPr>
              <w:t>·h</w:t>
            </w:r>
            <w:r w:rsidRPr="00213A3F">
              <w:rPr>
                <w:b w:val="0"/>
                <w:bCs/>
              </w:rPr>
              <w:t>）</w:t>
            </w:r>
          </w:p>
        </w:tc>
        <w:tc>
          <w:tcPr>
            <w:tcW w:w="1806" w:type="dxa"/>
            <w:vAlign w:val="center"/>
          </w:tcPr>
          <w:p w14:paraId="1D7F2DF0" w14:textId="77777777" w:rsidR="00913C78" w:rsidRPr="00213A3F" w:rsidRDefault="00913C78" w:rsidP="00213A3F">
            <w:pPr>
              <w:pStyle w:val="ae"/>
              <w:rPr>
                <w:b w:val="0"/>
                <w:bCs/>
              </w:rPr>
            </w:pPr>
            <w:r w:rsidRPr="00213A3F">
              <w:rPr>
                <w:b w:val="0"/>
                <w:bCs/>
              </w:rPr>
              <w:t>三级</w:t>
            </w:r>
          </w:p>
          <w:p w14:paraId="33120B75" w14:textId="77777777" w:rsidR="00913C78" w:rsidRPr="00213A3F" w:rsidRDefault="00913C78" w:rsidP="00213A3F">
            <w:pPr>
              <w:pStyle w:val="ae"/>
              <w:rPr>
                <w:b w:val="0"/>
                <w:bCs/>
              </w:rPr>
            </w:pPr>
            <w:r w:rsidRPr="00213A3F">
              <w:rPr>
                <w:b w:val="0"/>
                <w:bCs/>
              </w:rPr>
              <w:t>（</w:t>
            </w:r>
            <w:r w:rsidRPr="00213A3F">
              <w:rPr>
                <w:b w:val="0"/>
                <w:bCs/>
              </w:rPr>
              <w:t>mg/m</w:t>
            </w:r>
            <w:r w:rsidRPr="00643310">
              <w:rPr>
                <w:b w:val="0"/>
                <w:bCs/>
                <w:vertAlign w:val="superscript"/>
              </w:rPr>
              <w:t>2</w:t>
            </w:r>
            <w:r w:rsidRPr="00213A3F">
              <w:rPr>
                <w:b w:val="0"/>
                <w:bCs/>
              </w:rPr>
              <w:t>·h</w:t>
            </w:r>
            <w:r w:rsidRPr="00213A3F">
              <w:rPr>
                <w:b w:val="0"/>
                <w:bCs/>
              </w:rPr>
              <w:t>）</w:t>
            </w:r>
          </w:p>
        </w:tc>
      </w:tr>
      <w:tr w:rsidR="00913C78" w:rsidRPr="00213A3F" w14:paraId="18DB5125" w14:textId="77777777" w:rsidTr="00913C78">
        <w:trPr>
          <w:jc w:val="center"/>
        </w:trPr>
        <w:tc>
          <w:tcPr>
            <w:tcW w:w="3190" w:type="dxa"/>
            <w:vAlign w:val="center"/>
          </w:tcPr>
          <w:p w14:paraId="161EF3FB" w14:textId="77777777" w:rsidR="00913C78" w:rsidRPr="00213A3F" w:rsidRDefault="00913C78" w:rsidP="00213A3F">
            <w:pPr>
              <w:pStyle w:val="ae"/>
              <w:rPr>
                <w:b w:val="0"/>
                <w:bCs/>
              </w:rPr>
            </w:pPr>
            <w:r w:rsidRPr="00213A3F">
              <w:rPr>
                <w:b w:val="0"/>
                <w:bCs/>
              </w:rPr>
              <w:t>纤维板、刨花板、胶合板、</w:t>
            </w:r>
          </w:p>
          <w:p w14:paraId="3C82B302" w14:textId="77777777" w:rsidR="00913C78" w:rsidRPr="00213A3F" w:rsidRDefault="00913C78" w:rsidP="00213A3F">
            <w:pPr>
              <w:pStyle w:val="ae"/>
              <w:rPr>
                <w:b w:val="0"/>
                <w:bCs/>
              </w:rPr>
            </w:pPr>
            <w:r w:rsidRPr="00213A3F">
              <w:rPr>
                <w:b w:val="0"/>
                <w:bCs/>
              </w:rPr>
              <w:lastRenderedPageBreak/>
              <w:t>细木工板、单板饰面板、实木复合地板、浸渍纸层压木质地板、浸渍胶膜纸饰面板</w:t>
            </w:r>
          </w:p>
        </w:tc>
        <w:tc>
          <w:tcPr>
            <w:tcW w:w="1879" w:type="dxa"/>
            <w:vAlign w:val="center"/>
          </w:tcPr>
          <w:p w14:paraId="7D1A30DC" w14:textId="77777777" w:rsidR="00913C78" w:rsidRPr="00213A3F" w:rsidRDefault="00913C78" w:rsidP="00213A3F">
            <w:pPr>
              <w:pStyle w:val="ae"/>
              <w:rPr>
                <w:b w:val="0"/>
                <w:bCs/>
              </w:rPr>
            </w:pPr>
            <w:r w:rsidRPr="00213A3F">
              <w:rPr>
                <w:b w:val="0"/>
                <w:bCs/>
              </w:rPr>
              <w:lastRenderedPageBreak/>
              <w:t>甲醛</w:t>
            </w:r>
            <w:r w:rsidRPr="00213A3F">
              <w:rPr>
                <w:b w:val="0"/>
                <w:bCs/>
              </w:rPr>
              <w:t>:</w:t>
            </w:r>
            <w:r w:rsidRPr="00213A3F">
              <w:rPr>
                <w:b w:val="0"/>
                <w:bCs/>
              </w:rPr>
              <w:t>＜</w:t>
            </w:r>
            <w:r w:rsidRPr="00213A3F">
              <w:rPr>
                <w:b w:val="0"/>
                <w:bCs/>
              </w:rPr>
              <w:t>0.01</w:t>
            </w:r>
          </w:p>
          <w:p w14:paraId="70D15FA8" w14:textId="77777777" w:rsidR="00913C78" w:rsidRPr="00213A3F" w:rsidRDefault="00913C78" w:rsidP="00213A3F">
            <w:pPr>
              <w:pStyle w:val="ae"/>
              <w:rPr>
                <w:b w:val="0"/>
                <w:bCs/>
              </w:rPr>
            </w:pPr>
            <w:r w:rsidRPr="00213A3F">
              <w:rPr>
                <w:b w:val="0"/>
                <w:bCs/>
              </w:rPr>
              <w:lastRenderedPageBreak/>
              <w:t>TVOC:</w:t>
            </w:r>
            <w:r w:rsidRPr="00213A3F">
              <w:rPr>
                <w:b w:val="0"/>
                <w:bCs/>
              </w:rPr>
              <w:t>＜</w:t>
            </w:r>
            <w:r w:rsidRPr="00213A3F">
              <w:rPr>
                <w:b w:val="0"/>
                <w:bCs/>
              </w:rPr>
              <w:t>0.06</w:t>
            </w:r>
          </w:p>
        </w:tc>
        <w:tc>
          <w:tcPr>
            <w:tcW w:w="1843" w:type="dxa"/>
            <w:vAlign w:val="center"/>
          </w:tcPr>
          <w:p w14:paraId="2B4F9410" w14:textId="77777777" w:rsidR="00913C78" w:rsidRPr="00213A3F" w:rsidRDefault="00913C78" w:rsidP="00213A3F">
            <w:pPr>
              <w:pStyle w:val="ae"/>
              <w:rPr>
                <w:b w:val="0"/>
                <w:bCs/>
              </w:rPr>
            </w:pPr>
            <w:r w:rsidRPr="00213A3F">
              <w:rPr>
                <w:b w:val="0"/>
                <w:bCs/>
              </w:rPr>
              <w:lastRenderedPageBreak/>
              <w:t>甲醛</w:t>
            </w:r>
            <w:r w:rsidRPr="00213A3F">
              <w:rPr>
                <w:b w:val="0"/>
                <w:bCs/>
              </w:rPr>
              <w:t>:0.01-0.05</w:t>
            </w:r>
          </w:p>
          <w:p w14:paraId="26EFF02C" w14:textId="77777777" w:rsidR="00913C78" w:rsidRPr="00213A3F" w:rsidRDefault="00913C78" w:rsidP="00213A3F">
            <w:pPr>
              <w:pStyle w:val="ae"/>
              <w:rPr>
                <w:b w:val="0"/>
                <w:bCs/>
              </w:rPr>
            </w:pPr>
            <w:r w:rsidRPr="00213A3F">
              <w:rPr>
                <w:b w:val="0"/>
                <w:bCs/>
              </w:rPr>
              <w:lastRenderedPageBreak/>
              <w:t>TVOC: 0.06-0.1</w:t>
            </w:r>
          </w:p>
        </w:tc>
        <w:tc>
          <w:tcPr>
            <w:tcW w:w="1806" w:type="dxa"/>
            <w:vAlign w:val="center"/>
          </w:tcPr>
          <w:p w14:paraId="5DDD90F7" w14:textId="77777777" w:rsidR="00913C78" w:rsidRPr="00213A3F" w:rsidRDefault="00913C78" w:rsidP="00213A3F">
            <w:pPr>
              <w:pStyle w:val="ae"/>
              <w:rPr>
                <w:b w:val="0"/>
                <w:bCs/>
              </w:rPr>
            </w:pPr>
            <w:r w:rsidRPr="00213A3F">
              <w:rPr>
                <w:b w:val="0"/>
                <w:bCs/>
              </w:rPr>
              <w:lastRenderedPageBreak/>
              <w:t>甲醛</w:t>
            </w:r>
            <w:r w:rsidRPr="00213A3F">
              <w:rPr>
                <w:b w:val="0"/>
                <w:bCs/>
              </w:rPr>
              <w:t>:0.05-0.10</w:t>
            </w:r>
          </w:p>
          <w:p w14:paraId="180F2A6D" w14:textId="77777777" w:rsidR="00913C78" w:rsidRPr="00213A3F" w:rsidRDefault="00913C78" w:rsidP="00213A3F">
            <w:pPr>
              <w:pStyle w:val="ae"/>
              <w:rPr>
                <w:b w:val="0"/>
                <w:bCs/>
              </w:rPr>
            </w:pPr>
            <w:r w:rsidRPr="00213A3F">
              <w:rPr>
                <w:b w:val="0"/>
                <w:bCs/>
              </w:rPr>
              <w:lastRenderedPageBreak/>
              <w:t>TVOC:0.1-0.5</w:t>
            </w:r>
          </w:p>
        </w:tc>
      </w:tr>
      <w:tr w:rsidR="00913C78" w:rsidRPr="00213A3F" w14:paraId="219322E4" w14:textId="77777777" w:rsidTr="00913C78">
        <w:trPr>
          <w:jc w:val="center"/>
        </w:trPr>
        <w:tc>
          <w:tcPr>
            <w:tcW w:w="3190" w:type="dxa"/>
            <w:vAlign w:val="center"/>
          </w:tcPr>
          <w:p w14:paraId="30C4BF1A" w14:textId="77777777" w:rsidR="00913C78" w:rsidRPr="00213A3F" w:rsidRDefault="00913C78" w:rsidP="00213A3F">
            <w:pPr>
              <w:pStyle w:val="ae"/>
              <w:rPr>
                <w:b w:val="0"/>
                <w:bCs/>
              </w:rPr>
            </w:pPr>
            <w:r w:rsidRPr="00213A3F">
              <w:rPr>
                <w:b w:val="0"/>
                <w:bCs/>
              </w:rPr>
              <w:lastRenderedPageBreak/>
              <w:t>水性木器漆</w:t>
            </w:r>
          </w:p>
        </w:tc>
        <w:tc>
          <w:tcPr>
            <w:tcW w:w="1879" w:type="dxa"/>
            <w:vAlign w:val="center"/>
          </w:tcPr>
          <w:p w14:paraId="06E406F0" w14:textId="77777777" w:rsidR="00913C78" w:rsidRPr="00213A3F" w:rsidRDefault="00913C78" w:rsidP="00213A3F">
            <w:pPr>
              <w:pStyle w:val="ae"/>
              <w:rPr>
                <w:b w:val="0"/>
                <w:bCs/>
              </w:rPr>
            </w:pPr>
            <w:r w:rsidRPr="00213A3F">
              <w:rPr>
                <w:b w:val="0"/>
                <w:bCs/>
              </w:rPr>
              <w:t>甲醛</w:t>
            </w:r>
            <w:r w:rsidRPr="00213A3F">
              <w:rPr>
                <w:b w:val="0"/>
                <w:bCs/>
              </w:rPr>
              <w:t>:</w:t>
            </w:r>
            <w:r w:rsidRPr="00213A3F">
              <w:rPr>
                <w:b w:val="0"/>
                <w:bCs/>
              </w:rPr>
              <w:t>＜</w:t>
            </w:r>
            <w:r w:rsidRPr="00213A3F">
              <w:rPr>
                <w:b w:val="0"/>
                <w:bCs/>
              </w:rPr>
              <w:t>0.03</w:t>
            </w:r>
          </w:p>
          <w:p w14:paraId="74EAEB64" w14:textId="77777777" w:rsidR="00913C78" w:rsidRPr="00213A3F" w:rsidRDefault="00913C78" w:rsidP="00213A3F">
            <w:pPr>
              <w:pStyle w:val="ae"/>
              <w:rPr>
                <w:b w:val="0"/>
                <w:bCs/>
              </w:rPr>
            </w:pPr>
            <w:r w:rsidRPr="00213A3F">
              <w:rPr>
                <w:b w:val="0"/>
                <w:bCs/>
              </w:rPr>
              <w:t>TVOC:</w:t>
            </w:r>
            <w:r w:rsidRPr="00213A3F">
              <w:rPr>
                <w:b w:val="0"/>
                <w:bCs/>
              </w:rPr>
              <w:t>＜</w:t>
            </w:r>
            <w:r w:rsidRPr="00213A3F">
              <w:rPr>
                <w:b w:val="0"/>
                <w:bCs/>
              </w:rPr>
              <w:t>10</w:t>
            </w:r>
          </w:p>
        </w:tc>
        <w:tc>
          <w:tcPr>
            <w:tcW w:w="1843" w:type="dxa"/>
            <w:vAlign w:val="center"/>
          </w:tcPr>
          <w:p w14:paraId="73556318" w14:textId="77777777" w:rsidR="00913C78" w:rsidRPr="00213A3F" w:rsidRDefault="00913C78" w:rsidP="00213A3F">
            <w:pPr>
              <w:pStyle w:val="ae"/>
              <w:rPr>
                <w:b w:val="0"/>
                <w:bCs/>
              </w:rPr>
            </w:pPr>
            <w:r w:rsidRPr="00213A3F">
              <w:rPr>
                <w:b w:val="0"/>
                <w:bCs/>
              </w:rPr>
              <w:t>甲醛</w:t>
            </w:r>
            <w:r w:rsidRPr="00213A3F">
              <w:rPr>
                <w:b w:val="0"/>
                <w:bCs/>
              </w:rPr>
              <w:t>:0.03-0.05</w:t>
            </w:r>
          </w:p>
          <w:p w14:paraId="2DC79505" w14:textId="77777777" w:rsidR="00913C78" w:rsidRPr="00213A3F" w:rsidRDefault="00913C78" w:rsidP="00213A3F">
            <w:pPr>
              <w:pStyle w:val="ae"/>
              <w:rPr>
                <w:b w:val="0"/>
                <w:bCs/>
              </w:rPr>
            </w:pPr>
            <w:r w:rsidRPr="00213A3F">
              <w:rPr>
                <w:b w:val="0"/>
                <w:bCs/>
              </w:rPr>
              <w:t>TVOC: 10-15</w:t>
            </w:r>
          </w:p>
        </w:tc>
        <w:tc>
          <w:tcPr>
            <w:tcW w:w="1806" w:type="dxa"/>
            <w:vAlign w:val="center"/>
          </w:tcPr>
          <w:p w14:paraId="5CAC99B0" w14:textId="77777777" w:rsidR="00913C78" w:rsidRPr="00213A3F" w:rsidRDefault="00913C78" w:rsidP="00213A3F">
            <w:pPr>
              <w:pStyle w:val="ae"/>
              <w:rPr>
                <w:b w:val="0"/>
                <w:bCs/>
              </w:rPr>
            </w:pPr>
            <w:r w:rsidRPr="00213A3F">
              <w:rPr>
                <w:b w:val="0"/>
                <w:bCs/>
              </w:rPr>
              <w:t>甲醛</w:t>
            </w:r>
            <w:r w:rsidRPr="00213A3F">
              <w:rPr>
                <w:b w:val="0"/>
                <w:bCs/>
              </w:rPr>
              <w:t>:0.03-0.05</w:t>
            </w:r>
          </w:p>
          <w:p w14:paraId="6490C99B" w14:textId="77777777" w:rsidR="00913C78" w:rsidRPr="00213A3F" w:rsidRDefault="00913C78" w:rsidP="00213A3F">
            <w:pPr>
              <w:pStyle w:val="ae"/>
              <w:rPr>
                <w:b w:val="0"/>
                <w:bCs/>
              </w:rPr>
            </w:pPr>
            <w:r w:rsidRPr="00213A3F">
              <w:rPr>
                <w:b w:val="0"/>
                <w:bCs/>
              </w:rPr>
              <w:t>TVOC:15-30</w:t>
            </w:r>
          </w:p>
        </w:tc>
      </w:tr>
      <w:tr w:rsidR="00913C78" w:rsidRPr="00213A3F" w14:paraId="46B9C79A" w14:textId="77777777" w:rsidTr="00913C78">
        <w:trPr>
          <w:jc w:val="center"/>
        </w:trPr>
        <w:tc>
          <w:tcPr>
            <w:tcW w:w="3190" w:type="dxa"/>
            <w:vAlign w:val="center"/>
          </w:tcPr>
          <w:p w14:paraId="24AE47AB" w14:textId="77777777" w:rsidR="00913C78" w:rsidRPr="00213A3F" w:rsidRDefault="00913C78" w:rsidP="00213A3F">
            <w:pPr>
              <w:pStyle w:val="ae"/>
              <w:rPr>
                <w:b w:val="0"/>
                <w:bCs/>
              </w:rPr>
            </w:pPr>
            <w:r w:rsidRPr="00213A3F">
              <w:rPr>
                <w:b w:val="0"/>
                <w:bCs/>
              </w:rPr>
              <w:t>溶剂型木器漆</w:t>
            </w:r>
          </w:p>
        </w:tc>
        <w:tc>
          <w:tcPr>
            <w:tcW w:w="1879" w:type="dxa"/>
            <w:vAlign w:val="center"/>
          </w:tcPr>
          <w:p w14:paraId="4D001F7F" w14:textId="77777777" w:rsidR="00913C78" w:rsidRPr="00213A3F" w:rsidRDefault="00913C78" w:rsidP="00213A3F">
            <w:pPr>
              <w:pStyle w:val="ae"/>
              <w:rPr>
                <w:b w:val="0"/>
                <w:bCs/>
              </w:rPr>
            </w:pPr>
            <w:r w:rsidRPr="00213A3F">
              <w:rPr>
                <w:b w:val="0"/>
                <w:bCs/>
              </w:rPr>
              <w:t>无</w:t>
            </w:r>
          </w:p>
        </w:tc>
        <w:tc>
          <w:tcPr>
            <w:tcW w:w="1843" w:type="dxa"/>
            <w:vAlign w:val="center"/>
          </w:tcPr>
          <w:p w14:paraId="18C523B4" w14:textId="77777777" w:rsidR="00913C78" w:rsidRPr="00213A3F" w:rsidRDefault="00913C78" w:rsidP="00213A3F">
            <w:pPr>
              <w:pStyle w:val="ae"/>
              <w:rPr>
                <w:b w:val="0"/>
                <w:bCs/>
              </w:rPr>
            </w:pPr>
            <w:r w:rsidRPr="00213A3F">
              <w:rPr>
                <w:b w:val="0"/>
                <w:bCs/>
              </w:rPr>
              <w:t>甲醛</w:t>
            </w:r>
            <w:r w:rsidRPr="00213A3F">
              <w:rPr>
                <w:b w:val="0"/>
                <w:bCs/>
              </w:rPr>
              <w:t>:</w:t>
            </w:r>
            <w:r w:rsidRPr="00213A3F">
              <w:rPr>
                <w:b w:val="0"/>
                <w:bCs/>
              </w:rPr>
              <w:t>＜</w:t>
            </w:r>
            <w:r w:rsidRPr="00213A3F">
              <w:rPr>
                <w:b w:val="0"/>
                <w:bCs/>
              </w:rPr>
              <w:t>0.03</w:t>
            </w:r>
          </w:p>
          <w:p w14:paraId="5DF77EB0" w14:textId="77777777" w:rsidR="00913C78" w:rsidRPr="00213A3F" w:rsidRDefault="00913C78" w:rsidP="00213A3F">
            <w:pPr>
              <w:pStyle w:val="ae"/>
              <w:rPr>
                <w:b w:val="0"/>
                <w:bCs/>
              </w:rPr>
            </w:pPr>
            <w:r w:rsidRPr="00213A3F">
              <w:rPr>
                <w:b w:val="0"/>
                <w:bCs/>
              </w:rPr>
              <w:t>TVOC:</w:t>
            </w:r>
            <w:r w:rsidRPr="00213A3F">
              <w:rPr>
                <w:b w:val="0"/>
                <w:bCs/>
              </w:rPr>
              <w:t>＜</w:t>
            </w:r>
            <w:r w:rsidRPr="00213A3F">
              <w:rPr>
                <w:b w:val="0"/>
                <w:bCs/>
              </w:rPr>
              <w:t>15</w:t>
            </w:r>
          </w:p>
        </w:tc>
        <w:tc>
          <w:tcPr>
            <w:tcW w:w="1806" w:type="dxa"/>
            <w:vAlign w:val="center"/>
          </w:tcPr>
          <w:p w14:paraId="7AC41F05" w14:textId="77777777" w:rsidR="00913C78" w:rsidRPr="00213A3F" w:rsidRDefault="00913C78" w:rsidP="00213A3F">
            <w:pPr>
              <w:pStyle w:val="ae"/>
              <w:rPr>
                <w:b w:val="0"/>
                <w:bCs/>
              </w:rPr>
            </w:pPr>
            <w:r w:rsidRPr="00213A3F">
              <w:rPr>
                <w:b w:val="0"/>
                <w:bCs/>
              </w:rPr>
              <w:t>甲醛</w:t>
            </w:r>
            <w:r w:rsidRPr="00213A3F">
              <w:rPr>
                <w:b w:val="0"/>
                <w:bCs/>
              </w:rPr>
              <w:t>:0.03-0.05</w:t>
            </w:r>
          </w:p>
          <w:p w14:paraId="50E6F109" w14:textId="77777777" w:rsidR="00913C78" w:rsidRPr="00213A3F" w:rsidRDefault="00913C78" w:rsidP="00213A3F">
            <w:pPr>
              <w:pStyle w:val="ae"/>
              <w:rPr>
                <w:b w:val="0"/>
                <w:bCs/>
              </w:rPr>
            </w:pPr>
            <w:r w:rsidRPr="00213A3F">
              <w:rPr>
                <w:b w:val="0"/>
                <w:bCs/>
              </w:rPr>
              <w:t>TVOC:15-35</w:t>
            </w:r>
          </w:p>
        </w:tc>
      </w:tr>
      <w:tr w:rsidR="00913C78" w:rsidRPr="00213A3F" w14:paraId="54F9F9D1" w14:textId="77777777" w:rsidTr="00913C78">
        <w:trPr>
          <w:jc w:val="center"/>
        </w:trPr>
        <w:tc>
          <w:tcPr>
            <w:tcW w:w="3190" w:type="dxa"/>
            <w:vAlign w:val="center"/>
          </w:tcPr>
          <w:p w14:paraId="602B36E9" w14:textId="77777777" w:rsidR="00913C78" w:rsidRPr="00213A3F" w:rsidRDefault="00913C78" w:rsidP="00213A3F">
            <w:pPr>
              <w:pStyle w:val="ae"/>
              <w:rPr>
                <w:b w:val="0"/>
                <w:bCs/>
              </w:rPr>
            </w:pPr>
            <w:r w:rsidRPr="00213A3F">
              <w:rPr>
                <w:b w:val="0"/>
                <w:bCs/>
              </w:rPr>
              <w:t>内墙涂料、腻子</w:t>
            </w:r>
          </w:p>
        </w:tc>
        <w:tc>
          <w:tcPr>
            <w:tcW w:w="1879" w:type="dxa"/>
            <w:vAlign w:val="center"/>
          </w:tcPr>
          <w:p w14:paraId="74E66BEC" w14:textId="77777777" w:rsidR="00913C78" w:rsidRPr="00213A3F" w:rsidRDefault="00913C78" w:rsidP="00213A3F">
            <w:pPr>
              <w:pStyle w:val="ae"/>
              <w:rPr>
                <w:b w:val="0"/>
                <w:bCs/>
              </w:rPr>
            </w:pPr>
            <w:r w:rsidRPr="00213A3F">
              <w:rPr>
                <w:b w:val="0"/>
                <w:bCs/>
              </w:rPr>
              <w:t>甲醛</w:t>
            </w:r>
            <w:r w:rsidRPr="00213A3F">
              <w:rPr>
                <w:b w:val="0"/>
                <w:bCs/>
              </w:rPr>
              <w:t>:</w:t>
            </w:r>
            <w:r w:rsidRPr="00213A3F">
              <w:rPr>
                <w:b w:val="0"/>
                <w:bCs/>
              </w:rPr>
              <w:t>＜</w:t>
            </w:r>
            <w:r w:rsidRPr="00213A3F">
              <w:rPr>
                <w:b w:val="0"/>
                <w:bCs/>
              </w:rPr>
              <w:t>0.01</w:t>
            </w:r>
          </w:p>
          <w:p w14:paraId="46C7306C" w14:textId="77777777" w:rsidR="00913C78" w:rsidRPr="00213A3F" w:rsidRDefault="00913C78" w:rsidP="00213A3F">
            <w:pPr>
              <w:pStyle w:val="ae"/>
              <w:rPr>
                <w:b w:val="0"/>
                <w:bCs/>
              </w:rPr>
            </w:pPr>
            <w:r w:rsidRPr="00213A3F">
              <w:rPr>
                <w:b w:val="0"/>
                <w:bCs/>
              </w:rPr>
              <w:t>TVOC:</w:t>
            </w:r>
            <w:r w:rsidRPr="00213A3F">
              <w:rPr>
                <w:b w:val="0"/>
                <w:bCs/>
              </w:rPr>
              <w:t>＜</w:t>
            </w:r>
            <w:r w:rsidRPr="00213A3F">
              <w:rPr>
                <w:b w:val="0"/>
                <w:bCs/>
              </w:rPr>
              <w:t>0.75</w:t>
            </w:r>
          </w:p>
        </w:tc>
        <w:tc>
          <w:tcPr>
            <w:tcW w:w="1843" w:type="dxa"/>
            <w:vAlign w:val="center"/>
          </w:tcPr>
          <w:p w14:paraId="62998A74" w14:textId="77777777" w:rsidR="00913C78" w:rsidRPr="00213A3F" w:rsidRDefault="00913C78" w:rsidP="00213A3F">
            <w:pPr>
              <w:pStyle w:val="ae"/>
              <w:rPr>
                <w:b w:val="0"/>
                <w:bCs/>
              </w:rPr>
            </w:pPr>
            <w:r w:rsidRPr="00213A3F">
              <w:rPr>
                <w:b w:val="0"/>
                <w:bCs/>
              </w:rPr>
              <w:t>甲醛</w:t>
            </w:r>
            <w:r w:rsidRPr="00213A3F">
              <w:rPr>
                <w:b w:val="0"/>
                <w:bCs/>
              </w:rPr>
              <w:t xml:space="preserve">: </w:t>
            </w:r>
            <w:r w:rsidRPr="00213A3F">
              <w:rPr>
                <w:b w:val="0"/>
                <w:bCs/>
              </w:rPr>
              <w:t>＜</w:t>
            </w:r>
            <w:r w:rsidRPr="00213A3F">
              <w:rPr>
                <w:b w:val="0"/>
                <w:bCs/>
              </w:rPr>
              <w:t>0.01</w:t>
            </w:r>
          </w:p>
          <w:p w14:paraId="37618192" w14:textId="77777777" w:rsidR="00913C78" w:rsidRPr="00213A3F" w:rsidRDefault="00913C78" w:rsidP="00213A3F">
            <w:pPr>
              <w:pStyle w:val="ae"/>
              <w:rPr>
                <w:b w:val="0"/>
                <w:bCs/>
              </w:rPr>
            </w:pPr>
            <w:r w:rsidRPr="00213A3F">
              <w:rPr>
                <w:b w:val="0"/>
                <w:bCs/>
              </w:rPr>
              <w:t>TVOC:0.75-2</w:t>
            </w:r>
          </w:p>
        </w:tc>
        <w:tc>
          <w:tcPr>
            <w:tcW w:w="1806" w:type="dxa"/>
            <w:vAlign w:val="center"/>
          </w:tcPr>
          <w:p w14:paraId="32B49A6D" w14:textId="77777777" w:rsidR="00913C78" w:rsidRPr="00213A3F" w:rsidRDefault="00913C78" w:rsidP="00213A3F">
            <w:pPr>
              <w:pStyle w:val="ae"/>
              <w:rPr>
                <w:b w:val="0"/>
                <w:bCs/>
              </w:rPr>
            </w:pPr>
            <w:r w:rsidRPr="00213A3F">
              <w:rPr>
                <w:b w:val="0"/>
                <w:bCs/>
              </w:rPr>
              <w:t>甲醛</w:t>
            </w:r>
            <w:r w:rsidRPr="00213A3F">
              <w:rPr>
                <w:b w:val="0"/>
                <w:bCs/>
              </w:rPr>
              <w:t>:0.01-0.02</w:t>
            </w:r>
          </w:p>
          <w:p w14:paraId="55952003" w14:textId="77777777" w:rsidR="00913C78" w:rsidRPr="00213A3F" w:rsidRDefault="00913C78" w:rsidP="00213A3F">
            <w:pPr>
              <w:pStyle w:val="ae"/>
              <w:rPr>
                <w:b w:val="0"/>
                <w:bCs/>
              </w:rPr>
            </w:pPr>
            <w:r w:rsidRPr="00213A3F">
              <w:rPr>
                <w:b w:val="0"/>
                <w:bCs/>
              </w:rPr>
              <w:t>TVOC:2-5</w:t>
            </w:r>
          </w:p>
        </w:tc>
      </w:tr>
      <w:tr w:rsidR="00913C78" w:rsidRPr="00213A3F" w14:paraId="4E49FB54" w14:textId="77777777" w:rsidTr="00913C78">
        <w:trPr>
          <w:jc w:val="center"/>
        </w:trPr>
        <w:tc>
          <w:tcPr>
            <w:tcW w:w="3190" w:type="dxa"/>
            <w:vAlign w:val="center"/>
          </w:tcPr>
          <w:p w14:paraId="14F1A1E4" w14:textId="77777777" w:rsidR="00913C78" w:rsidRPr="00213A3F" w:rsidRDefault="00913C78" w:rsidP="00213A3F">
            <w:pPr>
              <w:pStyle w:val="ae"/>
              <w:rPr>
                <w:b w:val="0"/>
                <w:bCs/>
              </w:rPr>
            </w:pPr>
            <w:r w:rsidRPr="00213A3F">
              <w:rPr>
                <w:b w:val="0"/>
                <w:bCs/>
              </w:rPr>
              <w:t>壁纸、壁布、贴膜</w:t>
            </w:r>
          </w:p>
        </w:tc>
        <w:tc>
          <w:tcPr>
            <w:tcW w:w="1879" w:type="dxa"/>
            <w:vAlign w:val="center"/>
          </w:tcPr>
          <w:p w14:paraId="14DC6EF0" w14:textId="77777777" w:rsidR="00913C78" w:rsidRPr="00213A3F" w:rsidRDefault="00913C78" w:rsidP="00213A3F">
            <w:pPr>
              <w:pStyle w:val="ae"/>
              <w:rPr>
                <w:b w:val="0"/>
                <w:bCs/>
              </w:rPr>
            </w:pPr>
            <w:r w:rsidRPr="00213A3F">
              <w:rPr>
                <w:b w:val="0"/>
                <w:bCs/>
              </w:rPr>
              <w:t>甲醛</w:t>
            </w:r>
            <w:r w:rsidRPr="00213A3F">
              <w:rPr>
                <w:b w:val="0"/>
                <w:bCs/>
              </w:rPr>
              <w:t>:</w:t>
            </w:r>
            <w:r w:rsidRPr="00213A3F">
              <w:rPr>
                <w:b w:val="0"/>
                <w:bCs/>
              </w:rPr>
              <w:t>＜</w:t>
            </w:r>
            <w:r w:rsidRPr="00213A3F">
              <w:rPr>
                <w:b w:val="0"/>
                <w:bCs/>
              </w:rPr>
              <w:t>0.01</w:t>
            </w:r>
          </w:p>
          <w:p w14:paraId="6798AF1F" w14:textId="77777777" w:rsidR="00913C78" w:rsidRPr="00213A3F" w:rsidRDefault="00913C78" w:rsidP="00213A3F">
            <w:pPr>
              <w:pStyle w:val="ae"/>
              <w:rPr>
                <w:b w:val="0"/>
                <w:bCs/>
              </w:rPr>
            </w:pPr>
            <w:r w:rsidRPr="00213A3F">
              <w:rPr>
                <w:b w:val="0"/>
                <w:bCs/>
              </w:rPr>
              <w:t>TVOC:</w:t>
            </w:r>
            <w:r w:rsidRPr="00213A3F">
              <w:rPr>
                <w:b w:val="0"/>
                <w:bCs/>
              </w:rPr>
              <w:t>＜</w:t>
            </w:r>
            <w:r w:rsidRPr="00213A3F">
              <w:rPr>
                <w:b w:val="0"/>
                <w:bCs/>
              </w:rPr>
              <w:t>0.3</w:t>
            </w:r>
          </w:p>
        </w:tc>
        <w:tc>
          <w:tcPr>
            <w:tcW w:w="1843" w:type="dxa"/>
            <w:vAlign w:val="center"/>
          </w:tcPr>
          <w:p w14:paraId="67833278" w14:textId="77777777" w:rsidR="00913C78" w:rsidRPr="00213A3F" w:rsidRDefault="00913C78" w:rsidP="00213A3F">
            <w:pPr>
              <w:pStyle w:val="ae"/>
              <w:rPr>
                <w:b w:val="0"/>
                <w:bCs/>
              </w:rPr>
            </w:pPr>
            <w:r w:rsidRPr="00213A3F">
              <w:rPr>
                <w:b w:val="0"/>
                <w:bCs/>
              </w:rPr>
              <w:t>甲醛</w:t>
            </w:r>
            <w:r w:rsidRPr="00213A3F">
              <w:rPr>
                <w:b w:val="0"/>
                <w:bCs/>
              </w:rPr>
              <w:t>:0.01-0.02</w:t>
            </w:r>
          </w:p>
          <w:p w14:paraId="2F340940" w14:textId="77777777" w:rsidR="00913C78" w:rsidRPr="00213A3F" w:rsidRDefault="00913C78" w:rsidP="00213A3F">
            <w:pPr>
              <w:pStyle w:val="ae"/>
              <w:rPr>
                <w:b w:val="0"/>
                <w:bCs/>
              </w:rPr>
            </w:pPr>
            <w:r w:rsidRPr="00213A3F">
              <w:rPr>
                <w:b w:val="0"/>
                <w:bCs/>
              </w:rPr>
              <w:t>TVOC: 0.3-0.5</w:t>
            </w:r>
          </w:p>
        </w:tc>
        <w:tc>
          <w:tcPr>
            <w:tcW w:w="1806" w:type="dxa"/>
            <w:vAlign w:val="center"/>
          </w:tcPr>
          <w:p w14:paraId="7A53A60D" w14:textId="77777777" w:rsidR="00913C78" w:rsidRPr="00213A3F" w:rsidRDefault="00913C78" w:rsidP="00213A3F">
            <w:pPr>
              <w:pStyle w:val="ae"/>
              <w:rPr>
                <w:b w:val="0"/>
                <w:bCs/>
              </w:rPr>
            </w:pPr>
            <w:r w:rsidRPr="00213A3F">
              <w:rPr>
                <w:b w:val="0"/>
                <w:bCs/>
              </w:rPr>
              <w:t>甲醛</w:t>
            </w:r>
            <w:r w:rsidRPr="00213A3F">
              <w:rPr>
                <w:b w:val="0"/>
                <w:bCs/>
              </w:rPr>
              <w:t>: 0.01-0.02</w:t>
            </w:r>
          </w:p>
          <w:p w14:paraId="76163DB3" w14:textId="77777777" w:rsidR="00913C78" w:rsidRPr="00213A3F" w:rsidRDefault="00913C78" w:rsidP="00213A3F">
            <w:pPr>
              <w:pStyle w:val="ae"/>
              <w:rPr>
                <w:b w:val="0"/>
                <w:bCs/>
              </w:rPr>
            </w:pPr>
            <w:r w:rsidRPr="00213A3F">
              <w:rPr>
                <w:b w:val="0"/>
                <w:bCs/>
              </w:rPr>
              <w:t>TVOC:0.5-1</w:t>
            </w:r>
          </w:p>
        </w:tc>
      </w:tr>
      <w:bookmarkEnd w:id="531"/>
      <w:bookmarkEnd w:id="532"/>
      <w:bookmarkEnd w:id="533"/>
    </w:tbl>
    <w:p w14:paraId="073BB6BC" w14:textId="77777777" w:rsidR="00913C78" w:rsidRPr="00913C78" w:rsidRDefault="00913C78" w:rsidP="00913C78">
      <w:pPr>
        <w:ind w:firstLine="420"/>
      </w:pPr>
    </w:p>
    <w:p w14:paraId="18DE0F62" w14:textId="77777777" w:rsidR="00913C78" w:rsidRPr="00913C78" w:rsidRDefault="00913C78" w:rsidP="00913C78">
      <w:pPr>
        <w:ind w:firstLine="420"/>
      </w:pPr>
      <w:r w:rsidRPr="00913C78">
        <w:t>公共建筑人员工作区的设计最小新风量应按下式计算：</w:t>
      </w:r>
    </w:p>
    <w:p w14:paraId="1A00E836" w14:textId="36752063" w:rsidR="00913C78" w:rsidRPr="00913C78" w:rsidRDefault="007C2C5F" w:rsidP="00F83296">
      <w:pPr>
        <w:pStyle w:val="af8"/>
      </w:pPr>
      <w:r>
        <w:tab/>
      </w:r>
      <m:oMath>
        <m:sSub>
          <m:sSubPr>
            <m:ctrlPr>
              <w:rPr>
                <w:rFonts w:ascii="Cambria Math" w:hAnsi="Cambria Math"/>
                <w:noProof/>
              </w:rPr>
            </m:ctrlPr>
          </m:sSubPr>
          <m:e>
            <m:r>
              <w:rPr>
                <w:rFonts w:ascii="Cambria Math" w:hAnsi="Cambria Math"/>
                <w:noProof/>
              </w:rPr>
              <m:t>Q</m:t>
            </m:r>
          </m:e>
          <m:sub>
            <m:r>
              <w:rPr>
                <w:rFonts w:ascii="Cambria Math" w:hAnsi="Cambria Math"/>
                <w:noProof/>
              </w:rPr>
              <m:t>f</m:t>
            </m:r>
          </m:sub>
        </m:sSub>
        <m:r>
          <m:rPr>
            <m:sty m:val="p"/>
          </m:rPr>
          <w:rPr>
            <w:rFonts w:ascii="Cambria Math" w:hAnsi="Cambria Math"/>
            <w:noProof/>
          </w:rPr>
          <m:t>=</m:t>
        </m:r>
        <m:f>
          <m:fPr>
            <m:ctrlPr>
              <w:rPr>
                <w:rFonts w:ascii="Cambria Math" w:hAnsi="Cambria Math"/>
                <w:noProof/>
              </w:rPr>
            </m:ctrlPr>
          </m:fPr>
          <m:num>
            <m:sSub>
              <m:sSubPr>
                <m:ctrlPr>
                  <w:rPr>
                    <w:rFonts w:ascii="Cambria Math" w:hAnsi="Cambria Math"/>
                    <w:noProof/>
                  </w:rPr>
                </m:ctrlPr>
              </m:sSubPr>
              <m:e>
                <m:r>
                  <w:rPr>
                    <w:rFonts w:ascii="Cambria Math" w:hAnsi="Cambria Math"/>
                    <w:noProof/>
                  </w:rPr>
                  <m:t>Q</m:t>
                </m:r>
              </m:e>
              <m:sub>
                <m:r>
                  <w:rPr>
                    <w:rFonts w:ascii="Cambria Math" w:hAnsi="Cambria Math"/>
                    <w:noProof/>
                  </w:rPr>
                  <m:t>b</m:t>
                </m:r>
              </m:sub>
            </m:sSub>
          </m:num>
          <m:den>
            <m:r>
              <w:rPr>
                <w:rFonts w:ascii="Cambria Math" w:hAnsi="Cambria Math"/>
                <w:noProof/>
              </w:rPr>
              <m:t>M</m:t>
            </m:r>
          </m:den>
        </m:f>
      </m:oMath>
      <w:r>
        <w:tab/>
      </w:r>
      <w:r>
        <w:rPr>
          <w:rFonts w:hint="eastAsia"/>
        </w:rPr>
        <w:t>(</w:t>
      </w:r>
      <w:r>
        <w:t>B.7.5)</w:t>
      </w:r>
    </w:p>
    <w:p w14:paraId="2FD92FA4" w14:textId="01055887" w:rsidR="00913C78" w:rsidRPr="00913C78" w:rsidRDefault="00913C78" w:rsidP="00913C78">
      <w:pPr>
        <w:ind w:firstLine="420"/>
      </w:pPr>
      <w:r w:rsidRPr="00913C78">
        <w:t>式中：</w:t>
      </w:r>
      <m:oMath>
        <m:sSub>
          <m:sSubPr>
            <m:ctrlPr>
              <w:rPr>
                <w:rFonts w:ascii="Cambria Math" w:hAnsi="Cambria Math"/>
                <w:i/>
                <w:noProof/>
                <w:szCs w:val="21"/>
              </w:rPr>
            </m:ctrlPr>
          </m:sSubPr>
          <m:e>
            <m:r>
              <w:rPr>
                <w:rFonts w:ascii="Cambria Math"/>
                <w:noProof/>
                <w:szCs w:val="21"/>
              </w:rPr>
              <m:t>Q</m:t>
            </m:r>
          </m:e>
          <m:sub>
            <m:r>
              <w:rPr>
                <w:rFonts w:ascii="Cambria Math"/>
                <w:noProof/>
                <w:szCs w:val="21"/>
              </w:rPr>
              <m:t>f</m:t>
            </m:r>
          </m:sub>
        </m:sSub>
      </m:oMath>
      <w:r w:rsidRPr="00913C78">
        <w:t>——</w:t>
      </w:r>
      <w:r w:rsidRPr="00913C78">
        <w:t>人员工作区的设计最小新风量</w:t>
      </w:r>
      <w:r w:rsidRPr="00913C78">
        <w:rPr>
          <w:rFonts w:hint="eastAsia"/>
        </w:rPr>
        <w:t>（</w:t>
      </w:r>
      <w:r w:rsidRPr="00913C78">
        <w:t>m</w:t>
      </w:r>
      <w:r w:rsidRPr="00F83296">
        <w:rPr>
          <w:vertAlign w:val="superscript"/>
        </w:rPr>
        <w:t>3</w:t>
      </w:r>
      <w:r w:rsidRPr="00913C78">
        <w:t>/h</w:t>
      </w:r>
      <w:r w:rsidRPr="00913C78">
        <w:rPr>
          <w:rFonts w:hint="eastAsia"/>
        </w:rPr>
        <w:t>）</w:t>
      </w:r>
      <w:r w:rsidRPr="00913C78">
        <w:t>；</w:t>
      </w:r>
    </w:p>
    <w:p w14:paraId="3A05801E" w14:textId="4521DAE8" w:rsidR="00913C78" w:rsidRPr="00913C78" w:rsidRDefault="00D20A1F" w:rsidP="0065215E">
      <w:pPr>
        <w:ind w:firstLineChars="495" w:firstLine="1039"/>
      </w:pPr>
      <m:oMath>
        <m:sSub>
          <m:sSubPr>
            <m:ctrlPr>
              <w:rPr>
                <w:rFonts w:ascii="Cambria Math" w:hAnsi="Cambria Math"/>
                <w:i/>
                <w:noProof/>
                <w:szCs w:val="21"/>
              </w:rPr>
            </m:ctrlPr>
          </m:sSubPr>
          <m:e>
            <m:r>
              <w:rPr>
                <w:rFonts w:ascii="Cambria Math"/>
                <w:noProof/>
                <w:szCs w:val="21"/>
              </w:rPr>
              <m:t>Q</m:t>
            </m:r>
          </m:e>
          <m:sub>
            <m:r>
              <w:rPr>
                <w:rFonts w:ascii="Cambria Math"/>
                <w:noProof/>
                <w:szCs w:val="21"/>
              </w:rPr>
              <m:t>b</m:t>
            </m:r>
          </m:sub>
        </m:sSub>
      </m:oMath>
      <w:r w:rsidR="00913C78" w:rsidRPr="00913C78">
        <w:t>——</w:t>
      </w:r>
      <w:r w:rsidR="00913C78" w:rsidRPr="00913C78">
        <w:t>人员呼吸区的设计最小新风量</w:t>
      </w:r>
      <w:r w:rsidR="00913C78" w:rsidRPr="00913C78">
        <w:rPr>
          <w:rFonts w:hint="eastAsia"/>
        </w:rPr>
        <w:t>（</w:t>
      </w:r>
      <w:r w:rsidR="00913C78" w:rsidRPr="00913C78">
        <w:t>m</w:t>
      </w:r>
      <w:r w:rsidR="00913C78" w:rsidRPr="00F83296">
        <w:rPr>
          <w:vertAlign w:val="superscript"/>
        </w:rPr>
        <w:t>3</w:t>
      </w:r>
      <w:r w:rsidR="00913C78" w:rsidRPr="00913C78">
        <w:t>/h</w:t>
      </w:r>
      <w:r w:rsidR="00913C78" w:rsidRPr="00913C78">
        <w:rPr>
          <w:rFonts w:hint="eastAsia"/>
        </w:rPr>
        <w:t>）</w:t>
      </w:r>
      <w:r w:rsidR="00913C78" w:rsidRPr="00913C78">
        <w:t>；</w:t>
      </w:r>
    </w:p>
    <w:p w14:paraId="0010DB11" w14:textId="3ED7C209" w:rsidR="00913C78" w:rsidRPr="00913C78" w:rsidRDefault="0065215E" w:rsidP="00F83296">
      <w:pPr>
        <w:ind w:firstLineChars="495" w:firstLine="1039"/>
      </w:pPr>
      <m:oMath>
        <m:r>
          <w:rPr>
            <w:rFonts w:ascii="Cambria Math"/>
            <w:noProof/>
            <w:szCs w:val="21"/>
          </w:rPr>
          <m:t>M</m:t>
        </m:r>
      </m:oMath>
      <w:r w:rsidR="00913C78" w:rsidRPr="00913C78">
        <w:t>——</w:t>
      </w:r>
      <w:r w:rsidR="00913C78" w:rsidRPr="00913C78">
        <w:t>换气效率，</w:t>
      </w:r>
      <w:r w:rsidR="00913C78" w:rsidRPr="00913C78">
        <w:rPr>
          <w:rFonts w:hint="eastAsia"/>
        </w:rPr>
        <w:t>人员工作区的换气效率不应大于表</w:t>
      </w:r>
      <w:bookmarkStart w:id="536" w:name="OLE_LINK25"/>
      <w:r w:rsidR="00913C78" w:rsidRPr="00913C78">
        <w:rPr>
          <w:rFonts w:hint="eastAsia"/>
        </w:rPr>
        <w:t>B</w:t>
      </w:r>
      <w:r w:rsidR="00913C78" w:rsidRPr="00913C78">
        <w:t>.</w:t>
      </w:r>
      <w:r w:rsidR="00913C78" w:rsidRPr="00913C78">
        <w:rPr>
          <w:rFonts w:hint="eastAsia"/>
        </w:rPr>
        <w:t>7</w:t>
      </w:r>
      <w:r w:rsidR="00913C78" w:rsidRPr="00913C78">
        <w:t>.</w:t>
      </w:r>
      <w:r w:rsidR="00913C78" w:rsidRPr="00913C78">
        <w:rPr>
          <w:rFonts w:hint="eastAsia"/>
        </w:rPr>
        <w:t>5</w:t>
      </w:r>
      <w:bookmarkEnd w:id="536"/>
      <w:r w:rsidR="00913C78" w:rsidRPr="00913C78">
        <w:rPr>
          <w:rFonts w:hint="eastAsia"/>
        </w:rPr>
        <w:t>的规定。</w:t>
      </w:r>
    </w:p>
    <w:p w14:paraId="21B0B853" w14:textId="77777777" w:rsidR="00913C78" w:rsidRPr="00913C78" w:rsidRDefault="00913C78" w:rsidP="00213A3F">
      <w:pPr>
        <w:pStyle w:val="ae"/>
      </w:pPr>
      <w:r w:rsidRPr="00913C78">
        <w:t>表</w:t>
      </w:r>
      <w:r w:rsidRPr="00913C78">
        <w:rPr>
          <w:rFonts w:hint="eastAsia"/>
        </w:rPr>
        <w:t>B</w:t>
      </w:r>
      <w:r w:rsidRPr="00913C78">
        <w:t>.</w:t>
      </w:r>
      <w:r w:rsidRPr="00913C78">
        <w:rPr>
          <w:rFonts w:hint="eastAsia"/>
        </w:rPr>
        <w:t>7</w:t>
      </w:r>
      <w:r w:rsidRPr="00913C78">
        <w:t>.</w:t>
      </w:r>
      <w:r w:rsidRPr="00913C78">
        <w:rPr>
          <w:rFonts w:hint="eastAsia"/>
        </w:rPr>
        <w:t>5</w:t>
      </w:r>
      <w:r w:rsidRPr="00913C78">
        <w:t xml:space="preserve"> </w:t>
      </w:r>
      <w:r w:rsidRPr="00913C78">
        <w:t>换气效率</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36"/>
        <w:gridCol w:w="1557"/>
      </w:tblGrid>
      <w:tr w:rsidR="00913C78" w:rsidRPr="00213A3F" w14:paraId="72EE88E6" w14:textId="77777777" w:rsidTr="00913C78">
        <w:trPr>
          <w:jc w:val="center"/>
        </w:trPr>
        <w:tc>
          <w:tcPr>
            <w:tcW w:w="6136" w:type="dxa"/>
          </w:tcPr>
          <w:p w14:paraId="139C14E2" w14:textId="77777777" w:rsidR="00913C78" w:rsidRPr="00213A3F" w:rsidRDefault="00913C78" w:rsidP="00213A3F">
            <w:pPr>
              <w:pStyle w:val="ae"/>
              <w:rPr>
                <w:b w:val="0"/>
                <w:bCs/>
              </w:rPr>
            </w:pPr>
            <w:r w:rsidRPr="00213A3F">
              <w:rPr>
                <w:b w:val="0"/>
                <w:bCs/>
              </w:rPr>
              <w:t>空调末端形式</w:t>
            </w:r>
          </w:p>
        </w:tc>
        <w:tc>
          <w:tcPr>
            <w:tcW w:w="1557" w:type="dxa"/>
          </w:tcPr>
          <w:p w14:paraId="65D9E336" w14:textId="77777777" w:rsidR="00913C78" w:rsidRPr="00213A3F" w:rsidRDefault="00913C78" w:rsidP="00213A3F">
            <w:pPr>
              <w:pStyle w:val="ae"/>
              <w:rPr>
                <w:b w:val="0"/>
                <w:bCs/>
              </w:rPr>
            </w:pPr>
            <w:r w:rsidRPr="00213A3F">
              <w:rPr>
                <w:b w:val="0"/>
                <w:bCs/>
              </w:rPr>
              <w:t>换气效率</w:t>
            </w:r>
          </w:p>
        </w:tc>
      </w:tr>
      <w:tr w:rsidR="00913C78" w:rsidRPr="00213A3F" w14:paraId="7EF6358D" w14:textId="77777777" w:rsidTr="00913C78">
        <w:trPr>
          <w:jc w:val="center"/>
        </w:trPr>
        <w:tc>
          <w:tcPr>
            <w:tcW w:w="6136" w:type="dxa"/>
          </w:tcPr>
          <w:p w14:paraId="4406CA2D" w14:textId="77777777" w:rsidR="00913C78" w:rsidRPr="00213A3F" w:rsidRDefault="00913C78" w:rsidP="00213A3F">
            <w:pPr>
              <w:pStyle w:val="ae"/>
              <w:rPr>
                <w:b w:val="0"/>
                <w:bCs/>
              </w:rPr>
            </w:pPr>
            <w:r w:rsidRPr="00213A3F">
              <w:rPr>
                <w:b w:val="0"/>
                <w:bCs/>
              </w:rPr>
              <w:t>供冷上送</w:t>
            </w:r>
          </w:p>
        </w:tc>
        <w:tc>
          <w:tcPr>
            <w:tcW w:w="1557" w:type="dxa"/>
          </w:tcPr>
          <w:p w14:paraId="53870C78" w14:textId="77777777" w:rsidR="00913C78" w:rsidRPr="00213A3F" w:rsidRDefault="00913C78" w:rsidP="00213A3F">
            <w:pPr>
              <w:pStyle w:val="ae"/>
              <w:rPr>
                <w:b w:val="0"/>
                <w:bCs/>
              </w:rPr>
            </w:pPr>
            <w:r w:rsidRPr="00213A3F">
              <w:rPr>
                <w:b w:val="0"/>
                <w:bCs/>
              </w:rPr>
              <w:t>1.0</w:t>
            </w:r>
          </w:p>
        </w:tc>
      </w:tr>
      <w:tr w:rsidR="00913C78" w:rsidRPr="00213A3F" w14:paraId="4F8005CA" w14:textId="77777777" w:rsidTr="00913C78">
        <w:trPr>
          <w:jc w:val="center"/>
        </w:trPr>
        <w:tc>
          <w:tcPr>
            <w:tcW w:w="6136" w:type="dxa"/>
          </w:tcPr>
          <w:p w14:paraId="467159E2" w14:textId="77777777" w:rsidR="00913C78" w:rsidRPr="00213A3F" w:rsidRDefault="00913C78" w:rsidP="00213A3F">
            <w:pPr>
              <w:pStyle w:val="ae"/>
              <w:rPr>
                <w:b w:val="0"/>
                <w:bCs/>
              </w:rPr>
            </w:pPr>
            <w:r w:rsidRPr="00213A3F">
              <w:rPr>
                <w:b w:val="0"/>
                <w:bCs/>
              </w:rPr>
              <w:t>供热上送下回</w:t>
            </w:r>
          </w:p>
        </w:tc>
        <w:tc>
          <w:tcPr>
            <w:tcW w:w="1557" w:type="dxa"/>
          </w:tcPr>
          <w:p w14:paraId="05921017" w14:textId="77777777" w:rsidR="00913C78" w:rsidRPr="00213A3F" w:rsidRDefault="00913C78" w:rsidP="00213A3F">
            <w:pPr>
              <w:pStyle w:val="ae"/>
              <w:rPr>
                <w:b w:val="0"/>
                <w:bCs/>
              </w:rPr>
            </w:pPr>
            <w:r w:rsidRPr="00213A3F">
              <w:rPr>
                <w:b w:val="0"/>
                <w:bCs/>
              </w:rPr>
              <w:t>1.0</w:t>
            </w:r>
          </w:p>
        </w:tc>
      </w:tr>
      <w:tr w:rsidR="00913C78" w:rsidRPr="00213A3F" w14:paraId="34C92C1A" w14:textId="77777777" w:rsidTr="00913C78">
        <w:trPr>
          <w:jc w:val="center"/>
        </w:trPr>
        <w:tc>
          <w:tcPr>
            <w:tcW w:w="6136" w:type="dxa"/>
          </w:tcPr>
          <w:p w14:paraId="7D6B0280" w14:textId="77777777" w:rsidR="00913C78" w:rsidRPr="00213A3F" w:rsidRDefault="00913C78" w:rsidP="00213A3F">
            <w:pPr>
              <w:pStyle w:val="ae"/>
              <w:rPr>
                <w:b w:val="0"/>
                <w:bCs/>
              </w:rPr>
            </w:pPr>
            <w:r w:rsidRPr="00213A3F">
              <w:rPr>
                <w:b w:val="0"/>
                <w:bCs/>
              </w:rPr>
              <w:t>供热上送上回（送风温差</w:t>
            </w:r>
            <w:r w:rsidRPr="00213A3F">
              <w:rPr>
                <w:rFonts w:hint="eastAsia"/>
                <w:b w:val="0"/>
                <w:bCs/>
              </w:rPr>
              <w:t>大于</w:t>
            </w:r>
            <w:r w:rsidRPr="00213A3F">
              <w:rPr>
                <w:b w:val="0"/>
                <w:bCs/>
              </w:rPr>
              <w:t>8</w:t>
            </w:r>
            <w:r w:rsidRPr="00213A3F">
              <w:rPr>
                <w:rFonts w:hint="eastAsia"/>
                <w:b w:val="0"/>
                <w:bCs/>
              </w:rPr>
              <w:t>℃</w:t>
            </w:r>
            <w:r w:rsidRPr="00213A3F">
              <w:rPr>
                <w:b w:val="0"/>
                <w:bCs/>
              </w:rPr>
              <w:t>）</w:t>
            </w:r>
          </w:p>
        </w:tc>
        <w:tc>
          <w:tcPr>
            <w:tcW w:w="1557" w:type="dxa"/>
          </w:tcPr>
          <w:p w14:paraId="0D4BECD4" w14:textId="77777777" w:rsidR="00913C78" w:rsidRPr="00213A3F" w:rsidRDefault="00913C78" w:rsidP="00213A3F">
            <w:pPr>
              <w:pStyle w:val="ae"/>
              <w:rPr>
                <w:b w:val="0"/>
                <w:bCs/>
              </w:rPr>
            </w:pPr>
            <w:r w:rsidRPr="00213A3F">
              <w:rPr>
                <w:b w:val="0"/>
                <w:bCs/>
              </w:rPr>
              <w:t>0.8</w:t>
            </w:r>
          </w:p>
        </w:tc>
      </w:tr>
      <w:tr w:rsidR="00913C78" w:rsidRPr="00213A3F" w14:paraId="49949B5A" w14:textId="77777777" w:rsidTr="00913C78">
        <w:trPr>
          <w:jc w:val="center"/>
        </w:trPr>
        <w:tc>
          <w:tcPr>
            <w:tcW w:w="6136" w:type="dxa"/>
          </w:tcPr>
          <w:p w14:paraId="24ADA5EF" w14:textId="77777777" w:rsidR="00913C78" w:rsidRPr="00213A3F" w:rsidRDefault="00913C78" w:rsidP="00213A3F">
            <w:pPr>
              <w:pStyle w:val="ae"/>
              <w:rPr>
                <w:b w:val="0"/>
                <w:bCs/>
              </w:rPr>
            </w:pPr>
            <w:r w:rsidRPr="00213A3F">
              <w:rPr>
                <w:b w:val="0"/>
                <w:bCs/>
              </w:rPr>
              <w:t>供热上送上回（送风温差</w:t>
            </w:r>
            <w:r w:rsidRPr="00213A3F">
              <w:rPr>
                <w:rFonts w:hint="eastAsia"/>
                <w:b w:val="0"/>
                <w:bCs/>
              </w:rPr>
              <w:t>不大于</w:t>
            </w:r>
            <w:r w:rsidRPr="00213A3F">
              <w:rPr>
                <w:b w:val="0"/>
                <w:bCs/>
              </w:rPr>
              <w:t>8</w:t>
            </w:r>
            <w:r w:rsidRPr="00213A3F">
              <w:rPr>
                <w:rFonts w:hint="eastAsia"/>
                <w:b w:val="0"/>
                <w:bCs/>
              </w:rPr>
              <w:t>℃</w:t>
            </w:r>
            <w:r w:rsidRPr="00213A3F">
              <w:rPr>
                <w:b w:val="0"/>
                <w:bCs/>
              </w:rPr>
              <w:t>,</w:t>
            </w:r>
            <w:r w:rsidRPr="00213A3F">
              <w:rPr>
                <w:b w:val="0"/>
                <w:bCs/>
              </w:rPr>
              <w:t>送风速度</w:t>
            </w:r>
            <w:r w:rsidRPr="00213A3F">
              <w:rPr>
                <w:rFonts w:hint="eastAsia"/>
                <w:b w:val="0"/>
                <w:bCs/>
              </w:rPr>
              <w:t>大于</w:t>
            </w:r>
            <w:r w:rsidRPr="00213A3F">
              <w:rPr>
                <w:b w:val="0"/>
                <w:bCs/>
              </w:rPr>
              <w:t>0.8m/s</w:t>
            </w:r>
            <w:r w:rsidRPr="00213A3F">
              <w:rPr>
                <w:b w:val="0"/>
                <w:bCs/>
              </w:rPr>
              <w:t>）</w:t>
            </w:r>
          </w:p>
        </w:tc>
        <w:tc>
          <w:tcPr>
            <w:tcW w:w="1557" w:type="dxa"/>
          </w:tcPr>
          <w:p w14:paraId="34C3760D" w14:textId="77777777" w:rsidR="00913C78" w:rsidRPr="00213A3F" w:rsidRDefault="00913C78" w:rsidP="00213A3F">
            <w:pPr>
              <w:pStyle w:val="ae"/>
              <w:rPr>
                <w:b w:val="0"/>
                <w:bCs/>
              </w:rPr>
            </w:pPr>
            <w:r w:rsidRPr="00213A3F">
              <w:rPr>
                <w:b w:val="0"/>
                <w:bCs/>
              </w:rPr>
              <w:t>1.0</w:t>
            </w:r>
          </w:p>
        </w:tc>
      </w:tr>
      <w:tr w:rsidR="00913C78" w:rsidRPr="00213A3F" w14:paraId="22817741" w14:textId="77777777" w:rsidTr="00913C78">
        <w:trPr>
          <w:jc w:val="center"/>
        </w:trPr>
        <w:tc>
          <w:tcPr>
            <w:tcW w:w="6136" w:type="dxa"/>
          </w:tcPr>
          <w:p w14:paraId="6518A23C" w14:textId="77777777" w:rsidR="00913C78" w:rsidRPr="00213A3F" w:rsidRDefault="00913C78" w:rsidP="00213A3F">
            <w:pPr>
              <w:pStyle w:val="ae"/>
              <w:rPr>
                <w:b w:val="0"/>
                <w:bCs/>
              </w:rPr>
            </w:pPr>
            <w:r w:rsidRPr="00213A3F">
              <w:rPr>
                <w:b w:val="0"/>
                <w:bCs/>
              </w:rPr>
              <w:t>供热上送上回（送风温差</w:t>
            </w:r>
            <w:r w:rsidRPr="00213A3F">
              <w:rPr>
                <w:rFonts w:hint="eastAsia"/>
                <w:b w:val="0"/>
                <w:bCs/>
              </w:rPr>
              <w:t>不大于</w:t>
            </w:r>
            <w:r w:rsidRPr="00213A3F">
              <w:rPr>
                <w:b w:val="0"/>
                <w:bCs/>
              </w:rPr>
              <w:t>8</w:t>
            </w:r>
            <w:r w:rsidRPr="00213A3F">
              <w:rPr>
                <w:rFonts w:hint="eastAsia"/>
                <w:b w:val="0"/>
                <w:bCs/>
              </w:rPr>
              <w:t>℃</w:t>
            </w:r>
            <w:r w:rsidRPr="00213A3F">
              <w:rPr>
                <w:b w:val="0"/>
                <w:bCs/>
              </w:rPr>
              <w:t>,</w:t>
            </w:r>
            <w:r w:rsidRPr="00213A3F">
              <w:rPr>
                <w:b w:val="0"/>
                <w:bCs/>
              </w:rPr>
              <w:t>送风速度</w:t>
            </w:r>
            <w:r w:rsidRPr="00213A3F">
              <w:rPr>
                <w:rFonts w:hint="eastAsia"/>
                <w:b w:val="0"/>
                <w:bCs/>
              </w:rPr>
              <w:t>不大于</w:t>
            </w:r>
            <w:r w:rsidRPr="00213A3F">
              <w:rPr>
                <w:b w:val="0"/>
                <w:bCs/>
              </w:rPr>
              <w:t>0.8m/s</w:t>
            </w:r>
            <w:r w:rsidRPr="00213A3F">
              <w:rPr>
                <w:b w:val="0"/>
                <w:bCs/>
              </w:rPr>
              <w:t>）</w:t>
            </w:r>
          </w:p>
        </w:tc>
        <w:tc>
          <w:tcPr>
            <w:tcW w:w="1557" w:type="dxa"/>
          </w:tcPr>
          <w:p w14:paraId="7D14D021" w14:textId="77777777" w:rsidR="00913C78" w:rsidRPr="00213A3F" w:rsidRDefault="00913C78" w:rsidP="00213A3F">
            <w:pPr>
              <w:pStyle w:val="ae"/>
              <w:rPr>
                <w:b w:val="0"/>
                <w:bCs/>
              </w:rPr>
            </w:pPr>
            <w:r w:rsidRPr="00213A3F">
              <w:rPr>
                <w:b w:val="0"/>
                <w:bCs/>
              </w:rPr>
              <w:t>0.8</w:t>
            </w:r>
          </w:p>
        </w:tc>
      </w:tr>
      <w:tr w:rsidR="00913C78" w:rsidRPr="00213A3F" w14:paraId="578EBAD8" w14:textId="77777777" w:rsidTr="00913C78">
        <w:trPr>
          <w:jc w:val="center"/>
        </w:trPr>
        <w:tc>
          <w:tcPr>
            <w:tcW w:w="6136" w:type="dxa"/>
          </w:tcPr>
          <w:p w14:paraId="5BC8B66E" w14:textId="77777777" w:rsidR="00913C78" w:rsidRPr="00213A3F" w:rsidRDefault="00913C78" w:rsidP="00213A3F">
            <w:pPr>
              <w:pStyle w:val="ae"/>
              <w:rPr>
                <w:b w:val="0"/>
                <w:bCs/>
              </w:rPr>
            </w:pPr>
            <w:r w:rsidRPr="00213A3F">
              <w:rPr>
                <w:b w:val="0"/>
                <w:bCs/>
              </w:rPr>
              <w:t>供冷下送上回（地面</w:t>
            </w:r>
            <w:r w:rsidRPr="00213A3F">
              <w:rPr>
                <w:b w:val="0"/>
                <w:bCs/>
              </w:rPr>
              <w:t>1.4m</w:t>
            </w:r>
            <w:r w:rsidRPr="00213A3F">
              <w:rPr>
                <w:b w:val="0"/>
                <w:bCs/>
              </w:rPr>
              <w:t>以上区域的送风速度</w:t>
            </w:r>
            <w:r w:rsidRPr="00213A3F">
              <w:rPr>
                <w:rFonts w:hint="eastAsia"/>
                <w:b w:val="0"/>
                <w:bCs/>
              </w:rPr>
              <w:t>大于</w:t>
            </w:r>
            <w:r w:rsidRPr="00213A3F">
              <w:rPr>
                <w:b w:val="0"/>
                <w:bCs/>
              </w:rPr>
              <w:t>0.8m/s</w:t>
            </w:r>
            <w:r w:rsidRPr="00213A3F">
              <w:rPr>
                <w:b w:val="0"/>
                <w:bCs/>
              </w:rPr>
              <w:t>）</w:t>
            </w:r>
          </w:p>
        </w:tc>
        <w:tc>
          <w:tcPr>
            <w:tcW w:w="1557" w:type="dxa"/>
          </w:tcPr>
          <w:p w14:paraId="3E0B6E2E" w14:textId="77777777" w:rsidR="00913C78" w:rsidRPr="00213A3F" w:rsidRDefault="00913C78" w:rsidP="00213A3F">
            <w:pPr>
              <w:pStyle w:val="ae"/>
              <w:rPr>
                <w:b w:val="0"/>
                <w:bCs/>
              </w:rPr>
            </w:pPr>
            <w:r w:rsidRPr="00213A3F">
              <w:rPr>
                <w:b w:val="0"/>
                <w:bCs/>
              </w:rPr>
              <w:t>1.0</w:t>
            </w:r>
          </w:p>
        </w:tc>
      </w:tr>
      <w:tr w:rsidR="00913C78" w:rsidRPr="00213A3F" w14:paraId="0A463B64" w14:textId="77777777" w:rsidTr="00913C78">
        <w:trPr>
          <w:jc w:val="center"/>
        </w:trPr>
        <w:tc>
          <w:tcPr>
            <w:tcW w:w="6136" w:type="dxa"/>
          </w:tcPr>
          <w:p w14:paraId="19A2CC09" w14:textId="77777777" w:rsidR="00913C78" w:rsidRPr="00213A3F" w:rsidRDefault="00913C78" w:rsidP="00213A3F">
            <w:pPr>
              <w:pStyle w:val="ae"/>
              <w:rPr>
                <w:b w:val="0"/>
                <w:bCs/>
              </w:rPr>
            </w:pPr>
            <w:r w:rsidRPr="00213A3F">
              <w:rPr>
                <w:b w:val="0"/>
                <w:bCs/>
              </w:rPr>
              <w:t>供冷下送上回（低速置换通风</w:t>
            </w:r>
            <w:r w:rsidRPr="00213A3F">
              <w:rPr>
                <w:b w:val="0"/>
                <w:bCs/>
              </w:rPr>
              <w:t>,</w:t>
            </w:r>
            <w:r w:rsidRPr="00213A3F">
              <w:rPr>
                <w:b w:val="0"/>
                <w:bCs/>
              </w:rPr>
              <w:t>或地面</w:t>
            </w:r>
            <w:r w:rsidRPr="00213A3F">
              <w:rPr>
                <w:b w:val="0"/>
                <w:bCs/>
              </w:rPr>
              <w:t>1.4m</w:t>
            </w:r>
            <w:r w:rsidRPr="00213A3F">
              <w:rPr>
                <w:b w:val="0"/>
                <w:bCs/>
              </w:rPr>
              <w:t>以上区域的送风速度</w:t>
            </w:r>
            <w:r w:rsidRPr="00213A3F">
              <w:rPr>
                <w:rFonts w:hint="eastAsia"/>
                <w:b w:val="0"/>
                <w:bCs/>
              </w:rPr>
              <w:t>不大于</w:t>
            </w:r>
            <w:r w:rsidRPr="00213A3F">
              <w:rPr>
                <w:b w:val="0"/>
                <w:bCs/>
              </w:rPr>
              <w:t>0.8m/s</w:t>
            </w:r>
            <w:r w:rsidRPr="00213A3F">
              <w:rPr>
                <w:b w:val="0"/>
                <w:bCs/>
              </w:rPr>
              <w:t>）</w:t>
            </w:r>
          </w:p>
        </w:tc>
        <w:tc>
          <w:tcPr>
            <w:tcW w:w="1557" w:type="dxa"/>
          </w:tcPr>
          <w:p w14:paraId="157A2766" w14:textId="77777777" w:rsidR="00913C78" w:rsidRPr="00213A3F" w:rsidRDefault="00913C78" w:rsidP="00213A3F">
            <w:pPr>
              <w:pStyle w:val="ae"/>
              <w:rPr>
                <w:b w:val="0"/>
                <w:bCs/>
              </w:rPr>
            </w:pPr>
            <w:r w:rsidRPr="00213A3F">
              <w:rPr>
                <w:b w:val="0"/>
                <w:bCs/>
              </w:rPr>
              <w:t>1.2</w:t>
            </w:r>
          </w:p>
        </w:tc>
      </w:tr>
      <w:tr w:rsidR="00913C78" w:rsidRPr="00213A3F" w14:paraId="378546FE" w14:textId="77777777" w:rsidTr="00913C78">
        <w:trPr>
          <w:jc w:val="center"/>
        </w:trPr>
        <w:tc>
          <w:tcPr>
            <w:tcW w:w="6136" w:type="dxa"/>
          </w:tcPr>
          <w:p w14:paraId="43611BCF" w14:textId="77777777" w:rsidR="00913C78" w:rsidRPr="00213A3F" w:rsidRDefault="00913C78" w:rsidP="00213A3F">
            <w:pPr>
              <w:pStyle w:val="ae"/>
              <w:rPr>
                <w:b w:val="0"/>
                <w:bCs/>
              </w:rPr>
            </w:pPr>
            <w:r w:rsidRPr="00213A3F">
              <w:rPr>
                <w:b w:val="0"/>
                <w:bCs/>
              </w:rPr>
              <w:t>供热下送下回</w:t>
            </w:r>
          </w:p>
        </w:tc>
        <w:tc>
          <w:tcPr>
            <w:tcW w:w="1557" w:type="dxa"/>
          </w:tcPr>
          <w:p w14:paraId="7F749BAD" w14:textId="77777777" w:rsidR="00913C78" w:rsidRPr="00213A3F" w:rsidRDefault="00913C78" w:rsidP="00213A3F">
            <w:pPr>
              <w:pStyle w:val="ae"/>
              <w:rPr>
                <w:b w:val="0"/>
                <w:bCs/>
              </w:rPr>
            </w:pPr>
            <w:r w:rsidRPr="00213A3F">
              <w:rPr>
                <w:b w:val="0"/>
                <w:bCs/>
              </w:rPr>
              <w:t>1.0</w:t>
            </w:r>
          </w:p>
        </w:tc>
      </w:tr>
      <w:tr w:rsidR="00913C78" w:rsidRPr="00213A3F" w14:paraId="6D34B759" w14:textId="77777777" w:rsidTr="00913C78">
        <w:trPr>
          <w:jc w:val="center"/>
        </w:trPr>
        <w:tc>
          <w:tcPr>
            <w:tcW w:w="6136" w:type="dxa"/>
          </w:tcPr>
          <w:p w14:paraId="0F013D97" w14:textId="77777777" w:rsidR="00913C78" w:rsidRPr="00213A3F" w:rsidRDefault="00913C78" w:rsidP="00213A3F">
            <w:pPr>
              <w:pStyle w:val="ae"/>
              <w:rPr>
                <w:b w:val="0"/>
                <w:bCs/>
              </w:rPr>
            </w:pPr>
            <w:r w:rsidRPr="00213A3F">
              <w:rPr>
                <w:b w:val="0"/>
                <w:bCs/>
              </w:rPr>
              <w:lastRenderedPageBreak/>
              <w:t>供热下送上回</w:t>
            </w:r>
          </w:p>
        </w:tc>
        <w:tc>
          <w:tcPr>
            <w:tcW w:w="1557" w:type="dxa"/>
          </w:tcPr>
          <w:p w14:paraId="3DA48FFD" w14:textId="77777777" w:rsidR="00913C78" w:rsidRPr="00213A3F" w:rsidRDefault="00913C78" w:rsidP="00213A3F">
            <w:pPr>
              <w:pStyle w:val="ae"/>
              <w:rPr>
                <w:b w:val="0"/>
                <w:bCs/>
              </w:rPr>
            </w:pPr>
            <w:r w:rsidRPr="00213A3F">
              <w:rPr>
                <w:b w:val="0"/>
                <w:bCs/>
              </w:rPr>
              <w:t>0.7</w:t>
            </w:r>
          </w:p>
        </w:tc>
      </w:tr>
      <w:tr w:rsidR="00913C78" w:rsidRPr="00213A3F" w14:paraId="61A30EB6" w14:textId="77777777" w:rsidTr="00913C78">
        <w:trPr>
          <w:jc w:val="center"/>
        </w:trPr>
        <w:tc>
          <w:tcPr>
            <w:tcW w:w="6136" w:type="dxa"/>
          </w:tcPr>
          <w:p w14:paraId="1A6AB464" w14:textId="77777777" w:rsidR="00913C78" w:rsidRPr="00213A3F" w:rsidRDefault="00913C78" w:rsidP="00213A3F">
            <w:pPr>
              <w:pStyle w:val="ae"/>
              <w:rPr>
                <w:b w:val="0"/>
                <w:bCs/>
              </w:rPr>
            </w:pPr>
            <w:r w:rsidRPr="00213A3F">
              <w:rPr>
                <w:b w:val="0"/>
                <w:bCs/>
              </w:rPr>
              <w:t>送排（回）风口反向对称布置</w:t>
            </w:r>
          </w:p>
        </w:tc>
        <w:tc>
          <w:tcPr>
            <w:tcW w:w="1557" w:type="dxa"/>
          </w:tcPr>
          <w:p w14:paraId="0A9718E7" w14:textId="77777777" w:rsidR="00913C78" w:rsidRPr="00213A3F" w:rsidRDefault="00913C78" w:rsidP="00213A3F">
            <w:pPr>
              <w:pStyle w:val="ae"/>
              <w:rPr>
                <w:b w:val="0"/>
                <w:bCs/>
              </w:rPr>
            </w:pPr>
            <w:r w:rsidRPr="00213A3F">
              <w:rPr>
                <w:b w:val="0"/>
                <w:bCs/>
              </w:rPr>
              <w:t>0.8</w:t>
            </w:r>
          </w:p>
        </w:tc>
      </w:tr>
      <w:tr w:rsidR="00913C78" w:rsidRPr="00213A3F" w14:paraId="021C90F9" w14:textId="77777777" w:rsidTr="00913C78">
        <w:trPr>
          <w:jc w:val="center"/>
        </w:trPr>
        <w:tc>
          <w:tcPr>
            <w:tcW w:w="6136" w:type="dxa"/>
          </w:tcPr>
          <w:p w14:paraId="4778502E" w14:textId="77777777" w:rsidR="00913C78" w:rsidRPr="00213A3F" w:rsidRDefault="00913C78" w:rsidP="00213A3F">
            <w:pPr>
              <w:pStyle w:val="ae"/>
              <w:rPr>
                <w:b w:val="0"/>
                <w:bCs/>
              </w:rPr>
            </w:pPr>
            <w:r w:rsidRPr="00213A3F">
              <w:rPr>
                <w:b w:val="0"/>
                <w:bCs/>
              </w:rPr>
              <w:t>送排（回）风口临近布置</w:t>
            </w:r>
          </w:p>
        </w:tc>
        <w:tc>
          <w:tcPr>
            <w:tcW w:w="1557" w:type="dxa"/>
          </w:tcPr>
          <w:p w14:paraId="6DA8DC69" w14:textId="77777777" w:rsidR="00913C78" w:rsidRPr="00213A3F" w:rsidRDefault="00913C78" w:rsidP="00213A3F">
            <w:pPr>
              <w:pStyle w:val="ae"/>
              <w:rPr>
                <w:b w:val="0"/>
                <w:bCs/>
              </w:rPr>
            </w:pPr>
            <w:r w:rsidRPr="00213A3F">
              <w:rPr>
                <w:b w:val="0"/>
                <w:bCs/>
              </w:rPr>
              <w:t>0.5</w:t>
            </w:r>
          </w:p>
        </w:tc>
      </w:tr>
    </w:tbl>
    <w:p w14:paraId="1CF2586E" w14:textId="77777777" w:rsidR="00913C78" w:rsidRPr="00913C78" w:rsidRDefault="00913C78" w:rsidP="00913C78">
      <w:pPr>
        <w:ind w:firstLine="420"/>
      </w:pPr>
    </w:p>
    <w:p w14:paraId="183741BE" w14:textId="77777777" w:rsidR="00913C78" w:rsidRPr="00913C78" w:rsidRDefault="00913C78" w:rsidP="00913C78">
      <w:pPr>
        <w:ind w:firstLine="420"/>
      </w:pPr>
      <w:r w:rsidRPr="00913C78">
        <w:rPr>
          <w:rFonts w:hint="eastAsia"/>
        </w:rPr>
        <w:t>（</w:t>
      </w:r>
      <w:r w:rsidRPr="00913C78">
        <w:rPr>
          <w:rFonts w:hint="eastAsia"/>
        </w:rPr>
        <w:t>5</w:t>
      </w:r>
      <w:r w:rsidRPr="00913C78">
        <w:rPr>
          <w:rFonts w:hint="eastAsia"/>
        </w:rPr>
        <w:t>）</w:t>
      </w:r>
      <w:r w:rsidRPr="00913C78">
        <w:t>净化设备当量穿透</w:t>
      </w:r>
      <w:r w:rsidRPr="00913C78">
        <w:rPr>
          <w:rFonts w:hint="eastAsia"/>
        </w:rPr>
        <w:t>系数</w:t>
      </w:r>
    </w:p>
    <w:p w14:paraId="1AE1CEF9" w14:textId="77777777" w:rsidR="00913C78" w:rsidRPr="00913C78" w:rsidRDefault="00913C78" w:rsidP="00913C78">
      <w:pPr>
        <w:ind w:firstLine="420"/>
      </w:pPr>
      <w:r w:rsidRPr="00913C78">
        <w:rPr>
          <w:rFonts w:hint="eastAsia"/>
        </w:rPr>
        <w:t>新风净化设备当量穿透系数应按下式换算：</w:t>
      </w:r>
    </w:p>
    <w:p w14:paraId="45495C83" w14:textId="3A17F4AD" w:rsidR="00101E96" w:rsidRPr="00643310" w:rsidRDefault="007C2C5F" w:rsidP="00F83296">
      <w:pPr>
        <w:pStyle w:val="af8"/>
      </w:pPr>
      <w:r>
        <w:tab/>
      </w:r>
      <m:oMath>
        <m:sSub>
          <m:sSubPr>
            <m:ctrlPr>
              <w:rPr>
                <w:rFonts w:ascii="Cambria Math" w:hAnsi="Cambria Math"/>
              </w:rPr>
            </m:ctrlPr>
          </m:sSubPr>
          <m:e>
            <m:r>
              <w:rPr>
                <w:rFonts w:ascii="Cambria Math" w:hAnsi="Cambria Math"/>
              </w:rPr>
              <m:t>P</m:t>
            </m:r>
          </m:e>
          <m:sub>
            <m:r>
              <w:rPr>
                <w:rFonts w:ascii="Cambria Math" w:hAnsi="Cambria Math" w:hint="eastAsia"/>
              </w:rPr>
              <m:t>eo</m:t>
            </m:r>
          </m:sub>
        </m:sSub>
        <m:r>
          <m:rPr>
            <m:sty m:val="p"/>
          </m:rPr>
          <w:rPr>
            <w:rFonts w:ascii="Cambria Math" w:hAnsi="Cambria Math" w:hint="eastAsia"/>
          </w:rPr>
          <m:t>=</m:t>
        </m:r>
        <m:r>
          <m:rPr>
            <m:sty m:val="p"/>
          </m:rPr>
          <w:rPr>
            <w:rFonts w:ascii="Cambria Math" w:hAnsi="Cambria Math" w:hint="eastAsia"/>
          </w:rPr>
          <m:t>（</m:t>
        </m:r>
        <m:r>
          <m:rPr>
            <m:sty m:val="p"/>
          </m:rPr>
          <w:rPr>
            <w:rFonts w:ascii="Cambria Math" w:hAnsi="Cambria Math"/>
          </w:rPr>
          <m:t>1</m:t>
        </m:r>
        <m:r>
          <m:rPr>
            <m:sty m:val="p"/>
          </m:rPr>
          <w:rPr>
            <w:rFonts w:ascii="Cambria Math" w:eastAsia="微软雅黑" w:hAnsi="Cambria Math" w:cs="微软雅黑" w:hint="eastAsia"/>
          </w:rPr>
          <m:t>-</m:t>
        </m:r>
        <m:sSub>
          <m:sSubPr>
            <m:ctrlPr>
              <w:rPr>
                <w:rFonts w:ascii="Cambria Math" w:hAnsi="Cambria Math"/>
              </w:rPr>
            </m:ctrlPr>
          </m:sSubPr>
          <m:e>
            <m:r>
              <w:rPr>
                <w:rFonts w:ascii="Cambria Math" w:hAnsi="Cambria Math"/>
              </w:rPr>
              <m:t>η</m:t>
            </m:r>
          </m:e>
          <m:sub>
            <m:r>
              <w:rPr>
                <w:rFonts w:ascii="Cambria Math" w:hAnsi="Cambria Math" w:hint="eastAsia"/>
              </w:rPr>
              <m:t>o</m:t>
            </m:r>
          </m:sub>
        </m:sSub>
        <m:r>
          <m:rPr>
            <m:sty m:val="p"/>
          </m:rPr>
          <w:rPr>
            <w:rFonts w:ascii="Cambria Math" w:hAnsi="Cambria Math" w:hint="eastAsia"/>
          </w:rPr>
          <m:t>）（</m:t>
        </m:r>
        <m:r>
          <m:rPr>
            <m:sty m:val="p"/>
          </m:rPr>
          <w:rPr>
            <w:rFonts w:ascii="Cambria Math" w:hAnsi="Cambria Math"/>
          </w:rPr>
          <m:t>1</m:t>
        </m:r>
        <m:r>
          <m:rPr>
            <m:sty m:val="p"/>
          </m:rPr>
          <w:rPr>
            <w:rFonts w:ascii="Cambria Math" w:eastAsia="微软雅黑" w:hAnsi="Cambria Math" w:cs="微软雅黑" w:hint="eastAsia"/>
          </w:rPr>
          <m:t>-</m:t>
        </m:r>
        <m:sSub>
          <m:sSubPr>
            <m:ctrlPr>
              <w:rPr>
                <w:rFonts w:ascii="Cambria Math" w:hAnsi="Cambria Math"/>
              </w:rPr>
            </m:ctrlPr>
          </m:sSubPr>
          <m:e>
            <m:r>
              <w:rPr>
                <w:rFonts w:ascii="Cambria Math" w:hAnsi="Cambria Math"/>
              </w:rPr>
              <m:t>η</m:t>
            </m:r>
          </m:e>
          <m:sub>
            <m:r>
              <w:rPr>
                <w:rFonts w:ascii="Cambria Math" w:hAnsi="Cambria Math" w:hint="eastAsia"/>
              </w:rPr>
              <m:t>s</m:t>
            </m:r>
          </m:sub>
        </m:sSub>
        <m:r>
          <m:rPr>
            <m:sty m:val="p"/>
          </m:rPr>
          <w:rPr>
            <w:rFonts w:ascii="Cambria Math" w:hAnsi="Cambria Math" w:hint="eastAsia"/>
          </w:rPr>
          <m:t>）</m:t>
        </m:r>
      </m:oMath>
      <w:r>
        <w:tab/>
      </w:r>
      <w:r w:rsidRPr="00F83296">
        <w:t>(B.7.6)</w:t>
      </w:r>
    </w:p>
    <w:p w14:paraId="3D95A368" w14:textId="020E7242" w:rsidR="00213A3F" w:rsidRDefault="00913C78" w:rsidP="00913C78">
      <w:pPr>
        <w:ind w:firstLine="420"/>
      </w:pPr>
      <w:r w:rsidRPr="00913C78">
        <w:rPr>
          <w:rFonts w:hint="eastAsia"/>
        </w:rPr>
        <w:t>式中：</w:t>
      </w:r>
      <m:oMath>
        <m:sSub>
          <m:sSubPr>
            <m:ctrlPr>
              <w:rPr>
                <w:rFonts w:ascii="Cambria Math" w:hAnsi="Cambria Math"/>
                <w:i/>
              </w:rPr>
            </m:ctrlPr>
          </m:sSubPr>
          <m:e>
            <m:r>
              <w:rPr>
                <w:rFonts w:ascii="Cambria Math" w:hAnsi="Cambria Math"/>
              </w:rPr>
              <m:t>P</m:t>
            </m:r>
          </m:e>
          <m:sub>
            <m:r>
              <w:rPr>
                <w:rFonts w:ascii="Cambria Math" w:hAnsi="Cambria Math" w:hint="eastAsia"/>
              </w:rPr>
              <m:t>eo</m:t>
            </m:r>
          </m:sub>
        </m:sSub>
      </m:oMath>
      <w:r w:rsidRPr="00913C78">
        <w:rPr>
          <w:rFonts w:hint="eastAsia"/>
        </w:rPr>
        <w:t>——新风净化设备当量穿透系数；</w:t>
      </w:r>
    </w:p>
    <w:p w14:paraId="1FA4591D" w14:textId="5A4E6FC8" w:rsidR="00213A3F" w:rsidRDefault="00913C78" w:rsidP="00913C78">
      <w:pPr>
        <w:ind w:firstLine="420"/>
      </w:pPr>
      <w:r w:rsidRPr="00913C78">
        <w:rPr>
          <w:rFonts w:hint="eastAsia"/>
        </w:rPr>
        <w:t xml:space="preserve"> </w:t>
      </w:r>
      <w:r w:rsidRPr="00913C78">
        <w:t xml:space="preserve">     </w:t>
      </w:r>
      <m:oMath>
        <m:sSub>
          <m:sSubPr>
            <m:ctrlPr>
              <w:rPr>
                <w:rFonts w:ascii="Cambria Math" w:hAnsi="Cambria Math"/>
                <w:i/>
              </w:rPr>
            </m:ctrlPr>
          </m:sSubPr>
          <m:e>
            <m:r>
              <w:rPr>
                <w:rFonts w:ascii="Cambria Math" w:hAnsi="Cambria Math"/>
              </w:rPr>
              <m:t>η</m:t>
            </m:r>
          </m:e>
          <m:sub>
            <m:r>
              <w:rPr>
                <w:rFonts w:ascii="Cambria Math" w:hAnsi="Cambria Math" w:hint="eastAsia"/>
              </w:rPr>
              <m:t>o</m:t>
            </m:r>
          </m:sub>
        </m:sSub>
      </m:oMath>
      <w:r w:rsidRPr="00913C78">
        <w:rPr>
          <w:rFonts w:hint="eastAsia"/>
        </w:rPr>
        <w:t>——新风净化设备的一次净化效率；</w:t>
      </w:r>
      <w:r w:rsidRPr="00913C78">
        <w:rPr>
          <w:rFonts w:hint="eastAsia"/>
        </w:rPr>
        <w:t xml:space="preserve"> </w:t>
      </w:r>
      <w:r w:rsidRPr="00913C78">
        <w:t xml:space="preserve">   </w:t>
      </w:r>
    </w:p>
    <w:p w14:paraId="6B737464" w14:textId="229125E8" w:rsidR="00913C78" w:rsidRDefault="00913C78" w:rsidP="00913C78">
      <w:pPr>
        <w:ind w:firstLine="420"/>
      </w:pPr>
      <w:r w:rsidRPr="00913C78">
        <w:t xml:space="preserve">      </w:t>
      </w:r>
      <m:oMath>
        <m:sSub>
          <m:sSubPr>
            <m:ctrlPr>
              <w:rPr>
                <w:rFonts w:ascii="Cambria Math" w:hAnsi="Cambria Math"/>
                <w:i/>
              </w:rPr>
            </m:ctrlPr>
          </m:sSubPr>
          <m:e>
            <m:r>
              <w:rPr>
                <w:rFonts w:ascii="Cambria Math" w:hAnsi="Cambria Math"/>
              </w:rPr>
              <m:t>η</m:t>
            </m:r>
          </m:e>
          <m:sub>
            <m:r>
              <w:rPr>
                <w:rFonts w:ascii="Cambria Math" w:hAnsi="Cambria Math" w:hint="eastAsia"/>
              </w:rPr>
              <m:t>s</m:t>
            </m:r>
          </m:sub>
        </m:sSub>
      </m:oMath>
      <w:r w:rsidRPr="00913C78">
        <w:rPr>
          <w:rFonts w:hint="eastAsia"/>
        </w:rPr>
        <w:t>——总送风净化设备的一次净化效率。</w:t>
      </w:r>
    </w:p>
    <w:p w14:paraId="474509E7" w14:textId="066FD99D" w:rsidR="00913C78" w:rsidRDefault="00913C78" w:rsidP="00913C78">
      <w:pPr>
        <w:ind w:firstLine="420"/>
      </w:pPr>
      <w:r w:rsidRPr="00913C78">
        <w:rPr>
          <w:rFonts w:hint="eastAsia"/>
        </w:rPr>
        <w:t>回风净化设备当量穿透系数应按下式换算：</w:t>
      </w:r>
    </w:p>
    <w:p w14:paraId="0BFBFFB4" w14:textId="6ED150B3" w:rsidR="00101E96" w:rsidRPr="00913C78" w:rsidRDefault="007C2C5F" w:rsidP="00F83296">
      <w:pPr>
        <w:pStyle w:val="af8"/>
      </w:pPr>
      <w:r>
        <w:tab/>
      </w:r>
      <m:oMath>
        <m:sSub>
          <m:sSubPr>
            <m:ctrlPr>
              <w:rPr>
                <w:rFonts w:ascii="Cambria Math" w:hAnsi="Cambria Math"/>
              </w:rPr>
            </m:ctrlPr>
          </m:sSubPr>
          <m:e>
            <m:r>
              <w:rPr>
                <w:rFonts w:ascii="Cambria Math" w:hAnsi="Cambria Math"/>
              </w:rPr>
              <m:t>P</m:t>
            </m:r>
          </m:e>
          <m:sub>
            <m:r>
              <w:rPr>
                <w:rFonts w:ascii="Cambria Math" w:hAnsi="Cambria Math" w:hint="eastAsia"/>
              </w:rPr>
              <m:t>er</m:t>
            </m:r>
          </m:sub>
        </m:sSub>
        <m:r>
          <m:rPr>
            <m:sty m:val="p"/>
          </m:rPr>
          <w:rPr>
            <w:rFonts w:ascii="Cambria Math" w:hAnsi="Cambria Math" w:hint="eastAsia"/>
          </w:rPr>
          <m:t>=</m:t>
        </m:r>
        <m:r>
          <m:rPr>
            <m:sty m:val="p"/>
          </m:rPr>
          <w:rPr>
            <w:rFonts w:ascii="Cambria Math" w:hAnsi="Cambria Math" w:hint="eastAsia"/>
          </w:rPr>
          <m:t>（</m:t>
        </m:r>
        <m:r>
          <m:rPr>
            <m:sty m:val="p"/>
          </m:rPr>
          <w:rPr>
            <w:rFonts w:ascii="Cambria Math" w:hAnsi="Cambria Math"/>
          </w:rPr>
          <m:t>1</m:t>
        </m:r>
        <m:r>
          <m:rPr>
            <m:sty m:val="p"/>
          </m:rPr>
          <w:rPr>
            <w:rFonts w:ascii="Cambria Math" w:eastAsia="微软雅黑" w:hAnsi="Cambria Math" w:cs="微软雅黑" w:hint="eastAsia"/>
          </w:rPr>
          <m:t>-</m:t>
        </m:r>
        <m:sSub>
          <m:sSubPr>
            <m:ctrlPr>
              <w:rPr>
                <w:rFonts w:ascii="Cambria Math" w:hAnsi="Cambria Math"/>
              </w:rPr>
            </m:ctrlPr>
          </m:sSubPr>
          <m:e>
            <m:r>
              <w:rPr>
                <w:rFonts w:ascii="Cambria Math" w:hAnsi="Cambria Math"/>
              </w:rPr>
              <m:t>η</m:t>
            </m:r>
          </m:e>
          <m:sub>
            <m:r>
              <w:rPr>
                <w:rFonts w:ascii="Cambria Math" w:hAnsi="Cambria Math" w:hint="eastAsia"/>
              </w:rPr>
              <m:t>r</m:t>
            </m:r>
          </m:sub>
        </m:sSub>
        <m:r>
          <m:rPr>
            <m:sty m:val="p"/>
          </m:rPr>
          <w:rPr>
            <w:rFonts w:ascii="Cambria Math" w:hAnsi="Cambria Math" w:hint="eastAsia"/>
          </w:rPr>
          <m:t>）（</m:t>
        </m:r>
        <m:r>
          <m:rPr>
            <m:sty m:val="p"/>
          </m:rPr>
          <w:rPr>
            <w:rFonts w:ascii="Cambria Math" w:hAnsi="Cambria Math"/>
          </w:rPr>
          <m:t>1</m:t>
        </m:r>
        <m:r>
          <m:rPr>
            <m:sty m:val="p"/>
          </m:rPr>
          <w:rPr>
            <w:rFonts w:ascii="Cambria Math" w:eastAsia="微软雅黑" w:hAnsi="Cambria Math" w:cs="微软雅黑" w:hint="eastAsia"/>
          </w:rPr>
          <m:t>-</m:t>
        </m:r>
        <m:sSub>
          <m:sSubPr>
            <m:ctrlPr>
              <w:rPr>
                <w:rFonts w:ascii="Cambria Math" w:hAnsi="Cambria Math"/>
              </w:rPr>
            </m:ctrlPr>
          </m:sSubPr>
          <m:e>
            <m:r>
              <w:rPr>
                <w:rFonts w:ascii="Cambria Math" w:hAnsi="Cambria Math"/>
              </w:rPr>
              <m:t>η</m:t>
            </m:r>
          </m:e>
          <m:sub>
            <m:r>
              <w:rPr>
                <w:rFonts w:ascii="Cambria Math" w:hAnsi="Cambria Math" w:hint="eastAsia"/>
              </w:rPr>
              <m:t>s</m:t>
            </m:r>
          </m:sub>
        </m:sSub>
        <m:r>
          <m:rPr>
            <m:sty m:val="p"/>
          </m:rPr>
          <w:rPr>
            <w:rFonts w:ascii="Cambria Math" w:hAnsi="Cambria Math" w:hint="eastAsia"/>
          </w:rPr>
          <m:t>）</m:t>
        </m:r>
      </m:oMath>
      <w:r>
        <w:tab/>
      </w:r>
      <w:r>
        <w:rPr>
          <w:rFonts w:hint="eastAsia"/>
        </w:rPr>
        <w:t>(</w:t>
      </w:r>
      <w:r>
        <w:t>B.7.7)</w:t>
      </w:r>
    </w:p>
    <w:p w14:paraId="2A89748C" w14:textId="6C5ED105" w:rsidR="00913C78" w:rsidRPr="00913C78" w:rsidRDefault="00913C78" w:rsidP="00913C78">
      <w:pPr>
        <w:ind w:firstLine="420"/>
      </w:pPr>
      <w:r w:rsidRPr="00913C78">
        <w:rPr>
          <w:rFonts w:hint="eastAsia"/>
        </w:rPr>
        <w:t>式中：</w:t>
      </w:r>
      <m:oMath>
        <m:sSub>
          <m:sSubPr>
            <m:ctrlPr>
              <w:rPr>
                <w:rFonts w:ascii="Cambria Math" w:hAnsi="Cambria Math"/>
                <w:i/>
              </w:rPr>
            </m:ctrlPr>
          </m:sSubPr>
          <m:e>
            <m:r>
              <w:rPr>
                <w:rFonts w:ascii="Cambria Math" w:hAnsi="Cambria Math"/>
              </w:rPr>
              <m:t>P</m:t>
            </m:r>
          </m:e>
          <m:sub>
            <m:r>
              <w:rPr>
                <w:rFonts w:ascii="Cambria Math" w:hAnsi="Cambria Math" w:hint="eastAsia"/>
              </w:rPr>
              <m:t>er</m:t>
            </m:r>
          </m:sub>
        </m:sSub>
      </m:oMath>
      <w:r w:rsidRPr="00913C78">
        <w:rPr>
          <w:rFonts w:hint="eastAsia"/>
        </w:rPr>
        <w:t>——回风净化设备当量穿透系数；</w:t>
      </w:r>
    </w:p>
    <w:p w14:paraId="7648EAE9" w14:textId="322D7F14" w:rsidR="00913C78" w:rsidRPr="00913C78" w:rsidRDefault="00D20A1F" w:rsidP="00213A3F">
      <w:pPr>
        <w:ind w:leftChars="270" w:left="567" w:firstLine="420"/>
      </w:pPr>
      <m:oMath>
        <m:sSub>
          <m:sSubPr>
            <m:ctrlPr>
              <w:rPr>
                <w:rFonts w:ascii="Cambria Math" w:hAnsi="Cambria Math"/>
                <w:i/>
              </w:rPr>
            </m:ctrlPr>
          </m:sSubPr>
          <m:e>
            <m:r>
              <w:rPr>
                <w:rFonts w:ascii="Cambria Math" w:hAnsi="Cambria Math"/>
              </w:rPr>
              <m:t>η</m:t>
            </m:r>
          </m:e>
          <m:sub>
            <m:r>
              <w:rPr>
                <w:rFonts w:ascii="Cambria Math" w:hAnsi="Cambria Math" w:hint="eastAsia"/>
              </w:rPr>
              <m:t>r</m:t>
            </m:r>
          </m:sub>
        </m:sSub>
      </m:oMath>
      <w:r w:rsidR="00913C78" w:rsidRPr="00913C78">
        <w:rPr>
          <w:rFonts w:hint="eastAsia"/>
        </w:rPr>
        <w:t>——回风净化设备的一次净化效率；</w:t>
      </w:r>
    </w:p>
    <w:p w14:paraId="6668D47E" w14:textId="663A2089" w:rsidR="00913C78" w:rsidRPr="00913C78" w:rsidRDefault="00D20A1F" w:rsidP="00213A3F">
      <w:pPr>
        <w:ind w:leftChars="270" w:left="567" w:firstLine="420"/>
      </w:pPr>
      <m:oMath>
        <m:sSub>
          <m:sSubPr>
            <m:ctrlPr>
              <w:rPr>
                <w:rFonts w:ascii="Cambria Math" w:hAnsi="Cambria Math"/>
                <w:i/>
              </w:rPr>
            </m:ctrlPr>
          </m:sSubPr>
          <m:e>
            <m:r>
              <w:rPr>
                <w:rFonts w:ascii="Cambria Math" w:hAnsi="Cambria Math"/>
              </w:rPr>
              <m:t>η</m:t>
            </m:r>
          </m:e>
          <m:sub>
            <m:r>
              <w:rPr>
                <w:rFonts w:ascii="Cambria Math" w:hAnsi="Cambria Math" w:hint="eastAsia"/>
              </w:rPr>
              <m:t>s</m:t>
            </m:r>
          </m:sub>
        </m:sSub>
      </m:oMath>
      <w:r w:rsidR="00913C78" w:rsidRPr="00913C78">
        <w:rPr>
          <w:rFonts w:hint="eastAsia"/>
        </w:rPr>
        <w:t>——总送风净化设备的一次净化效率。</w:t>
      </w:r>
    </w:p>
    <w:p w14:paraId="5EACDCAF" w14:textId="77777777" w:rsidR="00913C78" w:rsidRPr="00913C78" w:rsidRDefault="00913C78" w:rsidP="00213A3F">
      <w:pPr>
        <w:pStyle w:val="32"/>
      </w:pPr>
      <w:bookmarkStart w:id="537" w:name="_Toc35364829"/>
      <w:r w:rsidRPr="00913C78">
        <w:rPr>
          <w:rFonts w:hint="eastAsia"/>
        </w:rPr>
        <w:t xml:space="preserve">B.7.3 </w:t>
      </w:r>
      <w:r w:rsidRPr="00913C78">
        <w:rPr>
          <w:rFonts w:hint="eastAsia"/>
        </w:rPr>
        <w:t>结论</w:t>
      </w:r>
      <w:bookmarkEnd w:id="537"/>
    </w:p>
    <w:p w14:paraId="289B0988" w14:textId="77777777" w:rsidR="00913C78" w:rsidRPr="00913C78" w:rsidRDefault="00913C78" w:rsidP="00913C78">
      <w:pPr>
        <w:ind w:firstLine="420"/>
      </w:pPr>
      <w:r w:rsidRPr="00913C78">
        <w:rPr>
          <w:rFonts w:hint="eastAsia"/>
        </w:rPr>
        <w:t>计算出室内污染物浓度</w:t>
      </w:r>
      <w:r w:rsidRPr="00913C78">
        <w:rPr>
          <w:rFonts w:hint="eastAsia"/>
        </w:rPr>
        <w:t>C</w:t>
      </w:r>
      <w:r w:rsidRPr="00913C78">
        <w:rPr>
          <w:rFonts w:hint="eastAsia"/>
        </w:rPr>
        <w:t>，对结果进行达标判定，并给出结论。</w:t>
      </w:r>
    </w:p>
    <w:p w14:paraId="6F503056" w14:textId="77777777" w:rsidR="00913C78" w:rsidRPr="00913C78" w:rsidRDefault="00913C78" w:rsidP="00213A3F">
      <w:pPr>
        <w:pStyle w:val="32"/>
      </w:pPr>
      <w:bookmarkStart w:id="538" w:name="_Toc35364830"/>
      <w:r w:rsidRPr="00913C78">
        <w:rPr>
          <w:rFonts w:hint="eastAsia"/>
        </w:rPr>
        <w:t>B.7.</w:t>
      </w:r>
      <w:r w:rsidRPr="00913C78">
        <w:t>4</w:t>
      </w:r>
      <w:r w:rsidRPr="00913C78">
        <w:rPr>
          <w:rFonts w:hint="eastAsia"/>
        </w:rPr>
        <w:t xml:space="preserve">  </w:t>
      </w:r>
      <w:r w:rsidRPr="00913C78">
        <w:rPr>
          <w:rFonts w:hint="eastAsia"/>
        </w:rPr>
        <w:t>审查要点</w:t>
      </w:r>
      <w:bookmarkEnd w:id="538"/>
    </w:p>
    <w:p w14:paraId="725B540B" w14:textId="77777777" w:rsidR="00913C78" w:rsidRPr="00913C78" w:rsidRDefault="00913C78" w:rsidP="00213A3F">
      <w:pPr>
        <w:pStyle w:val="ae"/>
      </w:pPr>
      <w:r w:rsidRPr="00913C78">
        <w:rPr>
          <w:rFonts w:hint="eastAsia"/>
        </w:rPr>
        <w:t>室内空气质量计算报告专家判断表</w:t>
      </w:r>
    </w:p>
    <w:tbl>
      <w:tblPr>
        <w:tblW w:w="73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bottom w:w="28" w:type="dxa"/>
          <w:right w:w="28" w:type="dxa"/>
        </w:tblCellMar>
        <w:tblLook w:val="0000" w:firstRow="0" w:lastRow="0" w:firstColumn="0" w:lastColumn="0" w:noHBand="0" w:noVBand="0"/>
      </w:tblPr>
      <w:tblGrid>
        <w:gridCol w:w="406"/>
        <w:gridCol w:w="1288"/>
        <w:gridCol w:w="5011"/>
        <w:gridCol w:w="665"/>
      </w:tblGrid>
      <w:tr w:rsidR="00913C78" w:rsidRPr="00213A3F" w14:paraId="43D0EC1C" w14:textId="77777777" w:rsidTr="009B5516">
        <w:trPr>
          <w:jc w:val="center"/>
        </w:trPr>
        <w:tc>
          <w:tcPr>
            <w:tcW w:w="406" w:type="dxa"/>
            <w:vAlign w:val="center"/>
          </w:tcPr>
          <w:p w14:paraId="34B40D21" w14:textId="77777777" w:rsidR="00913C78" w:rsidRPr="00213A3F" w:rsidRDefault="00913C78" w:rsidP="00213A3F">
            <w:pPr>
              <w:pStyle w:val="ae"/>
              <w:rPr>
                <w:b w:val="0"/>
                <w:bCs/>
              </w:rPr>
            </w:pPr>
            <w:r w:rsidRPr="00213A3F">
              <w:rPr>
                <w:rFonts w:hint="eastAsia"/>
                <w:b w:val="0"/>
                <w:bCs/>
              </w:rPr>
              <w:t>编号</w:t>
            </w:r>
          </w:p>
        </w:tc>
        <w:tc>
          <w:tcPr>
            <w:tcW w:w="1288" w:type="dxa"/>
            <w:vAlign w:val="center"/>
          </w:tcPr>
          <w:p w14:paraId="7A686A73" w14:textId="77777777" w:rsidR="00913C78" w:rsidRPr="00213A3F" w:rsidRDefault="00913C78" w:rsidP="00213A3F">
            <w:pPr>
              <w:pStyle w:val="ae"/>
              <w:rPr>
                <w:b w:val="0"/>
                <w:bCs/>
              </w:rPr>
            </w:pPr>
            <w:r w:rsidRPr="00213A3F">
              <w:rPr>
                <w:rFonts w:hint="eastAsia"/>
                <w:b w:val="0"/>
                <w:bCs/>
              </w:rPr>
              <w:t>审查要点</w:t>
            </w:r>
          </w:p>
        </w:tc>
        <w:tc>
          <w:tcPr>
            <w:tcW w:w="5011" w:type="dxa"/>
            <w:vAlign w:val="center"/>
          </w:tcPr>
          <w:p w14:paraId="12C8B837" w14:textId="77777777" w:rsidR="00913C78" w:rsidRPr="00213A3F" w:rsidRDefault="00913C78" w:rsidP="00213A3F">
            <w:pPr>
              <w:pStyle w:val="af7"/>
              <w:jc w:val="center"/>
            </w:pPr>
            <w:r w:rsidRPr="00213A3F">
              <w:rPr>
                <w:rFonts w:hint="eastAsia"/>
              </w:rPr>
              <w:t>具体判断</w:t>
            </w:r>
          </w:p>
        </w:tc>
        <w:tc>
          <w:tcPr>
            <w:tcW w:w="665" w:type="dxa"/>
            <w:vAlign w:val="center"/>
          </w:tcPr>
          <w:p w14:paraId="394FC1F7" w14:textId="77777777" w:rsidR="00913C78" w:rsidRPr="00213A3F" w:rsidRDefault="00913C78" w:rsidP="00213A3F">
            <w:pPr>
              <w:pStyle w:val="ae"/>
              <w:rPr>
                <w:b w:val="0"/>
                <w:bCs/>
              </w:rPr>
            </w:pPr>
            <w:r w:rsidRPr="00213A3F">
              <w:rPr>
                <w:rFonts w:hint="eastAsia"/>
                <w:b w:val="0"/>
                <w:bCs/>
              </w:rPr>
              <w:t>是否满足</w:t>
            </w:r>
          </w:p>
        </w:tc>
      </w:tr>
      <w:tr w:rsidR="00913C78" w:rsidRPr="00213A3F" w14:paraId="69FAB539" w14:textId="77777777" w:rsidTr="009B5516">
        <w:trPr>
          <w:jc w:val="center"/>
        </w:trPr>
        <w:tc>
          <w:tcPr>
            <w:tcW w:w="406" w:type="dxa"/>
            <w:vAlign w:val="center"/>
          </w:tcPr>
          <w:p w14:paraId="40FEBDAC" w14:textId="77777777" w:rsidR="00913C78" w:rsidRPr="00213A3F" w:rsidRDefault="00913C78" w:rsidP="00213A3F">
            <w:pPr>
              <w:pStyle w:val="ae"/>
              <w:rPr>
                <w:b w:val="0"/>
                <w:bCs/>
              </w:rPr>
            </w:pPr>
            <w:r w:rsidRPr="00213A3F">
              <w:rPr>
                <w:rFonts w:hint="eastAsia"/>
                <w:b w:val="0"/>
                <w:bCs/>
              </w:rPr>
              <w:t>1</w:t>
            </w:r>
          </w:p>
        </w:tc>
        <w:tc>
          <w:tcPr>
            <w:tcW w:w="1288" w:type="dxa"/>
            <w:vAlign w:val="center"/>
          </w:tcPr>
          <w:p w14:paraId="07BF3E9D" w14:textId="77777777" w:rsidR="00913C78" w:rsidRPr="00213A3F" w:rsidRDefault="00913C78" w:rsidP="00213A3F">
            <w:pPr>
              <w:pStyle w:val="ae"/>
              <w:rPr>
                <w:b w:val="0"/>
                <w:bCs/>
              </w:rPr>
            </w:pPr>
            <w:r w:rsidRPr="00213A3F">
              <w:rPr>
                <w:rFonts w:hint="eastAsia"/>
                <w:b w:val="0"/>
                <w:bCs/>
              </w:rPr>
              <w:t>计算依据</w:t>
            </w:r>
          </w:p>
        </w:tc>
        <w:tc>
          <w:tcPr>
            <w:tcW w:w="5011" w:type="dxa"/>
            <w:vAlign w:val="center"/>
          </w:tcPr>
          <w:p w14:paraId="4ED1B951" w14:textId="77777777" w:rsidR="00913C78" w:rsidRPr="00213A3F" w:rsidRDefault="00913C78" w:rsidP="00213A3F">
            <w:pPr>
              <w:pStyle w:val="af7"/>
            </w:pPr>
            <w:r w:rsidRPr="00213A3F">
              <w:rPr>
                <w:rFonts w:hint="eastAsia"/>
              </w:rPr>
              <w:t>计算基础数据有可靠来源，写明基础数据及来源、参考标准、资料</w:t>
            </w:r>
          </w:p>
        </w:tc>
        <w:tc>
          <w:tcPr>
            <w:tcW w:w="665" w:type="dxa"/>
            <w:vAlign w:val="center"/>
          </w:tcPr>
          <w:p w14:paraId="5EBF3FAD" w14:textId="77777777" w:rsidR="00913C78" w:rsidRPr="00213A3F" w:rsidRDefault="00913C78" w:rsidP="00213A3F">
            <w:pPr>
              <w:pStyle w:val="ae"/>
              <w:rPr>
                <w:b w:val="0"/>
                <w:bCs/>
              </w:rPr>
            </w:pPr>
          </w:p>
        </w:tc>
      </w:tr>
      <w:tr w:rsidR="00913C78" w:rsidRPr="00213A3F" w14:paraId="7EA505FF" w14:textId="77777777" w:rsidTr="009B5516">
        <w:trPr>
          <w:jc w:val="center"/>
        </w:trPr>
        <w:tc>
          <w:tcPr>
            <w:tcW w:w="406" w:type="dxa"/>
            <w:vAlign w:val="center"/>
          </w:tcPr>
          <w:p w14:paraId="520742B1" w14:textId="77777777" w:rsidR="00913C78" w:rsidRPr="00213A3F" w:rsidRDefault="00913C78" w:rsidP="00213A3F">
            <w:pPr>
              <w:pStyle w:val="ae"/>
              <w:rPr>
                <w:b w:val="0"/>
                <w:bCs/>
              </w:rPr>
            </w:pPr>
            <w:r w:rsidRPr="00213A3F">
              <w:rPr>
                <w:rFonts w:hint="eastAsia"/>
                <w:b w:val="0"/>
                <w:bCs/>
              </w:rPr>
              <w:t>2</w:t>
            </w:r>
          </w:p>
        </w:tc>
        <w:tc>
          <w:tcPr>
            <w:tcW w:w="1288" w:type="dxa"/>
            <w:vAlign w:val="center"/>
          </w:tcPr>
          <w:p w14:paraId="7B966B38" w14:textId="77777777" w:rsidR="00913C78" w:rsidRPr="00213A3F" w:rsidRDefault="00913C78" w:rsidP="00213A3F">
            <w:pPr>
              <w:pStyle w:val="ae"/>
              <w:rPr>
                <w:b w:val="0"/>
                <w:bCs/>
              </w:rPr>
            </w:pPr>
            <w:r w:rsidRPr="00213A3F">
              <w:rPr>
                <w:rFonts w:hint="eastAsia"/>
                <w:b w:val="0"/>
                <w:bCs/>
              </w:rPr>
              <w:t>室内污染物浓度计算</w:t>
            </w:r>
          </w:p>
        </w:tc>
        <w:tc>
          <w:tcPr>
            <w:tcW w:w="5011" w:type="dxa"/>
            <w:vAlign w:val="center"/>
          </w:tcPr>
          <w:p w14:paraId="549C4B43" w14:textId="77777777" w:rsidR="00913C78" w:rsidRPr="00213A3F" w:rsidRDefault="00913C78" w:rsidP="00213A3F">
            <w:pPr>
              <w:pStyle w:val="af7"/>
            </w:pPr>
            <w:r w:rsidRPr="00213A3F">
              <w:rPr>
                <w:rFonts w:hint="eastAsia"/>
              </w:rPr>
              <w:t>计算方法明确</w:t>
            </w:r>
            <w:r w:rsidRPr="00213A3F">
              <w:t>，计算过程</w:t>
            </w:r>
            <w:r w:rsidRPr="00213A3F">
              <w:rPr>
                <w:rFonts w:hint="eastAsia"/>
              </w:rPr>
              <w:t>清晰，</w:t>
            </w:r>
            <w:r w:rsidRPr="00213A3F">
              <w:t>计算内容包含第</w:t>
            </w:r>
            <w:r w:rsidRPr="00213A3F">
              <w:rPr>
                <w:rFonts w:hint="eastAsia"/>
              </w:rPr>
              <w:t>B.7.2</w:t>
            </w:r>
            <w:r w:rsidRPr="00213A3F">
              <w:rPr>
                <w:rFonts w:hint="eastAsia"/>
              </w:rPr>
              <w:t>节中的</w:t>
            </w:r>
            <w:r w:rsidRPr="00213A3F">
              <w:t>内容</w:t>
            </w:r>
            <w:r w:rsidRPr="00213A3F">
              <w:rPr>
                <w:rFonts w:hint="eastAsia"/>
              </w:rPr>
              <w:t>；</w:t>
            </w:r>
          </w:p>
          <w:p w14:paraId="0B00365D" w14:textId="77777777" w:rsidR="00913C78" w:rsidRPr="00213A3F" w:rsidRDefault="00913C78" w:rsidP="00213A3F">
            <w:pPr>
              <w:pStyle w:val="af7"/>
            </w:pPr>
            <w:r w:rsidRPr="00213A3F">
              <w:rPr>
                <w:rFonts w:hint="eastAsia"/>
              </w:rPr>
              <w:t>计算过程所涉及数据应</w:t>
            </w:r>
            <w:r w:rsidRPr="00213A3F">
              <w:t>说明其出处</w:t>
            </w:r>
            <w:r w:rsidRPr="00213A3F">
              <w:rPr>
                <w:rFonts w:hint="eastAsia"/>
              </w:rPr>
              <w:t>。</w:t>
            </w:r>
          </w:p>
        </w:tc>
        <w:tc>
          <w:tcPr>
            <w:tcW w:w="665" w:type="dxa"/>
            <w:vAlign w:val="center"/>
          </w:tcPr>
          <w:p w14:paraId="22324C47" w14:textId="77777777" w:rsidR="00913C78" w:rsidRPr="00213A3F" w:rsidRDefault="00913C78" w:rsidP="00213A3F">
            <w:pPr>
              <w:pStyle w:val="ae"/>
              <w:rPr>
                <w:b w:val="0"/>
                <w:bCs/>
              </w:rPr>
            </w:pPr>
          </w:p>
        </w:tc>
      </w:tr>
      <w:tr w:rsidR="00913C78" w:rsidRPr="00213A3F" w14:paraId="20B3809A" w14:textId="77777777" w:rsidTr="009B5516">
        <w:trPr>
          <w:jc w:val="center"/>
        </w:trPr>
        <w:tc>
          <w:tcPr>
            <w:tcW w:w="406" w:type="dxa"/>
            <w:vAlign w:val="center"/>
          </w:tcPr>
          <w:p w14:paraId="1BE40F69" w14:textId="77777777" w:rsidR="00913C78" w:rsidRPr="00213A3F" w:rsidRDefault="00913C78" w:rsidP="00213A3F">
            <w:pPr>
              <w:pStyle w:val="ae"/>
              <w:rPr>
                <w:b w:val="0"/>
                <w:bCs/>
              </w:rPr>
            </w:pPr>
            <w:r w:rsidRPr="00213A3F">
              <w:rPr>
                <w:rFonts w:hint="eastAsia"/>
                <w:b w:val="0"/>
                <w:bCs/>
              </w:rPr>
              <w:lastRenderedPageBreak/>
              <w:t>3</w:t>
            </w:r>
          </w:p>
        </w:tc>
        <w:tc>
          <w:tcPr>
            <w:tcW w:w="1288" w:type="dxa"/>
            <w:vAlign w:val="center"/>
          </w:tcPr>
          <w:p w14:paraId="172FE7B8" w14:textId="77777777" w:rsidR="00913C78" w:rsidRPr="00213A3F" w:rsidRDefault="00913C78" w:rsidP="00213A3F">
            <w:pPr>
              <w:pStyle w:val="ae"/>
              <w:rPr>
                <w:b w:val="0"/>
                <w:bCs/>
              </w:rPr>
            </w:pPr>
            <w:r w:rsidRPr="00213A3F">
              <w:rPr>
                <w:rFonts w:hint="eastAsia"/>
                <w:b w:val="0"/>
                <w:bCs/>
              </w:rPr>
              <w:t>计算</w:t>
            </w:r>
            <w:r w:rsidRPr="00213A3F">
              <w:rPr>
                <w:b w:val="0"/>
                <w:bCs/>
              </w:rPr>
              <w:t>结果</w:t>
            </w:r>
          </w:p>
        </w:tc>
        <w:tc>
          <w:tcPr>
            <w:tcW w:w="5011" w:type="dxa"/>
            <w:vAlign w:val="center"/>
          </w:tcPr>
          <w:p w14:paraId="23D936A4" w14:textId="77777777" w:rsidR="00913C78" w:rsidRPr="00213A3F" w:rsidRDefault="00913C78" w:rsidP="00213A3F">
            <w:pPr>
              <w:pStyle w:val="af7"/>
            </w:pPr>
            <w:r w:rsidRPr="00213A3F">
              <w:rPr>
                <w:rFonts w:hint="eastAsia"/>
              </w:rPr>
              <w:t>氨、甲醛、苯、总挥发性有机物、氡等污染物浓度低于国家标准《室内空气质量标准》</w:t>
            </w:r>
            <w:r w:rsidRPr="00213A3F">
              <w:rPr>
                <w:rFonts w:hint="eastAsia"/>
              </w:rPr>
              <w:t>GB/T 18883</w:t>
            </w:r>
            <w:r w:rsidRPr="00213A3F">
              <w:rPr>
                <w:rFonts w:hint="eastAsia"/>
              </w:rPr>
              <w:t>规定限值的</w:t>
            </w:r>
            <w:r w:rsidRPr="00213A3F">
              <w:rPr>
                <w:rFonts w:hint="eastAsia"/>
              </w:rPr>
              <w:t>10</w:t>
            </w:r>
            <w:r w:rsidRPr="00213A3F">
              <w:rPr>
                <w:rFonts w:hint="eastAsia"/>
              </w:rPr>
              <w:t>％，得</w:t>
            </w:r>
            <w:r w:rsidRPr="00213A3F">
              <w:rPr>
                <w:rFonts w:hint="eastAsia"/>
              </w:rPr>
              <w:t>3</w:t>
            </w:r>
            <w:r w:rsidRPr="00213A3F">
              <w:rPr>
                <w:rFonts w:hint="eastAsia"/>
              </w:rPr>
              <w:t>分；低于</w:t>
            </w:r>
            <w:r w:rsidRPr="00213A3F">
              <w:rPr>
                <w:rFonts w:hint="eastAsia"/>
              </w:rPr>
              <w:t>20</w:t>
            </w:r>
            <w:r w:rsidRPr="00213A3F">
              <w:rPr>
                <w:rFonts w:hint="eastAsia"/>
              </w:rPr>
              <w:t>％，得</w:t>
            </w:r>
            <w:r w:rsidRPr="00213A3F">
              <w:rPr>
                <w:rFonts w:hint="eastAsia"/>
              </w:rPr>
              <w:t>6</w:t>
            </w:r>
            <w:r w:rsidRPr="00213A3F">
              <w:rPr>
                <w:rFonts w:hint="eastAsia"/>
              </w:rPr>
              <w:t>分；</w:t>
            </w:r>
          </w:p>
          <w:p w14:paraId="5F11FF47" w14:textId="77777777" w:rsidR="00913C78" w:rsidRPr="00213A3F" w:rsidRDefault="00913C78" w:rsidP="00213A3F">
            <w:pPr>
              <w:pStyle w:val="af7"/>
            </w:pPr>
            <w:r w:rsidRPr="00213A3F">
              <w:rPr>
                <w:rFonts w:hint="eastAsia"/>
              </w:rPr>
              <w:t>室内</w:t>
            </w:r>
            <w:r w:rsidRPr="00213A3F">
              <w:rPr>
                <w:rFonts w:hint="eastAsia"/>
              </w:rPr>
              <w:t>PM</w:t>
            </w:r>
            <w:r w:rsidRPr="00643310">
              <w:rPr>
                <w:vertAlign w:val="subscript"/>
              </w:rPr>
              <w:t>2.5</w:t>
            </w:r>
            <w:r w:rsidRPr="00213A3F">
              <w:rPr>
                <w:rFonts w:hint="eastAsia"/>
              </w:rPr>
              <w:t>年均浓度不高于</w:t>
            </w:r>
            <w:r w:rsidRPr="00213A3F">
              <w:rPr>
                <w:rFonts w:hint="eastAsia"/>
              </w:rPr>
              <w:t>25</w:t>
            </w:r>
            <w:r w:rsidRPr="00213A3F">
              <w:rPr>
                <w:rFonts w:hint="eastAsia"/>
              </w:rPr>
              <w:t>μ</w:t>
            </w:r>
            <w:r w:rsidRPr="00213A3F">
              <w:rPr>
                <w:rFonts w:hint="eastAsia"/>
              </w:rPr>
              <w:t>g/m</w:t>
            </w:r>
            <w:r w:rsidRPr="00F83296">
              <w:rPr>
                <w:vertAlign w:val="superscript"/>
              </w:rPr>
              <w:t>3</w:t>
            </w:r>
            <w:r w:rsidRPr="00213A3F">
              <w:rPr>
                <w:rFonts w:hint="eastAsia"/>
              </w:rPr>
              <w:t>，且室内</w:t>
            </w:r>
            <w:r w:rsidRPr="00213A3F">
              <w:rPr>
                <w:rFonts w:hint="eastAsia"/>
              </w:rPr>
              <w:t>PM</w:t>
            </w:r>
            <w:r w:rsidRPr="00643310">
              <w:rPr>
                <w:vertAlign w:val="subscript"/>
              </w:rPr>
              <w:t>10</w:t>
            </w:r>
            <w:r w:rsidRPr="00213A3F">
              <w:rPr>
                <w:rFonts w:hint="eastAsia"/>
              </w:rPr>
              <w:t>年均浓度不高于</w:t>
            </w:r>
            <w:r w:rsidRPr="00213A3F">
              <w:rPr>
                <w:rFonts w:hint="eastAsia"/>
              </w:rPr>
              <w:t>50</w:t>
            </w:r>
            <w:r w:rsidRPr="00213A3F">
              <w:rPr>
                <w:rFonts w:hint="eastAsia"/>
              </w:rPr>
              <w:t>μ</w:t>
            </w:r>
            <w:r w:rsidRPr="00213A3F">
              <w:rPr>
                <w:rFonts w:hint="eastAsia"/>
              </w:rPr>
              <w:t>g/m</w:t>
            </w:r>
            <w:r w:rsidRPr="00F83296">
              <w:rPr>
                <w:vertAlign w:val="superscript"/>
              </w:rPr>
              <w:t>3</w:t>
            </w:r>
            <w:r w:rsidRPr="00213A3F">
              <w:rPr>
                <w:rFonts w:hint="eastAsia"/>
              </w:rPr>
              <w:t>，得</w:t>
            </w:r>
            <w:r w:rsidRPr="00213A3F">
              <w:rPr>
                <w:rFonts w:hint="eastAsia"/>
              </w:rPr>
              <w:t>6</w:t>
            </w:r>
            <w:r w:rsidRPr="00213A3F">
              <w:rPr>
                <w:rFonts w:hint="eastAsia"/>
              </w:rPr>
              <w:t>分。</w:t>
            </w:r>
          </w:p>
        </w:tc>
        <w:tc>
          <w:tcPr>
            <w:tcW w:w="665" w:type="dxa"/>
            <w:vAlign w:val="center"/>
          </w:tcPr>
          <w:p w14:paraId="507B2E7E" w14:textId="77777777" w:rsidR="00913C78" w:rsidRPr="00213A3F" w:rsidRDefault="00913C78" w:rsidP="00213A3F">
            <w:pPr>
              <w:pStyle w:val="ae"/>
              <w:rPr>
                <w:b w:val="0"/>
                <w:bCs/>
              </w:rPr>
            </w:pPr>
          </w:p>
        </w:tc>
      </w:tr>
    </w:tbl>
    <w:p w14:paraId="21594BD8" w14:textId="77777777" w:rsidR="00913C78" w:rsidRPr="00913C78" w:rsidRDefault="00913C78" w:rsidP="00913C78">
      <w:pPr>
        <w:ind w:firstLine="420"/>
      </w:pPr>
    </w:p>
    <w:bookmarkEnd w:id="246"/>
    <w:p w14:paraId="79BF6446" w14:textId="02A873F7" w:rsidR="00AF1261" w:rsidRDefault="00AF1261">
      <w:pPr>
        <w:widowControl/>
        <w:spacing w:line="240" w:lineRule="auto"/>
        <w:ind w:firstLineChars="0" w:firstLine="0"/>
        <w:jc w:val="left"/>
      </w:pPr>
      <w:r>
        <w:br w:type="page"/>
      </w:r>
    </w:p>
    <w:p w14:paraId="1F299567" w14:textId="696C8654" w:rsidR="00AF1261" w:rsidRPr="00216B28" w:rsidRDefault="00AF1261" w:rsidP="00643310">
      <w:pPr>
        <w:pStyle w:val="24"/>
      </w:pPr>
      <w:bookmarkStart w:id="539" w:name="_Toc35364831"/>
      <w:r w:rsidRPr="00216B28">
        <w:lastRenderedPageBreak/>
        <w:t>附</w:t>
      </w:r>
      <w:r w:rsidRPr="00216B28">
        <w:rPr>
          <w:rFonts w:hint="eastAsia"/>
        </w:rPr>
        <w:t>录</w:t>
      </w:r>
      <w:r w:rsidR="00C51A45">
        <w:t>C</w:t>
      </w:r>
      <w:r w:rsidRPr="00216B28">
        <w:t xml:space="preserve">  </w:t>
      </w:r>
      <w:r w:rsidRPr="00216B28">
        <w:rPr>
          <w:rFonts w:hint="eastAsia"/>
        </w:rPr>
        <w:t>重庆市绿色建筑评价标识用乡土植物推荐名录</w:t>
      </w:r>
      <w:bookmarkEnd w:id="539"/>
    </w:p>
    <w:p w14:paraId="195551FC" w14:textId="31EE5CD8" w:rsidR="00AF1261" w:rsidRPr="00216B28" w:rsidRDefault="00AF1261" w:rsidP="00AF1261">
      <w:pPr>
        <w:pStyle w:val="40"/>
        <w:spacing w:line="320" w:lineRule="atLeast"/>
        <w:ind w:firstLine="420"/>
      </w:pPr>
      <w:r w:rsidRPr="00216B28">
        <w:rPr>
          <w:rFonts w:hint="eastAsia"/>
        </w:rPr>
        <w:t>根据重庆市《绿色建筑评价标准</w:t>
      </w:r>
      <w:r w:rsidRPr="00216B28">
        <w:t>》</w:t>
      </w:r>
      <w:r w:rsidRPr="00216B28">
        <w:rPr>
          <w:rFonts w:hint="eastAsia"/>
        </w:rPr>
        <w:t>的</w:t>
      </w:r>
      <w:r w:rsidRPr="00216B28">
        <w:t>要求，</w:t>
      </w:r>
      <w:r w:rsidRPr="00216B28">
        <w:rPr>
          <w:rFonts w:hint="eastAsia"/>
        </w:rPr>
        <w:t>为统一规范</w:t>
      </w:r>
      <w:r>
        <w:rPr>
          <w:rFonts w:hint="eastAsia"/>
        </w:rPr>
        <w:t>其</w:t>
      </w:r>
      <w:r w:rsidRPr="00216B28">
        <w:rPr>
          <w:rFonts w:hint="eastAsia"/>
        </w:rPr>
        <w:t>中关于乡土植物的选择，重庆市建筑节能协会绿色建筑专业委员会组织</w:t>
      </w:r>
      <w:r w:rsidRPr="00216B28">
        <w:t>行业专家</w:t>
      </w:r>
      <w:r w:rsidRPr="00216B28">
        <w:rPr>
          <w:rFonts w:hint="eastAsia"/>
        </w:rPr>
        <w:t>在参考相关资料的基础上整理完成了适合于</w:t>
      </w:r>
      <w:r w:rsidRPr="00216B28">
        <w:t>重庆</w:t>
      </w:r>
      <w:r w:rsidRPr="00216B28">
        <w:rPr>
          <w:rFonts w:hint="eastAsia"/>
        </w:rPr>
        <w:t>种植</w:t>
      </w:r>
      <w:r w:rsidRPr="00216B28">
        <w:t>和生长的常见</w:t>
      </w:r>
      <w:r w:rsidRPr="00216B28">
        <w:rPr>
          <w:rFonts w:hint="eastAsia"/>
        </w:rPr>
        <w:t>乡土植物推荐</w:t>
      </w:r>
      <w:r w:rsidRPr="00216B28">
        <w:t>名录</w:t>
      </w:r>
      <w:r w:rsidRPr="00216B28">
        <w:rPr>
          <w:rFonts w:hint="eastAsia"/>
        </w:rPr>
        <w:t>，</w:t>
      </w:r>
      <w:r w:rsidRPr="00216B28">
        <w:t>供重庆市绿色建筑设计咨询</w:t>
      </w:r>
      <w:r w:rsidRPr="00216B28">
        <w:rPr>
          <w:rFonts w:hint="eastAsia"/>
        </w:rPr>
        <w:t>参考</w:t>
      </w:r>
      <w:r w:rsidRPr="00216B28">
        <w:t>。</w:t>
      </w:r>
    </w:p>
    <w:p w14:paraId="7936E18C" w14:textId="63E665E5" w:rsidR="00AF1261" w:rsidRPr="00216B28" w:rsidRDefault="00AF1261" w:rsidP="00AF1261">
      <w:pPr>
        <w:pStyle w:val="40"/>
        <w:spacing w:line="320" w:lineRule="atLeast"/>
        <w:ind w:firstLine="420"/>
      </w:pPr>
      <w:r w:rsidRPr="00216B28">
        <w:rPr>
          <w:rFonts w:hint="eastAsia"/>
        </w:rPr>
        <w:t>各</w:t>
      </w:r>
      <w:r w:rsidRPr="00216B28">
        <w:t>项目在申报</w:t>
      </w:r>
      <w:r w:rsidRPr="00216B28">
        <w:rPr>
          <w:rFonts w:hint="eastAsia"/>
        </w:rPr>
        <w:t>绿色建筑</w:t>
      </w:r>
      <w:r w:rsidRPr="00216B28">
        <w:t>评价标识时，需对应</w:t>
      </w:r>
      <w:r w:rsidRPr="00216B28">
        <w:rPr>
          <w:rFonts w:hint="eastAsia"/>
        </w:rPr>
        <w:t>该</w:t>
      </w:r>
      <w:r w:rsidRPr="00216B28">
        <w:t>推荐名录</w:t>
      </w:r>
      <w:r w:rsidRPr="00216B28">
        <w:rPr>
          <w:rFonts w:hint="eastAsia"/>
        </w:rPr>
        <w:t>勾选各自</w:t>
      </w:r>
      <w:r w:rsidRPr="00216B28">
        <w:t>项目设计中选用的植物，并在各分类下方写明用量计算方法。为</w:t>
      </w:r>
      <w:r w:rsidRPr="00216B28">
        <w:rPr>
          <w:rFonts w:hint="eastAsia"/>
        </w:rPr>
        <w:t>统一植物数量</w:t>
      </w:r>
      <w:r w:rsidRPr="00216B28">
        <w:t>的</w:t>
      </w:r>
      <w:r w:rsidRPr="00216B28">
        <w:rPr>
          <w:rFonts w:hint="eastAsia"/>
        </w:rPr>
        <w:t>统计</w:t>
      </w:r>
      <w:r w:rsidRPr="00216B28">
        <w:t>方法，</w:t>
      </w:r>
      <w:r w:rsidRPr="00216B28">
        <w:rPr>
          <w:rFonts w:hint="eastAsia"/>
        </w:rPr>
        <w:t>对于</w:t>
      </w:r>
      <w:r w:rsidRPr="00216B28">
        <w:t>重庆市《</w:t>
      </w:r>
      <w:r w:rsidRPr="00216B28">
        <w:rPr>
          <w:rFonts w:hint="eastAsia"/>
        </w:rPr>
        <w:t>绿色建筑</w:t>
      </w:r>
      <w:r w:rsidRPr="00216B28">
        <w:t>评价标准》</w:t>
      </w:r>
      <w:r w:rsidRPr="00216B28">
        <w:rPr>
          <w:rFonts w:hint="eastAsia"/>
        </w:rPr>
        <w:t>所</w:t>
      </w:r>
      <w:r w:rsidRPr="00216B28">
        <w:t>提及的</w:t>
      </w:r>
      <w:r w:rsidRPr="00216B28">
        <w:rPr>
          <w:rFonts w:hint="eastAsia"/>
        </w:rPr>
        <w:t>植物数量</w:t>
      </w:r>
      <w:r w:rsidRPr="00216B28">
        <w:t>，统一按照植物的种植</w:t>
      </w:r>
      <w:r w:rsidRPr="00216B28">
        <w:rPr>
          <w:rFonts w:hint="eastAsia"/>
        </w:rPr>
        <w:t>植株</w:t>
      </w:r>
      <w:r w:rsidRPr="00216B28">
        <w:rPr>
          <w:rFonts w:hint="eastAsia"/>
        </w:rPr>
        <w:t>/</w:t>
      </w:r>
      <w:r w:rsidRPr="00216B28">
        <w:rPr>
          <w:rFonts w:hint="eastAsia"/>
        </w:rPr>
        <w:t>丛</w:t>
      </w:r>
      <w:r w:rsidRPr="00216B28">
        <w:t>/</w:t>
      </w:r>
      <w:r w:rsidRPr="00216B28">
        <w:rPr>
          <w:rFonts w:hint="eastAsia"/>
        </w:rPr>
        <w:t>簇</w:t>
      </w:r>
      <w:r w:rsidRPr="00216B28">
        <w:t>进行计量，</w:t>
      </w:r>
      <w:r w:rsidRPr="00216B28">
        <w:rPr>
          <w:rFonts w:hint="eastAsia"/>
        </w:rPr>
        <w:t>在</w:t>
      </w:r>
      <w:r w:rsidR="003B48EE">
        <w:rPr>
          <w:rFonts w:hint="eastAsia"/>
        </w:rPr>
        <w:t>项目</w:t>
      </w:r>
      <w:r>
        <w:t>评价</w:t>
      </w:r>
      <w:r w:rsidRPr="00216B28">
        <w:rPr>
          <w:rFonts w:hint="eastAsia"/>
        </w:rPr>
        <w:t>时</w:t>
      </w:r>
      <w:r w:rsidRPr="00216B28">
        <w:t>，需提供对应的</w:t>
      </w:r>
      <w:r w:rsidRPr="00216B28">
        <w:rPr>
          <w:rFonts w:hint="eastAsia"/>
        </w:rPr>
        <w:t>建筑园林</w:t>
      </w:r>
      <w:r w:rsidRPr="00216B28">
        <w:t>竣工图、植物购买合同</w:t>
      </w:r>
      <w:r w:rsidRPr="00216B28">
        <w:rPr>
          <w:rFonts w:hint="eastAsia"/>
        </w:rPr>
        <w:t>等予以支撑</w:t>
      </w:r>
      <w:r w:rsidRPr="00216B28">
        <w:t>。</w:t>
      </w:r>
    </w:p>
    <w:p w14:paraId="4977B01E" w14:textId="1BB63CBB" w:rsidR="00AF1261" w:rsidRDefault="00AF1261" w:rsidP="00590E62">
      <w:pPr>
        <w:pStyle w:val="ae"/>
      </w:pPr>
      <w:r>
        <w:rPr>
          <w:rFonts w:hint="eastAsia"/>
        </w:rPr>
        <w:t>附表</w:t>
      </w:r>
      <w:r w:rsidR="00C51A45">
        <w:t>C</w:t>
      </w:r>
      <w:r>
        <w:rPr>
          <w:rFonts w:hint="eastAsia"/>
        </w:rPr>
        <w:t xml:space="preserve">.0.1  </w:t>
      </w:r>
      <w:r w:rsidRPr="00216B28">
        <w:rPr>
          <w:rFonts w:hint="eastAsia"/>
        </w:rPr>
        <w:t>乔木</w:t>
      </w: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28" w:type="dxa"/>
        </w:tblCellMar>
        <w:tblLook w:val="04A0" w:firstRow="1" w:lastRow="0" w:firstColumn="1" w:lastColumn="0" w:noHBand="0" w:noVBand="1"/>
      </w:tblPr>
      <w:tblGrid>
        <w:gridCol w:w="1241"/>
        <w:gridCol w:w="1187"/>
        <w:gridCol w:w="1187"/>
        <w:gridCol w:w="1123"/>
        <w:gridCol w:w="1187"/>
        <w:gridCol w:w="1305"/>
        <w:gridCol w:w="1417"/>
      </w:tblGrid>
      <w:tr w:rsidR="00AF1261" w:rsidRPr="009B5516" w14:paraId="04A710B8" w14:textId="77777777" w:rsidTr="009B5516">
        <w:trPr>
          <w:jc w:val="center"/>
        </w:trPr>
        <w:tc>
          <w:tcPr>
            <w:tcW w:w="0" w:type="auto"/>
            <w:vAlign w:val="center"/>
          </w:tcPr>
          <w:p w14:paraId="1BEE9BC2" w14:textId="77777777" w:rsidR="00AF1261" w:rsidRPr="009B5516" w:rsidRDefault="00AF1261" w:rsidP="009B5516">
            <w:pPr>
              <w:pStyle w:val="ae"/>
              <w:rPr>
                <w:b w:val="0"/>
                <w:bCs/>
                <w:sz w:val="15"/>
                <w:szCs w:val="15"/>
              </w:rPr>
            </w:pPr>
            <w:r w:rsidRPr="009B5516">
              <w:rPr>
                <w:rFonts w:hint="eastAsia"/>
                <w:b w:val="0"/>
                <w:bCs/>
                <w:sz w:val="15"/>
                <w:szCs w:val="15"/>
              </w:rPr>
              <w:t>□香樟（</w:t>
            </w:r>
            <w:r w:rsidRPr="009B5516">
              <w:rPr>
                <w:rFonts w:hint="eastAsia"/>
                <w:b w:val="0"/>
                <w:bCs/>
                <w:sz w:val="15"/>
                <w:szCs w:val="15"/>
              </w:rPr>
              <w:t>4</w:t>
            </w:r>
            <w:r w:rsidRPr="009B5516">
              <w:rPr>
                <w:rFonts w:hint="eastAsia"/>
                <w:b w:val="0"/>
                <w:bCs/>
                <w:sz w:val="15"/>
                <w:szCs w:val="15"/>
              </w:rPr>
              <w:t>）</w:t>
            </w:r>
          </w:p>
        </w:tc>
        <w:tc>
          <w:tcPr>
            <w:tcW w:w="0" w:type="auto"/>
            <w:vAlign w:val="center"/>
          </w:tcPr>
          <w:p w14:paraId="2BDA333A" w14:textId="77777777" w:rsidR="00AF1261" w:rsidRPr="009B5516" w:rsidRDefault="00AF1261" w:rsidP="009B5516">
            <w:pPr>
              <w:pStyle w:val="ae"/>
              <w:rPr>
                <w:b w:val="0"/>
                <w:bCs/>
                <w:sz w:val="15"/>
                <w:szCs w:val="15"/>
              </w:rPr>
            </w:pPr>
            <w:r w:rsidRPr="009B5516">
              <w:rPr>
                <w:rFonts w:hint="eastAsia"/>
                <w:b w:val="0"/>
                <w:bCs/>
                <w:sz w:val="15"/>
                <w:szCs w:val="15"/>
              </w:rPr>
              <w:t>□大叶女贞（</w:t>
            </w:r>
            <w:r w:rsidRPr="009B5516">
              <w:rPr>
                <w:rFonts w:hint="eastAsia"/>
                <w:b w:val="0"/>
                <w:bCs/>
                <w:sz w:val="15"/>
                <w:szCs w:val="15"/>
              </w:rPr>
              <w:t>4</w:t>
            </w:r>
            <w:r w:rsidRPr="009B5516">
              <w:rPr>
                <w:rFonts w:hint="eastAsia"/>
                <w:b w:val="0"/>
                <w:bCs/>
                <w:sz w:val="15"/>
                <w:szCs w:val="15"/>
              </w:rPr>
              <w:t>）</w:t>
            </w:r>
          </w:p>
        </w:tc>
        <w:tc>
          <w:tcPr>
            <w:tcW w:w="0" w:type="auto"/>
            <w:vAlign w:val="center"/>
          </w:tcPr>
          <w:p w14:paraId="6CEC0073" w14:textId="77777777" w:rsidR="00AF1261" w:rsidRPr="009B5516" w:rsidRDefault="00AF1261" w:rsidP="009B5516">
            <w:pPr>
              <w:pStyle w:val="ae"/>
              <w:rPr>
                <w:b w:val="0"/>
                <w:bCs/>
                <w:sz w:val="15"/>
                <w:szCs w:val="15"/>
              </w:rPr>
            </w:pPr>
            <w:r w:rsidRPr="009B5516">
              <w:rPr>
                <w:rFonts w:hint="eastAsia"/>
                <w:b w:val="0"/>
                <w:bCs/>
                <w:sz w:val="15"/>
                <w:szCs w:val="15"/>
              </w:rPr>
              <w:t>□枇杷（</w:t>
            </w:r>
            <w:r w:rsidRPr="009B5516">
              <w:rPr>
                <w:rFonts w:hint="eastAsia"/>
                <w:b w:val="0"/>
                <w:bCs/>
                <w:sz w:val="15"/>
                <w:szCs w:val="15"/>
              </w:rPr>
              <w:t>3</w:t>
            </w:r>
            <w:r w:rsidRPr="009B5516">
              <w:rPr>
                <w:rFonts w:hint="eastAsia"/>
                <w:b w:val="0"/>
                <w:bCs/>
                <w:sz w:val="15"/>
                <w:szCs w:val="15"/>
              </w:rPr>
              <w:t>）</w:t>
            </w:r>
          </w:p>
        </w:tc>
        <w:tc>
          <w:tcPr>
            <w:tcW w:w="0" w:type="auto"/>
            <w:vAlign w:val="center"/>
          </w:tcPr>
          <w:p w14:paraId="34DA2773" w14:textId="22C5D202" w:rsidR="00AF1261" w:rsidRPr="009B5516" w:rsidRDefault="00AF1261" w:rsidP="009B5516">
            <w:pPr>
              <w:pStyle w:val="ae"/>
              <w:rPr>
                <w:b w:val="0"/>
                <w:bCs/>
                <w:sz w:val="15"/>
                <w:szCs w:val="15"/>
              </w:rPr>
            </w:pPr>
            <w:r w:rsidRPr="009B5516">
              <w:rPr>
                <w:rFonts w:hint="eastAsia"/>
                <w:b w:val="0"/>
                <w:bCs/>
                <w:sz w:val="15"/>
                <w:szCs w:val="15"/>
              </w:rPr>
              <w:t>□山杜英</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0" w:type="auto"/>
            <w:vAlign w:val="center"/>
          </w:tcPr>
          <w:p w14:paraId="3028415E" w14:textId="1A48B841" w:rsidR="00AF1261" w:rsidRPr="009B5516" w:rsidRDefault="00AF1261" w:rsidP="009B5516">
            <w:pPr>
              <w:pStyle w:val="ae"/>
              <w:rPr>
                <w:b w:val="0"/>
                <w:bCs/>
                <w:sz w:val="15"/>
                <w:szCs w:val="15"/>
              </w:rPr>
            </w:pPr>
            <w:r w:rsidRPr="009B5516">
              <w:rPr>
                <w:rFonts w:hint="eastAsia"/>
                <w:b w:val="0"/>
                <w:bCs/>
                <w:sz w:val="15"/>
                <w:szCs w:val="15"/>
              </w:rPr>
              <w:t>□黄葛树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1305" w:type="dxa"/>
            <w:vAlign w:val="center"/>
          </w:tcPr>
          <w:p w14:paraId="13607DC8" w14:textId="77777777" w:rsidR="00AF1261" w:rsidRPr="009B5516" w:rsidRDefault="00AF1261" w:rsidP="009B5516">
            <w:pPr>
              <w:pStyle w:val="ae"/>
              <w:rPr>
                <w:b w:val="0"/>
                <w:bCs/>
                <w:sz w:val="15"/>
                <w:szCs w:val="15"/>
              </w:rPr>
            </w:pPr>
            <w:r w:rsidRPr="009B5516">
              <w:rPr>
                <w:rFonts w:hint="eastAsia"/>
                <w:b w:val="0"/>
                <w:bCs/>
                <w:sz w:val="15"/>
                <w:szCs w:val="15"/>
              </w:rPr>
              <w:t>□润楠（</w:t>
            </w:r>
            <w:r w:rsidRPr="009B5516">
              <w:rPr>
                <w:rFonts w:hint="eastAsia"/>
                <w:b w:val="0"/>
                <w:bCs/>
                <w:sz w:val="15"/>
                <w:szCs w:val="15"/>
              </w:rPr>
              <w:t>3</w:t>
            </w:r>
            <w:r w:rsidRPr="009B5516">
              <w:rPr>
                <w:rFonts w:hint="eastAsia"/>
                <w:b w:val="0"/>
                <w:bCs/>
                <w:sz w:val="15"/>
                <w:szCs w:val="15"/>
              </w:rPr>
              <w:t>）</w:t>
            </w:r>
          </w:p>
        </w:tc>
        <w:tc>
          <w:tcPr>
            <w:tcW w:w="1417" w:type="dxa"/>
            <w:vAlign w:val="center"/>
          </w:tcPr>
          <w:p w14:paraId="77C611D5" w14:textId="77777777" w:rsidR="00AF1261" w:rsidRPr="009B5516" w:rsidRDefault="00AF1261" w:rsidP="009B5516">
            <w:pPr>
              <w:pStyle w:val="ae"/>
              <w:rPr>
                <w:b w:val="0"/>
                <w:bCs/>
                <w:sz w:val="15"/>
                <w:szCs w:val="15"/>
              </w:rPr>
            </w:pPr>
            <w:r w:rsidRPr="009B5516">
              <w:rPr>
                <w:rFonts w:hint="eastAsia"/>
                <w:b w:val="0"/>
                <w:bCs/>
                <w:sz w:val="15"/>
                <w:szCs w:val="15"/>
              </w:rPr>
              <w:t>□广玉兰（</w:t>
            </w:r>
            <w:r w:rsidRPr="009B5516">
              <w:rPr>
                <w:rFonts w:hint="eastAsia"/>
                <w:b w:val="0"/>
                <w:bCs/>
                <w:sz w:val="15"/>
                <w:szCs w:val="15"/>
              </w:rPr>
              <w:t>4</w:t>
            </w:r>
            <w:r w:rsidRPr="009B5516">
              <w:rPr>
                <w:rFonts w:hint="eastAsia"/>
                <w:b w:val="0"/>
                <w:bCs/>
                <w:sz w:val="15"/>
                <w:szCs w:val="15"/>
              </w:rPr>
              <w:t>）</w:t>
            </w:r>
          </w:p>
        </w:tc>
      </w:tr>
      <w:tr w:rsidR="00AF1261" w:rsidRPr="009B5516" w14:paraId="06B10B49" w14:textId="77777777" w:rsidTr="009B5516">
        <w:trPr>
          <w:jc w:val="center"/>
        </w:trPr>
        <w:tc>
          <w:tcPr>
            <w:tcW w:w="0" w:type="auto"/>
            <w:vAlign w:val="center"/>
          </w:tcPr>
          <w:p w14:paraId="18390B88" w14:textId="77777777" w:rsidR="00AF1261" w:rsidRPr="009B5516" w:rsidRDefault="00AF1261" w:rsidP="009B5516">
            <w:pPr>
              <w:pStyle w:val="ae"/>
              <w:rPr>
                <w:b w:val="0"/>
                <w:bCs/>
                <w:sz w:val="15"/>
                <w:szCs w:val="15"/>
              </w:rPr>
            </w:pPr>
            <w:r w:rsidRPr="009B5516">
              <w:rPr>
                <w:rFonts w:hint="eastAsia"/>
                <w:b w:val="0"/>
                <w:bCs/>
                <w:sz w:val="15"/>
                <w:szCs w:val="15"/>
              </w:rPr>
              <w:t>□棕榈（</w:t>
            </w:r>
            <w:r w:rsidRPr="009B5516">
              <w:rPr>
                <w:rFonts w:hint="eastAsia"/>
                <w:b w:val="0"/>
                <w:bCs/>
                <w:sz w:val="15"/>
                <w:szCs w:val="15"/>
              </w:rPr>
              <w:t>3</w:t>
            </w:r>
            <w:r w:rsidRPr="009B5516">
              <w:rPr>
                <w:rFonts w:hint="eastAsia"/>
                <w:b w:val="0"/>
                <w:bCs/>
                <w:sz w:val="15"/>
                <w:szCs w:val="15"/>
              </w:rPr>
              <w:t>）</w:t>
            </w:r>
          </w:p>
        </w:tc>
        <w:tc>
          <w:tcPr>
            <w:tcW w:w="0" w:type="auto"/>
            <w:vAlign w:val="center"/>
          </w:tcPr>
          <w:p w14:paraId="5F7C2C15" w14:textId="77777777" w:rsidR="00AF1261" w:rsidRPr="009B5516" w:rsidRDefault="00AF1261" w:rsidP="009B5516">
            <w:pPr>
              <w:pStyle w:val="ae"/>
              <w:rPr>
                <w:b w:val="0"/>
                <w:bCs/>
                <w:sz w:val="15"/>
                <w:szCs w:val="15"/>
              </w:rPr>
            </w:pPr>
            <w:r w:rsidRPr="009B5516">
              <w:rPr>
                <w:rFonts w:hint="eastAsia"/>
                <w:b w:val="0"/>
                <w:bCs/>
                <w:sz w:val="15"/>
                <w:szCs w:val="15"/>
              </w:rPr>
              <w:t>□椤木石楠（</w:t>
            </w:r>
            <w:r w:rsidRPr="009B5516">
              <w:rPr>
                <w:rFonts w:hint="eastAsia"/>
                <w:b w:val="0"/>
                <w:bCs/>
                <w:sz w:val="15"/>
                <w:szCs w:val="15"/>
              </w:rPr>
              <w:t>4</w:t>
            </w:r>
            <w:r w:rsidRPr="009B5516">
              <w:rPr>
                <w:rFonts w:hint="eastAsia"/>
                <w:b w:val="0"/>
                <w:bCs/>
                <w:sz w:val="15"/>
                <w:szCs w:val="15"/>
              </w:rPr>
              <w:t>）</w:t>
            </w:r>
          </w:p>
        </w:tc>
        <w:tc>
          <w:tcPr>
            <w:tcW w:w="0" w:type="auto"/>
            <w:vAlign w:val="center"/>
          </w:tcPr>
          <w:p w14:paraId="39B40D00" w14:textId="0D8933AB" w:rsidR="00AF1261" w:rsidRPr="009B5516" w:rsidRDefault="00AF1261" w:rsidP="009B5516">
            <w:pPr>
              <w:pStyle w:val="ae"/>
              <w:rPr>
                <w:b w:val="0"/>
                <w:bCs/>
                <w:sz w:val="15"/>
                <w:szCs w:val="15"/>
              </w:rPr>
            </w:pPr>
            <w:r w:rsidRPr="009B5516">
              <w:rPr>
                <w:rFonts w:hint="eastAsia"/>
                <w:b w:val="0"/>
                <w:bCs/>
                <w:sz w:val="15"/>
                <w:szCs w:val="15"/>
              </w:rPr>
              <w:t>□川杨桐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4B639E01" w14:textId="4332449E" w:rsidR="00AF1261" w:rsidRPr="009B5516" w:rsidRDefault="00AF1261" w:rsidP="009B5516">
            <w:pPr>
              <w:pStyle w:val="ae"/>
              <w:rPr>
                <w:b w:val="0"/>
                <w:bCs/>
                <w:sz w:val="15"/>
                <w:szCs w:val="15"/>
              </w:rPr>
            </w:pPr>
            <w:r w:rsidRPr="009B5516">
              <w:rPr>
                <w:rFonts w:hint="eastAsia"/>
                <w:b w:val="0"/>
                <w:bCs/>
                <w:sz w:val="15"/>
                <w:szCs w:val="15"/>
              </w:rPr>
              <w:t>□猴欢喜</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47B16082" w14:textId="3401FECF" w:rsidR="00AF1261" w:rsidRPr="009B5516" w:rsidRDefault="00AF1261" w:rsidP="009B5516">
            <w:pPr>
              <w:pStyle w:val="ae"/>
              <w:rPr>
                <w:b w:val="0"/>
                <w:bCs/>
                <w:sz w:val="15"/>
                <w:szCs w:val="15"/>
              </w:rPr>
            </w:pPr>
            <w:r w:rsidRPr="009B5516">
              <w:rPr>
                <w:rFonts w:hint="eastAsia"/>
                <w:b w:val="0"/>
                <w:bCs/>
                <w:sz w:val="15"/>
                <w:szCs w:val="15"/>
              </w:rPr>
              <w:t>□冬青</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1305" w:type="dxa"/>
            <w:vAlign w:val="center"/>
          </w:tcPr>
          <w:p w14:paraId="7AD03463" w14:textId="765ABCBD" w:rsidR="00AF1261" w:rsidRPr="009B5516" w:rsidRDefault="00AF1261" w:rsidP="009B5516">
            <w:pPr>
              <w:pStyle w:val="ae"/>
              <w:rPr>
                <w:b w:val="0"/>
                <w:bCs/>
                <w:sz w:val="15"/>
                <w:szCs w:val="15"/>
              </w:rPr>
            </w:pPr>
            <w:r w:rsidRPr="009B5516">
              <w:rPr>
                <w:rFonts w:hint="eastAsia"/>
                <w:b w:val="0"/>
                <w:bCs/>
                <w:sz w:val="15"/>
                <w:szCs w:val="15"/>
              </w:rPr>
              <w:t>□黑壳楠</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1417" w:type="dxa"/>
            <w:vAlign w:val="center"/>
          </w:tcPr>
          <w:p w14:paraId="2076C004" w14:textId="3AC95180" w:rsidR="00AF1261" w:rsidRPr="009B5516" w:rsidRDefault="00AF1261" w:rsidP="009B5516">
            <w:pPr>
              <w:pStyle w:val="ae"/>
              <w:rPr>
                <w:b w:val="0"/>
                <w:bCs/>
                <w:sz w:val="15"/>
                <w:szCs w:val="15"/>
              </w:rPr>
            </w:pPr>
            <w:r w:rsidRPr="009B5516">
              <w:rPr>
                <w:rFonts w:hint="eastAsia"/>
                <w:b w:val="0"/>
                <w:bCs/>
                <w:sz w:val="15"/>
                <w:szCs w:val="15"/>
              </w:rPr>
              <w:t>□四川山矾</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r>
      <w:tr w:rsidR="00AF1261" w:rsidRPr="009B5516" w14:paraId="3F0EF6B4" w14:textId="77777777" w:rsidTr="009B5516">
        <w:trPr>
          <w:jc w:val="center"/>
        </w:trPr>
        <w:tc>
          <w:tcPr>
            <w:tcW w:w="0" w:type="auto"/>
            <w:vAlign w:val="center"/>
          </w:tcPr>
          <w:p w14:paraId="510A9AFA" w14:textId="77777777" w:rsidR="00AF1261" w:rsidRPr="009B5516" w:rsidRDefault="00AF1261" w:rsidP="009B5516">
            <w:pPr>
              <w:pStyle w:val="ae"/>
              <w:rPr>
                <w:b w:val="0"/>
                <w:bCs/>
                <w:sz w:val="15"/>
                <w:szCs w:val="15"/>
              </w:rPr>
            </w:pPr>
            <w:r w:rsidRPr="009B5516">
              <w:rPr>
                <w:rFonts w:hint="eastAsia"/>
                <w:b w:val="0"/>
                <w:bCs/>
                <w:sz w:val="15"/>
                <w:szCs w:val="15"/>
              </w:rPr>
              <w:t>□杨梅（</w:t>
            </w:r>
            <w:r w:rsidRPr="009B5516">
              <w:rPr>
                <w:rFonts w:hint="eastAsia"/>
                <w:b w:val="0"/>
                <w:bCs/>
                <w:sz w:val="15"/>
                <w:szCs w:val="15"/>
              </w:rPr>
              <w:t>4</w:t>
            </w:r>
            <w:r w:rsidRPr="009B5516">
              <w:rPr>
                <w:rFonts w:hint="eastAsia"/>
                <w:b w:val="0"/>
                <w:bCs/>
                <w:sz w:val="15"/>
                <w:szCs w:val="15"/>
              </w:rPr>
              <w:t>）</w:t>
            </w:r>
          </w:p>
        </w:tc>
        <w:tc>
          <w:tcPr>
            <w:tcW w:w="0" w:type="auto"/>
            <w:vAlign w:val="center"/>
          </w:tcPr>
          <w:p w14:paraId="1EE85026" w14:textId="21734146" w:rsidR="00AF1261" w:rsidRPr="009B5516" w:rsidRDefault="00AF1261" w:rsidP="009B5516">
            <w:pPr>
              <w:pStyle w:val="ae"/>
              <w:rPr>
                <w:b w:val="0"/>
                <w:bCs/>
                <w:sz w:val="15"/>
                <w:szCs w:val="15"/>
              </w:rPr>
            </w:pPr>
            <w:r w:rsidRPr="009B5516">
              <w:rPr>
                <w:rFonts w:hint="eastAsia"/>
                <w:b w:val="0"/>
                <w:bCs/>
                <w:sz w:val="15"/>
                <w:szCs w:val="15"/>
              </w:rPr>
              <w:t>□银木荷</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515787C9" w14:textId="77777777" w:rsidR="00AF1261" w:rsidRPr="009B5516" w:rsidRDefault="00AF1261" w:rsidP="009B5516">
            <w:pPr>
              <w:pStyle w:val="ae"/>
              <w:rPr>
                <w:b w:val="0"/>
                <w:bCs/>
                <w:sz w:val="15"/>
                <w:szCs w:val="15"/>
              </w:rPr>
            </w:pPr>
            <w:r w:rsidRPr="009B5516">
              <w:rPr>
                <w:rFonts w:hint="eastAsia"/>
                <w:b w:val="0"/>
                <w:bCs/>
                <w:sz w:val="15"/>
                <w:szCs w:val="15"/>
              </w:rPr>
              <w:t>□杜英（</w:t>
            </w:r>
            <w:r w:rsidRPr="009B5516">
              <w:rPr>
                <w:rFonts w:hint="eastAsia"/>
                <w:b w:val="0"/>
                <w:bCs/>
                <w:sz w:val="15"/>
                <w:szCs w:val="15"/>
              </w:rPr>
              <w:t>4</w:t>
            </w:r>
            <w:r w:rsidRPr="009B5516">
              <w:rPr>
                <w:rFonts w:hint="eastAsia"/>
                <w:b w:val="0"/>
                <w:bCs/>
                <w:sz w:val="15"/>
                <w:szCs w:val="15"/>
              </w:rPr>
              <w:t>）</w:t>
            </w:r>
          </w:p>
        </w:tc>
        <w:tc>
          <w:tcPr>
            <w:tcW w:w="0" w:type="auto"/>
            <w:vAlign w:val="center"/>
          </w:tcPr>
          <w:p w14:paraId="26011CE3" w14:textId="4044EBC7" w:rsidR="00AF1261" w:rsidRPr="009B5516" w:rsidRDefault="00AF1261" w:rsidP="009B5516">
            <w:pPr>
              <w:pStyle w:val="ae"/>
              <w:rPr>
                <w:b w:val="0"/>
                <w:bCs/>
                <w:sz w:val="15"/>
                <w:szCs w:val="15"/>
              </w:rPr>
            </w:pPr>
            <w:r w:rsidRPr="009B5516">
              <w:rPr>
                <w:rFonts w:hint="eastAsia"/>
                <w:b w:val="0"/>
                <w:bCs/>
                <w:sz w:val="15"/>
                <w:szCs w:val="15"/>
              </w:rPr>
              <w:t>□小叶榕</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0" w:type="auto"/>
            <w:vAlign w:val="center"/>
          </w:tcPr>
          <w:p w14:paraId="13BDF567" w14:textId="77777777" w:rsidR="00AF1261" w:rsidRPr="009B5516" w:rsidRDefault="00AF1261" w:rsidP="009B5516">
            <w:pPr>
              <w:pStyle w:val="ae"/>
              <w:rPr>
                <w:b w:val="0"/>
                <w:bCs/>
                <w:sz w:val="15"/>
                <w:szCs w:val="15"/>
              </w:rPr>
            </w:pPr>
            <w:r w:rsidRPr="009B5516">
              <w:rPr>
                <w:rFonts w:hint="eastAsia"/>
                <w:b w:val="0"/>
                <w:bCs/>
                <w:sz w:val="15"/>
                <w:szCs w:val="15"/>
              </w:rPr>
              <w:t>□柚子（</w:t>
            </w:r>
            <w:r w:rsidRPr="009B5516">
              <w:rPr>
                <w:rFonts w:hint="eastAsia"/>
                <w:b w:val="0"/>
                <w:bCs/>
                <w:sz w:val="15"/>
                <w:szCs w:val="15"/>
              </w:rPr>
              <w:t>4</w:t>
            </w:r>
            <w:r w:rsidRPr="009B5516">
              <w:rPr>
                <w:rFonts w:hint="eastAsia"/>
                <w:b w:val="0"/>
                <w:bCs/>
                <w:sz w:val="15"/>
                <w:szCs w:val="15"/>
              </w:rPr>
              <w:t>）</w:t>
            </w:r>
          </w:p>
        </w:tc>
        <w:tc>
          <w:tcPr>
            <w:tcW w:w="1305" w:type="dxa"/>
            <w:vAlign w:val="center"/>
          </w:tcPr>
          <w:p w14:paraId="797C2816" w14:textId="7A62B848" w:rsidR="00AF1261" w:rsidRPr="009B5516" w:rsidRDefault="00AF1261" w:rsidP="009B5516">
            <w:pPr>
              <w:pStyle w:val="ae"/>
              <w:rPr>
                <w:b w:val="0"/>
                <w:bCs/>
                <w:sz w:val="15"/>
                <w:szCs w:val="15"/>
              </w:rPr>
            </w:pPr>
            <w:r w:rsidRPr="009B5516">
              <w:rPr>
                <w:rFonts w:hint="eastAsia"/>
                <w:b w:val="0"/>
                <w:bCs/>
                <w:sz w:val="15"/>
                <w:szCs w:val="15"/>
              </w:rPr>
              <w:t>□雪松</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417" w:type="dxa"/>
            <w:vAlign w:val="center"/>
          </w:tcPr>
          <w:p w14:paraId="2B1AD29F" w14:textId="3A270B6A" w:rsidR="00AF1261" w:rsidRPr="009B5516" w:rsidRDefault="00AF1261" w:rsidP="009B5516">
            <w:pPr>
              <w:pStyle w:val="ae"/>
              <w:rPr>
                <w:b w:val="0"/>
                <w:bCs/>
                <w:sz w:val="15"/>
                <w:szCs w:val="15"/>
              </w:rPr>
            </w:pPr>
            <w:r w:rsidRPr="009B5516">
              <w:rPr>
                <w:rFonts w:hint="eastAsia"/>
                <w:b w:val="0"/>
                <w:bCs/>
                <w:sz w:val="15"/>
                <w:szCs w:val="15"/>
              </w:rPr>
              <w:t>□柏木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r>
      <w:tr w:rsidR="00AF1261" w:rsidRPr="009B5516" w14:paraId="51001F00" w14:textId="77777777" w:rsidTr="009B5516">
        <w:trPr>
          <w:jc w:val="center"/>
        </w:trPr>
        <w:tc>
          <w:tcPr>
            <w:tcW w:w="0" w:type="auto"/>
            <w:vAlign w:val="center"/>
          </w:tcPr>
          <w:p w14:paraId="3C1B222B" w14:textId="77777777" w:rsidR="00AF1261" w:rsidRPr="009B5516" w:rsidRDefault="00AF1261" w:rsidP="009B5516">
            <w:pPr>
              <w:pStyle w:val="ae"/>
              <w:rPr>
                <w:b w:val="0"/>
                <w:bCs/>
                <w:sz w:val="15"/>
                <w:szCs w:val="15"/>
              </w:rPr>
            </w:pPr>
            <w:r w:rsidRPr="009B5516">
              <w:rPr>
                <w:rFonts w:hint="eastAsia"/>
                <w:b w:val="0"/>
                <w:bCs/>
                <w:sz w:val="15"/>
                <w:szCs w:val="15"/>
              </w:rPr>
              <w:t>□鱼尾葵（</w:t>
            </w:r>
            <w:r w:rsidRPr="009B5516">
              <w:rPr>
                <w:rFonts w:hint="eastAsia"/>
                <w:b w:val="0"/>
                <w:bCs/>
                <w:sz w:val="15"/>
                <w:szCs w:val="15"/>
              </w:rPr>
              <w:t>3</w:t>
            </w:r>
            <w:r w:rsidRPr="009B5516">
              <w:rPr>
                <w:rFonts w:hint="eastAsia"/>
                <w:b w:val="0"/>
                <w:bCs/>
                <w:sz w:val="15"/>
                <w:szCs w:val="15"/>
              </w:rPr>
              <w:t>）</w:t>
            </w:r>
          </w:p>
        </w:tc>
        <w:tc>
          <w:tcPr>
            <w:tcW w:w="0" w:type="auto"/>
            <w:vAlign w:val="center"/>
          </w:tcPr>
          <w:p w14:paraId="77FAB019" w14:textId="06EDADCA" w:rsidR="00AF1261" w:rsidRPr="009B5516" w:rsidRDefault="00AF1261" w:rsidP="009B5516">
            <w:pPr>
              <w:pStyle w:val="ae"/>
              <w:rPr>
                <w:b w:val="0"/>
                <w:bCs/>
                <w:sz w:val="15"/>
                <w:szCs w:val="15"/>
              </w:rPr>
            </w:pPr>
            <w:r w:rsidRPr="009B5516">
              <w:rPr>
                <w:rFonts w:hint="eastAsia"/>
                <w:b w:val="0"/>
                <w:bCs/>
                <w:sz w:val="15"/>
                <w:szCs w:val="15"/>
              </w:rPr>
              <w:t>□龙柏</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67429F2C" w14:textId="6730CE69" w:rsidR="00AF1261" w:rsidRPr="009B5516" w:rsidRDefault="00AF1261" w:rsidP="009B5516">
            <w:pPr>
              <w:pStyle w:val="ae"/>
              <w:rPr>
                <w:b w:val="0"/>
                <w:bCs/>
                <w:sz w:val="15"/>
                <w:szCs w:val="15"/>
              </w:rPr>
            </w:pPr>
            <w:r w:rsidRPr="009B5516">
              <w:rPr>
                <w:rFonts w:hint="eastAsia"/>
                <w:b w:val="0"/>
                <w:bCs/>
                <w:sz w:val="15"/>
                <w:szCs w:val="15"/>
              </w:rPr>
              <w:t>□柳杉</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01E15100" w14:textId="77777777" w:rsidR="00AF1261" w:rsidRPr="009B5516" w:rsidRDefault="00AF1261" w:rsidP="009B5516">
            <w:pPr>
              <w:pStyle w:val="ae"/>
              <w:rPr>
                <w:b w:val="0"/>
                <w:bCs/>
                <w:sz w:val="15"/>
                <w:szCs w:val="15"/>
              </w:rPr>
            </w:pPr>
            <w:r w:rsidRPr="009B5516">
              <w:rPr>
                <w:rFonts w:hint="eastAsia"/>
                <w:b w:val="0"/>
                <w:bCs/>
                <w:sz w:val="15"/>
                <w:szCs w:val="15"/>
              </w:rPr>
              <w:t>□羊蹄甲（</w:t>
            </w:r>
            <w:r w:rsidRPr="009B5516">
              <w:rPr>
                <w:rFonts w:hint="eastAsia"/>
                <w:b w:val="0"/>
                <w:bCs/>
                <w:sz w:val="15"/>
                <w:szCs w:val="15"/>
              </w:rPr>
              <w:t>3</w:t>
            </w:r>
            <w:r w:rsidRPr="009B5516">
              <w:rPr>
                <w:rFonts w:hint="eastAsia"/>
                <w:b w:val="0"/>
                <w:bCs/>
                <w:sz w:val="15"/>
                <w:szCs w:val="15"/>
              </w:rPr>
              <w:t>）</w:t>
            </w:r>
          </w:p>
        </w:tc>
        <w:tc>
          <w:tcPr>
            <w:tcW w:w="0" w:type="auto"/>
            <w:vAlign w:val="center"/>
          </w:tcPr>
          <w:p w14:paraId="3BED23B3" w14:textId="566B7C8B" w:rsidR="00AF1261" w:rsidRPr="009B5516" w:rsidRDefault="00AF1261" w:rsidP="009B5516">
            <w:pPr>
              <w:pStyle w:val="ae"/>
              <w:rPr>
                <w:b w:val="0"/>
                <w:bCs/>
                <w:sz w:val="15"/>
                <w:szCs w:val="15"/>
              </w:rPr>
            </w:pPr>
            <w:r w:rsidRPr="009B5516">
              <w:rPr>
                <w:rFonts w:hint="eastAsia"/>
                <w:b w:val="0"/>
                <w:bCs/>
                <w:sz w:val="15"/>
                <w:szCs w:val="15"/>
              </w:rPr>
              <w:t>□重阳木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1305" w:type="dxa"/>
            <w:vAlign w:val="center"/>
          </w:tcPr>
          <w:p w14:paraId="137F5470" w14:textId="77777777" w:rsidR="00AF1261" w:rsidRPr="009B5516" w:rsidRDefault="00AF1261" w:rsidP="009B5516">
            <w:pPr>
              <w:pStyle w:val="ae"/>
              <w:rPr>
                <w:b w:val="0"/>
                <w:bCs/>
                <w:sz w:val="15"/>
                <w:szCs w:val="15"/>
              </w:rPr>
            </w:pPr>
            <w:r w:rsidRPr="009B5516">
              <w:rPr>
                <w:rFonts w:hint="eastAsia"/>
                <w:b w:val="0"/>
                <w:bCs/>
                <w:sz w:val="15"/>
                <w:szCs w:val="15"/>
              </w:rPr>
              <w:t>□蒲葵（</w:t>
            </w:r>
            <w:r w:rsidRPr="009B5516">
              <w:rPr>
                <w:rFonts w:hint="eastAsia"/>
                <w:b w:val="0"/>
                <w:bCs/>
                <w:sz w:val="15"/>
                <w:szCs w:val="15"/>
              </w:rPr>
              <w:t>3</w:t>
            </w:r>
            <w:r w:rsidRPr="009B5516">
              <w:rPr>
                <w:rFonts w:hint="eastAsia"/>
                <w:b w:val="0"/>
                <w:bCs/>
                <w:sz w:val="15"/>
                <w:szCs w:val="15"/>
              </w:rPr>
              <w:t>）</w:t>
            </w:r>
          </w:p>
        </w:tc>
        <w:tc>
          <w:tcPr>
            <w:tcW w:w="1417" w:type="dxa"/>
            <w:vAlign w:val="center"/>
          </w:tcPr>
          <w:p w14:paraId="16D6FEF8" w14:textId="77777777" w:rsidR="00AF1261" w:rsidRPr="009B5516" w:rsidRDefault="00AF1261" w:rsidP="009B5516">
            <w:pPr>
              <w:pStyle w:val="ae"/>
              <w:rPr>
                <w:b w:val="0"/>
                <w:bCs/>
                <w:sz w:val="15"/>
                <w:szCs w:val="15"/>
              </w:rPr>
            </w:pPr>
            <w:r w:rsidRPr="009B5516">
              <w:rPr>
                <w:rFonts w:hint="eastAsia"/>
                <w:b w:val="0"/>
                <w:bCs/>
                <w:sz w:val="15"/>
                <w:szCs w:val="15"/>
              </w:rPr>
              <w:t>□罗汉松（</w:t>
            </w:r>
            <w:r w:rsidRPr="009B5516">
              <w:rPr>
                <w:rFonts w:hint="eastAsia"/>
                <w:b w:val="0"/>
                <w:bCs/>
                <w:sz w:val="15"/>
                <w:szCs w:val="15"/>
              </w:rPr>
              <w:t>3</w:t>
            </w:r>
            <w:r w:rsidRPr="009B5516">
              <w:rPr>
                <w:rFonts w:hint="eastAsia"/>
                <w:b w:val="0"/>
                <w:bCs/>
                <w:sz w:val="15"/>
                <w:szCs w:val="15"/>
              </w:rPr>
              <w:t>）</w:t>
            </w:r>
          </w:p>
        </w:tc>
      </w:tr>
      <w:tr w:rsidR="00AF1261" w:rsidRPr="009B5516" w14:paraId="3AC39194" w14:textId="77777777" w:rsidTr="009B5516">
        <w:trPr>
          <w:jc w:val="center"/>
        </w:trPr>
        <w:tc>
          <w:tcPr>
            <w:tcW w:w="0" w:type="auto"/>
            <w:vAlign w:val="center"/>
          </w:tcPr>
          <w:p w14:paraId="0CB2119A" w14:textId="77777777" w:rsidR="00AF1261" w:rsidRPr="009B5516" w:rsidRDefault="00AF1261" w:rsidP="009B5516">
            <w:pPr>
              <w:pStyle w:val="ae"/>
              <w:rPr>
                <w:b w:val="0"/>
                <w:bCs/>
                <w:sz w:val="15"/>
                <w:szCs w:val="15"/>
              </w:rPr>
            </w:pPr>
            <w:r w:rsidRPr="009B5516">
              <w:rPr>
                <w:rFonts w:hint="eastAsia"/>
                <w:b w:val="0"/>
                <w:bCs/>
                <w:sz w:val="15"/>
                <w:szCs w:val="15"/>
              </w:rPr>
              <w:t>□白兰花（</w:t>
            </w:r>
            <w:r w:rsidRPr="009B5516">
              <w:rPr>
                <w:rFonts w:hint="eastAsia"/>
                <w:b w:val="0"/>
                <w:bCs/>
                <w:sz w:val="15"/>
                <w:szCs w:val="15"/>
              </w:rPr>
              <w:t>3</w:t>
            </w:r>
            <w:r w:rsidRPr="009B5516">
              <w:rPr>
                <w:rFonts w:hint="eastAsia"/>
                <w:b w:val="0"/>
                <w:bCs/>
                <w:sz w:val="15"/>
                <w:szCs w:val="15"/>
              </w:rPr>
              <w:t>）</w:t>
            </w:r>
          </w:p>
        </w:tc>
        <w:tc>
          <w:tcPr>
            <w:tcW w:w="0" w:type="auto"/>
            <w:vAlign w:val="center"/>
          </w:tcPr>
          <w:p w14:paraId="265A092E" w14:textId="77777777" w:rsidR="00AF1261" w:rsidRPr="009B5516" w:rsidRDefault="00AF1261" w:rsidP="009B5516">
            <w:pPr>
              <w:pStyle w:val="ae"/>
              <w:rPr>
                <w:b w:val="0"/>
                <w:bCs/>
                <w:sz w:val="15"/>
                <w:szCs w:val="15"/>
              </w:rPr>
            </w:pPr>
            <w:r w:rsidRPr="009B5516">
              <w:rPr>
                <w:rFonts w:hint="eastAsia"/>
                <w:b w:val="0"/>
                <w:bCs/>
                <w:sz w:val="15"/>
                <w:szCs w:val="15"/>
              </w:rPr>
              <w:t>□桂花（</w:t>
            </w:r>
            <w:r w:rsidRPr="009B5516">
              <w:rPr>
                <w:rFonts w:hint="eastAsia"/>
                <w:b w:val="0"/>
                <w:bCs/>
                <w:sz w:val="15"/>
                <w:szCs w:val="15"/>
              </w:rPr>
              <w:t>4</w:t>
            </w:r>
            <w:r w:rsidRPr="009B5516">
              <w:rPr>
                <w:rFonts w:hint="eastAsia"/>
                <w:b w:val="0"/>
                <w:bCs/>
                <w:sz w:val="15"/>
                <w:szCs w:val="15"/>
              </w:rPr>
              <w:t>）</w:t>
            </w:r>
          </w:p>
        </w:tc>
        <w:tc>
          <w:tcPr>
            <w:tcW w:w="0" w:type="auto"/>
            <w:vAlign w:val="center"/>
          </w:tcPr>
          <w:p w14:paraId="671EE115" w14:textId="77777777" w:rsidR="00AF1261" w:rsidRPr="009B5516" w:rsidRDefault="00AF1261" w:rsidP="009B5516">
            <w:pPr>
              <w:pStyle w:val="ae"/>
              <w:rPr>
                <w:b w:val="0"/>
                <w:bCs/>
                <w:sz w:val="15"/>
                <w:szCs w:val="15"/>
              </w:rPr>
            </w:pPr>
            <w:r w:rsidRPr="009B5516">
              <w:rPr>
                <w:rFonts w:hint="eastAsia"/>
                <w:b w:val="0"/>
                <w:bCs/>
                <w:sz w:val="15"/>
                <w:szCs w:val="15"/>
              </w:rPr>
              <w:t>□红豆杉（</w:t>
            </w:r>
            <w:r w:rsidRPr="009B5516">
              <w:rPr>
                <w:rFonts w:hint="eastAsia"/>
                <w:b w:val="0"/>
                <w:bCs/>
                <w:sz w:val="15"/>
                <w:szCs w:val="15"/>
              </w:rPr>
              <w:t>2</w:t>
            </w:r>
            <w:r w:rsidRPr="009B5516">
              <w:rPr>
                <w:rFonts w:hint="eastAsia"/>
                <w:b w:val="0"/>
                <w:bCs/>
                <w:sz w:val="15"/>
                <w:szCs w:val="15"/>
              </w:rPr>
              <w:t>）</w:t>
            </w:r>
          </w:p>
        </w:tc>
        <w:tc>
          <w:tcPr>
            <w:tcW w:w="0" w:type="auto"/>
            <w:vAlign w:val="center"/>
          </w:tcPr>
          <w:p w14:paraId="26ADC563" w14:textId="77777777" w:rsidR="00AF1261" w:rsidRPr="009B5516" w:rsidRDefault="00AF1261" w:rsidP="009B5516">
            <w:pPr>
              <w:pStyle w:val="ae"/>
              <w:rPr>
                <w:b w:val="0"/>
                <w:bCs/>
                <w:sz w:val="15"/>
                <w:szCs w:val="15"/>
              </w:rPr>
            </w:pPr>
            <w:r w:rsidRPr="009B5516">
              <w:rPr>
                <w:rFonts w:hint="eastAsia"/>
                <w:b w:val="0"/>
                <w:bCs/>
                <w:sz w:val="15"/>
                <w:szCs w:val="15"/>
              </w:rPr>
              <w:t>□杏（</w:t>
            </w:r>
            <w:r w:rsidRPr="009B5516">
              <w:rPr>
                <w:rFonts w:hint="eastAsia"/>
                <w:b w:val="0"/>
                <w:bCs/>
                <w:sz w:val="15"/>
                <w:szCs w:val="15"/>
              </w:rPr>
              <w:t>2</w:t>
            </w:r>
            <w:r w:rsidRPr="009B5516">
              <w:rPr>
                <w:rFonts w:hint="eastAsia"/>
                <w:b w:val="0"/>
                <w:bCs/>
                <w:sz w:val="15"/>
                <w:szCs w:val="15"/>
              </w:rPr>
              <w:t>）</w:t>
            </w:r>
          </w:p>
        </w:tc>
        <w:tc>
          <w:tcPr>
            <w:tcW w:w="0" w:type="auto"/>
            <w:vAlign w:val="center"/>
          </w:tcPr>
          <w:p w14:paraId="737A29DF" w14:textId="7495B7A3" w:rsidR="00AF1261" w:rsidRPr="009B5516" w:rsidRDefault="00AF1261" w:rsidP="009B5516">
            <w:pPr>
              <w:pStyle w:val="ae"/>
              <w:rPr>
                <w:b w:val="0"/>
                <w:bCs/>
                <w:sz w:val="15"/>
                <w:szCs w:val="15"/>
              </w:rPr>
            </w:pPr>
            <w:r w:rsidRPr="009B5516">
              <w:rPr>
                <w:rFonts w:hint="eastAsia"/>
                <w:b w:val="0"/>
                <w:bCs/>
                <w:sz w:val="15"/>
                <w:szCs w:val="15"/>
              </w:rPr>
              <w:t>□桧柏</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305" w:type="dxa"/>
            <w:vAlign w:val="center"/>
          </w:tcPr>
          <w:p w14:paraId="30A55815" w14:textId="2EB2CB92" w:rsidR="00AF1261" w:rsidRPr="009B5516" w:rsidRDefault="00AF1261" w:rsidP="009B5516">
            <w:pPr>
              <w:pStyle w:val="ae"/>
              <w:rPr>
                <w:b w:val="0"/>
                <w:bCs/>
                <w:sz w:val="15"/>
                <w:szCs w:val="15"/>
              </w:rPr>
            </w:pPr>
            <w:r w:rsidRPr="009B5516">
              <w:rPr>
                <w:rFonts w:hint="eastAsia"/>
                <w:b w:val="0"/>
                <w:bCs/>
                <w:sz w:val="15"/>
                <w:szCs w:val="15"/>
              </w:rPr>
              <w:t>□侧柏</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4</w:t>
            </w:r>
            <w:r w:rsidRPr="009B5516">
              <w:rPr>
                <w:rFonts w:hint="eastAsia"/>
                <w:b w:val="0"/>
                <w:bCs/>
                <w:sz w:val="15"/>
                <w:szCs w:val="15"/>
              </w:rPr>
              <w:t>）</w:t>
            </w:r>
          </w:p>
        </w:tc>
        <w:tc>
          <w:tcPr>
            <w:tcW w:w="1417" w:type="dxa"/>
            <w:vAlign w:val="center"/>
          </w:tcPr>
          <w:p w14:paraId="5230F213" w14:textId="77777777" w:rsidR="00AF1261" w:rsidRPr="009B5516" w:rsidRDefault="00AF1261" w:rsidP="009B5516">
            <w:pPr>
              <w:pStyle w:val="ae"/>
              <w:rPr>
                <w:b w:val="0"/>
                <w:bCs/>
                <w:sz w:val="15"/>
                <w:szCs w:val="15"/>
              </w:rPr>
            </w:pPr>
            <w:r w:rsidRPr="009B5516">
              <w:rPr>
                <w:rFonts w:hint="eastAsia"/>
                <w:b w:val="0"/>
                <w:bCs/>
                <w:sz w:val="15"/>
                <w:szCs w:val="15"/>
              </w:rPr>
              <w:t>□桢楠（</w:t>
            </w:r>
            <w:r w:rsidRPr="009B5516">
              <w:rPr>
                <w:rFonts w:hint="eastAsia"/>
                <w:b w:val="0"/>
                <w:bCs/>
                <w:sz w:val="15"/>
                <w:szCs w:val="15"/>
              </w:rPr>
              <w:t>3</w:t>
            </w:r>
            <w:r w:rsidRPr="009B5516">
              <w:rPr>
                <w:rFonts w:hint="eastAsia"/>
                <w:b w:val="0"/>
                <w:bCs/>
                <w:sz w:val="15"/>
                <w:szCs w:val="15"/>
              </w:rPr>
              <w:t>）</w:t>
            </w:r>
          </w:p>
        </w:tc>
      </w:tr>
      <w:tr w:rsidR="00AF1261" w:rsidRPr="009B5516" w14:paraId="47E58872" w14:textId="77777777" w:rsidTr="009B5516">
        <w:trPr>
          <w:jc w:val="center"/>
        </w:trPr>
        <w:tc>
          <w:tcPr>
            <w:tcW w:w="0" w:type="auto"/>
            <w:vAlign w:val="center"/>
          </w:tcPr>
          <w:p w14:paraId="7BB4A9F6" w14:textId="77777777" w:rsidR="00AF1261" w:rsidRPr="009B5516" w:rsidRDefault="00AF1261" w:rsidP="009B5516">
            <w:pPr>
              <w:pStyle w:val="ae"/>
              <w:rPr>
                <w:b w:val="0"/>
                <w:bCs/>
                <w:sz w:val="15"/>
                <w:szCs w:val="15"/>
              </w:rPr>
            </w:pPr>
            <w:r w:rsidRPr="009B5516">
              <w:rPr>
                <w:rFonts w:hint="eastAsia"/>
                <w:b w:val="0"/>
                <w:bCs/>
                <w:sz w:val="15"/>
                <w:szCs w:val="15"/>
              </w:rPr>
              <w:t>□假槟榔（</w:t>
            </w:r>
            <w:r w:rsidRPr="009B5516">
              <w:rPr>
                <w:rFonts w:hint="eastAsia"/>
                <w:b w:val="0"/>
                <w:bCs/>
                <w:sz w:val="15"/>
                <w:szCs w:val="15"/>
              </w:rPr>
              <w:t>2</w:t>
            </w:r>
            <w:r w:rsidRPr="009B5516">
              <w:rPr>
                <w:rFonts w:hint="eastAsia"/>
                <w:b w:val="0"/>
                <w:bCs/>
                <w:sz w:val="15"/>
                <w:szCs w:val="15"/>
              </w:rPr>
              <w:t>）</w:t>
            </w:r>
          </w:p>
        </w:tc>
        <w:tc>
          <w:tcPr>
            <w:tcW w:w="0" w:type="auto"/>
            <w:vAlign w:val="center"/>
          </w:tcPr>
          <w:p w14:paraId="5CE94258" w14:textId="77777777" w:rsidR="00AF1261" w:rsidRPr="009B5516" w:rsidRDefault="00AF1261" w:rsidP="009B5516">
            <w:pPr>
              <w:pStyle w:val="ae"/>
              <w:rPr>
                <w:b w:val="0"/>
                <w:bCs/>
                <w:sz w:val="15"/>
                <w:szCs w:val="15"/>
              </w:rPr>
            </w:pPr>
            <w:r w:rsidRPr="009B5516">
              <w:rPr>
                <w:rFonts w:hint="eastAsia"/>
                <w:b w:val="0"/>
                <w:bCs/>
                <w:sz w:val="15"/>
                <w:szCs w:val="15"/>
              </w:rPr>
              <w:t>□深山含笑（</w:t>
            </w:r>
            <w:r w:rsidRPr="009B5516">
              <w:rPr>
                <w:rFonts w:hint="eastAsia"/>
                <w:b w:val="0"/>
                <w:bCs/>
                <w:sz w:val="15"/>
                <w:szCs w:val="15"/>
              </w:rPr>
              <w:t>4</w:t>
            </w:r>
            <w:r w:rsidRPr="009B5516">
              <w:rPr>
                <w:rFonts w:hint="eastAsia"/>
                <w:b w:val="0"/>
                <w:bCs/>
                <w:sz w:val="15"/>
                <w:szCs w:val="15"/>
              </w:rPr>
              <w:t>）</w:t>
            </w:r>
          </w:p>
        </w:tc>
        <w:tc>
          <w:tcPr>
            <w:tcW w:w="0" w:type="auto"/>
            <w:vAlign w:val="center"/>
          </w:tcPr>
          <w:p w14:paraId="7BA30D18" w14:textId="77777777" w:rsidR="00AF1261" w:rsidRPr="009B5516" w:rsidRDefault="00AF1261" w:rsidP="009B5516">
            <w:pPr>
              <w:pStyle w:val="ae"/>
              <w:rPr>
                <w:b w:val="0"/>
                <w:bCs/>
                <w:sz w:val="15"/>
                <w:szCs w:val="15"/>
              </w:rPr>
            </w:pPr>
            <w:r w:rsidRPr="009B5516">
              <w:rPr>
                <w:rFonts w:hint="eastAsia"/>
                <w:b w:val="0"/>
                <w:bCs/>
                <w:sz w:val="15"/>
                <w:szCs w:val="15"/>
              </w:rPr>
              <w:t>□乐昌含笑（</w:t>
            </w:r>
            <w:r w:rsidRPr="009B5516">
              <w:rPr>
                <w:rFonts w:hint="eastAsia"/>
                <w:b w:val="0"/>
                <w:bCs/>
                <w:sz w:val="15"/>
                <w:szCs w:val="15"/>
              </w:rPr>
              <w:t>3</w:t>
            </w:r>
            <w:r w:rsidRPr="009B5516">
              <w:rPr>
                <w:rFonts w:hint="eastAsia"/>
                <w:b w:val="0"/>
                <w:bCs/>
                <w:sz w:val="15"/>
                <w:szCs w:val="15"/>
              </w:rPr>
              <w:t>）</w:t>
            </w:r>
          </w:p>
        </w:tc>
        <w:tc>
          <w:tcPr>
            <w:tcW w:w="0" w:type="auto"/>
            <w:vAlign w:val="center"/>
          </w:tcPr>
          <w:p w14:paraId="393A5DD6" w14:textId="77777777" w:rsidR="00AF1261" w:rsidRPr="009B5516" w:rsidRDefault="00AF1261" w:rsidP="009B5516">
            <w:pPr>
              <w:pStyle w:val="ae"/>
              <w:rPr>
                <w:b w:val="0"/>
                <w:bCs/>
                <w:sz w:val="15"/>
                <w:szCs w:val="15"/>
              </w:rPr>
            </w:pPr>
            <w:r w:rsidRPr="009B5516">
              <w:rPr>
                <w:rFonts w:hint="eastAsia"/>
                <w:b w:val="0"/>
                <w:bCs/>
                <w:sz w:val="15"/>
                <w:szCs w:val="15"/>
              </w:rPr>
              <w:t>□天竺桂（</w:t>
            </w:r>
            <w:r w:rsidRPr="009B5516">
              <w:rPr>
                <w:rFonts w:hint="eastAsia"/>
                <w:b w:val="0"/>
                <w:bCs/>
                <w:sz w:val="15"/>
                <w:szCs w:val="15"/>
              </w:rPr>
              <w:t>4</w:t>
            </w:r>
            <w:r w:rsidRPr="009B5516">
              <w:rPr>
                <w:rFonts w:hint="eastAsia"/>
                <w:b w:val="0"/>
                <w:bCs/>
                <w:sz w:val="15"/>
                <w:szCs w:val="15"/>
              </w:rPr>
              <w:t>）</w:t>
            </w:r>
          </w:p>
        </w:tc>
        <w:tc>
          <w:tcPr>
            <w:tcW w:w="0" w:type="auto"/>
            <w:vAlign w:val="center"/>
          </w:tcPr>
          <w:p w14:paraId="0F2EA7FF" w14:textId="1C38747C" w:rsidR="00AF1261" w:rsidRPr="009B5516" w:rsidRDefault="00AF1261" w:rsidP="009B5516">
            <w:pPr>
              <w:pStyle w:val="ae"/>
              <w:rPr>
                <w:b w:val="0"/>
                <w:bCs/>
                <w:sz w:val="15"/>
                <w:szCs w:val="15"/>
              </w:rPr>
            </w:pPr>
            <w:r w:rsidRPr="009B5516">
              <w:rPr>
                <w:rFonts w:hint="eastAsia"/>
                <w:b w:val="0"/>
                <w:bCs/>
                <w:sz w:val="15"/>
                <w:szCs w:val="15"/>
              </w:rPr>
              <w:t>□扁柏</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305" w:type="dxa"/>
            <w:vAlign w:val="center"/>
          </w:tcPr>
          <w:p w14:paraId="0BEF9F88" w14:textId="3CD987B9" w:rsidR="00AF1261" w:rsidRPr="009B5516" w:rsidRDefault="00AF1261" w:rsidP="009B5516">
            <w:pPr>
              <w:pStyle w:val="ae"/>
              <w:rPr>
                <w:b w:val="0"/>
                <w:bCs/>
                <w:sz w:val="15"/>
                <w:szCs w:val="15"/>
              </w:rPr>
            </w:pPr>
            <w:r w:rsidRPr="009B5516">
              <w:rPr>
                <w:rFonts w:hint="eastAsia"/>
                <w:b w:val="0"/>
                <w:bCs/>
                <w:sz w:val="15"/>
                <w:szCs w:val="15"/>
              </w:rPr>
              <w:t>□大头茶</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417" w:type="dxa"/>
            <w:vAlign w:val="center"/>
          </w:tcPr>
          <w:p w14:paraId="02C7D93C" w14:textId="77777777" w:rsidR="00AF1261" w:rsidRPr="009B5516" w:rsidRDefault="00AF1261" w:rsidP="009B5516">
            <w:pPr>
              <w:pStyle w:val="ae"/>
              <w:rPr>
                <w:b w:val="0"/>
                <w:bCs/>
                <w:sz w:val="15"/>
                <w:szCs w:val="15"/>
              </w:rPr>
            </w:pPr>
            <w:r w:rsidRPr="009B5516">
              <w:rPr>
                <w:rFonts w:hint="eastAsia"/>
                <w:b w:val="0"/>
                <w:bCs/>
                <w:sz w:val="15"/>
                <w:szCs w:val="15"/>
              </w:rPr>
              <w:t>□杜英</w:t>
            </w:r>
          </w:p>
        </w:tc>
      </w:tr>
      <w:tr w:rsidR="00AF1261" w:rsidRPr="009B5516" w14:paraId="536DBE01" w14:textId="77777777" w:rsidTr="009B5516">
        <w:trPr>
          <w:jc w:val="center"/>
        </w:trPr>
        <w:tc>
          <w:tcPr>
            <w:tcW w:w="0" w:type="auto"/>
            <w:vAlign w:val="center"/>
          </w:tcPr>
          <w:p w14:paraId="4BB0595A" w14:textId="00389369" w:rsidR="00AF1261" w:rsidRPr="009B5516" w:rsidRDefault="00AF1261" w:rsidP="009B5516">
            <w:pPr>
              <w:pStyle w:val="ae"/>
              <w:rPr>
                <w:b w:val="0"/>
                <w:bCs/>
                <w:sz w:val="15"/>
                <w:szCs w:val="15"/>
              </w:rPr>
            </w:pPr>
            <w:r w:rsidRPr="009B5516">
              <w:rPr>
                <w:rFonts w:hint="eastAsia"/>
                <w:b w:val="0"/>
                <w:bCs/>
                <w:sz w:val="15"/>
                <w:szCs w:val="15"/>
              </w:rPr>
              <w:t>□无患子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4760BDAB" w14:textId="77777777" w:rsidR="00AF1261" w:rsidRPr="009B5516" w:rsidRDefault="00AF1261" w:rsidP="009B5516">
            <w:pPr>
              <w:pStyle w:val="ae"/>
              <w:rPr>
                <w:b w:val="0"/>
                <w:bCs/>
                <w:sz w:val="15"/>
                <w:szCs w:val="15"/>
              </w:rPr>
            </w:pPr>
            <w:r w:rsidRPr="009B5516">
              <w:rPr>
                <w:rFonts w:hint="eastAsia"/>
                <w:b w:val="0"/>
                <w:bCs/>
                <w:sz w:val="15"/>
                <w:szCs w:val="15"/>
              </w:rPr>
              <w:t>□枫香（</w:t>
            </w:r>
            <w:r w:rsidRPr="009B5516">
              <w:rPr>
                <w:rFonts w:hint="eastAsia"/>
                <w:b w:val="0"/>
                <w:bCs/>
                <w:sz w:val="15"/>
                <w:szCs w:val="15"/>
              </w:rPr>
              <w:t>3</w:t>
            </w:r>
            <w:r w:rsidRPr="009B5516">
              <w:rPr>
                <w:rFonts w:hint="eastAsia"/>
                <w:b w:val="0"/>
                <w:bCs/>
                <w:sz w:val="15"/>
                <w:szCs w:val="15"/>
              </w:rPr>
              <w:t>）</w:t>
            </w:r>
          </w:p>
        </w:tc>
        <w:tc>
          <w:tcPr>
            <w:tcW w:w="0" w:type="auto"/>
            <w:vAlign w:val="center"/>
          </w:tcPr>
          <w:p w14:paraId="65591924" w14:textId="77777777" w:rsidR="00AF1261" w:rsidRPr="009B5516" w:rsidRDefault="00AF1261" w:rsidP="009B5516">
            <w:pPr>
              <w:pStyle w:val="ae"/>
              <w:rPr>
                <w:b w:val="0"/>
                <w:bCs/>
                <w:sz w:val="15"/>
                <w:szCs w:val="15"/>
              </w:rPr>
            </w:pPr>
            <w:r w:rsidRPr="009B5516">
              <w:rPr>
                <w:rFonts w:hint="eastAsia"/>
                <w:b w:val="0"/>
                <w:bCs/>
                <w:sz w:val="15"/>
                <w:szCs w:val="15"/>
              </w:rPr>
              <w:t>□银杏（</w:t>
            </w:r>
            <w:r w:rsidRPr="009B5516">
              <w:rPr>
                <w:rFonts w:hint="eastAsia"/>
                <w:b w:val="0"/>
                <w:bCs/>
                <w:sz w:val="15"/>
                <w:szCs w:val="15"/>
              </w:rPr>
              <w:t>3</w:t>
            </w:r>
            <w:r w:rsidRPr="009B5516">
              <w:rPr>
                <w:rFonts w:hint="eastAsia"/>
                <w:b w:val="0"/>
                <w:bCs/>
                <w:sz w:val="15"/>
                <w:szCs w:val="15"/>
              </w:rPr>
              <w:t>）</w:t>
            </w:r>
          </w:p>
        </w:tc>
        <w:tc>
          <w:tcPr>
            <w:tcW w:w="0" w:type="auto"/>
            <w:vAlign w:val="center"/>
          </w:tcPr>
          <w:p w14:paraId="262679FC" w14:textId="77777777" w:rsidR="00AF1261" w:rsidRPr="009B5516" w:rsidRDefault="00AF1261" w:rsidP="009B5516">
            <w:pPr>
              <w:pStyle w:val="ae"/>
              <w:rPr>
                <w:b w:val="0"/>
                <w:bCs/>
                <w:sz w:val="15"/>
                <w:szCs w:val="15"/>
              </w:rPr>
            </w:pPr>
            <w:r w:rsidRPr="009B5516">
              <w:rPr>
                <w:rFonts w:hint="eastAsia"/>
                <w:b w:val="0"/>
                <w:bCs/>
                <w:sz w:val="15"/>
                <w:szCs w:val="15"/>
              </w:rPr>
              <w:t>□黄连木（</w:t>
            </w:r>
            <w:r w:rsidRPr="009B5516">
              <w:rPr>
                <w:rFonts w:hint="eastAsia"/>
                <w:b w:val="0"/>
                <w:bCs/>
                <w:sz w:val="15"/>
                <w:szCs w:val="15"/>
              </w:rPr>
              <w:t>3</w:t>
            </w:r>
            <w:r w:rsidRPr="009B5516">
              <w:rPr>
                <w:rFonts w:hint="eastAsia"/>
                <w:b w:val="0"/>
                <w:bCs/>
                <w:sz w:val="15"/>
                <w:szCs w:val="15"/>
              </w:rPr>
              <w:t>）</w:t>
            </w:r>
          </w:p>
        </w:tc>
        <w:tc>
          <w:tcPr>
            <w:tcW w:w="0" w:type="auto"/>
            <w:vAlign w:val="center"/>
          </w:tcPr>
          <w:p w14:paraId="2D226E59" w14:textId="77777777" w:rsidR="00AF1261" w:rsidRPr="009B5516" w:rsidRDefault="00AF1261" w:rsidP="009B5516">
            <w:pPr>
              <w:pStyle w:val="ae"/>
              <w:rPr>
                <w:b w:val="0"/>
                <w:bCs/>
                <w:sz w:val="15"/>
                <w:szCs w:val="15"/>
              </w:rPr>
            </w:pPr>
            <w:r w:rsidRPr="009B5516">
              <w:rPr>
                <w:rFonts w:hint="eastAsia"/>
                <w:b w:val="0"/>
                <w:bCs/>
                <w:sz w:val="15"/>
                <w:szCs w:val="15"/>
              </w:rPr>
              <w:t>□梨（</w:t>
            </w:r>
            <w:r w:rsidRPr="009B5516">
              <w:rPr>
                <w:rFonts w:hint="eastAsia"/>
                <w:b w:val="0"/>
                <w:bCs/>
                <w:sz w:val="15"/>
                <w:szCs w:val="15"/>
              </w:rPr>
              <w:t>2</w:t>
            </w:r>
            <w:r w:rsidRPr="009B5516">
              <w:rPr>
                <w:rFonts w:hint="eastAsia"/>
                <w:b w:val="0"/>
                <w:bCs/>
                <w:sz w:val="15"/>
                <w:szCs w:val="15"/>
              </w:rPr>
              <w:t>）</w:t>
            </w:r>
          </w:p>
        </w:tc>
        <w:tc>
          <w:tcPr>
            <w:tcW w:w="1305" w:type="dxa"/>
            <w:vAlign w:val="center"/>
          </w:tcPr>
          <w:p w14:paraId="1CF00FD8" w14:textId="157BD666" w:rsidR="00AF1261" w:rsidRPr="009B5516" w:rsidRDefault="00AF1261" w:rsidP="009B5516">
            <w:pPr>
              <w:pStyle w:val="ae"/>
              <w:rPr>
                <w:b w:val="0"/>
                <w:bCs/>
                <w:sz w:val="15"/>
                <w:szCs w:val="15"/>
              </w:rPr>
            </w:pPr>
            <w:r w:rsidRPr="009B5516">
              <w:rPr>
                <w:rFonts w:hint="eastAsia"/>
                <w:b w:val="0"/>
                <w:bCs/>
                <w:sz w:val="15"/>
                <w:szCs w:val="15"/>
              </w:rPr>
              <w:t>□合欢</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417" w:type="dxa"/>
            <w:vAlign w:val="center"/>
          </w:tcPr>
          <w:p w14:paraId="409C9E32" w14:textId="4ADCC3D3" w:rsidR="00AF1261" w:rsidRPr="009B5516" w:rsidRDefault="00AF1261" w:rsidP="009B5516">
            <w:pPr>
              <w:pStyle w:val="ae"/>
              <w:rPr>
                <w:b w:val="0"/>
                <w:bCs/>
                <w:sz w:val="15"/>
                <w:szCs w:val="15"/>
              </w:rPr>
            </w:pPr>
            <w:r w:rsidRPr="009B5516">
              <w:rPr>
                <w:rFonts w:hint="eastAsia"/>
                <w:b w:val="0"/>
                <w:bCs/>
                <w:sz w:val="15"/>
                <w:szCs w:val="15"/>
              </w:rPr>
              <w:t>□朴树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r>
      <w:tr w:rsidR="00AF1261" w:rsidRPr="009B5516" w14:paraId="774FB329" w14:textId="77777777" w:rsidTr="009B5516">
        <w:trPr>
          <w:jc w:val="center"/>
        </w:trPr>
        <w:tc>
          <w:tcPr>
            <w:tcW w:w="0" w:type="auto"/>
            <w:vAlign w:val="center"/>
          </w:tcPr>
          <w:p w14:paraId="341EFE09" w14:textId="1251436A" w:rsidR="00AF1261" w:rsidRPr="009B5516" w:rsidRDefault="00AF1261" w:rsidP="009B5516">
            <w:pPr>
              <w:pStyle w:val="ae"/>
              <w:rPr>
                <w:b w:val="0"/>
                <w:bCs/>
                <w:sz w:val="15"/>
                <w:szCs w:val="15"/>
              </w:rPr>
            </w:pPr>
            <w:r w:rsidRPr="009B5516">
              <w:rPr>
                <w:rFonts w:hint="eastAsia"/>
                <w:b w:val="0"/>
                <w:bCs/>
                <w:sz w:val="15"/>
                <w:szCs w:val="15"/>
              </w:rPr>
              <w:t>□臭椿</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p w14:paraId="240478A9" w14:textId="77777777" w:rsidR="00AF1261" w:rsidRPr="009B5516" w:rsidRDefault="00AF1261" w:rsidP="009B5516">
            <w:pPr>
              <w:pStyle w:val="ae"/>
              <w:rPr>
                <w:b w:val="0"/>
                <w:bCs/>
                <w:sz w:val="15"/>
                <w:szCs w:val="15"/>
              </w:rPr>
            </w:pPr>
          </w:p>
        </w:tc>
        <w:tc>
          <w:tcPr>
            <w:tcW w:w="0" w:type="auto"/>
            <w:vAlign w:val="center"/>
          </w:tcPr>
          <w:p w14:paraId="5A95B99E" w14:textId="77777777" w:rsidR="00AF1261" w:rsidRPr="009B5516" w:rsidRDefault="00AF1261" w:rsidP="009B5516">
            <w:pPr>
              <w:pStyle w:val="ae"/>
              <w:rPr>
                <w:b w:val="0"/>
                <w:bCs/>
                <w:sz w:val="15"/>
                <w:szCs w:val="15"/>
              </w:rPr>
            </w:pPr>
            <w:r w:rsidRPr="009B5516">
              <w:rPr>
                <w:rFonts w:hint="eastAsia"/>
                <w:b w:val="0"/>
                <w:bCs/>
                <w:sz w:val="15"/>
                <w:szCs w:val="15"/>
              </w:rPr>
              <w:t>□栾树（</w:t>
            </w:r>
            <w:r w:rsidRPr="009B5516">
              <w:rPr>
                <w:rFonts w:hint="eastAsia"/>
                <w:b w:val="0"/>
                <w:bCs/>
                <w:sz w:val="15"/>
                <w:szCs w:val="15"/>
              </w:rPr>
              <w:t>3</w:t>
            </w:r>
            <w:r w:rsidRPr="009B5516">
              <w:rPr>
                <w:rFonts w:hint="eastAsia"/>
                <w:b w:val="0"/>
                <w:bCs/>
                <w:sz w:val="15"/>
                <w:szCs w:val="15"/>
              </w:rPr>
              <w:t>）</w:t>
            </w:r>
          </w:p>
        </w:tc>
        <w:tc>
          <w:tcPr>
            <w:tcW w:w="0" w:type="auto"/>
            <w:vAlign w:val="center"/>
          </w:tcPr>
          <w:p w14:paraId="3CFED484" w14:textId="5293E351" w:rsidR="00AF1261" w:rsidRPr="009B5516" w:rsidRDefault="00AF1261" w:rsidP="009B5516">
            <w:pPr>
              <w:pStyle w:val="ae"/>
              <w:rPr>
                <w:b w:val="0"/>
                <w:bCs/>
                <w:sz w:val="15"/>
                <w:szCs w:val="15"/>
              </w:rPr>
            </w:pPr>
            <w:r w:rsidRPr="009B5516">
              <w:rPr>
                <w:rFonts w:hint="eastAsia"/>
                <w:b w:val="0"/>
                <w:bCs/>
                <w:sz w:val="15"/>
                <w:szCs w:val="15"/>
              </w:rPr>
              <w:t>□苦楝</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172B97EF" w14:textId="77777777" w:rsidR="00AF1261" w:rsidRPr="009B5516" w:rsidRDefault="00AF1261" w:rsidP="009B5516">
            <w:pPr>
              <w:pStyle w:val="ae"/>
              <w:rPr>
                <w:b w:val="0"/>
                <w:bCs/>
                <w:sz w:val="15"/>
                <w:szCs w:val="15"/>
              </w:rPr>
            </w:pPr>
            <w:r w:rsidRPr="009B5516">
              <w:rPr>
                <w:rFonts w:hint="eastAsia"/>
                <w:b w:val="0"/>
                <w:bCs/>
                <w:sz w:val="15"/>
                <w:szCs w:val="15"/>
              </w:rPr>
              <w:t>□榔榆（</w:t>
            </w:r>
            <w:r w:rsidRPr="009B5516">
              <w:rPr>
                <w:rFonts w:hint="eastAsia"/>
                <w:b w:val="0"/>
                <w:bCs/>
                <w:sz w:val="15"/>
                <w:szCs w:val="15"/>
              </w:rPr>
              <w:t>3</w:t>
            </w:r>
            <w:r w:rsidRPr="009B5516">
              <w:rPr>
                <w:rFonts w:hint="eastAsia"/>
                <w:b w:val="0"/>
                <w:bCs/>
                <w:sz w:val="15"/>
                <w:szCs w:val="15"/>
              </w:rPr>
              <w:t>）</w:t>
            </w:r>
          </w:p>
        </w:tc>
        <w:tc>
          <w:tcPr>
            <w:tcW w:w="0" w:type="auto"/>
            <w:vAlign w:val="center"/>
          </w:tcPr>
          <w:p w14:paraId="7E706657" w14:textId="77777777" w:rsidR="00AF1261" w:rsidRPr="009B5516" w:rsidRDefault="00AF1261" w:rsidP="009B5516">
            <w:pPr>
              <w:pStyle w:val="ae"/>
              <w:rPr>
                <w:b w:val="0"/>
                <w:bCs/>
                <w:sz w:val="15"/>
                <w:szCs w:val="15"/>
              </w:rPr>
            </w:pPr>
            <w:r w:rsidRPr="009B5516">
              <w:rPr>
                <w:rFonts w:hint="eastAsia"/>
                <w:b w:val="0"/>
                <w:bCs/>
                <w:sz w:val="15"/>
                <w:szCs w:val="15"/>
              </w:rPr>
              <w:t>□乌桕（</w:t>
            </w:r>
            <w:r w:rsidRPr="009B5516">
              <w:rPr>
                <w:rFonts w:hint="eastAsia"/>
                <w:b w:val="0"/>
                <w:bCs/>
                <w:sz w:val="15"/>
                <w:szCs w:val="15"/>
              </w:rPr>
              <w:t>3</w:t>
            </w:r>
          </w:p>
        </w:tc>
        <w:tc>
          <w:tcPr>
            <w:tcW w:w="1305" w:type="dxa"/>
            <w:vAlign w:val="center"/>
          </w:tcPr>
          <w:p w14:paraId="3913127D" w14:textId="77777777" w:rsidR="00AF1261" w:rsidRPr="009B5516" w:rsidRDefault="00AF1261" w:rsidP="009B5516">
            <w:pPr>
              <w:pStyle w:val="ae"/>
              <w:rPr>
                <w:b w:val="0"/>
                <w:bCs/>
                <w:sz w:val="15"/>
                <w:szCs w:val="15"/>
              </w:rPr>
            </w:pPr>
            <w:r w:rsidRPr="009B5516">
              <w:rPr>
                <w:rFonts w:hint="eastAsia"/>
                <w:b w:val="0"/>
                <w:bCs/>
                <w:sz w:val="15"/>
                <w:szCs w:val="15"/>
              </w:rPr>
              <w:t>□水杉（</w:t>
            </w:r>
            <w:r w:rsidRPr="009B5516">
              <w:rPr>
                <w:rFonts w:hint="eastAsia"/>
                <w:b w:val="0"/>
                <w:bCs/>
                <w:sz w:val="15"/>
                <w:szCs w:val="15"/>
              </w:rPr>
              <w:t>2</w:t>
            </w:r>
            <w:r w:rsidRPr="009B5516">
              <w:rPr>
                <w:rFonts w:hint="eastAsia"/>
                <w:b w:val="0"/>
                <w:bCs/>
                <w:sz w:val="15"/>
                <w:szCs w:val="15"/>
              </w:rPr>
              <w:t>）</w:t>
            </w:r>
          </w:p>
        </w:tc>
        <w:tc>
          <w:tcPr>
            <w:tcW w:w="1417" w:type="dxa"/>
            <w:vAlign w:val="center"/>
          </w:tcPr>
          <w:p w14:paraId="2BB91B0E" w14:textId="0E8481E8" w:rsidR="00AF1261" w:rsidRPr="009B5516" w:rsidRDefault="00AF1261" w:rsidP="009B5516">
            <w:pPr>
              <w:pStyle w:val="ae"/>
              <w:rPr>
                <w:b w:val="0"/>
                <w:bCs/>
                <w:sz w:val="15"/>
                <w:szCs w:val="15"/>
              </w:rPr>
            </w:pPr>
            <w:r w:rsidRPr="009B5516">
              <w:rPr>
                <w:rFonts w:hint="eastAsia"/>
                <w:b w:val="0"/>
                <w:bCs/>
                <w:sz w:val="15"/>
                <w:szCs w:val="15"/>
              </w:rPr>
              <w:t>□皂荚</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r>
      <w:tr w:rsidR="00AF1261" w:rsidRPr="009B5516" w14:paraId="1CD09C76" w14:textId="77777777" w:rsidTr="009B5516">
        <w:trPr>
          <w:jc w:val="center"/>
        </w:trPr>
        <w:tc>
          <w:tcPr>
            <w:tcW w:w="0" w:type="auto"/>
            <w:vAlign w:val="center"/>
          </w:tcPr>
          <w:p w14:paraId="47992C3F" w14:textId="0C784ED7" w:rsidR="00AF1261" w:rsidRPr="009B5516" w:rsidRDefault="00AF1261" w:rsidP="009B5516">
            <w:pPr>
              <w:pStyle w:val="ae"/>
              <w:rPr>
                <w:b w:val="0"/>
                <w:bCs/>
                <w:sz w:val="15"/>
                <w:szCs w:val="15"/>
              </w:rPr>
            </w:pPr>
            <w:r w:rsidRPr="009B5516">
              <w:rPr>
                <w:rFonts w:hint="eastAsia"/>
                <w:b w:val="0"/>
                <w:bCs/>
                <w:sz w:val="15"/>
                <w:szCs w:val="15"/>
              </w:rPr>
              <w:t>□枫杨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5A434C92" w14:textId="7E75525D" w:rsidR="00AF1261" w:rsidRPr="009B5516" w:rsidRDefault="00AF1261" w:rsidP="009B5516">
            <w:pPr>
              <w:pStyle w:val="ae"/>
              <w:rPr>
                <w:b w:val="0"/>
                <w:bCs/>
                <w:sz w:val="15"/>
                <w:szCs w:val="15"/>
              </w:rPr>
            </w:pPr>
            <w:r w:rsidRPr="009B5516">
              <w:rPr>
                <w:rFonts w:hint="eastAsia"/>
                <w:b w:val="0"/>
                <w:bCs/>
                <w:sz w:val="15"/>
                <w:szCs w:val="15"/>
              </w:rPr>
              <w:t>□灯台树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62DD5527" w14:textId="77777777" w:rsidR="00AF1261" w:rsidRPr="009B5516" w:rsidRDefault="00AF1261" w:rsidP="009B5516">
            <w:pPr>
              <w:pStyle w:val="ae"/>
              <w:rPr>
                <w:b w:val="0"/>
                <w:bCs/>
                <w:sz w:val="15"/>
                <w:szCs w:val="15"/>
              </w:rPr>
            </w:pPr>
            <w:r w:rsidRPr="009B5516">
              <w:rPr>
                <w:rFonts w:hint="eastAsia"/>
                <w:b w:val="0"/>
                <w:bCs/>
                <w:sz w:val="15"/>
                <w:szCs w:val="15"/>
              </w:rPr>
              <w:t>□鹅掌楸（</w:t>
            </w:r>
            <w:r w:rsidRPr="009B5516">
              <w:rPr>
                <w:rFonts w:hint="eastAsia"/>
                <w:b w:val="0"/>
                <w:bCs/>
                <w:sz w:val="15"/>
                <w:szCs w:val="15"/>
              </w:rPr>
              <w:t>3</w:t>
            </w:r>
            <w:r w:rsidRPr="009B5516">
              <w:rPr>
                <w:rFonts w:hint="eastAsia"/>
                <w:b w:val="0"/>
                <w:bCs/>
                <w:sz w:val="15"/>
                <w:szCs w:val="15"/>
              </w:rPr>
              <w:t>）</w:t>
            </w:r>
          </w:p>
        </w:tc>
        <w:tc>
          <w:tcPr>
            <w:tcW w:w="0" w:type="auto"/>
            <w:vAlign w:val="center"/>
          </w:tcPr>
          <w:p w14:paraId="6018AA62" w14:textId="75E5A5D4" w:rsidR="00AF1261" w:rsidRPr="009B5516" w:rsidRDefault="00AF1261" w:rsidP="009B5516">
            <w:pPr>
              <w:pStyle w:val="ae"/>
              <w:rPr>
                <w:b w:val="0"/>
                <w:bCs/>
                <w:sz w:val="15"/>
                <w:szCs w:val="15"/>
              </w:rPr>
            </w:pPr>
            <w:r w:rsidRPr="009B5516">
              <w:rPr>
                <w:rFonts w:hint="eastAsia"/>
                <w:b w:val="0"/>
                <w:bCs/>
                <w:sz w:val="15"/>
                <w:szCs w:val="15"/>
              </w:rPr>
              <w:t>□麻栎</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2D4D5D0D" w14:textId="0617B386" w:rsidR="00AF1261" w:rsidRPr="009B5516" w:rsidRDefault="00AF1261" w:rsidP="009B5516">
            <w:pPr>
              <w:pStyle w:val="ae"/>
              <w:rPr>
                <w:b w:val="0"/>
                <w:bCs/>
                <w:sz w:val="15"/>
                <w:szCs w:val="15"/>
              </w:rPr>
            </w:pPr>
            <w:r w:rsidRPr="009B5516">
              <w:rPr>
                <w:rFonts w:hint="eastAsia"/>
                <w:b w:val="0"/>
                <w:bCs/>
                <w:sz w:val="15"/>
                <w:szCs w:val="15"/>
              </w:rPr>
              <w:t>□白栎</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1305" w:type="dxa"/>
            <w:vAlign w:val="center"/>
          </w:tcPr>
          <w:p w14:paraId="0BF78156" w14:textId="4CC4910F" w:rsidR="00AF1261" w:rsidRPr="009B5516" w:rsidRDefault="00AF1261" w:rsidP="009B5516">
            <w:pPr>
              <w:pStyle w:val="ae"/>
              <w:rPr>
                <w:b w:val="0"/>
                <w:bCs/>
                <w:sz w:val="15"/>
                <w:szCs w:val="15"/>
              </w:rPr>
            </w:pPr>
            <w:r w:rsidRPr="009B5516">
              <w:rPr>
                <w:rFonts w:hint="eastAsia"/>
                <w:b w:val="0"/>
                <w:bCs/>
                <w:sz w:val="15"/>
                <w:szCs w:val="15"/>
              </w:rPr>
              <w:t>□南酸枣</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417" w:type="dxa"/>
            <w:vAlign w:val="center"/>
          </w:tcPr>
          <w:p w14:paraId="312969E7" w14:textId="2BFDD6ED" w:rsidR="00AF1261" w:rsidRPr="009B5516" w:rsidRDefault="00AF1261" w:rsidP="009B5516">
            <w:pPr>
              <w:pStyle w:val="ae"/>
              <w:rPr>
                <w:b w:val="0"/>
                <w:bCs/>
                <w:sz w:val="15"/>
                <w:szCs w:val="15"/>
              </w:rPr>
            </w:pPr>
            <w:r w:rsidRPr="009B5516">
              <w:rPr>
                <w:rFonts w:hint="eastAsia"/>
                <w:b w:val="0"/>
                <w:bCs/>
                <w:sz w:val="15"/>
                <w:szCs w:val="15"/>
              </w:rPr>
              <w:t>□枳椇</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r>
      <w:tr w:rsidR="00AF1261" w:rsidRPr="009B5516" w14:paraId="2D7F733E" w14:textId="77777777" w:rsidTr="009B5516">
        <w:trPr>
          <w:jc w:val="center"/>
        </w:trPr>
        <w:tc>
          <w:tcPr>
            <w:tcW w:w="0" w:type="auto"/>
            <w:vAlign w:val="center"/>
          </w:tcPr>
          <w:p w14:paraId="0A0F10AB" w14:textId="442AF9D8" w:rsidR="00AF1261" w:rsidRPr="009B5516" w:rsidRDefault="00AF1261" w:rsidP="009B5516">
            <w:pPr>
              <w:pStyle w:val="ae"/>
              <w:rPr>
                <w:b w:val="0"/>
                <w:bCs/>
                <w:sz w:val="15"/>
                <w:szCs w:val="15"/>
              </w:rPr>
            </w:pPr>
            <w:r w:rsidRPr="009B5516">
              <w:rPr>
                <w:rFonts w:hint="eastAsia"/>
                <w:b w:val="0"/>
                <w:bCs/>
                <w:sz w:val="15"/>
                <w:szCs w:val="15"/>
              </w:rPr>
              <w:t>□槲栎</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7EFF33A1" w14:textId="77777777" w:rsidR="00AF1261" w:rsidRPr="009B5516" w:rsidRDefault="00AF1261" w:rsidP="009B5516">
            <w:pPr>
              <w:pStyle w:val="ae"/>
              <w:rPr>
                <w:b w:val="0"/>
                <w:bCs/>
                <w:sz w:val="15"/>
                <w:szCs w:val="15"/>
              </w:rPr>
            </w:pPr>
            <w:r w:rsidRPr="009B5516">
              <w:rPr>
                <w:rFonts w:hint="eastAsia"/>
                <w:b w:val="0"/>
                <w:bCs/>
                <w:sz w:val="15"/>
                <w:szCs w:val="15"/>
              </w:rPr>
              <w:t>□青榨槭（</w:t>
            </w:r>
            <w:r w:rsidRPr="009B5516">
              <w:rPr>
                <w:rFonts w:hint="eastAsia"/>
                <w:b w:val="0"/>
                <w:bCs/>
                <w:sz w:val="15"/>
                <w:szCs w:val="15"/>
              </w:rPr>
              <w:t>3</w:t>
            </w:r>
            <w:r w:rsidRPr="009B5516">
              <w:rPr>
                <w:rFonts w:hint="eastAsia"/>
                <w:b w:val="0"/>
                <w:bCs/>
                <w:sz w:val="15"/>
                <w:szCs w:val="15"/>
              </w:rPr>
              <w:t>）</w:t>
            </w:r>
          </w:p>
        </w:tc>
        <w:tc>
          <w:tcPr>
            <w:tcW w:w="0" w:type="auto"/>
            <w:vAlign w:val="center"/>
          </w:tcPr>
          <w:p w14:paraId="1F6C9A95" w14:textId="77777777" w:rsidR="00AF1261" w:rsidRPr="009B5516" w:rsidRDefault="00AF1261" w:rsidP="009B5516">
            <w:pPr>
              <w:pStyle w:val="ae"/>
              <w:rPr>
                <w:b w:val="0"/>
                <w:bCs/>
                <w:sz w:val="15"/>
                <w:szCs w:val="15"/>
              </w:rPr>
            </w:pPr>
            <w:r w:rsidRPr="009B5516">
              <w:rPr>
                <w:rFonts w:hint="eastAsia"/>
                <w:b w:val="0"/>
                <w:bCs/>
                <w:sz w:val="15"/>
                <w:szCs w:val="15"/>
              </w:rPr>
              <w:t>□榆（</w:t>
            </w:r>
            <w:r w:rsidRPr="009B5516">
              <w:rPr>
                <w:rFonts w:hint="eastAsia"/>
                <w:b w:val="0"/>
                <w:bCs/>
                <w:sz w:val="15"/>
                <w:szCs w:val="15"/>
              </w:rPr>
              <w:t>3</w:t>
            </w:r>
            <w:r w:rsidRPr="009B5516">
              <w:rPr>
                <w:rFonts w:hint="eastAsia"/>
                <w:b w:val="0"/>
                <w:bCs/>
                <w:sz w:val="15"/>
                <w:szCs w:val="15"/>
              </w:rPr>
              <w:t>）</w:t>
            </w:r>
          </w:p>
        </w:tc>
        <w:tc>
          <w:tcPr>
            <w:tcW w:w="0" w:type="auto"/>
            <w:vAlign w:val="center"/>
          </w:tcPr>
          <w:p w14:paraId="2472F99B" w14:textId="3FBFB2B4" w:rsidR="00AF1261" w:rsidRPr="009B5516" w:rsidRDefault="00AF1261" w:rsidP="009B5516">
            <w:pPr>
              <w:pStyle w:val="ae"/>
              <w:rPr>
                <w:b w:val="0"/>
                <w:bCs/>
                <w:sz w:val="15"/>
                <w:szCs w:val="15"/>
              </w:rPr>
            </w:pPr>
            <w:r w:rsidRPr="009B5516">
              <w:rPr>
                <w:rFonts w:hint="eastAsia"/>
                <w:b w:val="0"/>
                <w:bCs/>
                <w:sz w:val="15"/>
                <w:szCs w:val="15"/>
              </w:rPr>
              <w:t>□珊瑚朴</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69DE80FA" w14:textId="3837780F" w:rsidR="00AF1261" w:rsidRPr="009B5516" w:rsidRDefault="00AF1261" w:rsidP="009B5516">
            <w:pPr>
              <w:pStyle w:val="ae"/>
              <w:rPr>
                <w:b w:val="0"/>
                <w:bCs/>
                <w:sz w:val="15"/>
                <w:szCs w:val="15"/>
              </w:rPr>
            </w:pPr>
            <w:r w:rsidRPr="009B5516">
              <w:rPr>
                <w:rFonts w:hint="eastAsia"/>
                <w:b w:val="0"/>
                <w:bCs/>
                <w:sz w:val="15"/>
                <w:szCs w:val="15"/>
              </w:rPr>
              <w:t>□桑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1305" w:type="dxa"/>
            <w:vAlign w:val="center"/>
          </w:tcPr>
          <w:p w14:paraId="1806F693" w14:textId="4305BB07" w:rsidR="00AF1261" w:rsidRPr="009B5516" w:rsidRDefault="00AF1261" w:rsidP="009B5516">
            <w:pPr>
              <w:pStyle w:val="ae"/>
              <w:rPr>
                <w:b w:val="0"/>
                <w:bCs/>
                <w:sz w:val="15"/>
                <w:szCs w:val="15"/>
              </w:rPr>
            </w:pPr>
            <w:r w:rsidRPr="009B5516">
              <w:rPr>
                <w:rFonts w:hint="eastAsia"/>
                <w:b w:val="0"/>
                <w:bCs/>
                <w:sz w:val="15"/>
                <w:szCs w:val="15"/>
              </w:rPr>
              <w:t>□柘</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1417" w:type="dxa"/>
            <w:vAlign w:val="center"/>
          </w:tcPr>
          <w:p w14:paraId="5E2E33A0" w14:textId="4DE4E4BE" w:rsidR="00AF1261" w:rsidRPr="009B5516" w:rsidRDefault="00AF1261" w:rsidP="009B5516">
            <w:pPr>
              <w:pStyle w:val="ae"/>
              <w:rPr>
                <w:b w:val="0"/>
                <w:bCs/>
                <w:sz w:val="15"/>
                <w:szCs w:val="15"/>
              </w:rPr>
            </w:pPr>
            <w:r w:rsidRPr="009B5516">
              <w:rPr>
                <w:rFonts w:hint="eastAsia"/>
                <w:b w:val="0"/>
                <w:bCs/>
                <w:sz w:val="15"/>
                <w:szCs w:val="15"/>
              </w:rPr>
              <w:t>□君迁子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r>
      <w:tr w:rsidR="00AF1261" w:rsidRPr="009B5516" w14:paraId="61A18889" w14:textId="77777777" w:rsidTr="009B5516">
        <w:trPr>
          <w:jc w:val="center"/>
        </w:trPr>
        <w:tc>
          <w:tcPr>
            <w:tcW w:w="0" w:type="auto"/>
            <w:vAlign w:val="center"/>
          </w:tcPr>
          <w:p w14:paraId="0D74DD81" w14:textId="612827C3" w:rsidR="00AF1261" w:rsidRPr="009B5516" w:rsidRDefault="00AF1261" w:rsidP="009B5516">
            <w:pPr>
              <w:pStyle w:val="ae"/>
              <w:rPr>
                <w:b w:val="0"/>
                <w:bCs/>
                <w:sz w:val="15"/>
                <w:szCs w:val="15"/>
              </w:rPr>
            </w:pPr>
            <w:r w:rsidRPr="009B5516">
              <w:rPr>
                <w:rFonts w:hint="eastAsia"/>
                <w:b w:val="0"/>
                <w:bCs/>
                <w:sz w:val="15"/>
                <w:szCs w:val="15"/>
              </w:rPr>
              <w:t>□刺楸</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57625862" w14:textId="77777777" w:rsidR="00AF1261" w:rsidRPr="009B5516" w:rsidRDefault="00AF1261" w:rsidP="009B5516">
            <w:pPr>
              <w:pStyle w:val="ae"/>
              <w:rPr>
                <w:b w:val="0"/>
                <w:bCs/>
                <w:sz w:val="15"/>
                <w:szCs w:val="15"/>
              </w:rPr>
            </w:pPr>
            <w:r w:rsidRPr="009B5516">
              <w:rPr>
                <w:rFonts w:hint="eastAsia"/>
                <w:b w:val="0"/>
                <w:bCs/>
                <w:sz w:val="15"/>
                <w:szCs w:val="15"/>
              </w:rPr>
              <w:t>□沙梨（</w:t>
            </w:r>
            <w:r w:rsidRPr="009B5516">
              <w:rPr>
                <w:rFonts w:hint="eastAsia"/>
                <w:b w:val="0"/>
                <w:bCs/>
                <w:sz w:val="15"/>
                <w:szCs w:val="15"/>
              </w:rPr>
              <w:t>2</w:t>
            </w:r>
            <w:r w:rsidRPr="009B5516">
              <w:rPr>
                <w:rFonts w:hint="eastAsia"/>
                <w:b w:val="0"/>
                <w:bCs/>
                <w:sz w:val="15"/>
                <w:szCs w:val="15"/>
              </w:rPr>
              <w:t>）</w:t>
            </w:r>
          </w:p>
        </w:tc>
        <w:tc>
          <w:tcPr>
            <w:tcW w:w="0" w:type="auto"/>
            <w:vAlign w:val="center"/>
          </w:tcPr>
          <w:p w14:paraId="72E57C1E" w14:textId="5C8A3C67" w:rsidR="00AF1261" w:rsidRPr="009B5516" w:rsidRDefault="00AF1261" w:rsidP="009B5516">
            <w:pPr>
              <w:pStyle w:val="ae"/>
              <w:rPr>
                <w:b w:val="0"/>
                <w:bCs/>
                <w:sz w:val="15"/>
                <w:szCs w:val="15"/>
              </w:rPr>
            </w:pPr>
            <w:r w:rsidRPr="009B5516">
              <w:rPr>
                <w:rFonts w:hint="eastAsia"/>
                <w:b w:val="0"/>
                <w:bCs/>
                <w:sz w:val="15"/>
                <w:szCs w:val="15"/>
              </w:rPr>
              <w:t>□构树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68D786E7" w14:textId="77777777" w:rsidR="00AF1261" w:rsidRPr="009B5516" w:rsidRDefault="00AF1261" w:rsidP="009B5516">
            <w:pPr>
              <w:pStyle w:val="ae"/>
              <w:rPr>
                <w:b w:val="0"/>
                <w:bCs/>
                <w:sz w:val="15"/>
                <w:szCs w:val="15"/>
              </w:rPr>
            </w:pPr>
            <w:r w:rsidRPr="009B5516">
              <w:rPr>
                <w:rFonts w:hint="eastAsia"/>
                <w:b w:val="0"/>
                <w:bCs/>
                <w:sz w:val="15"/>
                <w:szCs w:val="15"/>
              </w:rPr>
              <w:t>□桃（</w:t>
            </w:r>
            <w:r w:rsidRPr="009B5516">
              <w:rPr>
                <w:rFonts w:hint="eastAsia"/>
                <w:b w:val="0"/>
                <w:bCs/>
                <w:sz w:val="15"/>
                <w:szCs w:val="15"/>
              </w:rPr>
              <w:t>2</w:t>
            </w:r>
            <w:r w:rsidRPr="009B5516">
              <w:rPr>
                <w:rFonts w:hint="eastAsia"/>
                <w:b w:val="0"/>
                <w:bCs/>
                <w:sz w:val="15"/>
                <w:szCs w:val="15"/>
              </w:rPr>
              <w:t>）</w:t>
            </w:r>
          </w:p>
        </w:tc>
        <w:tc>
          <w:tcPr>
            <w:tcW w:w="0" w:type="auto"/>
            <w:vAlign w:val="center"/>
          </w:tcPr>
          <w:p w14:paraId="2F5F3D70" w14:textId="3E3C3015" w:rsidR="00AF1261" w:rsidRPr="009B5516" w:rsidRDefault="00AF1261" w:rsidP="009B5516">
            <w:pPr>
              <w:pStyle w:val="ae"/>
              <w:rPr>
                <w:b w:val="0"/>
                <w:bCs/>
                <w:sz w:val="15"/>
                <w:szCs w:val="15"/>
              </w:rPr>
            </w:pPr>
            <w:r w:rsidRPr="009B5516">
              <w:rPr>
                <w:rFonts w:hint="eastAsia"/>
                <w:b w:val="0"/>
                <w:bCs/>
                <w:sz w:val="15"/>
                <w:szCs w:val="15"/>
              </w:rPr>
              <w:t>□泡桐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305" w:type="dxa"/>
            <w:vAlign w:val="center"/>
          </w:tcPr>
          <w:p w14:paraId="73C4AC47" w14:textId="77777777" w:rsidR="00AF1261" w:rsidRPr="009B5516" w:rsidRDefault="00AF1261" w:rsidP="009B5516">
            <w:pPr>
              <w:pStyle w:val="ae"/>
              <w:rPr>
                <w:b w:val="0"/>
                <w:bCs/>
                <w:sz w:val="15"/>
                <w:szCs w:val="15"/>
              </w:rPr>
            </w:pPr>
            <w:r w:rsidRPr="009B5516">
              <w:rPr>
                <w:rFonts w:hint="eastAsia"/>
                <w:b w:val="0"/>
                <w:bCs/>
                <w:sz w:val="15"/>
                <w:szCs w:val="15"/>
              </w:rPr>
              <w:t>□樱花（</w:t>
            </w:r>
            <w:r w:rsidRPr="009B5516">
              <w:rPr>
                <w:rFonts w:hint="eastAsia"/>
                <w:b w:val="0"/>
                <w:bCs/>
                <w:sz w:val="15"/>
                <w:szCs w:val="15"/>
              </w:rPr>
              <w:t>2</w:t>
            </w:r>
            <w:r w:rsidRPr="009B5516">
              <w:rPr>
                <w:rFonts w:hint="eastAsia"/>
                <w:b w:val="0"/>
                <w:bCs/>
                <w:sz w:val="15"/>
                <w:szCs w:val="15"/>
              </w:rPr>
              <w:t>）</w:t>
            </w:r>
          </w:p>
        </w:tc>
        <w:tc>
          <w:tcPr>
            <w:tcW w:w="1417" w:type="dxa"/>
            <w:vAlign w:val="center"/>
          </w:tcPr>
          <w:p w14:paraId="5B1221A4" w14:textId="260D685A" w:rsidR="00AF1261" w:rsidRPr="009B5516" w:rsidRDefault="00AF1261" w:rsidP="009B5516">
            <w:pPr>
              <w:pStyle w:val="ae"/>
              <w:rPr>
                <w:b w:val="0"/>
                <w:bCs/>
                <w:sz w:val="15"/>
                <w:szCs w:val="15"/>
              </w:rPr>
            </w:pPr>
            <w:r w:rsidRPr="009B5516">
              <w:rPr>
                <w:rFonts w:hint="eastAsia"/>
                <w:b w:val="0"/>
                <w:bCs/>
                <w:sz w:val="15"/>
                <w:szCs w:val="15"/>
              </w:rPr>
              <w:t>□喜树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r>
      <w:tr w:rsidR="00AF1261" w:rsidRPr="009B5516" w14:paraId="3C6FB451" w14:textId="77777777" w:rsidTr="009B5516">
        <w:trPr>
          <w:trHeight w:val="434"/>
          <w:jc w:val="center"/>
        </w:trPr>
        <w:tc>
          <w:tcPr>
            <w:tcW w:w="0" w:type="auto"/>
            <w:vAlign w:val="center"/>
          </w:tcPr>
          <w:p w14:paraId="0CFFE88F" w14:textId="6B690C8D" w:rsidR="00AF1261" w:rsidRPr="009B5516" w:rsidRDefault="00AF1261" w:rsidP="009B5516">
            <w:pPr>
              <w:pStyle w:val="ae"/>
              <w:rPr>
                <w:b w:val="0"/>
                <w:bCs/>
                <w:sz w:val="15"/>
                <w:szCs w:val="15"/>
              </w:rPr>
            </w:pPr>
            <w:r w:rsidRPr="009B5516">
              <w:rPr>
                <w:rFonts w:hint="eastAsia"/>
                <w:b w:val="0"/>
                <w:bCs/>
                <w:sz w:val="15"/>
                <w:szCs w:val="15"/>
              </w:rPr>
              <w:t>□悬铃木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508961EE" w14:textId="77777777" w:rsidR="00AF1261" w:rsidRPr="009B5516" w:rsidRDefault="00AF1261" w:rsidP="009B5516">
            <w:pPr>
              <w:pStyle w:val="ae"/>
              <w:rPr>
                <w:b w:val="0"/>
                <w:bCs/>
                <w:sz w:val="15"/>
                <w:szCs w:val="15"/>
              </w:rPr>
            </w:pPr>
            <w:r w:rsidRPr="009B5516">
              <w:rPr>
                <w:rFonts w:hint="eastAsia"/>
                <w:b w:val="0"/>
                <w:bCs/>
                <w:sz w:val="15"/>
                <w:szCs w:val="15"/>
              </w:rPr>
              <w:t>□垂丝海棠（</w:t>
            </w:r>
            <w:r w:rsidRPr="009B5516">
              <w:rPr>
                <w:rFonts w:hint="eastAsia"/>
                <w:b w:val="0"/>
                <w:bCs/>
                <w:sz w:val="15"/>
                <w:szCs w:val="15"/>
              </w:rPr>
              <w:t>2</w:t>
            </w:r>
            <w:r w:rsidRPr="009B5516">
              <w:rPr>
                <w:rFonts w:hint="eastAsia"/>
                <w:b w:val="0"/>
                <w:bCs/>
                <w:sz w:val="15"/>
                <w:szCs w:val="15"/>
              </w:rPr>
              <w:t>）</w:t>
            </w:r>
          </w:p>
        </w:tc>
        <w:tc>
          <w:tcPr>
            <w:tcW w:w="0" w:type="auto"/>
            <w:vAlign w:val="center"/>
          </w:tcPr>
          <w:p w14:paraId="417ED934" w14:textId="77777777" w:rsidR="00AF1261" w:rsidRPr="009B5516" w:rsidRDefault="00AF1261" w:rsidP="009B5516">
            <w:pPr>
              <w:pStyle w:val="ae"/>
              <w:rPr>
                <w:b w:val="0"/>
                <w:bCs/>
                <w:sz w:val="15"/>
                <w:szCs w:val="15"/>
              </w:rPr>
            </w:pPr>
            <w:r w:rsidRPr="009B5516">
              <w:rPr>
                <w:rFonts w:hint="eastAsia"/>
                <w:b w:val="0"/>
                <w:bCs/>
                <w:sz w:val="15"/>
                <w:szCs w:val="15"/>
              </w:rPr>
              <w:t>□三角枫（</w:t>
            </w:r>
            <w:r w:rsidRPr="009B5516">
              <w:rPr>
                <w:rFonts w:hint="eastAsia"/>
                <w:b w:val="0"/>
                <w:bCs/>
                <w:sz w:val="15"/>
                <w:szCs w:val="15"/>
              </w:rPr>
              <w:t>3</w:t>
            </w:r>
            <w:r w:rsidRPr="009B5516">
              <w:rPr>
                <w:rFonts w:hint="eastAsia"/>
                <w:b w:val="0"/>
                <w:bCs/>
                <w:sz w:val="15"/>
                <w:szCs w:val="15"/>
              </w:rPr>
              <w:t>）</w:t>
            </w:r>
          </w:p>
        </w:tc>
        <w:tc>
          <w:tcPr>
            <w:tcW w:w="0" w:type="auto"/>
            <w:vAlign w:val="center"/>
          </w:tcPr>
          <w:p w14:paraId="3A5F6F64" w14:textId="38135E7B" w:rsidR="00AF1261" w:rsidRPr="009B5516" w:rsidRDefault="00AF1261" w:rsidP="009B5516">
            <w:pPr>
              <w:pStyle w:val="ae"/>
              <w:rPr>
                <w:b w:val="0"/>
                <w:bCs/>
                <w:sz w:val="15"/>
                <w:szCs w:val="15"/>
              </w:rPr>
            </w:pPr>
            <w:r w:rsidRPr="009B5516">
              <w:rPr>
                <w:rFonts w:hint="eastAsia"/>
                <w:b w:val="0"/>
                <w:bCs/>
                <w:sz w:val="15"/>
                <w:szCs w:val="15"/>
              </w:rPr>
              <w:t>□鱼木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7A411E73" w14:textId="77777777" w:rsidR="00AF1261" w:rsidRPr="009B5516" w:rsidRDefault="00AF1261" w:rsidP="009B5516">
            <w:pPr>
              <w:pStyle w:val="ae"/>
              <w:rPr>
                <w:b w:val="0"/>
                <w:bCs/>
                <w:sz w:val="15"/>
                <w:szCs w:val="15"/>
              </w:rPr>
            </w:pPr>
            <w:r w:rsidRPr="009B5516">
              <w:rPr>
                <w:rFonts w:hint="eastAsia"/>
                <w:b w:val="0"/>
                <w:bCs/>
                <w:sz w:val="15"/>
                <w:szCs w:val="15"/>
              </w:rPr>
              <w:t>□贴梗海棠（</w:t>
            </w:r>
            <w:r w:rsidRPr="009B5516">
              <w:rPr>
                <w:rFonts w:hint="eastAsia"/>
                <w:b w:val="0"/>
                <w:bCs/>
                <w:sz w:val="15"/>
                <w:szCs w:val="15"/>
              </w:rPr>
              <w:t>2</w:t>
            </w:r>
            <w:r w:rsidRPr="009B5516">
              <w:rPr>
                <w:rFonts w:hint="eastAsia"/>
                <w:b w:val="0"/>
                <w:bCs/>
                <w:sz w:val="15"/>
                <w:szCs w:val="15"/>
              </w:rPr>
              <w:t>）</w:t>
            </w:r>
          </w:p>
        </w:tc>
        <w:tc>
          <w:tcPr>
            <w:tcW w:w="1305" w:type="dxa"/>
            <w:vAlign w:val="center"/>
          </w:tcPr>
          <w:p w14:paraId="2F3A1ACA" w14:textId="5A1C65D4" w:rsidR="00AF1261" w:rsidRPr="009B5516" w:rsidRDefault="00AF1261" w:rsidP="009B5516">
            <w:pPr>
              <w:pStyle w:val="ae"/>
              <w:rPr>
                <w:b w:val="0"/>
                <w:bCs/>
                <w:sz w:val="15"/>
                <w:szCs w:val="15"/>
              </w:rPr>
            </w:pPr>
            <w:r w:rsidRPr="009B5516">
              <w:rPr>
                <w:rFonts w:hint="eastAsia"/>
                <w:b w:val="0"/>
                <w:bCs/>
                <w:sz w:val="15"/>
                <w:szCs w:val="15"/>
              </w:rPr>
              <w:t>□梧桐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417" w:type="dxa"/>
            <w:vAlign w:val="center"/>
          </w:tcPr>
          <w:p w14:paraId="63227858" w14:textId="77777777" w:rsidR="00AF1261" w:rsidRPr="009B5516" w:rsidRDefault="00AF1261" w:rsidP="009B5516">
            <w:pPr>
              <w:pStyle w:val="ae"/>
              <w:rPr>
                <w:b w:val="0"/>
                <w:bCs/>
                <w:sz w:val="15"/>
                <w:szCs w:val="15"/>
              </w:rPr>
            </w:pPr>
            <w:r w:rsidRPr="009B5516">
              <w:rPr>
                <w:rFonts w:hint="eastAsia"/>
                <w:b w:val="0"/>
                <w:bCs/>
                <w:sz w:val="15"/>
                <w:szCs w:val="15"/>
              </w:rPr>
              <w:t>□榉树（</w:t>
            </w:r>
            <w:r w:rsidRPr="009B5516">
              <w:rPr>
                <w:rFonts w:hint="eastAsia"/>
                <w:b w:val="0"/>
                <w:bCs/>
                <w:sz w:val="15"/>
                <w:szCs w:val="15"/>
              </w:rPr>
              <w:t>3</w:t>
            </w:r>
            <w:r w:rsidRPr="009B5516">
              <w:rPr>
                <w:rFonts w:hint="eastAsia"/>
                <w:b w:val="0"/>
                <w:bCs/>
                <w:sz w:val="15"/>
                <w:szCs w:val="15"/>
              </w:rPr>
              <w:t>）</w:t>
            </w:r>
          </w:p>
        </w:tc>
      </w:tr>
      <w:tr w:rsidR="00AF1261" w:rsidRPr="009B5516" w14:paraId="7AF78813" w14:textId="77777777" w:rsidTr="009B5516">
        <w:trPr>
          <w:jc w:val="center"/>
        </w:trPr>
        <w:tc>
          <w:tcPr>
            <w:tcW w:w="0" w:type="auto"/>
            <w:vAlign w:val="center"/>
          </w:tcPr>
          <w:p w14:paraId="246553EE" w14:textId="77777777" w:rsidR="00AF1261" w:rsidRPr="009B5516" w:rsidRDefault="00AF1261" w:rsidP="009B5516">
            <w:pPr>
              <w:pStyle w:val="ae"/>
              <w:rPr>
                <w:b w:val="0"/>
                <w:bCs/>
                <w:sz w:val="15"/>
                <w:szCs w:val="15"/>
              </w:rPr>
            </w:pPr>
            <w:r w:rsidRPr="009B5516">
              <w:rPr>
                <w:rFonts w:hint="eastAsia"/>
                <w:b w:val="0"/>
                <w:bCs/>
                <w:sz w:val="15"/>
                <w:szCs w:val="15"/>
              </w:rPr>
              <w:t>□白玉兰（</w:t>
            </w:r>
            <w:r w:rsidRPr="009B5516">
              <w:rPr>
                <w:rFonts w:hint="eastAsia"/>
                <w:b w:val="0"/>
                <w:bCs/>
                <w:sz w:val="15"/>
                <w:szCs w:val="15"/>
              </w:rPr>
              <w:t>3</w:t>
            </w:r>
            <w:r w:rsidRPr="009B5516">
              <w:rPr>
                <w:rFonts w:hint="eastAsia"/>
                <w:b w:val="0"/>
                <w:bCs/>
                <w:sz w:val="15"/>
                <w:szCs w:val="15"/>
              </w:rPr>
              <w:t>）</w:t>
            </w:r>
          </w:p>
        </w:tc>
        <w:tc>
          <w:tcPr>
            <w:tcW w:w="0" w:type="auto"/>
            <w:vAlign w:val="center"/>
          </w:tcPr>
          <w:p w14:paraId="5E519665" w14:textId="77777777" w:rsidR="00AF1261" w:rsidRPr="009B5516" w:rsidRDefault="00AF1261" w:rsidP="009B5516">
            <w:pPr>
              <w:pStyle w:val="ae"/>
              <w:rPr>
                <w:b w:val="0"/>
                <w:bCs/>
                <w:sz w:val="15"/>
                <w:szCs w:val="15"/>
              </w:rPr>
            </w:pPr>
            <w:r w:rsidRPr="009B5516">
              <w:rPr>
                <w:rFonts w:hint="eastAsia"/>
                <w:b w:val="0"/>
                <w:bCs/>
                <w:sz w:val="15"/>
                <w:szCs w:val="15"/>
              </w:rPr>
              <w:t>□二乔玉兰（</w:t>
            </w:r>
            <w:r w:rsidRPr="009B5516">
              <w:rPr>
                <w:rFonts w:hint="eastAsia"/>
                <w:b w:val="0"/>
                <w:bCs/>
                <w:sz w:val="15"/>
                <w:szCs w:val="15"/>
              </w:rPr>
              <w:t>2</w:t>
            </w:r>
            <w:r w:rsidRPr="009B5516">
              <w:rPr>
                <w:rFonts w:hint="eastAsia"/>
                <w:b w:val="0"/>
                <w:bCs/>
                <w:sz w:val="15"/>
                <w:szCs w:val="15"/>
              </w:rPr>
              <w:t>）</w:t>
            </w:r>
          </w:p>
        </w:tc>
        <w:tc>
          <w:tcPr>
            <w:tcW w:w="0" w:type="auto"/>
            <w:vAlign w:val="center"/>
          </w:tcPr>
          <w:p w14:paraId="7B037EB9" w14:textId="77777777" w:rsidR="00AF1261" w:rsidRPr="009B5516" w:rsidRDefault="00AF1261" w:rsidP="009B5516">
            <w:pPr>
              <w:pStyle w:val="ae"/>
              <w:rPr>
                <w:b w:val="0"/>
                <w:bCs/>
                <w:sz w:val="15"/>
                <w:szCs w:val="15"/>
              </w:rPr>
            </w:pPr>
            <w:r w:rsidRPr="009B5516">
              <w:rPr>
                <w:rFonts w:hint="eastAsia"/>
                <w:b w:val="0"/>
                <w:bCs/>
                <w:sz w:val="15"/>
                <w:szCs w:val="15"/>
              </w:rPr>
              <w:t>□红梅（</w:t>
            </w:r>
            <w:r w:rsidRPr="009B5516">
              <w:rPr>
                <w:rFonts w:hint="eastAsia"/>
                <w:b w:val="0"/>
                <w:bCs/>
                <w:sz w:val="15"/>
                <w:szCs w:val="15"/>
              </w:rPr>
              <w:t>2</w:t>
            </w:r>
            <w:r w:rsidRPr="009B5516">
              <w:rPr>
                <w:rFonts w:hint="eastAsia"/>
                <w:b w:val="0"/>
                <w:bCs/>
                <w:sz w:val="15"/>
                <w:szCs w:val="15"/>
              </w:rPr>
              <w:t>）</w:t>
            </w:r>
          </w:p>
        </w:tc>
        <w:tc>
          <w:tcPr>
            <w:tcW w:w="0" w:type="auto"/>
            <w:vAlign w:val="center"/>
          </w:tcPr>
          <w:p w14:paraId="50217DD6" w14:textId="0E7B6B5B" w:rsidR="00AF1261" w:rsidRPr="009B5516" w:rsidRDefault="00AF1261" w:rsidP="009B5516">
            <w:pPr>
              <w:pStyle w:val="ae"/>
              <w:rPr>
                <w:b w:val="0"/>
                <w:bCs/>
                <w:sz w:val="15"/>
                <w:szCs w:val="15"/>
              </w:rPr>
            </w:pPr>
            <w:r w:rsidRPr="009B5516">
              <w:rPr>
                <w:rFonts w:hint="eastAsia"/>
                <w:b w:val="0"/>
                <w:bCs/>
                <w:sz w:val="15"/>
                <w:szCs w:val="15"/>
              </w:rPr>
              <w:t>□垂柳</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2FE553AF" w14:textId="2FD246C5" w:rsidR="00AF1261" w:rsidRPr="009B5516" w:rsidRDefault="00AF1261" w:rsidP="009B5516">
            <w:pPr>
              <w:pStyle w:val="ae"/>
              <w:rPr>
                <w:b w:val="0"/>
                <w:bCs/>
                <w:sz w:val="15"/>
                <w:szCs w:val="15"/>
              </w:rPr>
            </w:pPr>
            <w:r w:rsidRPr="009B5516">
              <w:rPr>
                <w:rFonts w:hint="eastAsia"/>
                <w:b w:val="0"/>
                <w:bCs/>
                <w:sz w:val="15"/>
                <w:szCs w:val="15"/>
              </w:rPr>
              <w:t>□板栗</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1305" w:type="dxa"/>
            <w:vAlign w:val="center"/>
          </w:tcPr>
          <w:p w14:paraId="0BC82B5B" w14:textId="30F1BCB3" w:rsidR="00AF1261" w:rsidRPr="009B5516" w:rsidRDefault="00AF1261" w:rsidP="009B5516">
            <w:pPr>
              <w:pStyle w:val="ae"/>
              <w:rPr>
                <w:b w:val="0"/>
                <w:bCs/>
                <w:sz w:val="15"/>
                <w:szCs w:val="15"/>
              </w:rPr>
            </w:pPr>
            <w:r w:rsidRPr="009B5516">
              <w:rPr>
                <w:rFonts w:hint="eastAsia"/>
                <w:b w:val="0"/>
                <w:bCs/>
                <w:sz w:val="15"/>
                <w:szCs w:val="15"/>
              </w:rPr>
              <w:t>□桤木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1417" w:type="dxa"/>
            <w:vAlign w:val="center"/>
          </w:tcPr>
          <w:p w14:paraId="1934002D" w14:textId="44E0DD4B" w:rsidR="00AF1261" w:rsidRPr="009B5516" w:rsidRDefault="00AF1261" w:rsidP="009B5516">
            <w:pPr>
              <w:pStyle w:val="ae"/>
              <w:rPr>
                <w:b w:val="0"/>
                <w:bCs/>
                <w:sz w:val="15"/>
                <w:szCs w:val="15"/>
              </w:rPr>
            </w:pPr>
            <w:r w:rsidRPr="009B5516">
              <w:rPr>
                <w:rFonts w:hint="eastAsia"/>
                <w:b w:val="0"/>
                <w:bCs/>
                <w:sz w:val="15"/>
                <w:szCs w:val="15"/>
              </w:rPr>
              <w:t>□旱柳</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r>
      <w:tr w:rsidR="00AF1261" w:rsidRPr="009B5516" w14:paraId="69E9BC3B" w14:textId="77777777" w:rsidTr="009B5516">
        <w:trPr>
          <w:jc w:val="center"/>
        </w:trPr>
        <w:tc>
          <w:tcPr>
            <w:tcW w:w="0" w:type="auto"/>
            <w:vAlign w:val="center"/>
          </w:tcPr>
          <w:p w14:paraId="052C36EB" w14:textId="01965DEB" w:rsidR="00AF1261" w:rsidRPr="009B5516" w:rsidRDefault="00AF1261" w:rsidP="009B5516">
            <w:pPr>
              <w:pStyle w:val="ae"/>
              <w:rPr>
                <w:b w:val="0"/>
                <w:bCs/>
                <w:sz w:val="15"/>
                <w:szCs w:val="15"/>
              </w:rPr>
            </w:pPr>
            <w:r w:rsidRPr="009B5516">
              <w:rPr>
                <w:rFonts w:hint="eastAsia"/>
                <w:b w:val="0"/>
                <w:bCs/>
                <w:sz w:val="15"/>
                <w:szCs w:val="15"/>
              </w:rPr>
              <w:t>□华西枫杨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lastRenderedPageBreak/>
              <w:t>（</w:t>
            </w:r>
            <w:r w:rsidRPr="009B5516">
              <w:rPr>
                <w:rFonts w:hint="eastAsia"/>
                <w:b w:val="0"/>
                <w:bCs/>
                <w:sz w:val="15"/>
                <w:szCs w:val="15"/>
              </w:rPr>
              <w:t>2</w:t>
            </w:r>
            <w:r w:rsidRPr="009B5516">
              <w:rPr>
                <w:rFonts w:hint="eastAsia"/>
                <w:b w:val="0"/>
                <w:bCs/>
                <w:sz w:val="15"/>
                <w:szCs w:val="15"/>
              </w:rPr>
              <w:t>）</w:t>
            </w:r>
          </w:p>
        </w:tc>
        <w:tc>
          <w:tcPr>
            <w:tcW w:w="0" w:type="auto"/>
            <w:vAlign w:val="center"/>
          </w:tcPr>
          <w:p w14:paraId="0C438C26" w14:textId="77777777" w:rsidR="00AF1261" w:rsidRPr="009B5516" w:rsidRDefault="00AF1261" w:rsidP="009B5516">
            <w:pPr>
              <w:pStyle w:val="ae"/>
              <w:rPr>
                <w:b w:val="0"/>
                <w:bCs/>
                <w:sz w:val="15"/>
                <w:szCs w:val="15"/>
              </w:rPr>
            </w:pPr>
            <w:r w:rsidRPr="009B5516">
              <w:rPr>
                <w:rFonts w:hint="eastAsia"/>
                <w:b w:val="0"/>
                <w:bCs/>
                <w:sz w:val="15"/>
                <w:szCs w:val="15"/>
              </w:rPr>
              <w:lastRenderedPageBreak/>
              <w:t>□紫薇（</w:t>
            </w:r>
            <w:r w:rsidRPr="009B5516">
              <w:rPr>
                <w:rFonts w:hint="eastAsia"/>
                <w:b w:val="0"/>
                <w:bCs/>
                <w:sz w:val="15"/>
                <w:szCs w:val="15"/>
              </w:rPr>
              <w:t>2</w:t>
            </w:r>
            <w:r w:rsidRPr="009B5516">
              <w:rPr>
                <w:rFonts w:hint="eastAsia"/>
                <w:b w:val="0"/>
                <w:bCs/>
                <w:sz w:val="15"/>
                <w:szCs w:val="15"/>
              </w:rPr>
              <w:t>）</w:t>
            </w:r>
          </w:p>
        </w:tc>
        <w:tc>
          <w:tcPr>
            <w:tcW w:w="0" w:type="auto"/>
            <w:vAlign w:val="center"/>
          </w:tcPr>
          <w:p w14:paraId="166438D1" w14:textId="77777777" w:rsidR="00AF1261" w:rsidRPr="009B5516" w:rsidRDefault="00AF1261" w:rsidP="009B5516">
            <w:pPr>
              <w:pStyle w:val="ae"/>
              <w:rPr>
                <w:b w:val="0"/>
                <w:bCs/>
                <w:sz w:val="15"/>
                <w:szCs w:val="15"/>
              </w:rPr>
            </w:pPr>
            <w:r w:rsidRPr="009B5516">
              <w:rPr>
                <w:rFonts w:hint="eastAsia"/>
                <w:b w:val="0"/>
                <w:bCs/>
                <w:sz w:val="15"/>
                <w:szCs w:val="15"/>
              </w:rPr>
              <w:t>□八角枫（</w:t>
            </w:r>
            <w:r w:rsidRPr="009B5516">
              <w:rPr>
                <w:rFonts w:hint="eastAsia"/>
                <w:b w:val="0"/>
                <w:bCs/>
                <w:sz w:val="15"/>
                <w:szCs w:val="15"/>
              </w:rPr>
              <w:t>2</w:t>
            </w:r>
            <w:r w:rsidRPr="009B5516">
              <w:rPr>
                <w:rFonts w:hint="eastAsia"/>
                <w:b w:val="0"/>
                <w:bCs/>
                <w:sz w:val="15"/>
                <w:szCs w:val="15"/>
              </w:rPr>
              <w:t>）</w:t>
            </w:r>
          </w:p>
        </w:tc>
        <w:tc>
          <w:tcPr>
            <w:tcW w:w="0" w:type="auto"/>
            <w:vAlign w:val="center"/>
          </w:tcPr>
          <w:p w14:paraId="1DE46772" w14:textId="77777777" w:rsidR="00AF1261" w:rsidRPr="009B5516" w:rsidRDefault="00AF1261" w:rsidP="009B5516">
            <w:pPr>
              <w:pStyle w:val="ae"/>
              <w:rPr>
                <w:b w:val="0"/>
                <w:bCs/>
                <w:sz w:val="15"/>
                <w:szCs w:val="15"/>
              </w:rPr>
            </w:pPr>
            <w:r w:rsidRPr="009B5516">
              <w:rPr>
                <w:rFonts w:hint="eastAsia"/>
                <w:b w:val="0"/>
                <w:bCs/>
                <w:sz w:val="15"/>
                <w:szCs w:val="15"/>
              </w:rPr>
              <w:t>□乌柿（</w:t>
            </w:r>
            <w:r w:rsidRPr="009B5516">
              <w:rPr>
                <w:rFonts w:hint="eastAsia"/>
                <w:b w:val="0"/>
                <w:bCs/>
                <w:sz w:val="15"/>
                <w:szCs w:val="15"/>
              </w:rPr>
              <w:t>3</w:t>
            </w:r>
            <w:r w:rsidRPr="009B5516">
              <w:rPr>
                <w:rFonts w:hint="eastAsia"/>
                <w:b w:val="0"/>
                <w:bCs/>
                <w:sz w:val="15"/>
                <w:szCs w:val="15"/>
              </w:rPr>
              <w:t>）</w:t>
            </w:r>
          </w:p>
        </w:tc>
        <w:tc>
          <w:tcPr>
            <w:tcW w:w="0" w:type="auto"/>
            <w:vAlign w:val="center"/>
          </w:tcPr>
          <w:p w14:paraId="5E6138C2" w14:textId="77777777" w:rsidR="00AF1261" w:rsidRPr="009B5516" w:rsidRDefault="00AF1261" w:rsidP="009B5516">
            <w:pPr>
              <w:pStyle w:val="ae"/>
              <w:rPr>
                <w:b w:val="0"/>
                <w:bCs/>
                <w:sz w:val="15"/>
                <w:szCs w:val="15"/>
              </w:rPr>
            </w:pPr>
            <w:r w:rsidRPr="009B5516">
              <w:rPr>
                <w:rFonts w:hint="eastAsia"/>
                <w:b w:val="0"/>
                <w:bCs/>
                <w:sz w:val="15"/>
                <w:szCs w:val="15"/>
              </w:rPr>
              <w:t>□油柿（</w:t>
            </w:r>
            <w:r w:rsidRPr="009B5516">
              <w:rPr>
                <w:rFonts w:hint="eastAsia"/>
                <w:b w:val="0"/>
                <w:bCs/>
                <w:sz w:val="15"/>
                <w:szCs w:val="15"/>
              </w:rPr>
              <w:t>3</w:t>
            </w:r>
            <w:r w:rsidRPr="009B5516">
              <w:rPr>
                <w:rFonts w:hint="eastAsia"/>
                <w:b w:val="0"/>
                <w:bCs/>
                <w:sz w:val="15"/>
                <w:szCs w:val="15"/>
              </w:rPr>
              <w:t>）</w:t>
            </w:r>
          </w:p>
        </w:tc>
        <w:tc>
          <w:tcPr>
            <w:tcW w:w="1305" w:type="dxa"/>
            <w:vAlign w:val="center"/>
          </w:tcPr>
          <w:p w14:paraId="52CB5B18" w14:textId="77777777" w:rsidR="00AF1261" w:rsidRPr="009B5516" w:rsidRDefault="00AF1261" w:rsidP="009B5516">
            <w:pPr>
              <w:pStyle w:val="ae"/>
              <w:rPr>
                <w:b w:val="0"/>
                <w:bCs/>
                <w:sz w:val="15"/>
                <w:szCs w:val="15"/>
              </w:rPr>
            </w:pPr>
            <w:r w:rsidRPr="009B5516">
              <w:rPr>
                <w:rFonts w:hint="eastAsia"/>
                <w:b w:val="0"/>
                <w:bCs/>
                <w:sz w:val="15"/>
                <w:szCs w:val="15"/>
              </w:rPr>
              <w:t>□紫玉兰（</w:t>
            </w:r>
            <w:r w:rsidRPr="009B5516">
              <w:rPr>
                <w:rFonts w:hint="eastAsia"/>
                <w:b w:val="0"/>
                <w:bCs/>
                <w:sz w:val="15"/>
                <w:szCs w:val="15"/>
              </w:rPr>
              <w:t>2</w:t>
            </w:r>
            <w:r w:rsidRPr="009B5516">
              <w:rPr>
                <w:rFonts w:hint="eastAsia"/>
                <w:b w:val="0"/>
                <w:bCs/>
                <w:sz w:val="15"/>
                <w:szCs w:val="15"/>
              </w:rPr>
              <w:t>）</w:t>
            </w:r>
          </w:p>
        </w:tc>
        <w:tc>
          <w:tcPr>
            <w:tcW w:w="1417" w:type="dxa"/>
            <w:vAlign w:val="center"/>
          </w:tcPr>
          <w:p w14:paraId="5E7281C8" w14:textId="77777777" w:rsidR="00AF1261" w:rsidRPr="009B5516" w:rsidRDefault="00AF1261" w:rsidP="009B5516">
            <w:pPr>
              <w:pStyle w:val="ae"/>
              <w:rPr>
                <w:b w:val="0"/>
                <w:bCs/>
                <w:sz w:val="15"/>
                <w:szCs w:val="15"/>
              </w:rPr>
            </w:pPr>
            <w:r w:rsidRPr="009B5516">
              <w:rPr>
                <w:rFonts w:hint="eastAsia"/>
                <w:b w:val="0"/>
                <w:bCs/>
                <w:sz w:val="15"/>
                <w:szCs w:val="15"/>
              </w:rPr>
              <w:t>□木芙蓉（</w:t>
            </w:r>
            <w:r w:rsidRPr="009B5516">
              <w:rPr>
                <w:rFonts w:hint="eastAsia"/>
                <w:b w:val="0"/>
                <w:bCs/>
                <w:sz w:val="15"/>
                <w:szCs w:val="15"/>
              </w:rPr>
              <w:t>3</w:t>
            </w:r>
            <w:r w:rsidRPr="009B5516">
              <w:rPr>
                <w:rFonts w:hint="eastAsia"/>
                <w:b w:val="0"/>
                <w:bCs/>
                <w:sz w:val="15"/>
                <w:szCs w:val="15"/>
              </w:rPr>
              <w:t>）</w:t>
            </w:r>
          </w:p>
        </w:tc>
      </w:tr>
      <w:tr w:rsidR="00AF1261" w:rsidRPr="009B5516" w14:paraId="47ECE513" w14:textId="77777777" w:rsidTr="009B5516">
        <w:trPr>
          <w:jc w:val="center"/>
        </w:trPr>
        <w:tc>
          <w:tcPr>
            <w:tcW w:w="0" w:type="auto"/>
            <w:vAlign w:val="center"/>
          </w:tcPr>
          <w:p w14:paraId="46E716D3" w14:textId="009DA16B" w:rsidR="00AF1261" w:rsidRPr="009B5516" w:rsidRDefault="00AF1261" w:rsidP="009B5516">
            <w:pPr>
              <w:pStyle w:val="ae"/>
              <w:rPr>
                <w:b w:val="0"/>
                <w:bCs/>
                <w:sz w:val="15"/>
                <w:szCs w:val="15"/>
              </w:rPr>
            </w:pPr>
            <w:r w:rsidRPr="009B5516">
              <w:rPr>
                <w:rFonts w:hint="eastAsia"/>
                <w:b w:val="0"/>
                <w:bCs/>
                <w:sz w:val="15"/>
                <w:szCs w:val="15"/>
              </w:rPr>
              <w:lastRenderedPageBreak/>
              <w:t>□刺桐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2A636C01" w14:textId="77777777" w:rsidR="00AF1261" w:rsidRPr="009B5516" w:rsidRDefault="00AF1261" w:rsidP="009B5516">
            <w:pPr>
              <w:pStyle w:val="ae"/>
              <w:rPr>
                <w:b w:val="0"/>
                <w:bCs/>
                <w:sz w:val="15"/>
                <w:szCs w:val="15"/>
              </w:rPr>
            </w:pPr>
            <w:r w:rsidRPr="009B5516">
              <w:rPr>
                <w:rFonts w:hint="eastAsia"/>
                <w:b w:val="0"/>
                <w:bCs/>
                <w:sz w:val="15"/>
                <w:szCs w:val="15"/>
              </w:rPr>
              <w:t>□龙牙花（</w:t>
            </w:r>
            <w:r w:rsidRPr="009B5516">
              <w:rPr>
                <w:rFonts w:hint="eastAsia"/>
                <w:b w:val="0"/>
                <w:bCs/>
                <w:sz w:val="15"/>
                <w:szCs w:val="15"/>
              </w:rPr>
              <w:t>3</w:t>
            </w:r>
            <w:r w:rsidRPr="009B5516">
              <w:rPr>
                <w:rFonts w:hint="eastAsia"/>
                <w:b w:val="0"/>
                <w:bCs/>
                <w:sz w:val="15"/>
                <w:szCs w:val="15"/>
              </w:rPr>
              <w:t>）</w:t>
            </w:r>
          </w:p>
        </w:tc>
        <w:tc>
          <w:tcPr>
            <w:tcW w:w="0" w:type="auto"/>
            <w:vAlign w:val="center"/>
          </w:tcPr>
          <w:p w14:paraId="4333238D" w14:textId="77777777" w:rsidR="00AF1261" w:rsidRPr="009B5516" w:rsidRDefault="00AF1261" w:rsidP="009B5516">
            <w:pPr>
              <w:pStyle w:val="ae"/>
              <w:rPr>
                <w:b w:val="0"/>
                <w:bCs/>
                <w:sz w:val="15"/>
                <w:szCs w:val="15"/>
              </w:rPr>
            </w:pPr>
            <w:r w:rsidRPr="009B5516">
              <w:rPr>
                <w:rFonts w:hint="eastAsia"/>
                <w:b w:val="0"/>
                <w:bCs/>
                <w:sz w:val="15"/>
                <w:szCs w:val="15"/>
              </w:rPr>
              <w:t>□鸡爪槭（</w:t>
            </w:r>
            <w:r w:rsidRPr="009B5516">
              <w:rPr>
                <w:rFonts w:hint="eastAsia"/>
                <w:b w:val="0"/>
                <w:bCs/>
                <w:sz w:val="15"/>
                <w:szCs w:val="15"/>
              </w:rPr>
              <w:t>2</w:t>
            </w:r>
            <w:r w:rsidRPr="009B5516">
              <w:rPr>
                <w:rFonts w:hint="eastAsia"/>
                <w:b w:val="0"/>
                <w:bCs/>
                <w:sz w:val="15"/>
                <w:szCs w:val="15"/>
              </w:rPr>
              <w:t>）</w:t>
            </w:r>
          </w:p>
        </w:tc>
        <w:tc>
          <w:tcPr>
            <w:tcW w:w="0" w:type="auto"/>
            <w:vAlign w:val="center"/>
          </w:tcPr>
          <w:p w14:paraId="1BE7B31D" w14:textId="3A463D52" w:rsidR="00AF1261" w:rsidRPr="009B5516" w:rsidRDefault="00AF1261" w:rsidP="009B5516">
            <w:pPr>
              <w:pStyle w:val="ae"/>
              <w:rPr>
                <w:b w:val="0"/>
                <w:bCs/>
                <w:sz w:val="15"/>
                <w:szCs w:val="15"/>
              </w:rPr>
            </w:pPr>
            <w:r w:rsidRPr="009B5516">
              <w:rPr>
                <w:rFonts w:hint="eastAsia"/>
                <w:b w:val="0"/>
                <w:bCs/>
                <w:sz w:val="15"/>
                <w:szCs w:val="15"/>
              </w:rPr>
              <w:t>□杜仲</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22CF1FAD" w14:textId="77777777" w:rsidR="00AF1261" w:rsidRPr="009B5516" w:rsidRDefault="00AF1261" w:rsidP="009B5516">
            <w:pPr>
              <w:pStyle w:val="ae"/>
              <w:rPr>
                <w:b w:val="0"/>
                <w:bCs/>
                <w:sz w:val="15"/>
                <w:szCs w:val="15"/>
              </w:rPr>
            </w:pPr>
            <w:r w:rsidRPr="009B5516">
              <w:rPr>
                <w:rFonts w:hint="eastAsia"/>
                <w:b w:val="0"/>
                <w:bCs/>
                <w:sz w:val="15"/>
                <w:szCs w:val="15"/>
              </w:rPr>
              <w:t>□池杉（</w:t>
            </w:r>
            <w:r w:rsidRPr="009B5516">
              <w:rPr>
                <w:rFonts w:hint="eastAsia"/>
                <w:b w:val="0"/>
                <w:bCs/>
                <w:sz w:val="15"/>
                <w:szCs w:val="15"/>
              </w:rPr>
              <w:t>3</w:t>
            </w:r>
            <w:r w:rsidRPr="009B5516">
              <w:rPr>
                <w:rFonts w:hint="eastAsia"/>
                <w:b w:val="0"/>
                <w:bCs/>
                <w:sz w:val="15"/>
                <w:szCs w:val="15"/>
              </w:rPr>
              <w:t>）</w:t>
            </w:r>
          </w:p>
        </w:tc>
        <w:tc>
          <w:tcPr>
            <w:tcW w:w="1305" w:type="dxa"/>
            <w:vAlign w:val="center"/>
          </w:tcPr>
          <w:p w14:paraId="7EFEF5E7" w14:textId="77777777" w:rsidR="00AF1261" w:rsidRPr="009B5516" w:rsidRDefault="00AF1261" w:rsidP="009B5516">
            <w:pPr>
              <w:pStyle w:val="ae"/>
              <w:rPr>
                <w:b w:val="0"/>
                <w:bCs/>
                <w:sz w:val="15"/>
                <w:szCs w:val="15"/>
              </w:rPr>
            </w:pPr>
            <w:r w:rsidRPr="009B5516">
              <w:rPr>
                <w:rFonts w:hint="eastAsia"/>
                <w:b w:val="0"/>
                <w:bCs/>
                <w:sz w:val="15"/>
                <w:szCs w:val="15"/>
              </w:rPr>
              <w:t>□落羽杉（</w:t>
            </w:r>
            <w:r w:rsidRPr="009B5516">
              <w:rPr>
                <w:rFonts w:hint="eastAsia"/>
                <w:b w:val="0"/>
                <w:bCs/>
                <w:sz w:val="15"/>
                <w:szCs w:val="15"/>
              </w:rPr>
              <w:t>4</w:t>
            </w:r>
            <w:r w:rsidRPr="009B5516">
              <w:rPr>
                <w:rFonts w:hint="eastAsia"/>
                <w:b w:val="0"/>
                <w:bCs/>
                <w:sz w:val="15"/>
                <w:szCs w:val="15"/>
              </w:rPr>
              <w:t>）</w:t>
            </w:r>
          </w:p>
        </w:tc>
        <w:tc>
          <w:tcPr>
            <w:tcW w:w="1417" w:type="dxa"/>
            <w:vAlign w:val="center"/>
          </w:tcPr>
          <w:p w14:paraId="162C98C1" w14:textId="77777777" w:rsidR="00AF1261" w:rsidRPr="009B5516" w:rsidRDefault="00AF1261" w:rsidP="009B5516">
            <w:pPr>
              <w:pStyle w:val="ae"/>
              <w:rPr>
                <w:b w:val="0"/>
                <w:bCs/>
                <w:sz w:val="15"/>
                <w:szCs w:val="15"/>
              </w:rPr>
            </w:pPr>
            <w:r w:rsidRPr="009B5516">
              <w:rPr>
                <w:rFonts w:hint="eastAsia"/>
                <w:b w:val="0"/>
                <w:bCs/>
                <w:sz w:val="15"/>
                <w:szCs w:val="15"/>
              </w:rPr>
              <w:t>□李（</w:t>
            </w:r>
            <w:r w:rsidRPr="009B5516">
              <w:rPr>
                <w:rFonts w:hint="eastAsia"/>
                <w:b w:val="0"/>
                <w:bCs/>
                <w:sz w:val="15"/>
                <w:szCs w:val="15"/>
              </w:rPr>
              <w:t>2</w:t>
            </w:r>
            <w:r w:rsidRPr="009B5516">
              <w:rPr>
                <w:rFonts w:hint="eastAsia"/>
                <w:b w:val="0"/>
                <w:bCs/>
                <w:sz w:val="15"/>
                <w:szCs w:val="15"/>
              </w:rPr>
              <w:t>）</w:t>
            </w:r>
          </w:p>
        </w:tc>
      </w:tr>
      <w:tr w:rsidR="00AF1261" w:rsidRPr="009B5516" w14:paraId="56F27CEE" w14:textId="77777777" w:rsidTr="009B5516">
        <w:trPr>
          <w:jc w:val="center"/>
        </w:trPr>
        <w:tc>
          <w:tcPr>
            <w:tcW w:w="0" w:type="auto"/>
            <w:vAlign w:val="center"/>
          </w:tcPr>
          <w:p w14:paraId="661CF63F" w14:textId="33AB41A6" w:rsidR="00AF1261" w:rsidRPr="009B5516" w:rsidRDefault="00AF1261" w:rsidP="009B5516">
            <w:pPr>
              <w:pStyle w:val="ae"/>
              <w:rPr>
                <w:b w:val="0"/>
                <w:bCs/>
                <w:sz w:val="15"/>
                <w:szCs w:val="15"/>
              </w:rPr>
            </w:pPr>
            <w:r w:rsidRPr="009B5516">
              <w:rPr>
                <w:rFonts w:hint="eastAsia"/>
                <w:b w:val="0"/>
                <w:bCs/>
                <w:sz w:val="15"/>
                <w:szCs w:val="15"/>
              </w:rPr>
              <w:t>□丝棉木</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vAlign w:val="center"/>
          </w:tcPr>
          <w:p w14:paraId="001FC1C2" w14:textId="77777777" w:rsidR="00AF1261" w:rsidRPr="009B5516" w:rsidRDefault="00AF1261" w:rsidP="009B5516">
            <w:pPr>
              <w:pStyle w:val="ae"/>
              <w:rPr>
                <w:b w:val="0"/>
                <w:bCs/>
                <w:sz w:val="15"/>
                <w:szCs w:val="15"/>
              </w:rPr>
            </w:pPr>
            <w:r w:rsidRPr="009B5516">
              <w:rPr>
                <w:rFonts w:hint="eastAsia"/>
                <w:b w:val="0"/>
                <w:bCs/>
                <w:sz w:val="15"/>
                <w:szCs w:val="15"/>
              </w:rPr>
              <w:t>□红叶李（</w:t>
            </w:r>
            <w:r w:rsidRPr="009B5516">
              <w:rPr>
                <w:rFonts w:hint="eastAsia"/>
                <w:b w:val="0"/>
                <w:bCs/>
                <w:sz w:val="15"/>
                <w:szCs w:val="15"/>
              </w:rPr>
              <w:t>2</w:t>
            </w:r>
            <w:r w:rsidRPr="009B5516">
              <w:rPr>
                <w:rFonts w:hint="eastAsia"/>
                <w:b w:val="0"/>
                <w:bCs/>
                <w:sz w:val="15"/>
                <w:szCs w:val="15"/>
              </w:rPr>
              <w:t>）</w:t>
            </w:r>
          </w:p>
        </w:tc>
        <w:tc>
          <w:tcPr>
            <w:tcW w:w="0" w:type="auto"/>
            <w:vAlign w:val="center"/>
          </w:tcPr>
          <w:p w14:paraId="5D58CE0C" w14:textId="77777777" w:rsidR="00AF1261" w:rsidRPr="009B5516" w:rsidRDefault="00AF1261" w:rsidP="009B5516">
            <w:pPr>
              <w:pStyle w:val="ae"/>
              <w:rPr>
                <w:b w:val="0"/>
                <w:bCs/>
                <w:sz w:val="15"/>
                <w:szCs w:val="15"/>
              </w:rPr>
            </w:pPr>
            <w:r w:rsidRPr="009B5516">
              <w:rPr>
                <w:rFonts w:hint="eastAsia"/>
                <w:b w:val="0"/>
                <w:bCs/>
                <w:sz w:val="15"/>
                <w:szCs w:val="15"/>
              </w:rPr>
              <w:t>□碧桃（</w:t>
            </w:r>
            <w:r w:rsidRPr="009B5516">
              <w:rPr>
                <w:rFonts w:hint="eastAsia"/>
                <w:b w:val="0"/>
                <w:bCs/>
                <w:sz w:val="15"/>
                <w:szCs w:val="15"/>
              </w:rPr>
              <w:t>2</w:t>
            </w:r>
            <w:r w:rsidRPr="009B5516">
              <w:rPr>
                <w:rFonts w:hint="eastAsia"/>
                <w:b w:val="0"/>
                <w:bCs/>
                <w:sz w:val="15"/>
                <w:szCs w:val="15"/>
              </w:rPr>
              <w:t>）</w:t>
            </w:r>
          </w:p>
        </w:tc>
        <w:tc>
          <w:tcPr>
            <w:tcW w:w="0" w:type="auto"/>
            <w:vAlign w:val="center"/>
          </w:tcPr>
          <w:p w14:paraId="32E58066" w14:textId="77777777" w:rsidR="00AF1261" w:rsidRPr="009B5516" w:rsidRDefault="00AF1261" w:rsidP="009B5516">
            <w:pPr>
              <w:pStyle w:val="ae"/>
              <w:rPr>
                <w:b w:val="0"/>
                <w:bCs/>
                <w:sz w:val="15"/>
                <w:szCs w:val="15"/>
              </w:rPr>
            </w:pPr>
            <w:r w:rsidRPr="009B5516">
              <w:rPr>
                <w:rFonts w:hint="eastAsia"/>
                <w:b w:val="0"/>
                <w:bCs/>
                <w:sz w:val="15"/>
                <w:szCs w:val="15"/>
              </w:rPr>
              <w:t>□花石榴（</w:t>
            </w:r>
            <w:r w:rsidRPr="009B5516">
              <w:rPr>
                <w:rFonts w:hint="eastAsia"/>
                <w:b w:val="0"/>
                <w:bCs/>
                <w:sz w:val="15"/>
                <w:szCs w:val="15"/>
              </w:rPr>
              <w:t>2</w:t>
            </w:r>
            <w:r w:rsidRPr="009B5516">
              <w:rPr>
                <w:rFonts w:hint="eastAsia"/>
                <w:b w:val="0"/>
                <w:bCs/>
                <w:sz w:val="15"/>
                <w:szCs w:val="15"/>
              </w:rPr>
              <w:t>）</w:t>
            </w:r>
          </w:p>
        </w:tc>
        <w:tc>
          <w:tcPr>
            <w:tcW w:w="0" w:type="auto"/>
            <w:vAlign w:val="center"/>
          </w:tcPr>
          <w:p w14:paraId="297B8958" w14:textId="77777777" w:rsidR="00AF1261" w:rsidRPr="009B5516" w:rsidRDefault="00AF1261" w:rsidP="009B5516">
            <w:pPr>
              <w:pStyle w:val="ae"/>
              <w:rPr>
                <w:b w:val="0"/>
                <w:bCs/>
                <w:sz w:val="15"/>
                <w:szCs w:val="15"/>
              </w:rPr>
            </w:pPr>
            <w:r w:rsidRPr="009B5516">
              <w:rPr>
                <w:rFonts w:hint="eastAsia"/>
                <w:b w:val="0"/>
                <w:bCs/>
                <w:sz w:val="15"/>
                <w:szCs w:val="15"/>
              </w:rPr>
              <w:t>□红枫（</w:t>
            </w:r>
            <w:r w:rsidRPr="009B5516">
              <w:rPr>
                <w:rFonts w:hint="eastAsia"/>
                <w:b w:val="0"/>
                <w:bCs/>
                <w:sz w:val="15"/>
                <w:szCs w:val="15"/>
              </w:rPr>
              <w:t>2</w:t>
            </w:r>
            <w:r w:rsidRPr="009B5516">
              <w:rPr>
                <w:rFonts w:hint="eastAsia"/>
                <w:b w:val="0"/>
                <w:bCs/>
                <w:sz w:val="15"/>
                <w:szCs w:val="15"/>
              </w:rPr>
              <w:t>）</w:t>
            </w:r>
          </w:p>
        </w:tc>
        <w:tc>
          <w:tcPr>
            <w:tcW w:w="1305" w:type="dxa"/>
            <w:vAlign w:val="center"/>
          </w:tcPr>
          <w:p w14:paraId="0350C8F8" w14:textId="4C025A24" w:rsidR="00AF1261" w:rsidRPr="009B5516" w:rsidRDefault="00AF1261" w:rsidP="009B5516">
            <w:pPr>
              <w:pStyle w:val="ae"/>
              <w:rPr>
                <w:b w:val="0"/>
                <w:bCs/>
                <w:sz w:val="15"/>
                <w:szCs w:val="15"/>
              </w:rPr>
            </w:pPr>
            <w:r w:rsidRPr="009B5516">
              <w:rPr>
                <w:rFonts w:hint="eastAsia"/>
                <w:b w:val="0"/>
                <w:bCs/>
                <w:sz w:val="15"/>
                <w:szCs w:val="15"/>
              </w:rPr>
              <w:t>□国槐</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1417" w:type="dxa"/>
            <w:vAlign w:val="center"/>
          </w:tcPr>
          <w:p w14:paraId="4D3A76F5" w14:textId="77777777" w:rsidR="00AF1261" w:rsidRPr="009B5516" w:rsidRDefault="00AF1261" w:rsidP="009B5516">
            <w:pPr>
              <w:pStyle w:val="ae"/>
              <w:rPr>
                <w:b w:val="0"/>
                <w:bCs/>
                <w:sz w:val="15"/>
                <w:szCs w:val="15"/>
              </w:rPr>
            </w:pPr>
            <w:r w:rsidRPr="009B5516">
              <w:rPr>
                <w:rFonts w:hint="eastAsia"/>
                <w:b w:val="0"/>
                <w:bCs/>
                <w:sz w:val="15"/>
                <w:szCs w:val="15"/>
              </w:rPr>
              <w:t>□茶条槭（</w:t>
            </w:r>
            <w:r w:rsidRPr="009B5516">
              <w:rPr>
                <w:rFonts w:hint="eastAsia"/>
                <w:b w:val="0"/>
                <w:bCs/>
                <w:sz w:val="15"/>
                <w:szCs w:val="15"/>
              </w:rPr>
              <w:t>3</w:t>
            </w:r>
            <w:r w:rsidRPr="009B5516">
              <w:rPr>
                <w:rFonts w:hint="eastAsia"/>
                <w:b w:val="0"/>
                <w:bCs/>
                <w:sz w:val="15"/>
                <w:szCs w:val="15"/>
              </w:rPr>
              <w:t>）</w:t>
            </w:r>
          </w:p>
        </w:tc>
      </w:tr>
      <w:tr w:rsidR="00AF1261" w:rsidRPr="009B5516" w14:paraId="1D4772B7" w14:textId="77777777" w:rsidTr="009B5516">
        <w:trPr>
          <w:jc w:val="center"/>
        </w:trPr>
        <w:tc>
          <w:tcPr>
            <w:tcW w:w="0" w:type="auto"/>
            <w:vAlign w:val="center"/>
          </w:tcPr>
          <w:p w14:paraId="2FAFA4D5" w14:textId="77777777" w:rsidR="00AF1261" w:rsidRPr="009B5516" w:rsidRDefault="00AF1261" w:rsidP="009B5516">
            <w:pPr>
              <w:pStyle w:val="ae"/>
              <w:rPr>
                <w:b w:val="0"/>
                <w:bCs/>
                <w:sz w:val="15"/>
                <w:szCs w:val="15"/>
              </w:rPr>
            </w:pPr>
            <w:r w:rsidRPr="009B5516">
              <w:rPr>
                <w:rFonts w:hint="eastAsia"/>
                <w:b w:val="0"/>
                <w:bCs/>
                <w:sz w:val="15"/>
                <w:szCs w:val="15"/>
              </w:rPr>
              <w:t>□五角枫（</w:t>
            </w:r>
            <w:r w:rsidRPr="009B5516">
              <w:rPr>
                <w:rFonts w:hint="eastAsia"/>
                <w:b w:val="0"/>
                <w:bCs/>
                <w:sz w:val="15"/>
                <w:szCs w:val="15"/>
              </w:rPr>
              <w:t>2</w:t>
            </w:r>
            <w:r w:rsidRPr="009B5516">
              <w:rPr>
                <w:rFonts w:hint="eastAsia"/>
                <w:b w:val="0"/>
                <w:bCs/>
                <w:sz w:val="15"/>
                <w:szCs w:val="15"/>
              </w:rPr>
              <w:t>）</w:t>
            </w:r>
          </w:p>
        </w:tc>
        <w:tc>
          <w:tcPr>
            <w:tcW w:w="0" w:type="auto"/>
            <w:vAlign w:val="center"/>
          </w:tcPr>
          <w:p w14:paraId="00534837" w14:textId="1148F2F2" w:rsidR="00AF1261" w:rsidRPr="009B5516" w:rsidRDefault="00AF1261" w:rsidP="009B5516">
            <w:pPr>
              <w:pStyle w:val="ae"/>
              <w:rPr>
                <w:b w:val="0"/>
                <w:bCs/>
                <w:sz w:val="15"/>
                <w:szCs w:val="15"/>
              </w:rPr>
            </w:pPr>
            <w:r w:rsidRPr="009B5516">
              <w:rPr>
                <w:rFonts w:hint="eastAsia"/>
                <w:b w:val="0"/>
                <w:bCs/>
                <w:sz w:val="15"/>
                <w:szCs w:val="15"/>
              </w:rPr>
              <w:t>□七叶树</w:t>
            </w:r>
            <w:r w:rsidR="00590E62" w:rsidRPr="009B5516">
              <w:rPr>
                <w:rFonts w:ascii="微软雅黑" w:eastAsia="微软雅黑" w:hAnsi="微软雅黑" w:cs="微软雅黑"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vAlign w:val="center"/>
          </w:tcPr>
          <w:p w14:paraId="16060860" w14:textId="77777777" w:rsidR="00AF1261" w:rsidRPr="009B5516" w:rsidRDefault="00AF1261" w:rsidP="009B5516">
            <w:pPr>
              <w:pStyle w:val="ae"/>
              <w:rPr>
                <w:b w:val="0"/>
                <w:bCs/>
                <w:sz w:val="15"/>
                <w:szCs w:val="15"/>
              </w:rPr>
            </w:pPr>
          </w:p>
        </w:tc>
        <w:tc>
          <w:tcPr>
            <w:tcW w:w="0" w:type="auto"/>
            <w:vAlign w:val="center"/>
          </w:tcPr>
          <w:p w14:paraId="007C0CAB" w14:textId="77777777" w:rsidR="00AF1261" w:rsidRPr="009B5516" w:rsidRDefault="00AF1261" w:rsidP="009B5516">
            <w:pPr>
              <w:pStyle w:val="ae"/>
              <w:rPr>
                <w:b w:val="0"/>
                <w:bCs/>
                <w:sz w:val="15"/>
                <w:szCs w:val="15"/>
              </w:rPr>
            </w:pPr>
          </w:p>
        </w:tc>
        <w:tc>
          <w:tcPr>
            <w:tcW w:w="0" w:type="auto"/>
            <w:vAlign w:val="center"/>
          </w:tcPr>
          <w:p w14:paraId="31FEAA09" w14:textId="77777777" w:rsidR="00AF1261" w:rsidRPr="009B5516" w:rsidRDefault="00AF1261" w:rsidP="009B5516">
            <w:pPr>
              <w:pStyle w:val="ae"/>
              <w:rPr>
                <w:b w:val="0"/>
                <w:bCs/>
                <w:sz w:val="15"/>
                <w:szCs w:val="15"/>
              </w:rPr>
            </w:pPr>
          </w:p>
        </w:tc>
        <w:tc>
          <w:tcPr>
            <w:tcW w:w="1305" w:type="dxa"/>
            <w:vAlign w:val="center"/>
          </w:tcPr>
          <w:p w14:paraId="11CDE3DC" w14:textId="77777777" w:rsidR="00AF1261" w:rsidRPr="009B5516" w:rsidRDefault="00AF1261" w:rsidP="009B5516">
            <w:pPr>
              <w:pStyle w:val="ae"/>
              <w:rPr>
                <w:b w:val="0"/>
                <w:bCs/>
                <w:sz w:val="15"/>
                <w:szCs w:val="15"/>
              </w:rPr>
            </w:pPr>
          </w:p>
        </w:tc>
        <w:tc>
          <w:tcPr>
            <w:tcW w:w="1417" w:type="dxa"/>
            <w:vAlign w:val="center"/>
          </w:tcPr>
          <w:p w14:paraId="22AB361B" w14:textId="77777777" w:rsidR="00AF1261" w:rsidRPr="009B5516" w:rsidRDefault="00AF1261" w:rsidP="009B5516">
            <w:pPr>
              <w:pStyle w:val="ae"/>
              <w:rPr>
                <w:b w:val="0"/>
                <w:bCs/>
                <w:sz w:val="15"/>
                <w:szCs w:val="15"/>
              </w:rPr>
            </w:pPr>
          </w:p>
        </w:tc>
      </w:tr>
    </w:tbl>
    <w:p w14:paraId="56DF6DE1" w14:textId="77777777" w:rsidR="009B5516" w:rsidRDefault="00AF1261" w:rsidP="009B5516">
      <w:pPr>
        <w:pStyle w:val="40"/>
        <w:ind w:firstLine="420"/>
      </w:pPr>
      <w:r w:rsidRPr="009B5516">
        <w:t>用量说明：</w:t>
      </w:r>
      <w:r w:rsidRPr="009B5516">
        <w:rPr>
          <w:rFonts w:hint="eastAsia"/>
        </w:rPr>
        <w:t>按</w:t>
      </w:r>
      <w:r w:rsidRPr="009B5516">
        <w:t>植株</w:t>
      </w:r>
      <w:r w:rsidRPr="009B5516">
        <w:rPr>
          <w:rFonts w:hint="eastAsia"/>
        </w:rPr>
        <w:t>/</w:t>
      </w:r>
      <w:r w:rsidRPr="009B5516">
        <w:rPr>
          <w:rFonts w:hint="eastAsia"/>
        </w:rPr>
        <w:t>丛</w:t>
      </w:r>
      <w:r w:rsidRPr="009B5516">
        <w:t>/</w:t>
      </w:r>
      <w:r w:rsidRPr="009B5516">
        <w:rPr>
          <w:rFonts w:hint="eastAsia"/>
        </w:rPr>
        <w:t>簇</w:t>
      </w:r>
      <w:r w:rsidRPr="009B5516">
        <w:t>数进行</w:t>
      </w:r>
      <w:r w:rsidRPr="009B5516">
        <w:rPr>
          <w:rFonts w:hint="eastAsia"/>
        </w:rPr>
        <w:t>统计</w:t>
      </w:r>
      <w:r w:rsidRPr="009B5516">
        <w:t>用量</w:t>
      </w:r>
      <w:r w:rsidRPr="009B5516">
        <w:rPr>
          <w:rFonts w:hint="eastAsia"/>
        </w:rPr>
        <w:t>；</w:t>
      </w:r>
    </w:p>
    <w:p w14:paraId="3C82F086" w14:textId="2C871FE5" w:rsidR="00AF1261" w:rsidRPr="00216B28" w:rsidRDefault="00AF1261" w:rsidP="009B5516">
      <w:pPr>
        <w:pStyle w:val="40"/>
        <w:ind w:firstLine="420"/>
      </w:pPr>
      <w:r w:rsidRPr="009B5516">
        <w:rPr>
          <w:rFonts w:hint="eastAsia"/>
        </w:rPr>
        <w:t>其中带</w:t>
      </w:r>
      <w:r w:rsidRPr="009B5516">
        <w:rPr>
          <w:rFonts w:hint="eastAsia"/>
        </w:rPr>
        <w:t>*</w:t>
      </w:r>
      <w:r w:rsidRPr="009B5516">
        <w:rPr>
          <w:rFonts w:hint="eastAsia"/>
        </w:rPr>
        <w:t>为无须永久灌溉植物。</w:t>
      </w:r>
      <w:r w:rsidRPr="009B5516">
        <w:rPr>
          <w:b/>
        </w:rPr>
        <w:br w:type="page"/>
      </w:r>
      <w:r>
        <w:rPr>
          <w:rFonts w:hint="eastAsia"/>
        </w:rPr>
        <w:lastRenderedPageBreak/>
        <w:t>附表</w:t>
      </w:r>
      <w:r w:rsidR="00C51A45">
        <w:t>C</w:t>
      </w:r>
      <w:r>
        <w:rPr>
          <w:rFonts w:hint="eastAsia"/>
        </w:rPr>
        <w:t xml:space="preserve">.0.2  </w:t>
      </w:r>
      <w:r w:rsidRPr="00216B28">
        <w:rPr>
          <w:rFonts w:hint="eastAsia"/>
        </w:rPr>
        <w:t>灌木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1266"/>
        <w:gridCol w:w="1266"/>
        <w:gridCol w:w="1116"/>
        <w:gridCol w:w="966"/>
        <w:gridCol w:w="1041"/>
        <w:gridCol w:w="1041"/>
        <w:gridCol w:w="1191"/>
      </w:tblGrid>
      <w:tr w:rsidR="00590E62" w:rsidRPr="009B5516" w14:paraId="69CCC71A" w14:textId="77777777" w:rsidTr="009B5516">
        <w:trPr>
          <w:jc w:val="center"/>
        </w:trPr>
        <w:tc>
          <w:tcPr>
            <w:tcW w:w="0" w:type="auto"/>
          </w:tcPr>
          <w:p w14:paraId="621D0046" w14:textId="77777777" w:rsidR="00590E62" w:rsidRPr="009B5516" w:rsidRDefault="00590E62" w:rsidP="009B5516">
            <w:pPr>
              <w:pStyle w:val="ae"/>
              <w:rPr>
                <w:b w:val="0"/>
                <w:bCs/>
                <w:sz w:val="15"/>
                <w:szCs w:val="15"/>
              </w:rPr>
            </w:pPr>
            <w:r w:rsidRPr="009B5516">
              <w:rPr>
                <w:rFonts w:hint="eastAsia"/>
                <w:b w:val="0"/>
                <w:bCs/>
                <w:sz w:val="15"/>
                <w:szCs w:val="15"/>
              </w:rPr>
              <w:t>□南天竹</w:t>
            </w:r>
          </w:p>
        </w:tc>
        <w:tc>
          <w:tcPr>
            <w:tcW w:w="0" w:type="auto"/>
          </w:tcPr>
          <w:p w14:paraId="0DA065A9" w14:textId="369CD58D" w:rsidR="00590E62" w:rsidRPr="009B5516" w:rsidRDefault="00590E62" w:rsidP="009B5516">
            <w:pPr>
              <w:pStyle w:val="ae"/>
              <w:rPr>
                <w:b w:val="0"/>
                <w:bCs/>
                <w:sz w:val="15"/>
                <w:szCs w:val="15"/>
              </w:rPr>
            </w:pPr>
            <w:r w:rsidRPr="009B5516">
              <w:rPr>
                <w:rFonts w:hint="eastAsia"/>
                <w:b w:val="0"/>
                <w:bCs/>
                <w:sz w:val="15"/>
                <w:szCs w:val="15"/>
              </w:rPr>
              <w:t>□油茶</w:t>
            </w:r>
            <w:r w:rsidRPr="009B5516">
              <w:rPr>
                <w:rFonts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tcPr>
          <w:p w14:paraId="5D68AAE8" w14:textId="77777777" w:rsidR="00590E62" w:rsidRPr="009B5516" w:rsidRDefault="00590E62" w:rsidP="009B5516">
            <w:pPr>
              <w:pStyle w:val="ae"/>
              <w:rPr>
                <w:b w:val="0"/>
                <w:bCs/>
                <w:sz w:val="15"/>
                <w:szCs w:val="15"/>
              </w:rPr>
            </w:pPr>
            <w:r w:rsidRPr="009B5516">
              <w:rPr>
                <w:rFonts w:hint="eastAsia"/>
                <w:b w:val="0"/>
                <w:bCs/>
                <w:sz w:val="15"/>
                <w:szCs w:val="15"/>
              </w:rPr>
              <w:t>□十大功劳</w:t>
            </w:r>
          </w:p>
        </w:tc>
        <w:tc>
          <w:tcPr>
            <w:tcW w:w="0" w:type="auto"/>
          </w:tcPr>
          <w:p w14:paraId="13716E0F" w14:textId="77777777" w:rsidR="00590E62" w:rsidRPr="009B5516" w:rsidRDefault="00590E62" w:rsidP="009B5516">
            <w:pPr>
              <w:pStyle w:val="ae"/>
              <w:rPr>
                <w:b w:val="0"/>
                <w:bCs/>
                <w:sz w:val="15"/>
                <w:szCs w:val="15"/>
              </w:rPr>
            </w:pPr>
            <w:r w:rsidRPr="009B5516">
              <w:rPr>
                <w:rFonts w:hint="eastAsia"/>
                <w:b w:val="0"/>
                <w:bCs/>
                <w:sz w:val="15"/>
                <w:szCs w:val="15"/>
              </w:rPr>
              <w:t>□栀子</w:t>
            </w:r>
          </w:p>
        </w:tc>
        <w:tc>
          <w:tcPr>
            <w:tcW w:w="0" w:type="auto"/>
          </w:tcPr>
          <w:p w14:paraId="0197FEE2" w14:textId="77777777" w:rsidR="00590E62" w:rsidRPr="009B5516" w:rsidRDefault="00590E62" w:rsidP="009B5516">
            <w:pPr>
              <w:pStyle w:val="ae"/>
              <w:rPr>
                <w:b w:val="0"/>
                <w:bCs/>
                <w:sz w:val="15"/>
                <w:szCs w:val="15"/>
              </w:rPr>
            </w:pPr>
            <w:r w:rsidRPr="009B5516">
              <w:rPr>
                <w:rFonts w:hint="eastAsia"/>
                <w:b w:val="0"/>
                <w:bCs/>
                <w:sz w:val="15"/>
                <w:szCs w:val="15"/>
              </w:rPr>
              <w:t>□枸骨</w:t>
            </w:r>
          </w:p>
        </w:tc>
        <w:tc>
          <w:tcPr>
            <w:tcW w:w="0" w:type="auto"/>
          </w:tcPr>
          <w:p w14:paraId="3F19D7E1" w14:textId="77777777" w:rsidR="00590E62" w:rsidRPr="009B5516" w:rsidRDefault="00590E62" w:rsidP="009B5516">
            <w:pPr>
              <w:pStyle w:val="ae"/>
              <w:rPr>
                <w:b w:val="0"/>
                <w:bCs/>
                <w:sz w:val="15"/>
                <w:szCs w:val="15"/>
              </w:rPr>
            </w:pPr>
            <w:r w:rsidRPr="009B5516">
              <w:rPr>
                <w:rFonts w:hint="eastAsia"/>
                <w:b w:val="0"/>
                <w:bCs/>
                <w:sz w:val="15"/>
                <w:szCs w:val="15"/>
              </w:rPr>
              <w:t>□苏铁</w:t>
            </w:r>
          </w:p>
        </w:tc>
        <w:tc>
          <w:tcPr>
            <w:tcW w:w="0" w:type="auto"/>
          </w:tcPr>
          <w:p w14:paraId="5D7B99EB" w14:textId="77777777" w:rsidR="00590E62" w:rsidRPr="009B5516" w:rsidRDefault="00590E62" w:rsidP="009B5516">
            <w:pPr>
              <w:pStyle w:val="ae"/>
              <w:rPr>
                <w:b w:val="0"/>
                <w:bCs/>
                <w:sz w:val="15"/>
                <w:szCs w:val="15"/>
              </w:rPr>
            </w:pPr>
            <w:r w:rsidRPr="009B5516">
              <w:rPr>
                <w:rFonts w:hint="eastAsia"/>
                <w:b w:val="0"/>
                <w:bCs/>
                <w:sz w:val="15"/>
                <w:szCs w:val="15"/>
              </w:rPr>
              <w:t>□云南黄馨</w:t>
            </w:r>
          </w:p>
        </w:tc>
      </w:tr>
      <w:tr w:rsidR="00590E62" w:rsidRPr="009B5516" w14:paraId="44AF4DC7" w14:textId="77777777" w:rsidTr="009B5516">
        <w:trPr>
          <w:jc w:val="center"/>
        </w:trPr>
        <w:tc>
          <w:tcPr>
            <w:tcW w:w="0" w:type="auto"/>
          </w:tcPr>
          <w:p w14:paraId="6FFF1E83" w14:textId="77777777" w:rsidR="00590E62" w:rsidRPr="009B5516" w:rsidRDefault="00590E62" w:rsidP="009B5516">
            <w:pPr>
              <w:pStyle w:val="ae"/>
              <w:rPr>
                <w:b w:val="0"/>
                <w:bCs/>
                <w:sz w:val="15"/>
                <w:szCs w:val="15"/>
              </w:rPr>
            </w:pPr>
            <w:r w:rsidRPr="009B5516">
              <w:rPr>
                <w:rFonts w:hint="eastAsia"/>
                <w:b w:val="0"/>
                <w:bCs/>
                <w:sz w:val="15"/>
                <w:szCs w:val="15"/>
              </w:rPr>
              <w:t>□黄杨</w:t>
            </w:r>
          </w:p>
        </w:tc>
        <w:tc>
          <w:tcPr>
            <w:tcW w:w="0" w:type="auto"/>
          </w:tcPr>
          <w:p w14:paraId="29428146" w14:textId="77777777" w:rsidR="00590E62" w:rsidRPr="009B5516" w:rsidRDefault="00590E62" w:rsidP="009B5516">
            <w:pPr>
              <w:pStyle w:val="ae"/>
              <w:rPr>
                <w:b w:val="0"/>
                <w:bCs/>
                <w:sz w:val="15"/>
                <w:szCs w:val="15"/>
              </w:rPr>
            </w:pPr>
            <w:r w:rsidRPr="009B5516">
              <w:rPr>
                <w:rFonts w:hint="eastAsia"/>
                <w:b w:val="0"/>
                <w:bCs/>
                <w:sz w:val="15"/>
                <w:szCs w:val="15"/>
              </w:rPr>
              <w:t>□小叶女贞</w:t>
            </w:r>
          </w:p>
        </w:tc>
        <w:tc>
          <w:tcPr>
            <w:tcW w:w="0" w:type="auto"/>
          </w:tcPr>
          <w:p w14:paraId="776633AB" w14:textId="39B95F6F" w:rsidR="00590E62" w:rsidRPr="009B5516" w:rsidRDefault="00590E62" w:rsidP="009B5516">
            <w:pPr>
              <w:pStyle w:val="ae"/>
              <w:rPr>
                <w:b w:val="0"/>
                <w:bCs/>
                <w:sz w:val="15"/>
                <w:szCs w:val="15"/>
              </w:rPr>
            </w:pPr>
            <w:r w:rsidRPr="009B5516">
              <w:rPr>
                <w:rFonts w:hint="eastAsia"/>
                <w:b w:val="0"/>
                <w:bCs/>
                <w:sz w:val="15"/>
                <w:szCs w:val="15"/>
              </w:rPr>
              <w:t>□山茶</w:t>
            </w:r>
            <w:r w:rsidRPr="009B5516">
              <w:rPr>
                <w:rFonts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tcPr>
          <w:p w14:paraId="26D90DC6" w14:textId="77777777" w:rsidR="00590E62" w:rsidRPr="009B5516" w:rsidRDefault="00590E62" w:rsidP="009B5516">
            <w:pPr>
              <w:pStyle w:val="ae"/>
              <w:rPr>
                <w:b w:val="0"/>
                <w:bCs/>
                <w:sz w:val="15"/>
                <w:szCs w:val="15"/>
              </w:rPr>
            </w:pPr>
            <w:r w:rsidRPr="009B5516">
              <w:rPr>
                <w:rFonts w:hint="eastAsia"/>
                <w:b w:val="0"/>
                <w:bCs/>
                <w:sz w:val="15"/>
                <w:szCs w:val="15"/>
              </w:rPr>
              <w:t>□桃叶珊瑚</w:t>
            </w:r>
          </w:p>
        </w:tc>
        <w:tc>
          <w:tcPr>
            <w:tcW w:w="0" w:type="auto"/>
          </w:tcPr>
          <w:p w14:paraId="6FF23912" w14:textId="77777777" w:rsidR="00590E62" w:rsidRPr="009B5516" w:rsidRDefault="00590E62" w:rsidP="009B5516">
            <w:pPr>
              <w:pStyle w:val="ae"/>
              <w:rPr>
                <w:b w:val="0"/>
                <w:bCs/>
                <w:sz w:val="15"/>
                <w:szCs w:val="15"/>
              </w:rPr>
            </w:pPr>
            <w:r w:rsidRPr="009B5516">
              <w:rPr>
                <w:rFonts w:hint="eastAsia"/>
                <w:b w:val="0"/>
                <w:bCs/>
                <w:sz w:val="15"/>
                <w:szCs w:val="15"/>
              </w:rPr>
              <w:t>□含笑</w:t>
            </w:r>
          </w:p>
        </w:tc>
        <w:tc>
          <w:tcPr>
            <w:tcW w:w="0" w:type="auto"/>
          </w:tcPr>
          <w:p w14:paraId="3A846711" w14:textId="77777777" w:rsidR="00590E62" w:rsidRPr="009B5516" w:rsidRDefault="00590E62" w:rsidP="009B5516">
            <w:pPr>
              <w:pStyle w:val="ae"/>
              <w:rPr>
                <w:b w:val="0"/>
                <w:bCs/>
                <w:sz w:val="15"/>
                <w:szCs w:val="15"/>
              </w:rPr>
            </w:pPr>
            <w:r w:rsidRPr="009B5516">
              <w:rPr>
                <w:rFonts w:hint="eastAsia"/>
                <w:b w:val="0"/>
                <w:bCs/>
                <w:sz w:val="15"/>
                <w:szCs w:val="15"/>
              </w:rPr>
              <w:t>□六月雪</w:t>
            </w:r>
          </w:p>
        </w:tc>
        <w:tc>
          <w:tcPr>
            <w:tcW w:w="0" w:type="auto"/>
          </w:tcPr>
          <w:p w14:paraId="0472D703" w14:textId="77777777" w:rsidR="00590E62" w:rsidRPr="009B5516" w:rsidRDefault="00590E62" w:rsidP="009B5516">
            <w:pPr>
              <w:pStyle w:val="ae"/>
              <w:rPr>
                <w:b w:val="0"/>
                <w:bCs/>
                <w:sz w:val="15"/>
                <w:szCs w:val="15"/>
              </w:rPr>
            </w:pPr>
            <w:r w:rsidRPr="009B5516">
              <w:rPr>
                <w:rFonts w:hint="eastAsia"/>
                <w:b w:val="0"/>
                <w:bCs/>
                <w:sz w:val="15"/>
                <w:szCs w:val="15"/>
              </w:rPr>
              <w:t>□棕竹</w:t>
            </w:r>
          </w:p>
        </w:tc>
      </w:tr>
      <w:tr w:rsidR="00590E62" w:rsidRPr="009B5516" w14:paraId="609721F5" w14:textId="77777777" w:rsidTr="009B5516">
        <w:trPr>
          <w:jc w:val="center"/>
        </w:trPr>
        <w:tc>
          <w:tcPr>
            <w:tcW w:w="0" w:type="auto"/>
          </w:tcPr>
          <w:p w14:paraId="1447B445" w14:textId="4A6BB29B" w:rsidR="00590E62" w:rsidRPr="009B5516" w:rsidRDefault="00590E62" w:rsidP="009B5516">
            <w:pPr>
              <w:pStyle w:val="ae"/>
              <w:rPr>
                <w:b w:val="0"/>
                <w:bCs/>
                <w:sz w:val="15"/>
                <w:szCs w:val="15"/>
              </w:rPr>
            </w:pPr>
            <w:r w:rsidRPr="009B5516">
              <w:rPr>
                <w:rFonts w:hint="eastAsia"/>
                <w:b w:val="0"/>
                <w:bCs/>
                <w:sz w:val="15"/>
                <w:szCs w:val="15"/>
              </w:rPr>
              <w:t>□夹竹桃</w:t>
            </w:r>
            <w:r w:rsidRPr="009B5516">
              <w:rPr>
                <w:rFonts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tcPr>
          <w:p w14:paraId="1DDB80E7" w14:textId="77777777" w:rsidR="00590E62" w:rsidRPr="009B5516" w:rsidRDefault="00590E62" w:rsidP="009B5516">
            <w:pPr>
              <w:pStyle w:val="ae"/>
              <w:rPr>
                <w:b w:val="0"/>
                <w:bCs/>
                <w:sz w:val="15"/>
                <w:szCs w:val="15"/>
              </w:rPr>
            </w:pPr>
            <w:r w:rsidRPr="009B5516">
              <w:rPr>
                <w:rFonts w:hint="eastAsia"/>
                <w:b w:val="0"/>
                <w:bCs/>
                <w:sz w:val="15"/>
                <w:szCs w:val="15"/>
              </w:rPr>
              <w:t>□小叶蚊母</w:t>
            </w:r>
          </w:p>
        </w:tc>
        <w:tc>
          <w:tcPr>
            <w:tcW w:w="0" w:type="auto"/>
          </w:tcPr>
          <w:p w14:paraId="08ECDC7D" w14:textId="77777777" w:rsidR="00590E62" w:rsidRPr="009B5516" w:rsidRDefault="00590E62" w:rsidP="009B5516">
            <w:pPr>
              <w:pStyle w:val="ae"/>
              <w:rPr>
                <w:b w:val="0"/>
                <w:bCs/>
                <w:sz w:val="15"/>
                <w:szCs w:val="15"/>
              </w:rPr>
            </w:pPr>
            <w:r w:rsidRPr="009B5516">
              <w:rPr>
                <w:rFonts w:hint="eastAsia"/>
                <w:b w:val="0"/>
                <w:bCs/>
                <w:sz w:val="15"/>
                <w:szCs w:val="15"/>
              </w:rPr>
              <w:t>□大叶黄杨</w:t>
            </w:r>
          </w:p>
        </w:tc>
        <w:tc>
          <w:tcPr>
            <w:tcW w:w="0" w:type="auto"/>
          </w:tcPr>
          <w:p w14:paraId="01D34E3A" w14:textId="77777777" w:rsidR="00590E62" w:rsidRPr="009B5516" w:rsidRDefault="00590E62" w:rsidP="009B5516">
            <w:pPr>
              <w:pStyle w:val="ae"/>
              <w:rPr>
                <w:b w:val="0"/>
                <w:bCs/>
                <w:sz w:val="15"/>
                <w:szCs w:val="15"/>
              </w:rPr>
            </w:pPr>
            <w:r w:rsidRPr="009B5516">
              <w:rPr>
                <w:rFonts w:hint="eastAsia"/>
                <w:b w:val="0"/>
                <w:bCs/>
                <w:sz w:val="15"/>
                <w:szCs w:val="15"/>
              </w:rPr>
              <w:t>□海桐</w:t>
            </w:r>
          </w:p>
        </w:tc>
        <w:tc>
          <w:tcPr>
            <w:tcW w:w="0" w:type="auto"/>
          </w:tcPr>
          <w:p w14:paraId="226CBDFF" w14:textId="77777777" w:rsidR="00590E62" w:rsidRPr="009B5516" w:rsidRDefault="00590E62" w:rsidP="009B5516">
            <w:pPr>
              <w:pStyle w:val="ae"/>
              <w:rPr>
                <w:b w:val="0"/>
                <w:bCs/>
                <w:sz w:val="15"/>
                <w:szCs w:val="15"/>
              </w:rPr>
            </w:pPr>
            <w:r w:rsidRPr="009B5516">
              <w:rPr>
                <w:rFonts w:hint="eastAsia"/>
                <w:b w:val="0"/>
                <w:bCs/>
                <w:sz w:val="15"/>
                <w:szCs w:val="15"/>
              </w:rPr>
              <w:t>□红叶石楠</w:t>
            </w:r>
          </w:p>
        </w:tc>
        <w:tc>
          <w:tcPr>
            <w:tcW w:w="0" w:type="auto"/>
          </w:tcPr>
          <w:p w14:paraId="40C19896" w14:textId="77777777" w:rsidR="00590E62" w:rsidRPr="009B5516" w:rsidRDefault="00590E62" w:rsidP="009B5516">
            <w:pPr>
              <w:pStyle w:val="ae"/>
              <w:rPr>
                <w:b w:val="0"/>
                <w:bCs/>
                <w:sz w:val="15"/>
                <w:szCs w:val="15"/>
              </w:rPr>
            </w:pPr>
            <w:r w:rsidRPr="009B5516">
              <w:rPr>
                <w:rFonts w:hint="eastAsia"/>
                <w:b w:val="0"/>
                <w:bCs/>
                <w:sz w:val="15"/>
                <w:szCs w:val="15"/>
              </w:rPr>
              <w:t>□红继木</w:t>
            </w:r>
          </w:p>
        </w:tc>
        <w:tc>
          <w:tcPr>
            <w:tcW w:w="0" w:type="auto"/>
          </w:tcPr>
          <w:p w14:paraId="5E077EC5" w14:textId="20AFCCC3" w:rsidR="00590E62" w:rsidRPr="009B5516" w:rsidRDefault="00590E62" w:rsidP="009B5516">
            <w:pPr>
              <w:pStyle w:val="ae"/>
              <w:rPr>
                <w:b w:val="0"/>
                <w:bCs/>
                <w:sz w:val="15"/>
                <w:szCs w:val="15"/>
              </w:rPr>
            </w:pPr>
            <w:r w:rsidRPr="009B5516">
              <w:rPr>
                <w:rFonts w:hint="eastAsia"/>
                <w:b w:val="0"/>
                <w:bCs/>
                <w:sz w:val="15"/>
                <w:szCs w:val="15"/>
              </w:rPr>
              <w:t>□杜鹃</w:t>
            </w:r>
            <w:r w:rsidRPr="009B5516">
              <w:rPr>
                <w:rFonts w:hint="eastAsia"/>
                <w:b w:val="0"/>
                <w:bCs/>
                <w:sz w:val="15"/>
                <w:szCs w:val="15"/>
              </w:rPr>
              <w:t>*</w:t>
            </w:r>
          </w:p>
        </w:tc>
      </w:tr>
      <w:tr w:rsidR="00590E62" w:rsidRPr="009B5516" w14:paraId="706C1055" w14:textId="77777777" w:rsidTr="009B5516">
        <w:trPr>
          <w:jc w:val="center"/>
        </w:trPr>
        <w:tc>
          <w:tcPr>
            <w:tcW w:w="0" w:type="auto"/>
          </w:tcPr>
          <w:p w14:paraId="20FE9E68" w14:textId="77777777" w:rsidR="00590E62" w:rsidRPr="009B5516" w:rsidRDefault="00590E62" w:rsidP="009B5516">
            <w:pPr>
              <w:pStyle w:val="ae"/>
              <w:rPr>
                <w:b w:val="0"/>
                <w:bCs/>
                <w:sz w:val="15"/>
                <w:szCs w:val="15"/>
              </w:rPr>
            </w:pPr>
            <w:r w:rsidRPr="009B5516">
              <w:rPr>
                <w:rFonts w:hint="eastAsia"/>
                <w:b w:val="0"/>
                <w:bCs/>
                <w:sz w:val="15"/>
                <w:szCs w:val="15"/>
              </w:rPr>
              <w:t>□金叶女贞</w:t>
            </w:r>
          </w:p>
        </w:tc>
        <w:tc>
          <w:tcPr>
            <w:tcW w:w="0" w:type="auto"/>
          </w:tcPr>
          <w:p w14:paraId="630FAC8F" w14:textId="77777777" w:rsidR="00590E62" w:rsidRPr="009B5516" w:rsidRDefault="00590E62" w:rsidP="009B5516">
            <w:pPr>
              <w:pStyle w:val="ae"/>
              <w:rPr>
                <w:b w:val="0"/>
                <w:bCs/>
                <w:sz w:val="15"/>
                <w:szCs w:val="15"/>
              </w:rPr>
            </w:pPr>
            <w:r w:rsidRPr="009B5516">
              <w:rPr>
                <w:rFonts w:hint="eastAsia"/>
                <w:b w:val="0"/>
                <w:bCs/>
                <w:sz w:val="15"/>
                <w:szCs w:val="15"/>
              </w:rPr>
              <w:t>□佛顶桂</w:t>
            </w:r>
          </w:p>
        </w:tc>
        <w:tc>
          <w:tcPr>
            <w:tcW w:w="0" w:type="auto"/>
          </w:tcPr>
          <w:p w14:paraId="6B5BCD4D" w14:textId="77777777" w:rsidR="00590E62" w:rsidRPr="009B5516" w:rsidRDefault="00590E62" w:rsidP="009B5516">
            <w:pPr>
              <w:pStyle w:val="ae"/>
              <w:rPr>
                <w:b w:val="0"/>
                <w:bCs/>
                <w:sz w:val="15"/>
                <w:szCs w:val="15"/>
              </w:rPr>
            </w:pPr>
            <w:r w:rsidRPr="009B5516">
              <w:rPr>
                <w:rFonts w:hint="eastAsia"/>
                <w:b w:val="0"/>
                <w:bCs/>
                <w:sz w:val="15"/>
                <w:szCs w:val="15"/>
              </w:rPr>
              <w:t>□茶梅</w:t>
            </w:r>
          </w:p>
        </w:tc>
        <w:tc>
          <w:tcPr>
            <w:tcW w:w="0" w:type="auto"/>
          </w:tcPr>
          <w:p w14:paraId="3BDFFDA1" w14:textId="77777777" w:rsidR="00590E62" w:rsidRPr="009B5516" w:rsidRDefault="00590E62" w:rsidP="009B5516">
            <w:pPr>
              <w:pStyle w:val="ae"/>
              <w:rPr>
                <w:b w:val="0"/>
                <w:bCs/>
                <w:sz w:val="15"/>
                <w:szCs w:val="15"/>
              </w:rPr>
            </w:pPr>
            <w:r w:rsidRPr="009B5516">
              <w:rPr>
                <w:rFonts w:hint="eastAsia"/>
                <w:b w:val="0"/>
                <w:bCs/>
                <w:sz w:val="15"/>
                <w:szCs w:val="15"/>
              </w:rPr>
              <w:t>□萼距花</w:t>
            </w:r>
          </w:p>
        </w:tc>
        <w:tc>
          <w:tcPr>
            <w:tcW w:w="0" w:type="auto"/>
          </w:tcPr>
          <w:p w14:paraId="1B11F0AB" w14:textId="77777777" w:rsidR="00590E62" w:rsidRPr="009B5516" w:rsidRDefault="00590E62" w:rsidP="009B5516">
            <w:pPr>
              <w:pStyle w:val="ae"/>
              <w:rPr>
                <w:b w:val="0"/>
                <w:bCs/>
                <w:sz w:val="15"/>
                <w:szCs w:val="15"/>
              </w:rPr>
            </w:pPr>
            <w:r w:rsidRPr="009B5516">
              <w:rPr>
                <w:rFonts w:hint="eastAsia"/>
                <w:b w:val="0"/>
                <w:bCs/>
                <w:sz w:val="15"/>
                <w:szCs w:val="15"/>
              </w:rPr>
              <w:t>□八角金盘</w:t>
            </w:r>
          </w:p>
        </w:tc>
        <w:tc>
          <w:tcPr>
            <w:tcW w:w="0" w:type="auto"/>
          </w:tcPr>
          <w:p w14:paraId="1A4A882C" w14:textId="77777777" w:rsidR="00590E62" w:rsidRPr="009B5516" w:rsidRDefault="00590E62" w:rsidP="009B5516">
            <w:pPr>
              <w:pStyle w:val="ae"/>
              <w:rPr>
                <w:b w:val="0"/>
                <w:bCs/>
                <w:sz w:val="15"/>
                <w:szCs w:val="15"/>
              </w:rPr>
            </w:pPr>
            <w:r w:rsidRPr="009B5516">
              <w:rPr>
                <w:rFonts w:hint="eastAsia"/>
                <w:b w:val="0"/>
                <w:bCs/>
                <w:sz w:val="15"/>
                <w:szCs w:val="15"/>
              </w:rPr>
              <w:t>□红花油茶</w:t>
            </w:r>
          </w:p>
        </w:tc>
        <w:tc>
          <w:tcPr>
            <w:tcW w:w="0" w:type="auto"/>
          </w:tcPr>
          <w:p w14:paraId="3856AE5E" w14:textId="77777777" w:rsidR="00590E62" w:rsidRPr="009B5516" w:rsidRDefault="00590E62" w:rsidP="009B5516">
            <w:pPr>
              <w:pStyle w:val="ae"/>
              <w:rPr>
                <w:b w:val="0"/>
                <w:bCs/>
                <w:sz w:val="15"/>
                <w:szCs w:val="15"/>
              </w:rPr>
            </w:pPr>
            <w:r w:rsidRPr="009B5516">
              <w:rPr>
                <w:rFonts w:hint="eastAsia"/>
                <w:b w:val="0"/>
                <w:bCs/>
                <w:sz w:val="15"/>
                <w:szCs w:val="15"/>
              </w:rPr>
              <w:t>□毛叶丁香</w:t>
            </w:r>
          </w:p>
        </w:tc>
      </w:tr>
      <w:tr w:rsidR="00590E62" w:rsidRPr="009B5516" w14:paraId="7CACB819" w14:textId="77777777" w:rsidTr="009B5516">
        <w:trPr>
          <w:jc w:val="center"/>
        </w:trPr>
        <w:tc>
          <w:tcPr>
            <w:tcW w:w="0" w:type="auto"/>
          </w:tcPr>
          <w:p w14:paraId="7CBB71F4" w14:textId="77777777" w:rsidR="00590E62" w:rsidRPr="009B5516" w:rsidRDefault="00590E62" w:rsidP="009B5516">
            <w:pPr>
              <w:pStyle w:val="ae"/>
              <w:rPr>
                <w:b w:val="0"/>
                <w:bCs/>
                <w:sz w:val="15"/>
                <w:szCs w:val="15"/>
              </w:rPr>
            </w:pPr>
            <w:r w:rsidRPr="009B5516">
              <w:rPr>
                <w:rFonts w:hint="eastAsia"/>
                <w:b w:val="0"/>
                <w:bCs/>
                <w:sz w:val="15"/>
                <w:szCs w:val="15"/>
              </w:rPr>
              <w:t>□铺地柏</w:t>
            </w:r>
          </w:p>
        </w:tc>
        <w:tc>
          <w:tcPr>
            <w:tcW w:w="0" w:type="auto"/>
          </w:tcPr>
          <w:p w14:paraId="3E0F9F31" w14:textId="77777777" w:rsidR="00590E62" w:rsidRPr="009B5516" w:rsidRDefault="00590E62" w:rsidP="009B5516">
            <w:pPr>
              <w:pStyle w:val="ae"/>
              <w:rPr>
                <w:b w:val="0"/>
                <w:bCs/>
                <w:sz w:val="15"/>
                <w:szCs w:val="15"/>
              </w:rPr>
            </w:pPr>
            <w:r w:rsidRPr="009B5516">
              <w:rPr>
                <w:rFonts w:hint="eastAsia"/>
                <w:b w:val="0"/>
                <w:bCs/>
                <w:sz w:val="15"/>
                <w:szCs w:val="15"/>
              </w:rPr>
              <w:t>□翠柏</w:t>
            </w:r>
          </w:p>
        </w:tc>
        <w:tc>
          <w:tcPr>
            <w:tcW w:w="0" w:type="auto"/>
          </w:tcPr>
          <w:p w14:paraId="785AF6E2" w14:textId="77777777" w:rsidR="00590E62" w:rsidRPr="009B5516" w:rsidRDefault="00590E62" w:rsidP="009B5516">
            <w:pPr>
              <w:pStyle w:val="ae"/>
              <w:rPr>
                <w:b w:val="0"/>
                <w:bCs/>
                <w:sz w:val="15"/>
                <w:szCs w:val="15"/>
              </w:rPr>
            </w:pPr>
            <w:r w:rsidRPr="009B5516">
              <w:rPr>
                <w:rFonts w:hint="eastAsia"/>
                <w:b w:val="0"/>
                <w:bCs/>
                <w:sz w:val="15"/>
                <w:szCs w:val="15"/>
              </w:rPr>
              <w:t>□一叶兰</w:t>
            </w:r>
          </w:p>
        </w:tc>
        <w:tc>
          <w:tcPr>
            <w:tcW w:w="0" w:type="auto"/>
          </w:tcPr>
          <w:p w14:paraId="54BE455F" w14:textId="77777777" w:rsidR="00590E62" w:rsidRPr="009B5516" w:rsidRDefault="00590E62" w:rsidP="009B5516">
            <w:pPr>
              <w:pStyle w:val="ae"/>
              <w:rPr>
                <w:b w:val="0"/>
                <w:bCs/>
                <w:sz w:val="15"/>
                <w:szCs w:val="15"/>
              </w:rPr>
            </w:pPr>
            <w:r w:rsidRPr="009B5516">
              <w:rPr>
                <w:rFonts w:hint="eastAsia"/>
                <w:b w:val="0"/>
                <w:bCs/>
                <w:sz w:val="15"/>
                <w:szCs w:val="15"/>
              </w:rPr>
              <w:t>□水麻</w:t>
            </w:r>
          </w:p>
        </w:tc>
        <w:tc>
          <w:tcPr>
            <w:tcW w:w="0" w:type="auto"/>
          </w:tcPr>
          <w:p w14:paraId="22781E5D" w14:textId="77777777" w:rsidR="00590E62" w:rsidRPr="009B5516" w:rsidRDefault="00590E62" w:rsidP="009B5516">
            <w:pPr>
              <w:pStyle w:val="ae"/>
              <w:rPr>
                <w:b w:val="0"/>
                <w:bCs/>
                <w:sz w:val="15"/>
                <w:szCs w:val="15"/>
              </w:rPr>
            </w:pPr>
            <w:r w:rsidRPr="009B5516">
              <w:rPr>
                <w:rFonts w:hint="eastAsia"/>
                <w:b w:val="0"/>
                <w:bCs/>
                <w:sz w:val="15"/>
                <w:szCs w:val="15"/>
              </w:rPr>
              <w:t>□九里香</w:t>
            </w:r>
          </w:p>
        </w:tc>
        <w:tc>
          <w:tcPr>
            <w:tcW w:w="0" w:type="auto"/>
          </w:tcPr>
          <w:p w14:paraId="753188E2" w14:textId="77777777" w:rsidR="00590E62" w:rsidRPr="009B5516" w:rsidRDefault="00590E62" w:rsidP="009B5516">
            <w:pPr>
              <w:pStyle w:val="ae"/>
              <w:rPr>
                <w:b w:val="0"/>
                <w:bCs/>
                <w:sz w:val="15"/>
                <w:szCs w:val="15"/>
              </w:rPr>
            </w:pPr>
            <w:r w:rsidRPr="009B5516">
              <w:rPr>
                <w:rFonts w:hint="eastAsia"/>
                <w:b w:val="0"/>
                <w:bCs/>
                <w:sz w:val="15"/>
                <w:szCs w:val="15"/>
              </w:rPr>
              <w:t>□黄荆</w:t>
            </w:r>
          </w:p>
        </w:tc>
        <w:tc>
          <w:tcPr>
            <w:tcW w:w="0" w:type="auto"/>
          </w:tcPr>
          <w:p w14:paraId="085D41A9" w14:textId="77777777" w:rsidR="00590E62" w:rsidRPr="009B5516" w:rsidRDefault="00590E62" w:rsidP="009B5516">
            <w:pPr>
              <w:pStyle w:val="ae"/>
              <w:rPr>
                <w:b w:val="0"/>
                <w:bCs/>
                <w:sz w:val="15"/>
                <w:szCs w:val="15"/>
              </w:rPr>
            </w:pPr>
            <w:r w:rsidRPr="009B5516">
              <w:rPr>
                <w:rFonts w:hint="eastAsia"/>
                <w:b w:val="0"/>
                <w:bCs/>
                <w:sz w:val="15"/>
                <w:szCs w:val="15"/>
              </w:rPr>
              <w:t>□珊瑚树（</w:t>
            </w:r>
            <w:r w:rsidRPr="009B5516">
              <w:rPr>
                <w:rFonts w:hint="eastAsia"/>
                <w:b w:val="0"/>
                <w:bCs/>
                <w:sz w:val="15"/>
                <w:szCs w:val="15"/>
              </w:rPr>
              <w:t>3</w:t>
            </w:r>
            <w:r w:rsidRPr="009B5516">
              <w:rPr>
                <w:rFonts w:hint="eastAsia"/>
                <w:b w:val="0"/>
                <w:bCs/>
                <w:sz w:val="15"/>
                <w:szCs w:val="15"/>
              </w:rPr>
              <w:t>）</w:t>
            </w:r>
          </w:p>
        </w:tc>
      </w:tr>
      <w:tr w:rsidR="00590E62" w:rsidRPr="009B5516" w14:paraId="2C6638F5" w14:textId="77777777" w:rsidTr="009B5516">
        <w:trPr>
          <w:jc w:val="center"/>
        </w:trPr>
        <w:tc>
          <w:tcPr>
            <w:tcW w:w="0" w:type="auto"/>
          </w:tcPr>
          <w:p w14:paraId="091F90C5" w14:textId="134F1043" w:rsidR="00590E62" w:rsidRPr="009B5516" w:rsidRDefault="00590E62" w:rsidP="009B5516">
            <w:pPr>
              <w:pStyle w:val="ae"/>
              <w:rPr>
                <w:b w:val="0"/>
                <w:bCs/>
                <w:sz w:val="15"/>
                <w:szCs w:val="15"/>
              </w:rPr>
            </w:pPr>
            <w:r w:rsidRPr="009B5516">
              <w:rPr>
                <w:rFonts w:hint="eastAsia"/>
                <w:b w:val="0"/>
                <w:bCs/>
                <w:sz w:val="15"/>
                <w:szCs w:val="15"/>
              </w:rPr>
              <w:t>□月季</w:t>
            </w:r>
            <w:r w:rsidRPr="009B5516">
              <w:rPr>
                <w:rFonts w:hint="eastAsia"/>
                <w:b w:val="0"/>
                <w:bCs/>
                <w:sz w:val="15"/>
                <w:szCs w:val="15"/>
              </w:rPr>
              <w:t>*</w:t>
            </w:r>
          </w:p>
        </w:tc>
        <w:tc>
          <w:tcPr>
            <w:tcW w:w="0" w:type="auto"/>
          </w:tcPr>
          <w:p w14:paraId="1B018872" w14:textId="5B2F8F63" w:rsidR="00590E62" w:rsidRPr="009B5516" w:rsidRDefault="00590E62" w:rsidP="009B5516">
            <w:pPr>
              <w:pStyle w:val="ae"/>
              <w:rPr>
                <w:b w:val="0"/>
                <w:bCs/>
                <w:sz w:val="15"/>
                <w:szCs w:val="15"/>
              </w:rPr>
            </w:pPr>
            <w:r w:rsidRPr="009B5516">
              <w:rPr>
                <w:rFonts w:hint="eastAsia"/>
                <w:b w:val="0"/>
                <w:bCs/>
                <w:sz w:val="15"/>
                <w:szCs w:val="15"/>
              </w:rPr>
              <w:t>□扶桑</w:t>
            </w:r>
            <w:r w:rsidRPr="009B5516">
              <w:rPr>
                <w:rFonts w:hint="eastAsia"/>
                <w:b w:val="0"/>
                <w:bCs/>
                <w:sz w:val="15"/>
                <w:szCs w:val="15"/>
              </w:rPr>
              <w:t>*</w:t>
            </w:r>
            <w:r w:rsidRPr="009B5516">
              <w:rPr>
                <w:rFonts w:hint="eastAsia"/>
                <w:b w:val="0"/>
                <w:bCs/>
                <w:sz w:val="15"/>
                <w:szCs w:val="15"/>
              </w:rPr>
              <w:t>（</w:t>
            </w:r>
            <w:r w:rsidRPr="009B5516">
              <w:rPr>
                <w:rFonts w:hint="eastAsia"/>
                <w:b w:val="0"/>
                <w:bCs/>
                <w:sz w:val="15"/>
                <w:szCs w:val="15"/>
              </w:rPr>
              <w:t>2</w:t>
            </w:r>
            <w:r w:rsidRPr="009B5516">
              <w:rPr>
                <w:rFonts w:hint="eastAsia"/>
                <w:b w:val="0"/>
                <w:bCs/>
                <w:sz w:val="15"/>
                <w:szCs w:val="15"/>
              </w:rPr>
              <w:t>）</w:t>
            </w:r>
          </w:p>
        </w:tc>
        <w:tc>
          <w:tcPr>
            <w:tcW w:w="0" w:type="auto"/>
          </w:tcPr>
          <w:p w14:paraId="24DC3DB4" w14:textId="77777777" w:rsidR="00590E62" w:rsidRPr="009B5516" w:rsidRDefault="00590E62" w:rsidP="009B5516">
            <w:pPr>
              <w:pStyle w:val="ae"/>
              <w:rPr>
                <w:b w:val="0"/>
                <w:bCs/>
                <w:sz w:val="15"/>
                <w:szCs w:val="15"/>
              </w:rPr>
            </w:pPr>
            <w:r w:rsidRPr="009B5516">
              <w:rPr>
                <w:rFonts w:hint="eastAsia"/>
                <w:b w:val="0"/>
                <w:bCs/>
                <w:sz w:val="15"/>
                <w:szCs w:val="15"/>
              </w:rPr>
              <w:t>□木槿（</w:t>
            </w:r>
            <w:r w:rsidRPr="009B5516">
              <w:rPr>
                <w:rFonts w:hint="eastAsia"/>
                <w:b w:val="0"/>
                <w:bCs/>
                <w:sz w:val="15"/>
                <w:szCs w:val="15"/>
              </w:rPr>
              <w:t>2</w:t>
            </w:r>
            <w:r w:rsidRPr="009B5516">
              <w:rPr>
                <w:rFonts w:hint="eastAsia"/>
                <w:b w:val="0"/>
                <w:bCs/>
                <w:sz w:val="15"/>
                <w:szCs w:val="15"/>
              </w:rPr>
              <w:t>）</w:t>
            </w:r>
          </w:p>
        </w:tc>
        <w:tc>
          <w:tcPr>
            <w:tcW w:w="0" w:type="auto"/>
          </w:tcPr>
          <w:p w14:paraId="3037F663" w14:textId="77777777" w:rsidR="00590E62" w:rsidRPr="009B5516" w:rsidRDefault="00590E62" w:rsidP="009B5516">
            <w:pPr>
              <w:pStyle w:val="ae"/>
              <w:rPr>
                <w:b w:val="0"/>
                <w:bCs/>
                <w:sz w:val="15"/>
                <w:szCs w:val="15"/>
              </w:rPr>
            </w:pPr>
            <w:r w:rsidRPr="009B5516">
              <w:rPr>
                <w:rFonts w:hint="eastAsia"/>
                <w:b w:val="0"/>
                <w:bCs/>
                <w:sz w:val="15"/>
                <w:szCs w:val="15"/>
              </w:rPr>
              <w:t>□金银木</w:t>
            </w:r>
          </w:p>
        </w:tc>
        <w:tc>
          <w:tcPr>
            <w:tcW w:w="0" w:type="auto"/>
          </w:tcPr>
          <w:p w14:paraId="6DF3FF31" w14:textId="77777777" w:rsidR="00590E62" w:rsidRPr="009B5516" w:rsidRDefault="00590E62" w:rsidP="009B5516">
            <w:pPr>
              <w:pStyle w:val="ae"/>
              <w:rPr>
                <w:b w:val="0"/>
                <w:bCs/>
                <w:sz w:val="15"/>
                <w:szCs w:val="15"/>
              </w:rPr>
            </w:pPr>
            <w:r w:rsidRPr="009B5516">
              <w:rPr>
                <w:rFonts w:hint="eastAsia"/>
                <w:b w:val="0"/>
                <w:bCs/>
                <w:sz w:val="15"/>
                <w:szCs w:val="15"/>
              </w:rPr>
              <w:t>□醉鱼草</w:t>
            </w:r>
          </w:p>
        </w:tc>
        <w:tc>
          <w:tcPr>
            <w:tcW w:w="0" w:type="auto"/>
          </w:tcPr>
          <w:p w14:paraId="4491E2BA" w14:textId="77777777" w:rsidR="00590E62" w:rsidRPr="009B5516" w:rsidRDefault="00590E62" w:rsidP="009B5516">
            <w:pPr>
              <w:pStyle w:val="ae"/>
              <w:rPr>
                <w:b w:val="0"/>
                <w:bCs/>
                <w:sz w:val="15"/>
                <w:szCs w:val="15"/>
              </w:rPr>
            </w:pPr>
            <w:r w:rsidRPr="009B5516">
              <w:rPr>
                <w:rFonts w:hint="eastAsia"/>
                <w:b w:val="0"/>
                <w:bCs/>
                <w:sz w:val="15"/>
                <w:szCs w:val="15"/>
              </w:rPr>
              <w:t>□石榴（</w:t>
            </w:r>
            <w:r w:rsidRPr="009B5516">
              <w:rPr>
                <w:rFonts w:hint="eastAsia"/>
                <w:b w:val="0"/>
                <w:bCs/>
                <w:sz w:val="15"/>
                <w:szCs w:val="15"/>
              </w:rPr>
              <w:t>2</w:t>
            </w:r>
            <w:r w:rsidRPr="009B5516">
              <w:rPr>
                <w:rFonts w:hint="eastAsia"/>
                <w:b w:val="0"/>
                <w:bCs/>
                <w:sz w:val="15"/>
                <w:szCs w:val="15"/>
              </w:rPr>
              <w:t>）</w:t>
            </w:r>
          </w:p>
        </w:tc>
        <w:tc>
          <w:tcPr>
            <w:tcW w:w="0" w:type="auto"/>
          </w:tcPr>
          <w:p w14:paraId="2BB3D103" w14:textId="4A9CB9E2" w:rsidR="00590E62" w:rsidRPr="009B5516" w:rsidRDefault="00590E62" w:rsidP="009B5516">
            <w:pPr>
              <w:pStyle w:val="ae"/>
              <w:rPr>
                <w:b w:val="0"/>
                <w:bCs/>
                <w:sz w:val="15"/>
                <w:szCs w:val="15"/>
              </w:rPr>
            </w:pPr>
            <w:r w:rsidRPr="009B5516">
              <w:rPr>
                <w:rFonts w:hint="eastAsia"/>
                <w:b w:val="0"/>
                <w:bCs/>
                <w:sz w:val="15"/>
                <w:szCs w:val="15"/>
              </w:rPr>
              <w:t>□胡颓子</w:t>
            </w:r>
            <w:r w:rsidRPr="009B5516">
              <w:rPr>
                <w:rFonts w:hint="eastAsia"/>
                <w:b w:val="0"/>
                <w:bCs/>
                <w:sz w:val="15"/>
                <w:szCs w:val="15"/>
              </w:rPr>
              <w:t>*</w:t>
            </w:r>
          </w:p>
        </w:tc>
      </w:tr>
      <w:tr w:rsidR="00590E62" w:rsidRPr="009B5516" w14:paraId="5ADD2F1A" w14:textId="77777777" w:rsidTr="009B5516">
        <w:trPr>
          <w:jc w:val="center"/>
        </w:trPr>
        <w:tc>
          <w:tcPr>
            <w:tcW w:w="0" w:type="auto"/>
          </w:tcPr>
          <w:p w14:paraId="68A3D2D0" w14:textId="77777777" w:rsidR="00590E62" w:rsidRPr="009B5516" w:rsidRDefault="00590E62" w:rsidP="009B5516">
            <w:pPr>
              <w:pStyle w:val="ae"/>
              <w:rPr>
                <w:b w:val="0"/>
                <w:bCs/>
                <w:sz w:val="15"/>
                <w:szCs w:val="15"/>
              </w:rPr>
            </w:pPr>
            <w:r w:rsidRPr="009B5516">
              <w:rPr>
                <w:rFonts w:hint="eastAsia"/>
                <w:b w:val="0"/>
                <w:bCs/>
                <w:sz w:val="15"/>
                <w:szCs w:val="15"/>
              </w:rPr>
              <w:t>□绣球</w:t>
            </w:r>
          </w:p>
        </w:tc>
        <w:tc>
          <w:tcPr>
            <w:tcW w:w="0" w:type="auto"/>
          </w:tcPr>
          <w:p w14:paraId="6FDB5E29" w14:textId="77777777" w:rsidR="00590E62" w:rsidRPr="009B5516" w:rsidRDefault="00590E62" w:rsidP="009B5516">
            <w:pPr>
              <w:pStyle w:val="ae"/>
              <w:rPr>
                <w:b w:val="0"/>
                <w:bCs/>
                <w:sz w:val="15"/>
                <w:szCs w:val="15"/>
              </w:rPr>
            </w:pPr>
            <w:r w:rsidRPr="009B5516">
              <w:rPr>
                <w:rFonts w:hint="eastAsia"/>
                <w:b w:val="0"/>
                <w:bCs/>
                <w:sz w:val="15"/>
                <w:szCs w:val="15"/>
              </w:rPr>
              <w:t>□结香（</w:t>
            </w:r>
            <w:r w:rsidRPr="009B5516">
              <w:rPr>
                <w:rFonts w:hint="eastAsia"/>
                <w:b w:val="0"/>
                <w:bCs/>
                <w:sz w:val="15"/>
                <w:szCs w:val="15"/>
              </w:rPr>
              <w:t>2</w:t>
            </w:r>
            <w:r w:rsidRPr="009B5516">
              <w:rPr>
                <w:rFonts w:hint="eastAsia"/>
                <w:b w:val="0"/>
                <w:bCs/>
                <w:sz w:val="15"/>
                <w:szCs w:val="15"/>
              </w:rPr>
              <w:t>）</w:t>
            </w:r>
          </w:p>
        </w:tc>
        <w:tc>
          <w:tcPr>
            <w:tcW w:w="0" w:type="auto"/>
          </w:tcPr>
          <w:p w14:paraId="4DB83A9D" w14:textId="77777777" w:rsidR="00590E62" w:rsidRPr="009B5516" w:rsidRDefault="00590E62" w:rsidP="009B5516">
            <w:pPr>
              <w:pStyle w:val="ae"/>
              <w:rPr>
                <w:b w:val="0"/>
                <w:bCs/>
                <w:sz w:val="15"/>
                <w:szCs w:val="15"/>
              </w:rPr>
            </w:pPr>
            <w:r w:rsidRPr="009B5516">
              <w:rPr>
                <w:rFonts w:hint="eastAsia"/>
                <w:b w:val="0"/>
                <w:bCs/>
                <w:sz w:val="15"/>
                <w:szCs w:val="15"/>
              </w:rPr>
              <w:t>□溲疏</w:t>
            </w:r>
          </w:p>
        </w:tc>
        <w:tc>
          <w:tcPr>
            <w:tcW w:w="0" w:type="auto"/>
          </w:tcPr>
          <w:p w14:paraId="2FAD6C48" w14:textId="77777777" w:rsidR="00590E62" w:rsidRPr="009B5516" w:rsidRDefault="00590E62" w:rsidP="009B5516">
            <w:pPr>
              <w:pStyle w:val="ae"/>
              <w:rPr>
                <w:b w:val="0"/>
                <w:bCs/>
                <w:sz w:val="15"/>
                <w:szCs w:val="15"/>
              </w:rPr>
            </w:pPr>
            <w:r w:rsidRPr="009B5516">
              <w:rPr>
                <w:rFonts w:hint="eastAsia"/>
                <w:b w:val="0"/>
                <w:bCs/>
                <w:sz w:val="15"/>
                <w:szCs w:val="15"/>
              </w:rPr>
              <w:t>□紫叶小檗</w:t>
            </w:r>
          </w:p>
        </w:tc>
        <w:tc>
          <w:tcPr>
            <w:tcW w:w="0" w:type="auto"/>
          </w:tcPr>
          <w:p w14:paraId="2B1FD86E" w14:textId="77777777" w:rsidR="00590E62" w:rsidRPr="009B5516" w:rsidRDefault="00590E62" w:rsidP="009B5516">
            <w:pPr>
              <w:pStyle w:val="ae"/>
              <w:rPr>
                <w:b w:val="0"/>
                <w:bCs/>
                <w:sz w:val="15"/>
                <w:szCs w:val="15"/>
              </w:rPr>
            </w:pPr>
            <w:r w:rsidRPr="009B5516">
              <w:rPr>
                <w:rFonts w:hint="eastAsia"/>
                <w:b w:val="0"/>
                <w:bCs/>
                <w:sz w:val="15"/>
                <w:szCs w:val="15"/>
              </w:rPr>
              <w:t>□棣棠</w:t>
            </w:r>
          </w:p>
        </w:tc>
        <w:tc>
          <w:tcPr>
            <w:tcW w:w="0" w:type="auto"/>
          </w:tcPr>
          <w:p w14:paraId="7FBEB85E" w14:textId="77777777" w:rsidR="00590E62" w:rsidRPr="009B5516" w:rsidRDefault="00590E62" w:rsidP="009B5516">
            <w:pPr>
              <w:pStyle w:val="ae"/>
              <w:rPr>
                <w:b w:val="0"/>
                <w:bCs/>
                <w:sz w:val="15"/>
                <w:szCs w:val="15"/>
              </w:rPr>
            </w:pPr>
            <w:r w:rsidRPr="009B5516">
              <w:rPr>
                <w:rFonts w:hint="eastAsia"/>
                <w:b w:val="0"/>
                <w:bCs/>
                <w:sz w:val="15"/>
                <w:szCs w:val="15"/>
              </w:rPr>
              <w:t>□绣线菊</w:t>
            </w:r>
          </w:p>
        </w:tc>
        <w:tc>
          <w:tcPr>
            <w:tcW w:w="0" w:type="auto"/>
          </w:tcPr>
          <w:p w14:paraId="52B3E822" w14:textId="77777777" w:rsidR="00590E62" w:rsidRPr="009B5516" w:rsidRDefault="00590E62" w:rsidP="009B5516">
            <w:pPr>
              <w:pStyle w:val="ae"/>
              <w:rPr>
                <w:b w:val="0"/>
                <w:bCs/>
                <w:sz w:val="15"/>
                <w:szCs w:val="15"/>
              </w:rPr>
            </w:pPr>
            <w:r w:rsidRPr="009B5516">
              <w:rPr>
                <w:rFonts w:hint="eastAsia"/>
                <w:b w:val="0"/>
                <w:bCs/>
                <w:sz w:val="15"/>
                <w:szCs w:val="15"/>
              </w:rPr>
              <w:t>□牡丹</w:t>
            </w:r>
          </w:p>
        </w:tc>
      </w:tr>
      <w:tr w:rsidR="00590E62" w:rsidRPr="009B5516" w14:paraId="0746881D" w14:textId="77777777" w:rsidTr="009B5516">
        <w:trPr>
          <w:jc w:val="center"/>
        </w:trPr>
        <w:tc>
          <w:tcPr>
            <w:tcW w:w="0" w:type="auto"/>
          </w:tcPr>
          <w:p w14:paraId="7264CE9C" w14:textId="77777777" w:rsidR="00590E62" w:rsidRPr="009B5516" w:rsidRDefault="00590E62" w:rsidP="009B5516">
            <w:pPr>
              <w:pStyle w:val="ae"/>
              <w:rPr>
                <w:b w:val="0"/>
                <w:bCs/>
                <w:sz w:val="15"/>
                <w:szCs w:val="15"/>
              </w:rPr>
            </w:pPr>
            <w:r w:rsidRPr="009B5516">
              <w:rPr>
                <w:rFonts w:hint="eastAsia"/>
                <w:b w:val="0"/>
                <w:bCs/>
                <w:sz w:val="15"/>
                <w:szCs w:val="15"/>
              </w:rPr>
              <w:t>□金丝桃</w:t>
            </w:r>
          </w:p>
        </w:tc>
        <w:tc>
          <w:tcPr>
            <w:tcW w:w="0" w:type="auto"/>
          </w:tcPr>
          <w:p w14:paraId="20573288" w14:textId="7993E2AC" w:rsidR="00590E62" w:rsidRPr="009B5516" w:rsidRDefault="00590E62" w:rsidP="009B5516">
            <w:pPr>
              <w:pStyle w:val="ae"/>
              <w:rPr>
                <w:b w:val="0"/>
                <w:bCs/>
                <w:sz w:val="15"/>
                <w:szCs w:val="15"/>
              </w:rPr>
            </w:pPr>
            <w:r w:rsidRPr="009B5516">
              <w:rPr>
                <w:rFonts w:hint="eastAsia"/>
                <w:b w:val="0"/>
                <w:bCs/>
                <w:sz w:val="15"/>
                <w:szCs w:val="15"/>
              </w:rPr>
              <w:t>□千头柏</w:t>
            </w:r>
            <w:r w:rsidRPr="009B5516">
              <w:rPr>
                <w:rFonts w:hint="eastAsia"/>
                <w:b w:val="0"/>
                <w:bCs/>
                <w:sz w:val="15"/>
                <w:szCs w:val="15"/>
              </w:rPr>
              <w:t>*</w:t>
            </w:r>
            <w:r w:rsidRPr="009B5516">
              <w:rPr>
                <w:rFonts w:hint="eastAsia"/>
                <w:b w:val="0"/>
                <w:bCs/>
                <w:sz w:val="15"/>
                <w:szCs w:val="15"/>
              </w:rPr>
              <w:t>（</w:t>
            </w:r>
            <w:r w:rsidRPr="009B5516">
              <w:rPr>
                <w:rFonts w:hint="eastAsia"/>
                <w:b w:val="0"/>
                <w:bCs/>
                <w:sz w:val="15"/>
                <w:szCs w:val="15"/>
              </w:rPr>
              <w:t>3</w:t>
            </w:r>
            <w:r w:rsidRPr="009B5516">
              <w:rPr>
                <w:rFonts w:hint="eastAsia"/>
                <w:b w:val="0"/>
                <w:bCs/>
                <w:sz w:val="15"/>
                <w:szCs w:val="15"/>
              </w:rPr>
              <w:t>）</w:t>
            </w:r>
          </w:p>
        </w:tc>
        <w:tc>
          <w:tcPr>
            <w:tcW w:w="0" w:type="auto"/>
          </w:tcPr>
          <w:p w14:paraId="4C3A489F" w14:textId="77777777" w:rsidR="00590E62" w:rsidRPr="009B5516" w:rsidRDefault="00590E62" w:rsidP="009B5516">
            <w:pPr>
              <w:pStyle w:val="ae"/>
              <w:rPr>
                <w:b w:val="0"/>
                <w:bCs/>
                <w:sz w:val="15"/>
                <w:szCs w:val="15"/>
              </w:rPr>
            </w:pPr>
            <w:r w:rsidRPr="009B5516">
              <w:rPr>
                <w:rFonts w:hint="eastAsia"/>
                <w:b w:val="0"/>
                <w:bCs/>
                <w:sz w:val="15"/>
                <w:szCs w:val="15"/>
              </w:rPr>
              <w:t>□</w:t>
            </w:r>
            <w:r w:rsidRPr="009B5516">
              <w:rPr>
                <w:b w:val="0"/>
                <w:bCs/>
                <w:sz w:val="15"/>
                <w:szCs w:val="15"/>
              </w:rPr>
              <w:t>蜡</w:t>
            </w:r>
            <w:r w:rsidRPr="009B5516">
              <w:rPr>
                <w:rFonts w:hint="eastAsia"/>
                <w:b w:val="0"/>
                <w:bCs/>
                <w:sz w:val="15"/>
                <w:szCs w:val="15"/>
              </w:rPr>
              <w:t>梅（</w:t>
            </w:r>
            <w:r w:rsidRPr="009B5516">
              <w:rPr>
                <w:rFonts w:hint="eastAsia"/>
                <w:b w:val="0"/>
                <w:bCs/>
                <w:sz w:val="15"/>
                <w:szCs w:val="15"/>
              </w:rPr>
              <w:t>2</w:t>
            </w:r>
            <w:r w:rsidRPr="009B5516">
              <w:rPr>
                <w:rFonts w:hint="eastAsia"/>
                <w:b w:val="0"/>
                <w:bCs/>
                <w:sz w:val="15"/>
                <w:szCs w:val="15"/>
              </w:rPr>
              <w:t>）</w:t>
            </w:r>
          </w:p>
        </w:tc>
        <w:tc>
          <w:tcPr>
            <w:tcW w:w="0" w:type="auto"/>
          </w:tcPr>
          <w:p w14:paraId="7300E4F5" w14:textId="7740DEC9" w:rsidR="00590E62" w:rsidRPr="009B5516" w:rsidRDefault="00590E62" w:rsidP="009B5516">
            <w:pPr>
              <w:pStyle w:val="ae"/>
              <w:rPr>
                <w:b w:val="0"/>
                <w:bCs/>
                <w:sz w:val="15"/>
                <w:szCs w:val="15"/>
              </w:rPr>
            </w:pPr>
            <w:r w:rsidRPr="009B5516">
              <w:rPr>
                <w:rFonts w:hint="eastAsia"/>
                <w:b w:val="0"/>
                <w:bCs/>
                <w:sz w:val="15"/>
                <w:szCs w:val="15"/>
              </w:rPr>
              <w:t>□火棘</w:t>
            </w:r>
            <w:r w:rsidRPr="009B5516">
              <w:rPr>
                <w:rFonts w:hint="eastAsia"/>
                <w:b w:val="0"/>
                <w:bCs/>
                <w:sz w:val="15"/>
                <w:szCs w:val="15"/>
              </w:rPr>
              <w:t>*</w:t>
            </w:r>
          </w:p>
        </w:tc>
        <w:tc>
          <w:tcPr>
            <w:tcW w:w="0" w:type="auto"/>
          </w:tcPr>
          <w:p w14:paraId="045C8C1C" w14:textId="77777777" w:rsidR="00590E62" w:rsidRPr="009B5516" w:rsidRDefault="00590E62" w:rsidP="009B5516">
            <w:pPr>
              <w:pStyle w:val="ae"/>
              <w:rPr>
                <w:b w:val="0"/>
                <w:bCs/>
                <w:sz w:val="15"/>
                <w:szCs w:val="15"/>
              </w:rPr>
            </w:pPr>
            <w:r w:rsidRPr="009B5516">
              <w:rPr>
                <w:rFonts w:hint="eastAsia"/>
                <w:b w:val="0"/>
                <w:bCs/>
                <w:sz w:val="15"/>
                <w:szCs w:val="15"/>
              </w:rPr>
              <w:t>□紫荆（</w:t>
            </w:r>
            <w:r w:rsidRPr="009B5516">
              <w:rPr>
                <w:rFonts w:hint="eastAsia"/>
                <w:b w:val="0"/>
                <w:bCs/>
                <w:sz w:val="15"/>
                <w:szCs w:val="15"/>
              </w:rPr>
              <w:t>2</w:t>
            </w:r>
            <w:r w:rsidRPr="009B5516">
              <w:rPr>
                <w:rFonts w:hint="eastAsia"/>
                <w:b w:val="0"/>
                <w:bCs/>
                <w:sz w:val="15"/>
                <w:szCs w:val="15"/>
              </w:rPr>
              <w:t>）</w:t>
            </w:r>
          </w:p>
        </w:tc>
        <w:tc>
          <w:tcPr>
            <w:tcW w:w="0" w:type="auto"/>
          </w:tcPr>
          <w:p w14:paraId="6D77C072" w14:textId="77777777" w:rsidR="00590E62" w:rsidRPr="009B5516" w:rsidRDefault="00590E62" w:rsidP="009B5516">
            <w:pPr>
              <w:pStyle w:val="ae"/>
              <w:rPr>
                <w:b w:val="0"/>
                <w:bCs/>
                <w:sz w:val="15"/>
                <w:szCs w:val="15"/>
              </w:rPr>
            </w:pPr>
          </w:p>
        </w:tc>
        <w:tc>
          <w:tcPr>
            <w:tcW w:w="0" w:type="auto"/>
          </w:tcPr>
          <w:p w14:paraId="261ED10C" w14:textId="77777777" w:rsidR="00590E62" w:rsidRPr="009B5516" w:rsidRDefault="00590E62" w:rsidP="009B5516">
            <w:pPr>
              <w:pStyle w:val="ae"/>
              <w:rPr>
                <w:b w:val="0"/>
                <w:bCs/>
                <w:sz w:val="15"/>
                <w:szCs w:val="15"/>
              </w:rPr>
            </w:pPr>
          </w:p>
        </w:tc>
      </w:tr>
    </w:tbl>
    <w:p w14:paraId="0E39A92E" w14:textId="77777777" w:rsidR="00AF1261" w:rsidRPr="00216B28" w:rsidRDefault="00AF1261" w:rsidP="00AF1261">
      <w:pPr>
        <w:pStyle w:val="9"/>
        <w:ind w:firstLine="420"/>
      </w:pPr>
    </w:p>
    <w:p w14:paraId="551BF6D1" w14:textId="77777777" w:rsidR="00AF1261" w:rsidRDefault="00AF1261" w:rsidP="00AF1261">
      <w:pPr>
        <w:pStyle w:val="40"/>
        <w:ind w:firstLine="420"/>
      </w:pPr>
      <w:r w:rsidRPr="00216B28">
        <w:t>用量说明：</w:t>
      </w:r>
      <w:r w:rsidRPr="00216B28">
        <w:rPr>
          <w:rFonts w:hint="eastAsia"/>
        </w:rPr>
        <w:t>按</w:t>
      </w:r>
      <w:r w:rsidRPr="00216B28">
        <w:t>植株</w:t>
      </w:r>
      <w:r w:rsidRPr="00216B28">
        <w:rPr>
          <w:rFonts w:hint="eastAsia"/>
        </w:rPr>
        <w:t>/</w:t>
      </w:r>
      <w:r w:rsidRPr="00216B28">
        <w:rPr>
          <w:rFonts w:hint="eastAsia"/>
        </w:rPr>
        <w:t>丛</w:t>
      </w:r>
      <w:r w:rsidRPr="00216B28">
        <w:t>/</w:t>
      </w:r>
      <w:r w:rsidRPr="00216B28">
        <w:rPr>
          <w:rFonts w:hint="eastAsia"/>
        </w:rPr>
        <w:t>簇</w:t>
      </w:r>
      <w:r w:rsidRPr="00216B28">
        <w:t>数进行</w:t>
      </w:r>
      <w:r w:rsidRPr="00216B28">
        <w:rPr>
          <w:rFonts w:hint="eastAsia"/>
        </w:rPr>
        <w:t>统计</w:t>
      </w:r>
      <w:r w:rsidRPr="00216B28">
        <w:t>用量</w:t>
      </w:r>
      <w:r>
        <w:rPr>
          <w:rFonts w:hint="eastAsia"/>
        </w:rPr>
        <w:t>；</w:t>
      </w:r>
    </w:p>
    <w:p w14:paraId="2CD8971B" w14:textId="77777777" w:rsidR="00AF1261" w:rsidRPr="00216B28" w:rsidRDefault="00AF1261" w:rsidP="00AF1261">
      <w:pPr>
        <w:pStyle w:val="40"/>
        <w:ind w:firstLine="420"/>
      </w:pPr>
      <w:r>
        <w:rPr>
          <w:rFonts w:hint="eastAsia"/>
        </w:rPr>
        <w:t>其中带</w:t>
      </w:r>
      <w:r>
        <w:rPr>
          <w:rFonts w:hint="eastAsia"/>
        </w:rPr>
        <w:t>*</w:t>
      </w:r>
      <w:r>
        <w:rPr>
          <w:rFonts w:hint="eastAsia"/>
        </w:rPr>
        <w:t>为</w:t>
      </w:r>
      <w:r w:rsidRPr="00F57F5D">
        <w:rPr>
          <w:rFonts w:hint="eastAsia"/>
        </w:rPr>
        <w:t>无须永久灌溉植物</w:t>
      </w:r>
      <w:r>
        <w:rPr>
          <w:rFonts w:hint="eastAsia"/>
        </w:rPr>
        <w:t>。</w:t>
      </w:r>
    </w:p>
    <w:p w14:paraId="0C299EDC" w14:textId="0261A351" w:rsidR="00AF1261" w:rsidRPr="00216B28" w:rsidRDefault="00AF1261" w:rsidP="00590E62">
      <w:pPr>
        <w:pStyle w:val="ae"/>
        <w:rPr>
          <w:color w:val="000000"/>
        </w:rPr>
      </w:pPr>
      <w:r>
        <w:rPr>
          <w:rFonts w:hint="eastAsia"/>
        </w:rPr>
        <w:t>附表</w:t>
      </w:r>
      <w:r w:rsidR="00C51A45">
        <w:t>C</w:t>
      </w:r>
      <w:r>
        <w:rPr>
          <w:rFonts w:hint="eastAsia"/>
        </w:rPr>
        <w:t xml:space="preserve">.0.3  </w:t>
      </w:r>
      <w:r w:rsidRPr="00216B28">
        <w:rPr>
          <w:rFonts w:hint="eastAsia"/>
          <w:color w:val="000000"/>
        </w:rPr>
        <w:t>其他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bottom w:w="28" w:type="dxa"/>
        </w:tblCellMar>
        <w:tblLook w:val="04A0" w:firstRow="1" w:lastRow="0" w:firstColumn="1" w:lastColumn="0" w:noHBand="0" w:noVBand="1"/>
      </w:tblPr>
      <w:tblGrid>
        <w:gridCol w:w="1041"/>
        <w:gridCol w:w="1191"/>
        <w:gridCol w:w="1115"/>
        <w:gridCol w:w="1115"/>
        <w:gridCol w:w="1191"/>
        <w:gridCol w:w="1641"/>
        <w:gridCol w:w="1191"/>
      </w:tblGrid>
      <w:tr w:rsidR="00590E62" w:rsidRPr="00590E62" w14:paraId="261AEACA" w14:textId="77777777" w:rsidTr="009B5516">
        <w:trPr>
          <w:jc w:val="center"/>
        </w:trPr>
        <w:tc>
          <w:tcPr>
            <w:tcW w:w="0" w:type="auto"/>
          </w:tcPr>
          <w:p w14:paraId="31CBA961" w14:textId="77777777" w:rsidR="00590E62" w:rsidRPr="00590E62" w:rsidRDefault="00590E62" w:rsidP="00590E62">
            <w:pPr>
              <w:pStyle w:val="ae"/>
              <w:rPr>
                <w:b w:val="0"/>
                <w:bCs/>
                <w:sz w:val="15"/>
                <w:szCs w:val="15"/>
              </w:rPr>
            </w:pPr>
            <w:r w:rsidRPr="00590E62">
              <w:rPr>
                <w:rFonts w:hint="eastAsia"/>
                <w:b w:val="0"/>
                <w:bCs/>
                <w:sz w:val="15"/>
                <w:szCs w:val="15"/>
              </w:rPr>
              <w:t>□苦竹（</w:t>
            </w:r>
            <w:r w:rsidRPr="00590E62">
              <w:rPr>
                <w:rFonts w:hint="eastAsia"/>
                <w:b w:val="0"/>
                <w:bCs/>
                <w:sz w:val="15"/>
                <w:szCs w:val="15"/>
              </w:rPr>
              <w:t>2</w:t>
            </w:r>
            <w:r w:rsidRPr="00590E62">
              <w:rPr>
                <w:rFonts w:hint="eastAsia"/>
                <w:b w:val="0"/>
                <w:bCs/>
                <w:sz w:val="15"/>
                <w:szCs w:val="15"/>
              </w:rPr>
              <w:t>）</w:t>
            </w:r>
          </w:p>
        </w:tc>
        <w:tc>
          <w:tcPr>
            <w:tcW w:w="0" w:type="auto"/>
          </w:tcPr>
          <w:p w14:paraId="6D2DCA7A" w14:textId="0EAFCE24" w:rsidR="00590E62" w:rsidRPr="00590E62" w:rsidRDefault="00590E62" w:rsidP="00590E62">
            <w:pPr>
              <w:pStyle w:val="ae"/>
              <w:rPr>
                <w:b w:val="0"/>
                <w:bCs/>
                <w:sz w:val="15"/>
                <w:szCs w:val="15"/>
              </w:rPr>
            </w:pPr>
            <w:r w:rsidRPr="00590E62">
              <w:rPr>
                <w:rFonts w:hint="eastAsia"/>
                <w:b w:val="0"/>
                <w:bCs/>
                <w:sz w:val="15"/>
                <w:szCs w:val="15"/>
              </w:rPr>
              <w:t>□慈竹</w:t>
            </w:r>
            <w:r w:rsidRPr="00590E62">
              <w:rPr>
                <w:rFonts w:ascii="微软雅黑" w:eastAsia="微软雅黑" w:hAnsi="微软雅黑" w:cs="微软雅黑" w:hint="eastAsia"/>
                <w:sz w:val="15"/>
                <w:szCs w:val="15"/>
              </w:rPr>
              <w:t>*</w:t>
            </w:r>
            <w:r w:rsidRPr="00590E62">
              <w:rPr>
                <w:rFonts w:hint="eastAsia"/>
                <w:b w:val="0"/>
                <w:bCs/>
                <w:sz w:val="15"/>
                <w:szCs w:val="15"/>
              </w:rPr>
              <w:t>（</w:t>
            </w:r>
            <w:r w:rsidRPr="00590E62">
              <w:rPr>
                <w:rFonts w:hint="eastAsia"/>
                <w:b w:val="0"/>
                <w:bCs/>
                <w:sz w:val="15"/>
                <w:szCs w:val="15"/>
              </w:rPr>
              <w:t>3</w:t>
            </w:r>
            <w:r w:rsidRPr="00590E62">
              <w:rPr>
                <w:rFonts w:hint="eastAsia"/>
                <w:b w:val="0"/>
                <w:bCs/>
                <w:sz w:val="15"/>
                <w:szCs w:val="15"/>
              </w:rPr>
              <w:t>）</w:t>
            </w:r>
          </w:p>
        </w:tc>
        <w:tc>
          <w:tcPr>
            <w:tcW w:w="0" w:type="auto"/>
          </w:tcPr>
          <w:p w14:paraId="10BD8BCE" w14:textId="0983FE25" w:rsidR="00590E62" w:rsidRPr="00590E62" w:rsidRDefault="00590E62" w:rsidP="00590E62">
            <w:pPr>
              <w:pStyle w:val="ae"/>
              <w:rPr>
                <w:b w:val="0"/>
                <w:bCs/>
                <w:sz w:val="15"/>
                <w:szCs w:val="15"/>
              </w:rPr>
            </w:pPr>
            <w:r w:rsidRPr="00590E62">
              <w:rPr>
                <w:rFonts w:hint="eastAsia"/>
                <w:b w:val="0"/>
                <w:bCs/>
                <w:sz w:val="15"/>
                <w:szCs w:val="15"/>
              </w:rPr>
              <w:t>□毛竹</w:t>
            </w:r>
            <w:r w:rsidRPr="00590E62">
              <w:rPr>
                <w:rFonts w:ascii="微软雅黑" w:eastAsia="微软雅黑" w:hAnsi="微软雅黑" w:cs="微软雅黑" w:hint="eastAsia"/>
                <w:sz w:val="15"/>
                <w:szCs w:val="15"/>
              </w:rPr>
              <w:t>*</w:t>
            </w:r>
            <w:r w:rsidRPr="00590E62">
              <w:rPr>
                <w:rFonts w:hint="eastAsia"/>
                <w:b w:val="0"/>
                <w:bCs/>
                <w:sz w:val="15"/>
                <w:szCs w:val="15"/>
              </w:rPr>
              <w:t>（</w:t>
            </w:r>
            <w:r w:rsidRPr="00590E62">
              <w:rPr>
                <w:rFonts w:hint="eastAsia"/>
                <w:b w:val="0"/>
                <w:bCs/>
                <w:sz w:val="15"/>
                <w:szCs w:val="15"/>
              </w:rPr>
              <w:t>3</w:t>
            </w:r>
            <w:r w:rsidRPr="00590E62">
              <w:rPr>
                <w:rFonts w:hint="eastAsia"/>
                <w:b w:val="0"/>
                <w:bCs/>
                <w:sz w:val="15"/>
                <w:szCs w:val="15"/>
              </w:rPr>
              <w:t>）</w:t>
            </w:r>
          </w:p>
        </w:tc>
        <w:tc>
          <w:tcPr>
            <w:tcW w:w="0" w:type="auto"/>
          </w:tcPr>
          <w:p w14:paraId="52A91D73" w14:textId="77777777" w:rsidR="00590E62" w:rsidRPr="00590E62" w:rsidRDefault="00590E62" w:rsidP="00590E62">
            <w:pPr>
              <w:pStyle w:val="ae"/>
              <w:rPr>
                <w:b w:val="0"/>
                <w:bCs/>
                <w:sz w:val="15"/>
                <w:szCs w:val="15"/>
              </w:rPr>
            </w:pPr>
            <w:r w:rsidRPr="00590E62">
              <w:rPr>
                <w:rFonts w:hint="eastAsia"/>
                <w:b w:val="0"/>
                <w:bCs/>
                <w:sz w:val="15"/>
                <w:szCs w:val="15"/>
              </w:rPr>
              <w:t>□箬竹（</w:t>
            </w:r>
            <w:r w:rsidRPr="00590E62">
              <w:rPr>
                <w:rFonts w:hint="eastAsia"/>
                <w:b w:val="0"/>
                <w:bCs/>
                <w:sz w:val="15"/>
                <w:szCs w:val="15"/>
              </w:rPr>
              <w:t>2</w:t>
            </w:r>
            <w:r w:rsidRPr="00590E62">
              <w:rPr>
                <w:rFonts w:hint="eastAsia"/>
                <w:b w:val="0"/>
                <w:bCs/>
                <w:sz w:val="15"/>
                <w:szCs w:val="15"/>
              </w:rPr>
              <w:t>）</w:t>
            </w:r>
          </w:p>
        </w:tc>
        <w:tc>
          <w:tcPr>
            <w:tcW w:w="0" w:type="auto"/>
          </w:tcPr>
          <w:p w14:paraId="3CDBA6C9" w14:textId="77777777" w:rsidR="00590E62" w:rsidRPr="00590E62" w:rsidRDefault="00590E62" w:rsidP="00590E62">
            <w:pPr>
              <w:pStyle w:val="ae"/>
              <w:rPr>
                <w:b w:val="0"/>
                <w:bCs/>
                <w:sz w:val="15"/>
                <w:szCs w:val="15"/>
              </w:rPr>
            </w:pPr>
            <w:r w:rsidRPr="00590E62">
              <w:rPr>
                <w:rFonts w:hint="eastAsia"/>
                <w:b w:val="0"/>
                <w:bCs/>
                <w:sz w:val="15"/>
                <w:szCs w:val="15"/>
              </w:rPr>
              <w:t>□凤尾竹（</w:t>
            </w:r>
            <w:r w:rsidRPr="00590E62">
              <w:rPr>
                <w:rFonts w:hint="eastAsia"/>
                <w:b w:val="0"/>
                <w:bCs/>
                <w:sz w:val="15"/>
                <w:szCs w:val="15"/>
              </w:rPr>
              <w:t>2</w:t>
            </w:r>
            <w:r w:rsidRPr="00590E62">
              <w:rPr>
                <w:rFonts w:hint="eastAsia"/>
                <w:b w:val="0"/>
                <w:bCs/>
                <w:sz w:val="15"/>
                <w:szCs w:val="15"/>
              </w:rPr>
              <w:t>）</w:t>
            </w:r>
          </w:p>
        </w:tc>
        <w:tc>
          <w:tcPr>
            <w:tcW w:w="0" w:type="auto"/>
          </w:tcPr>
          <w:p w14:paraId="519A36F9" w14:textId="77777777" w:rsidR="00590E62" w:rsidRPr="00590E62" w:rsidRDefault="00590E62" w:rsidP="00590E62">
            <w:pPr>
              <w:pStyle w:val="ae"/>
              <w:rPr>
                <w:b w:val="0"/>
                <w:bCs/>
                <w:sz w:val="15"/>
                <w:szCs w:val="15"/>
              </w:rPr>
            </w:pPr>
            <w:r w:rsidRPr="00590E62">
              <w:rPr>
                <w:rFonts w:hint="eastAsia"/>
                <w:b w:val="0"/>
                <w:bCs/>
                <w:sz w:val="15"/>
                <w:szCs w:val="15"/>
              </w:rPr>
              <w:t>□紫竹（</w:t>
            </w:r>
            <w:r w:rsidRPr="00590E62">
              <w:rPr>
                <w:rFonts w:hint="eastAsia"/>
                <w:b w:val="0"/>
                <w:bCs/>
                <w:sz w:val="15"/>
                <w:szCs w:val="15"/>
              </w:rPr>
              <w:t>3</w:t>
            </w:r>
            <w:r w:rsidRPr="00590E62">
              <w:rPr>
                <w:rFonts w:hint="eastAsia"/>
                <w:b w:val="0"/>
                <w:bCs/>
                <w:sz w:val="15"/>
                <w:szCs w:val="15"/>
              </w:rPr>
              <w:t>）</w:t>
            </w:r>
          </w:p>
        </w:tc>
        <w:tc>
          <w:tcPr>
            <w:tcW w:w="0" w:type="auto"/>
          </w:tcPr>
          <w:p w14:paraId="243BD303" w14:textId="77777777" w:rsidR="00590E62" w:rsidRPr="00590E62" w:rsidRDefault="00590E62" w:rsidP="00590E62">
            <w:pPr>
              <w:pStyle w:val="ae"/>
              <w:rPr>
                <w:b w:val="0"/>
                <w:bCs/>
                <w:sz w:val="15"/>
                <w:szCs w:val="15"/>
              </w:rPr>
            </w:pPr>
            <w:r w:rsidRPr="00590E62">
              <w:rPr>
                <w:rFonts w:hint="eastAsia"/>
                <w:b w:val="0"/>
                <w:bCs/>
                <w:sz w:val="15"/>
                <w:szCs w:val="15"/>
              </w:rPr>
              <w:t>□孝顺竹（</w:t>
            </w:r>
            <w:r w:rsidRPr="00590E62">
              <w:rPr>
                <w:rFonts w:hint="eastAsia"/>
                <w:b w:val="0"/>
                <w:bCs/>
                <w:sz w:val="15"/>
                <w:szCs w:val="15"/>
              </w:rPr>
              <w:t>2</w:t>
            </w:r>
            <w:r w:rsidRPr="00590E62">
              <w:rPr>
                <w:rFonts w:hint="eastAsia"/>
                <w:b w:val="0"/>
                <w:bCs/>
                <w:sz w:val="15"/>
                <w:szCs w:val="15"/>
              </w:rPr>
              <w:t>）</w:t>
            </w:r>
          </w:p>
        </w:tc>
      </w:tr>
      <w:tr w:rsidR="00590E62" w:rsidRPr="00590E62" w14:paraId="6EADBCAC" w14:textId="77777777" w:rsidTr="009B5516">
        <w:trPr>
          <w:jc w:val="center"/>
        </w:trPr>
        <w:tc>
          <w:tcPr>
            <w:tcW w:w="0" w:type="auto"/>
          </w:tcPr>
          <w:p w14:paraId="71AE12E8" w14:textId="77777777" w:rsidR="00590E62" w:rsidRPr="00590E62" w:rsidRDefault="00590E62" w:rsidP="00590E62">
            <w:pPr>
              <w:pStyle w:val="ae"/>
              <w:rPr>
                <w:b w:val="0"/>
                <w:bCs/>
                <w:sz w:val="15"/>
                <w:szCs w:val="15"/>
              </w:rPr>
            </w:pPr>
            <w:r w:rsidRPr="00590E62">
              <w:rPr>
                <w:rFonts w:hint="eastAsia"/>
                <w:b w:val="0"/>
                <w:bCs/>
                <w:sz w:val="15"/>
                <w:szCs w:val="15"/>
              </w:rPr>
              <w:t>□桂竹（</w:t>
            </w:r>
            <w:r w:rsidRPr="00590E62">
              <w:rPr>
                <w:rFonts w:hint="eastAsia"/>
                <w:b w:val="0"/>
                <w:bCs/>
                <w:sz w:val="15"/>
                <w:szCs w:val="15"/>
              </w:rPr>
              <w:t>2</w:t>
            </w:r>
            <w:r w:rsidRPr="00590E62">
              <w:rPr>
                <w:rFonts w:hint="eastAsia"/>
                <w:b w:val="0"/>
                <w:bCs/>
                <w:sz w:val="15"/>
                <w:szCs w:val="15"/>
              </w:rPr>
              <w:t>）</w:t>
            </w:r>
          </w:p>
        </w:tc>
        <w:tc>
          <w:tcPr>
            <w:tcW w:w="0" w:type="auto"/>
          </w:tcPr>
          <w:p w14:paraId="3E185215" w14:textId="77777777" w:rsidR="00590E62" w:rsidRPr="00590E62" w:rsidRDefault="00590E62" w:rsidP="00590E62">
            <w:pPr>
              <w:pStyle w:val="ae"/>
              <w:rPr>
                <w:b w:val="0"/>
                <w:bCs/>
                <w:sz w:val="15"/>
                <w:szCs w:val="15"/>
              </w:rPr>
            </w:pPr>
            <w:r w:rsidRPr="00590E62">
              <w:rPr>
                <w:rFonts w:hint="eastAsia"/>
                <w:b w:val="0"/>
                <w:bCs/>
                <w:sz w:val="15"/>
                <w:szCs w:val="15"/>
              </w:rPr>
              <w:t>□罗汉竹（</w:t>
            </w:r>
            <w:r w:rsidRPr="00590E62">
              <w:rPr>
                <w:rFonts w:hint="eastAsia"/>
                <w:b w:val="0"/>
                <w:bCs/>
                <w:sz w:val="15"/>
                <w:szCs w:val="15"/>
              </w:rPr>
              <w:t>2</w:t>
            </w:r>
            <w:r w:rsidRPr="00590E62">
              <w:rPr>
                <w:rFonts w:hint="eastAsia"/>
                <w:b w:val="0"/>
                <w:bCs/>
                <w:sz w:val="15"/>
                <w:szCs w:val="15"/>
              </w:rPr>
              <w:t>）</w:t>
            </w:r>
          </w:p>
        </w:tc>
        <w:tc>
          <w:tcPr>
            <w:tcW w:w="0" w:type="auto"/>
          </w:tcPr>
          <w:p w14:paraId="4611B696" w14:textId="77777777" w:rsidR="00590E62" w:rsidRPr="00590E62" w:rsidRDefault="00590E62" w:rsidP="00590E62">
            <w:pPr>
              <w:pStyle w:val="ae"/>
              <w:rPr>
                <w:b w:val="0"/>
                <w:bCs/>
                <w:sz w:val="15"/>
                <w:szCs w:val="15"/>
              </w:rPr>
            </w:pPr>
            <w:r w:rsidRPr="00590E62">
              <w:rPr>
                <w:rFonts w:hint="eastAsia"/>
                <w:b w:val="0"/>
                <w:bCs/>
                <w:sz w:val="15"/>
                <w:szCs w:val="15"/>
              </w:rPr>
              <w:t>□斑竹（</w:t>
            </w:r>
            <w:r w:rsidRPr="00590E62">
              <w:rPr>
                <w:rFonts w:hint="eastAsia"/>
                <w:b w:val="0"/>
                <w:bCs/>
                <w:sz w:val="15"/>
                <w:szCs w:val="15"/>
              </w:rPr>
              <w:t>3</w:t>
            </w:r>
            <w:r w:rsidRPr="00590E62">
              <w:rPr>
                <w:rFonts w:hint="eastAsia"/>
                <w:b w:val="0"/>
                <w:bCs/>
                <w:sz w:val="15"/>
                <w:szCs w:val="15"/>
              </w:rPr>
              <w:t>）</w:t>
            </w:r>
          </w:p>
        </w:tc>
        <w:tc>
          <w:tcPr>
            <w:tcW w:w="0" w:type="auto"/>
          </w:tcPr>
          <w:p w14:paraId="309672DB" w14:textId="27B9745C" w:rsidR="00590E62" w:rsidRPr="00590E62" w:rsidRDefault="00590E62" w:rsidP="00590E62">
            <w:pPr>
              <w:pStyle w:val="ae"/>
              <w:rPr>
                <w:b w:val="0"/>
                <w:bCs/>
                <w:sz w:val="15"/>
                <w:szCs w:val="15"/>
              </w:rPr>
            </w:pPr>
            <w:r w:rsidRPr="00590E62">
              <w:rPr>
                <w:rFonts w:hint="eastAsia"/>
                <w:b w:val="0"/>
                <w:bCs/>
                <w:sz w:val="15"/>
                <w:szCs w:val="15"/>
              </w:rPr>
              <w:t>□水竹</w:t>
            </w:r>
            <w:r w:rsidRPr="00590E62">
              <w:rPr>
                <w:rFonts w:ascii="微软雅黑" w:eastAsia="微软雅黑" w:hAnsi="微软雅黑" w:cs="微软雅黑" w:hint="eastAsia"/>
                <w:sz w:val="15"/>
                <w:szCs w:val="15"/>
              </w:rPr>
              <w:t>*</w:t>
            </w:r>
            <w:r w:rsidRPr="00590E62">
              <w:rPr>
                <w:rFonts w:hint="eastAsia"/>
                <w:b w:val="0"/>
                <w:bCs/>
                <w:sz w:val="15"/>
                <w:szCs w:val="15"/>
              </w:rPr>
              <w:t>（</w:t>
            </w:r>
            <w:r w:rsidRPr="00590E62">
              <w:rPr>
                <w:rFonts w:hint="eastAsia"/>
                <w:b w:val="0"/>
                <w:bCs/>
                <w:sz w:val="15"/>
                <w:szCs w:val="15"/>
              </w:rPr>
              <w:t>2</w:t>
            </w:r>
            <w:r w:rsidRPr="00590E62">
              <w:rPr>
                <w:rFonts w:hint="eastAsia"/>
                <w:b w:val="0"/>
                <w:bCs/>
                <w:sz w:val="15"/>
                <w:szCs w:val="15"/>
              </w:rPr>
              <w:t>）</w:t>
            </w:r>
          </w:p>
        </w:tc>
        <w:tc>
          <w:tcPr>
            <w:tcW w:w="0" w:type="auto"/>
          </w:tcPr>
          <w:p w14:paraId="16C117A6" w14:textId="77777777" w:rsidR="00590E62" w:rsidRPr="00590E62" w:rsidRDefault="00590E62" w:rsidP="00590E62">
            <w:pPr>
              <w:pStyle w:val="ae"/>
              <w:rPr>
                <w:b w:val="0"/>
                <w:bCs/>
                <w:sz w:val="15"/>
                <w:szCs w:val="15"/>
              </w:rPr>
            </w:pPr>
            <w:r w:rsidRPr="00590E62">
              <w:rPr>
                <w:rFonts w:hint="eastAsia"/>
                <w:b w:val="0"/>
                <w:bCs/>
                <w:sz w:val="15"/>
                <w:szCs w:val="15"/>
              </w:rPr>
              <w:t>□龟甲竹（</w:t>
            </w:r>
            <w:r w:rsidRPr="00590E62">
              <w:rPr>
                <w:rFonts w:hint="eastAsia"/>
                <w:b w:val="0"/>
                <w:bCs/>
                <w:sz w:val="15"/>
                <w:szCs w:val="15"/>
              </w:rPr>
              <w:t>2</w:t>
            </w:r>
            <w:r w:rsidRPr="00590E62">
              <w:rPr>
                <w:rFonts w:hint="eastAsia"/>
                <w:b w:val="0"/>
                <w:bCs/>
                <w:sz w:val="15"/>
                <w:szCs w:val="15"/>
              </w:rPr>
              <w:t>）</w:t>
            </w:r>
          </w:p>
        </w:tc>
        <w:tc>
          <w:tcPr>
            <w:tcW w:w="0" w:type="auto"/>
          </w:tcPr>
          <w:p w14:paraId="08B4F7DA" w14:textId="77777777" w:rsidR="00590E62" w:rsidRPr="00590E62" w:rsidRDefault="00590E62" w:rsidP="00590E62">
            <w:pPr>
              <w:pStyle w:val="ae"/>
              <w:rPr>
                <w:b w:val="0"/>
                <w:bCs/>
                <w:sz w:val="15"/>
                <w:szCs w:val="15"/>
              </w:rPr>
            </w:pPr>
            <w:r w:rsidRPr="00590E62">
              <w:rPr>
                <w:rFonts w:hint="eastAsia"/>
                <w:b w:val="0"/>
                <w:bCs/>
                <w:sz w:val="15"/>
                <w:szCs w:val="15"/>
              </w:rPr>
              <w:t>□碧玉间黄金竹（</w:t>
            </w:r>
            <w:r w:rsidRPr="00590E62">
              <w:rPr>
                <w:rFonts w:hint="eastAsia"/>
                <w:b w:val="0"/>
                <w:bCs/>
                <w:sz w:val="15"/>
                <w:szCs w:val="15"/>
              </w:rPr>
              <w:t>2</w:t>
            </w:r>
            <w:r w:rsidRPr="00590E62">
              <w:rPr>
                <w:rFonts w:hint="eastAsia"/>
                <w:b w:val="0"/>
                <w:bCs/>
                <w:sz w:val="15"/>
                <w:szCs w:val="15"/>
              </w:rPr>
              <w:t>）</w:t>
            </w:r>
          </w:p>
        </w:tc>
        <w:tc>
          <w:tcPr>
            <w:tcW w:w="0" w:type="auto"/>
          </w:tcPr>
          <w:p w14:paraId="219510AF" w14:textId="77777777" w:rsidR="00590E62" w:rsidRPr="00590E62" w:rsidRDefault="00590E62" w:rsidP="00590E62">
            <w:pPr>
              <w:pStyle w:val="ae"/>
              <w:rPr>
                <w:b w:val="0"/>
                <w:bCs/>
                <w:sz w:val="15"/>
                <w:szCs w:val="15"/>
              </w:rPr>
            </w:pPr>
            <w:r w:rsidRPr="00590E62">
              <w:rPr>
                <w:rFonts w:hint="eastAsia"/>
                <w:b w:val="0"/>
                <w:bCs/>
                <w:sz w:val="15"/>
                <w:szCs w:val="15"/>
              </w:rPr>
              <w:t>□络石</w:t>
            </w:r>
          </w:p>
        </w:tc>
      </w:tr>
      <w:tr w:rsidR="00590E62" w:rsidRPr="00590E62" w14:paraId="6E9AE4C3" w14:textId="77777777" w:rsidTr="009B5516">
        <w:trPr>
          <w:jc w:val="center"/>
        </w:trPr>
        <w:tc>
          <w:tcPr>
            <w:tcW w:w="0" w:type="auto"/>
          </w:tcPr>
          <w:p w14:paraId="1A2C0E0B" w14:textId="77777777" w:rsidR="00590E62" w:rsidRPr="00590E62" w:rsidRDefault="00590E62" w:rsidP="00590E62">
            <w:pPr>
              <w:pStyle w:val="ae"/>
              <w:rPr>
                <w:b w:val="0"/>
                <w:bCs/>
                <w:sz w:val="15"/>
                <w:szCs w:val="15"/>
              </w:rPr>
            </w:pPr>
            <w:r w:rsidRPr="00590E62">
              <w:rPr>
                <w:rFonts w:hint="eastAsia"/>
                <w:b w:val="0"/>
                <w:bCs/>
                <w:sz w:val="15"/>
                <w:szCs w:val="15"/>
              </w:rPr>
              <w:t>□木通</w:t>
            </w:r>
          </w:p>
        </w:tc>
        <w:tc>
          <w:tcPr>
            <w:tcW w:w="0" w:type="auto"/>
          </w:tcPr>
          <w:p w14:paraId="272383B4" w14:textId="77777777" w:rsidR="00590E62" w:rsidRPr="00590E62" w:rsidRDefault="00590E62" w:rsidP="00590E62">
            <w:pPr>
              <w:pStyle w:val="ae"/>
              <w:rPr>
                <w:b w:val="0"/>
                <w:bCs/>
                <w:sz w:val="15"/>
                <w:szCs w:val="15"/>
              </w:rPr>
            </w:pPr>
            <w:r w:rsidRPr="00590E62">
              <w:rPr>
                <w:rFonts w:hint="eastAsia"/>
                <w:b w:val="0"/>
                <w:bCs/>
                <w:sz w:val="15"/>
                <w:szCs w:val="15"/>
              </w:rPr>
              <w:t>□薜荔</w:t>
            </w:r>
          </w:p>
        </w:tc>
        <w:tc>
          <w:tcPr>
            <w:tcW w:w="0" w:type="auto"/>
          </w:tcPr>
          <w:p w14:paraId="188063B7" w14:textId="77777777" w:rsidR="00590E62" w:rsidRPr="00590E62" w:rsidRDefault="00590E62" w:rsidP="00590E62">
            <w:pPr>
              <w:pStyle w:val="ae"/>
              <w:rPr>
                <w:b w:val="0"/>
                <w:bCs/>
                <w:sz w:val="15"/>
                <w:szCs w:val="15"/>
              </w:rPr>
            </w:pPr>
            <w:r w:rsidRPr="00590E62">
              <w:rPr>
                <w:rFonts w:hint="eastAsia"/>
                <w:b w:val="0"/>
                <w:bCs/>
                <w:sz w:val="15"/>
                <w:szCs w:val="15"/>
              </w:rPr>
              <w:t>□常春藤</w:t>
            </w:r>
          </w:p>
        </w:tc>
        <w:tc>
          <w:tcPr>
            <w:tcW w:w="0" w:type="auto"/>
          </w:tcPr>
          <w:p w14:paraId="107E165C" w14:textId="77777777" w:rsidR="00590E62" w:rsidRPr="00590E62" w:rsidRDefault="00590E62" w:rsidP="00590E62">
            <w:pPr>
              <w:pStyle w:val="ae"/>
              <w:rPr>
                <w:b w:val="0"/>
                <w:bCs/>
                <w:sz w:val="15"/>
                <w:szCs w:val="15"/>
              </w:rPr>
            </w:pPr>
            <w:r w:rsidRPr="00590E62">
              <w:rPr>
                <w:rFonts w:hint="eastAsia"/>
                <w:b w:val="0"/>
                <w:bCs/>
                <w:sz w:val="15"/>
                <w:szCs w:val="15"/>
              </w:rPr>
              <w:t>□扶芳藤</w:t>
            </w:r>
          </w:p>
        </w:tc>
        <w:tc>
          <w:tcPr>
            <w:tcW w:w="0" w:type="auto"/>
          </w:tcPr>
          <w:p w14:paraId="502C87B6" w14:textId="77777777" w:rsidR="00590E62" w:rsidRPr="00590E62" w:rsidRDefault="00590E62" w:rsidP="00590E62">
            <w:pPr>
              <w:pStyle w:val="ae"/>
              <w:rPr>
                <w:b w:val="0"/>
                <w:bCs/>
                <w:sz w:val="15"/>
                <w:szCs w:val="15"/>
              </w:rPr>
            </w:pPr>
            <w:r w:rsidRPr="00590E62">
              <w:rPr>
                <w:rFonts w:hint="eastAsia"/>
                <w:b w:val="0"/>
                <w:bCs/>
                <w:sz w:val="15"/>
                <w:szCs w:val="15"/>
              </w:rPr>
              <w:t>□鸡血藤</w:t>
            </w:r>
          </w:p>
        </w:tc>
        <w:tc>
          <w:tcPr>
            <w:tcW w:w="0" w:type="auto"/>
          </w:tcPr>
          <w:p w14:paraId="575F251C" w14:textId="77777777" w:rsidR="00590E62" w:rsidRPr="00590E62" w:rsidRDefault="00590E62" w:rsidP="00590E62">
            <w:pPr>
              <w:pStyle w:val="ae"/>
              <w:rPr>
                <w:b w:val="0"/>
                <w:bCs/>
                <w:sz w:val="15"/>
                <w:szCs w:val="15"/>
              </w:rPr>
            </w:pPr>
            <w:r w:rsidRPr="00590E62">
              <w:rPr>
                <w:rFonts w:hint="eastAsia"/>
                <w:b w:val="0"/>
                <w:bCs/>
                <w:sz w:val="15"/>
                <w:szCs w:val="15"/>
              </w:rPr>
              <w:t>□木香</w:t>
            </w:r>
          </w:p>
        </w:tc>
        <w:tc>
          <w:tcPr>
            <w:tcW w:w="0" w:type="auto"/>
          </w:tcPr>
          <w:p w14:paraId="781F94C3" w14:textId="10B1B9A1" w:rsidR="00590E62" w:rsidRPr="00590E62" w:rsidRDefault="00590E62" w:rsidP="00590E62">
            <w:pPr>
              <w:pStyle w:val="ae"/>
              <w:rPr>
                <w:b w:val="0"/>
                <w:bCs/>
                <w:sz w:val="15"/>
                <w:szCs w:val="15"/>
              </w:rPr>
            </w:pPr>
            <w:r w:rsidRPr="00590E62">
              <w:rPr>
                <w:rFonts w:hint="eastAsia"/>
                <w:b w:val="0"/>
                <w:bCs/>
                <w:sz w:val="15"/>
                <w:szCs w:val="15"/>
              </w:rPr>
              <w:t>□爬山虎</w:t>
            </w:r>
            <w:r w:rsidRPr="00590E62">
              <w:rPr>
                <w:rFonts w:ascii="微软雅黑" w:eastAsia="微软雅黑" w:hAnsi="微软雅黑" w:cs="微软雅黑" w:hint="eastAsia"/>
                <w:sz w:val="15"/>
                <w:szCs w:val="15"/>
              </w:rPr>
              <w:t>*</w:t>
            </w:r>
          </w:p>
        </w:tc>
      </w:tr>
      <w:tr w:rsidR="00590E62" w:rsidRPr="00590E62" w14:paraId="0169C6ED" w14:textId="77777777" w:rsidTr="009B5516">
        <w:trPr>
          <w:jc w:val="center"/>
        </w:trPr>
        <w:tc>
          <w:tcPr>
            <w:tcW w:w="0" w:type="auto"/>
          </w:tcPr>
          <w:p w14:paraId="47470AA5" w14:textId="77777777" w:rsidR="00590E62" w:rsidRPr="00590E62" w:rsidRDefault="00590E62" w:rsidP="00590E62">
            <w:pPr>
              <w:pStyle w:val="ae"/>
              <w:rPr>
                <w:b w:val="0"/>
                <w:bCs/>
                <w:sz w:val="15"/>
                <w:szCs w:val="15"/>
              </w:rPr>
            </w:pPr>
            <w:r w:rsidRPr="00590E62">
              <w:rPr>
                <w:rFonts w:hint="eastAsia"/>
                <w:b w:val="0"/>
                <w:bCs/>
                <w:sz w:val="15"/>
                <w:szCs w:val="15"/>
              </w:rPr>
              <w:t>□油麻藤</w:t>
            </w:r>
          </w:p>
        </w:tc>
        <w:tc>
          <w:tcPr>
            <w:tcW w:w="0" w:type="auto"/>
          </w:tcPr>
          <w:p w14:paraId="0B7034E3" w14:textId="77777777" w:rsidR="00590E62" w:rsidRPr="00590E62" w:rsidRDefault="00590E62" w:rsidP="00590E62">
            <w:pPr>
              <w:pStyle w:val="ae"/>
              <w:rPr>
                <w:b w:val="0"/>
                <w:bCs/>
                <w:sz w:val="15"/>
                <w:szCs w:val="15"/>
              </w:rPr>
            </w:pPr>
            <w:r w:rsidRPr="00590E62">
              <w:rPr>
                <w:rFonts w:hint="eastAsia"/>
                <w:b w:val="0"/>
                <w:bCs/>
                <w:sz w:val="15"/>
                <w:szCs w:val="15"/>
              </w:rPr>
              <w:t>□葡萄</w:t>
            </w:r>
          </w:p>
        </w:tc>
        <w:tc>
          <w:tcPr>
            <w:tcW w:w="0" w:type="auto"/>
          </w:tcPr>
          <w:p w14:paraId="6AA98CE1" w14:textId="77777777" w:rsidR="00590E62" w:rsidRPr="00590E62" w:rsidRDefault="00590E62" w:rsidP="00590E62">
            <w:pPr>
              <w:pStyle w:val="ae"/>
              <w:rPr>
                <w:b w:val="0"/>
                <w:bCs/>
                <w:sz w:val="15"/>
                <w:szCs w:val="15"/>
              </w:rPr>
            </w:pPr>
            <w:r w:rsidRPr="00590E62">
              <w:rPr>
                <w:rFonts w:hint="eastAsia"/>
                <w:b w:val="0"/>
                <w:bCs/>
                <w:sz w:val="15"/>
                <w:szCs w:val="15"/>
              </w:rPr>
              <w:t>□紫藤</w:t>
            </w:r>
          </w:p>
        </w:tc>
        <w:tc>
          <w:tcPr>
            <w:tcW w:w="0" w:type="auto"/>
          </w:tcPr>
          <w:p w14:paraId="058E7839" w14:textId="77777777" w:rsidR="00590E62" w:rsidRPr="00590E62" w:rsidRDefault="00590E62" w:rsidP="00590E62">
            <w:pPr>
              <w:pStyle w:val="ae"/>
              <w:rPr>
                <w:b w:val="0"/>
                <w:bCs/>
                <w:sz w:val="15"/>
                <w:szCs w:val="15"/>
              </w:rPr>
            </w:pPr>
            <w:r w:rsidRPr="00590E62">
              <w:rPr>
                <w:rFonts w:hint="eastAsia"/>
                <w:b w:val="0"/>
                <w:bCs/>
                <w:sz w:val="15"/>
                <w:szCs w:val="15"/>
              </w:rPr>
              <w:t>□大血藤</w:t>
            </w:r>
          </w:p>
        </w:tc>
        <w:tc>
          <w:tcPr>
            <w:tcW w:w="0" w:type="auto"/>
          </w:tcPr>
          <w:p w14:paraId="45A6C613" w14:textId="0D2AFE8D" w:rsidR="00590E62" w:rsidRPr="00590E62" w:rsidRDefault="00590E62" w:rsidP="00590E62">
            <w:pPr>
              <w:pStyle w:val="ae"/>
              <w:rPr>
                <w:b w:val="0"/>
                <w:bCs/>
                <w:sz w:val="15"/>
                <w:szCs w:val="15"/>
              </w:rPr>
            </w:pPr>
            <w:r w:rsidRPr="00590E62">
              <w:rPr>
                <w:rFonts w:hint="eastAsia"/>
                <w:b w:val="0"/>
                <w:bCs/>
                <w:sz w:val="15"/>
                <w:szCs w:val="15"/>
              </w:rPr>
              <w:t>□迎春</w:t>
            </w:r>
            <w:r w:rsidRPr="00590E62">
              <w:rPr>
                <w:rFonts w:ascii="微软雅黑" w:eastAsia="微软雅黑" w:hAnsi="微软雅黑" w:cs="微软雅黑" w:hint="eastAsia"/>
                <w:sz w:val="15"/>
                <w:szCs w:val="15"/>
              </w:rPr>
              <w:t>*</w:t>
            </w:r>
          </w:p>
        </w:tc>
        <w:tc>
          <w:tcPr>
            <w:tcW w:w="0" w:type="auto"/>
          </w:tcPr>
          <w:p w14:paraId="2A09968E" w14:textId="77777777" w:rsidR="00590E62" w:rsidRPr="00590E62" w:rsidRDefault="00590E62" w:rsidP="00590E62">
            <w:pPr>
              <w:pStyle w:val="ae"/>
              <w:rPr>
                <w:b w:val="0"/>
                <w:bCs/>
                <w:sz w:val="15"/>
                <w:szCs w:val="15"/>
              </w:rPr>
            </w:pPr>
          </w:p>
        </w:tc>
        <w:tc>
          <w:tcPr>
            <w:tcW w:w="0" w:type="auto"/>
          </w:tcPr>
          <w:p w14:paraId="4CE17C48" w14:textId="77777777" w:rsidR="00590E62" w:rsidRPr="00590E62" w:rsidRDefault="00590E62" w:rsidP="00590E62">
            <w:pPr>
              <w:pStyle w:val="ae"/>
              <w:rPr>
                <w:b w:val="0"/>
                <w:bCs/>
                <w:sz w:val="15"/>
                <w:szCs w:val="15"/>
              </w:rPr>
            </w:pPr>
          </w:p>
        </w:tc>
      </w:tr>
    </w:tbl>
    <w:p w14:paraId="41161DA9" w14:textId="77777777" w:rsidR="00AF1261" w:rsidRPr="00216B28" w:rsidRDefault="00AF1261" w:rsidP="00AF1261">
      <w:pPr>
        <w:pStyle w:val="9"/>
        <w:ind w:firstLine="420"/>
      </w:pPr>
    </w:p>
    <w:p w14:paraId="087CC513" w14:textId="77777777" w:rsidR="00AF1261" w:rsidRDefault="00AF1261" w:rsidP="00AF1261">
      <w:pPr>
        <w:pStyle w:val="40"/>
        <w:ind w:firstLine="420"/>
      </w:pPr>
      <w:r w:rsidRPr="00216B28">
        <w:t>用量说明：</w:t>
      </w:r>
      <w:r w:rsidRPr="00216B28">
        <w:rPr>
          <w:rFonts w:hint="eastAsia"/>
        </w:rPr>
        <w:t>按</w:t>
      </w:r>
      <w:r w:rsidRPr="00216B28">
        <w:t>植株</w:t>
      </w:r>
      <w:r w:rsidRPr="00216B28">
        <w:rPr>
          <w:rFonts w:hint="eastAsia"/>
        </w:rPr>
        <w:t>/</w:t>
      </w:r>
      <w:r w:rsidRPr="00216B28">
        <w:rPr>
          <w:rFonts w:hint="eastAsia"/>
        </w:rPr>
        <w:t>丛</w:t>
      </w:r>
      <w:r w:rsidRPr="00216B28">
        <w:t>/</w:t>
      </w:r>
      <w:r w:rsidRPr="00216B28">
        <w:rPr>
          <w:rFonts w:hint="eastAsia"/>
        </w:rPr>
        <w:t>簇</w:t>
      </w:r>
      <w:r w:rsidRPr="00216B28">
        <w:t>数进行</w:t>
      </w:r>
      <w:r w:rsidRPr="00216B28">
        <w:rPr>
          <w:rFonts w:hint="eastAsia"/>
        </w:rPr>
        <w:t>统计</w:t>
      </w:r>
      <w:r w:rsidRPr="00216B28">
        <w:t>用量</w:t>
      </w:r>
      <w:r>
        <w:rPr>
          <w:rFonts w:hint="eastAsia"/>
        </w:rPr>
        <w:t>；</w:t>
      </w:r>
    </w:p>
    <w:p w14:paraId="35A113DD" w14:textId="77777777" w:rsidR="00AF1261" w:rsidRDefault="00AF1261" w:rsidP="00AF1261">
      <w:pPr>
        <w:pStyle w:val="40"/>
        <w:ind w:firstLine="420"/>
      </w:pPr>
      <w:r>
        <w:rPr>
          <w:rFonts w:hint="eastAsia"/>
        </w:rPr>
        <w:t>其中带</w:t>
      </w:r>
      <w:r>
        <w:rPr>
          <w:rFonts w:hint="eastAsia"/>
        </w:rPr>
        <w:t>*</w:t>
      </w:r>
      <w:r>
        <w:rPr>
          <w:rFonts w:hint="eastAsia"/>
        </w:rPr>
        <w:t>为</w:t>
      </w:r>
      <w:r w:rsidRPr="00F57F5D">
        <w:rPr>
          <w:rFonts w:hint="eastAsia"/>
        </w:rPr>
        <w:t>无须永久灌溉植物</w:t>
      </w:r>
      <w:r>
        <w:rPr>
          <w:rFonts w:hint="eastAsia"/>
        </w:rPr>
        <w:t>。</w:t>
      </w:r>
    </w:p>
    <w:p w14:paraId="13758986" w14:textId="77777777" w:rsidR="00913C78" w:rsidRPr="00AF1261" w:rsidRDefault="00913C78" w:rsidP="00913C78">
      <w:pPr>
        <w:ind w:firstLine="420"/>
      </w:pPr>
    </w:p>
    <w:p w14:paraId="7D039FD2" w14:textId="77777777" w:rsidR="00913C78" w:rsidRPr="0081478A" w:rsidRDefault="00913C78" w:rsidP="00AF7DAA">
      <w:pPr>
        <w:ind w:firstLineChars="0" w:firstLine="0"/>
        <w:rPr>
          <w:rFonts w:cs="Times New Roman"/>
        </w:rPr>
      </w:pPr>
    </w:p>
    <w:sectPr w:rsidR="00913C78" w:rsidRPr="0081478A" w:rsidSect="007F25A4">
      <w:headerReference w:type="even" r:id="rId78"/>
      <w:headerReference w:type="default" r:id="rId79"/>
      <w:footerReference w:type="even" r:id="rId80"/>
      <w:headerReference w:type="first" r:id="rId81"/>
      <w:footerReference w:type="first" r:id="rId82"/>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EF773E" w14:textId="77777777" w:rsidR="00D20A1F" w:rsidRDefault="00D20A1F">
      <w:pPr>
        <w:ind w:firstLine="420"/>
      </w:pPr>
      <w:r>
        <w:separator/>
      </w:r>
    </w:p>
  </w:endnote>
  <w:endnote w:type="continuationSeparator" w:id="0">
    <w:p w14:paraId="150C458D" w14:textId="77777777" w:rsidR="00D20A1F" w:rsidRDefault="00D20A1F">
      <w:pPr>
        <w:ind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Arial Unicode MS"/>
    <w:charset w:val="86"/>
    <w:family w:val="auto"/>
    <w:pitch w:val="variable"/>
    <w:sig w:usb0="00000000"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方正小标宋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方正仿宋_GBK">
    <w:panose1 w:val="03000509000000000000"/>
    <w:charset w:val="86"/>
    <w:family w:val="script"/>
    <w:pitch w:val="fixed"/>
    <w:sig w:usb0="00000001" w:usb1="080E0000" w:usb2="00000010" w:usb3="00000000" w:csb0="00040000"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950786" w14:textId="77777777" w:rsidR="00EB74A4" w:rsidRDefault="00EB74A4">
    <w:pPr>
      <w:pStyle w:val="a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31976889"/>
      <w:docPartObj>
        <w:docPartGallery w:val="Page Numbers (Bottom of Page)"/>
        <w:docPartUnique/>
      </w:docPartObj>
    </w:sdtPr>
    <w:sdtEndPr/>
    <w:sdtContent>
      <w:p w14:paraId="45B98218" w14:textId="7EE98AB2" w:rsidR="00EE52E8" w:rsidRDefault="00EE52E8">
        <w:pPr>
          <w:pStyle w:val="a8"/>
          <w:ind w:firstLine="360"/>
          <w:jc w:val="center"/>
        </w:pPr>
        <w:r>
          <w:fldChar w:fldCharType="begin"/>
        </w:r>
        <w:r>
          <w:instrText>PAGE   \* MERGEFORMAT</w:instrText>
        </w:r>
        <w:r>
          <w:fldChar w:fldCharType="separate"/>
        </w:r>
        <w:r w:rsidR="00EE2A35" w:rsidRPr="00EE2A35">
          <w:rPr>
            <w:noProof/>
            <w:lang w:val="zh-CN"/>
          </w:rPr>
          <w:t>1</w:t>
        </w:r>
        <w:r>
          <w:fldChar w:fldCharType="end"/>
        </w:r>
      </w:p>
    </w:sdtContent>
  </w:sdt>
  <w:p w14:paraId="7EA7FB83" w14:textId="77777777" w:rsidR="00EB74A4" w:rsidRDefault="00EB74A4">
    <w:pPr>
      <w:pStyle w:val="a8"/>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AB2DD8" w14:textId="77777777" w:rsidR="00EB74A4" w:rsidRDefault="00EB74A4">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375EE" w14:textId="77777777" w:rsidR="00EB74A4" w:rsidRDefault="00EB74A4">
    <w:pPr>
      <w:pStyle w:val="a8"/>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36627463"/>
      <w:docPartObj>
        <w:docPartGallery w:val="Page Numbers (Bottom of Page)"/>
        <w:docPartUnique/>
      </w:docPartObj>
    </w:sdtPr>
    <w:sdtEndPr/>
    <w:sdtContent>
      <w:p w14:paraId="5FC30781" w14:textId="0B472953" w:rsidR="00EE52E8" w:rsidRDefault="00EE52E8">
        <w:pPr>
          <w:pStyle w:val="a8"/>
          <w:ind w:firstLine="360"/>
          <w:jc w:val="center"/>
        </w:pPr>
        <w:r>
          <w:fldChar w:fldCharType="begin"/>
        </w:r>
        <w:r>
          <w:instrText>PAGE   \* MERGEFORMAT</w:instrText>
        </w:r>
        <w:r>
          <w:fldChar w:fldCharType="separate"/>
        </w:r>
        <w:r w:rsidR="00EE2A35" w:rsidRPr="00EE2A35">
          <w:rPr>
            <w:noProof/>
            <w:lang w:val="zh-CN"/>
          </w:rPr>
          <w:t>3</w:t>
        </w:r>
        <w:r>
          <w:fldChar w:fldCharType="end"/>
        </w:r>
      </w:p>
    </w:sdtContent>
  </w:sdt>
  <w:p w14:paraId="3E39679E" w14:textId="77777777" w:rsidR="00EB74A4" w:rsidRDefault="00EB74A4">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83587907"/>
      <w:docPartObj>
        <w:docPartGallery w:val="Page Numbers (Bottom of Page)"/>
        <w:docPartUnique/>
      </w:docPartObj>
    </w:sdtPr>
    <w:sdtEndPr/>
    <w:sdtContent>
      <w:p w14:paraId="6A70356F" w14:textId="44DB8C4E" w:rsidR="00EE52E8" w:rsidRDefault="00EE52E8">
        <w:pPr>
          <w:pStyle w:val="a8"/>
          <w:ind w:firstLine="360"/>
          <w:jc w:val="center"/>
        </w:pPr>
        <w:r>
          <w:fldChar w:fldCharType="begin"/>
        </w:r>
        <w:r>
          <w:instrText>PAGE   \* MERGEFORMAT</w:instrText>
        </w:r>
        <w:r>
          <w:fldChar w:fldCharType="separate"/>
        </w:r>
        <w:r w:rsidR="00EE2A35" w:rsidRPr="00EE2A35">
          <w:rPr>
            <w:noProof/>
            <w:lang w:val="zh-CN"/>
          </w:rPr>
          <w:t>2</w:t>
        </w:r>
        <w:r>
          <w:fldChar w:fldCharType="end"/>
        </w:r>
      </w:p>
    </w:sdtContent>
  </w:sdt>
  <w:p w14:paraId="51F43C07" w14:textId="77777777" w:rsidR="00EB74A4" w:rsidRPr="00EE52E8" w:rsidRDefault="00EB74A4" w:rsidP="00EE52E8">
    <w:pPr>
      <w:pStyle w:val="a8"/>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917A0E" w14:textId="77777777" w:rsidR="00EB74A4" w:rsidRDefault="00EB74A4">
    <w:pPr>
      <w:pStyle w:val="a8"/>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EB6F45" w14:textId="77777777" w:rsidR="00EB74A4" w:rsidRDefault="00EB74A4">
    <w:pPr>
      <w:pStyle w:val="a8"/>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FE7CD7" w14:textId="77777777" w:rsidR="00D20A1F" w:rsidRDefault="00D20A1F">
      <w:pPr>
        <w:ind w:firstLine="420"/>
      </w:pPr>
      <w:r>
        <w:separator/>
      </w:r>
    </w:p>
  </w:footnote>
  <w:footnote w:type="continuationSeparator" w:id="0">
    <w:p w14:paraId="6F8B2666" w14:textId="77777777" w:rsidR="00D20A1F" w:rsidRDefault="00D20A1F">
      <w:pPr>
        <w:ind w:firstLine="420"/>
      </w:pPr>
      <w:r>
        <w:continuationSeparator/>
      </w:r>
    </w:p>
  </w:footnote>
  <w:footnote w:id="1">
    <w:p w14:paraId="7A3ADEEA" w14:textId="77777777" w:rsidR="00EB74A4" w:rsidRPr="00AC08C3" w:rsidRDefault="00EB74A4" w:rsidP="00AC08C3">
      <w:pPr>
        <w:spacing w:line="240" w:lineRule="auto"/>
        <w:ind w:firstLine="300"/>
        <w:rPr>
          <w:sz w:val="15"/>
          <w:szCs w:val="15"/>
        </w:rPr>
      </w:pPr>
      <w:r w:rsidRPr="00AC08C3">
        <w:rPr>
          <w:sz w:val="15"/>
          <w:szCs w:val="15"/>
        </w:rPr>
        <w:t>*</w:t>
      </w:r>
      <w:r w:rsidRPr="00AC08C3">
        <w:rPr>
          <w:rFonts w:hint="eastAsia"/>
          <w:sz w:val="15"/>
          <w:szCs w:val="15"/>
        </w:rPr>
        <w:t xml:space="preserve"> </w:t>
      </w:r>
      <w:r w:rsidRPr="00AC08C3">
        <w:rPr>
          <w:rFonts w:hint="eastAsia"/>
          <w:sz w:val="15"/>
          <w:szCs w:val="15"/>
        </w:rPr>
        <w:t>中国气象局气象信息中心资料室，清华大学建筑技术科学系</w:t>
      </w:r>
      <w:r w:rsidRPr="00AC08C3">
        <w:rPr>
          <w:rFonts w:hint="eastAsia"/>
          <w:sz w:val="15"/>
          <w:szCs w:val="15"/>
        </w:rPr>
        <w:t xml:space="preserve">. </w:t>
      </w:r>
      <w:r w:rsidRPr="00AC08C3">
        <w:rPr>
          <w:rFonts w:hint="eastAsia"/>
          <w:sz w:val="15"/>
          <w:szCs w:val="15"/>
        </w:rPr>
        <w:t>中国建筑热环境分析专用气象数据集</w:t>
      </w:r>
      <w:r w:rsidRPr="00AC08C3">
        <w:rPr>
          <w:rFonts w:hint="eastAsia"/>
          <w:sz w:val="15"/>
          <w:szCs w:val="15"/>
        </w:rPr>
        <w:t xml:space="preserve">[M]. </w:t>
      </w:r>
      <w:r w:rsidRPr="00AC08C3">
        <w:rPr>
          <w:rFonts w:hint="eastAsia"/>
          <w:sz w:val="15"/>
          <w:szCs w:val="15"/>
        </w:rPr>
        <w:t>北京：中国建筑工业出版社，</w:t>
      </w:r>
      <w:r w:rsidRPr="00AC08C3">
        <w:rPr>
          <w:rFonts w:hint="eastAsia"/>
          <w:sz w:val="15"/>
          <w:szCs w:val="15"/>
        </w:rPr>
        <w:t>2005.</w:t>
      </w:r>
    </w:p>
  </w:footnote>
  <w:footnote w:id="2">
    <w:p w14:paraId="3F86A707" w14:textId="77777777" w:rsidR="00EB74A4" w:rsidRPr="00AC08C3" w:rsidRDefault="00EB74A4" w:rsidP="00AC08C3">
      <w:pPr>
        <w:spacing w:line="240" w:lineRule="auto"/>
        <w:ind w:firstLine="300"/>
        <w:rPr>
          <w:sz w:val="15"/>
          <w:szCs w:val="15"/>
        </w:rPr>
      </w:pPr>
      <w:r w:rsidRPr="00AC08C3">
        <w:rPr>
          <w:sz w:val="15"/>
          <w:szCs w:val="15"/>
        </w:rPr>
        <w:t>*</w:t>
      </w:r>
      <w:r w:rsidRPr="00AC08C3">
        <w:rPr>
          <w:rFonts w:hint="eastAsia"/>
          <w:sz w:val="15"/>
          <w:szCs w:val="15"/>
        </w:rPr>
        <w:t xml:space="preserve"> </w:t>
      </w:r>
      <w:r w:rsidRPr="00AC08C3">
        <w:rPr>
          <w:rFonts w:hint="eastAsia"/>
          <w:sz w:val="15"/>
          <w:szCs w:val="15"/>
        </w:rPr>
        <w:t>中国气象局气象信息中心资料室，清华大学建筑技术科学系</w:t>
      </w:r>
      <w:r w:rsidRPr="00AC08C3">
        <w:rPr>
          <w:rFonts w:hint="eastAsia"/>
          <w:sz w:val="15"/>
          <w:szCs w:val="15"/>
        </w:rPr>
        <w:t xml:space="preserve">. </w:t>
      </w:r>
      <w:r w:rsidRPr="00AC08C3">
        <w:rPr>
          <w:rFonts w:hint="eastAsia"/>
          <w:sz w:val="15"/>
          <w:szCs w:val="15"/>
        </w:rPr>
        <w:t>中国建筑热环境分析专用气象数据集</w:t>
      </w:r>
      <w:r w:rsidRPr="00AC08C3">
        <w:rPr>
          <w:rFonts w:hint="eastAsia"/>
          <w:sz w:val="15"/>
          <w:szCs w:val="15"/>
        </w:rPr>
        <w:t xml:space="preserve">[M]. </w:t>
      </w:r>
      <w:r w:rsidRPr="00AC08C3">
        <w:rPr>
          <w:rFonts w:hint="eastAsia"/>
          <w:sz w:val="15"/>
          <w:szCs w:val="15"/>
        </w:rPr>
        <w:t>北京：中国建筑工业出版社，</w:t>
      </w:r>
      <w:r w:rsidRPr="00AC08C3">
        <w:rPr>
          <w:rFonts w:hint="eastAsia"/>
          <w:sz w:val="15"/>
          <w:szCs w:val="15"/>
        </w:rPr>
        <w:t>2005.</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912F67" w14:textId="77777777" w:rsidR="00EB74A4" w:rsidRDefault="00EB74A4">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665562" w14:textId="77777777" w:rsidR="00EB74A4" w:rsidRDefault="00EB74A4">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B13B64" w14:textId="77777777" w:rsidR="00EB74A4" w:rsidRDefault="00EB74A4">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A45E5B" w14:textId="77777777" w:rsidR="00EB74A4" w:rsidRDefault="00EB74A4">
    <w:pPr>
      <w:pStyle w:val="a9"/>
      <w:ind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53BB98" w14:textId="77777777" w:rsidR="00EB74A4" w:rsidRDefault="00EB74A4">
    <w:pPr>
      <w:pStyle w:val="a9"/>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FD6D37" w14:textId="77777777" w:rsidR="008D1808" w:rsidRDefault="008D1808">
    <w:pPr>
      <w:pStyle w:val="a9"/>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91B4CA" w14:textId="77777777" w:rsidR="00EB74A4" w:rsidRDefault="00EB74A4">
    <w:pPr>
      <w:pStyle w:val="a9"/>
      <w:ind w:firstLine="36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908252" w14:textId="77777777" w:rsidR="00EB74A4" w:rsidRDefault="00EB74A4">
    <w:pPr>
      <w:pStyle w:val="a9"/>
      <w:ind w:firstLine="36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0027D4" w14:textId="77777777" w:rsidR="00EB74A4" w:rsidRDefault="00EB74A4">
    <w:pPr>
      <w:pStyle w:val="a9"/>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F77B94"/>
    <w:multiLevelType w:val="hybridMultilevel"/>
    <w:tmpl w:val="ACB091A2"/>
    <w:lvl w:ilvl="0" w:tplc="B0A8CB60">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4186B68"/>
    <w:multiLevelType w:val="hybridMultilevel"/>
    <w:tmpl w:val="DA28E1A6"/>
    <w:lvl w:ilvl="0" w:tplc="F578A35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3D1E6017"/>
    <w:multiLevelType w:val="hybridMultilevel"/>
    <w:tmpl w:val="79424E5C"/>
    <w:lvl w:ilvl="0" w:tplc="A25A08DE">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3">
    <w:nsid w:val="6E2B37AB"/>
    <w:multiLevelType w:val="multilevel"/>
    <w:tmpl w:val="6E2B37AB"/>
    <w:lvl w:ilvl="0">
      <w:start w:val="1"/>
      <w:numFmt w:val="decimal"/>
      <w:lvlText w:val="%1、"/>
      <w:lvlJc w:val="left"/>
      <w:pPr>
        <w:ind w:left="840" w:hanging="360"/>
      </w:pPr>
      <w:rPr>
        <w:rFonts w:hint="defaul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ABB"/>
    <w:rsid w:val="000005A0"/>
    <w:rsid w:val="000012EA"/>
    <w:rsid w:val="00001D3D"/>
    <w:rsid w:val="0000636D"/>
    <w:rsid w:val="00007CD5"/>
    <w:rsid w:val="00011E42"/>
    <w:rsid w:val="00013619"/>
    <w:rsid w:val="00015DC5"/>
    <w:rsid w:val="00022856"/>
    <w:rsid w:val="000333B4"/>
    <w:rsid w:val="00033C98"/>
    <w:rsid w:val="0004028A"/>
    <w:rsid w:val="00040A9A"/>
    <w:rsid w:val="0004349A"/>
    <w:rsid w:val="00045FBF"/>
    <w:rsid w:val="00046825"/>
    <w:rsid w:val="000539B2"/>
    <w:rsid w:val="00054EA6"/>
    <w:rsid w:val="00063D10"/>
    <w:rsid w:val="000670A4"/>
    <w:rsid w:val="00072032"/>
    <w:rsid w:val="00076964"/>
    <w:rsid w:val="00081822"/>
    <w:rsid w:val="00083C4F"/>
    <w:rsid w:val="00084EEE"/>
    <w:rsid w:val="00084FC7"/>
    <w:rsid w:val="00090BA3"/>
    <w:rsid w:val="0009675D"/>
    <w:rsid w:val="000A2FC0"/>
    <w:rsid w:val="000A52CE"/>
    <w:rsid w:val="000A7347"/>
    <w:rsid w:val="000B54A2"/>
    <w:rsid w:val="000C0DFD"/>
    <w:rsid w:val="000D2498"/>
    <w:rsid w:val="000D25DF"/>
    <w:rsid w:val="000E0324"/>
    <w:rsid w:val="000E5527"/>
    <w:rsid w:val="000E765E"/>
    <w:rsid w:val="000E769F"/>
    <w:rsid w:val="000F33EC"/>
    <w:rsid w:val="000F358A"/>
    <w:rsid w:val="000F4A67"/>
    <w:rsid w:val="000F6D77"/>
    <w:rsid w:val="00101E96"/>
    <w:rsid w:val="00104AAC"/>
    <w:rsid w:val="00104CBB"/>
    <w:rsid w:val="00111A4D"/>
    <w:rsid w:val="001125F4"/>
    <w:rsid w:val="0011444E"/>
    <w:rsid w:val="00116C80"/>
    <w:rsid w:val="00121D7B"/>
    <w:rsid w:val="001229CF"/>
    <w:rsid w:val="0012510B"/>
    <w:rsid w:val="001314AE"/>
    <w:rsid w:val="001316EA"/>
    <w:rsid w:val="00135E4F"/>
    <w:rsid w:val="0014508E"/>
    <w:rsid w:val="00156428"/>
    <w:rsid w:val="00163687"/>
    <w:rsid w:val="00164D0C"/>
    <w:rsid w:val="001739D3"/>
    <w:rsid w:val="00182EB5"/>
    <w:rsid w:val="001836AB"/>
    <w:rsid w:val="0018648D"/>
    <w:rsid w:val="00187674"/>
    <w:rsid w:val="00194A28"/>
    <w:rsid w:val="00195728"/>
    <w:rsid w:val="001A7E3B"/>
    <w:rsid w:val="001C05E4"/>
    <w:rsid w:val="001C4871"/>
    <w:rsid w:val="001D149E"/>
    <w:rsid w:val="001D78C6"/>
    <w:rsid w:val="001E39CC"/>
    <w:rsid w:val="001E4D52"/>
    <w:rsid w:val="001E4FF8"/>
    <w:rsid w:val="001E54E5"/>
    <w:rsid w:val="001E5F08"/>
    <w:rsid w:val="001F1484"/>
    <w:rsid w:val="00210C43"/>
    <w:rsid w:val="00213A3F"/>
    <w:rsid w:val="00214774"/>
    <w:rsid w:val="00230E9C"/>
    <w:rsid w:val="00234003"/>
    <w:rsid w:val="00235608"/>
    <w:rsid w:val="002417A8"/>
    <w:rsid w:val="00244180"/>
    <w:rsid w:val="00245E91"/>
    <w:rsid w:val="0025203F"/>
    <w:rsid w:val="00252571"/>
    <w:rsid w:val="00262B6D"/>
    <w:rsid w:val="002704DE"/>
    <w:rsid w:val="002708D5"/>
    <w:rsid w:val="00271451"/>
    <w:rsid w:val="0028100F"/>
    <w:rsid w:val="002828A9"/>
    <w:rsid w:val="00283AFC"/>
    <w:rsid w:val="002863C4"/>
    <w:rsid w:val="002865D4"/>
    <w:rsid w:val="002937BB"/>
    <w:rsid w:val="00293DC0"/>
    <w:rsid w:val="00297BEE"/>
    <w:rsid w:val="002A0D07"/>
    <w:rsid w:val="002A562B"/>
    <w:rsid w:val="002B4D27"/>
    <w:rsid w:val="002C02E3"/>
    <w:rsid w:val="002C09A7"/>
    <w:rsid w:val="002C7F31"/>
    <w:rsid w:val="002D0C8D"/>
    <w:rsid w:val="002D1437"/>
    <w:rsid w:val="002F31C2"/>
    <w:rsid w:val="002F5412"/>
    <w:rsid w:val="00301BD5"/>
    <w:rsid w:val="00304458"/>
    <w:rsid w:val="00330920"/>
    <w:rsid w:val="00330A9C"/>
    <w:rsid w:val="00334250"/>
    <w:rsid w:val="003402BC"/>
    <w:rsid w:val="00342A37"/>
    <w:rsid w:val="003430D0"/>
    <w:rsid w:val="00343ED0"/>
    <w:rsid w:val="00345EC5"/>
    <w:rsid w:val="00345F83"/>
    <w:rsid w:val="0034616A"/>
    <w:rsid w:val="00346FFC"/>
    <w:rsid w:val="003526E7"/>
    <w:rsid w:val="00355ED5"/>
    <w:rsid w:val="00357C1D"/>
    <w:rsid w:val="00365E83"/>
    <w:rsid w:val="00370C7D"/>
    <w:rsid w:val="003713BA"/>
    <w:rsid w:val="00374049"/>
    <w:rsid w:val="00375A92"/>
    <w:rsid w:val="00377E4B"/>
    <w:rsid w:val="0038458A"/>
    <w:rsid w:val="0039369A"/>
    <w:rsid w:val="00393B98"/>
    <w:rsid w:val="003B0EB8"/>
    <w:rsid w:val="003B254E"/>
    <w:rsid w:val="003B48EE"/>
    <w:rsid w:val="003C1556"/>
    <w:rsid w:val="003C3A1A"/>
    <w:rsid w:val="003C702D"/>
    <w:rsid w:val="003C7C5F"/>
    <w:rsid w:val="003D3C65"/>
    <w:rsid w:val="003E2C8A"/>
    <w:rsid w:val="003F1038"/>
    <w:rsid w:val="003F3130"/>
    <w:rsid w:val="003F7C6F"/>
    <w:rsid w:val="00400CB3"/>
    <w:rsid w:val="00401AE6"/>
    <w:rsid w:val="00401E6E"/>
    <w:rsid w:val="004027DD"/>
    <w:rsid w:val="00407017"/>
    <w:rsid w:val="00407515"/>
    <w:rsid w:val="00407730"/>
    <w:rsid w:val="00414B15"/>
    <w:rsid w:val="004246E9"/>
    <w:rsid w:val="00425192"/>
    <w:rsid w:val="004265C4"/>
    <w:rsid w:val="00427C13"/>
    <w:rsid w:val="0043075E"/>
    <w:rsid w:val="00431529"/>
    <w:rsid w:val="004355C0"/>
    <w:rsid w:val="00436B55"/>
    <w:rsid w:val="00444EA3"/>
    <w:rsid w:val="0045027A"/>
    <w:rsid w:val="004539C5"/>
    <w:rsid w:val="0045471B"/>
    <w:rsid w:val="0045645E"/>
    <w:rsid w:val="0046014C"/>
    <w:rsid w:val="00460C3D"/>
    <w:rsid w:val="0046107D"/>
    <w:rsid w:val="0046273D"/>
    <w:rsid w:val="00466603"/>
    <w:rsid w:val="00467834"/>
    <w:rsid w:val="00474920"/>
    <w:rsid w:val="00474B83"/>
    <w:rsid w:val="004802E4"/>
    <w:rsid w:val="004803C0"/>
    <w:rsid w:val="004867F0"/>
    <w:rsid w:val="00492DC6"/>
    <w:rsid w:val="004A16BD"/>
    <w:rsid w:val="004A3129"/>
    <w:rsid w:val="004A6F19"/>
    <w:rsid w:val="004A7A0D"/>
    <w:rsid w:val="004A7C6B"/>
    <w:rsid w:val="004B1C1D"/>
    <w:rsid w:val="004B6A97"/>
    <w:rsid w:val="004B799E"/>
    <w:rsid w:val="004C499D"/>
    <w:rsid w:val="004C5CDA"/>
    <w:rsid w:val="004D241B"/>
    <w:rsid w:val="004D5824"/>
    <w:rsid w:val="004E2990"/>
    <w:rsid w:val="004F215F"/>
    <w:rsid w:val="004F2C12"/>
    <w:rsid w:val="004F5181"/>
    <w:rsid w:val="005004CF"/>
    <w:rsid w:val="005015D4"/>
    <w:rsid w:val="005030F0"/>
    <w:rsid w:val="005042D9"/>
    <w:rsid w:val="005060B2"/>
    <w:rsid w:val="005061CC"/>
    <w:rsid w:val="00510057"/>
    <w:rsid w:val="00510542"/>
    <w:rsid w:val="0052309F"/>
    <w:rsid w:val="0052438D"/>
    <w:rsid w:val="00532D0F"/>
    <w:rsid w:val="00537627"/>
    <w:rsid w:val="00537810"/>
    <w:rsid w:val="005409C5"/>
    <w:rsid w:val="005449D2"/>
    <w:rsid w:val="00545A0A"/>
    <w:rsid w:val="00546961"/>
    <w:rsid w:val="00546982"/>
    <w:rsid w:val="00550EBF"/>
    <w:rsid w:val="005539A3"/>
    <w:rsid w:val="00561C3F"/>
    <w:rsid w:val="00561D31"/>
    <w:rsid w:val="005652B9"/>
    <w:rsid w:val="005655D3"/>
    <w:rsid w:val="00570733"/>
    <w:rsid w:val="00576A37"/>
    <w:rsid w:val="00577B22"/>
    <w:rsid w:val="0058065D"/>
    <w:rsid w:val="00582175"/>
    <w:rsid w:val="00582866"/>
    <w:rsid w:val="0058568F"/>
    <w:rsid w:val="0058576F"/>
    <w:rsid w:val="00590E62"/>
    <w:rsid w:val="00593E52"/>
    <w:rsid w:val="00597D7C"/>
    <w:rsid w:val="005A0258"/>
    <w:rsid w:val="005A0E08"/>
    <w:rsid w:val="005A1D62"/>
    <w:rsid w:val="005A246C"/>
    <w:rsid w:val="005B05B1"/>
    <w:rsid w:val="005B2050"/>
    <w:rsid w:val="005B2497"/>
    <w:rsid w:val="005B519D"/>
    <w:rsid w:val="005C0780"/>
    <w:rsid w:val="005C0E42"/>
    <w:rsid w:val="005C1129"/>
    <w:rsid w:val="005C1E2F"/>
    <w:rsid w:val="005C2ED2"/>
    <w:rsid w:val="005C6BB6"/>
    <w:rsid w:val="005D0074"/>
    <w:rsid w:val="005D5AAB"/>
    <w:rsid w:val="005D6085"/>
    <w:rsid w:val="005E46CA"/>
    <w:rsid w:val="005E6D86"/>
    <w:rsid w:val="005F66E9"/>
    <w:rsid w:val="00600F11"/>
    <w:rsid w:val="00604E28"/>
    <w:rsid w:val="00607310"/>
    <w:rsid w:val="00617703"/>
    <w:rsid w:val="00621F5F"/>
    <w:rsid w:val="00622C85"/>
    <w:rsid w:val="0062503F"/>
    <w:rsid w:val="00643310"/>
    <w:rsid w:val="006478B7"/>
    <w:rsid w:val="006501CA"/>
    <w:rsid w:val="00651CA5"/>
    <w:rsid w:val="0065215E"/>
    <w:rsid w:val="0065781D"/>
    <w:rsid w:val="00665C79"/>
    <w:rsid w:val="006677FB"/>
    <w:rsid w:val="00672473"/>
    <w:rsid w:val="00674EA6"/>
    <w:rsid w:val="00676A05"/>
    <w:rsid w:val="00684E45"/>
    <w:rsid w:val="006856F1"/>
    <w:rsid w:val="0069490E"/>
    <w:rsid w:val="006A0887"/>
    <w:rsid w:val="006A3413"/>
    <w:rsid w:val="006A6F67"/>
    <w:rsid w:val="006A7F3F"/>
    <w:rsid w:val="006B6CA0"/>
    <w:rsid w:val="006B6E47"/>
    <w:rsid w:val="006C71BE"/>
    <w:rsid w:val="006C79E9"/>
    <w:rsid w:val="006E08A4"/>
    <w:rsid w:val="006F03E7"/>
    <w:rsid w:val="006F0C61"/>
    <w:rsid w:val="006F6073"/>
    <w:rsid w:val="00701DFD"/>
    <w:rsid w:val="00702FD6"/>
    <w:rsid w:val="00707736"/>
    <w:rsid w:val="007111B5"/>
    <w:rsid w:val="00715ABB"/>
    <w:rsid w:val="007204A1"/>
    <w:rsid w:val="007218D3"/>
    <w:rsid w:val="00725EEB"/>
    <w:rsid w:val="007268FE"/>
    <w:rsid w:val="007277B0"/>
    <w:rsid w:val="00727F46"/>
    <w:rsid w:val="00737545"/>
    <w:rsid w:val="00737BFD"/>
    <w:rsid w:val="007436B1"/>
    <w:rsid w:val="00745401"/>
    <w:rsid w:val="0075027C"/>
    <w:rsid w:val="00761DC6"/>
    <w:rsid w:val="00762DED"/>
    <w:rsid w:val="007644DD"/>
    <w:rsid w:val="007708CC"/>
    <w:rsid w:val="00771A60"/>
    <w:rsid w:val="00774C7C"/>
    <w:rsid w:val="00786A77"/>
    <w:rsid w:val="00790A8A"/>
    <w:rsid w:val="007921BF"/>
    <w:rsid w:val="0079492A"/>
    <w:rsid w:val="007A4F9A"/>
    <w:rsid w:val="007C09E9"/>
    <w:rsid w:val="007C29E3"/>
    <w:rsid w:val="007C2C5F"/>
    <w:rsid w:val="007D152C"/>
    <w:rsid w:val="007D635A"/>
    <w:rsid w:val="007F007E"/>
    <w:rsid w:val="007F0D06"/>
    <w:rsid w:val="007F25A4"/>
    <w:rsid w:val="00802623"/>
    <w:rsid w:val="00806237"/>
    <w:rsid w:val="008073D4"/>
    <w:rsid w:val="00807C7B"/>
    <w:rsid w:val="00814241"/>
    <w:rsid w:val="0081478A"/>
    <w:rsid w:val="0081530A"/>
    <w:rsid w:val="00826708"/>
    <w:rsid w:val="00826AF7"/>
    <w:rsid w:val="00831A18"/>
    <w:rsid w:val="0083414A"/>
    <w:rsid w:val="00834E7B"/>
    <w:rsid w:val="00837834"/>
    <w:rsid w:val="00841AA3"/>
    <w:rsid w:val="00842920"/>
    <w:rsid w:val="00843E55"/>
    <w:rsid w:val="0084444F"/>
    <w:rsid w:val="00846079"/>
    <w:rsid w:val="00846CE9"/>
    <w:rsid w:val="0085175F"/>
    <w:rsid w:val="00856E7E"/>
    <w:rsid w:val="008607FF"/>
    <w:rsid w:val="00861B16"/>
    <w:rsid w:val="00862549"/>
    <w:rsid w:val="0086429C"/>
    <w:rsid w:val="008675E9"/>
    <w:rsid w:val="0087265D"/>
    <w:rsid w:val="00874352"/>
    <w:rsid w:val="0087586F"/>
    <w:rsid w:val="00875F4A"/>
    <w:rsid w:val="0088139A"/>
    <w:rsid w:val="00882AF4"/>
    <w:rsid w:val="00882CA5"/>
    <w:rsid w:val="00882EEB"/>
    <w:rsid w:val="00884100"/>
    <w:rsid w:val="00884668"/>
    <w:rsid w:val="008849EB"/>
    <w:rsid w:val="0088728B"/>
    <w:rsid w:val="008921B6"/>
    <w:rsid w:val="00894BCD"/>
    <w:rsid w:val="008A0ADA"/>
    <w:rsid w:val="008B301F"/>
    <w:rsid w:val="008B54DD"/>
    <w:rsid w:val="008B5C1F"/>
    <w:rsid w:val="008B6F88"/>
    <w:rsid w:val="008B765F"/>
    <w:rsid w:val="008C07DF"/>
    <w:rsid w:val="008C24B0"/>
    <w:rsid w:val="008D029A"/>
    <w:rsid w:val="008D1808"/>
    <w:rsid w:val="008D37F7"/>
    <w:rsid w:val="008D3AF4"/>
    <w:rsid w:val="008D3C26"/>
    <w:rsid w:val="008E6A6A"/>
    <w:rsid w:val="008F1979"/>
    <w:rsid w:val="008F38C5"/>
    <w:rsid w:val="008F40CD"/>
    <w:rsid w:val="008F5BA8"/>
    <w:rsid w:val="008F61FE"/>
    <w:rsid w:val="008F6202"/>
    <w:rsid w:val="008F6C03"/>
    <w:rsid w:val="008F7029"/>
    <w:rsid w:val="009008FD"/>
    <w:rsid w:val="00900EDB"/>
    <w:rsid w:val="00906087"/>
    <w:rsid w:val="0091162F"/>
    <w:rsid w:val="00913A3F"/>
    <w:rsid w:val="00913C78"/>
    <w:rsid w:val="009160C0"/>
    <w:rsid w:val="00916784"/>
    <w:rsid w:val="00917E01"/>
    <w:rsid w:val="00921836"/>
    <w:rsid w:val="009252F8"/>
    <w:rsid w:val="00932578"/>
    <w:rsid w:val="00940DA1"/>
    <w:rsid w:val="00941920"/>
    <w:rsid w:val="009460D0"/>
    <w:rsid w:val="009519E7"/>
    <w:rsid w:val="00955FA4"/>
    <w:rsid w:val="00956F38"/>
    <w:rsid w:val="009575F0"/>
    <w:rsid w:val="00962F9A"/>
    <w:rsid w:val="00964656"/>
    <w:rsid w:val="00964ED0"/>
    <w:rsid w:val="0097400A"/>
    <w:rsid w:val="00975681"/>
    <w:rsid w:val="00976285"/>
    <w:rsid w:val="00976E7C"/>
    <w:rsid w:val="00984D68"/>
    <w:rsid w:val="009859D0"/>
    <w:rsid w:val="00987432"/>
    <w:rsid w:val="00991BF3"/>
    <w:rsid w:val="00991D52"/>
    <w:rsid w:val="009A3B1E"/>
    <w:rsid w:val="009A4E84"/>
    <w:rsid w:val="009B5516"/>
    <w:rsid w:val="009B5A87"/>
    <w:rsid w:val="009D0297"/>
    <w:rsid w:val="009D23A9"/>
    <w:rsid w:val="009D4D9D"/>
    <w:rsid w:val="009D6CE7"/>
    <w:rsid w:val="009D7120"/>
    <w:rsid w:val="009E2235"/>
    <w:rsid w:val="009E406E"/>
    <w:rsid w:val="009F7367"/>
    <w:rsid w:val="00A13658"/>
    <w:rsid w:val="00A14EBF"/>
    <w:rsid w:val="00A202FD"/>
    <w:rsid w:val="00A2113B"/>
    <w:rsid w:val="00A24AA5"/>
    <w:rsid w:val="00A2511C"/>
    <w:rsid w:val="00A262DB"/>
    <w:rsid w:val="00A30998"/>
    <w:rsid w:val="00A33B0D"/>
    <w:rsid w:val="00A35A06"/>
    <w:rsid w:val="00A37E71"/>
    <w:rsid w:val="00A40C84"/>
    <w:rsid w:val="00A432D3"/>
    <w:rsid w:val="00A45E99"/>
    <w:rsid w:val="00A52E55"/>
    <w:rsid w:val="00A54046"/>
    <w:rsid w:val="00A560A5"/>
    <w:rsid w:val="00A61E40"/>
    <w:rsid w:val="00A624AE"/>
    <w:rsid w:val="00A73F17"/>
    <w:rsid w:val="00A75BCE"/>
    <w:rsid w:val="00A75E46"/>
    <w:rsid w:val="00A85016"/>
    <w:rsid w:val="00A940AE"/>
    <w:rsid w:val="00AA71A8"/>
    <w:rsid w:val="00AB036B"/>
    <w:rsid w:val="00AB5DE9"/>
    <w:rsid w:val="00AB6577"/>
    <w:rsid w:val="00AC08C3"/>
    <w:rsid w:val="00AC1684"/>
    <w:rsid w:val="00AC2900"/>
    <w:rsid w:val="00AC2FAC"/>
    <w:rsid w:val="00AD3931"/>
    <w:rsid w:val="00AD3B18"/>
    <w:rsid w:val="00AD47E2"/>
    <w:rsid w:val="00AD58DA"/>
    <w:rsid w:val="00AD5E4A"/>
    <w:rsid w:val="00AD6173"/>
    <w:rsid w:val="00AD62DB"/>
    <w:rsid w:val="00AD6642"/>
    <w:rsid w:val="00AF1261"/>
    <w:rsid w:val="00AF17D0"/>
    <w:rsid w:val="00AF7DAA"/>
    <w:rsid w:val="00B10FB1"/>
    <w:rsid w:val="00B2501A"/>
    <w:rsid w:val="00B26CC8"/>
    <w:rsid w:val="00B27CD8"/>
    <w:rsid w:val="00B33FF3"/>
    <w:rsid w:val="00B3421B"/>
    <w:rsid w:val="00B3529F"/>
    <w:rsid w:val="00B431B8"/>
    <w:rsid w:val="00B5019F"/>
    <w:rsid w:val="00B5169A"/>
    <w:rsid w:val="00B51ABB"/>
    <w:rsid w:val="00B57338"/>
    <w:rsid w:val="00B61A1E"/>
    <w:rsid w:val="00B70ED4"/>
    <w:rsid w:val="00B73052"/>
    <w:rsid w:val="00B74A69"/>
    <w:rsid w:val="00B827A0"/>
    <w:rsid w:val="00B860A4"/>
    <w:rsid w:val="00B95F75"/>
    <w:rsid w:val="00BA29DF"/>
    <w:rsid w:val="00BA53A6"/>
    <w:rsid w:val="00BD3765"/>
    <w:rsid w:val="00BD5766"/>
    <w:rsid w:val="00BE1C28"/>
    <w:rsid w:val="00BF0F3F"/>
    <w:rsid w:val="00BF7559"/>
    <w:rsid w:val="00C0214C"/>
    <w:rsid w:val="00C035D8"/>
    <w:rsid w:val="00C05883"/>
    <w:rsid w:val="00C060F4"/>
    <w:rsid w:val="00C07966"/>
    <w:rsid w:val="00C104B1"/>
    <w:rsid w:val="00C11BC8"/>
    <w:rsid w:val="00C14BF8"/>
    <w:rsid w:val="00C26FD9"/>
    <w:rsid w:val="00C36303"/>
    <w:rsid w:val="00C41383"/>
    <w:rsid w:val="00C41AEB"/>
    <w:rsid w:val="00C50712"/>
    <w:rsid w:val="00C51A45"/>
    <w:rsid w:val="00C53017"/>
    <w:rsid w:val="00C63C16"/>
    <w:rsid w:val="00C74D15"/>
    <w:rsid w:val="00C82500"/>
    <w:rsid w:val="00CA2BBB"/>
    <w:rsid w:val="00CA3B0F"/>
    <w:rsid w:val="00CB04F6"/>
    <w:rsid w:val="00CB178D"/>
    <w:rsid w:val="00CB18E0"/>
    <w:rsid w:val="00CC191A"/>
    <w:rsid w:val="00CC2113"/>
    <w:rsid w:val="00CC545E"/>
    <w:rsid w:val="00CE1B2D"/>
    <w:rsid w:val="00CE2C60"/>
    <w:rsid w:val="00CE6076"/>
    <w:rsid w:val="00CF0C6B"/>
    <w:rsid w:val="00CF2756"/>
    <w:rsid w:val="00CF35FE"/>
    <w:rsid w:val="00CF37EE"/>
    <w:rsid w:val="00D065B7"/>
    <w:rsid w:val="00D123F2"/>
    <w:rsid w:val="00D12CC4"/>
    <w:rsid w:val="00D20A1F"/>
    <w:rsid w:val="00D21842"/>
    <w:rsid w:val="00D27861"/>
    <w:rsid w:val="00D303E6"/>
    <w:rsid w:val="00D313E6"/>
    <w:rsid w:val="00D42391"/>
    <w:rsid w:val="00D466D9"/>
    <w:rsid w:val="00D64C8B"/>
    <w:rsid w:val="00D70839"/>
    <w:rsid w:val="00D84002"/>
    <w:rsid w:val="00D9161A"/>
    <w:rsid w:val="00D93E69"/>
    <w:rsid w:val="00DA14A9"/>
    <w:rsid w:val="00DA6A7E"/>
    <w:rsid w:val="00DB1385"/>
    <w:rsid w:val="00DB68B9"/>
    <w:rsid w:val="00DC4342"/>
    <w:rsid w:val="00DC44BF"/>
    <w:rsid w:val="00DC7E55"/>
    <w:rsid w:val="00DD04C8"/>
    <w:rsid w:val="00DD0575"/>
    <w:rsid w:val="00DD0A62"/>
    <w:rsid w:val="00DD259A"/>
    <w:rsid w:val="00DD3FE4"/>
    <w:rsid w:val="00DD4B62"/>
    <w:rsid w:val="00DD4E38"/>
    <w:rsid w:val="00DE12A7"/>
    <w:rsid w:val="00DE210B"/>
    <w:rsid w:val="00DF5A45"/>
    <w:rsid w:val="00DF6527"/>
    <w:rsid w:val="00E1193E"/>
    <w:rsid w:val="00E17C41"/>
    <w:rsid w:val="00E221F6"/>
    <w:rsid w:val="00E23AC2"/>
    <w:rsid w:val="00E257E1"/>
    <w:rsid w:val="00E26752"/>
    <w:rsid w:val="00E31FF0"/>
    <w:rsid w:val="00E36489"/>
    <w:rsid w:val="00E4331E"/>
    <w:rsid w:val="00E4338B"/>
    <w:rsid w:val="00E443CB"/>
    <w:rsid w:val="00E50B74"/>
    <w:rsid w:val="00E52EA7"/>
    <w:rsid w:val="00E54FBA"/>
    <w:rsid w:val="00E56BCA"/>
    <w:rsid w:val="00E578F4"/>
    <w:rsid w:val="00E70A9E"/>
    <w:rsid w:val="00E71ADE"/>
    <w:rsid w:val="00E7216A"/>
    <w:rsid w:val="00E72971"/>
    <w:rsid w:val="00E72E32"/>
    <w:rsid w:val="00E731D0"/>
    <w:rsid w:val="00E7328C"/>
    <w:rsid w:val="00E77DA7"/>
    <w:rsid w:val="00E84DE6"/>
    <w:rsid w:val="00E905A0"/>
    <w:rsid w:val="00E94F61"/>
    <w:rsid w:val="00E96A9E"/>
    <w:rsid w:val="00EB0344"/>
    <w:rsid w:val="00EB1876"/>
    <w:rsid w:val="00EB3E79"/>
    <w:rsid w:val="00EB4684"/>
    <w:rsid w:val="00EB6053"/>
    <w:rsid w:val="00EB74A4"/>
    <w:rsid w:val="00EC125A"/>
    <w:rsid w:val="00EC1F2D"/>
    <w:rsid w:val="00EC20D6"/>
    <w:rsid w:val="00EC70DB"/>
    <w:rsid w:val="00EC77CB"/>
    <w:rsid w:val="00EC7A9E"/>
    <w:rsid w:val="00ED3417"/>
    <w:rsid w:val="00EE1EC1"/>
    <w:rsid w:val="00EE2A35"/>
    <w:rsid w:val="00EE52E8"/>
    <w:rsid w:val="00EE6897"/>
    <w:rsid w:val="00EF0912"/>
    <w:rsid w:val="00EF245F"/>
    <w:rsid w:val="00EF512F"/>
    <w:rsid w:val="00EF7434"/>
    <w:rsid w:val="00F01066"/>
    <w:rsid w:val="00F0385C"/>
    <w:rsid w:val="00F039F2"/>
    <w:rsid w:val="00F179BB"/>
    <w:rsid w:val="00F22172"/>
    <w:rsid w:val="00F22813"/>
    <w:rsid w:val="00F23581"/>
    <w:rsid w:val="00F3600B"/>
    <w:rsid w:val="00F423DE"/>
    <w:rsid w:val="00F44390"/>
    <w:rsid w:val="00F45FFE"/>
    <w:rsid w:val="00F46849"/>
    <w:rsid w:val="00F545B8"/>
    <w:rsid w:val="00F545C7"/>
    <w:rsid w:val="00F547B6"/>
    <w:rsid w:val="00F70AD3"/>
    <w:rsid w:val="00F76914"/>
    <w:rsid w:val="00F7771D"/>
    <w:rsid w:val="00F810C6"/>
    <w:rsid w:val="00F83296"/>
    <w:rsid w:val="00F87991"/>
    <w:rsid w:val="00F904C2"/>
    <w:rsid w:val="00F921BD"/>
    <w:rsid w:val="00FA4A61"/>
    <w:rsid w:val="00FA4B33"/>
    <w:rsid w:val="00FA4C79"/>
    <w:rsid w:val="00FB1554"/>
    <w:rsid w:val="00FC6FC4"/>
    <w:rsid w:val="00FD5C9F"/>
    <w:rsid w:val="00FE26A7"/>
    <w:rsid w:val="00FF47CE"/>
    <w:rsid w:val="00FF61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9FA1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A05"/>
    <w:pPr>
      <w:widowControl w:val="0"/>
      <w:spacing w:line="360" w:lineRule="auto"/>
      <w:ind w:firstLineChars="200" w:firstLine="200"/>
      <w:jc w:val="both"/>
    </w:pPr>
    <w:rPr>
      <w:rFonts w:cstheme="minorBidi"/>
      <w:kern w:val="2"/>
      <w:sz w:val="21"/>
      <w:szCs w:val="22"/>
    </w:rPr>
  </w:style>
  <w:style w:type="paragraph" w:styleId="1">
    <w:name w:val="heading 1"/>
    <w:basedOn w:val="a"/>
    <w:next w:val="a"/>
    <w:uiPriority w:val="9"/>
    <w:qFormat/>
    <w:rsid w:val="001A7E3B"/>
    <w:pPr>
      <w:keepNext/>
      <w:keepLines/>
      <w:spacing w:before="340" w:after="330" w:line="578" w:lineRule="auto"/>
      <w:ind w:firstLineChars="0" w:firstLine="0"/>
      <w:jc w:val="center"/>
      <w:outlineLvl w:val="0"/>
    </w:pPr>
    <w:rPr>
      <w:b/>
      <w:bCs/>
      <w:kern w:val="44"/>
      <w:sz w:val="44"/>
      <w:szCs w:val="44"/>
    </w:rPr>
  </w:style>
  <w:style w:type="paragraph" w:styleId="2">
    <w:name w:val="heading 2"/>
    <w:basedOn w:val="a"/>
    <w:next w:val="a"/>
    <w:uiPriority w:val="9"/>
    <w:unhideWhenUsed/>
    <w:qFormat/>
    <w:rsid w:val="001A7E3B"/>
    <w:pPr>
      <w:keepNext/>
      <w:keepLines/>
      <w:spacing w:before="260" w:after="260" w:line="415" w:lineRule="auto"/>
      <w:ind w:firstLineChars="0" w:firstLine="0"/>
      <w:jc w:val="center"/>
      <w:outlineLvl w:val="1"/>
    </w:pPr>
    <w:rPr>
      <w:rFonts w:cstheme="majorBidi"/>
      <w:b/>
      <w:bCs/>
      <w:sz w:val="32"/>
      <w:szCs w:val="32"/>
    </w:rPr>
  </w:style>
  <w:style w:type="paragraph" w:styleId="3">
    <w:name w:val="heading 3"/>
    <w:basedOn w:val="a"/>
    <w:next w:val="a"/>
    <w:uiPriority w:val="9"/>
    <w:unhideWhenUsed/>
    <w:qFormat/>
    <w:rsid w:val="00913C78"/>
    <w:pPr>
      <w:keepNext/>
      <w:keepLines/>
      <w:spacing w:before="260" w:after="260" w:line="415" w:lineRule="auto"/>
      <w:ind w:firstLineChars="0" w:firstLine="0"/>
      <w:jc w:val="center"/>
      <w:outlineLvl w:val="2"/>
    </w:pPr>
    <w:rPr>
      <w:b/>
      <w:bCs/>
      <w:sz w:val="32"/>
      <w:szCs w:val="32"/>
    </w:rPr>
  </w:style>
  <w:style w:type="paragraph" w:styleId="4">
    <w:name w:val="heading 4"/>
    <w:basedOn w:val="a"/>
    <w:next w:val="a"/>
    <w:link w:val="4Char"/>
    <w:uiPriority w:val="9"/>
    <w:unhideWhenUsed/>
    <w:qFormat/>
    <w:rsid w:val="001A7E3B"/>
    <w:pPr>
      <w:keepNext/>
      <w:keepLines/>
      <w:ind w:firstLineChars="0" w:firstLine="0"/>
      <w:outlineLvl w:val="3"/>
    </w:pPr>
    <w:rPr>
      <w:rFonts w:cstheme="majorBidi"/>
      <w:b/>
      <w:bCs/>
      <w:szCs w:val="28"/>
    </w:rPr>
  </w:style>
  <w:style w:type="paragraph" w:styleId="5">
    <w:name w:val="heading 5"/>
    <w:basedOn w:val="a"/>
    <w:next w:val="a"/>
    <w:link w:val="5Char"/>
    <w:uiPriority w:val="9"/>
    <w:semiHidden/>
    <w:unhideWhenUsed/>
    <w:qFormat/>
    <w:rsid w:val="003C1556"/>
    <w:pPr>
      <w:keepNext/>
      <w:keepLines/>
      <w:spacing w:before="280" w:after="290" w:line="377" w:lineRule="auto"/>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qFormat/>
    <w:rsid w:val="001A7E3B"/>
    <w:rPr>
      <w:rFonts w:cstheme="majorBidi"/>
      <w:b/>
      <w:bCs/>
      <w:kern w:val="2"/>
      <w:sz w:val="21"/>
      <w:szCs w:val="28"/>
    </w:rPr>
  </w:style>
  <w:style w:type="character" w:customStyle="1" w:styleId="5Char">
    <w:name w:val="标题 5 Char"/>
    <w:basedOn w:val="a0"/>
    <w:link w:val="5"/>
    <w:uiPriority w:val="9"/>
    <w:semiHidden/>
    <w:rsid w:val="003C1556"/>
    <w:rPr>
      <w:rFonts w:cstheme="minorBidi"/>
      <w:b/>
      <w:bCs/>
      <w:kern w:val="2"/>
      <w:sz w:val="28"/>
      <w:szCs w:val="28"/>
    </w:rPr>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character" w:customStyle="1" w:styleId="Char0">
    <w:name w:val="批注文字 Char"/>
    <w:basedOn w:val="a0"/>
    <w:link w:val="a4"/>
    <w:uiPriority w:val="99"/>
    <w:qFormat/>
    <w:rPr>
      <w:kern w:val="2"/>
      <w:sz w:val="21"/>
      <w:szCs w:val="22"/>
    </w:rPr>
  </w:style>
  <w:style w:type="character" w:customStyle="1" w:styleId="Char">
    <w:name w:val="批注主题 Char"/>
    <w:basedOn w:val="Char0"/>
    <w:link w:val="a3"/>
    <w:uiPriority w:val="99"/>
    <w:semiHidden/>
    <w:qFormat/>
    <w:rPr>
      <w:b/>
      <w:bCs/>
      <w:kern w:val="2"/>
      <w:sz w:val="21"/>
      <w:szCs w:val="22"/>
    </w:rPr>
  </w:style>
  <w:style w:type="paragraph" w:styleId="a5">
    <w:name w:val="Body Text"/>
    <w:basedOn w:val="a"/>
    <w:link w:val="Char1"/>
    <w:uiPriority w:val="1"/>
    <w:qFormat/>
    <w:pPr>
      <w:autoSpaceDE w:val="0"/>
      <w:autoSpaceDN w:val="0"/>
      <w:adjustRightInd w:val="0"/>
      <w:ind w:firstLineChars="0" w:firstLine="0"/>
    </w:pPr>
    <w:rPr>
      <w:rFonts w:cs="宋体"/>
      <w:kern w:val="0"/>
      <w:szCs w:val="24"/>
    </w:rPr>
  </w:style>
  <w:style w:type="character" w:customStyle="1" w:styleId="Char1">
    <w:name w:val="正文文本 Char"/>
    <w:basedOn w:val="a0"/>
    <w:link w:val="a5"/>
    <w:uiPriority w:val="1"/>
    <w:qFormat/>
    <w:rPr>
      <w:rFonts w:ascii="Times New Roman" w:eastAsia="宋体" w:hAnsi="Times New Roman" w:cs="宋体"/>
      <w:sz w:val="24"/>
      <w:szCs w:val="24"/>
    </w:rPr>
  </w:style>
  <w:style w:type="paragraph" w:styleId="a6">
    <w:name w:val="Date"/>
    <w:basedOn w:val="a"/>
    <w:next w:val="a"/>
    <w:link w:val="Char2"/>
    <w:uiPriority w:val="99"/>
    <w:unhideWhenUsed/>
    <w:qFormat/>
    <w:pPr>
      <w:ind w:leftChars="2500" w:left="100" w:firstLineChars="0" w:firstLine="0"/>
    </w:pPr>
    <w:rPr>
      <w:rFonts w:ascii="等线" w:eastAsia="等线" w:hAnsi="等线"/>
    </w:rPr>
  </w:style>
  <w:style w:type="character" w:customStyle="1" w:styleId="Char2">
    <w:name w:val="日期 Char"/>
    <w:basedOn w:val="a0"/>
    <w:link w:val="a6"/>
    <w:uiPriority w:val="99"/>
    <w:semiHidden/>
    <w:qFormat/>
    <w:rPr>
      <w:rFonts w:ascii="等线" w:eastAsia="等线" w:hAnsi="等线"/>
      <w:kern w:val="2"/>
      <w:sz w:val="21"/>
      <w:szCs w:val="22"/>
    </w:rPr>
  </w:style>
  <w:style w:type="paragraph" w:styleId="a7">
    <w:name w:val="Balloon Text"/>
    <w:basedOn w:val="a"/>
    <w:link w:val="Char3"/>
    <w:uiPriority w:val="99"/>
    <w:unhideWhenUsed/>
    <w:qFormat/>
    <w:rPr>
      <w:sz w:val="18"/>
      <w:szCs w:val="18"/>
    </w:rPr>
  </w:style>
  <w:style w:type="character" w:customStyle="1" w:styleId="Char3">
    <w:name w:val="批注框文本 Char"/>
    <w:basedOn w:val="a0"/>
    <w:link w:val="a7"/>
    <w:uiPriority w:val="99"/>
    <w:semiHidden/>
    <w:qFormat/>
    <w:rPr>
      <w:kern w:val="2"/>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character" w:customStyle="1" w:styleId="Char4">
    <w:name w:val="页脚 Char"/>
    <w:basedOn w:val="a0"/>
    <w:link w:val="a8"/>
    <w:uiPriority w:val="99"/>
    <w:qFormat/>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9"/>
    <w:uiPriority w:val="99"/>
    <w:qFormat/>
    <w:rPr>
      <w:sz w:val="18"/>
      <w:szCs w:val="18"/>
    </w:rPr>
  </w:style>
  <w:style w:type="character" w:styleId="aa">
    <w:name w:val="page number"/>
    <w:basedOn w:val="a0"/>
    <w:uiPriority w:val="99"/>
    <w:qFormat/>
  </w:style>
  <w:style w:type="character" w:styleId="ab">
    <w:name w:val="annotation reference"/>
    <w:basedOn w:val="a0"/>
    <w:uiPriority w:val="99"/>
    <w:unhideWhenUsed/>
    <w:qFormat/>
    <w:rPr>
      <w:sz w:val="21"/>
      <w:szCs w:val="21"/>
    </w:rPr>
  </w:style>
  <w:style w:type="table" w:styleId="ac">
    <w:name w:val="Table Grid"/>
    <w:aliases w:val="三段式"/>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表段落1"/>
    <w:basedOn w:val="a"/>
    <w:uiPriority w:val="34"/>
    <w:qFormat/>
    <w:pPr>
      <w:ind w:firstLine="420"/>
    </w:pPr>
  </w:style>
  <w:style w:type="paragraph" w:customStyle="1" w:styleId="ad">
    <w:name w:val="条文"/>
    <w:basedOn w:val="1"/>
    <w:qFormat/>
    <w:pPr>
      <w:spacing w:before="0" w:after="0" w:line="240" w:lineRule="auto"/>
    </w:pPr>
    <w:rPr>
      <w:color w:val="000000"/>
      <w:sz w:val="24"/>
    </w:rPr>
  </w:style>
  <w:style w:type="paragraph" w:customStyle="1" w:styleId="20">
    <w:name w:val="正文2"/>
    <w:basedOn w:val="a"/>
    <w:qFormat/>
    <w:rsid w:val="00F23581"/>
    <w:pPr>
      <w:ind w:firstLineChars="0" w:firstLine="0"/>
    </w:pPr>
    <w:rPr>
      <w:rFonts w:ascii="宋体" w:hAnsi="宋体"/>
      <w:b/>
      <w:color w:val="000000" w:themeColor="text1"/>
      <w:szCs w:val="24"/>
    </w:rPr>
  </w:style>
  <w:style w:type="paragraph" w:customStyle="1" w:styleId="40">
    <w:name w:val="样式4"/>
    <w:basedOn w:val="a"/>
    <w:link w:val="4Char0"/>
    <w:qFormat/>
    <w:pPr>
      <w:topLinePunct/>
      <w:adjustRightInd w:val="0"/>
      <w:snapToGrid w:val="0"/>
      <w:spacing w:line="312" w:lineRule="atLeast"/>
      <w:textAlignment w:val="center"/>
    </w:pPr>
    <w:rPr>
      <w:rFonts w:cs="Times New Roman"/>
      <w:kern w:val="21"/>
      <w:szCs w:val="21"/>
    </w:rPr>
  </w:style>
  <w:style w:type="character" w:customStyle="1" w:styleId="4Char0">
    <w:name w:val="样式4 Char"/>
    <w:link w:val="40"/>
    <w:rPr>
      <w:rFonts w:ascii="Times New Roman" w:eastAsia="宋体" w:hAnsi="Times New Roman" w:cs="Times New Roman"/>
      <w:kern w:val="21"/>
      <w:sz w:val="21"/>
      <w:szCs w:val="21"/>
    </w:rPr>
  </w:style>
  <w:style w:type="paragraph" w:customStyle="1" w:styleId="7">
    <w:name w:val="样式7"/>
    <w:basedOn w:val="40"/>
    <w:link w:val="7Char"/>
    <w:pPr>
      <w:spacing w:before="120" w:after="120"/>
      <w:ind w:firstLineChars="0" w:firstLine="0"/>
      <w:jc w:val="center"/>
    </w:pPr>
    <w:rPr>
      <w:rFonts w:ascii="Arial" w:eastAsia="黑体" w:hAnsi="Arial" w:cs="Arial"/>
      <w:kern w:val="0"/>
      <w:sz w:val="18"/>
      <w:szCs w:val="18"/>
    </w:rPr>
  </w:style>
  <w:style w:type="character" w:customStyle="1" w:styleId="7Char">
    <w:name w:val="样式7 Char"/>
    <w:link w:val="7"/>
    <w:rPr>
      <w:rFonts w:ascii="Arial" w:eastAsia="黑体" w:hAnsi="Arial" w:cs="Arial"/>
      <w:sz w:val="18"/>
      <w:szCs w:val="18"/>
    </w:rPr>
  </w:style>
  <w:style w:type="paragraph" w:customStyle="1" w:styleId="8">
    <w:name w:val="样式8"/>
    <w:basedOn w:val="a"/>
    <w:link w:val="8Char"/>
    <w:qFormat/>
    <w:pPr>
      <w:topLinePunct/>
      <w:adjustRightInd w:val="0"/>
      <w:snapToGrid w:val="0"/>
      <w:spacing w:line="240" w:lineRule="atLeast"/>
      <w:ind w:firstLineChars="0" w:firstLine="0"/>
    </w:pPr>
    <w:rPr>
      <w:rFonts w:hAnsi="宋体" w:cs="Times New Roman"/>
      <w:kern w:val="0"/>
      <w:sz w:val="15"/>
      <w:szCs w:val="15"/>
    </w:rPr>
  </w:style>
  <w:style w:type="character" w:customStyle="1" w:styleId="8Char">
    <w:name w:val="样式8 Char"/>
    <w:link w:val="8"/>
    <w:qFormat/>
    <w:rPr>
      <w:rFonts w:ascii="Times New Roman" w:eastAsia="宋体" w:hAnsi="宋体" w:cs="Times New Roman"/>
      <w:sz w:val="15"/>
      <w:szCs w:val="15"/>
    </w:rPr>
  </w:style>
  <w:style w:type="paragraph" w:customStyle="1" w:styleId="9">
    <w:name w:val="样式9"/>
    <w:basedOn w:val="40"/>
    <w:link w:val="9Char"/>
    <w:pPr>
      <w:spacing w:line="120" w:lineRule="exact"/>
    </w:pPr>
  </w:style>
  <w:style w:type="character" w:customStyle="1" w:styleId="9Char">
    <w:name w:val="样式9 Char"/>
    <w:basedOn w:val="4Char0"/>
    <w:link w:val="9"/>
    <w:qFormat/>
    <w:rPr>
      <w:rFonts w:ascii="Times New Roman" w:eastAsia="宋体" w:hAnsi="Times New Roman" w:cs="Times New Roman"/>
      <w:kern w:val="21"/>
      <w:sz w:val="21"/>
      <w:szCs w:val="21"/>
    </w:rPr>
  </w:style>
  <w:style w:type="paragraph" w:customStyle="1" w:styleId="12">
    <w:name w:val="样式12"/>
    <w:basedOn w:val="8"/>
    <w:link w:val="12Char"/>
    <w:qFormat/>
    <w:pPr>
      <w:topLinePunct w:val="0"/>
      <w:spacing w:before="40" w:after="40" w:line="240" w:lineRule="auto"/>
      <w:jc w:val="center"/>
    </w:pPr>
  </w:style>
  <w:style w:type="character" w:customStyle="1" w:styleId="12Char">
    <w:name w:val="样式12 Char"/>
    <w:basedOn w:val="8Char"/>
    <w:link w:val="12"/>
    <w:qFormat/>
    <w:rPr>
      <w:rFonts w:ascii="Times New Roman" w:eastAsia="宋体" w:hAnsi="宋体" w:cs="Times New Roman"/>
      <w:sz w:val="15"/>
      <w:szCs w:val="15"/>
    </w:rPr>
  </w:style>
  <w:style w:type="paragraph" w:customStyle="1" w:styleId="14">
    <w:name w:val="样式14"/>
    <w:basedOn w:val="40"/>
    <w:link w:val="14Char"/>
    <w:qFormat/>
    <w:pPr>
      <w:spacing w:before="120" w:after="120"/>
      <w:ind w:firstLineChars="0" w:firstLine="0"/>
      <w:jc w:val="center"/>
    </w:pPr>
    <w:rPr>
      <w:sz w:val="18"/>
      <w:szCs w:val="18"/>
    </w:rPr>
  </w:style>
  <w:style w:type="character" w:customStyle="1" w:styleId="14Char">
    <w:name w:val="样式14 Char"/>
    <w:link w:val="14"/>
    <w:qFormat/>
    <w:rPr>
      <w:rFonts w:ascii="Times New Roman" w:eastAsia="宋体" w:hAnsi="Times New Roman" w:cs="Times New Roman"/>
      <w:kern w:val="21"/>
      <w:sz w:val="18"/>
      <w:szCs w:val="18"/>
    </w:rPr>
  </w:style>
  <w:style w:type="paragraph" w:customStyle="1" w:styleId="ae">
    <w:name w:val="表格"/>
    <w:basedOn w:val="a"/>
    <w:qFormat/>
    <w:rsid w:val="00BF0F3F"/>
    <w:pPr>
      <w:ind w:firstLineChars="0" w:firstLine="0"/>
      <w:jc w:val="center"/>
    </w:pPr>
    <w:rPr>
      <w:b/>
    </w:rPr>
  </w:style>
  <w:style w:type="table" w:customStyle="1" w:styleId="11">
    <w:name w:val="网格型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不明显强调1"/>
    <w:basedOn w:val="a0"/>
    <w:uiPriority w:val="19"/>
    <w:qFormat/>
    <w:rPr>
      <w:i/>
      <w:iCs/>
      <w:color w:val="404040" w:themeColor="text1" w:themeTint="BF"/>
    </w:rPr>
  </w:style>
  <w:style w:type="paragraph" w:styleId="15">
    <w:name w:val="toc 1"/>
    <w:basedOn w:val="a"/>
    <w:next w:val="a"/>
    <w:autoRedefine/>
    <w:uiPriority w:val="39"/>
    <w:unhideWhenUsed/>
    <w:rsid w:val="00401E6E"/>
  </w:style>
  <w:style w:type="paragraph" w:styleId="22">
    <w:name w:val="toc 2"/>
    <w:basedOn w:val="a"/>
    <w:next w:val="a"/>
    <w:autoRedefine/>
    <w:uiPriority w:val="39"/>
    <w:unhideWhenUsed/>
    <w:rsid w:val="00F45FFE"/>
    <w:pPr>
      <w:tabs>
        <w:tab w:val="right" w:leader="dot" w:pos="8302"/>
      </w:tabs>
      <w:ind w:leftChars="200" w:left="420" w:firstLine="420"/>
    </w:pPr>
    <w:rPr>
      <w:rFonts w:cs="Times New Roman"/>
      <w:noProof/>
    </w:rPr>
  </w:style>
  <w:style w:type="paragraph" w:styleId="31">
    <w:name w:val="toc 3"/>
    <w:basedOn w:val="a"/>
    <w:next w:val="a"/>
    <w:autoRedefine/>
    <w:uiPriority w:val="39"/>
    <w:unhideWhenUsed/>
    <w:rsid w:val="00401E6E"/>
    <w:pPr>
      <w:ind w:leftChars="400" w:left="840"/>
    </w:pPr>
  </w:style>
  <w:style w:type="character" w:styleId="af">
    <w:name w:val="Hyperlink"/>
    <w:basedOn w:val="a0"/>
    <w:uiPriority w:val="99"/>
    <w:unhideWhenUsed/>
    <w:rsid w:val="00401E6E"/>
    <w:rPr>
      <w:color w:val="0000FF" w:themeColor="hyperlink"/>
      <w:u w:val="single"/>
    </w:rPr>
  </w:style>
  <w:style w:type="paragraph" w:customStyle="1" w:styleId="23">
    <w:name w:val="2级标题"/>
    <w:basedOn w:val="a"/>
    <w:next w:val="a"/>
    <w:autoRedefine/>
    <w:qFormat/>
    <w:rsid w:val="003C1556"/>
    <w:pPr>
      <w:keepNext/>
      <w:keepLines/>
      <w:pageBreakBefore/>
      <w:spacing w:beforeLines="100" w:before="312" w:afterLines="50" w:after="156"/>
      <w:ind w:firstLineChars="0" w:firstLine="0"/>
      <w:jc w:val="center"/>
      <w:outlineLvl w:val="1"/>
    </w:pPr>
    <w:rPr>
      <w:rFonts w:cs="Times New Roman"/>
      <w:b/>
      <w:bCs/>
      <w:kern w:val="44"/>
      <w:sz w:val="28"/>
      <w:szCs w:val="21"/>
    </w:rPr>
  </w:style>
  <w:style w:type="character" w:styleId="af0">
    <w:name w:val="Emphasis"/>
    <w:basedOn w:val="a0"/>
    <w:uiPriority w:val="20"/>
    <w:qFormat/>
    <w:rsid w:val="00AB036B"/>
    <w:rPr>
      <w:i/>
      <w:iCs/>
    </w:rPr>
  </w:style>
  <w:style w:type="paragraph" w:styleId="af1">
    <w:name w:val="No Spacing"/>
    <w:basedOn w:val="a"/>
    <w:link w:val="Char6"/>
    <w:uiPriority w:val="1"/>
    <w:qFormat/>
    <w:rsid w:val="009D23A9"/>
    <w:pPr>
      <w:spacing w:beforeLines="100" w:line="300" w:lineRule="auto"/>
      <w:ind w:firstLineChars="0" w:firstLine="0"/>
      <w:outlineLvl w:val="3"/>
    </w:pPr>
    <w:rPr>
      <w:rFonts w:cs="Times New Roman"/>
      <w:sz w:val="24"/>
      <w:szCs w:val="24"/>
    </w:rPr>
  </w:style>
  <w:style w:type="character" w:customStyle="1" w:styleId="Char6">
    <w:name w:val="无间隔 Char"/>
    <w:basedOn w:val="a0"/>
    <w:link w:val="af1"/>
    <w:uiPriority w:val="1"/>
    <w:rsid w:val="00A35A06"/>
    <w:rPr>
      <w:kern w:val="2"/>
      <w:sz w:val="24"/>
      <w:szCs w:val="24"/>
    </w:rPr>
  </w:style>
  <w:style w:type="paragraph" w:customStyle="1" w:styleId="af2">
    <w:name w:val="章"/>
    <w:basedOn w:val="a"/>
    <w:rsid w:val="006F0C61"/>
    <w:pPr>
      <w:spacing w:beforeLines="100" w:before="100" w:afterLines="100" w:after="100" w:line="300" w:lineRule="auto"/>
      <w:ind w:firstLineChars="0" w:firstLine="0"/>
      <w:jc w:val="center"/>
      <w:outlineLvl w:val="0"/>
    </w:pPr>
    <w:rPr>
      <w:rFonts w:cs="Times New Roman"/>
      <w:b/>
      <w:bCs/>
      <w:sz w:val="28"/>
      <w:szCs w:val="28"/>
    </w:rPr>
  </w:style>
  <w:style w:type="paragraph" w:customStyle="1" w:styleId="af3">
    <w:name w:val="我的正文"/>
    <w:basedOn w:val="a"/>
    <w:link w:val="Char7"/>
    <w:qFormat/>
    <w:rsid w:val="0087265D"/>
    <w:pPr>
      <w:adjustRightInd w:val="0"/>
      <w:snapToGrid w:val="0"/>
      <w:spacing w:line="400" w:lineRule="exact"/>
    </w:pPr>
    <w:rPr>
      <w:rFonts w:cs="Times New Roman"/>
      <w:sz w:val="24"/>
      <w:szCs w:val="24"/>
    </w:rPr>
  </w:style>
  <w:style w:type="character" w:customStyle="1" w:styleId="Char7">
    <w:name w:val="我的正文 Char"/>
    <w:link w:val="af3"/>
    <w:rsid w:val="0087265D"/>
    <w:rPr>
      <w:kern w:val="2"/>
      <w:sz w:val="24"/>
      <w:szCs w:val="24"/>
    </w:rPr>
  </w:style>
  <w:style w:type="paragraph" w:styleId="af4">
    <w:name w:val="List Paragraph"/>
    <w:basedOn w:val="a"/>
    <w:uiPriority w:val="34"/>
    <w:qFormat/>
    <w:rsid w:val="002A562B"/>
    <w:pPr>
      <w:spacing w:line="240" w:lineRule="auto"/>
      <w:ind w:firstLine="420"/>
    </w:pPr>
    <w:rPr>
      <w:rFonts w:asciiTheme="minorHAnsi" w:eastAsiaTheme="minorEastAsia" w:hAnsiTheme="minorHAnsi"/>
    </w:rPr>
  </w:style>
  <w:style w:type="character" w:styleId="af5">
    <w:name w:val="Placeholder Text"/>
    <w:basedOn w:val="a0"/>
    <w:uiPriority w:val="99"/>
    <w:semiHidden/>
    <w:rsid w:val="00C41AEB"/>
    <w:rPr>
      <w:color w:val="808080"/>
    </w:rPr>
  </w:style>
  <w:style w:type="paragraph" w:styleId="af6">
    <w:name w:val="Revision"/>
    <w:hidden/>
    <w:uiPriority w:val="99"/>
    <w:semiHidden/>
    <w:rsid w:val="00304458"/>
    <w:rPr>
      <w:rFonts w:cstheme="minorBidi"/>
      <w:kern w:val="2"/>
      <w:sz w:val="21"/>
      <w:szCs w:val="22"/>
    </w:rPr>
  </w:style>
  <w:style w:type="paragraph" w:customStyle="1" w:styleId="24">
    <w:name w:val="附标2"/>
    <w:basedOn w:val="1"/>
    <w:qFormat/>
    <w:rsid w:val="00913C78"/>
    <w:pPr>
      <w:spacing w:after="340" w:line="415" w:lineRule="auto"/>
      <w:jc w:val="left"/>
      <w:outlineLvl w:val="1"/>
    </w:pPr>
    <w:rPr>
      <w:sz w:val="32"/>
    </w:rPr>
  </w:style>
  <w:style w:type="paragraph" w:customStyle="1" w:styleId="32">
    <w:name w:val="附标3"/>
    <w:basedOn w:val="24"/>
    <w:qFormat/>
    <w:rsid w:val="00913C78"/>
    <w:pPr>
      <w:outlineLvl w:val="2"/>
    </w:pPr>
    <w:rPr>
      <w:sz w:val="28"/>
    </w:rPr>
  </w:style>
  <w:style w:type="paragraph" w:customStyle="1" w:styleId="af7">
    <w:name w:val="附录表格"/>
    <w:basedOn w:val="ae"/>
    <w:qFormat/>
    <w:rsid w:val="00AC08C3"/>
    <w:pPr>
      <w:jc w:val="left"/>
    </w:pPr>
    <w:rPr>
      <w:b w:val="0"/>
      <w:bCs/>
    </w:rPr>
  </w:style>
  <w:style w:type="paragraph" w:customStyle="1" w:styleId="af8">
    <w:name w:val="公式"/>
    <w:qFormat/>
    <w:rsid w:val="007F25A4"/>
    <w:pPr>
      <w:tabs>
        <w:tab w:val="center" w:pos="4156"/>
        <w:tab w:val="right" w:pos="8312"/>
      </w:tabs>
      <w:ind w:firstLineChars="202" w:firstLine="424"/>
      <w:jc w:val="right"/>
    </w:pPr>
    <w:rPr>
      <w:rFonts w:cstheme="minorBidi"/>
      <w:kern w:val="2"/>
      <w:sz w:val="21"/>
      <w:szCs w:val="22"/>
    </w:rPr>
  </w:style>
  <w:style w:type="paragraph" w:customStyle="1" w:styleId="16">
    <w:name w:val="样式1"/>
    <w:basedOn w:val="1"/>
    <w:qFormat/>
    <w:rsid w:val="00AF1261"/>
    <w:pPr>
      <w:topLinePunct/>
      <w:adjustRightInd w:val="0"/>
      <w:snapToGrid w:val="0"/>
      <w:spacing w:beforeLines="200" w:before="200" w:afterLines="160" w:after="160" w:line="312" w:lineRule="atLeast"/>
    </w:pPr>
    <w:rPr>
      <w:rFonts w:ascii="Arial" w:eastAsia="黑体" w:hAnsi="Arial" w:cs="Times New Roman"/>
      <w:b w:val="0"/>
      <w:sz w:val="32"/>
      <w:szCs w:val="32"/>
    </w:rPr>
  </w:style>
  <w:style w:type="table" w:customStyle="1" w:styleId="af9">
    <w:name w:val="表格框线"/>
    <w:basedOn w:val="a1"/>
    <w:uiPriority w:val="99"/>
    <w:rsid w:val="00E73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Subtitle"/>
    <w:basedOn w:val="a"/>
    <w:next w:val="a"/>
    <w:link w:val="Char8"/>
    <w:uiPriority w:val="11"/>
    <w:qFormat/>
    <w:rsid w:val="00550EBF"/>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Char8">
    <w:name w:val="副标题 Char"/>
    <w:basedOn w:val="a0"/>
    <w:link w:val="afa"/>
    <w:uiPriority w:val="11"/>
    <w:rsid w:val="00550EBF"/>
    <w:rPr>
      <w:rFonts w:asciiTheme="minorHAnsi" w:eastAsiaTheme="minorEastAsia" w:hAnsiTheme="minorHAnsi" w:cstheme="minorBidi"/>
      <w:b/>
      <w:bCs/>
      <w:kern w:val="28"/>
      <w:sz w:val="32"/>
      <w:szCs w:val="32"/>
    </w:rPr>
  </w:style>
  <w:style w:type="paragraph" w:styleId="42">
    <w:name w:val="toc 4"/>
    <w:basedOn w:val="a"/>
    <w:next w:val="a"/>
    <w:autoRedefine/>
    <w:uiPriority w:val="39"/>
    <w:unhideWhenUsed/>
    <w:rsid w:val="008D1808"/>
    <w:pPr>
      <w:spacing w:line="240" w:lineRule="auto"/>
      <w:ind w:leftChars="600" w:left="1260" w:firstLineChars="0" w:firstLine="0"/>
    </w:pPr>
    <w:rPr>
      <w:rFonts w:asciiTheme="minorHAnsi" w:eastAsiaTheme="minorEastAsia" w:hAnsiTheme="minorHAnsi"/>
    </w:rPr>
  </w:style>
  <w:style w:type="paragraph" w:styleId="50">
    <w:name w:val="toc 5"/>
    <w:basedOn w:val="a"/>
    <w:next w:val="a"/>
    <w:autoRedefine/>
    <w:uiPriority w:val="39"/>
    <w:unhideWhenUsed/>
    <w:rsid w:val="008D1808"/>
    <w:pPr>
      <w:spacing w:line="240" w:lineRule="auto"/>
      <w:ind w:leftChars="800" w:left="1680" w:firstLineChars="0" w:firstLine="0"/>
    </w:pPr>
    <w:rPr>
      <w:rFonts w:asciiTheme="minorHAnsi" w:eastAsiaTheme="minorEastAsia" w:hAnsiTheme="minorHAnsi"/>
    </w:rPr>
  </w:style>
  <w:style w:type="paragraph" w:styleId="6">
    <w:name w:val="toc 6"/>
    <w:basedOn w:val="a"/>
    <w:next w:val="a"/>
    <w:autoRedefine/>
    <w:uiPriority w:val="39"/>
    <w:unhideWhenUsed/>
    <w:rsid w:val="008D1808"/>
    <w:pPr>
      <w:spacing w:line="240" w:lineRule="auto"/>
      <w:ind w:leftChars="1000" w:left="2100" w:firstLineChars="0" w:firstLine="0"/>
    </w:pPr>
    <w:rPr>
      <w:rFonts w:asciiTheme="minorHAnsi" w:eastAsiaTheme="minorEastAsia" w:hAnsiTheme="minorHAnsi"/>
    </w:rPr>
  </w:style>
  <w:style w:type="paragraph" w:styleId="70">
    <w:name w:val="toc 7"/>
    <w:basedOn w:val="a"/>
    <w:next w:val="a"/>
    <w:autoRedefine/>
    <w:uiPriority w:val="39"/>
    <w:unhideWhenUsed/>
    <w:rsid w:val="008D1808"/>
    <w:pPr>
      <w:spacing w:line="240" w:lineRule="auto"/>
      <w:ind w:leftChars="1200" w:left="2520" w:firstLineChars="0" w:firstLine="0"/>
    </w:pPr>
    <w:rPr>
      <w:rFonts w:asciiTheme="minorHAnsi" w:eastAsiaTheme="minorEastAsia" w:hAnsiTheme="minorHAnsi"/>
    </w:rPr>
  </w:style>
  <w:style w:type="paragraph" w:styleId="80">
    <w:name w:val="toc 8"/>
    <w:basedOn w:val="a"/>
    <w:next w:val="a"/>
    <w:autoRedefine/>
    <w:uiPriority w:val="39"/>
    <w:unhideWhenUsed/>
    <w:rsid w:val="008D1808"/>
    <w:pPr>
      <w:spacing w:line="240" w:lineRule="auto"/>
      <w:ind w:leftChars="1400" w:left="2940" w:firstLineChars="0" w:firstLine="0"/>
    </w:pPr>
    <w:rPr>
      <w:rFonts w:asciiTheme="minorHAnsi" w:eastAsiaTheme="minorEastAsia" w:hAnsiTheme="minorHAnsi"/>
    </w:rPr>
  </w:style>
  <w:style w:type="paragraph" w:styleId="90">
    <w:name w:val="toc 9"/>
    <w:basedOn w:val="a"/>
    <w:next w:val="a"/>
    <w:autoRedefine/>
    <w:uiPriority w:val="39"/>
    <w:unhideWhenUsed/>
    <w:rsid w:val="008D1808"/>
    <w:pPr>
      <w:spacing w:line="240" w:lineRule="auto"/>
      <w:ind w:leftChars="1600" w:left="3360" w:firstLineChars="0" w:firstLine="0"/>
    </w:pPr>
    <w:rPr>
      <w:rFonts w:asciiTheme="minorHAnsi" w:eastAsiaTheme="minorEastAsia" w:hAnsiTheme="minorHAnsi"/>
    </w:rPr>
  </w:style>
  <w:style w:type="character" w:customStyle="1" w:styleId="UnresolvedMention">
    <w:name w:val="Unresolved Mention"/>
    <w:basedOn w:val="a0"/>
    <w:uiPriority w:val="99"/>
    <w:semiHidden/>
    <w:unhideWhenUsed/>
    <w:rsid w:val="008D180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semiHidden="0"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semiHidden="0" w:qFormat="1"/>
    <w:lsdException w:name="footer" w:semiHidden="0" w:qFormat="1"/>
    <w:lsdException w:name="caption" w:uiPriority="35" w:qFormat="1"/>
    <w:lsdException w:name="annotation reference" w:qFormat="1"/>
    <w:lsdException w:name="page number" w:semiHidden="0" w:unhideWhenUsed="0" w:qFormat="1"/>
    <w:lsdException w:name="Title" w:semiHidden="0" w:uiPriority="10" w:unhideWhenUsed="0" w:qFormat="1"/>
    <w:lsdException w:name="Default Paragraph Font" w:uiPriority="1" w:qFormat="1"/>
    <w:lsdException w:name="Body Text" w:semiHidden="0" w:uiPriority="1" w:unhideWhenUsed="0" w:qFormat="1"/>
    <w:lsdException w:name="Subtitle" w:semiHidden="0" w:uiPriority="11" w:unhideWhenUsed="0" w:qFormat="1"/>
    <w:lsdException w:name="Date" w:qFormat="1"/>
    <w:lsdException w:name="Strong" w:semiHidden="0" w:uiPriority="22" w:unhideWhenUsed="0" w:qFormat="1"/>
    <w:lsdException w:name="Emphasis" w:semiHidden="0" w:uiPriority="20" w:unhideWhenUsed="0" w:qFormat="1"/>
    <w:lsdException w:name="Normal Table" w:qFormat="1"/>
    <w:lsdException w:name="annotation subject"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6A05"/>
    <w:pPr>
      <w:widowControl w:val="0"/>
      <w:spacing w:line="360" w:lineRule="auto"/>
      <w:ind w:firstLineChars="200" w:firstLine="200"/>
      <w:jc w:val="both"/>
    </w:pPr>
    <w:rPr>
      <w:rFonts w:cstheme="minorBidi"/>
      <w:kern w:val="2"/>
      <w:sz w:val="21"/>
      <w:szCs w:val="22"/>
    </w:rPr>
  </w:style>
  <w:style w:type="paragraph" w:styleId="1">
    <w:name w:val="heading 1"/>
    <w:basedOn w:val="a"/>
    <w:next w:val="a"/>
    <w:uiPriority w:val="9"/>
    <w:qFormat/>
    <w:rsid w:val="001A7E3B"/>
    <w:pPr>
      <w:keepNext/>
      <w:keepLines/>
      <w:spacing w:before="340" w:after="330" w:line="578" w:lineRule="auto"/>
      <w:ind w:firstLineChars="0" w:firstLine="0"/>
      <w:jc w:val="center"/>
      <w:outlineLvl w:val="0"/>
    </w:pPr>
    <w:rPr>
      <w:b/>
      <w:bCs/>
      <w:kern w:val="44"/>
      <w:sz w:val="44"/>
      <w:szCs w:val="44"/>
    </w:rPr>
  </w:style>
  <w:style w:type="paragraph" w:styleId="2">
    <w:name w:val="heading 2"/>
    <w:basedOn w:val="a"/>
    <w:next w:val="a"/>
    <w:uiPriority w:val="9"/>
    <w:unhideWhenUsed/>
    <w:qFormat/>
    <w:rsid w:val="001A7E3B"/>
    <w:pPr>
      <w:keepNext/>
      <w:keepLines/>
      <w:spacing w:before="260" w:after="260" w:line="415" w:lineRule="auto"/>
      <w:ind w:firstLineChars="0" w:firstLine="0"/>
      <w:jc w:val="center"/>
      <w:outlineLvl w:val="1"/>
    </w:pPr>
    <w:rPr>
      <w:rFonts w:cstheme="majorBidi"/>
      <w:b/>
      <w:bCs/>
      <w:sz w:val="32"/>
      <w:szCs w:val="32"/>
    </w:rPr>
  </w:style>
  <w:style w:type="paragraph" w:styleId="3">
    <w:name w:val="heading 3"/>
    <w:basedOn w:val="a"/>
    <w:next w:val="a"/>
    <w:uiPriority w:val="9"/>
    <w:unhideWhenUsed/>
    <w:qFormat/>
    <w:rsid w:val="00913C78"/>
    <w:pPr>
      <w:keepNext/>
      <w:keepLines/>
      <w:spacing w:before="260" w:after="260" w:line="415" w:lineRule="auto"/>
      <w:ind w:firstLineChars="0" w:firstLine="0"/>
      <w:jc w:val="center"/>
      <w:outlineLvl w:val="2"/>
    </w:pPr>
    <w:rPr>
      <w:b/>
      <w:bCs/>
      <w:sz w:val="32"/>
      <w:szCs w:val="32"/>
    </w:rPr>
  </w:style>
  <w:style w:type="paragraph" w:styleId="4">
    <w:name w:val="heading 4"/>
    <w:basedOn w:val="a"/>
    <w:next w:val="a"/>
    <w:link w:val="4Char"/>
    <w:uiPriority w:val="9"/>
    <w:unhideWhenUsed/>
    <w:qFormat/>
    <w:rsid w:val="001A7E3B"/>
    <w:pPr>
      <w:keepNext/>
      <w:keepLines/>
      <w:ind w:firstLineChars="0" w:firstLine="0"/>
      <w:outlineLvl w:val="3"/>
    </w:pPr>
    <w:rPr>
      <w:rFonts w:cstheme="majorBidi"/>
      <w:b/>
      <w:bCs/>
      <w:szCs w:val="28"/>
    </w:rPr>
  </w:style>
  <w:style w:type="paragraph" w:styleId="5">
    <w:name w:val="heading 5"/>
    <w:basedOn w:val="a"/>
    <w:next w:val="a"/>
    <w:link w:val="5Char"/>
    <w:uiPriority w:val="9"/>
    <w:semiHidden/>
    <w:unhideWhenUsed/>
    <w:qFormat/>
    <w:rsid w:val="003C1556"/>
    <w:pPr>
      <w:keepNext/>
      <w:keepLines/>
      <w:spacing w:before="280" w:after="290" w:line="377" w:lineRule="auto"/>
      <w:ind w:firstLineChars="0" w:firstLine="0"/>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Char">
    <w:name w:val="标题 4 Char"/>
    <w:basedOn w:val="a0"/>
    <w:link w:val="4"/>
    <w:uiPriority w:val="9"/>
    <w:qFormat/>
    <w:rsid w:val="001A7E3B"/>
    <w:rPr>
      <w:rFonts w:cstheme="majorBidi"/>
      <w:b/>
      <w:bCs/>
      <w:kern w:val="2"/>
      <w:sz w:val="21"/>
      <w:szCs w:val="28"/>
    </w:rPr>
  </w:style>
  <w:style w:type="character" w:customStyle="1" w:styleId="5Char">
    <w:name w:val="标题 5 Char"/>
    <w:basedOn w:val="a0"/>
    <w:link w:val="5"/>
    <w:uiPriority w:val="9"/>
    <w:semiHidden/>
    <w:rsid w:val="003C1556"/>
    <w:rPr>
      <w:rFonts w:cstheme="minorBidi"/>
      <w:b/>
      <w:bCs/>
      <w:kern w:val="2"/>
      <w:sz w:val="28"/>
      <w:szCs w:val="28"/>
    </w:rPr>
  </w:style>
  <w:style w:type="paragraph" w:styleId="a3">
    <w:name w:val="annotation subject"/>
    <w:basedOn w:val="a4"/>
    <w:next w:val="a4"/>
    <w:link w:val="Char"/>
    <w:uiPriority w:val="99"/>
    <w:unhideWhenUsed/>
    <w:qFormat/>
    <w:rPr>
      <w:b/>
      <w:bCs/>
    </w:rPr>
  </w:style>
  <w:style w:type="paragraph" w:styleId="a4">
    <w:name w:val="annotation text"/>
    <w:basedOn w:val="a"/>
    <w:link w:val="Char0"/>
    <w:uiPriority w:val="99"/>
    <w:unhideWhenUsed/>
    <w:qFormat/>
    <w:pPr>
      <w:jc w:val="left"/>
    </w:pPr>
  </w:style>
  <w:style w:type="character" w:customStyle="1" w:styleId="Char0">
    <w:name w:val="批注文字 Char"/>
    <w:basedOn w:val="a0"/>
    <w:link w:val="a4"/>
    <w:uiPriority w:val="99"/>
    <w:qFormat/>
    <w:rPr>
      <w:kern w:val="2"/>
      <w:sz w:val="21"/>
      <w:szCs w:val="22"/>
    </w:rPr>
  </w:style>
  <w:style w:type="character" w:customStyle="1" w:styleId="Char">
    <w:name w:val="批注主题 Char"/>
    <w:basedOn w:val="Char0"/>
    <w:link w:val="a3"/>
    <w:uiPriority w:val="99"/>
    <w:semiHidden/>
    <w:qFormat/>
    <w:rPr>
      <w:b/>
      <w:bCs/>
      <w:kern w:val="2"/>
      <w:sz w:val="21"/>
      <w:szCs w:val="22"/>
    </w:rPr>
  </w:style>
  <w:style w:type="paragraph" w:styleId="a5">
    <w:name w:val="Body Text"/>
    <w:basedOn w:val="a"/>
    <w:link w:val="Char1"/>
    <w:uiPriority w:val="1"/>
    <w:qFormat/>
    <w:pPr>
      <w:autoSpaceDE w:val="0"/>
      <w:autoSpaceDN w:val="0"/>
      <w:adjustRightInd w:val="0"/>
      <w:ind w:firstLineChars="0" w:firstLine="0"/>
    </w:pPr>
    <w:rPr>
      <w:rFonts w:cs="宋体"/>
      <w:kern w:val="0"/>
      <w:szCs w:val="24"/>
    </w:rPr>
  </w:style>
  <w:style w:type="character" w:customStyle="1" w:styleId="Char1">
    <w:name w:val="正文文本 Char"/>
    <w:basedOn w:val="a0"/>
    <w:link w:val="a5"/>
    <w:uiPriority w:val="1"/>
    <w:qFormat/>
    <w:rPr>
      <w:rFonts w:ascii="Times New Roman" w:eastAsia="宋体" w:hAnsi="Times New Roman" w:cs="宋体"/>
      <w:sz w:val="24"/>
      <w:szCs w:val="24"/>
    </w:rPr>
  </w:style>
  <w:style w:type="paragraph" w:styleId="a6">
    <w:name w:val="Date"/>
    <w:basedOn w:val="a"/>
    <w:next w:val="a"/>
    <w:link w:val="Char2"/>
    <w:uiPriority w:val="99"/>
    <w:unhideWhenUsed/>
    <w:qFormat/>
    <w:pPr>
      <w:ind w:leftChars="2500" w:left="100" w:firstLineChars="0" w:firstLine="0"/>
    </w:pPr>
    <w:rPr>
      <w:rFonts w:ascii="等线" w:eastAsia="等线" w:hAnsi="等线"/>
    </w:rPr>
  </w:style>
  <w:style w:type="character" w:customStyle="1" w:styleId="Char2">
    <w:name w:val="日期 Char"/>
    <w:basedOn w:val="a0"/>
    <w:link w:val="a6"/>
    <w:uiPriority w:val="99"/>
    <w:semiHidden/>
    <w:qFormat/>
    <w:rPr>
      <w:rFonts w:ascii="等线" w:eastAsia="等线" w:hAnsi="等线"/>
      <w:kern w:val="2"/>
      <w:sz w:val="21"/>
      <w:szCs w:val="22"/>
    </w:rPr>
  </w:style>
  <w:style w:type="paragraph" w:styleId="a7">
    <w:name w:val="Balloon Text"/>
    <w:basedOn w:val="a"/>
    <w:link w:val="Char3"/>
    <w:uiPriority w:val="99"/>
    <w:unhideWhenUsed/>
    <w:qFormat/>
    <w:rPr>
      <w:sz w:val="18"/>
      <w:szCs w:val="18"/>
    </w:rPr>
  </w:style>
  <w:style w:type="character" w:customStyle="1" w:styleId="Char3">
    <w:name w:val="批注框文本 Char"/>
    <w:basedOn w:val="a0"/>
    <w:link w:val="a7"/>
    <w:uiPriority w:val="99"/>
    <w:semiHidden/>
    <w:qFormat/>
    <w:rPr>
      <w:kern w:val="2"/>
      <w:sz w:val="18"/>
      <w:szCs w:val="18"/>
    </w:rPr>
  </w:style>
  <w:style w:type="paragraph" w:styleId="a8">
    <w:name w:val="footer"/>
    <w:basedOn w:val="a"/>
    <w:link w:val="Char4"/>
    <w:uiPriority w:val="99"/>
    <w:unhideWhenUsed/>
    <w:qFormat/>
    <w:pPr>
      <w:tabs>
        <w:tab w:val="center" w:pos="4153"/>
        <w:tab w:val="right" w:pos="8306"/>
      </w:tabs>
      <w:snapToGrid w:val="0"/>
      <w:jc w:val="left"/>
    </w:pPr>
    <w:rPr>
      <w:sz w:val="18"/>
      <w:szCs w:val="18"/>
    </w:rPr>
  </w:style>
  <w:style w:type="character" w:customStyle="1" w:styleId="Char4">
    <w:name w:val="页脚 Char"/>
    <w:basedOn w:val="a0"/>
    <w:link w:val="a8"/>
    <w:uiPriority w:val="99"/>
    <w:qFormat/>
    <w:rPr>
      <w:sz w:val="18"/>
      <w:szCs w:val="18"/>
    </w:rPr>
  </w:style>
  <w:style w:type="paragraph" w:styleId="a9">
    <w:name w:val="header"/>
    <w:basedOn w:val="a"/>
    <w:link w:val="Char5"/>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Char5">
    <w:name w:val="页眉 Char"/>
    <w:basedOn w:val="a0"/>
    <w:link w:val="a9"/>
    <w:uiPriority w:val="99"/>
    <w:qFormat/>
    <w:rPr>
      <w:sz w:val="18"/>
      <w:szCs w:val="18"/>
    </w:rPr>
  </w:style>
  <w:style w:type="character" w:styleId="aa">
    <w:name w:val="page number"/>
    <w:basedOn w:val="a0"/>
    <w:uiPriority w:val="99"/>
    <w:qFormat/>
  </w:style>
  <w:style w:type="character" w:styleId="ab">
    <w:name w:val="annotation reference"/>
    <w:basedOn w:val="a0"/>
    <w:uiPriority w:val="99"/>
    <w:unhideWhenUsed/>
    <w:qFormat/>
    <w:rPr>
      <w:sz w:val="21"/>
      <w:szCs w:val="21"/>
    </w:rPr>
  </w:style>
  <w:style w:type="table" w:styleId="ac">
    <w:name w:val="Table Grid"/>
    <w:aliases w:val="三段式"/>
    <w:basedOn w:val="a1"/>
    <w:uiPriority w:val="3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列表段落1"/>
    <w:basedOn w:val="a"/>
    <w:uiPriority w:val="34"/>
    <w:qFormat/>
    <w:pPr>
      <w:ind w:firstLine="420"/>
    </w:pPr>
  </w:style>
  <w:style w:type="paragraph" w:customStyle="1" w:styleId="ad">
    <w:name w:val="条文"/>
    <w:basedOn w:val="1"/>
    <w:qFormat/>
    <w:pPr>
      <w:spacing w:before="0" w:after="0" w:line="240" w:lineRule="auto"/>
    </w:pPr>
    <w:rPr>
      <w:color w:val="000000"/>
      <w:sz w:val="24"/>
    </w:rPr>
  </w:style>
  <w:style w:type="paragraph" w:customStyle="1" w:styleId="20">
    <w:name w:val="正文2"/>
    <w:basedOn w:val="a"/>
    <w:qFormat/>
    <w:rsid w:val="00F23581"/>
    <w:pPr>
      <w:ind w:firstLineChars="0" w:firstLine="0"/>
    </w:pPr>
    <w:rPr>
      <w:rFonts w:ascii="宋体" w:hAnsi="宋体"/>
      <w:b/>
      <w:color w:val="000000" w:themeColor="text1"/>
      <w:szCs w:val="24"/>
    </w:rPr>
  </w:style>
  <w:style w:type="paragraph" w:customStyle="1" w:styleId="40">
    <w:name w:val="样式4"/>
    <w:basedOn w:val="a"/>
    <w:link w:val="4Char0"/>
    <w:qFormat/>
    <w:pPr>
      <w:topLinePunct/>
      <w:adjustRightInd w:val="0"/>
      <w:snapToGrid w:val="0"/>
      <w:spacing w:line="312" w:lineRule="atLeast"/>
      <w:textAlignment w:val="center"/>
    </w:pPr>
    <w:rPr>
      <w:rFonts w:cs="Times New Roman"/>
      <w:kern w:val="21"/>
      <w:szCs w:val="21"/>
    </w:rPr>
  </w:style>
  <w:style w:type="character" w:customStyle="1" w:styleId="4Char0">
    <w:name w:val="样式4 Char"/>
    <w:link w:val="40"/>
    <w:rPr>
      <w:rFonts w:ascii="Times New Roman" w:eastAsia="宋体" w:hAnsi="Times New Roman" w:cs="Times New Roman"/>
      <w:kern w:val="21"/>
      <w:sz w:val="21"/>
      <w:szCs w:val="21"/>
    </w:rPr>
  </w:style>
  <w:style w:type="paragraph" w:customStyle="1" w:styleId="7">
    <w:name w:val="样式7"/>
    <w:basedOn w:val="40"/>
    <w:link w:val="7Char"/>
    <w:pPr>
      <w:spacing w:before="120" w:after="120"/>
      <w:ind w:firstLineChars="0" w:firstLine="0"/>
      <w:jc w:val="center"/>
    </w:pPr>
    <w:rPr>
      <w:rFonts w:ascii="Arial" w:eastAsia="黑体" w:hAnsi="Arial" w:cs="Arial"/>
      <w:kern w:val="0"/>
      <w:sz w:val="18"/>
      <w:szCs w:val="18"/>
    </w:rPr>
  </w:style>
  <w:style w:type="character" w:customStyle="1" w:styleId="7Char">
    <w:name w:val="样式7 Char"/>
    <w:link w:val="7"/>
    <w:rPr>
      <w:rFonts w:ascii="Arial" w:eastAsia="黑体" w:hAnsi="Arial" w:cs="Arial"/>
      <w:sz w:val="18"/>
      <w:szCs w:val="18"/>
    </w:rPr>
  </w:style>
  <w:style w:type="paragraph" w:customStyle="1" w:styleId="8">
    <w:name w:val="样式8"/>
    <w:basedOn w:val="a"/>
    <w:link w:val="8Char"/>
    <w:qFormat/>
    <w:pPr>
      <w:topLinePunct/>
      <w:adjustRightInd w:val="0"/>
      <w:snapToGrid w:val="0"/>
      <w:spacing w:line="240" w:lineRule="atLeast"/>
      <w:ind w:firstLineChars="0" w:firstLine="0"/>
    </w:pPr>
    <w:rPr>
      <w:rFonts w:hAnsi="宋体" w:cs="Times New Roman"/>
      <w:kern w:val="0"/>
      <w:sz w:val="15"/>
      <w:szCs w:val="15"/>
    </w:rPr>
  </w:style>
  <w:style w:type="character" w:customStyle="1" w:styleId="8Char">
    <w:name w:val="样式8 Char"/>
    <w:link w:val="8"/>
    <w:qFormat/>
    <w:rPr>
      <w:rFonts w:ascii="Times New Roman" w:eastAsia="宋体" w:hAnsi="宋体" w:cs="Times New Roman"/>
      <w:sz w:val="15"/>
      <w:szCs w:val="15"/>
    </w:rPr>
  </w:style>
  <w:style w:type="paragraph" w:customStyle="1" w:styleId="9">
    <w:name w:val="样式9"/>
    <w:basedOn w:val="40"/>
    <w:link w:val="9Char"/>
    <w:pPr>
      <w:spacing w:line="120" w:lineRule="exact"/>
    </w:pPr>
  </w:style>
  <w:style w:type="character" w:customStyle="1" w:styleId="9Char">
    <w:name w:val="样式9 Char"/>
    <w:basedOn w:val="4Char0"/>
    <w:link w:val="9"/>
    <w:qFormat/>
    <w:rPr>
      <w:rFonts w:ascii="Times New Roman" w:eastAsia="宋体" w:hAnsi="Times New Roman" w:cs="Times New Roman"/>
      <w:kern w:val="21"/>
      <w:sz w:val="21"/>
      <w:szCs w:val="21"/>
    </w:rPr>
  </w:style>
  <w:style w:type="paragraph" w:customStyle="1" w:styleId="12">
    <w:name w:val="样式12"/>
    <w:basedOn w:val="8"/>
    <w:link w:val="12Char"/>
    <w:qFormat/>
    <w:pPr>
      <w:topLinePunct w:val="0"/>
      <w:spacing w:before="40" w:after="40" w:line="240" w:lineRule="auto"/>
      <w:jc w:val="center"/>
    </w:pPr>
  </w:style>
  <w:style w:type="character" w:customStyle="1" w:styleId="12Char">
    <w:name w:val="样式12 Char"/>
    <w:basedOn w:val="8Char"/>
    <w:link w:val="12"/>
    <w:qFormat/>
    <w:rPr>
      <w:rFonts w:ascii="Times New Roman" w:eastAsia="宋体" w:hAnsi="宋体" w:cs="Times New Roman"/>
      <w:sz w:val="15"/>
      <w:szCs w:val="15"/>
    </w:rPr>
  </w:style>
  <w:style w:type="paragraph" w:customStyle="1" w:styleId="14">
    <w:name w:val="样式14"/>
    <w:basedOn w:val="40"/>
    <w:link w:val="14Char"/>
    <w:qFormat/>
    <w:pPr>
      <w:spacing w:before="120" w:after="120"/>
      <w:ind w:firstLineChars="0" w:firstLine="0"/>
      <w:jc w:val="center"/>
    </w:pPr>
    <w:rPr>
      <w:sz w:val="18"/>
      <w:szCs w:val="18"/>
    </w:rPr>
  </w:style>
  <w:style w:type="character" w:customStyle="1" w:styleId="14Char">
    <w:name w:val="样式14 Char"/>
    <w:link w:val="14"/>
    <w:qFormat/>
    <w:rPr>
      <w:rFonts w:ascii="Times New Roman" w:eastAsia="宋体" w:hAnsi="Times New Roman" w:cs="Times New Roman"/>
      <w:kern w:val="21"/>
      <w:sz w:val="18"/>
      <w:szCs w:val="18"/>
    </w:rPr>
  </w:style>
  <w:style w:type="paragraph" w:customStyle="1" w:styleId="ae">
    <w:name w:val="表格"/>
    <w:basedOn w:val="a"/>
    <w:qFormat/>
    <w:rsid w:val="00BF0F3F"/>
    <w:pPr>
      <w:ind w:firstLineChars="0" w:firstLine="0"/>
      <w:jc w:val="center"/>
    </w:pPr>
    <w:rPr>
      <w:b/>
    </w:rPr>
  </w:style>
  <w:style w:type="table" w:customStyle="1" w:styleId="11">
    <w:name w:val="网格型1"/>
    <w:basedOn w:val="a1"/>
    <w:uiPriority w:val="59"/>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网格型4"/>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网格型2"/>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网格型11"/>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
    <w:name w:val="网格型3"/>
    <w:basedOn w:val="a1"/>
    <w:uiPriority w:val="3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不明显强调1"/>
    <w:basedOn w:val="a0"/>
    <w:uiPriority w:val="19"/>
    <w:qFormat/>
    <w:rPr>
      <w:i/>
      <w:iCs/>
      <w:color w:val="404040" w:themeColor="text1" w:themeTint="BF"/>
    </w:rPr>
  </w:style>
  <w:style w:type="paragraph" w:styleId="15">
    <w:name w:val="toc 1"/>
    <w:basedOn w:val="a"/>
    <w:next w:val="a"/>
    <w:autoRedefine/>
    <w:uiPriority w:val="39"/>
    <w:unhideWhenUsed/>
    <w:rsid w:val="00401E6E"/>
  </w:style>
  <w:style w:type="paragraph" w:styleId="22">
    <w:name w:val="toc 2"/>
    <w:basedOn w:val="a"/>
    <w:next w:val="a"/>
    <w:autoRedefine/>
    <w:uiPriority w:val="39"/>
    <w:unhideWhenUsed/>
    <w:rsid w:val="00F45FFE"/>
    <w:pPr>
      <w:tabs>
        <w:tab w:val="right" w:leader="dot" w:pos="8302"/>
      </w:tabs>
      <w:ind w:leftChars="200" w:left="420" w:firstLine="420"/>
    </w:pPr>
    <w:rPr>
      <w:rFonts w:cs="Times New Roman"/>
      <w:noProof/>
    </w:rPr>
  </w:style>
  <w:style w:type="paragraph" w:styleId="31">
    <w:name w:val="toc 3"/>
    <w:basedOn w:val="a"/>
    <w:next w:val="a"/>
    <w:autoRedefine/>
    <w:uiPriority w:val="39"/>
    <w:unhideWhenUsed/>
    <w:rsid w:val="00401E6E"/>
    <w:pPr>
      <w:ind w:leftChars="400" w:left="840"/>
    </w:pPr>
  </w:style>
  <w:style w:type="character" w:styleId="af">
    <w:name w:val="Hyperlink"/>
    <w:basedOn w:val="a0"/>
    <w:uiPriority w:val="99"/>
    <w:unhideWhenUsed/>
    <w:rsid w:val="00401E6E"/>
    <w:rPr>
      <w:color w:val="0000FF" w:themeColor="hyperlink"/>
      <w:u w:val="single"/>
    </w:rPr>
  </w:style>
  <w:style w:type="paragraph" w:customStyle="1" w:styleId="23">
    <w:name w:val="2级标题"/>
    <w:basedOn w:val="a"/>
    <w:next w:val="a"/>
    <w:autoRedefine/>
    <w:qFormat/>
    <w:rsid w:val="003C1556"/>
    <w:pPr>
      <w:keepNext/>
      <w:keepLines/>
      <w:pageBreakBefore/>
      <w:spacing w:beforeLines="100" w:before="312" w:afterLines="50" w:after="156"/>
      <w:ind w:firstLineChars="0" w:firstLine="0"/>
      <w:jc w:val="center"/>
      <w:outlineLvl w:val="1"/>
    </w:pPr>
    <w:rPr>
      <w:rFonts w:cs="Times New Roman"/>
      <w:b/>
      <w:bCs/>
      <w:kern w:val="44"/>
      <w:sz w:val="28"/>
      <w:szCs w:val="21"/>
    </w:rPr>
  </w:style>
  <w:style w:type="character" w:styleId="af0">
    <w:name w:val="Emphasis"/>
    <w:basedOn w:val="a0"/>
    <w:uiPriority w:val="20"/>
    <w:qFormat/>
    <w:rsid w:val="00AB036B"/>
    <w:rPr>
      <w:i/>
      <w:iCs/>
    </w:rPr>
  </w:style>
  <w:style w:type="paragraph" w:styleId="af1">
    <w:name w:val="No Spacing"/>
    <w:basedOn w:val="a"/>
    <w:link w:val="Char6"/>
    <w:uiPriority w:val="1"/>
    <w:qFormat/>
    <w:rsid w:val="009D23A9"/>
    <w:pPr>
      <w:spacing w:beforeLines="100" w:line="300" w:lineRule="auto"/>
      <w:ind w:firstLineChars="0" w:firstLine="0"/>
      <w:outlineLvl w:val="3"/>
    </w:pPr>
    <w:rPr>
      <w:rFonts w:cs="Times New Roman"/>
      <w:sz w:val="24"/>
      <w:szCs w:val="24"/>
    </w:rPr>
  </w:style>
  <w:style w:type="character" w:customStyle="1" w:styleId="Char6">
    <w:name w:val="无间隔 Char"/>
    <w:basedOn w:val="a0"/>
    <w:link w:val="af1"/>
    <w:uiPriority w:val="1"/>
    <w:rsid w:val="00A35A06"/>
    <w:rPr>
      <w:kern w:val="2"/>
      <w:sz w:val="24"/>
      <w:szCs w:val="24"/>
    </w:rPr>
  </w:style>
  <w:style w:type="paragraph" w:customStyle="1" w:styleId="af2">
    <w:name w:val="章"/>
    <w:basedOn w:val="a"/>
    <w:rsid w:val="006F0C61"/>
    <w:pPr>
      <w:spacing w:beforeLines="100" w:before="100" w:afterLines="100" w:after="100" w:line="300" w:lineRule="auto"/>
      <w:ind w:firstLineChars="0" w:firstLine="0"/>
      <w:jc w:val="center"/>
      <w:outlineLvl w:val="0"/>
    </w:pPr>
    <w:rPr>
      <w:rFonts w:cs="Times New Roman"/>
      <w:b/>
      <w:bCs/>
      <w:sz w:val="28"/>
      <w:szCs w:val="28"/>
    </w:rPr>
  </w:style>
  <w:style w:type="paragraph" w:customStyle="1" w:styleId="af3">
    <w:name w:val="我的正文"/>
    <w:basedOn w:val="a"/>
    <w:link w:val="Char7"/>
    <w:qFormat/>
    <w:rsid w:val="0087265D"/>
    <w:pPr>
      <w:adjustRightInd w:val="0"/>
      <w:snapToGrid w:val="0"/>
      <w:spacing w:line="400" w:lineRule="exact"/>
    </w:pPr>
    <w:rPr>
      <w:rFonts w:cs="Times New Roman"/>
      <w:sz w:val="24"/>
      <w:szCs w:val="24"/>
    </w:rPr>
  </w:style>
  <w:style w:type="character" w:customStyle="1" w:styleId="Char7">
    <w:name w:val="我的正文 Char"/>
    <w:link w:val="af3"/>
    <w:rsid w:val="0087265D"/>
    <w:rPr>
      <w:kern w:val="2"/>
      <w:sz w:val="24"/>
      <w:szCs w:val="24"/>
    </w:rPr>
  </w:style>
  <w:style w:type="paragraph" w:styleId="af4">
    <w:name w:val="List Paragraph"/>
    <w:basedOn w:val="a"/>
    <w:uiPriority w:val="34"/>
    <w:qFormat/>
    <w:rsid w:val="002A562B"/>
    <w:pPr>
      <w:spacing w:line="240" w:lineRule="auto"/>
      <w:ind w:firstLine="420"/>
    </w:pPr>
    <w:rPr>
      <w:rFonts w:asciiTheme="minorHAnsi" w:eastAsiaTheme="minorEastAsia" w:hAnsiTheme="minorHAnsi"/>
    </w:rPr>
  </w:style>
  <w:style w:type="character" w:styleId="af5">
    <w:name w:val="Placeholder Text"/>
    <w:basedOn w:val="a0"/>
    <w:uiPriority w:val="99"/>
    <w:semiHidden/>
    <w:rsid w:val="00C41AEB"/>
    <w:rPr>
      <w:color w:val="808080"/>
    </w:rPr>
  </w:style>
  <w:style w:type="paragraph" w:styleId="af6">
    <w:name w:val="Revision"/>
    <w:hidden/>
    <w:uiPriority w:val="99"/>
    <w:semiHidden/>
    <w:rsid w:val="00304458"/>
    <w:rPr>
      <w:rFonts w:cstheme="minorBidi"/>
      <w:kern w:val="2"/>
      <w:sz w:val="21"/>
      <w:szCs w:val="22"/>
    </w:rPr>
  </w:style>
  <w:style w:type="paragraph" w:customStyle="1" w:styleId="24">
    <w:name w:val="附标2"/>
    <w:basedOn w:val="1"/>
    <w:qFormat/>
    <w:rsid w:val="00913C78"/>
    <w:pPr>
      <w:spacing w:after="340" w:line="415" w:lineRule="auto"/>
      <w:jc w:val="left"/>
      <w:outlineLvl w:val="1"/>
    </w:pPr>
    <w:rPr>
      <w:sz w:val="32"/>
    </w:rPr>
  </w:style>
  <w:style w:type="paragraph" w:customStyle="1" w:styleId="32">
    <w:name w:val="附标3"/>
    <w:basedOn w:val="24"/>
    <w:qFormat/>
    <w:rsid w:val="00913C78"/>
    <w:pPr>
      <w:outlineLvl w:val="2"/>
    </w:pPr>
    <w:rPr>
      <w:sz w:val="28"/>
    </w:rPr>
  </w:style>
  <w:style w:type="paragraph" w:customStyle="1" w:styleId="af7">
    <w:name w:val="附录表格"/>
    <w:basedOn w:val="ae"/>
    <w:qFormat/>
    <w:rsid w:val="00AC08C3"/>
    <w:pPr>
      <w:jc w:val="left"/>
    </w:pPr>
    <w:rPr>
      <w:b w:val="0"/>
      <w:bCs/>
    </w:rPr>
  </w:style>
  <w:style w:type="paragraph" w:customStyle="1" w:styleId="af8">
    <w:name w:val="公式"/>
    <w:qFormat/>
    <w:rsid w:val="007F25A4"/>
    <w:pPr>
      <w:tabs>
        <w:tab w:val="center" w:pos="4156"/>
        <w:tab w:val="right" w:pos="8312"/>
      </w:tabs>
      <w:ind w:firstLineChars="202" w:firstLine="424"/>
      <w:jc w:val="right"/>
    </w:pPr>
    <w:rPr>
      <w:rFonts w:cstheme="minorBidi"/>
      <w:kern w:val="2"/>
      <w:sz w:val="21"/>
      <w:szCs w:val="22"/>
    </w:rPr>
  </w:style>
  <w:style w:type="paragraph" w:customStyle="1" w:styleId="16">
    <w:name w:val="样式1"/>
    <w:basedOn w:val="1"/>
    <w:qFormat/>
    <w:rsid w:val="00AF1261"/>
    <w:pPr>
      <w:topLinePunct/>
      <w:adjustRightInd w:val="0"/>
      <w:snapToGrid w:val="0"/>
      <w:spacing w:beforeLines="200" w:before="200" w:afterLines="160" w:after="160" w:line="312" w:lineRule="atLeast"/>
    </w:pPr>
    <w:rPr>
      <w:rFonts w:ascii="Arial" w:eastAsia="黑体" w:hAnsi="Arial" w:cs="Times New Roman"/>
      <w:b w:val="0"/>
      <w:sz w:val="32"/>
      <w:szCs w:val="32"/>
    </w:rPr>
  </w:style>
  <w:style w:type="table" w:customStyle="1" w:styleId="af9">
    <w:name w:val="表格框线"/>
    <w:basedOn w:val="a1"/>
    <w:uiPriority w:val="99"/>
    <w:rsid w:val="00E731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a">
    <w:name w:val="Subtitle"/>
    <w:basedOn w:val="a"/>
    <w:next w:val="a"/>
    <w:link w:val="Char8"/>
    <w:uiPriority w:val="11"/>
    <w:qFormat/>
    <w:rsid w:val="00550EBF"/>
    <w:pPr>
      <w:spacing w:before="240" w:after="60" w:line="312" w:lineRule="auto"/>
      <w:jc w:val="center"/>
      <w:outlineLvl w:val="1"/>
    </w:pPr>
    <w:rPr>
      <w:rFonts w:asciiTheme="minorHAnsi" w:eastAsiaTheme="minorEastAsia" w:hAnsiTheme="minorHAnsi"/>
      <w:b/>
      <w:bCs/>
      <w:kern w:val="28"/>
      <w:sz w:val="32"/>
      <w:szCs w:val="32"/>
    </w:rPr>
  </w:style>
  <w:style w:type="character" w:customStyle="1" w:styleId="Char8">
    <w:name w:val="副标题 Char"/>
    <w:basedOn w:val="a0"/>
    <w:link w:val="afa"/>
    <w:uiPriority w:val="11"/>
    <w:rsid w:val="00550EBF"/>
    <w:rPr>
      <w:rFonts w:asciiTheme="minorHAnsi" w:eastAsiaTheme="minorEastAsia" w:hAnsiTheme="minorHAnsi" w:cstheme="minorBidi"/>
      <w:b/>
      <w:bCs/>
      <w:kern w:val="28"/>
      <w:sz w:val="32"/>
      <w:szCs w:val="32"/>
    </w:rPr>
  </w:style>
  <w:style w:type="paragraph" w:styleId="42">
    <w:name w:val="toc 4"/>
    <w:basedOn w:val="a"/>
    <w:next w:val="a"/>
    <w:autoRedefine/>
    <w:uiPriority w:val="39"/>
    <w:unhideWhenUsed/>
    <w:rsid w:val="008D1808"/>
    <w:pPr>
      <w:spacing w:line="240" w:lineRule="auto"/>
      <w:ind w:leftChars="600" w:left="1260" w:firstLineChars="0" w:firstLine="0"/>
    </w:pPr>
    <w:rPr>
      <w:rFonts w:asciiTheme="minorHAnsi" w:eastAsiaTheme="minorEastAsia" w:hAnsiTheme="minorHAnsi"/>
    </w:rPr>
  </w:style>
  <w:style w:type="paragraph" w:styleId="50">
    <w:name w:val="toc 5"/>
    <w:basedOn w:val="a"/>
    <w:next w:val="a"/>
    <w:autoRedefine/>
    <w:uiPriority w:val="39"/>
    <w:unhideWhenUsed/>
    <w:rsid w:val="008D1808"/>
    <w:pPr>
      <w:spacing w:line="240" w:lineRule="auto"/>
      <w:ind w:leftChars="800" w:left="1680" w:firstLineChars="0" w:firstLine="0"/>
    </w:pPr>
    <w:rPr>
      <w:rFonts w:asciiTheme="minorHAnsi" w:eastAsiaTheme="minorEastAsia" w:hAnsiTheme="minorHAnsi"/>
    </w:rPr>
  </w:style>
  <w:style w:type="paragraph" w:styleId="6">
    <w:name w:val="toc 6"/>
    <w:basedOn w:val="a"/>
    <w:next w:val="a"/>
    <w:autoRedefine/>
    <w:uiPriority w:val="39"/>
    <w:unhideWhenUsed/>
    <w:rsid w:val="008D1808"/>
    <w:pPr>
      <w:spacing w:line="240" w:lineRule="auto"/>
      <w:ind w:leftChars="1000" w:left="2100" w:firstLineChars="0" w:firstLine="0"/>
    </w:pPr>
    <w:rPr>
      <w:rFonts w:asciiTheme="minorHAnsi" w:eastAsiaTheme="minorEastAsia" w:hAnsiTheme="minorHAnsi"/>
    </w:rPr>
  </w:style>
  <w:style w:type="paragraph" w:styleId="70">
    <w:name w:val="toc 7"/>
    <w:basedOn w:val="a"/>
    <w:next w:val="a"/>
    <w:autoRedefine/>
    <w:uiPriority w:val="39"/>
    <w:unhideWhenUsed/>
    <w:rsid w:val="008D1808"/>
    <w:pPr>
      <w:spacing w:line="240" w:lineRule="auto"/>
      <w:ind w:leftChars="1200" w:left="2520" w:firstLineChars="0" w:firstLine="0"/>
    </w:pPr>
    <w:rPr>
      <w:rFonts w:asciiTheme="minorHAnsi" w:eastAsiaTheme="minorEastAsia" w:hAnsiTheme="minorHAnsi"/>
    </w:rPr>
  </w:style>
  <w:style w:type="paragraph" w:styleId="80">
    <w:name w:val="toc 8"/>
    <w:basedOn w:val="a"/>
    <w:next w:val="a"/>
    <w:autoRedefine/>
    <w:uiPriority w:val="39"/>
    <w:unhideWhenUsed/>
    <w:rsid w:val="008D1808"/>
    <w:pPr>
      <w:spacing w:line="240" w:lineRule="auto"/>
      <w:ind w:leftChars="1400" w:left="2940" w:firstLineChars="0" w:firstLine="0"/>
    </w:pPr>
    <w:rPr>
      <w:rFonts w:asciiTheme="minorHAnsi" w:eastAsiaTheme="minorEastAsia" w:hAnsiTheme="minorHAnsi"/>
    </w:rPr>
  </w:style>
  <w:style w:type="paragraph" w:styleId="90">
    <w:name w:val="toc 9"/>
    <w:basedOn w:val="a"/>
    <w:next w:val="a"/>
    <w:autoRedefine/>
    <w:uiPriority w:val="39"/>
    <w:unhideWhenUsed/>
    <w:rsid w:val="008D1808"/>
    <w:pPr>
      <w:spacing w:line="240" w:lineRule="auto"/>
      <w:ind w:leftChars="1600" w:left="3360" w:firstLineChars="0" w:firstLine="0"/>
    </w:pPr>
    <w:rPr>
      <w:rFonts w:asciiTheme="minorHAnsi" w:eastAsiaTheme="minorEastAsia" w:hAnsiTheme="minorHAnsi"/>
    </w:rPr>
  </w:style>
  <w:style w:type="character" w:customStyle="1" w:styleId="UnresolvedMention">
    <w:name w:val="Unresolved Mention"/>
    <w:basedOn w:val="a0"/>
    <w:uiPriority w:val="99"/>
    <w:semiHidden/>
    <w:unhideWhenUsed/>
    <w:rsid w:val="008D18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03944">
      <w:bodyDiv w:val="1"/>
      <w:marLeft w:val="0"/>
      <w:marRight w:val="0"/>
      <w:marTop w:val="0"/>
      <w:marBottom w:val="0"/>
      <w:divBdr>
        <w:top w:val="none" w:sz="0" w:space="0" w:color="auto"/>
        <w:left w:val="none" w:sz="0" w:space="0" w:color="auto"/>
        <w:bottom w:val="none" w:sz="0" w:space="0" w:color="auto"/>
        <w:right w:val="none" w:sz="0" w:space="0" w:color="auto"/>
      </w:divBdr>
    </w:div>
    <w:div w:id="260917408">
      <w:bodyDiv w:val="1"/>
      <w:marLeft w:val="0"/>
      <w:marRight w:val="0"/>
      <w:marTop w:val="0"/>
      <w:marBottom w:val="0"/>
      <w:divBdr>
        <w:top w:val="none" w:sz="0" w:space="0" w:color="auto"/>
        <w:left w:val="none" w:sz="0" w:space="0" w:color="auto"/>
        <w:bottom w:val="none" w:sz="0" w:space="0" w:color="auto"/>
        <w:right w:val="none" w:sz="0" w:space="0" w:color="auto"/>
      </w:divBdr>
    </w:div>
    <w:div w:id="464472470">
      <w:bodyDiv w:val="1"/>
      <w:marLeft w:val="0"/>
      <w:marRight w:val="0"/>
      <w:marTop w:val="0"/>
      <w:marBottom w:val="0"/>
      <w:divBdr>
        <w:top w:val="none" w:sz="0" w:space="0" w:color="auto"/>
        <w:left w:val="none" w:sz="0" w:space="0" w:color="auto"/>
        <w:bottom w:val="none" w:sz="0" w:space="0" w:color="auto"/>
        <w:right w:val="none" w:sz="0" w:space="0" w:color="auto"/>
      </w:divBdr>
    </w:div>
    <w:div w:id="474181851">
      <w:bodyDiv w:val="1"/>
      <w:marLeft w:val="0"/>
      <w:marRight w:val="0"/>
      <w:marTop w:val="0"/>
      <w:marBottom w:val="0"/>
      <w:divBdr>
        <w:top w:val="none" w:sz="0" w:space="0" w:color="auto"/>
        <w:left w:val="none" w:sz="0" w:space="0" w:color="auto"/>
        <w:bottom w:val="none" w:sz="0" w:space="0" w:color="auto"/>
        <w:right w:val="none" w:sz="0" w:space="0" w:color="auto"/>
      </w:divBdr>
    </w:div>
    <w:div w:id="494613080">
      <w:bodyDiv w:val="1"/>
      <w:marLeft w:val="0"/>
      <w:marRight w:val="0"/>
      <w:marTop w:val="0"/>
      <w:marBottom w:val="0"/>
      <w:divBdr>
        <w:top w:val="none" w:sz="0" w:space="0" w:color="auto"/>
        <w:left w:val="none" w:sz="0" w:space="0" w:color="auto"/>
        <w:bottom w:val="none" w:sz="0" w:space="0" w:color="auto"/>
        <w:right w:val="none" w:sz="0" w:space="0" w:color="auto"/>
      </w:divBdr>
    </w:div>
    <w:div w:id="732243478">
      <w:bodyDiv w:val="1"/>
      <w:marLeft w:val="0"/>
      <w:marRight w:val="0"/>
      <w:marTop w:val="0"/>
      <w:marBottom w:val="0"/>
      <w:divBdr>
        <w:top w:val="none" w:sz="0" w:space="0" w:color="auto"/>
        <w:left w:val="none" w:sz="0" w:space="0" w:color="auto"/>
        <w:bottom w:val="none" w:sz="0" w:space="0" w:color="auto"/>
        <w:right w:val="none" w:sz="0" w:space="0" w:color="auto"/>
      </w:divBdr>
    </w:div>
    <w:div w:id="879322550">
      <w:bodyDiv w:val="1"/>
      <w:marLeft w:val="0"/>
      <w:marRight w:val="0"/>
      <w:marTop w:val="0"/>
      <w:marBottom w:val="0"/>
      <w:divBdr>
        <w:top w:val="none" w:sz="0" w:space="0" w:color="auto"/>
        <w:left w:val="none" w:sz="0" w:space="0" w:color="auto"/>
        <w:bottom w:val="none" w:sz="0" w:space="0" w:color="auto"/>
        <w:right w:val="none" w:sz="0" w:space="0" w:color="auto"/>
      </w:divBdr>
    </w:div>
    <w:div w:id="892623256">
      <w:bodyDiv w:val="1"/>
      <w:marLeft w:val="0"/>
      <w:marRight w:val="0"/>
      <w:marTop w:val="0"/>
      <w:marBottom w:val="0"/>
      <w:divBdr>
        <w:top w:val="none" w:sz="0" w:space="0" w:color="auto"/>
        <w:left w:val="none" w:sz="0" w:space="0" w:color="auto"/>
        <w:bottom w:val="none" w:sz="0" w:space="0" w:color="auto"/>
        <w:right w:val="none" w:sz="0" w:space="0" w:color="auto"/>
      </w:divBdr>
    </w:div>
    <w:div w:id="1005936404">
      <w:bodyDiv w:val="1"/>
      <w:marLeft w:val="0"/>
      <w:marRight w:val="0"/>
      <w:marTop w:val="0"/>
      <w:marBottom w:val="0"/>
      <w:divBdr>
        <w:top w:val="none" w:sz="0" w:space="0" w:color="auto"/>
        <w:left w:val="none" w:sz="0" w:space="0" w:color="auto"/>
        <w:bottom w:val="none" w:sz="0" w:space="0" w:color="auto"/>
        <w:right w:val="none" w:sz="0" w:space="0" w:color="auto"/>
      </w:divBdr>
    </w:div>
    <w:div w:id="1162507565">
      <w:bodyDiv w:val="1"/>
      <w:marLeft w:val="0"/>
      <w:marRight w:val="0"/>
      <w:marTop w:val="0"/>
      <w:marBottom w:val="0"/>
      <w:divBdr>
        <w:top w:val="none" w:sz="0" w:space="0" w:color="auto"/>
        <w:left w:val="none" w:sz="0" w:space="0" w:color="auto"/>
        <w:bottom w:val="none" w:sz="0" w:space="0" w:color="auto"/>
        <w:right w:val="none" w:sz="0" w:space="0" w:color="auto"/>
      </w:divBdr>
    </w:div>
    <w:div w:id="1199858484">
      <w:bodyDiv w:val="1"/>
      <w:marLeft w:val="0"/>
      <w:marRight w:val="0"/>
      <w:marTop w:val="0"/>
      <w:marBottom w:val="0"/>
      <w:divBdr>
        <w:top w:val="none" w:sz="0" w:space="0" w:color="auto"/>
        <w:left w:val="none" w:sz="0" w:space="0" w:color="auto"/>
        <w:bottom w:val="none" w:sz="0" w:space="0" w:color="auto"/>
        <w:right w:val="none" w:sz="0" w:space="0" w:color="auto"/>
      </w:divBdr>
    </w:div>
    <w:div w:id="1325663047">
      <w:bodyDiv w:val="1"/>
      <w:marLeft w:val="0"/>
      <w:marRight w:val="0"/>
      <w:marTop w:val="0"/>
      <w:marBottom w:val="0"/>
      <w:divBdr>
        <w:top w:val="none" w:sz="0" w:space="0" w:color="auto"/>
        <w:left w:val="none" w:sz="0" w:space="0" w:color="auto"/>
        <w:bottom w:val="none" w:sz="0" w:space="0" w:color="auto"/>
        <w:right w:val="none" w:sz="0" w:space="0" w:color="auto"/>
      </w:divBdr>
    </w:div>
    <w:div w:id="1336107706">
      <w:bodyDiv w:val="1"/>
      <w:marLeft w:val="0"/>
      <w:marRight w:val="0"/>
      <w:marTop w:val="0"/>
      <w:marBottom w:val="0"/>
      <w:divBdr>
        <w:top w:val="none" w:sz="0" w:space="0" w:color="auto"/>
        <w:left w:val="none" w:sz="0" w:space="0" w:color="auto"/>
        <w:bottom w:val="none" w:sz="0" w:space="0" w:color="auto"/>
        <w:right w:val="none" w:sz="0" w:space="0" w:color="auto"/>
      </w:divBdr>
    </w:div>
    <w:div w:id="1367220599">
      <w:bodyDiv w:val="1"/>
      <w:marLeft w:val="0"/>
      <w:marRight w:val="0"/>
      <w:marTop w:val="0"/>
      <w:marBottom w:val="0"/>
      <w:divBdr>
        <w:top w:val="none" w:sz="0" w:space="0" w:color="auto"/>
        <w:left w:val="none" w:sz="0" w:space="0" w:color="auto"/>
        <w:bottom w:val="none" w:sz="0" w:space="0" w:color="auto"/>
        <w:right w:val="none" w:sz="0" w:space="0" w:color="auto"/>
      </w:divBdr>
    </w:div>
    <w:div w:id="1547838854">
      <w:bodyDiv w:val="1"/>
      <w:marLeft w:val="0"/>
      <w:marRight w:val="0"/>
      <w:marTop w:val="0"/>
      <w:marBottom w:val="0"/>
      <w:divBdr>
        <w:top w:val="none" w:sz="0" w:space="0" w:color="auto"/>
        <w:left w:val="none" w:sz="0" w:space="0" w:color="auto"/>
        <w:bottom w:val="none" w:sz="0" w:space="0" w:color="auto"/>
        <w:right w:val="none" w:sz="0" w:space="0" w:color="auto"/>
      </w:divBdr>
    </w:div>
    <w:div w:id="1560704483">
      <w:bodyDiv w:val="1"/>
      <w:marLeft w:val="0"/>
      <w:marRight w:val="0"/>
      <w:marTop w:val="0"/>
      <w:marBottom w:val="0"/>
      <w:divBdr>
        <w:top w:val="none" w:sz="0" w:space="0" w:color="auto"/>
        <w:left w:val="none" w:sz="0" w:space="0" w:color="auto"/>
        <w:bottom w:val="none" w:sz="0" w:space="0" w:color="auto"/>
        <w:right w:val="none" w:sz="0" w:space="0" w:color="auto"/>
      </w:divBdr>
    </w:div>
    <w:div w:id="1570384093">
      <w:bodyDiv w:val="1"/>
      <w:marLeft w:val="0"/>
      <w:marRight w:val="0"/>
      <w:marTop w:val="0"/>
      <w:marBottom w:val="0"/>
      <w:divBdr>
        <w:top w:val="none" w:sz="0" w:space="0" w:color="auto"/>
        <w:left w:val="none" w:sz="0" w:space="0" w:color="auto"/>
        <w:bottom w:val="none" w:sz="0" w:space="0" w:color="auto"/>
        <w:right w:val="none" w:sz="0" w:space="0" w:color="auto"/>
      </w:divBdr>
    </w:div>
    <w:div w:id="1816724876">
      <w:bodyDiv w:val="1"/>
      <w:marLeft w:val="0"/>
      <w:marRight w:val="0"/>
      <w:marTop w:val="0"/>
      <w:marBottom w:val="0"/>
      <w:divBdr>
        <w:top w:val="none" w:sz="0" w:space="0" w:color="auto"/>
        <w:left w:val="none" w:sz="0" w:space="0" w:color="auto"/>
        <w:bottom w:val="none" w:sz="0" w:space="0" w:color="auto"/>
        <w:right w:val="none" w:sz="0" w:space="0" w:color="auto"/>
      </w:divBdr>
      <w:divsChild>
        <w:div w:id="168646183">
          <w:marLeft w:val="0"/>
          <w:marRight w:val="0"/>
          <w:marTop w:val="0"/>
          <w:marBottom w:val="0"/>
          <w:divBdr>
            <w:top w:val="none" w:sz="0" w:space="0" w:color="auto"/>
            <w:left w:val="none" w:sz="0" w:space="0" w:color="auto"/>
            <w:bottom w:val="none" w:sz="0" w:space="0" w:color="auto"/>
            <w:right w:val="none" w:sz="0" w:space="0" w:color="auto"/>
          </w:divBdr>
        </w:div>
        <w:div w:id="247035057">
          <w:marLeft w:val="0"/>
          <w:marRight w:val="0"/>
          <w:marTop w:val="0"/>
          <w:marBottom w:val="0"/>
          <w:divBdr>
            <w:top w:val="none" w:sz="0" w:space="0" w:color="auto"/>
            <w:left w:val="none" w:sz="0" w:space="0" w:color="auto"/>
            <w:bottom w:val="none" w:sz="0" w:space="0" w:color="auto"/>
            <w:right w:val="none" w:sz="0" w:space="0" w:color="auto"/>
          </w:divBdr>
        </w:div>
        <w:div w:id="801845928">
          <w:marLeft w:val="0"/>
          <w:marRight w:val="0"/>
          <w:marTop w:val="0"/>
          <w:marBottom w:val="0"/>
          <w:divBdr>
            <w:top w:val="none" w:sz="0" w:space="0" w:color="auto"/>
            <w:left w:val="none" w:sz="0" w:space="0" w:color="auto"/>
            <w:bottom w:val="none" w:sz="0" w:space="0" w:color="auto"/>
            <w:right w:val="none" w:sz="0" w:space="0" w:color="auto"/>
          </w:divBdr>
        </w:div>
        <w:div w:id="1304774817">
          <w:marLeft w:val="0"/>
          <w:marRight w:val="0"/>
          <w:marTop w:val="0"/>
          <w:marBottom w:val="0"/>
          <w:divBdr>
            <w:top w:val="none" w:sz="0" w:space="0" w:color="auto"/>
            <w:left w:val="none" w:sz="0" w:space="0" w:color="auto"/>
            <w:bottom w:val="none" w:sz="0" w:space="0" w:color="auto"/>
            <w:right w:val="none" w:sz="0" w:space="0" w:color="auto"/>
          </w:divBdr>
        </w:div>
        <w:div w:id="1581057945">
          <w:marLeft w:val="0"/>
          <w:marRight w:val="0"/>
          <w:marTop w:val="0"/>
          <w:marBottom w:val="0"/>
          <w:divBdr>
            <w:top w:val="none" w:sz="0" w:space="0" w:color="auto"/>
            <w:left w:val="none" w:sz="0" w:space="0" w:color="auto"/>
            <w:bottom w:val="none" w:sz="0" w:space="0" w:color="auto"/>
            <w:right w:val="none" w:sz="0" w:space="0" w:color="auto"/>
          </w:divBdr>
        </w:div>
      </w:divsChild>
    </w:div>
    <w:div w:id="2045397154">
      <w:bodyDiv w:val="1"/>
      <w:marLeft w:val="0"/>
      <w:marRight w:val="0"/>
      <w:marTop w:val="0"/>
      <w:marBottom w:val="0"/>
      <w:divBdr>
        <w:top w:val="none" w:sz="0" w:space="0" w:color="auto"/>
        <w:left w:val="none" w:sz="0" w:space="0" w:color="auto"/>
        <w:bottom w:val="none" w:sz="0" w:space="0" w:color="auto"/>
        <w:right w:val="none" w:sz="0" w:space="0" w:color="auto"/>
      </w:divBdr>
    </w:div>
    <w:div w:id="20976300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wmf"/><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6.w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header" Target="header5.xml"/><Relationship Id="rId55" Type="http://schemas.openxmlformats.org/officeDocument/2006/relationships/hyperlink" Target="http://baike.baidu.com/subview/479191/479191.htm" TargetMode="External"/><Relationship Id="rId68" Type="http://schemas.openxmlformats.org/officeDocument/2006/relationships/image" Target="media/image36.png"/><Relationship Id="rId76" Type="http://schemas.openxmlformats.org/officeDocument/2006/relationships/image" Target="media/image43.png"/><Relationship Id="rId84"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8.png"/><Relationship Id="rId2" Type="http://schemas.openxmlformats.org/officeDocument/2006/relationships/customXml" Target="../customXml/item2.xml"/><Relationship Id="rId16" Type="http://schemas.openxmlformats.org/officeDocument/2006/relationships/image" Target="media/image1.png"/><Relationship Id="rId29" Type="http://schemas.openxmlformats.org/officeDocument/2006/relationships/image" Target="media/image14.wmf"/><Relationship Id="rId11" Type="http://schemas.openxmlformats.org/officeDocument/2006/relationships/header" Target="header2.xm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header" Target="header6.xml"/><Relationship Id="rId58" Type="http://schemas.openxmlformats.org/officeDocument/2006/relationships/customXml" Target="ink/ink1.xml"/><Relationship Id="rId66" Type="http://schemas.openxmlformats.org/officeDocument/2006/relationships/image" Target="media/image34.png"/><Relationship Id="rId74" Type="http://schemas.openxmlformats.org/officeDocument/2006/relationships/image" Target="media/image41.png"/><Relationship Id="rId79" Type="http://schemas.openxmlformats.org/officeDocument/2006/relationships/header" Target="header8.xml"/><Relationship Id="rId5" Type="http://schemas.microsoft.com/office/2007/relationships/stylesWithEffects" Target="stylesWithEffects.xml"/><Relationship Id="rId82" Type="http://schemas.openxmlformats.org/officeDocument/2006/relationships/footer" Target="footer8.xml"/><Relationship Id="rId10" Type="http://schemas.openxmlformats.org/officeDocument/2006/relationships/header" Target="header1.xml"/><Relationship Id="rId19" Type="http://schemas.openxmlformats.org/officeDocument/2006/relationships/image" Target="media/image4.wmf"/><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footer" Target="footer5.xml"/><Relationship Id="rId65" Type="http://schemas.openxmlformats.org/officeDocument/2006/relationships/image" Target="media/image33.png"/><Relationship Id="rId73" Type="http://schemas.openxmlformats.org/officeDocument/2006/relationships/image" Target="media/image40.png"/><Relationship Id="rId78" Type="http://schemas.openxmlformats.org/officeDocument/2006/relationships/header" Target="header7.xml"/><Relationship Id="rId81" Type="http://schemas.openxmlformats.org/officeDocument/2006/relationships/header" Target="header9.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oleObject" Target="embeddings/oleObject1.bin"/><Relationship Id="rId56" Type="http://schemas.openxmlformats.org/officeDocument/2006/relationships/hyperlink" Target="http://baike.baidu.com/subview/615654/615654.htm" TargetMode="External"/><Relationship Id="rId64" Type="http://schemas.openxmlformats.org/officeDocument/2006/relationships/image" Target="media/image33.emf"/><Relationship Id="rId69" Type="http://schemas.openxmlformats.org/officeDocument/2006/relationships/image" Target="media/image37.png"/><Relationship Id="rId77" Type="http://schemas.openxmlformats.org/officeDocument/2006/relationships/image" Target="media/image44.png"/><Relationship Id="rId8" Type="http://schemas.openxmlformats.org/officeDocument/2006/relationships/footnotes" Target="footnotes.xml"/><Relationship Id="rId51" Type="http://schemas.openxmlformats.org/officeDocument/2006/relationships/footer" Target="footer4.xml"/><Relationship Id="rId72" Type="http://schemas.openxmlformats.org/officeDocument/2006/relationships/image" Target="media/image39.png"/><Relationship Id="rId80" Type="http://schemas.openxmlformats.org/officeDocument/2006/relationships/footer" Target="footer7.xml"/><Relationship Id="rId3" Type="http://schemas.openxmlformats.org/officeDocument/2006/relationships/numbering" Target="numbering.xml"/><Relationship Id="rId12" Type="http://schemas.openxmlformats.org/officeDocument/2006/relationships/footer" Target="footer1.xml"/><Relationship Id="rId17" Type="http://schemas.openxmlformats.org/officeDocument/2006/relationships/image" Target="media/image2.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67" Type="http://schemas.openxmlformats.org/officeDocument/2006/relationships/image" Target="media/image35.png"/><Relationship Id="rId20" Type="http://schemas.openxmlformats.org/officeDocument/2006/relationships/image" Target="media/image5.wmf"/><Relationship Id="rId41" Type="http://schemas.openxmlformats.org/officeDocument/2006/relationships/image" Target="media/image26.wmf"/><Relationship Id="rId54" Type="http://schemas.openxmlformats.org/officeDocument/2006/relationships/footer" Target="footer6.xml"/><Relationship Id="rId70" Type="http://schemas.openxmlformats.org/officeDocument/2006/relationships/image" Target="media/image370.png"/><Relationship Id="rId75" Type="http://schemas.openxmlformats.org/officeDocument/2006/relationships/image" Target="media/image42.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header" Target="header4.xml"/><Relationship Id="rId57" Type="http://schemas.openxmlformats.org/officeDocument/2006/relationships/hyperlink" Target="http://baike.baidu.com/subview/2143241/2143241.htm"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17-08-29T01:55:28.133"/>
    </inkml:context>
    <inkml:brush xml:id="br0">
      <inkml:brushProperty name="width" value="0.09071" units="cm"/>
      <inkml:brushProperty name="height" value="0.09071" units="cm"/>
    </inkml:brush>
  </inkml:definitions>
  <inkml:trace contextRef="#ctx0" brushRef="#br0">28 448 8355,'-12'10'71,"3"-1"0,2-5 107,7 6 0,0-1 0,0 5 0,0-1 191,0 1 0,5 6 1,1 3-1,0 3-73,0 2 0,4 7 0,-4 1 0,0 1-181,0-1 0,0 1 0,-3 3 1,2-3-135,-2-5 0,3 2 0,-1-2 0,-2-3 99,-2-5 0,-1 1 1,0-7-803,0-1 0,0-1 0,0-3-868,0 1 0,2-8 1236,2-6 0,-2-6 0,4-8 0</inkml:trace>
  <inkml:trace contextRef="#ctx0" brushRef="#br0" timeOffset="1">429 352 8355,'9'-12'-73,"1"2"1,3 4 0,6 6 0,-1 0 353,2 0 1,-5 2 0,4 2 0,-4 6 306,-1 2 1,0 3-1,-1 2 1,0 3-281,-4 1 1,3 2-1,-4 7 1,-1 0-155,-2 2 0,-3 5 1,-2-3-1,0 1-196,0 5 1,0-1 0,0-1-1,0-1-41,0 1 0,-2-3 0,-1 1 0,-2-3 40,2-2 1,-3 3-1,2-2 1,1-1-13,1-2 1,-3-3 0,1-2-95,1-1 0,-3-4 0,1 2 0,0-1 0,1-3-204,-1-2 0,1-6 0,2-1 1,-1 0-237,-2-1 1,-5-2 45,1 4 1,-4-6 0,-1 2 172,1-4 0,-6-5 1,-1-2-1,-1-3 271,-4-7 1,-1-10-1,-1-9 1</inkml:trace>
  <inkml:trace contextRef="#ctx0" brushRef="#br0" timeOffset="2">290 628 8355,'6'-14'0,"-4"0"352,2 0 0,0 7 0,0 2 343,5 4 0,-1 8 1,1 6-497,-3 3 0,-2 7 0,-4-3 1,0 2-88,0-2 1,0 5-1,0-4 1,0 1-131,0-4 0,0 2 0,0-2-262,0-1 1,-1-6-152,-4-2 257,4-6 1,-11 2 0,7-10-29,2-4 1,2-3-289,1-2 1,1 0 0,4 0 361,4 0 1,4 7 179,1 2 303,0 4 44,0 1 1,-7 6-76,-2 3 0,-5-1-292,-5 1 0,-1-5 0,-4 4-80,0-2 0,1-1-290,-5-5 33,7 0 0,0-8 0,7-4-248,0-5 1,7-7 0,2 1 0,3-3 215,2-2 0,4-9 0,2-3 0,0-6 246,0-3 0,5-2 0,-2-5 0,1-1 91,-1 2 0,3 3 0,-4 10 0,1 4 178,0 6 1,-7 1-1,2 13 1,-3 2 509,-1 6 1,-5 3 0,0 7-60,2 0 1,0 2-1,0 3-327,-2 4 1,-5 5 0,4 2 0,0 4 0,-2 2-49,0 2 0,-1 4 1,-5 3-261,0 1 0,0 0 0,0-4 0,0-2 0,0-3-221,0-5 1,0-3 0,0-1-527,0 0 584,0-6 1,0-4 0,0-8 77,0-6 1,0-2 0,0-3 0,0-4-345,0-4 1,0 2 0,1-4 249,4-4 0,1 0 1,5-6-1,-2 1 260,1 4 0,-2-4 0,0 3 1,-1 5 517,1 6 1,-3 5-135,4 1 0,-6 8-279,2 6 1,-5 6 0,-3 8-138,-2 0 0,-4 4 0,4 0 0,2-1-71,2-1 0,-4-3 0,0 1 1,2 0-8,2 0 0,1-5 0,0 0-187,0 2 1,1-3 65,4 1 0,3 0 1,5 5 0,-3-5 0,-3 0-75,-1 2 0,-1 1 1,-5 2 130,0 0 1,-6 0 0,-3-1 0,-4 1 2,0 0 1,-1 1 0,0 2 0,0 1 75,0-1 0,1-1 1,0-3 143,4 1 0,-2 0 0,5 0 1,0 0 38,0-1 1,1 1-137,5 0 0,2-2 108,3-3 0,-2 2 0,6-6 1,1-1-1,3 3 0,1-6 0,-1 5 0,1-1 0,0-1-113,0-1 0,4 4 0,1-3 0,-3-1-80,0-1 0,-7 2 0,0 1 1,0 0-147,-1 1 0,-2-3 0,-6 8 144,0 0 1,-5 1 0,-2 2 0,-4 0 57,-4-1 0,-2 1 1,2 0-1,-2-2 104,-2-3 1,-1 4 0,4-4 0,-3 3 2,2 2 0,2-5 1,1-1-1,2-1 20,3 1 1,-2 1-13,6 5 0,1-5 0,4 0-17,0 2 1,1 1 0,4 2-1,4-2 32,3-2 1,7 2 0,1-3 0,1 2 5,4-2 0,1 3 0,1-2 0,-1 2-36,-3 2 0,3-5 0,-3-2 0,4 1-55,1 0 0,-5-5 1,0 1-1,2-2-248,1-2 1,0 0 0,-2 0 0,-2 0-111,-2 0 1,-2 0 0,-4-2-27,0-2 0,-5 2 0,-2-4 17,0 0 0,-4 5 1,-8-6-450,-4 1 1,-3 3 282,-2-6 1,0 0 0,0-5 0</inkml:trace>
  <inkml:trace contextRef="#ctx0" brushRef="#br0" timeOffset="3">1091 214 8355,'-20'1'167,"7"4"0,6 4 0,6 4 1,2-1-1,2-1 0,4-4 1,0-1-1,4-3 0,1-1 1,2-2 6,0 0 0,0 0 0,-1 0-209,1 0 1,-6 1 0,-4 4 0,-2 6 29,-2 6 1,-6 4 0,-3 7 0,-2 1-10,2 3 1,-4-3 0,4 5 0,-3-2 14,-2 0 1,5 0 0,1-6 0,2-1-50,3 0 0,2-8 0,1 1 0,0-2-180,0-3 1,1-5 140,4-3 1,-2-4 0,6-1-1,0-1 37,-1-4 1,3-3 0,-5-5 0,1-1 0,4 0 0,0-4 0,0-3 0,-2 3 45,2-2 1,1 5-1,2-5 1,-1 1-47,1 1 0,0-1 318,0 6 1,0 5 0,-1 3 23,1 4 1,-6 2 0,-2 4-224,0 4 0,-4 3 0,2 2 0,-2 0-44,-2 0 1,0 0 0,-2-1 0,-1 1-76,-1 0 0,-7-2 1,2-1-1,-4-2-68,0 2 1,3-1 0,1-3 0,-2 1-163,-1 0 0,-2-5 1,1 1-88,-1-2 1,0-2 0,0 0 301,0 0 1,7-2 0,2-2-158,4-6 1,1 3 2084,0-2-1405,0 5 0,1-2 0,2 12 0,2 4-249,-2 2 1,-3 2 0,-3 0 0,-2 1-231,2 3 0,-5 2 0,1 3 0,-2-3 17,-1 0 1,3-5-1,-4 5 1,3-1-309,2-1 0,-3-4 1,4-5-1594,2 2 1184,2 1 1,2-4 551,4-4 0,3-8 0,5-6 0,1-2 1,0-2-100,0 1 0,4-1 0,1 0 578,-3 0 0,0 5 1,-2 1-1,-1 2 1,1 3 356,0 2 1,0 1-1,0 0-370,-1 0 0,0 6 0,-3 3 0,-2 3-346,-2 2 0,3-5 0,-4 0 0,-2 2-258,-1 1 1,-2 2 0,0 0 0,0 0 0,0 0-559,0-1 0,0-5 0,0-2 1</inkml:trace>
</inkml:ink>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9B24B23-E914-4142-AEC4-8646C669D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321</Pages>
  <Words>37668</Words>
  <Characters>214714</Characters>
  <Application>Microsoft Office Word</Application>
  <DocSecurity>0</DocSecurity>
  <Lines>1789</Lines>
  <Paragraphs>503</Paragraphs>
  <ScaleCrop>false</ScaleCrop>
  <Company>Microsoft</Company>
  <LinksUpToDate>false</LinksUpToDate>
  <CharactersWithSpaces>251879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Tencent</dc:creator>
  <cp:keywords/>
  <dc:description/>
  <cp:lastModifiedBy>Win7</cp:lastModifiedBy>
  <cp:revision>6</cp:revision>
  <dcterms:created xsi:type="dcterms:W3CDTF">2020-06-16T07:38:00Z</dcterms:created>
  <dcterms:modified xsi:type="dcterms:W3CDTF">2020-06-19T02:19:00Z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2052-9.9.0</vt:lpwstr>
  </property>
</Properties>
</file>